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0"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4"/>
          <w:szCs w:val="14"/>
        </w:rPr>
      </w:pPr>
    </w:p>
    <w:p>
      <w:pPr>
        <w:spacing w:line="2550" w:lineRule="exact"/>
        <w:ind w:left="127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0"/>
          <w:sz w:val="20"/>
          <w:szCs w:val="20"/>
        </w:rPr>
        <w:drawing>
          <wp:inline distT="0" distB="0" distL="0" distR="0">
            <wp:extent cx="4813247" cy="161925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4813247" cy="1619250"/>
                    </a:xfrm>
                    <a:prstGeom prst="rect">
                      <a:avLst/>
                    </a:prstGeom>
                  </pic:spPr>
                </pic:pic>
              </a:graphicData>
            </a:graphic>
          </wp:inline>
        </w:drawing>
      </w:r>
      <w:r>
        <w:rPr>
          <w:rFonts w:ascii="Times New Roman" w:hAnsi="Times New Roman" w:cs="Times New Roman" w:eastAsia="Times New Roman" w:hint="default"/>
          <w:position w:val="-50"/>
          <w:sz w:val="20"/>
          <w:szCs w:val="20"/>
        </w:rPr>
      </w:r>
    </w:p>
    <w:p>
      <w:pPr>
        <w:spacing w:line="240" w:lineRule="auto" w:before="0"/>
        <w:rPr>
          <w:rFonts w:ascii="Times New Roman" w:hAnsi="Times New Roman" w:cs="Times New Roman" w:eastAsia="Times New Roman" w:hint="default"/>
          <w:sz w:val="20"/>
          <w:szCs w:val="20"/>
        </w:rPr>
      </w:pPr>
    </w:p>
    <w:p>
      <w:pPr>
        <w:spacing w:before="86"/>
        <w:ind w:left="3067" w:right="4043" w:firstLine="0"/>
        <w:jc w:val="center"/>
        <w:rPr>
          <w:rFonts w:ascii="宋体" w:hAnsi="宋体" w:cs="宋体" w:eastAsia="宋体" w:hint="default"/>
          <w:sz w:val="52"/>
          <w:szCs w:val="52"/>
        </w:rPr>
      </w:pPr>
      <w:r>
        <w:rPr>
          <w:rFonts w:ascii="Times New Roman" w:hAnsi="Times New Roman" w:cs="Times New Roman" w:eastAsia="Times New Roman" w:hint="default"/>
          <w:b/>
          <w:bCs/>
          <w:sz w:val="52"/>
          <w:szCs w:val="52"/>
        </w:rPr>
        <w:t>2018</w:t>
      </w:r>
      <w:r>
        <w:rPr>
          <w:rFonts w:ascii="Times New Roman" w:hAnsi="Times New Roman" w:cs="Times New Roman" w:eastAsia="Times New Roman" w:hint="default"/>
          <w:b/>
          <w:bCs/>
          <w:spacing w:val="-4"/>
          <w:sz w:val="52"/>
          <w:szCs w:val="52"/>
        </w:rPr>
        <w:t> </w:t>
      </w:r>
      <w:r>
        <w:rPr>
          <w:rFonts w:ascii="宋体" w:hAnsi="宋体" w:cs="宋体" w:eastAsia="宋体" w:hint="default"/>
          <w:b/>
          <w:bCs/>
          <w:sz w:val="52"/>
          <w:szCs w:val="52"/>
        </w:rPr>
        <w:t>年年度报告</w:t>
      </w:r>
      <w:r>
        <w:rPr>
          <w:rFonts w:ascii="宋体" w:hAnsi="宋体" w:cs="宋体" w:eastAsia="宋体" w:hint="default"/>
          <w:sz w:val="52"/>
          <w:szCs w:val="52"/>
        </w:rPr>
      </w: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5"/>
        <w:rPr>
          <w:rFonts w:ascii="宋体" w:hAnsi="宋体" w:cs="宋体" w:eastAsia="宋体" w:hint="default"/>
          <w:b/>
          <w:bCs/>
          <w:sz w:val="79"/>
          <w:szCs w:val="79"/>
        </w:rPr>
      </w:pPr>
    </w:p>
    <w:p>
      <w:pPr>
        <w:spacing w:before="0"/>
        <w:ind w:left="3067" w:right="4043"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979" w:top="1060" w:bottom="1160" w:left="980" w:right="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5" w:right="0"/>
        <w:jc w:val="left"/>
        <w:rPr>
          <w:b w:val="0"/>
          <w:bCs w:val="0"/>
        </w:rPr>
      </w:pPr>
      <w:bookmarkStart w:name="第一节 重要提示、目录和释义" w:id="1"/>
      <w:bookmarkEnd w:id="1"/>
      <w:r>
        <w:rPr>
          <w:b w:val="0"/>
          <w:bCs w:val="0"/>
        </w:rPr>
      </w:r>
      <w:bookmarkStart w:name="_bookmark0" w:id="2"/>
      <w:bookmarkEnd w:id="2"/>
      <w:r>
        <w:rPr>
          <w:b w:val="0"/>
          <w:bCs w:val="0"/>
        </w:rPr>
      </w:r>
      <w:r>
        <w:rPr/>
        <w:t>第一节</w:t>
      </w:r>
      <w:r>
        <w:rPr>
          <w:spacing w:val="-11"/>
        </w:rPr>
        <w:t> </w:t>
      </w:r>
      <w:r>
        <w:rPr/>
        <w:t>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1"/>
        <w:ind w:left="154" w:right="1141" w:firstLine="562"/>
        <w:jc w:val="both"/>
        <w:rPr>
          <w:rFonts w:ascii="宋体" w:hAnsi="宋体" w:cs="宋体" w:eastAsia="宋体" w:hint="default"/>
          <w:sz w:val="28"/>
          <w:szCs w:val="28"/>
        </w:rPr>
      </w:pPr>
      <w:r>
        <w:rPr>
          <w:rFonts w:ascii="宋体" w:hAnsi="宋体" w:cs="宋体" w:eastAsia="宋体" w:hint="default"/>
          <w:b/>
          <w:bCs/>
          <w:spacing w:val="3"/>
          <w:w w:val="95"/>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实、准确、完整，不存在虚假记载、误导性陈述或重大遗漏，并承担个别和连</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1"/>
        <w:ind w:left="154" w:right="1132"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公司负责人吴涵渠、主管会计工作负责人彭世新及会计机构负责人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w:t>
      </w:r>
      <w:r>
        <w:rPr>
          <w:rFonts w:ascii="宋体" w:hAnsi="宋体" w:cs="宋体" w:eastAsia="宋体" w:hint="default"/>
          <w:b/>
          <w:bCs/>
          <w:spacing w:val="1"/>
          <w:w w:val="99"/>
          <w:sz w:val="28"/>
          <w:szCs w:val="28"/>
        </w:rPr>
        <w:t> </w:t>
      </w:r>
      <w:r>
        <w:rPr>
          <w:rFonts w:ascii="宋体" w:hAnsi="宋体" w:cs="宋体" w:eastAsia="宋体" w:hint="default"/>
          <w:b/>
          <w:bCs/>
          <w:sz w:val="28"/>
          <w:szCs w:val="28"/>
        </w:rPr>
        <w:t>管人员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马秦勇声明：保证年度报告中财务报告的真实、准确、完整。</w:t>
      </w:r>
      <w:r>
        <w:rPr>
          <w:rFonts w:ascii="宋体" w:hAnsi="宋体" w:cs="宋体" w:eastAsia="宋体" w:hint="default"/>
          <w:sz w:val="28"/>
          <w:szCs w:val="28"/>
        </w:rPr>
      </w:r>
    </w:p>
    <w:p>
      <w:pPr>
        <w:spacing w:line="472" w:lineRule="auto" w:before="147"/>
        <w:ind w:left="716" w:right="0"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w w:val="95"/>
          <w:sz w:val="28"/>
          <w:szCs w:val="28"/>
        </w:rPr>
        <w:t>本年度报告涉及未来计划等前瞻性陈述，不构成公司对投资者的实质承诺，</w:t>
      </w:r>
      <w:r>
        <w:rPr>
          <w:rFonts w:ascii="宋体" w:hAnsi="宋体" w:cs="宋体" w:eastAsia="宋体" w:hint="default"/>
          <w:spacing w:val="-2"/>
          <w:sz w:val="28"/>
          <w:szCs w:val="28"/>
        </w:rPr>
      </w:r>
    </w:p>
    <w:p>
      <w:pPr>
        <w:spacing w:line="398" w:lineRule="auto" w:before="0"/>
        <w:ind w:left="154" w:right="1138"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请投资者注意投资风险。对公司未来发展战略和经营目标产生不利影响的重大</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10"/>
          <w:w w:val="99"/>
          <w:sz w:val="28"/>
          <w:szCs w:val="28"/>
        </w:rPr>
        <w:t>风险因素及应对措施详见本报告“第四节</w:t>
      </w:r>
      <w:r>
        <w:rPr>
          <w:rFonts w:ascii="Times New Roman" w:hAnsi="Times New Roman" w:cs="Times New Roman" w:eastAsia="Times New Roman" w:hint="default"/>
          <w:b/>
          <w:bCs/>
          <w:spacing w:val="-10"/>
          <w:w w:val="99"/>
          <w:sz w:val="28"/>
          <w:szCs w:val="28"/>
        </w:rPr>
        <w:t>/</w:t>
      </w:r>
      <w:r>
        <w:rPr>
          <w:rFonts w:ascii="宋体" w:hAnsi="宋体" w:cs="宋体" w:eastAsia="宋体" w:hint="default"/>
          <w:b/>
          <w:bCs/>
          <w:spacing w:val="-10"/>
          <w:w w:val="99"/>
          <w:sz w:val="28"/>
          <w:szCs w:val="28"/>
        </w:rPr>
        <w:t>九</w:t>
      </w:r>
      <w:r>
        <w:rPr>
          <w:rFonts w:ascii="Times New Roman" w:hAnsi="Times New Roman" w:cs="Times New Roman" w:eastAsia="Times New Roman" w:hint="default"/>
          <w:b/>
          <w:bCs/>
          <w:spacing w:val="-10"/>
          <w:w w:val="99"/>
          <w:sz w:val="28"/>
          <w:szCs w:val="28"/>
        </w:rPr>
        <w:t>/</w:t>
      </w:r>
      <w:r>
        <w:rPr>
          <w:rFonts w:ascii="宋体" w:hAnsi="宋体" w:cs="宋体" w:eastAsia="宋体" w:hint="default"/>
          <w:b/>
          <w:bCs/>
          <w:spacing w:val="-10"/>
          <w:w w:val="99"/>
          <w:sz w:val="28"/>
          <w:szCs w:val="28"/>
        </w:rPr>
        <w:t>（五）”。敬请广大投资者注意投资</w:t>
      </w:r>
      <w:r>
        <w:rPr>
          <w:rFonts w:ascii="宋体" w:hAnsi="宋体" w:cs="宋体" w:eastAsia="宋体" w:hint="default"/>
          <w:b/>
          <w:bCs/>
          <w:spacing w:val="-105"/>
          <w:w w:val="99"/>
          <w:sz w:val="28"/>
          <w:szCs w:val="28"/>
        </w:rPr>
        <w:t> </w:t>
      </w:r>
      <w:r>
        <w:rPr>
          <w:rFonts w:ascii="宋体" w:hAnsi="宋体" w:cs="宋体" w:eastAsia="宋体" w:hint="default"/>
          <w:b/>
          <w:bCs/>
          <w:spacing w:val="-105"/>
          <w:w w:val="99"/>
          <w:sz w:val="28"/>
          <w:szCs w:val="28"/>
        </w:rPr>
      </w:r>
      <w:r>
        <w:rPr>
          <w:rFonts w:ascii="宋体" w:hAnsi="宋体" w:cs="宋体" w:eastAsia="宋体" w:hint="default"/>
          <w:b/>
          <w:bCs/>
          <w:sz w:val="28"/>
          <w:szCs w:val="28"/>
        </w:rPr>
        <w:t>风险。</w:t>
      </w:r>
      <w:r>
        <w:rPr>
          <w:rFonts w:ascii="宋体" w:hAnsi="宋体" w:cs="宋体" w:eastAsia="宋体" w:hint="default"/>
          <w:sz w:val="28"/>
          <w:szCs w:val="28"/>
        </w:rPr>
      </w:r>
    </w:p>
    <w:p>
      <w:pPr>
        <w:spacing w:before="172"/>
        <w:ind w:left="716" w:right="0" w:firstLine="0"/>
        <w:jc w:val="left"/>
        <w:rPr>
          <w:rFonts w:ascii="宋体" w:hAnsi="宋体" w:cs="宋体" w:eastAsia="宋体" w:hint="default"/>
          <w:sz w:val="28"/>
          <w:szCs w:val="28"/>
        </w:rPr>
      </w:pPr>
      <w:r>
        <w:rPr>
          <w:rFonts w:ascii="宋体" w:hAnsi="宋体" w:cs="宋体" w:eastAsia="宋体" w:hint="default"/>
          <w:b/>
          <w:bCs/>
          <w:spacing w:val="3"/>
          <w:sz w:val="28"/>
          <w:szCs w:val="28"/>
        </w:rPr>
        <w:t>公司拟以未来实施分配方案时股权登记日的总股本 </w:t>
      </w:r>
      <w:r>
        <w:rPr>
          <w:rFonts w:ascii="Times New Roman" w:hAnsi="Times New Roman" w:cs="Times New Roman" w:eastAsia="Times New Roman" w:hint="default"/>
          <w:b/>
          <w:bCs/>
          <w:sz w:val="28"/>
          <w:szCs w:val="28"/>
        </w:rPr>
        <w:t>614,940,432</w:t>
      </w:r>
      <w:r>
        <w:rPr>
          <w:rFonts w:ascii="Times New Roman" w:hAnsi="Times New Roman" w:cs="Times New Roman" w:eastAsia="Times New Roman" w:hint="default"/>
          <w:b/>
          <w:bCs/>
          <w:spacing w:val="51"/>
          <w:sz w:val="28"/>
          <w:szCs w:val="28"/>
        </w:rPr>
        <w:t> </w:t>
      </w:r>
      <w:r>
        <w:rPr>
          <w:rFonts w:ascii="宋体" w:hAnsi="宋体" w:cs="宋体" w:eastAsia="宋体" w:hint="default"/>
          <w:b/>
          <w:bCs/>
          <w:spacing w:val="3"/>
          <w:sz w:val="28"/>
          <w:szCs w:val="28"/>
        </w:rPr>
        <w:t>股为基数</w:t>
      </w:r>
      <w:r>
        <w:rPr>
          <w:rFonts w:ascii="宋体" w:hAnsi="宋体" w:cs="宋体" w:eastAsia="宋体" w:hint="default"/>
          <w:spacing w:val="3"/>
          <w:sz w:val="28"/>
          <w:szCs w:val="28"/>
        </w:rPr>
      </w:r>
    </w:p>
    <w:p>
      <w:pPr>
        <w:spacing w:before="236"/>
        <w:ind w:left="154" w:right="0" w:firstLine="0"/>
        <w:jc w:val="both"/>
        <w:rPr>
          <w:rFonts w:ascii="宋体" w:hAnsi="宋体" w:cs="宋体" w:eastAsia="宋体" w:hint="default"/>
          <w:sz w:val="28"/>
          <w:szCs w:val="28"/>
        </w:rPr>
      </w:pPr>
      <w:r>
        <w:rPr>
          <w:rFonts w:ascii="宋体" w:hAnsi="宋体" w:cs="宋体" w:eastAsia="宋体" w:hint="default"/>
          <w:b/>
          <w:bCs/>
          <w:sz w:val="28"/>
          <w:szCs w:val="28"/>
        </w:rPr>
        <w:t>（扣除公司回购专用证券账户股份数以及</w:t>
      </w:r>
      <w:r>
        <w:rPr>
          <w:rFonts w:ascii="宋体" w:hAnsi="宋体" w:cs="宋体" w:eastAsia="宋体" w:hint="default"/>
          <w:b/>
          <w:bCs/>
          <w:spacing w:val="-111"/>
          <w:sz w:val="28"/>
          <w:szCs w:val="28"/>
        </w:rPr>
        <w:t> </w:t>
      </w:r>
      <w:r>
        <w:rPr>
          <w:rFonts w:ascii="Times New Roman" w:hAnsi="Times New Roman" w:cs="Times New Roman" w:eastAsia="Times New Roman" w:hint="default"/>
          <w:b/>
          <w:bCs/>
          <w:sz w:val="28"/>
          <w:szCs w:val="28"/>
        </w:rPr>
        <w:t>2016</w:t>
      </w:r>
      <w:r>
        <w:rPr>
          <w:rFonts w:ascii="Times New Roman" w:hAnsi="Times New Roman" w:cs="Times New Roman" w:eastAsia="Times New Roman" w:hint="default"/>
          <w:b/>
          <w:bCs/>
          <w:spacing w:val="-45"/>
          <w:sz w:val="28"/>
          <w:szCs w:val="28"/>
        </w:rPr>
        <w:t> </w:t>
      </w:r>
      <w:r>
        <w:rPr>
          <w:rFonts w:ascii="宋体" w:hAnsi="宋体" w:cs="宋体" w:eastAsia="宋体" w:hint="default"/>
          <w:b/>
          <w:bCs/>
          <w:sz w:val="28"/>
          <w:szCs w:val="28"/>
        </w:rPr>
        <w:t>年股权激励计划限制性股票回购</w:t>
      </w:r>
      <w:r>
        <w:rPr>
          <w:rFonts w:ascii="宋体" w:hAnsi="宋体" w:cs="宋体" w:eastAsia="宋体" w:hint="default"/>
          <w:sz w:val="28"/>
          <w:szCs w:val="28"/>
        </w:rPr>
      </w:r>
    </w:p>
    <w:p>
      <w:pPr>
        <w:spacing w:before="236"/>
        <w:ind w:left="154" w:right="0" w:firstLine="0"/>
        <w:jc w:val="both"/>
        <w:rPr>
          <w:rFonts w:ascii="宋体" w:hAnsi="宋体" w:cs="宋体" w:eastAsia="宋体" w:hint="default"/>
          <w:sz w:val="28"/>
          <w:szCs w:val="28"/>
        </w:rPr>
      </w:pPr>
      <w:r>
        <w:rPr>
          <w:rFonts w:ascii="宋体" w:hAnsi="宋体" w:cs="宋体" w:eastAsia="宋体" w:hint="default"/>
          <w:b/>
          <w:bCs/>
          <w:w w:val="99"/>
          <w:sz w:val="28"/>
          <w:szCs w:val="28"/>
        </w:rPr>
        <w:t>注销股</w:t>
      </w:r>
      <w:r>
        <w:rPr>
          <w:rFonts w:ascii="宋体" w:hAnsi="宋体" w:cs="宋体" w:eastAsia="宋体" w:hint="default"/>
          <w:b/>
          <w:bCs/>
          <w:spacing w:val="2"/>
          <w:w w:val="99"/>
          <w:sz w:val="28"/>
          <w:szCs w:val="28"/>
        </w:rPr>
        <w:t>数）</w:t>
      </w:r>
      <w:r>
        <w:rPr>
          <w:rFonts w:ascii="Times New Roman" w:hAnsi="Times New Roman" w:cs="Times New Roman" w:eastAsia="Times New Roman" w:hint="default"/>
          <w:b/>
          <w:bCs/>
          <w:spacing w:val="-1"/>
          <w:w w:val="99"/>
          <w:sz w:val="28"/>
          <w:szCs w:val="28"/>
        </w:rPr>
        <w:t>,</w:t>
      </w:r>
      <w:r>
        <w:rPr>
          <w:rFonts w:ascii="宋体" w:hAnsi="宋体" w:cs="宋体" w:eastAsia="宋体" w:hint="default"/>
          <w:b/>
          <w:bCs/>
          <w:w w:val="99"/>
          <w:sz w:val="28"/>
          <w:szCs w:val="28"/>
        </w:rPr>
        <w:t>向全</w:t>
      </w:r>
      <w:r>
        <w:rPr>
          <w:rFonts w:ascii="宋体" w:hAnsi="宋体" w:cs="宋体" w:eastAsia="宋体" w:hint="default"/>
          <w:b/>
          <w:bCs/>
          <w:spacing w:val="2"/>
          <w:w w:val="99"/>
          <w:sz w:val="28"/>
          <w:szCs w:val="28"/>
        </w:rPr>
        <w:t>体</w:t>
      </w:r>
      <w:r>
        <w:rPr>
          <w:rFonts w:ascii="宋体" w:hAnsi="宋体" w:cs="宋体" w:eastAsia="宋体" w:hint="default"/>
          <w:b/>
          <w:bCs/>
          <w:w w:val="99"/>
          <w:sz w:val="28"/>
          <w:szCs w:val="28"/>
        </w:rPr>
        <w:t>股东每</w:t>
      </w:r>
      <w:r>
        <w:rPr>
          <w:rFonts w:ascii="宋体" w:hAnsi="宋体" w:cs="宋体" w:eastAsia="宋体" w:hint="default"/>
          <w:b/>
          <w:bCs/>
          <w:spacing w:val="-66"/>
          <w:sz w:val="28"/>
          <w:szCs w:val="28"/>
        </w:rPr>
        <w:t> </w:t>
      </w:r>
      <w:r>
        <w:rPr>
          <w:rFonts w:ascii="Times New Roman" w:hAnsi="Times New Roman" w:cs="Times New Roman" w:eastAsia="Times New Roman" w:hint="default"/>
          <w:b/>
          <w:bCs/>
          <w:spacing w:val="1"/>
          <w:w w:val="99"/>
          <w:sz w:val="28"/>
          <w:szCs w:val="28"/>
        </w:rPr>
        <w:t>1</w:t>
      </w:r>
      <w:r>
        <w:rPr>
          <w:rFonts w:ascii="Times New Roman" w:hAnsi="Times New Roman" w:cs="Times New Roman" w:eastAsia="Times New Roman" w:hint="default"/>
          <w:b/>
          <w:bCs/>
          <w:w w:val="99"/>
          <w:sz w:val="28"/>
          <w:szCs w:val="28"/>
        </w:rPr>
        <w:t>0</w:t>
      </w:r>
      <w:r>
        <w:rPr>
          <w:rFonts w:ascii="Times New Roman" w:hAnsi="Times New Roman" w:cs="Times New Roman" w:eastAsia="Times New Roman" w:hint="default"/>
          <w:b/>
          <w:bCs/>
          <w:spacing w:val="3"/>
          <w:sz w:val="28"/>
          <w:szCs w:val="28"/>
        </w:rPr>
        <w:t> </w:t>
      </w:r>
      <w:r>
        <w:rPr>
          <w:rFonts w:ascii="宋体" w:hAnsi="宋体" w:cs="宋体" w:eastAsia="宋体" w:hint="default"/>
          <w:b/>
          <w:bCs/>
          <w:w w:val="99"/>
          <w:sz w:val="28"/>
          <w:szCs w:val="28"/>
        </w:rPr>
        <w:t>股派</w:t>
      </w:r>
      <w:r>
        <w:rPr>
          <w:rFonts w:ascii="宋体" w:hAnsi="宋体" w:cs="宋体" w:eastAsia="宋体" w:hint="default"/>
          <w:b/>
          <w:bCs/>
          <w:spacing w:val="2"/>
          <w:w w:val="99"/>
          <w:sz w:val="28"/>
          <w:szCs w:val="28"/>
        </w:rPr>
        <w:t>发</w:t>
      </w:r>
      <w:r>
        <w:rPr>
          <w:rFonts w:ascii="宋体" w:hAnsi="宋体" w:cs="宋体" w:eastAsia="宋体" w:hint="default"/>
          <w:b/>
          <w:bCs/>
          <w:w w:val="99"/>
          <w:sz w:val="28"/>
          <w:szCs w:val="28"/>
        </w:rPr>
        <w:t>现金股</w:t>
      </w:r>
      <w:r>
        <w:rPr>
          <w:rFonts w:ascii="宋体" w:hAnsi="宋体" w:cs="宋体" w:eastAsia="宋体" w:hint="default"/>
          <w:b/>
          <w:bCs/>
          <w:spacing w:val="2"/>
          <w:w w:val="99"/>
          <w:sz w:val="28"/>
          <w:szCs w:val="28"/>
        </w:rPr>
        <w:t>利</w:t>
      </w:r>
      <w:r>
        <w:rPr>
          <w:rFonts w:ascii="宋体" w:hAnsi="宋体" w:cs="宋体" w:eastAsia="宋体" w:hint="default"/>
          <w:b/>
          <w:bCs/>
          <w:w w:val="99"/>
          <w:sz w:val="28"/>
          <w:szCs w:val="28"/>
        </w:rPr>
        <w:t>人民币</w:t>
      </w:r>
      <w:r>
        <w:rPr>
          <w:rFonts w:ascii="宋体" w:hAnsi="宋体" w:cs="宋体" w:eastAsia="宋体" w:hint="default"/>
          <w:b/>
          <w:bCs/>
          <w:spacing w:val="-64"/>
          <w:sz w:val="28"/>
          <w:szCs w:val="28"/>
        </w:rPr>
        <w:t> </w:t>
      </w:r>
      <w:r>
        <w:rPr>
          <w:rFonts w:ascii="Times New Roman" w:hAnsi="Times New Roman" w:cs="Times New Roman" w:eastAsia="Times New Roman" w:hint="default"/>
          <w:b/>
          <w:bCs/>
          <w:w w:val="99"/>
          <w:sz w:val="28"/>
          <w:szCs w:val="28"/>
        </w:rPr>
        <w:t>1</w:t>
      </w:r>
      <w:r>
        <w:rPr>
          <w:rFonts w:ascii="Times New Roman" w:hAnsi="Times New Roman" w:cs="Times New Roman" w:eastAsia="Times New Roman" w:hint="default"/>
          <w:b/>
          <w:bCs/>
          <w:spacing w:val="5"/>
          <w:sz w:val="28"/>
          <w:szCs w:val="28"/>
        </w:rPr>
        <w:t> </w:t>
      </w:r>
      <w:r>
        <w:rPr>
          <w:rFonts w:ascii="宋体" w:hAnsi="宋体" w:cs="宋体" w:eastAsia="宋体" w:hint="default"/>
          <w:b/>
          <w:bCs/>
          <w:w w:val="99"/>
          <w:sz w:val="28"/>
          <w:szCs w:val="28"/>
        </w:rPr>
        <w:t>元（含</w:t>
      </w:r>
      <w:r>
        <w:rPr>
          <w:rFonts w:ascii="宋体" w:hAnsi="宋体" w:cs="宋体" w:eastAsia="宋体" w:hint="default"/>
          <w:b/>
          <w:bCs/>
          <w:spacing w:val="2"/>
          <w:w w:val="99"/>
          <w:sz w:val="28"/>
          <w:szCs w:val="28"/>
        </w:rPr>
        <w:t>税</w:t>
      </w:r>
      <w:r>
        <w:rPr>
          <w:rFonts w:ascii="宋体" w:hAnsi="宋体" w:cs="宋体" w:eastAsia="宋体" w:hint="default"/>
          <w:b/>
          <w:bCs/>
          <w:spacing w:val="-140"/>
          <w:w w:val="99"/>
          <w:sz w:val="28"/>
          <w:szCs w:val="28"/>
        </w:rPr>
        <w:t>）</w:t>
      </w:r>
      <w:r>
        <w:rPr>
          <w:rFonts w:ascii="宋体" w:hAnsi="宋体" w:cs="宋体" w:eastAsia="宋体" w:hint="default"/>
          <w:b/>
          <w:bCs/>
          <w:w w:val="99"/>
          <w:sz w:val="28"/>
          <w:szCs w:val="28"/>
        </w:rPr>
        <w:t>。上</w:t>
      </w:r>
      <w:r>
        <w:rPr>
          <w:rFonts w:ascii="宋体" w:hAnsi="宋体" w:cs="宋体" w:eastAsia="宋体" w:hint="default"/>
          <w:b/>
          <w:bCs/>
          <w:spacing w:val="2"/>
          <w:w w:val="99"/>
          <w:sz w:val="28"/>
          <w:szCs w:val="28"/>
        </w:rPr>
        <w:t>述</w:t>
      </w:r>
      <w:r>
        <w:rPr>
          <w:rFonts w:ascii="宋体" w:hAnsi="宋体" w:cs="宋体" w:eastAsia="宋体" w:hint="default"/>
          <w:b/>
          <w:bCs/>
          <w:w w:val="99"/>
          <w:sz w:val="28"/>
          <w:szCs w:val="28"/>
        </w:rPr>
        <w:t>利润分</w:t>
      </w:r>
      <w:r>
        <w:rPr>
          <w:rFonts w:ascii="宋体" w:hAnsi="宋体" w:cs="宋体" w:eastAsia="宋体" w:hint="default"/>
          <w:sz w:val="28"/>
          <w:szCs w:val="28"/>
        </w:rPr>
      </w:r>
    </w:p>
    <w:p>
      <w:pPr>
        <w:spacing w:before="236"/>
        <w:ind w:left="154" w:right="0" w:firstLine="0"/>
        <w:jc w:val="both"/>
        <w:rPr>
          <w:rFonts w:ascii="宋体" w:hAnsi="宋体" w:cs="宋体" w:eastAsia="宋体" w:hint="default"/>
          <w:sz w:val="28"/>
          <w:szCs w:val="28"/>
        </w:rPr>
      </w:pPr>
      <w:r>
        <w:rPr>
          <w:rFonts w:ascii="宋体" w:hAnsi="宋体" w:cs="宋体" w:eastAsia="宋体" w:hint="default"/>
          <w:b/>
          <w:bCs/>
          <w:spacing w:val="-3"/>
          <w:sz w:val="28"/>
          <w:szCs w:val="28"/>
        </w:rPr>
        <w:t>配预案尚待提交本公司股东大会审议。在公司实施</w:t>
      </w:r>
      <w:r>
        <w:rPr>
          <w:rFonts w:ascii="宋体" w:hAnsi="宋体" w:cs="宋体" w:eastAsia="宋体" w:hint="default"/>
          <w:b/>
          <w:bCs/>
          <w:spacing w:val="-77"/>
          <w:sz w:val="28"/>
          <w:szCs w:val="28"/>
        </w:rPr>
        <w:t> </w:t>
      </w:r>
      <w:r>
        <w:rPr>
          <w:rFonts w:ascii="Times New Roman" w:hAnsi="Times New Roman" w:cs="Times New Roman" w:eastAsia="Times New Roman" w:hint="default"/>
          <w:b/>
          <w:bCs/>
          <w:sz w:val="28"/>
          <w:szCs w:val="28"/>
        </w:rPr>
        <w:t>2018</w:t>
      </w:r>
      <w:r>
        <w:rPr>
          <w:rFonts w:ascii="Times New Roman" w:hAnsi="Times New Roman" w:cs="Times New Roman" w:eastAsia="Times New Roman" w:hint="default"/>
          <w:b/>
          <w:bCs/>
          <w:spacing w:val="-13"/>
          <w:sz w:val="28"/>
          <w:szCs w:val="28"/>
        </w:rPr>
        <w:t> </w:t>
      </w:r>
      <w:r>
        <w:rPr>
          <w:rFonts w:ascii="宋体" w:hAnsi="宋体" w:cs="宋体" w:eastAsia="宋体" w:hint="default"/>
          <w:b/>
          <w:bCs/>
          <w:sz w:val="28"/>
          <w:szCs w:val="28"/>
        </w:rPr>
        <w:t>年度利润分配方案的股</w:t>
      </w:r>
      <w:r>
        <w:rPr>
          <w:rFonts w:ascii="宋体" w:hAnsi="宋体" w:cs="宋体" w:eastAsia="宋体" w:hint="default"/>
          <w:sz w:val="28"/>
          <w:szCs w:val="28"/>
        </w:rPr>
      </w:r>
    </w:p>
    <w:p>
      <w:pPr>
        <w:spacing w:line="393" w:lineRule="auto" w:before="236"/>
        <w:ind w:left="154" w:right="1135" w:firstLine="0"/>
        <w:jc w:val="both"/>
        <w:rPr>
          <w:rFonts w:ascii="宋体" w:hAnsi="宋体" w:cs="宋体" w:eastAsia="宋体" w:hint="default"/>
          <w:sz w:val="28"/>
          <w:szCs w:val="28"/>
        </w:rPr>
      </w:pPr>
      <w:r>
        <w:rPr>
          <w:rFonts w:ascii="宋体" w:hAnsi="宋体" w:cs="宋体" w:eastAsia="宋体" w:hint="default"/>
          <w:b/>
          <w:bCs/>
          <w:sz w:val="28"/>
          <w:szCs w:val="28"/>
        </w:rPr>
        <w:t>权登记日前，如果公司回购注销</w:t>
      </w:r>
      <w:r>
        <w:rPr>
          <w:rFonts w:ascii="宋体" w:hAnsi="宋体" w:cs="宋体" w:eastAsia="宋体" w:hint="default"/>
          <w:b/>
          <w:bCs/>
          <w:spacing w:val="-70"/>
          <w:sz w:val="28"/>
          <w:szCs w:val="28"/>
        </w:rPr>
        <w:t> </w:t>
      </w:r>
      <w:r>
        <w:rPr>
          <w:rFonts w:ascii="Times New Roman" w:hAnsi="Times New Roman" w:cs="Times New Roman" w:eastAsia="Times New Roman" w:hint="default"/>
          <w:b/>
          <w:bCs/>
          <w:sz w:val="28"/>
          <w:szCs w:val="28"/>
        </w:rPr>
        <w:t>8.775</w:t>
      </w:r>
      <w:r>
        <w:rPr>
          <w:rFonts w:ascii="Times New Roman" w:hAnsi="Times New Roman" w:cs="Times New Roman" w:eastAsia="Times New Roman" w:hint="default"/>
          <w:b/>
          <w:bCs/>
          <w:spacing w:val="-3"/>
          <w:sz w:val="28"/>
          <w:szCs w:val="28"/>
        </w:rPr>
        <w:t> </w:t>
      </w:r>
      <w:r>
        <w:rPr>
          <w:rFonts w:ascii="宋体" w:hAnsi="宋体" w:cs="宋体" w:eastAsia="宋体" w:hint="default"/>
          <w:b/>
          <w:bCs/>
          <w:sz w:val="28"/>
          <w:szCs w:val="28"/>
        </w:rPr>
        <w:t>万股</w:t>
      </w:r>
      <w:r>
        <w:rPr>
          <w:rFonts w:ascii="宋体" w:hAnsi="宋体" w:cs="宋体" w:eastAsia="宋体" w:hint="default"/>
          <w:b/>
          <w:bCs/>
          <w:spacing w:val="-74"/>
          <w:sz w:val="28"/>
          <w:szCs w:val="28"/>
        </w:rPr>
        <w:t> </w:t>
      </w:r>
      <w:r>
        <w:rPr>
          <w:rFonts w:ascii="Times New Roman" w:hAnsi="Times New Roman" w:cs="Times New Roman" w:eastAsia="Times New Roman" w:hint="default"/>
          <w:b/>
          <w:bCs/>
          <w:sz w:val="28"/>
          <w:szCs w:val="28"/>
        </w:rPr>
        <w:t>2016</w:t>
      </w:r>
      <w:r>
        <w:rPr>
          <w:rFonts w:ascii="Times New Roman" w:hAnsi="Times New Roman" w:cs="Times New Roman" w:eastAsia="Times New Roman" w:hint="default"/>
          <w:b/>
          <w:bCs/>
          <w:spacing w:val="-3"/>
          <w:sz w:val="28"/>
          <w:szCs w:val="28"/>
        </w:rPr>
        <w:t> </w:t>
      </w:r>
      <w:r>
        <w:rPr>
          <w:rFonts w:ascii="宋体" w:hAnsi="宋体" w:cs="宋体" w:eastAsia="宋体" w:hint="default"/>
          <w:b/>
          <w:bCs/>
          <w:sz w:val="28"/>
          <w:szCs w:val="28"/>
        </w:rPr>
        <w:t>年限制性股票激励计划授予的</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限制性股票未能完成或者进行新的回购股份，公司将按照《深圳证券交易所中</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w w:val="99"/>
          <w:sz w:val="28"/>
          <w:szCs w:val="28"/>
        </w:rPr>
        <w:t>小企业板上市公司规范运作指引（</w:t>
      </w:r>
      <w:r>
        <w:rPr>
          <w:rFonts w:ascii="Times New Roman" w:hAnsi="Times New Roman" w:cs="Times New Roman" w:eastAsia="Times New Roman" w:hint="default"/>
          <w:b/>
          <w:bCs/>
          <w:w w:val="99"/>
          <w:sz w:val="28"/>
          <w:szCs w:val="28"/>
        </w:rPr>
        <w:t>2015</w:t>
      </w:r>
      <w:r>
        <w:rPr>
          <w:rFonts w:ascii="Times New Roman" w:hAnsi="Times New Roman" w:cs="Times New Roman" w:eastAsia="Times New Roman" w:hint="default"/>
          <w:b/>
          <w:bCs/>
          <w:spacing w:val="29"/>
          <w:w w:val="99"/>
          <w:sz w:val="28"/>
          <w:szCs w:val="28"/>
        </w:rPr>
        <w:t> </w:t>
      </w:r>
      <w:r>
        <w:rPr>
          <w:rFonts w:ascii="宋体" w:hAnsi="宋体" w:cs="宋体" w:eastAsia="宋体" w:hint="default"/>
          <w:b/>
          <w:bCs/>
          <w:spacing w:val="-8"/>
          <w:w w:val="99"/>
          <w:sz w:val="28"/>
          <w:szCs w:val="28"/>
        </w:rPr>
        <w:t>年修订）》所规定的</w:t>
      </w:r>
      <w:r>
        <w:rPr>
          <w:rFonts w:ascii="Times New Roman" w:hAnsi="Times New Roman" w:cs="Times New Roman" w:eastAsia="Times New Roman" w:hint="default"/>
          <w:b/>
          <w:bCs/>
          <w:spacing w:val="-8"/>
          <w:w w:val="99"/>
          <w:sz w:val="28"/>
          <w:szCs w:val="28"/>
        </w:rPr>
        <w:t>“</w:t>
      </w:r>
      <w:r>
        <w:rPr>
          <w:rFonts w:ascii="宋体" w:hAnsi="宋体" w:cs="宋体" w:eastAsia="宋体" w:hint="default"/>
          <w:b/>
          <w:bCs/>
          <w:spacing w:val="-8"/>
          <w:w w:val="99"/>
          <w:sz w:val="28"/>
          <w:szCs w:val="28"/>
        </w:rPr>
        <w:t>现金分红金额、送</w:t>
      </w:r>
      <w:r>
        <w:rPr>
          <w:rFonts w:ascii="宋体" w:hAnsi="宋体" w:cs="宋体" w:eastAsia="宋体" w:hint="default"/>
          <w:b/>
          <w:bCs/>
          <w:spacing w:val="-135"/>
          <w:w w:val="99"/>
          <w:sz w:val="28"/>
          <w:szCs w:val="28"/>
        </w:rPr>
        <w:t> </w:t>
      </w:r>
      <w:r>
        <w:rPr>
          <w:rFonts w:ascii="宋体" w:hAnsi="宋体" w:cs="宋体" w:eastAsia="宋体" w:hint="default"/>
          <w:b/>
          <w:bCs/>
          <w:spacing w:val="-135"/>
          <w:w w:val="99"/>
          <w:sz w:val="28"/>
          <w:szCs w:val="28"/>
        </w:rPr>
      </w:r>
      <w:r>
        <w:rPr>
          <w:rFonts w:ascii="宋体" w:hAnsi="宋体" w:cs="宋体" w:eastAsia="宋体" w:hint="default"/>
          <w:b/>
          <w:bCs/>
          <w:sz w:val="28"/>
          <w:szCs w:val="28"/>
        </w:rPr>
        <w:t>红股金额、转增股本金额固定不变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的原则，对上述利润分配预案进行调整。</w:t>
      </w:r>
      <w:r>
        <w:rPr>
          <w:rFonts w:ascii="宋体" w:hAnsi="宋体" w:cs="宋体" w:eastAsia="宋体" w:hint="default"/>
          <w:sz w:val="28"/>
          <w:szCs w:val="28"/>
        </w:rPr>
      </w:r>
    </w:p>
    <w:p>
      <w:pPr>
        <w:spacing w:after="0" w:line="393" w:lineRule="auto"/>
        <w:jc w:val="both"/>
        <w:rPr>
          <w:rFonts w:ascii="宋体" w:hAnsi="宋体" w:cs="宋体" w:eastAsia="宋体" w:hint="default"/>
          <w:sz w:val="28"/>
          <w:szCs w:val="28"/>
        </w:rPr>
        <w:sectPr>
          <w:footerReference w:type="default" r:id="rId8"/>
          <w:pgSz w:w="11910" w:h="16840"/>
          <w:pgMar w:footer="979" w:header="747" w:top="1060" w:bottom="1160" w:left="980" w:right="0"/>
          <w:pgNumType w:start="2"/>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spacing w:line="460" w:lineRule="exact" w:before="0"/>
        <w:ind w:left="3067" w:right="4043"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3"/>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9782"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t>第一节 重要提示、目录和释义</w:t>
            </w:r>
            <w:r>
              <w:rPr>
                <w:rFonts w:ascii="Times New Roman" w:hAnsi="Times New Roman" w:cs="Times New Roman" w:eastAsia="Times New Roman" w:hint="default"/>
              </w:rPr>
              <w:tab/>
              <w:t>2</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1">
            <w:r>
              <w:rPr/>
              <w:t>第二节 公司简介和主要财务指标</w:t>
            </w:r>
            <w:r>
              <w:rPr>
                <w:rFonts w:ascii="Times New Roman" w:hAnsi="Times New Roman" w:cs="Times New Roman" w:eastAsia="Times New Roman" w:hint="default"/>
              </w:rPr>
              <w:tab/>
              <w:t>6</w:t>
            </w:r>
          </w:hyperlink>
        </w:p>
        <w:p>
          <w:pPr>
            <w:pStyle w:val="TOC1"/>
            <w:tabs>
              <w:tab w:pos="9782" w:val="right" w:leader="dot"/>
            </w:tabs>
            <w:spacing w:line="240" w:lineRule="auto" w:before="176"/>
            <w:ind w:right="0"/>
            <w:jc w:val="left"/>
            <w:rPr>
              <w:rFonts w:ascii="Times New Roman" w:hAnsi="Times New Roman" w:cs="Times New Roman" w:eastAsia="Times New Roman" w:hint="default"/>
            </w:rPr>
          </w:pPr>
          <w:hyperlink w:history="true" w:anchor="_bookmark2">
            <w:r>
              <w:rPr/>
              <w:t>第三节 公司业务概要</w:t>
            </w:r>
            <w:r>
              <w:rPr>
                <w:rFonts w:ascii="Times New Roman" w:hAnsi="Times New Roman" w:cs="Times New Roman" w:eastAsia="Times New Roman" w:hint="default"/>
              </w:rPr>
              <w:tab/>
              <w:t>10</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3">
            <w:r>
              <w:rPr/>
              <w:t>第四节 经营情况讨论与分析</w:t>
            </w:r>
            <w:r>
              <w:rPr>
                <w:rFonts w:ascii="Times New Roman" w:hAnsi="Times New Roman" w:cs="Times New Roman" w:eastAsia="Times New Roman" w:hint="default"/>
              </w:rPr>
              <w:tab/>
              <w:t>23</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4">
            <w:r>
              <w:rPr/>
              <w:t>第五节 重要事项</w:t>
            </w:r>
            <w:r>
              <w:rPr>
                <w:rFonts w:ascii="Times New Roman" w:hAnsi="Times New Roman" w:cs="Times New Roman" w:eastAsia="Times New Roman" w:hint="default"/>
              </w:rPr>
              <w:tab/>
              <w:t>48</w:t>
            </w:r>
          </w:hyperlink>
        </w:p>
        <w:p>
          <w:pPr>
            <w:pStyle w:val="TOC1"/>
            <w:tabs>
              <w:tab w:pos="9782" w:val="right" w:leader="dot"/>
            </w:tabs>
            <w:spacing w:line="240" w:lineRule="auto" w:before="176"/>
            <w:ind w:right="0"/>
            <w:jc w:val="left"/>
            <w:rPr>
              <w:rFonts w:ascii="Times New Roman" w:hAnsi="Times New Roman" w:cs="Times New Roman" w:eastAsia="Times New Roman" w:hint="default"/>
            </w:rPr>
          </w:pPr>
          <w:hyperlink w:history="true" w:anchor="_bookmark5">
            <w:r>
              <w:rPr/>
              <w:t>第六节 股份变动及股东情况</w:t>
            </w:r>
            <w:r>
              <w:rPr>
                <w:rFonts w:ascii="Times New Roman" w:hAnsi="Times New Roman" w:cs="Times New Roman" w:eastAsia="Times New Roman" w:hint="default"/>
              </w:rPr>
              <w:tab/>
              <w:t>80</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6">
            <w:r>
              <w:rPr/>
              <w:t>第七节 优先股相关情况</w:t>
            </w:r>
            <w:r>
              <w:rPr>
                <w:rFonts w:ascii="Times New Roman" w:hAnsi="Times New Roman" w:cs="Times New Roman" w:eastAsia="Times New Roman" w:hint="default"/>
              </w:rPr>
              <w:tab/>
              <w:t>89</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7">
            <w:r>
              <w:rPr/>
              <w:t>第八节 董事、监事、高级管理人员和员工情况</w:t>
            </w:r>
            <w:r>
              <w:rPr>
                <w:rFonts w:ascii="Times New Roman" w:hAnsi="Times New Roman" w:cs="Times New Roman" w:eastAsia="Times New Roman" w:hint="default"/>
              </w:rPr>
              <w:tab/>
              <w:t>90</w:t>
            </w:r>
          </w:hyperlink>
        </w:p>
        <w:p>
          <w:pPr>
            <w:pStyle w:val="TOC1"/>
            <w:tabs>
              <w:tab w:pos="9782" w:val="right" w:leader="dot"/>
            </w:tabs>
            <w:spacing w:line="240" w:lineRule="auto" w:before="176"/>
            <w:ind w:right="0"/>
            <w:jc w:val="left"/>
            <w:rPr>
              <w:rFonts w:ascii="Times New Roman" w:hAnsi="Times New Roman" w:cs="Times New Roman" w:eastAsia="Times New Roman" w:hint="default"/>
            </w:rPr>
          </w:pPr>
          <w:hyperlink w:history="true" w:anchor="_bookmark8">
            <w:r>
              <w:rPr/>
              <w:t>第九节 公司治理</w:t>
            </w:r>
            <w:r>
              <w:rPr>
                <w:rFonts w:ascii="Times New Roman" w:hAnsi="Times New Roman" w:cs="Times New Roman" w:eastAsia="Times New Roman" w:hint="default"/>
              </w:rPr>
              <w:tab/>
              <w:t>98</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9">
            <w:r>
              <w:rPr/>
              <w:t>第十节 公司债券相关情况</w:t>
            </w:r>
            <w:r>
              <w:rPr>
                <w:rFonts w:ascii="Times New Roman" w:hAnsi="Times New Roman" w:cs="Times New Roman" w:eastAsia="Times New Roman" w:hint="default"/>
              </w:rPr>
              <w:tab/>
              <w:t>105</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10">
            <w:r>
              <w:rPr/>
              <w:t>第十一节 财务报告</w:t>
            </w:r>
            <w:r>
              <w:rPr>
                <w:rFonts w:ascii="Times New Roman" w:hAnsi="Times New Roman" w:cs="Times New Roman" w:eastAsia="Times New Roman" w:hint="default"/>
              </w:rPr>
              <w:tab/>
              <w:t>106</w:t>
            </w:r>
          </w:hyperlink>
        </w:p>
        <w:p>
          <w:pPr>
            <w:pStyle w:val="TOC1"/>
            <w:tabs>
              <w:tab w:pos="9782" w:val="right" w:leader="dot"/>
            </w:tabs>
            <w:spacing w:line="240" w:lineRule="auto" w:before="176"/>
            <w:ind w:right="0"/>
            <w:jc w:val="left"/>
            <w:rPr>
              <w:rFonts w:ascii="Times New Roman" w:hAnsi="Times New Roman" w:cs="Times New Roman" w:eastAsia="Times New Roman" w:hint="default"/>
            </w:rPr>
          </w:pPr>
          <w:hyperlink w:history="true" w:anchor="_bookmark11">
            <w:r>
              <w:rPr/>
              <w:t>第十二节 备查文件目录</w:t>
            </w:r>
            <w:r>
              <w:rPr>
                <w:rFonts w:ascii="Times New Roman" w:hAnsi="Times New Roman" w:cs="Times New Roman" w:eastAsia="Times New Roman" w:hint="default"/>
              </w:rPr>
              <w:tab/>
              <w:t>229</w:t>
            </w:r>
          </w:hyperlink>
        </w:p>
        <w:p>
          <w:pPr/>
          <w:r>
            <w:fldChar w:fldCharType="end"/>
          </w:r>
        </w:p>
      </w:sdtContent>
    </w:sdt>
    <w:p>
      <w:pPr>
        <w:spacing w:after="0"/>
        <w:sectPr>
          <w:pgSz w:w="11910" w:h="16840"/>
          <w:pgMar w:header="747" w:footer="979" w:top="1060" w:bottom="1160" w:left="980" w:right="0"/>
        </w:sectPr>
      </w:pPr>
    </w:p>
    <w:p>
      <w:pPr>
        <w:spacing w:before="946"/>
        <w:ind w:left="3067" w:right="4043"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536"/>
        <w:gridCol w:w="598"/>
        <w:gridCol w:w="5436"/>
      </w:tblGrid>
      <w:tr>
        <w:trPr>
          <w:trHeight w:val="402"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公司、本公司、奥拓电子</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中国证监会、证监会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深圳证监局</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中国证券监督管理委员会深圳监管局</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深圳市奥拓电子股份有限公司董事会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深圳市奥拓电子股份有限公司监事会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深圳市奥拓电子股份有限公司股东大会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深圳市奥拓电子股份有限公司公司章程</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奥拓软件</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深圳市奥拓软件技术有限公司，系本公司控股子公司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奥拓光电</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奥拓电子（香港）有限公司，系本公司控股子公司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英国奥拓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奥拓电子（英国）有限公司，系本公司控股孙公司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前海奥拓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深圳前海奥拓投资有限公司，系本公司控股子公司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美国奥拓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奥拓电子（美国）有限责任公司，系本公司控股孙公司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日本奥拓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奥拓電子日本株式会社，系本公司控股孙公司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北京市奥拓电子科技有限公司，系本公司控股子公司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奥拓翰明</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上海奥拓翰明计算机科技有限公司，系本公司控股孙公司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南京软件</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南京奥拓软件技术有限公司，系本公司控股孙公司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鹏鼎创盈</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深圳市鹏鼎创盈金融信息服务股份有限公司，系本公司参股公司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奥拓体育发展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奥拓体育投资</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深圳前海奥拓体育文化投资有限公司，系本公司控股孙公司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千百辉</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深圳市奥拓立翔光电科技有限公司，系本公司控股子公司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武汉奥拓</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武汉市奥拓智能科技有限公司，系本公司控股子公司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热炼控股</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深圳市热炼控股有限责任公司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 </w:t>
            </w:r>
            <w:r>
              <w:rPr>
                <w:rFonts w:ascii="Times New Roman" w:hAnsi="Times New Roman" w:cs="Times New Roman" w:eastAsia="Times New Roman" w:hint="default"/>
                <w:sz w:val="18"/>
                <w:szCs w:val="18"/>
              </w:rPr>
              <w:t>1  </w:t>
            </w:r>
            <w:r>
              <w:rPr>
                <w:rFonts w:ascii="宋体" w:hAnsi="宋体" w:cs="宋体" w:eastAsia="宋体" w:hint="default"/>
                <w:sz w:val="18"/>
                <w:szCs w:val="18"/>
              </w:rPr>
              <w:t>月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6" w:type="dxa"/>
        <w:tblLayout w:type="fixed"/>
        <w:tblCellMar>
          <w:top w:w="0" w:type="dxa"/>
          <w:left w:w="0" w:type="dxa"/>
          <w:bottom w:w="0" w:type="dxa"/>
          <w:right w:w="0" w:type="dxa"/>
        </w:tblCellMar>
        <w:tblLook w:val="01E0"/>
      </w:tblPr>
      <w:tblGrid>
        <w:gridCol w:w="3527"/>
        <w:gridCol w:w="621"/>
        <w:gridCol w:w="5424"/>
      </w:tblGrid>
      <w:tr>
        <w:trPr>
          <w:trHeight w:val="402" w:hRule="exact"/>
        </w:trPr>
        <w:tc>
          <w:tcPr>
            <w:tcW w:w="3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人民币元、人民币万元</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172.339996pt;margin-top:272.779968pt;width:361.5pt;height:19.6pt;mso-position-horizontal-relative:page;mso-position-vertical-relative:page;z-index:-1175224" coordorigin="3447,5456" coordsize="7230,392">
            <v:shape style="position:absolute;left:3447;top:5456;width:7230;height:392" coordorigin="3447,5456" coordsize="7230,392" path="m3447,5847l10676,5847,10676,5456,3447,5456,3447,5847xe" filled="true" fillcolor="#ffffff" stroked="false">
              <v:path arrowok="t"/>
              <v:fill type="solid"/>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p>
      <w:pPr>
        <w:pStyle w:val="Heading1"/>
        <w:spacing w:line="240" w:lineRule="auto"/>
        <w:ind w:left="2644" w:right="0"/>
        <w:jc w:val="left"/>
        <w:rPr>
          <w:b w:val="0"/>
          <w:bCs w:val="0"/>
        </w:rPr>
      </w:pPr>
      <w:bookmarkStart w:name="第二节 公司简介和主要财务指标" w:id="3"/>
      <w:bookmarkEnd w:id="3"/>
      <w:r>
        <w:rPr>
          <w:b w:val="0"/>
          <w:bCs w:val="0"/>
        </w:rPr>
      </w:r>
      <w:bookmarkStart w:name="_bookmark1" w:id="4"/>
      <w:bookmarkEnd w:id="4"/>
      <w:r>
        <w:rPr>
          <w:b w:val="0"/>
          <w:bCs w:val="0"/>
        </w:rPr>
      </w:r>
      <w:r>
        <w:rPr/>
        <w:t>第二节</w:t>
      </w:r>
      <w:r>
        <w:rPr>
          <w:spacing w:val="-11"/>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3"/>
        <w:gridCol w:w="2976"/>
        <w:gridCol w:w="2133"/>
        <w:gridCol w:w="2188"/>
      </w:tblGrid>
      <w:tr>
        <w:trPr>
          <w:trHeight w:val="403"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76" w:type="dxa"/>
            <w:tcBorders>
              <w:top w:val="single" w:sz="4" w:space="0" w:color="000000"/>
              <w:left w:val="single" w:sz="9" w:space="0" w:color="D2D2D2"/>
              <w:bottom w:val="single" w:sz="4" w:space="0" w:color="000000"/>
              <w:right w:val="single" w:sz="9" w:space="0" w:color="D2D2D2"/>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奥拓电子</w:t>
            </w:r>
          </w:p>
        </w:tc>
        <w:tc>
          <w:tcPr>
            <w:tcW w:w="2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002587</w:t>
            </w:r>
          </w:p>
        </w:tc>
      </w:tr>
      <w:tr>
        <w:trPr>
          <w:trHeight w:val="401"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9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奥拓电子</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SHENZHEN AOTO ELECTRONICS</w:t>
            </w:r>
            <w:r>
              <w:rPr>
                <w:rFonts w:ascii="Times New Roman"/>
                <w:spacing w:val="-16"/>
                <w:sz w:val="18"/>
              </w:rPr>
              <w:t> </w:t>
            </w:r>
            <w:r>
              <w:rPr>
                <w:rFonts w:ascii="Times New Roman"/>
                <w:spacing w:val="-3"/>
                <w:sz w:val="18"/>
              </w:rPr>
              <w:t>CO.,LTD</w:t>
            </w:r>
          </w:p>
        </w:tc>
      </w:tr>
      <w:tr>
        <w:trPr>
          <w:trHeight w:val="402" w:hRule="exact"/>
        </w:trPr>
        <w:tc>
          <w:tcPr>
            <w:tcW w:w="2273"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2"/>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7"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2"/>
              <w:ind w:left="12" w:right="0"/>
              <w:jc w:val="left"/>
              <w:rPr>
                <w:rFonts w:ascii="Times New Roman" w:hAnsi="Times New Roman" w:cs="Times New Roman" w:eastAsia="Times New Roman" w:hint="default"/>
                <w:sz w:val="18"/>
                <w:szCs w:val="18"/>
              </w:rPr>
            </w:pPr>
            <w:r>
              <w:rPr>
                <w:rFonts w:ascii="Times New Roman"/>
                <w:sz w:val="18"/>
              </w:rPr>
              <w:t>AOTO</w:t>
            </w:r>
            <w:r>
              <w:rPr>
                <w:rFonts w:ascii="Times New Roman"/>
                <w:spacing w:val="-8"/>
                <w:sz w:val="18"/>
              </w:rPr>
              <w:t> </w:t>
            </w:r>
            <w:r>
              <w:rPr>
                <w:rFonts w:ascii="Times New Roman"/>
                <w:sz w:val="18"/>
              </w:rPr>
              <w:t>ELECTRONICS</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吴涵渠</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 </w:t>
            </w:r>
            <w:r>
              <w:rPr>
                <w:rFonts w:ascii="Times New Roman" w:hAnsi="Times New Roman" w:cs="Times New Roman" w:eastAsia="Times New Roman" w:hint="default"/>
                <w:sz w:val="18"/>
                <w:szCs w:val="18"/>
              </w:rPr>
              <w:t>63  </w:t>
            </w:r>
            <w:r>
              <w:rPr>
                <w:rFonts w:ascii="宋体" w:hAnsi="宋体" w:cs="宋体" w:eastAsia="宋体" w:hint="default"/>
                <w:sz w:val="18"/>
                <w:szCs w:val="18"/>
              </w:rPr>
              <w:t>号高新区联合总部大厦 </w:t>
            </w:r>
            <w:r>
              <w:rPr>
                <w:rFonts w:ascii="Times New Roman" w:hAnsi="Times New Roman" w:cs="Times New Roman" w:eastAsia="Times New Roman" w:hint="default"/>
                <w:sz w:val="18"/>
                <w:szCs w:val="18"/>
              </w:rPr>
              <w:t>10  </w:t>
            </w:r>
            <w:r>
              <w:rPr>
                <w:rFonts w:ascii="宋体" w:hAnsi="宋体" w:cs="宋体" w:eastAsia="宋体" w:hint="default"/>
                <w:sz w:val="18"/>
                <w:szCs w:val="18"/>
              </w:rPr>
              <w:t>楼</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518052</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 </w:t>
            </w:r>
            <w:r>
              <w:rPr>
                <w:rFonts w:ascii="Times New Roman" w:hAnsi="Times New Roman" w:cs="Times New Roman" w:eastAsia="Times New Roman" w:hint="default"/>
                <w:sz w:val="18"/>
                <w:szCs w:val="18"/>
              </w:rPr>
              <w:t>63  </w:t>
            </w:r>
            <w:r>
              <w:rPr>
                <w:rFonts w:ascii="宋体" w:hAnsi="宋体" w:cs="宋体" w:eastAsia="宋体" w:hint="default"/>
                <w:sz w:val="18"/>
                <w:szCs w:val="18"/>
              </w:rPr>
              <w:t>号高新区联合总部大厦 </w:t>
            </w:r>
            <w:r>
              <w:rPr>
                <w:rFonts w:ascii="Times New Roman" w:hAnsi="Times New Roman" w:cs="Times New Roman" w:eastAsia="Times New Roman" w:hint="default"/>
                <w:sz w:val="18"/>
                <w:szCs w:val="18"/>
              </w:rPr>
              <w:t>10  </w:t>
            </w:r>
            <w:r>
              <w:rPr>
                <w:rFonts w:ascii="宋体" w:hAnsi="宋体" w:cs="宋体" w:eastAsia="宋体" w:hint="default"/>
                <w:sz w:val="18"/>
                <w:szCs w:val="18"/>
              </w:rPr>
              <w:t>楼</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518052</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9">
              <w:r>
                <w:rPr>
                  <w:rFonts w:ascii="Times New Roman"/>
                  <w:sz w:val="18"/>
                </w:rPr>
                <w:t>http://www.aoto.com</w:t>
              </w:r>
            </w:hyperlink>
          </w:p>
        </w:tc>
      </w:tr>
      <w:tr>
        <w:trPr>
          <w:trHeight w:val="404"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10">
              <w:r>
                <w:rPr>
                  <w:rFonts w:ascii="Times New Roman"/>
                  <w:sz w:val="18"/>
                </w:rPr>
                <w:t>szaoto@aoto.com</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79"/>
        <w:gridCol w:w="3190"/>
        <w:gridCol w:w="3190"/>
      </w:tblGrid>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317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号高新</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区联合总部大厦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c>
          <w:tcPr>
            <w:tcW w:w="3190" w:type="dxa"/>
            <w:vMerge w:val="restart"/>
            <w:tcBorders>
              <w:top w:val="single" w:sz="4" w:space="0" w:color="000000"/>
              <w:left w:val="single" w:sz="4" w:space="0" w:color="000000"/>
              <w:right w:val="single" w:sz="4" w:space="0" w:color="000000"/>
            </w:tcBorders>
          </w:tcPr>
          <w:p>
            <w:pPr/>
          </w:p>
        </w:tc>
      </w:tr>
      <w:tr>
        <w:trPr>
          <w:trHeight w:val="392" w:hRule="exact"/>
        </w:trPr>
        <w:tc>
          <w:tcPr>
            <w:tcW w:w="31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79"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0" w:right="0"/>
              <w:jc w:val="left"/>
              <w:rPr>
                <w:rFonts w:ascii="Times New Roman" w:hAnsi="Times New Roman" w:cs="Times New Roman" w:eastAsia="Times New Roman" w:hint="default"/>
                <w:sz w:val="18"/>
                <w:szCs w:val="18"/>
              </w:rPr>
            </w:pPr>
            <w:r>
              <w:rPr>
                <w:rFonts w:ascii="Times New Roman"/>
                <w:sz w:val="18"/>
              </w:rPr>
              <w:t>0755-26719889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0" w:right="0"/>
              <w:jc w:val="left"/>
              <w:rPr>
                <w:rFonts w:ascii="Times New Roman" w:hAnsi="Times New Roman" w:cs="Times New Roman" w:eastAsia="Times New Roman" w:hint="default"/>
                <w:sz w:val="18"/>
                <w:szCs w:val="18"/>
              </w:rPr>
            </w:pPr>
            <w:r>
              <w:rPr>
                <w:rFonts w:ascii="Times New Roman"/>
                <w:sz w:val="18"/>
              </w:rPr>
              <w:t>0755-26719890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0" w:right="0"/>
              <w:jc w:val="left"/>
              <w:rPr>
                <w:rFonts w:ascii="Times New Roman" w:hAnsi="Times New Roman" w:cs="Times New Roman" w:eastAsia="Times New Roman" w:hint="default"/>
                <w:sz w:val="18"/>
                <w:szCs w:val="18"/>
              </w:rPr>
            </w:pPr>
            <w:hyperlink r:id="rId11">
              <w:r>
                <w:rPr>
                  <w:rFonts w:ascii="Times New Roman"/>
                  <w:sz w:val="18"/>
                </w:rPr>
                <w:t>kongdj@aoto.com</w:t>
              </w:r>
            </w:hyperlink>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2">
              <w:r>
                <w:rPr>
                  <w:rFonts w:ascii="Times New Roman"/>
                  <w:sz w:val="18"/>
                </w:rPr>
                <w:t>http://www.cninfo.com.cn</w:t>
              </w:r>
            </w:hyperlink>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公司董事会办公室、深圳证券交易所</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9"/>
        <w:rPr>
          <w:rFonts w:ascii="宋体" w:hAnsi="宋体" w:cs="宋体" w:eastAsia="宋体" w:hint="default"/>
          <w:b/>
          <w:bCs/>
          <w:sz w:val="23"/>
          <w:szCs w:val="23"/>
        </w:rPr>
      </w:pPr>
    </w:p>
    <w:p>
      <w:pPr>
        <w:pStyle w:val="Heading2"/>
        <w:spacing w:line="240" w:lineRule="auto" w:before="26"/>
        <w:ind w:right="0"/>
        <w:jc w:val="left"/>
        <w:rPr>
          <w:b w:val="0"/>
          <w:bCs w:val="0"/>
        </w:rPr>
      </w:pPr>
      <w:bookmarkStart w:name="四、注册变更情况" w:id="8"/>
      <w:bookmarkEnd w:id="8"/>
      <w:r>
        <w:rPr>
          <w:b w:val="0"/>
          <w:bCs w:val="0"/>
        </w:rPr>
      </w:r>
      <w:r>
        <w:rPr/>
        <w:t>四、注册变更情况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63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914403001922261931</w:t>
            </w:r>
          </w:p>
        </w:tc>
      </w:tr>
      <w:tr>
        <w:trPr>
          <w:trHeight w:val="1026"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2" w:right="95"/>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 有）</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43"/>
              <w:jc w:val="both"/>
              <w:rPr>
                <w:rFonts w:ascii="宋体" w:hAnsi="宋体" w:cs="宋体" w:eastAsia="宋体" w:hint="default"/>
                <w:sz w:val="18"/>
                <w:szCs w:val="18"/>
              </w:rPr>
            </w:pPr>
            <w:r>
              <w:rPr>
                <w:rFonts w:ascii="宋体" w:hAnsi="宋体" w:cs="宋体" w:eastAsia="宋体" w:hint="default"/>
                <w:sz w:val="18"/>
                <w:szCs w:val="18"/>
              </w:rPr>
              <w:t>增加电子大屏幕显示屏工程设计与安装；照明工程设计与安装；节能投资与节能 改造</w:t>
            </w:r>
            <w:r>
              <w:rPr>
                <w:rFonts w:ascii="Times New Roman" w:hAnsi="Times New Roman" w:cs="Times New Roman" w:eastAsia="Times New Roman" w:hint="default"/>
                <w:sz w:val="18"/>
                <w:szCs w:val="18"/>
              </w:rPr>
              <w:t>; </w:t>
            </w:r>
            <w:r>
              <w:rPr>
                <w:rFonts w:ascii="宋体" w:hAnsi="宋体" w:cs="宋体" w:eastAsia="宋体" w:hint="default"/>
                <w:sz w:val="18"/>
                <w:szCs w:val="18"/>
              </w:rPr>
              <w:t>广告业务；智能网点系统、网络平台系统集成；人工智能产品的研发、集 成、技术服务及销售。</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五、其他有关资料" w:id="9"/>
      <w:bookmarkEnd w:id="9"/>
      <w:r>
        <w:rPr>
          <w:b w:val="0"/>
          <w:bCs w:val="0"/>
        </w:rPr>
      </w:r>
      <w:r>
        <w:rPr/>
        <w:t>五、其他有关资料</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公司聘请的会计师事务所</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北京市东城区永定门西滨河路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号楼中海地产广场西塔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管盛春、张丽</w:t>
            </w:r>
          </w:p>
        </w:tc>
      </w:tr>
    </w:tbl>
    <w:p>
      <w:pPr>
        <w:pStyle w:val="BodyText"/>
        <w:spacing w:line="240" w:lineRule="auto" w:before="51"/>
        <w:ind w:right="0"/>
        <w:jc w:val="left"/>
      </w:pPr>
      <w:r>
        <w:rPr/>
        <w:t>公司聘请的报告期内履行持续督导职责的保荐机构</w:t>
      </w:r>
    </w:p>
    <w:p>
      <w:pPr>
        <w:pStyle w:val="BodyText"/>
        <w:spacing w:line="338" w:lineRule="auto" w:before="117"/>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公司聘请的报告期内履行持续督导职责的财务顾问</w:t>
      </w:r>
    </w:p>
    <w:p>
      <w:pPr>
        <w:pStyle w:val="BodyText"/>
        <w:spacing w:line="240" w:lineRule="auto" w:before="42"/>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财务顾问名称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1" w:right="0"/>
              <w:jc w:val="left"/>
              <w:rPr>
                <w:rFonts w:ascii="宋体" w:hAnsi="宋体" w:cs="宋体" w:eastAsia="宋体" w:hint="default"/>
                <w:sz w:val="18"/>
                <w:szCs w:val="18"/>
              </w:rPr>
            </w:pPr>
            <w:r>
              <w:rPr>
                <w:rFonts w:ascii="宋体" w:hAnsi="宋体" w:cs="宋体" w:eastAsia="宋体" w:hint="default"/>
                <w:sz w:val="18"/>
                <w:szCs w:val="18"/>
              </w:rPr>
              <w:t>财务顾问办公地址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财务顾问主办人姓名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广发证券股份有限公司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3" w:right="197"/>
              <w:jc w:val="left"/>
              <w:rPr>
                <w:rFonts w:ascii="宋体" w:hAnsi="宋体" w:cs="宋体" w:eastAsia="宋体" w:hint="default"/>
                <w:sz w:val="18"/>
                <w:szCs w:val="18"/>
              </w:rPr>
            </w:pPr>
            <w:r>
              <w:rPr>
                <w:rFonts w:ascii="宋体" w:hAnsi="宋体" w:cs="宋体" w:eastAsia="宋体" w:hint="default"/>
                <w:sz w:val="18"/>
                <w:szCs w:val="18"/>
              </w:rPr>
              <w:t>广州市天河区马场路 </w:t>
            </w:r>
            <w:r>
              <w:rPr>
                <w:rFonts w:ascii="Times New Roman" w:hAnsi="Times New Roman" w:cs="Times New Roman" w:eastAsia="Times New Roman" w:hint="default"/>
                <w:sz w:val="18"/>
                <w:szCs w:val="18"/>
              </w:rPr>
              <w:t>26 </w:t>
            </w:r>
            <w:r>
              <w:rPr>
                <w:rFonts w:ascii="宋体" w:hAnsi="宋体" w:cs="宋体" w:eastAsia="宋体" w:hint="default"/>
                <w:sz w:val="18"/>
                <w:szCs w:val="18"/>
              </w:rPr>
              <w:t>号 广发证券大厦</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沈杰、胡方兴、汪柯</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自公司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年重大资产重组 实施完毕之日起，应当不少于 一个会计年度</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六、主要会计数据和财务指标" w:id="10"/>
      <w:bookmarkEnd w:id="10"/>
      <w:r>
        <w:rPr>
          <w:b w:val="0"/>
          <w:bCs w:val="0"/>
        </w:rPr>
      </w:r>
      <w:r>
        <w:rPr/>
        <w:t>六、主要会计数据和财务指标</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公司是否需追溯调整或重述以前年度会计数据</w:t>
      </w:r>
    </w:p>
    <w:p>
      <w:pPr>
        <w:pStyle w:val="BodyText"/>
        <w:spacing w:line="240" w:lineRule="auto" w:before="117"/>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1,573,372,443.96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1,041,124,027.40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51.12%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457,079,739.05</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179,662,312.16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132,014,114.22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36.09%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86,282,371.38</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168,871,748.21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116,852,786.00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44.52%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73,100,781.90</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192,916,089.62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9,357,006.37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1,961.73%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152,449,437.47</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31.82%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31.82%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14.86%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12.32%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13.88%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452" w:right="0"/>
              <w:jc w:val="left"/>
              <w:rPr>
                <w:rFonts w:ascii="Times New Roman" w:hAnsi="Times New Roman" w:cs="Times New Roman" w:eastAsia="Times New Roman" w:hint="default"/>
                <w:sz w:val="18"/>
                <w:szCs w:val="18"/>
              </w:rPr>
            </w:pPr>
            <w:r>
              <w:rPr>
                <w:rFonts w:ascii="Times New Roman"/>
                <w:sz w:val="18"/>
              </w:rPr>
              <w:t>2,269,113,061.88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3" w:right="0"/>
              <w:jc w:val="left"/>
              <w:rPr>
                <w:rFonts w:ascii="Times New Roman" w:hAnsi="Times New Roman" w:cs="Times New Roman" w:eastAsia="Times New Roman" w:hint="default"/>
                <w:sz w:val="18"/>
                <w:szCs w:val="18"/>
              </w:rPr>
            </w:pPr>
            <w:r>
              <w:rPr>
                <w:rFonts w:ascii="Times New Roman"/>
                <w:sz w:val="18"/>
              </w:rPr>
              <w:t>1,793,471,564.87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26.52%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1,263,249,944.80</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8"/>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5" w:right="0"/>
              <w:jc w:val="left"/>
              <w:rPr>
                <w:rFonts w:ascii="Times New Roman" w:hAnsi="Times New Roman" w:cs="Times New Roman" w:eastAsia="Times New Roman" w:hint="default"/>
                <w:sz w:val="18"/>
                <w:szCs w:val="18"/>
              </w:rPr>
            </w:pPr>
            <w:r>
              <w:rPr>
                <w:rFonts w:ascii="Times New Roman"/>
                <w:sz w:val="18"/>
              </w:rPr>
              <w:t>1,269,739,475.33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3" w:right="0"/>
              <w:jc w:val="left"/>
              <w:rPr>
                <w:rFonts w:ascii="Times New Roman" w:hAnsi="Times New Roman" w:cs="Times New Roman" w:eastAsia="Times New Roman" w:hint="default"/>
                <w:sz w:val="18"/>
                <w:szCs w:val="18"/>
              </w:rPr>
            </w:pPr>
            <w:r>
              <w:rPr>
                <w:rFonts w:ascii="Times New Roman"/>
                <w:sz w:val="18"/>
              </w:rPr>
              <w:t>1,142,252,490.73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11.16%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895,226,045.18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p>
      <w:pPr>
        <w:pStyle w:val="Heading2"/>
        <w:spacing w:line="240" w:lineRule="auto" w:before="26"/>
        <w:ind w:right="0"/>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13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公司报告期不存在按照国际会计准则与按照中国会计准则披露的财务报告中净利润和净资产差异情况。</w:t>
      </w:r>
    </w:p>
    <w:p>
      <w:pPr>
        <w:spacing w:line="240" w:lineRule="auto" w:before="1"/>
        <w:rPr>
          <w:rFonts w:ascii="宋体" w:hAnsi="宋体" w:cs="宋体" w:eastAsia="宋体" w:hint="default"/>
          <w:sz w:val="21"/>
          <w:szCs w:val="21"/>
        </w:rPr>
      </w:pPr>
    </w:p>
    <w:p>
      <w:pPr>
        <w:pStyle w:val="Heading4"/>
        <w:spacing w:line="240" w:lineRule="auto"/>
        <w:ind w:right="0"/>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pStyle w:val="BodyText"/>
        <w:spacing w:line="340" w:lineRule="auto"/>
        <w:ind w:right="26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公司报告期不存在按照境外会计准则与按照中国会计准则披露的财务报告中净利润和净资产差异情况。</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八、分季度主要财务指标" w:id="14"/>
      <w:bookmarkEnd w:id="14"/>
      <w:r>
        <w:rPr>
          <w:b w:val="0"/>
          <w:bCs w:val="0"/>
        </w:rPr>
      </w:r>
      <w:r>
        <w:rPr/>
        <w:t>八、分季度主要财务指标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598"/>
        <w:gridCol w:w="1752"/>
        <w:gridCol w:w="1739"/>
        <w:gridCol w:w="1740"/>
        <w:gridCol w:w="1729"/>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4"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409,941,860.00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381,850,007.84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318,185,355.83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463,395,220.29</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44,137,131.96</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38,989,548.04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36,660,185.96</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59,875,446.20</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40,855,556.24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36,880,664.33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33,329,512.21</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57,806,015.43</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-96,315,373.09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41,812,241.08</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-2,261,369.85</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249,680,591.48</w:t>
            </w:r>
          </w:p>
        </w:tc>
      </w:tr>
    </w:tbl>
    <w:p>
      <w:pPr>
        <w:spacing w:line="240" w:lineRule="auto" w:before="6"/>
        <w:rPr>
          <w:rFonts w:ascii="宋体" w:hAnsi="宋体" w:cs="宋体" w:eastAsia="宋体" w:hint="default"/>
          <w:sz w:val="27"/>
          <w:szCs w:val="27"/>
        </w:rPr>
      </w:pPr>
    </w:p>
    <w:p>
      <w:pPr>
        <w:pStyle w:val="BodyText"/>
        <w:spacing w:line="240" w:lineRule="auto" w:before="44"/>
        <w:ind w:right="0"/>
        <w:jc w:val="left"/>
      </w:pPr>
      <w:r>
        <w:rPr/>
        <w:t>上述财务指标或其加总数是否与公司已披露季度报告、半年度报告相关财务指标存在重大差异</w:t>
      </w:r>
    </w:p>
    <w:p>
      <w:pPr>
        <w:pStyle w:val="BodyText"/>
        <w:spacing w:line="240" w:lineRule="auto" w:before="116"/>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九、非经常性损益项目及金额" w:id="15"/>
      <w:bookmarkEnd w:id="15"/>
      <w:r>
        <w:rPr>
          <w:b w:val="0"/>
          <w:bCs w:val="0"/>
        </w:rPr>
      </w:r>
      <w:r>
        <w:rPr/>
        <w:t>九、非经常性损益项目及金额</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273"/>
        <w:gridCol w:w="1532"/>
        <w:gridCol w:w="1520"/>
        <w:gridCol w:w="1522"/>
        <w:gridCol w:w="1710"/>
      </w:tblGrid>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-258,706.01</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-144,607.02</w:t>
            </w:r>
            <w:r>
              <w:rPr>
                <w:rFonts w:ascii="Times New Roman"/>
                <w:sz w:val="18"/>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-550,869.24</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12,972,639.17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16,066,018.63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4,827,183.20</w:t>
            </w: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36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受的政府补助除外）</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89,670.44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396,448.51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1,300,016.30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1,500,000.00</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1,933,709.34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2,629,060.15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2,330,048.91</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79,330.31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27,471.75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64,691.87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10,790,563.95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15,161,328.22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13,181,589.48</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2" w:lineRule="auto" w:before="61"/>
        <w:ind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0"/>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02" w:lineRule="auto" w:before="101"/>
        <w:ind w:right="1115"/>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spacing w:after="0" w:line="302"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447" w:right="0"/>
        <w:jc w:val="left"/>
        <w:rPr>
          <w:b w:val="0"/>
          <w:bCs w:val="0"/>
        </w:rPr>
      </w:pPr>
      <w:bookmarkStart w:name="第三节 公司业务概要" w:id="16"/>
      <w:bookmarkEnd w:id="16"/>
      <w:r>
        <w:rPr>
          <w:b w:val="0"/>
          <w:bCs w:val="0"/>
        </w:rPr>
      </w:r>
      <w:bookmarkStart w:name="_bookmark2" w:id="17"/>
      <w:bookmarkEnd w:id="17"/>
      <w:r>
        <w:rPr>
          <w:b w:val="0"/>
          <w:bCs w:val="0"/>
        </w:rPr>
      </w:r>
      <w:r>
        <w:rPr/>
        <w:t>第三节</w:t>
      </w:r>
      <w:r>
        <w:rPr>
          <w:spacing w:val="-7"/>
        </w:rPr>
        <w:t> </w:t>
      </w:r>
      <w:r>
        <w:rPr/>
        <w:t>公司业务概要</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报告期内公司从事的主要业务" w:id="18"/>
      <w:bookmarkEnd w:id="18"/>
      <w:r>
        <w:rPr>
          <w:b w:val="0"/>
          <w:bCs w:val="0"/>
        </w:rPr>
      </w: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2"/>
        <w:jc w:val="left"/>
      </w:pPr>
      <w:r>
        <w:rPr/>
        <w:t>公司是否需要遵守特殊行业的披露要求 否</w:t>
      </w:r>
    </w:p>
    <w:p>
      <w:pPr>
        <w:pStyle w:val="BodyText"/>
        <w:spacing w:line="240" w:lineRule="auto" w:before="25"/>
        <w:ind w:left="514" w:right="0"/>
        <w:jc w:val="left"/>
      </w:pPr>
      <w:r>
        <w:rPr/>
        <w:t>（一）报告期内公司从事的主要业务</w:t>
      </w:r>
    </w:p>
    <w:p>
      <w:pPr>
        <w:spacing w:line="300" w:lineRule="auto" w:before="76"/>
        <w:ind w:left="514" w:right="1186"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主要业务</w:t>
      </w:r>
      <w:r>
        <w:rPr>
          <w:rFonts w:ascii="宋体" w:hAnsi="宋体" w:cs="宋体" w:eastAsia="宋体" w:hint="default"/>
          <w:b/>
          <w:bCs/>
          <w:w w:val="99"/>
          <w:sz w:val="18"/>
          <w:szCs w:val="18"/>
        </w:rPr>
        <w:t> </w:t>
      </w:r>
      <w:r>
        <w:rPr>
          <w:rFonts w:ascii="宋体" w:hAnsi="宋体" w:cs="宋体" w:eastAsia="宋体" w:hint="default"/>
          <w:sz w:val="18"/>
          <w:szCs w:val="18"/>
        </w:rPr>
        <w:t>公司为</w:t>
      </w:r>
      <w:r>
        <w:rPr>
          <w:rFonts w:ascii="宋体" w:hAnsi="宋体" w:cs="宋体" w:eastAsia="宋体" w:hint="default"/>
          <w:b/>
          <w:bCs/>
          <w:sz w:val="18"/>
          <w:szCs w:val="18"/>
        </w:rPr>
        <w:t>全球技术领先的</w:t>
      </w:r>
      <w:r>
        <w:rPr>
          <w:rFonts w:ascii="Times New Roman" w:hAnsi="Times New Roman" w:cs="Times New Roman" w:eastAsia="Times New Roman" w:hint="default"/>
          <w:b/>
          <w:bCs/>
          <w:sz w:val="18"/>
          <w:szCs w:val="18"/>
        </w:rPr>
        <w:t>LED</w:t>
      </w:r>
      <w:r>
        <w:rPr>
          <w:rFonts w:ascii="宋体" w:hAnsi="宋体" w:cs="宋体" w:eastAsia="宋体" w:hint="default"/>
          <w:b/>
          <w:bCs/>
          <w:sz w:val="18"/>
          <w:szCs w:val="18"/>
        </w:rPr>
        <w:t>应用及金融科技综合解决方案提供商</w:t>
      </w:r>
      <w:r>
        <w:rPr>
          <w:rFonts w:ascii="宋体" w:hAnsi="宋体" w:cs="宋体" w:eastAsia="宋体" w:hint="default"/>
          <w:sz w:val="18"/>
          <w:szCs w:val="18"/>
        </w:rPr>
        <w:t>，为全球客户提供需求分析、方案设计、研发制造及</w:t>
      </w:r>
    </w:p>
    <w:p>
      <w:pPr>
        <w:pStyle w:val="BodyText"/>
        <w:spacing w:line="307" w:lineRule="auto" w:before="13"/>
        <w:ind w:right="1032"/>
        <w:jc w:val="left"/>
        <w:rPr>
          <w:rFonts w:ascii="宋体" w:hAnsi="宋体" w:cs="宋体" w:eastAsia="宋体" w:hint="default"/>
        </w:rPr>
      </w:pPr>
      <w:r>
        <w:rPr/>
        <w:t>专业服务。</w:t>
      </w:r>
      <w:r>
        <w:rPr>
          <w:rFonts w:ascii="Times New Roman" w:hAnsi="Times New Roman" w:cs="Times New Roman" w:eastAsia="Times New Roman" w:hint="default"/>
        </w:rPr>
        <w:t>2018</w:t>
      </w:r>
      <w:r>
        <w:rPr/>
        <w:t>年，公司以</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战略为核心，积极探索新技术及新产品，在智慧营业厅建设、智能服务型机器人、智慧 </w:t>
      </w:r>
      <w:r>
        <w:rPr>
          <w:spacing w:val="-2"/>
        </w:rPr>
        <w:t>照明、</w:t>
      </w:r>
      <w:r>
        <w:rPr>
          <w:rFonts w:ascii="Times New Roman" w:hAnsi="Times New Roman" w:cs="Times New Roman" w:eastAsia="Times New Roman" w:hint="default"/>
          <w:spacing w:val="-2"/>
        </w:rPr>
        <w:t>LED</w:t>
      </w:r>
      <w:r>
        <w:rPr>
          <w:spacing w:val="-2"/>
        </w:rPr>
        <w:t>显示等业务领域取得了重大的突破及成就。公司基于对市场及客户需求的深入理解，针对不同的行业特性和应用</w:t>
      </w:r>
      <w:r>
        <w:rPr>
          <w:spacing w:val="-53"/>
        </w:rPr>
        <w:t> </w:t>
      </w:r>
      <w:r>
        <w:rPr>
          <w:spacing w:val="-53"/>
        </w:rPr>
      </w:r>
      <w:r>
        <w:rPr/>
        <w:t>场景，融入人工智能、大数据等前沿技术，推出了各种细分行业的解决方案及核心产品。其中，金融科技相关产品和服务，</w:t>
      </w:r>
      <w:r>
        <w:rPr>
          <w:spacing w:val="-85"/>
        </w:rPr>
        <w:t> </w:t>
      </w:r>
      <w:r>
        <w:rPr>
          <w:spacing w:val="-85"/>
        </w:rPr>
      </w:r>
      <w:r>
        <w:rPr/>
        <w:t>主要应用于银行、电信及政务等领域，致力于让人们的生活更便捷；</w:t>
      </w:r>
      <w:r>
        <w:rPr>
          <w:rFonts w:ascii="Times New Roman" w:hAnsi="Times New Roman" w:cs="Times New Roman" w:eastAsia="Times New Roman" w:hint="default"/>
        </w:rPr>
        <w:t>LED</w:t>
      </w:r>
      <w:r>
        <w:rPr/>
        <w:t>应用产品及服务主要应用于体育赛事、媒体广告、</w:t>
      </w:r>
      <w:r>
        <w:rPr>
          <w:spacing w:val="-78"/>
        </w:rPr>
        <w:t> </w:t>
      </w:r>
      <w:r>
        <w:rPr>
          <w:spacing w:val="-78"/>
        </w:rPr>
      </w:r>
      <w:r>
        <w:rPr>
          <w:spacing w:val="-2"/>
        </w:rPr>
        <w:t>演艺租赁、交通、电视台、指挥中心、体育场馆及智慧城市景观亮化等领域，致力于让人们的生活更亮丽。</w:t>
      </w:r>
      <w:r>
        <w:rPr>
          <w:rFonts w:ascii="宋体" w:hAnsi="宋体" w:cs="宋体" w:eastAsia="宋体" w:hint="default"/>
          <w:b/>
          <w:bCs/>
          <w:spacing w:val="-2"/>
        </w:rPr>
        <w:t>随着公司集成能</w:t>
      </w:r>
      <w:r>
        <w:rPr>
          <w:rFonts w:ascii="宋体" w:hAnsi="宋体" w:cs="宋体" w:eastAsia="宋体" w:hint="default"/>
          <w:b/>
          <w:bCs/>
          <w:spacing w:val="-73"/>
        </w:rPr>
        <w:t> </w:t>
      </w:r>
      <w:r>
        <w:rPr>
          <w:rFonts w:ascii="宋体" w:hAnsi="宋体" w:cs="宋体" w:eastAsia="宋体" w:hint="default"/>
          <w:b/>
          <w:bCs/>
          <w:spacing w:val="-73"/>
        </w:rPr>
      </w:r>
      <w:r>
        <w:rPr>
          <w:rFonts w:ascii="宋体" w:hAnsi="宋体" w:cs="宋体" w:eastAsia="宋体" w:hint="default"/>
          <w:b/>
          <w:bCs/>
        </w:rPr>
        <w:t>力的发展，公司逐步向智能视讯系统集成商转变。</w:t>
      </w:r>
      <w:r>
        <w:rPr>
          <w:rFonts w:ascii="宋体" w:hAnsi="宋体" w:cs="宋体" w:eastAsia="宋体" w:hint="default"/>
        </w:rPr>
      </w:r>
    </w:p>
    <w:p>
      <w:pPr>
        <w:pStyle w:val="Heading7"/>
        <w:spacing w:line="240" w:lineRule="auto" w:before="26"/>
        <w:ind w:right="0"/>
        <w:jc w:val="left"/>
        <w:rPr>
          <w:b w:val="0"/>
          <w:bCs w:val="0"/>
        </w:rPr>
      </w:pPr>
      <w:r>
        <w:rPr>
          <w:rFonts w:ascii="Times New Roman" w:hAnsi="Times New Roman" w:cs="Times New Roman" w:eastAsia="Times New Roman" w:hint="default"/>
        </w:rPr>
        <w:t>2.</w:t>
      </w:r>
      <w:r>
        <w:rPr>
          <w:rFonts w:ascii="Times New Roman" w:hAnsi="Times New Roman" w:cs="Times New Roman" w:eastAsia="Times New Roman" w:hint="default"/>
          <w:spacing w:val="29"/>
        </w:rPr>
        <w:t> </w:t>
      </w:r>
      <w:r>
        <w:rPr/>
        <w:t>主要解决方案</w:t>
      </w:r>
      <w:r>
        <w:rPr>
          <w:b w:val="0"/>
          <w:bCs w:val="0"/>
        </w:rPr>
      </w:r>
    </w:p>
    <w:p>
      <w:pPr>
        <w:pStyle w:val="Heading7"/>
        <w:spacing w:line="240" w:lineRule="auto"/>
        <w:ind w:right="0"/>
        <w:jc w:val="left"/>
        <w:rPr>
          <w:b w:val="0"/>
          <w:bCs w:val="0"/>
        </w:rPr>
      </w:pPr>
      <w:r>
        <w:rPr/>
        <w:t>（</w:t>
      </w:r>
      <w:r>
        <w:rPr>
          <w:rFonts w:ascii="Times New Roman" w:hAnsi="Times New Roman" w:cs="Times New Roman" w:eastAsia="Times New Roman" w:hint="default"/>
        </w:rPr>
        <w:t>1</w:t>
      </w:r>
      <w:r>
        <w:rPr/>
        <w:t>）金融科技：</w:t>
      </w:r>
      <w:r>
        <w:rPr>
          <w:b w:val="0"/>
          <w:bCs w:val="0"/>
        </w:rPr>
      </w:r>
    </w:p>
    <w:p>
      <w:pPr>
        <w:pStyle w:val="BodyText"/>
        <w:spacing w:line="300" w:lineRule="auto" w:before="63"/>
        <w:ind w:left="514" w:right="1117"/>
        <w:jc w:val="left"/>
      </w:pPr>
      <w:r>
        <w:rPr>
          <w:rFonts w:ascii="Times New Roman" w:hAnsi="Times New Roman" w:cs="Times New Roman" w:eastAsia="Times New Roman" w:hint="default"/>
        </w:rPr>
        <w:t>A.</w:t>
      </w:r>
      <w:r>
        <w:rPr/>
        <w:t>智慧银行系统解决方案 </w:t>
      </w:r>
      <w:r>
        <w:rPr>
          <w:spacing w:val="-5"/>
        </w:rPr>
        <w:t>公司智慧银行精准营销与智能播控平台是以电子、数字、视频显示、大数据分析等技术为主导，以网络视频、电视节目、</w:t>
      </w:r>
    </w:p>
    <w:p>
      <w:pPr>
        <w:pStyle w:val="BodyText"/>
        <w:spacing w:line="309" w:lineRule="auto" w:before="32"/>
        <w:ind w:right="1132"/>
        <w:jc w:val="both"/>
      </w:pPr>
      <w:r>
        <w:rPr>
          <w:spacing w:val="-2"/>
        </w:rPr>
        <w:t>平台制作等多媒体节目发布与显示的综合平台。智慧银行精准营销与智能播控平台包括智能播控管理系统、智能排队机管理</w:t>
      </w:r>
      <w:r>
        <w:rPr>
          <w:spacing w:val="-64"/>
        </w:rPr>
        <w:t> </w:t>
      </w:r>
      <w:r>
        <w:rPr>
          <w:spacing w:val="-64"/>
        </w:rPr>
      </w:r>
      <w:r>
        <w:rPr/>
        <w:t>系统、智能服务机器人系统、厅堂易管理系统、智能门禁管理系统等多个子系统构成。通过大数据和互动设备实现</w:t>
      </w:r>
      <w:r>
        <w:rPr>
          <w:rFonts w:ascii="Times New Roman" w:hAnsi="Times New Roman" w:cs="Times New Roman" w:eastAsia="Times New Roman" w:hint="default"/>
        </w:rPr>
        <w:t>“</w:t>
      </w:r>
      <w:r>
        <w:rPr/>
        <w:t>协同获 客、精准营销</w:t>
      </w:r>
      <w:r>
        <w:rPr>
          <w:rFonts w:ascii="Times New Roman" w:hAnsi="Times New Roman" w:cs="Times New Roman" w:eastAsia="Times New Roman" w:hint="default"/>
        </w:rPr>
        <w:t>”</w:t>
      </w:r>
      <w:r>
        <w:rPr/>
        <w:t>理念，提供</w:t>
      </w:r>
      <w:r>
        <w:rPr>
          <w:rFonts w:ascii="Times New Roman" w:hAnsi="Times New Roman" w:cs="Times New Roman" w:eastAsia="Times New Roman" w:hint="default"/>
        </w:rPr>
        <w:t>“</w:t>
      </w:r>
      <w:r>
        <w:rPr/>
        <w:t>视觉展现、互动体验、精准营销</w:t>
      </w:r>
      <w:r>
        <w:rPr>
          <w:rFonts w:ascii="Times New Roman" w:hAnsi="Times New Roman" w:cs="Times New Roman" w:eastAsia="Times New Roman" w:hint="default"/>
        </w:rPr>
        <w:t>”</w:t>
      </w:r>
      <w:r>
        <w:rPr/>
        <w:t>为目标的智慧银行整体解决方案。</w:t>
      </w:r>
    </w:p>
    <w:p>
      <w:pPr>
        <w:spacing w:line="240" w:lineRule="auto" w:before="5"/>
        <w:rPr>
          <w:rFonts w:ascii="宋体" w:hAnsi="宋体" w:cs="宋体" w:eastAsia="宋体" w:hint="default"/>
          <w:sz w:val="9"/>
          <w:szCs w:val="9"/>
        </w:rPr>
      </w:pPr>
    </w:p>
    <w:p>
      <w:pPr>
        <w:spacing w:line="4069" w:lineRule="exact"/>
        <w:ind w:left="1328"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4600832" cy="2584418"/>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3" cstate="print"/>
                    <a:stretch>
                      <a:fillRect/>
                    </a:stretch>
                  </pic:blipFill>
                  <pic:spPr>
                    <a:xfrm>
                      <a:off x="0" y="0"/>
                      <a:ext cx="4600832" cy="2584418"/>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6"/>
        <w:rPr>
          <w:rFonts w:ascii="宋体" w:hAnsi="宋体" w:cs="宋体" w:eastAsia="宋体" w:hint="default"/>
          <w:sz w:val="10"/>
          <w:szCs w:val="10"/>
        </w:rPr>
      </w:pPr>
    </w:p>
    <w:p>
      <w:pPr>
        <w:pStyle w:val="BodyText"/>
        <w:spacing w:line="240" w:lineRule="auto" w:before="44"/>
        <w:ind w:left="3067" w:right="4043"/>
        <w:jc w:val="center"/>
      </w:pPr>
      <w:r>
        <w:rPr/>
        <w:t>智慧银行系统解决方案</w:t>
      </w:r>
    </w:p>
    <w:p>
      <w:pPr>
        <w:pStyle w:val="BodyText"/>
        <w:spacing w:line="240" w:lineRule="auto" w:before="77"/>
        <w:ind w:left="514" w:right="0"/>
        <w:jc w:val="left"/>
      </w:pPr>
      <w:r>
        <w:rPr>
          <w:rFonts w:ascii="Times New Roman" w:hAnsi="Times New Roman" w:cs="Times New Roman" w:eastAsia="Times New Roman" w:hint="default"/>
        </w:rPr>
        <w:t>B.</w:t>
      </w:r>
      <w:r>
        <w:rPr/>
        <w:t>智能服务机器人解决方案</w:t>
      </w:r>
    </w:p>
    <w:p>
      <w:pPr>
        <w:pStyle w:val="BodyText"/>
        <w:spacing w:line="316" w:lineRule="auto" w:before="63"/>
        <w:ind w:right="1131" w:firstLine="290"/>
        <w:jc w:val="both"/>
      </w:pPr>
      <w:r>
        <w:rPr>
          <w:spacing w:val="-1"/>
        </w:rPr>
        <w:t>智能服务机器人是一款替代或辅助大堂经理进行厅堂服务的智能化设备，实现厅堂迎宾、业务咨询、分流引导、辅助营</w:t>
      </w:r>
      <w:r>
        <w:rPr/>
        <w:t> </w:t>
      </w:r>
      <w:r>
        <w:rPr>
          <w:spacing w:val="-2"/>
        </w:rPr>
        <w:t>销、娱乐互动等功能。基于云计算、大数据和物联网的智能机器人在各领域广泛应用，公司智能服务机器人根据银行业务系</w:t>
      </w:r>
      <w:r>
        <w:rPr>
          <w:spacing w:val="-66"/>
        </w:rPr>
        <w:t> </w:t>
      </w:r>
      <w:r>
        <w:rPr>
          <w:spacing w:val="-66"/>
        </w:rPr>
      </w:r>
      <w:r>
        <w:rPr>
          <w:spacing w:val="-2"/>
        </w:rPr>
        <w:t>统特点，基于公司智能网点设备核心技术和经验积累，融合语音语义、多媒体、运动控制、室内定位、云计算、图像识别等</w:t>
      </w:r>
      <w:r>
        <w:rPr>
          <w:spacing w:val="-67"/>
        </w:rPr>
        <w:t> </w:t>
      </w:r>
      <w:r>
        <w:rPr>
          <w:spacing w:val="-67"/>
        </w:rPr>
      </w:r>
      <w:r>
        <w:rPr/>
        <w:t>前沿技术，构建出完备的厅堂智能服务机器人整体解决方案，让银行网点开启</w:t>
      </w:r>
      <w:r>
        <w:rPr>
          <w:rFonts w:ascii="Times New Roman" w:hAnsi="Times New Roman" w:cs="Times New Roman" w:eastAsia="Times New Roman" w:hint="default"/>
        </w:rPr>
        <w:t>“</w:t>
      </w:r>
      <w:r>
        <w:rPr/>
        <w:t>智慧</w:t>
      </w:r>
      <w:r>
        <w:rPr>
          <w:rFonts w:ascii="Times New Roman" w:hAnsi="Times New Roman" w:cs="Times New Roman" w:eastAsia="Times New Roman" w:hint="default"/>
        </w:rPr>
        <w:t>”</w:t>
      </w:r>
      <w:r>
        <w:rPr/>
        <w:t>模式，提升网点业绩。</w:t>
      </w:r>
    </w:p>
    <w:p>
      <w:pPr>
        <w:spacing w:after="0" w:line="316"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spacing w:line="4077" w:lineRule="exact"/>
        <w:ind w:left="3023"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2465705" cy="2589466"/>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4" cstate="print"/>
                    <a:stretch>
                      <a:fillRect/>
                    </a:stretch>
                  </pic:blipFill>
                  <pic:spPr>
                    <a:xfrm>
                      <a:off x="0" y="0"/>
                      <a:ext cx="2465705" cy="2589466"/>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9"/>
        <w:rPr>
          <w:rFonts w:ascii="宋体" w:hAnsi="宋体" w:cs="宋体" w:eastAsia="宋体" w:hint="default"/>
          <w:sz w:val="8"/>
          <w:szCs w:val="8"/>
        </w:rPr>
      </w:pPr>
    </w:p>
    <w:p>
      <w:pPr>
        <w:pStyle w:val="BodyText"/>
        <w:spacing w:line="240" w:lineRule="auto" w:before="44"/>
        <w:ind w:left="3065" w:right="4043"/>
        <w:jc w:val="center"/>
      </w:pPr>
      <w:r>
        <w:rPr>
          <w:rFonts w:ascii="Times New Roman" w:hAnsi="Times New Roman" w:cs="Times New Roman" w:eastAsia="Times New Roman" w:hint="default"/>
        </w:rPr>
        <w:t>“</w:t>
      </w:r>
      <w:r>
        <w:rPr/>
        <w:t>小奥</w:t>
      </w:r>
      <w:r>
        <w:rPr>
          <w:rFonts w:ascii="Times New Roman" w:hAnsi="Times New Roman" w:cs="Times New Roman" w:eastAsia="Times New Roman" w:hint="default"/>
        </w:rPr>
        <w:t>”</w:t>
      </w:r>
      <w:r>
        <w:rPr/>
        <w:t>银行智能服务型机器人</w:t>
      </w:r>
    </w:p>
    <w:p>
      <w:pPr>
        <w:pStyle w:val="BodyText"/>
        <w:spacing w:line="240" w:lineRule="auto" w:before="63"/>
        <w:ind w:left="514" w:right="0"/>
        <w:jc w:val="left"/>
      </w:pPr>
      <w:r>
        <w:rPr>
          <w:rFonts w:ascii="Times New Roman" w:hAnsi="Times New Roman" w:cs="Times New Roman" w:eastAsia="Times New Roman" w:hint="default"/>
        </w:rPr>
        <w:t>C.</w:t>
      </w:r>
      <w:r>
        <w:rPr/>
        <w:t>智能信息管控平台解决方案</w:t>
      </w:r>
    </w:p>
    <w:p>
      <w:pPr>
        <w:pStyle w:val="BodyText"/>
        <w:spacing w:line="307" w:lineRule="auto" w:before="63"/>
        <w:ind w:right="1129" w:firstLine="360"/>
        <w:jc w:val="both"/>
      </w:pPr>
      <w:r>
        <w:rPr>
          <w:spacing w:val="-3"/>
        </w:rPr>
        <w:t>公司</w:t>
      </w:r>
      <w:r>
        <w:rPr>
          <w:rFonts w:ascii="Times New Roman" w:hAnsi="Times New Roman" w:cs="Times New Roman" w:eastAsia="Times New Roman" w:hint="default"/>
          <w:spacing w:val="-3"/>
        </w:rPr>
        <w:t>“</w:t>
      </w:r>
      <w:r>
        <w:rPr>
          <w:spacing w:val="-3"/>
        </w:rPr>
        <w:t>智能播控系统</w:t>
      </w:r>
      <w:r>
        <w:rPr>
          <w:rFonts w:ascii="Times New Roman" w:hAnsi="Times New Roman" w:cs="Times New Roman" w:eastAsia="Times New Roman" w:hint="default"/>
          <w:spacing w:val="-3"/>
        </w:rPr>
        <w:t>”</w:t>
      </w:r>
      <w:r>
        <w:rPr>
          <w:spacing w:val="-3"/>
        </w:rPr>
        <w:t>采用</w:t>
      </w:r>
      <w:r>
        <w:rPr>
          <w:rFonts w:ascii="Times New Roman" w:hAnsi="Times New Roman" w:cs="Times New Roman" w:eastAsia="Times New Roman" w:hint="default"/>
          <w:spacing w:val="-3"/>
        </w:rPr>
        <w:t>B/S</w:t>
      </w:r>
      <w:r>
        <w:rPr>
          <w:spacing w:val="-3"/>
        </w:rPr>
        <w:t>体系架构，是专业的信息宣传联播统一发布平台，可通过网络实现全辖范围的</w:t>
      </w:r>
      <w:r>
        <w:rPr>
          <w:rFonts w:ascii="Times New Roman" w:hAnsi="Times New Roman" w:cs="Times New Roman" w:eastAsia="Times New Roman" w:hint="default"/>
          <w:spacing w:val="-3"/>
        </w:rPr>
        <w:t>LED</w:t>
      </w:r>
      <w:r>
        <w:rPr>
          <w:spacing w:val="-3"/>
        </w:rPr>
        <w:t>全彩屏、</w:t>
      </w:r>
      <w:r>
        <w:rPr/>
        <w:t> </w:t>
      </w:r>
      <w:r>
        <w:rPr>
          <w:spacing w:val="-2"/>
        </w:rPr>
        <w:t>门楣屏、</w:t>
      </w:r>
      <w:r>
        <w:rPr>
          <w:rFonts w:ascii="Times New Roman" w:hAnsi="Times New Roman" w:cs="Times New Roman" w:eastAsia="Times New Roman" w:hint="default"/>
          <w:spacing w:val="-2"/>
        </w:rPr>
        <w:t>LCD</w:t>
      </w:r>
      <w:r>
        <w:rPr>
          <w:spacing w:val="-2"/>
        </w:rPr>
        <w:t>广告机、液晶电视等显示设备实时发送信息。提供基于</w:t>
      </w:r>
      <w:r>
        <w:rPr>
          <w:rFonts w:ascii="Times New Roman" w:hAnsi="Times New Roman" w:cs="Times New Roman" w:eastAsia="Times New Roman" w:hint="default"/>
          <w:spacing w:val="-2"/>
        </w:rPr>
        <w:t>“</w:t>
      </w:r>
      <w:r>
        <w:rPr>
          <w:spacing w:val="-2"/>
        </w:rPr>
        <w:t>实时统一、品牌宣传、资源整合</w:t>
      </w:r>
      <w:r>
        <w:rPr>
          <w:rFonts w:ascii="Times New Roman" w:hAnsi="Times New Roman" w:cs="Times New Roman" w:eastAsia="Times New Roman" w:hint="default"/>
          <w:spacing w:val="-2"/>
        </w:rPr>
        <w:t>”</w:t>
      </w:r>
      <w:r>
        <w:rPr>
          <w:spacing w:val="-2"/>
        </w:rPr>
        <w:t>为目标的网点信息发</w:t>
      </w:r>
      <w:r>
        <w:rPr>
          <w:spacing w:val="-42"/>
        </w:rPr>
        <w:t> </w:t>
      </w:r>
      <w:r>
        <w:rPr>
          <w:spacing w:val="-2"/>
        </w:rPr>
        <w:t>布解决方案，以新技术为主导，以提升网点智能化、智慧化服务体验为目标，实现营业厅宣传体验设备一体化、集中化和智</w:t>
      </w:r>
      <w:r>
        <w:rPr>
          <w:spacing w:val="-66"/>
        </w:rPr>
        <w:t> </w:t>
      </w:r>
      <w:r>
        <w:rPr>
          <w:spacing w:val="-66"/>
        </w:rPr>
      </w:r>
      <w:r>
        <w:rPr/>
        <w:t>能化的联播管理。</w:t>
      </w:r>
    </w:p>
    <w:p>
      <w:pPr>
        <w:spacing w:line="240" w:lineRule="auto" w:before="0"/>
        <w:rPr>
          <w:rFonts w:ascii="宋体" w:hAnsi="宋体" w:cs="宋体" w:eastAsia="宋体" w:hint="default"/>
          <w:sz w:val="11"/>
          <w:szCs w:val="11"/>
        </w:rPr>
      </w:pPr>
    </w:p>
    <w:p>
      <w:pPr>
        <w:spacing w:line="4131" w:lineRule="exact"/>
        <w:ind w:left="1328"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4670524" cy="2623566"/>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5" cstate="print"/>
                    <a:stretch>
                      <a:fillRect/>
                    </a:stretch>
                  </pic:blipFill>
                  <pic:spPr>
                    <a:xfrm>
                      <a:off x="0" y="0"/>
                      <a:ext cx="4670524" cy="2623566"/>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9"/>
        <w:rPr>
          <w:rFonts w:ascii="宋体" w:hAnsi="宋体" w:cs="宋体" w:eastAsia="宋体" w:hint="default"/>
          <w:sz w:val="5"/>
          <w:szCs w:val="5"/>
        </w:rPr>
      </w:pPr>
    </w:p>
    <w:p>
      <w:pPr>
        <w:pStyle w:val="BodyText"/>
        <w:spacing w:line="240" w:lineRule="auto" w:before="44"/>
        <w:ind w:left="3067" w:right="4043"/>
        <w:jc w:val="center"/>
      </w:pPr>
      <w:r>
        <w:rPr/>
        <w:t>智能信息管控平台解决方案</w:t>
      </w:r>
    </w:p>
    <w:p>
      <w:pPr>
        <w:pStyle w:val="BodyText"/>
        <w:spacing w:line="240" w:lineRule="auto" w:before="76"/>
        <w:ind w:left="514" w:right="0"/>
        <w:jc w:val="left"/>
      </w:pPr>
      <w:r>
        <w:rPr>
          <w:rFonts w:ascii="Times New Roman" w:hAnsi="Times New Roman" w:cs="Times New Roman" w:eastAsia="Times New Roman" w:hint="default"/>
        </w:rPr>
        <w:t>D.</w:t>
      </w:r>
      <w:r>
        <w:rPr/>
        <w:t>银行跨平台自助服务解决方案</w:t>
      </w:r>
    </w:p>
    <w:p>
      <w:pPr>
        <w:pStyle w:val="BodyText"/>
        <w:spacing w:line="316" w:lineRule="auto" w:before="63"/>
        <w:ind w:right="1131" w:firstLine="360"/>
        <w:jc w:val="both"/>
      </w:pPr>
      <w:r>
        <w:rPr>
          <w:spacing w:val="-2"/>
        </w:rPr>
        <w:t>公司金融科技板块控股孙公司奥拓翰明为国内银行客户提供全方位的银行跨平台自助服务解决方案，发挥数据集中、交</w:t>
      </w:r>
      <w:r>
        <w:rPr/>
        <w:t> </w:t>
      </w:r>
      <w:r>
        <w:rPr>
          <w:spacing w:val="-2"/>
        </w:rPr>
        <w:t>易总线设计的优势，实现后台数据的集约化加工服务，多渠道和跨平台的服务接口整合，提升客户服务体验，同时还有人脸</w:t>
      </w:r>
      <w:r>
        <w:rPr>
          <w:spacing w:val="-66"/>
        </w:rPr>
        <w:t> </w:t>
      </w:r>
      <w:r>
        <w:rPr>
          <w:spacing w:val="-66"/>
        </w:rPr>
      </w:r>
      <w:r>
        <w:rPr/>
        <w:t>识别、数字印章、在线语音协助等模块应用可集成。</w:t>
      </w:r>
    </w:p>
    <w:p>
      <w:pPr>
        <w:spacing w:after="0" w:line="316"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3"/>
          <w:szCs w:val="13"/>
        </w:rPr>
      </w:pPr>
    </w:p>
    <w:p>
      <w:pPr>
        <w:spacing w:line="3920" w:lineRule="exact"/>
        <w:ind w:left="1553" w:right="0" w:firstLine="0"/>
        <w:rPr>
          <w:rFonts w:ascii="宋体" w:hAnsi="宋体" w:cs="宋体" w:eastAsia="宋体" w:hint="default"/>
          <w:sz w:val="20"/>
          <w:szCs w:val="20"/>
        </w:rPr>
      </w:pPr>
      <w:r>
        <w:rPr>
          <w:rFonts w:ascii="宋体" w:hAnsi="宋体" w:cs="宋体" w:eastAsia="宋体" w:hint="default"/>
          <w:position w:val="-77"/>
          <w:sz w:val="20"/>
          <w:szCs w:val="20"/>
        </w:rPr>
        <w:drawing>
          <wp:inline distT="0" distB="0" distL="0" distR="0">
            <wp:extent cx="4349058" cy="2489263"/>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6" cstate="print"/>
                    <a:stretch>
                      <a:fillRect/>
                    </a:stretch>
                  </pic:blipFill>
                  <pic:spPr>
                    <a:xfrm>
                      <a:off x="0" y="0"/>
                      <a:ext cx="4349058" cy="2489263"/>
                    </a:xfrm>
                    <a:prstGeom prst="rect">
                      <a:avLst/>
                    </a:prstGeom>
                  </pic:spPr>
                </pic:pic>
              </a:graphicData>
            </a:graphic>
          </wp:inline>
        </w:drawing>
      </w:r>
      <w:r>
        <w:rPr>
          <w:rFonts w:ascii="宋体" w:hAnsi="宋体" w:cs="宋体" w:eastAsia="宋体" w:hint="default"/>
          <w:position w:val="-77"/>
          <w:sz w:val="20"/>
          <w:szCs w:val="20"/>
        </w:rPr>
      </w:r>
    </w:p>
    <w:p>
      <w:pPr>
        <w:pStyle w:val="BodyText"/>
        <w:spacing w:line="240" w:lineRule="auto" w:before="84"/>
        <w:ind w:left="3066" w:right="4043"/>
        <w:jc w:val="center"/>
      </w:pPr>
      <w:r>
        <w:rPr/>
        <w:t>银行跨平台自主服务解决方案图</w:t>
      </w:r>
    </w:p>
    <w:p>
      <w:pPr>
        <w:spacing w:line="240" w:lineRule="auto" w:before="0"/>
        <w:rPr>
          <w:rFonts w:ascii="宋体" w:hAnsi="宋体" w:cs="宋体" w:eastAsia="宋体" w:hint="default"/>
          <w:sz w:val="18"/>
          <w:szCs w:val="18"/>
        </w:rPr>
      </w:pPr>
    </w:p>
    <w:p>
      <w:pPr>
        <w:pStyle w:val="Heading7"/>
        <w:spacing w:line="240" w:lineRule="auto" w:before="153"/>
        <w:ind w:right="0"/>
        <w:jc w:val="left"/>
        <w:rPr>
          <w:b w:val="0"/>
          <w:bCs w:val="0"/>
        </w:rPr>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LED</w:t>
      </w:r>
      <w:r>
        <w:rPr/>
        <w:t>应用：</w:t>
      </w:r>
      <w:r>
        <w:rPr>
          <w:b w:val="0"/>
          <w:bCs w:val="0"/>
        </w:rPr>
      </w:r>
    </w:p>
    <w:p>
      <w:pPr>
        <w:pStyle w:val="BodyText"/>
        <w:spacing w:line="300" w:lineRule="auto" w:before="63"/>
        <w:ind w:left="514" w:right="1392"/>
        <w:jc w:val="left"/>
      </w:pPr>
      <w:r>
        <w:rPr>
          <w:rFonts w:ascii="Times New Roman" w:hAnsi="Times New Roman" w:cs="Times New Roman" w:eastAsia="Times New Roman" w:hint="default"/>
        </w:rPr>
        <w:t>A.</w:t>
      </w:r>
      <w:r>
        <w:rPr/>
        <w:t>大交通显示解决方案 公司为世界重要交通枢纽及交通运营场所提供稳定可靠的专业</w:t>
      </w:r>
      <w:r>
        <w:rPr>
          <w:rFonts w:ascii="Times New Roman" w:hAnsi="Times New Roman" w:cs="Times New Roman" w:eastAsia="Times New Roman" w:hint="default"/>
        </w:rPr>
        <w:t>LED</w:t>
      </w:r>
      <w:r>
        <w:rPr/>
        <w:t>显示系统，配合全球领先的</w:t>
      </w:r>
      <w:r>
        <w:rPr>
          <w:rFonts w:ascii="Times New Roman" w:hAnsi="Times New Roman" w:cs="Times New Roman" w:eastAsia="Times New Roman" w:hint="default"/>
        </w:rPr>
        <w:t>24bit</w:t>
      </w:r>
      <w:r>
        <w:rPr/>
        <w:t>颜色处理深度与</w:t>
      </w:r>
    </w:p>
    <w:p>
      <w:pPr>
        <w:pStyle w:val="BodyText"/>
        <w:spacing w:line="240" w:lineRule="auto" w:before="13"/>
        <w:ind w:right="0"/>
        <w:jc w:val="left"/>
      </w:pPr>
      <w:r>
        <w:rPr>
          <w:rFonts w:ascii="Times New Roman" w:hAnsi="Times New Roman" w:cs="Times New Roman" w:eastAsia="Times New Roman" w:hint="default"/>
        </w:rPr>
        <w:t>HDR</w:t>
      </w:r>
      <w:r>
        <w:rPr/>
        <w:t>高动态范围图像技术，为客户提升城市形象，彰显企业品牌内涵，提高广告回报效益。</w:t>
      </w:r>
    </w:p>
    <w:p>
      <w:pPr>
        <w:spacing w:line="240" w:lineRule="auto" w:before="3"/>
        <w:rPr>
          <w:rFonts w:ascii="宋体" w:hAnsi="宋体" w:cs="宋体" w:eastAsia="宋体" w:hint="default"/>
          <w:sz w:val="4"/>
          <w:szCs w:val="4"/>
        </w:rPr>
      </w:pPr>
    </w:p>
    <w:p>
      <w:pPr>
        <w:spacing w:line="4046" w:lineRule="exact"/>
        <w:ind w:left="1553"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4520353" cy="2569464"/>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7" cstate="print"/>
                    <a:stretch>
                      <a:fillRect/>
                    </a:stretch>
                  </pic:blipFill>
                  <pic:spPr>
                    <a:xfrm>
                      <a:off x="0" y="0"/>
                      <a:ext cx="4520353" cy="2569464"/>
                    </a:xfrm>
                    <a:prstGeom prst="rect">
                      <a:avLst/>
                    </a:prstGeom>
                  </pic:spPr>
                </pic:pic>
              </a:graphicData>
            </a:graphic>
          </wp:inline>
        </w:drawing>
      </w:r>
      <w:r>
        <w:rPr>
          <w:rFonts w:ascii="宋体" w:hAnsi="宋体" w:cs="宋体" w:eastAsia="宋体" w:hint="default"/>
          <w:position w:val="-80"/>
          <w:sz w:val="20"/>
          <w:szCs w:val="20"/>
        </w:rPr>
      </w:r>
    </w:p>
    <w:p>
      <w:pPr>
        <w:pStyle w:val="BodyText"/>
        <w:spacing w:line="240" w:lineRule="auto" w:before="18"/>
        <w:ind w:left="3067" w:right="4043"/>
        <w:jc w:val="center"/>
      </w:pPr>
      <w:r>
        <w:rPr/>
        <w:t>上海浦东机场项目</w:t>
      </w:r>
    </w:p>
    <w:p>
      <w:pPr>
        <w:pStyle w:val="BodyText"/>
        <w:spacing w:line="240" w:lineRule="auto" w:before="76"/>
        <w:ind w:left="514" w:right="0"/>
        <w:jc w:val="left"/>
      </w:pPr>
      <w:r>
        <w:rPr>
          <w:rFonts w:ascii="Times New Roman" w:hAnsi="Times New Roman" w:cs="Times New Roman" w:eastAsia="Times New Roman" w:hint="default"/>
        </w:rPr>
        <w:t>B.</w:t>
      </w:r>
      <w:r>
        <w:rPr/>
        <w:t>体育赛事显示解决方案</w:t>
      </w:r>
    </w:p>
    <w:p>
      <w:pPr>
        <w:pStyle w:val="BodyText"/>
        <w:spacing w:line="309" w:lineRule="auto" w:before="63"/>
        <w:ind w:right="1130" w:firstLine="360"/>
        <w:jc w:val="both"/>
      </w:pPr>
      <w:r>
        <w:rPr>
          <w:spacing w:val="-2"/>
        </w:rPr>
        <w:t>公司为世界顶级体育赛事，包括世界杯、欧洲杯、环法自行车赛、斯坦科维奇杯等，提供了专业的</w:t>
      </w:r>
      <w:r>
        <w:rPr>
          <w:rFonts w:ascii="Times New Roman" w:hAnsi="Times New Roman" w:cs="Times New Roman" w:eastAsia="Times New Roman" w:hint="default"/>
          <w:spacing w:val="-2"/>
        </w:rPr>
        <w:t>LED</w:t>
      </w:r>
      <w:r>
        <w:rPr>
          <w:spacing w:val="-2"/>
        </w:rPr>
        <w:t>广告及信息发布</w:t>
      </w:r>
      <w:r>
        <w:rPr/>
        <w:t> </w:t>
      </w:r>
      <w:r>
        <w:rPr>
          <w:spacing w:val="-2"/>
        </w:rPr>
        <w:t>显示解决方案。凭借着高刷新率、稳定可靠的系统，为球迷与运动员提供独特的视觉体验，特别是适合现代电视和自媒体转</w:t>
      </w:r>
      <w:r>
        <w:rPr>
          <w:spacing w:val="-66"/>
        </w:rPr>
        <w:t> </w:t>
      </w:r>
      <w:r>
        <w:rPr>
          <w:spacing w:val="-66"/>
        </w:rPr>
      </w:r>
      <w:r>
        <w:rPr/>
        <w:t>播。</w:t>
      </w:r>
    </w:p>
    <w:p>
      <w:pPr>
        <w:spacing w:after="0" w:line="309"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line="4054" w:lineRule="exact"/>
        <w:ind w:left="1883"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4514527" cy="2574321"/>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8" cstate="print"/>
                    <a:stretch>
                      <a:fillRect/>
                    </a:stretch>
                  </pic:blipFill>
                  <pic:spPr>
                    <a:xfrm>
                      <a:off x="0" y="0"/>
                      <a:ext cx="4514527" cy="2574321"/>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6"/>
        <w:rPr>
          <w:rFonts w:ascii="宋体" w:hAnsi="宋体" w:cs="宋体" w:eastAsia="宋体" w:hint="default"/>
          <w:sz w:val="10"/>
          <w:szCs w:val="10"/>
        </w:rPr>
      </w:pPr>
    </w:p>
    <w:p>
      <w:pPr>
        <w:pStyle w:val="BodyText"/>
        <w:spacing w:line="240" w:lineRule="auto" w:before="44"/>
        <w:ind w:left="3067" w:right="4043"/>
        <w:jc w:val="center"/>
      </w:pPr>
      <w:r>
        <w:rPr>
          <w:rFonts w:ascii="Times New Roman" w:hAnsi="Times New Roman" w:cs="Times New Roman" w:eastAsia="Times New Roman" w:hint="default"/>
        </w:rPr>
        <w:t>2018</w:t>
      </w:r>
      <w:r>
        <w:rPr/>
        <w:t>年深圳马拉松项目</w:t>
      </w:r>
    </w:p>
    <w:p>
      <w:pPr>
        <w:pStyle w:val="BodyText"/>
        <w:spacing w:line="240" w:lineRule="auto" w:before="63"/>
        <w:ind w:left="514" w:right="0"/>
        <w:jc w:val="left"/>
      </w:pPr>
      <w:r>
        <w:rPr>
          <w:rFonts w:ascii="Times New Roman" w:hAnsi="Times New Roman" w:cs="Times New Roman" w:eastAsia="Times New Roman" w:hint="default"/>
        </w:rPr>
        <w:t>C.</w:t>
      </w:r>
      <w:r>
        <w:rPr/>
        <w:t>租赁系列解决方案</w:t>
      </w:r>
    </w:p>
    <w:p>
      <w:pPr>
        <w:pStyle w:val="BodyText"/>
        <w:spacing w:line="300" w:lineRule="auto" w:before="63"/>
        <w:ind w:right="0" w:firstLine="360"/>
        <w:jc w:val="left"/>
      </w:pPr>
      <w:r>
        <w:rPr>
          <w:spacing w:val="-2"/>
        </w:rPr>
        <w:t>公司为世界顶级音乐会、产品发布会、车展、摄影棚等提供了专业的</w:t>
      </w:r>
      <w:r>
        <w:rPr>
          <w:rFonts w:ascii="Times New Roman" w:hAnsi="Times New Roman" w:cs="Times New Roman" w:eastAsia="Times New Roman" w:hint="default"/>
          <w:spacing w:val="-2"/>
        </w:rPr>
        <w:t>LED</w:t>
      </w:r>
      <w:r>
        <w:rPr>
          <w:spacing w:val="-2"/>
        </w:rPr>
        <w:t>显示解决方案，能灵活的根据客户需求及场合</w:t>
      </w:r>
      <w:r>
        <w:rPr/>
        <w:t> 进行个性化定制。</w:t>
      </w:r>
    </w:p>
    <w:p>
      <w:pPr>
        <w:spacing w:line="240" w:lineRule="auto" w:before="13"/>
        <w:rPr>
          <w:rFonts w:ascii="宋体" w:hAnsi="宋体" w:cs="宋体" w:eastAsia="宋体" w:hint="default"/>
          <w:sz w:val="7"/>
          <w:szCs w:val="7"/>
        </w:rPr>
      </w:pPr>
    </w:p>
    <w:p>
      <w:pPr>
        <w:spacing w:line="4224" w:lineRule="exact"/>
        <w:ind w:left="1823" w:right="0" w:firstLine="0"/>
        <w:rPr>
          <w:rFonts w:ascii="宋体" w:hAnsi="宋体" w:cs="宋体" w:eastAsia="宋体" w:hint="default"/>
          <w:sz w:val="20"/>
          <w:szCs w:val="20"/>
        </w:rPr>
      </w:pPr>
      <w:r>
        <w:rPr>
          <w:rFonts w:ascii="宋体" w:hAnsi="宋体" w:cs="宋体" w:eastAsia="宋体" w:hint="default"/>
          <w:position w:val="-83"/>
          <w:sz w:val="20"/>
          <w:szCs w:val="20"/>
        </w:rPr>
        <w:drawing>
          <wp:inline distT="0" distB="0" distL="0" distR="0">
            <wp:extent cx="4646847" cy="2682716"/>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9" cstate="print"/>
                    <a:stretch>
                      <a:fillRect/>
                    </a:stretch>
                  </pic:blipFill>
                  <pic:spPr>
                    <a:xfrm>
                      <a:off x="0" y="0"/>
                      <a:ext cx="4646847" cy="2682716"/>
                    </a:xfrm>
                    <a:prstGeom prst="rect">
                      <a:avLst/>
                    </a:prstGeom>
                  </pic:spPr>
                </pic:pic>
              </a:graphicData>
            </a:graphic>
          </wp:inline>
        </w:drawing>
      </w:r>
      <w:r>
        <w:rPr>
          <w:rFonts w:ascii="宋体" w:hAnsi="宋体" w:cs="宋体" w:eastAsia="宋体" w:hint="default"/>
          <w:position w:val="-83"/>
          <w:sz w:val="20"/>
          <w:szCs w:val="20"/>
        </w:rPr>
      </w:r>
    </w:p>
    <w:p>
      <w:pPr>
        <w:pStyle w:val="BodyText"/>
        <w:spacing w:line="240" w:lineRule="auto" w:before="71"/>
        <w:ind w:left="3067" w:right="4043"/>
        <w:jc w:val="center"/>
      </w:pPr>
      <w:r>
        <w:rPr/>
        <w:t>法兰克福车展奥迪展厅项目</w:t>
      </w:r>
    </w:p>
    <w:p>
      <w:pPr>
        <w:pStyle w:val="BodyText"/>
        <w:spacing w:line="240" w:lineRule="auto" w:before="76"/>
        <w:ind w:left="514" w:right="0"/>
        <w:jc w:val="left"/>
      </w:pPr>
      <w:r>
        <w:rPr>
          <w:rFonts w:ascii="Times New Roman" w:hAnsi="Times New Roman" w:cs="Times New Roman" w:eastAsia="Times New Roman" w:hint="default"/>
        </w:rPr>
        <w:t>D.</w:t>
      </w:r>
      <w:r>
        <w:rPr/>
        <w:t>会议室解决方案</w:t>
      </w:r>
    </w:p>
    <w:p>
      <w:pPr>
        <w:pStyle w:val="BodyText"/>
        <w:spacing w:line="300" w:lineRule="auto" w:before="63"/>
        <w:ind w:right="0" w:firstLine="360"/>
        <w:jc w:val="left"/>
      </w:pPr>
      <w:r>
        <w:rPr/>
        <w:t>公司为世界各种类型的会议中心提供无缝拼接高分辨率的</w:t>
      </w:r>
      <w:r>
        <w:rPr>
          <w:rFonts w:ascii="Times New Roman" w:hAnsi="Times New Roman" w:cs="Times New Roman" w:eastAsia="Times New Roman" w:hint="default"/>
        </w:rPr>
        <w:t>LED</w:t>
      </w:r>
      <w:r>
        <w:rPr/>
        <w:t>显示系统，包括新闻发布会及跨国会议等各类大型会议， 为客户打造最优的会议视觉体验效果，提升客户投资价值。</w:t>
      </w:r>
    </w:p>
    <w:p>
      <w:pPr>
        <w:spacing w:after="0" w:line="30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4082" w:lineRule="exact"/>
        <w:ind w:left="1328"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15415" cy="2592609"/>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20" cstate="print"/>
                    <a:stretch>
                      <a:fillRect/>
                    </a:stretch>
                  </pic:blipFill>
                  <pic:spPr>
                    <a:xfrm>
                      <a:off x="0" y="0"/>
                      <a:ext cx="4615415" cy="2592609"/>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6"/>
        <w:rPr>
          <w:rFonts w:ascii="宋体" w:hAnsi="宋体" w:cs="宋体" w:eastAsia="宋体" w:hint="default"/>
          <w:sz w:val="9"/>
          <w:szCs w:val="9"/>
        </w:rPr>
      </w:pPr>
    </w:p>
    <w:p>
      <w:pPr>
        <w:pStyle w:val="BodyText"/>
        <w:spacing w:line="240" w:lineRule="auto" w:before="44"/>
        <w:ind w:left="3067" w:right="4043"/>
        <w:jc w:val="center"/>
      </w:pPr>
      <w:r>
        <w:rPr/>
        <w:t>中国电信总部会议室项目</w:t>
      </w:r>
    </w:p>
    <w:p>
      <w:pPr>
        <w:pStyle w:val="BodyText"/>
        <w:spacing w:line="240" w:lineRule="auto" w:before="76"/>
        <w:ind w:left="514" w:right="0"/>
        <w:jc w:val="left"/>
      </w:pPr>
      <w:r>
        <w:rPr>
          <w:rFonts w:ascii="Times New Roman" w:hAnsi="Times New Roman" w:cs="Times New Roman" w:eastAsia="Times New Roman" w:hint="default"/>
        </w:rPr>
        <w:t>E.</w:t>
      </w:r>
      <w:r>
        <w:rPr/>
        <w:t>控制室解决方案</w:t>
      </w:r>
    </w:p>
    <w:p>
      <w:pPr>
        <w:pStyle w:val="BodyText"/>
        <w:spacing w:line="240" w:lineRule="auto" w:before="63"/>
        <w:ind w:left="514" w:right="0"/>
        <w:jc w:val="left"/>
      </w:pPr>
      <w:r>
        <w:rPr/>
        <w:t>公司为控制运营中心提供高端小间距</w:t>
      </w:r>
      <w:r>
        <w:rPr>
          <w:rFonts w:ascii="Times New Roman" w:hAnsi="Times New Roman" w:cs="Times New Roman" w:eastAsia="Times New Roman" w:hint="default"/>
        </w:rPr>
        <w:t>LED</w:t>
      </w:r>
      <w:r>
        <w:rPr/>
        <w:t>显示解决方案，适用于交通管理、网络监控等特殊领域。</w:t>
      </w:r>
    </w:p>
    <w:p>
      <w:pPr>
        <w:spacing w:line="240" w:lineRule="auto" w:before="11"/>
        <w:rPr>
          <w:rFonts w:ascii="宋体" w:hAnsi="宋体" w:cs="宋体" w:eastAsia="宋体" w:hint="default"/>
          <w:sz w:val="13"/>
          <w:szCs w:val="13"/>
        </w:rPr>
      </w:pPr>
    </w:p>
    <w:p>
      <w:pPr>
        <w:spacing w:line="4110" w:lineRule="exact"/>
        <w:ind w:left="1328"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629150" cy="2609850"/>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21" cstate="print"/>
                    <a:stretch>
                      <a:fillRect/>
                    </a:stretch>
                  </pic:blipFill>
                  <pic:spPr>
                    <a:xfrm>
                      <a:off x="0" y="0"/>
                      <a:ext cx="4629150" cy="2609850"/>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4"/>
        <w:rPr>
          <w:rFonts w:ascii="宋体" w:hAnsi="宋体" w:cs="宋体" w:eastAsia="宋体" w:hint="default"/>
          <w:sz w:val="7"/>
          <w:szCs w:val="7"/>
        </w:rPr>
      </w:pPr>
    </w:p>
    <w:p>
      <w:pPr>
        <w:pStyle w:val="BodyText"/>
        <w:spacing w:line="240" w:lineRule="auto" w:before="44"/>
        <w:ind w:left="3067" w:right="4043"/>
        <w:jc w:val="center"/>
      </w:pPr>
      <w:r>
        <w:rPr/>
        <w:t>某市智能交通指挥中心项目</w:t>
      </w:r>
    </w:p>
    <w:p>
      <w:pPr>
        <w:pStyle w:val="BodyText"/>
        <w:spacing w:line="240" w:lineRule="auto" w:before="76"/>
        <w:ind w:left="514" w:right="0"/>
        <w:jc w:val="left"/>
      </w:pPr>
      <w:r>
        <w:rPr>
          <w:rFonts w:ascii="Times New Roman" w:hAnsi="Times New Roman" w:cs="Times New Roman" w:eastAsia="Times New Roman" w:hint="default"/>
        </w:rPr>
        <w:t>F.</w:t>
      </w:r>
      <w:r>
        <w:rPr/>
        <w:t>数字媒体解决方案</w:t>
      </w:r>
    </w:p>
    <w:p>
      <w:pPr>
        <w:pStyle w:val="BodyText"/>
        <w:spacing w:line="300" w:lineRule="auto" w:before="63"/>
        <w:ind w:right="1118" w:firstLine="360"/>
        <w:jc w:val="left"/>
      </w:pPr>
      <w:r>
        <w:rPr/>
        <w:t>公司的</w:t>
      </w:r>
      <w:r>
        <w:rPr>
          <w:rFonts w:ascii="Times New Roman" w:hAnsi="Times New Roman" w:cs="Times New Roman" w:eastAsia="Times New Roman" w:hint="default"/>
        </w:rPr>
        <w:t>LED</w:t>
      </w:r>
      <w:r>
        <w:rPr/>
        <w:t>显示屏凭借着艳丽的颜色和出色的画质，闪耀世界各大城市，为游客提供最佳的视觉盛宴。公司广告行业 </w:t>
      </w:r>
      <w:r>
        <w:rPr>
          <w:rFonts w:ascii="Times New Roman" w:hAnsi="Times New Roman" w:cs="Times New Roman" w:eastAsia="Times New Roman" w:hint="default"/>
          <w:spacing w:val="-2"/>
        </w:rPr>
        <w:t>LED</w:t>
      </w:r>
      <w:r>
        <w:rPr>
          <w:spacing w:val="-2"/>
        </w:rPr>
        <w:t>解决方案已应用于纽约时代广场、伦敦滑铁卢火车站、伦敦火炬塔和其他世界尖端广告位，受到了客户和受众的高度赞</w:t>
      </w:r>
      <w:r>
        <w:rPr>
          <w:spacing w:val="-53"/>
        </w:rPr>
        <w:t> </w:t>
      </w:r>
      <w:r>
        <w:rPr>
          <w:spacing w:val="-53"/>
        </w:rPr>
      </w:r>
      <w:r>
        <w:rPr/>
        <w:t>赏。</w:t>
      </w:r>
    </w:p>
    <w:p>
      <w:pPr>
        <w:spacing w:after="0" w:line="30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line="4044" w:lineRule="exact"/>
        <w:ind w:left="1373"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4539073" cy="2568035"/>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22" cstate="print"/>
                    <a:stretch>
                      <a:fillRect/>
                    </a:stretch>
                  </pic:blipFill>
                  <pic:spPr>
                    <a:xfrm>
                      <a:off x="0" y="0"/>
                      <a:ext cx="4539073" cy="2568035"/>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3"/>
        <w:rPr>
          <w:rFonts w:ascii="宋体" w:hAnsi="宋体" w:cs="宋体" w:eastAsia="宋体" w:hint="default"/>
          <w:sz w:val="11"/>
          <w:szCs w:val="11"/>
        </w:rPr>
      </w:pPr>
    </w:p>
    <w:p>
      <w:pPr>
        <w:pStyle w:val="BodyText"/>
        <w:spacing w:line="240" w:lineRule="auto" w:before="44"/>
        <w:ind w:left="3067" w:right="4043"/>
        <w:jc w:val="center"/>
      </w:pPr>
      <w:r>
        <w:rPr/>
        <w:t>阿姆斯特丹户外媒体项目</w:t>
      </w:r>
    </w:p>
    <w:p>
      <w:pPr>
        <w:pStyle w:val="BodyText"/>
        <w:spacing w:line="240" w:lineRule="auto" w:before="76"/>
        <w:ind w:left="514" w:right="0"/>
        <w:jc w:val="left"/>
      </w:pPr>
      <w:r>
        <w:rPr>
          <w:rFonts w:ascii="Times New Roman" w:hAnsi="Times New Roman" w:cs="Times New Roman" w:eastAsia="Times New Roman" w:hint="default"/>
        </w:rPr>
        <w:t>G.</w:t>
      </w:r>
      <w:r>
        <w:rPr/>
        <w:t>电视演播室解决方案</w:t>
      </w:r>
    </w:p>
    <w:p>
      <w:pPr>
        <w:pStyle w:val="BodyText"/>
        <w:spacing w:line="309" w:lineRule="auto" w:before="63"/>
        <w:ind w:right="1118" w:firstLine="360"/>
        <w:jc w:val="left"/>
      </w:pPr>
      <w:r>
        <w:rPr/>
        <w:t>公司为电视广播行业打造的小间距解决方案，不仅能提供高饱和度、高颜色还原度、高对比度和高刷新率，还能解决 </w:t>
      </w:r>
      <w:r>
        <w:rPr>
          <w:rFonts w:ascii="Times New Roman" w:hAnsi="Times New Roman" w:cs="Times New Roman" w:eastAsia="Times New Roman" w:hint="default"/>
          <w:spacing w:val="-2"/>
        </w:rPr>
        <w:t>LCD</w:t>
      </w:r>
      <w:r>
        <w:rPr>
          <w:spacing w:val="-2"/>
        </w:rPr>
        <w:t>和</w:t>
      </w:r>
      <w:r>
        <w:rPr>
          <w:rFonts w:ascii="Times New Roman" w:hAnsi="Times New Roman" w:cs="Times New Roman" w:eastAsia="Times New Roman" w:hint="default"/>
          <w:spacing w:val="-2"/>
        </w:rPr>
        <w:t>DLP</w:t>
      </w:r>
      <w:r>
        <w:rPr>
          <w:spacing w:val="-2"/>
        </w:rPr>
        <w:t>产品在广电应用领域的固有缺陷，完美匹配广电行业的显示需求，为室内应用带来卓越的显示效果和零噪音运行</w:t>
      </w:r>
      <w:r>
        <w:rPr>
          <w:spacing w:val="-44"/>
        </w:rPr>
        <w:t> </w:t>
      </w:r>
      <w:r>
        <w:rPr>
          <w:spacing w:val="-44"/>
        </w:rPr>
      </w:r>
      <w:r>
        <w:rPr/>
        <w:t>环境。</w:t>
      </w:r>
    </w:p>
    <w:p>
      <w:pPr>
        <w:spacing w:line="240" w:lineRule="auto" w:before="0"/>
        <w:rPr>
          <w:rFonts w:ascii="宋体" w:hAnsi="宋体" w:cs="宋体" w:eastAsia="宋体" w:hint="default"/>
          <w:sz w:val="12"/>
          <w:szCs w:val="12"/>
        </w:rPr>
      </w:pPr>
    </w:p>
    <w:p>
      <w:pPr>
        <w:spacing w:line="4044" w:lineRule="exact"/>
        <w:ind w:left="1328"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4605406" cy="2568035"/>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23" cstate="print"/>
                    <a:stretch>
                      <a:fillRect/>
                    </a:stretch>
                  </pic:blipFill>
                  <pic:spPr>
                    <a:xfrm>
                      <a:off x="0" y="0"/>
                      <a:ext cx="4605406" cy="2568035"/>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3"/>
        <w:rPr>
          <w:rFonts w:ascii="宋体" w:hAnsi="宋体" w:cs="宋体" w:eastAsia="宋体" w:hint="default"/>
          <w:sz w:val="11"/>
          <w:szCs w:val="11"/>
        </w:rPr>
      </w:pPr>
    </w:p>
    <w:p>
      <w:pPr>
        <w:pStyle w:val="BodyText"/>
        <w:spacing w:line="240" w:lineRule="auto" w:before="44"/>
        <w:ind w:left="3067" w:right="4043"/>
        <w:jc w:val="center"/>
      </w:pPr>
      <w:r>
        <w:rPr/>
        <w:t>中央电视台财经频道项目</w:t>
      </w:r>
    </w:p>
    <w:p>
      <w:pPr>
        <w:pStyle w:val="BodyText"/>
        <w:spacing w:line="240" w:lineRule="auto" w:before="76"/>
        <w:ind w:left="514" w:right="0"/>
        <w:jc w:val="left"/>
      </w:pPr>
      <w:r>
        <w:rPr>
          <w:rFonts w:ascii="Times New Roman" w:hAnsi="Times New Roman" w:cs="Times New Roman" w:eastAsia="Times New Roman" w:hint="default"/>
        </w:rPr>
        <w:t>H.LED</w:t>
      </w:r>
      <w:r>
        <w:rPr/>
        <w:t>创意显示解决方案</w:t>
      </w:r>
    </w:p>
    <w:p>
      <w:pPr>
        <w:pStyle w:val="BodyText"/>
        <w:spacing w:line="300" w:lineRule="auto" w:before="63"/>
        <w:ind w:right="1032" w:firstLine="360"/>
        <w:jc w:val="left"/>
      </w:pPr>
      <w:r>
        <w:rPr/>
        <w:t>公司控股子公司奥拓立翔用科技与艺术结合的手法为国内外各大城市塑造唯美的</w:t>
      </w:r>
      <w:r>
        <w:rPr>
          <w:rFonts w:ascii="Times New Roman" w:hAnsi="Times New Roman" w:cs="Times New Roman" w:eastAsia="Times New Roman" w:hint="default"/>
        </w:rPr>
        <w:t>LED</w:t>
      </w:r>
      <w:r>
        <w:rPr/>
        <w:t>创意显示作品。奥拓立翔的</w:t>
      </w:r>
      <w:r>
        <w:rPr>
          <w:rFonts w:ascii="Times New Roman" w:hAnsi="Times New Roman" w:cs="Times New Roman" w:eastAsia="Times New Roman" w:hint="default"/>
        </w:rPr>
        <w:t>LED</w:t>
      </w:r>
      <w:r>
        <w:rPr/>
        <w:t>创 意显示解决方案已用于中国、美国、加拿大、墨西哥及英国等国家，多个作品成为各国重要城市地标，彰显城市个性文化。</w:t>
      </w:r>
    </w:p>
    <w:p>
      <w:pPr>
        <w:spacing w:after="0" w:line="30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line="4075" w:lineRule="exact"/>
        <w:ind w:left="1358"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585986" cy="2587942"/>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24" cstate="print"/>
                    <a:stretch>
                      <a:fillRect/>
                    </a:stretch>
                  </pic:blipFill>
                  <pic:spPr>
                    <a:xfrm>
                      <a:off x="0" y="0"/>
                      <a:ext cx="4585986" cy="2587942"/>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11"/>
        <w:rPr>
          <w:rFonts w:ascii="宋体" w:hAnsi="宋体" w:cs="宋体" w:eastAsia="宋体" w:hint="default"/>
          <w:sz w:val="8"/>
          <w:szCs w:val="8"/>
        </w:rPr>
      </w:pPr>
    </w:p>
    <w:p>
      <w:pPr>
        <w:pStyle w:val="BodyText"/>
        <w:spacing w:line="240" w:lineRule="auto" w:before="44"/>
        <w:ind w:left="3067" w:right="4043"/>
        <w:jc w:val="center"/>
      </w:pPr>
      <w:r>
        <w:rPr/>
        <w:t>遵义高铁新城天幕项目</w:t>
      </w:r>
    </w:p>
    <w:p>
      <w:pPr>
        <w:pStyle w:val="BodyText"/>
        <w:spacing w:line="240" w:lineRule="auto" w:before="76"/>
        <w:ind w:left="514" w:right="0"/>
        <w:jc w:val="left"/>
      </w:pPr>
      <w:r>
        <w:rPr>
          <w:rFonts w:ascii="宋体" w:hAnsi="宋体" w:cs="宋体" w:eastAsia="宋体" w:hint="default"/>
        </w:rPr>
        <w:t>I</w:t>
      </w:r>
      <w:r>
        <w:rPr>
          <w:rFonts w:ascii="Times New Roman" w:hAnsi="Times New Roman" w:cs="Times New Roman" w:eastAsia="Times New Roman" w:hint="default"/>
        </w:rPr>
        <w:t>.</w:t>
      </w:r>
      <w:r>
        <w:rPr/>
        <w:t>智慧照明解决方案</w:t>
      </w:r>
    </w:p>
    <w:p>
      <w:pPr>
        <w:pStyle w:val="BodyText"/>
        <w:spacing w:line="312" w:lineRule="auto" w:before="63"/>
        <w:ind w:right="0" w:firstLine="360"/>
        <w:jc w:val="left"/>
      </w:pPr>
      <w:r>
        <w:rPr>
          <w:spacing w:val="-2"/>
        </w:rPr>
        <w:t>公司全资子公司千百辉为国内各大城市提供专业的智慧照明解决方案，为城市的夜晚增添一道亮丽的风景，促进夜游经</w:t>
      </w:r>
      <w:r>
        <w:rPr/>
        <w:t> </w:t>
      </w:r>
      <w:r>
        <w:rPr>
          <w:spacing w:val="-4"/>
        </w:rPr>
        <w:t>济的快速发展。千百辉的智慧照明解决方案已应用于厦门金砖五国会议国际会议中心项目、青岛上合组织峰会城市亮化项目、</w:t>
      </w:r>
      <w:r>
        <w:rPr>
          <w:spacing w:val="-44"/>
        </w:rPr>
        <w:t> </w:t>
      </w:r>
      <w:r>
        <w:rPr>
          <w:spacing w:val="-44"/>
        </w:rPr>
      </w:r>
      <w:r>
        <w:rPr/>
        <w:t>西安灞河项目、深圳深南大道（福田段）景观照明提升项目东段、深南东路景观照明提升工程</w:t>
      </w:r>
      <w:r>
        <w:rPr>
          <w:rFonts w:ascii="Times New Roman" w:hAnsi="Times New Roman" w:cs="Times New Roman" w:eastAsia="Times New Roman" w:hint="default"/>
        </w:rPr>
        <w:t>I</w:t>
      </w:r>
      <w:r>
        <w:rPr/>
        <w:t>标段（罗湖段）、三亚市城 市景观亮化项目及长春奥林匹克公园项目等标杆项目，广受业主及游客的好评。</w:t>
      </w:r>
    </w:p>
    <w:p>
      <w:pPr>
        <w:spacing w:line="240" w:lineRule="auto" w:before="10"/>
        <w:rPr>
          <w:rFonts w:ascii="宋体" w:hAnsi="宋体" w:cs="宋体" w:eastAsia="宋体" w:hint="default"/>
          <w:sz w:val="10"/>
          <w:szCs w:val="10"/>
        </w:rPr>
      </w:pPr>
    </w:p>
    <w:p>
      <w:pPr>
        <w:spacing w:line="4144" w:lineRule="exact"/>
        <w:ind w:left="1313"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4677951" cy="2631948"/>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5" cstate="print"/>
                    <a:stretch>
                      <a:fillRect/>
                    </a:stretch>
                  </pic:blipFill>
                  <pic:spPr>
                    <a:xfrm>
                      <a:off x="0" y="0"/>
                      <a:ext cx="4677951" cy="2631948"/>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10"/>
        <w:rPr>
          <w:rFonts w:ascii="宋体" w:hAnsi="宋体" w:cs="宋体" w:eastAsia="宋体" w:hint="default"/>
          <w:sz w:val="4"/>
          <w:szCs w:val="4"/>
        </w:rPr>
      </w:pPr>
    </w:p>
    <w:p>
      <w:pPr>
        <w:pStyle w:val="BodyText"/>
        <w:spacing w:line="240" w:lineRule="auto" w:before="44"/>
        <w:ind w:left="3067" w:right="4043"/>
        <w:jc w:val="center"/>
      </w:pPr>
      <w:r>
        <w:rPr/>
        <w:t>西安灞河项目</w:t>
      </w:r>
    </w:p>
    <w:p>
      <w:pPr>
        <w:pStyle w:val="Heading7"/>
        <w:spacing w:line="240" w:lineRule="auto" w:before="76"/>
        <w:ind w:right="0"/>
        <w:jc w:val="left"/>
        <w:rPr>
          <w:b w:val="0"/>
          <w:bCs w:val="0"/>
        </w:rPr>
      </w:pPr>
      <w:r>
        <w:rPr>
          <w:rFonts w:ascii="Times New Roman" w:hAnsi="Times New Roman" w:cs="Times New Roman" w:eastAsia="Times New Roman" w:hint="default"/>
        </w:rPr>
        <w:t>3.</w:t>
      </w:r>
      <w:r>
        <w:rPr/>
        <w:t>主要销售模式和业绩驱动因素</w:t>
      </w:r>
      <w:r>
        <w:rPr>
          <w:b w:val="0"/>
          <w:bCs w:val="0"/>
        </w:rPr>
      </w:r>
    </w:p>
    <w:p>
      <w:pPr>
        <w:pStyle w:val="BodyText"/>
        <w:spacing w:line="300" w:lineRule="auto" w:before="63"/>
        <w:ind w:right="1130" w:firstLine="360"/>
        <w:jc w:val="both"/>
      </w:pPr>
      <w:r>
        <w:rPr/>
        <w:t>公司主要服务于大型跨国公司和世界</w:t>
      </w:r>
      <w:r>
        <w:rPr>
          <w:rFonts w:ascii="Times New Roman" w:hAnsi="Times New Roman" w:cs="Times New Roman" w:eastAsia="Times New Roman" w:hint="default"/>
        </w:rPr>
        <w:t>500</w:t>
      </w:r>
      <w:r>
        <w:rPr/>
        <w:t>强企业以及市政管理部门，也是国内大型国有银行和电信企业的入围供应商。 </w:t>
      </w:r>
      <w:r>
        <w:rPr>
          <w:spacing w:val="-2"/>
        </w:rPr>
        <w:t>公司通过</w:t>
      </w:r>
      <w:r>
        <w:rPr>
          <w:rFonts w:ascii="Times New Roman" w:hAnsi="Times New Roman" w:cs="Times New Roman" w:eastAsia="Times New Roman" w:hint="default"/>
          <w:spacing w:val="-2"/>
        </w:rPr>
        <w:t>26</w:t>
      </w:r>
      <w:r>
        <w:rPr>
          <w:spacing w:val="-2"/>
        </w:rPr>
        <w:t>年的市场沉淀及积累，形成了辐射全球的营销网络与售后服务体系，目前已经在美国、英国、德国、日本、中国</w:t>
      </w:r>
      <w:r>
        <w:rPr>
          <w:spacing w:val="-65"/>
        </w:rPr>
        <w:t> </w:t>
      </w:r>
      <w:r>
        <w:rPr>
          <w:spacing w:val="-65"/>
        </w:rPr>
      </w:r>
      <w:r>
        <w:rPr>
          <w:spacing w:val="-2"/>
        </w:rPr>
        <w:t>香港等地区设立了子公司、办事处等海外销售网络，同时，在国内各大城市建立了</w:t>
      </w:r>
      <w:r>
        <w:rPr>
          <w:rFonts w:ascii="Times New Roman" w:hAnsi="Times New Roman" w:cs="Times New Roman" w:eastAsia="Times New Roman" w:hint="default"/>
          <w:spacing w:val="-2"/>
        </w:rPr>
        <w:t>85</w:t>
      </w:r>
      <w:r>
        <w:rPr>
          <w:spacing w:val="-2"/>
        </w:rPr>
        <w:t>个销售办事处及售后服务网点。基于不</w:t>
      </w:r>
      <w:r>
        <w:rPr>
          <w:spacing w:val="-64"/>
        </w:rPr>
        <w:t> </w:t>
      </w:r>
      <w:r>
        <w:rPr>
          <w:spacing w:val="-64"/>
        </w:rPr>
      </w:r>
      <w:r>
        <w:rPr/>
        <w:t>同客户的属性和业务价值，建立了多元化的客户服务体系。</w:t>
      </w:r>
    </w:p>
    <w:p>
      <w:pPr>
        <w:pStyle w:val="BodyText"/>
        <w:spacing w:line="300" w:lineRule="auto" w:before="32"/>
        <w:ind w:right="1131" w:firstLine="360"/>
        <w:jc w:val="both"/>
      </w:pPr>
      <w:r>
        <w:rPr>
          <w:rFonts w:ascii="Times New Roman" w:hAnsi="Times New Roman" w:cs="Times New Roman" w:eastAsia="Times New Roman" w:hint="default"/>
          <w:spacing w:val="-2"/>
        </w:rPr>
        <w:t>LED</w:t>
      </w:r>
      <w:r>
        <w:rPr>
          <w:spacing w:val="-2"/>
        </w:rPr>
        <w:t>应用业务主要采取项目定制化和标准化相结合的方式，通过直销和代理销售相结合的模式进行销售，大型政府项目</w:t>
      </w:r>
      <w:r>
        <w:rPr>
          <w:w w:val="99"/>
        </w:rPr>
        <w:t> </w:t>
      </w:r>
      <w:r>
        <w:rPr/>
        <w:t>主要以公开招标活动进行销售；金融科技业务以总行集中采购及省级分行招标为主，主要采取直销方式。</w:t>
      </w:r>
    </w:p>
    <w:p>
      <w:pPr>
        <w:pStyle w:val="BodyText"/>
        <w:spacing w:line="300" w:lineRule="auto" w:before="72"/>
        <w:ind w:right="1131" w:firstLine="360"/>
        <w:jc w:val="both"/>
      </w:pPr>
      <w:r>
        <w:rPr>
          <w:spacing w:val="-2"/>
        </w:rPr>
        <w:t>公司坚持以客户需求为导向，秉承</w:t>
      </w:r>
      <w:r>
        <w:rPr>
          <w:rFonts w:ascii="Times New Roman" w:hAnsi="Times New Roman" w:cs="Times New Roman" w:eastAsia="Times New Roman" w:hint="default"/>
          <w:spacing w:val="-2"/>
        </w:rPr>
        <w:t>“</w:t>
      </w:r>
      <w:r>
        <w:rPr>
          <w:spacing w:val="-2"/>
        </w:rPr>
        <w:t>尽善尽美，创造精品，服务客户</w:t>
      </w:r>
      <w:r>
        <w:rPr>
          <w:rFonts w:ascii="Times New Roman" w:hAnsi="Times New Roman" w:cs="Times New Roman" w:eastAsia="Times New Roman" w:hint="default"/>
          <w:spacing w:val="-2"/>
        </w:rPr>
        <w:t>”</w:t>
      </w:r>
      <w:r>
        <w:rPr>
          <w:spacing w:val="-2"/>
        </w:rPr>
        <w:t>的企业理念，进一步提升公司产品及解决方案的竞</w:t>
      </w:r>
      <w:r>
        <w:rPr/>
        <w:t> 争力，加大对市场的投入，提升对大型客户全球化的服务能力，持续为客户提供优质及专业的服务。</w:t>
      </w:r>
    </w:p>
    <w:p>
      <w:pPr>
        <w:spacing w:after="0" w:line="300"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2" w:lineRule="auto" w:before="44"/>
        <w:ind w:right="1131" w:firstLine="360"/>
        <w:jc w:val="both"/>
      </w:pPr>
      <w:r>
        <w:rPr>
          <w:rFonts w:ascii="Times New Roman" w:hAnsi="Times New Roman" w:cs="Times New Roman" w:eastAsia="Times New Roman" w:hint="default"/>
          <w:spacing w:val="-1"/>
        </w:rPr>
        <w:t>2018</w:t>
      </w:r>
      <w:r>
        <w:rPr>
          <w:spacing w:val="-1"/>
        </w:rPr>
        <w:t>年，公司国内业务大幅增长，同比增幅</w:t>
      </w:r>
      <w:r>
        <w:rPr>
          <w:rFonts w:ascii="Times New Roman" w:hAnsi="Times New Roman" w:cs="Times New Roman" w:eastAsia="Times New Roman" w:hint="default"/>
          <w:spacing w:val="-1"/>
        </w:rPr>
        <w:t>56.09%</w:t>
      </w:r>
      <w:r>
        <w:rPr>
          <w:spacing w:val="-1"/>
        </w:rPr>
        <w:t>，合同额再创新高。虽然受</w:t>
      </w:r>
      <w:r>
        <w:rPr>
          <w:rFonts w:ascii="Times New Roman" w:hAnsi="Times New Roman" w:cs="Times New Roman" w:eastAsia="Times New Roman" w:hint="default"/>
          <w:spacing w:val="-1"/>
        </w:rPr>
        <w:t>337</w:t>
      </w:r>
      <w:r>
        <w:rPr>
          <w:spacing w:val="-1"/>
        </w:rPr>
        <w:t>事件及中美贸易摩擦的影响，公司海</w:t>
      </w:r>
      <w:r>
        <w:rPr/>
        <w:t> 外业务仍然保持稳步增长，相比</w:t>
      </w:r>
      <w:r>
        <w:rPr>
          <w:rFonts w:ascii="Times New Roman" w:hAnsi="Times New Roman" w:cs="Times New Roman" w:eastAsia="Times New Roman" w:hint="default"/>
        </w:rPr>
        <w:t>2017</w:t>
      </w:r>
      <w:r>
        <w:rPr/>
        <w:t>年海外业务增长</w:t>
      </w:r>
      <w:r>
        <w:rPr>
          <w:rFonts w:ascii="Times New Roman" w:hAnsi="Times New Roman" w:cs="Times New Roman" w:eastAsia="Times New Roman" w:hint="default"/>
        </w:rPr>
        <w:t>27.55%</w:t>
      </w:r>
      <w:r>
        <w:rPr/>
        <w:t>。</w:t>
      </w:r>
    </w:p>
    <w:p>
      <w:pPr>
        <w:pStyle w:val="BodyText"/>
        <w:spacing w:line="240" w:lineRule="auto" w:before="50"/>
        <w:ind w:left="514" w:right="0"/>
        <w:jc w:val="left"/>
      </w:pPr>
      <w:r>
        <w:rPr/>
        <w:t>报告期内，公司主要的业绩驱动因素包括：</w:t>
      </w:r>
    </w:p>
    <w:p>
      <w:pPr>
        <w:spacing w:line="302" w:lineRule="auto" w:before="116"/>
        <w:ind w:left="154" w:right="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年传统银行智能化转型升级需求上升，智慧银行建设市场逐渐兴起，国内银行的总体</w:t>
      </w:r>
      <w:r>
        <w:rPr>
          <w:rFonts w:ascii="Times New Roman" w:hAnsi="Times New Roman" w:cs="Times New Roman" w:eastAsia="Times New Roman" w:hint="default"/>
          <w:sz w:val="18"/>
          <w:szCs w:val="18"/>
        </w:rPr>
        <w:t>IT</w:t>
      </w:r>
      <w:r>
        <w:rPr>
          <w:rFonts w:ascii="宋体" w:hAnsi="宋体" w:cs="宋体" w:eastAsia="宋体" w:hint="default"/>
          <w:sz w:val="18"/>
          <w:szCs w:val="18"/>
        </w:rPr>
        <w:t>投资规模不断增加，</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年已超过</w:t>
      </w:r>
      <w:r>
        <w:rPr>
          <w:rFonts w:ascii="Times New Roman" w:hAnsi="Times New Roman" w:cs="Times New Roman" w:eastAsia="Times New Roman" w:hint="default"/>
          <w:sz w:val="18"/>
          <w:szCs w:val="18"/>
        </w:rPr>
        <w:t>1,000</w:t>
      </w:r>
      <w:r>
        <w:rPr>
          <w:rFonts w:ascii="宋体" w:hAnsi="宋体" w:cs="宋体" w:eastAsia="宋体" w:hint="default"/>
          <w:sz w:val="18"/>
          <w:szCs w:val="18"/>
        </w:rPr>
        <w:t>亿元规模，</w:t>
      </w:r>
      <w:r>
        <w:rPr>
          <w:rFonts w:ascii="宋体" w:hAnsi="宋体" w:cs="宋体" w:eastAsia="宋体" w:hint="default"/>
          <w:b/>
          <w:bCs/>
          <w:sz w:val="18"/>
          <w:szCs w:val="18"/>
        </w:rPr>
        <w:t>公司已服务于近</w:t>
      </w:r>
      <w:r>
        <w:rPr>
          <w:rFonts w:ascii="Times New Roman" w:hAnsi="Times New Roman" w:cs="Times New Roman" w:eastAsia="Times New Roman" w:hint="default"/>
          <w:b/>
          <w:bCs/>
          <w:sz w:val="18"/>
          <w:szCs w:val="18"/>
        </w:rPr>
        <w:t>7</w:t>
      </w:r>
      <w:r>
        <w:rPr>
          <w:rFonts w:ascii="宋体" w:hAnsi="宋体" w:cs="宋体" w:eastAsia="宋体" w:hint="default"/>
          <w:b/>
          <w:bCs/>
          <w:sz w:val="18"/>
          <w:szCs w:val="18"/>
        </w:rPr>
        <w:t>万个银行网点，具有行业先发优势及资源优势，深入了解银行客户需求</w:t>
      </w:r>
      <w:r>
        <w:rPr>
          <w:rFonts w:ascii="宋体" w:hAnsi="宋体" w:cs="宋体" w:eastAsia="宋体" w:hint="default"/>
          <w:sz w:val="18"/>
          <w:szCs w:val="18"/>
        </w:rPr>
        <w:t>。同时，</w:t>
      </w:r>
      <w:r>
        <w:rPr>
          <w:rFonts w:ascii="宋体" w:hAnsi="宋体" w:cs="宋体" w:eastAsia="宋体" w:hint="default"/>
          <w:spacing w:val="-73"/>
          <w:sz w:val="18"/>
          <w:szCs w:val="18"/>
        </w:rPr>
        <w:t> </w:t>
      </w:r>
      <w:r>
        <w:rPr>
          <w:rFonts w:ascii="宋体" w:hAnsi="宋体" w:cs="宋体" w:eastAsia="宋体" w:hint="default"/>
          <w:sz w:val="18"/>
          <w:szCs w:val="18"/>
        </w:rPr>
        <w:t>电信行业营业厅加速智能化转型，推动公司金融科技业务的快速发展。</w:t>
      </w:r>
    </w:p>
    <w:p>
      <w:pPr>
        <w:pStyle w:val="BodyText"/>
        <w:spacing w:line="319" w:lineRule="auto" w:before="68"/>
        <w:ind w:right="1131" w:firstLine="360"/>
        <w:jc w:val="both"/>
      </w:pPr>
      <w:r>
        <w:rPr>
          <w:spacing w:val="-2"/>
        </w:rPr>
        <w:t>智慧照明行业受各大国际性会议及大型纪念活动的驱动，行业仍然处于较好的景气度，未来行业朝着城市运营和视觉一</w:t>
      </w:r>
      <w:r>
        <w:rPr/>
        <w:t> 体化的方向转变，市场空间将进一步扩张。</w:t>
      </w:r>
    </w:p>
    <w:p>
      <w:pPr>
        <w:pStyle w:val="BodyText"/>
        <w:spacing w:line="302" w:lineRule="auto" w:before="55"/>
        <w:ind w:right="1132" w:firstLine="360"/>
        <w:jc w:val="both"/>
      </w:pPr>
      <w:r>
        <w:rPr/>
        <w:t>公司立足于优势行业及大客户，</w:t>
      </w:r>
      <w:r>
        <w:rPr>
          <w:rFonts w:ascii="Times New Roman" w:hAnsi="Times New Roman" w:cs="Times New Roman" w:eastAsia="Times New Roman" w:hint="default"/>
        </w:rPr>
        <w:t>MINI</w:t>
      </w:r>
      <w:r>
        <w:rPr>
          <w:rFonts w:ascii="Times New Roman" w:hAnsi="Times New Roman" w:cs="Times New Roman" w:eastAsia="Times New Roman" w:hint="default"/>
          <w:spacing w:val="21"/>
        </w:rPr>
        <w:t> </w:t>
      </w:r>
      <w:r>
        <w:rPr>
          <w:rFonts w:ascii="Times New Roman" w:hAnsi="Times New Roman" w:cs="Times New Roman" w:eastAsia="Times New Roman" w:hint="default"/>
        </w:rPr>
        <w:t>LED</w:t>
      </w:r>
      <w:r>
        <w:rPr/>
        <w:t>新产品的落地以及新技术的加持，进一步提升公司在</w:t>
      </w:r>
      <w:r>
        <w:rPr>
          <w:rFonts w:ascii="Times New Roman" w:hAnsi="Times New Roman" w:cs="Times New Roman" w:eastAsia="Times New Roman" w:hint="default"/>
        </w:rPr>
        <w:t>LED</w:t>
      </w:r>
      <w:r>
        <w:rPr/>
        <w:t>显示行业技术领先 的地位，同时为公司打开新的市场领域奠定了坚实的基础。</w:t>
      </w:r>
    </w:p>
    <w:p>
      <w:pPr>
        <w:spacing w:line="360" w:lineRule="auto" w:before="69"/>
        <w:ind w:left="514" w:right="0" w:hanging="66"/>
        <w:jc w:val="left"/>
        <w:rPr>
          <w:rFonts w:ascii="宋体" w:hAnsi="宋体" w:cs="宋体" w:eastAsia="宋体" w:hint="default"/>
          <w:sz w:val="18"/>
          <w:szCs w:val="18"/>
        </w:rPr>
      </w:pPr>
      <w:r>
        <w:rPr>
          <w:rFonts w:ascii="宋体" w:hAnsi="宋体" w:cs="宋体" w:eastAsia="宋体" w:hint="default"/>
          <w:b/>
          <w:bCs/>
          <w:sz w:val="18"/>
          <w:szCs w:val="18"/>
        </w:rPr>
        <w:t>（二）报告期内公司所属行业的发展阶段、周期性特点以及公司所处的行业地位</w:t>
      </w:r>
      <w:r>
        <w:rPr>
          <w:rFonts w:ascii="宋体" w:hAnsi="宋体" w:cs="宋体" w:eastAsia="宋体" w:hint="default"/>
          <w:b/>
          <w:bCs/>
          <w:w w:val="99"/>
          <w:sz w:val="18"/>
          <w:szCs w:val="18"/>
        </w:rPr>
        <w:t> </w:t>
      </w:r>
      <w:r>
        <w:rPr>
          <w:rFonts w:ascii="宋体" w:hAnsi="宋体" w:cs="宋体" w:eastAsia="宋体" w:hint="default"/>
          <w:spacing w:val="-2"/>
          <w:sz w:val="18"/>
          <w:szCs w:val="18"/>
        </w:rPr>
        <w:t>随着人们对服务需求及服务模式要求的转变，银行业也将逐渐由传统的人工服务向智能化服务转变，在建设转变期，银</w:t>
      </w:r>
    </w:p>
    <w:p>
      <w:pPr>
        <w:pStyle w:val="BodyText"/>
        <w:spacing w:line="234" w:lineRule="exact"/>
        <w:ind w:right="0"/>
        <w:jc w:val="both"/>
      </w:pPr>
      <w:r>
        <w:rPr/>
        <w:t>行的总体</w:t>
      </w:r>
      <w:r>
        <w:rPr>
          <w:rFonts w:ascii="Times New Roman" w:hAnsi="Times New Roman" w:cs="Times New Roman" w:eastAsia="Times New Roman" w:hint="default"/>
        </w:rPr>
        <w:t>IT</w:t>
      </w:r>
      <w:r>
        <w:rPr/>
        <w:t>投资规模不断增加，有效的推动银行向智慧银行的转型升级。</w:t>
      </w:r>
      <w:r>
        <w:rPr>
          <w:rFonts w:ascii="Times New Roman" w:hAnsi="Times New Roman" w:cs="Times New Roman" w:eastAsia="Times New Roman" w:hint="default"/>
        </w:rPr>
        <w:t>2018</w:t>
      </w:r>
      <w:r>
        <w:rPr/>
        <w:t>年，在技术支持和资本供应的助力下，智慧银</w:t>
      </w:r>
    </w:p>
    <w:p>
      <w:pPr>
        <w:spacing w:line="309" w:lineRule="auto" w:before="63"/>
        <w:ind w:left="154" w:right="1131" w:firstLine="0"/>
        <w:jc w:val="both"/>
        <w:rPr>
          <w:rFonts w:ascii="宋体" w:hAnsi="宋体" w:cs="宋体" w:eastAsia="宋体" w:hint="default"/>
          <w:sz w:val="18"/>
          <w:szCs w:val="18"/>
        </w:rPr>
      </w:pPr>
      <w:r>
        <w:rPr>
          <w:rFonts w:ascii="宋体" w:hAnsi="宋体" w:cs="宋体" w:eastAsia="宋体" w:hint="default"/>
          <w:spacing w:val="-2"/>
          <w:sz w:val="18"/>
          <w:szCs w:val="18"/>
        </w:rPr>
        <w:t>行成为各大银行主体转型升级的主要方向，公司也积极响应银行客户的智能化网点转型需求，研究及运用人工智能、大数据</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及区块链等技术融入到金融科技业务中，基于公司</w:t>
      </w:r>
      <w:r>
        <w:rPr>
          <w:rFonts w:ascii="Times New Roman" w:hAnsi="Times New Roman" w:cs="Times New Roman" w:eastAsia="Times New Roman" w:hint="default"/>
          <w:spacing w:val="-2"/>
          <w:sz w:val="18"/>
          <w:szCs w:val="18"/>
        </w:rPr>
        <w:t>26</w:t>
      </w:r>
      <w:r>
        <w:rPr>
          <w:rFonts w:ascii="宋体" w:hAnsi="宋体" w:cs="宋体" w:eastAsia="宋体" w:hint="default"/>
          <w:spacing w:val="-2"/>
          <w:sz w:val="18"/>
          <w:szCs w:val="18"/>
        </w:rPr>
        <w:t>年服务银行客户的基础及优势，为银行客户提供市场领先的智慧银行综</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合解决方案。公司已服务于近</w:t>
      </w:r>
      <w:r>
        <w:rPr>
          <w:rFonts w:ascii="Times New Roman" w:hAnsi="Times New Roman" w:cs="Times New Roman" w:eastAsia="Times New Roman" w:hint="default"/>
          <w:sz w:val="18"/>
          <w:szCs w:val="18"/>
        </w:rPr>
        <w:t>7</w:t>
      </w:r>
      <w:r>
        <w:rPr>
          <w:rFonts w:ascii="宋体" w:hAnsi="宋体" w:cs="宋体" w:eastAsia="宋体" w:hint="default"/>
          <w:sz w:val="18"/>
          <w:szCs w:val="18"/>
        </w:rPr>
        <w:t>万个银行网点，拥有丰富的智慧银行解决方案经验及资源，同时公司也是国内最早一批智慧</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银行解决方案提供商。</w:t>
      </w:r>
      <w:r>
        <w:rPr>
          <w:rFonts w:ascii="宋体" w:hAnsi="宋体" w:cs="宋体" w:eastAsia="宋体" w:hint="default"/>
          <w:b/>
          <w:bCs/>
          <w:sz w:val="18"/>
          <w:szCs w:val="18"/>
        </w:rPr>
        <w:t>报告期内，公司智慧银行、综合信息发布及指示系统等智能管理综合解决方案在金融科技行业中优</w:t>
      </w:r>
      <w:r>
        <w:rPr>
          <w:rFonts w:ascii="宋体" w:hAnsi="宋体" w:cs="宋体" w:eastAsia="宋体" w:hint="default"/>
          <w:b/>
          <w:bCs/>
          <w:spacing w:val="-34"/>
          <w:sz w:val="18"/>
          <w:szCs w:val="18"/>
        </w:rPr>
        <w:t> </w:t>
      </w:r>
      <w:r>
        <w:rPr>
          <w:rFonts w:ascii="宋体" w:hAnsi="宋体" w:cs="宋体" w:eastAsia="宋体" w:hint="default"/>
          <w:b/>
          <w:bCs/>
          <w:spacing w:val="-34"/>
          <w:sz w:val="18"/>
          <w:szCs w:val="18"/>
        </w:rPr>
      </w:r>
      <w:r>
        <w:rPr>
          <w:rFonts w:ascii="宋体" w:hAnsi="宋体" w:cs="宋体" w:eastAsia="宋体" w:hint="default"/>
          <w:b/>
          <w:bCs/>
          <w:sz w:val="18"/>
          <w:szCs w:val="18"/>
        </w:rPr>
        <w:t>势明显，国内市场占有率排名前列</w:t>
      </w:r>
      <w:r>
        <w:rPr>
          <w:rFonts w:ascii="宋体" w:hAnsi="宋体" w:cs="宋体" w:eastAsia="宋体" w:hint="default"/>
          <w:sz w:val="18"/>
          <w:szCs w:val="18"/>
        </w:rPr>
        <w:t>。</w:t>
      </w:r>
    </w:p>
    <w:p>
      <w:pPr>
        <w:pStyle w:val="BodyText"/>
        <w:spacing w:line="300" w:lineRule="auto" w:before="62"/>
        <w:ind w:right="1130" w:firstLine="360"/>
        <w:jc w:val="both"/>
      </w:pPr>
      <w:r>
        <w:rPr>
          <w:rFonts w:ascii="Times New Roman" w:hAnsi="Times New Roman" w:cs="Times New Roman" w:eastAsia="Times New Roman" w:hint="default"/>
        </w:rPr>
        <w:t>2018</w:t>
      </w:r>
      <w:r>
        <w:rPr/>
        <w:t>年，国内及国际经济环境发生变化，受</w:t>
      </w:r>
      <w:r>
        <w:rPr>
          <w:rFonts w:ascii="Times New Roman" w:hAnsi="Times New Roman" w:cs="Times New Roman" w:eastAsia="Times New Roman" w:hint="default"/>
        </w:rPr>
        <w:t>337</w:t>
      </w:r>
      <w:r>
        <w:rPr/>
        <w:t>事件及中美贸易摩擦的影响，对</w:t>
      </w:r>
      <w:r>
        <w:rPr>
          <w:rFonts w:ascii="Times New Roman" w:hAnsi="Times New Roman" w:cs="Times New Roman" w:eastAsia="Times New Roman" w:hint="default"/>
        </w:rPr>
        <w:t>LED</w:t>
      </w:r>
      <w:r>
        <w:rPr/>
        <w:t>显示行业企业海外业务拓展均产生 了一定的影响，但公司海外业务仍然保持稳步增长。</w:t>
      </w:r>
      <w:r>
        <w:rPr>
          <w:rFonts w:ascii="Times New Roman" w:hAnsi="Times New Roman" w:cs="Times New Roman" w:eastAsia="Times New Roman" w:hint="default"/>
        </w:rPr>
        <w:t>LED</w:t>
      </w:r>
      <w:r>
        <w:rPr/>
        <w:t>小间距显示屏逐渐成为市场主流产品， </w:t>
      </w:r>
      <w:r>
        <w:rPr>
          <w:rFonts w:ascii="Times New Roman" w:hAnsi="Times New Roman" w:cs="Times New Roman" w:eastAsia="Times New Roman" w:hint="default"/>
        </w:rPr>
        <w:t>MINI LED</w:t>
      </w:r>
      <w:r>
        <w:rPr/>
        <w:t>、</w:t>
      </w:r>
      <w:r>
        <w:rPr>
          <w:rFonts w:ascii="Times New Roman" w:hAnsi="Times New Roman" w:cs="Times New Roman" w:eastAsia="Times New Roman" w:hint="default"/>
        </w:rPr>
        <w:t>MICRO</w:t>
      </w:r>
      <w:r>
        <w:rPr>
          <w:rFonts w:ascii="Times New Roman" w:hAnsi="Times New Roman" w:cs="Times New Roman" w:eastAsia="Times New Roman" w:hint="default"/>
          <w:spacing w:val="24"/>
        </w:rPr>
        <w:t> </w:t>
      </w:r>
      <w:r>
        <w:rPr>
          <w:rFonts w:ascii="Times New Roman" w:hAnsi="Times New Roman" w:cs="Times New Roman" w:eastAsia="Times New Roman" w:hint="default"/>
        </w:rPr>
        <w:t>LED</w:t>
      </w:r>
      <w:r>
        <w:rPr>
          <w:rFonts w:ascii="Times New Roman" w:hAnsi="Times New Roman" w:cs="Times New Roman" w:eastAsia="Times New Roman" w:hint="default"/>
          <w:w w:val="99"/>
        </w:rPr>
        <w:t> </w:t>
      </w:r>
      <w:r>
        <w:rPr>
          <w:spacing w:val="-2"/>
        </w:rPr>
        <w:t>等技术不断获得突破，公司</w:t>
      </w:r>
      <w:r>
        <w:rPr>
          <w:rFonts w:ascii="Times New Roman" w:hAnsi="Times New Roman" w:cs="Times New Roman" w:eastAsia="Times New Roman" w:hint="default"/>
          <w:spacing w:val="-2"/>
        </w:rPr>
        <w:t>MINI</w:t>
      </w:r>
      <w:r>
        <w:rPr>
          <w:rFonts w:ascii="Times New Roman" w:hAnsi="Times New Roman" w:cs="Times New Roman" w:eastAsia="Times New Roman" w:hint="default"/>
          <w:spacing w:val="9"/>
        </w:rPr>
        <w:t> </w:t>
      </w:r>
      <w:r>
        <w:rPr>
          <w:rFonts w:ascii="Times New Roman" w:hAnsi="Times New Roman" w:cs="Times New Roman" w:eastAsia="Times New Roman" w:hint="default"/>
          <w:spacing w:val="-1"/>
        </w:rPr>
        <w:t>LED</w:t>
      </w:r>
      <w:r>
        <w:rPr>
          <w:spacing w:val="-1"/>
        </w:rPr>
        <w:t>产品采用了集成式多合一的</w:t>
      </w:r>
      <w:r>
        <w:rPr>
          <w:rFonts w:ascii="Times New Roman" w:hAnsi="Times New Roman" w:cs="Times New Roman" w:eastAsia="Times New Roman" w:hint="default"/>
          <w:spacing w:val="-1"/>
        </w:rPr>
        <w:t>MINI</w:t>
      </w:r>
      <w:r>
        <w:rPr>
          <w:rFonts w:ascii="Times New Roman" w:hAnsi="Times New Roman" w:cs="Times New Roman" w:eastAsia="Times New Roman" w:hint="default"/>
          <w:spacing w:val="9"/>
        </w:rPr>
        <w:t> </w:t>
      </w:r>
      <w:r>
        <w:rPr>
          <w:rFonts w:ascii="Times New Roman" w:hAnsi="Times New Roman" w:cs="Times New Roman" w:eastAsia="Times New Roman" w:hint="default"/>
          <w:spacing w:val="-2"/>
        </w:rPr>
        <w:t>LED</w:t>
      </w:r>
      <w:r>
        <w:rPr>
          <w:spacing w:val="-2"/>
        </w:rPr>
        <w:t>技术，在全球申请了</w:t>
      </w:r>
      <w:r>
        <w:rPr>
          <w:rFonts w:ascii="Times New Roman" w:hAnsi="Times New Roman" w:cs="Times New Roman" w:eastAsia="Times New Roman" w:hint="default"/>
          <w:spacing w:val="-2"/>
        </w:rPr>
        <w:t>30</w:t>
      </w:r>
      <w:r>
        <w:rPr>
          <w:spacing w:val="-2"/>
        </w:rPr>
        <w:t>多项专利，并成功在南京</w:t>
      </w:r>
      <w:r>
        <w:rPr>
          <w:spacing w:val="-84"/>
        </w:rPr>
        <w:t> </w:t>
      </w:r>
      <w:r>
        <w:rPr>
          <w:spacing w:val="-84"/>
        </w:rPr>
      </w:r>
      <w:r>
        <w:rPr/>
        <w:t>市公安局商用，奠定了公司在</w:t>
      </w:r>
      <w:r>
        <w:rPr>
          <w:rFonts w:ascii="Times New Roman" w:hAnsi="Times New Roman" w:cs="Times New Roman" w:eastAsia="Times New Roman" w:hint="default"/>
        </w:rPr>
        <w:t>MINI</w:t>
      </w:r>
      <w:r>
        <w:rPr>
          <w:rFonts w:ascii="Times New Roman" w:hAnsi="Times New Roman" w:cs="Times New Roman" w:eastAsia="Times New Roman" w:hint="default"/>
          <w:spacing w:val="11"/>
        </w:rPr>
        <w:t> </w:t>
      </w:r>
      <w:r>
        <w:rPr>
          <w:rFonts w:ascii="Times New Roman" w:hAnsi="Times New Roman" w:cs="Times New Roman" w:eastAsia="Times New Roman" w:hint="default"/>
        </w:rPr>
        <w:t>LED</w:t>
      </w:r>
      <w:r>
        <w:rPr/>
        <w:t>领域的技术领先地位；同时，公司推出了专为大型指挥控制中心、监控中心、演播 室等领域提供海量数据图像处理支持的智能图像处理阵列等新技术，</w:t>
      </w:r>
      <w:r>
        <w:rPr>
          <w:rFonts w:ascii="宋体" w:hAnsi="宋体" w:cs="宋体" w:eastAsia="宋体" w:hint="default"/>
          <w:b/>
          <w:bCs/>
        </w:rPr>
        <w:t>公司</w:t>
      </w:r>
      <w:r>
        <w:rPr>
          <w:rFonts w:ascii="Times New Roman" w:hAnsi="Times New Roman" w:cs="Times New Roman" w:eastAsia="Times New Roman" w:hint="default"/>
          <w:b/>
          <w:bCs/>
        </w:rPr>
        <w:t>LED</w:t>
      </w:r>
      <w:r>
        <w:rPr>
          <w:rFonts w:ascii="宋体" w:hAnsi="宋体" w:cs="宋体" w:eastAsia="宋体" w:hint="default"/>
          <w:b/>
          <w:bCs/>
        </w:rPr>
        <w:t>应用解决方案已在多个领域成为行业标杆</w:t>
      </w:r>
      <w:r>
        <w:rPr/>
        <w:t>。</w:t>
      </w:r>
    </w:p>
    <w:p>
      <w:pPr>
        <w:pStyle w:val="BodyText"/>
        <w:spacing w:line="309" w:lineRule="auto" w:before="52"/>
        <w:ind w:right="1130" w:firstLine="360"/>
        <w:jc w:val="both"/>
      </w:pPr>
      <w:r>
        <w:rPr>
          <w:rFonts w:ascii="Times New Roman" w:hAnsi="Times New Roman" w:cs="Times New Roman" w:eastAsia="Times New Roman" w:hint="default"/>
          <w:spacing w:val="-2"/>
        </w:rPr>
        <w:t>2018</w:t>
      </w:r>
      <w:r>
        <w:rPr>
          <w:spacing w:val="-2"/>
        </w:rPr>
        <w:t>年部分政府对于景观照明方面的财政支付能力下降，但智慧照明业务行业整体景气度仍然较高，公司抓住大型国际</w:t>
      </w:r>
      <w:r>
        <w:rPr/>
        <w:t> </w:t>
      </w:r>
      <w:r>
        <w:rPr>
          <w:spacing w:val="-5"/>
        </w:rPr>
        <w:t>性会议以及大型纪念活动等事件，甄选精品项目，承接了青岛上合组织峰会城市亮化项目、西安灞河项目、深圳深南大道（福</w:t>
      </w:r>
      <w:r>
        <w:rPr>
          <w:spacing w:val="-79"/>
        </w:rPr>
        <w:t> </w:t>
      </w:r>
      <w:r>
        <w:rPr>
          <w:spacing w:val="-79"/>
        </w:rPr>
      </w:r>
      <w:r>
        <w:rPr/>
        <w:t>田段）景观照明提升项目东段、深南东路景观照明提升工程</w:t>
      </w:r>
      <w:r>
        <w:rPr>
          <w:rFonts w:ascii="Times New Roman" w:hAnsi="Times New Roman" w:cs="Times New Roman" w:eastAsia="Times New Roman" w:hint="default"/>
        </w:rPr>
        <w:t>I</w:t>
      </w:r>
      <w:r>
        <w:rPr/>
        <w:t>标段（罗湖段）、三亚市城市景观亮化项目及长春奥林匹克公</w:t>
      </w:r>
      <w:r>
        <w:rPr>
          <w:spacing w:val="-54"/>
        </w:rPr>
        <w:t> </w:t>
      </w:r>
      <w:r>
        <w:rPr>
          <w:spacing w:val="-54"/>
        </w:rPr>
      </w:r>
      <w:r>
        <w:rPr/>
        <w:t>园项目等重点项目，进一步提升公司在行业的地位，</w:t>
      </w:r>
      <w:r>
        <w:rPr>
          <w:rFonts w:ascii="宋体" w:hAnsi="宋体" w:cs="宋体" w:eastAsia="宋体" w:hint="default"/>
          <w:b/>
          <w:bCs/>
        </w:rPr>
        <w:t>目前公司智慧照明业务规模在行业内处于第一梯队</w:t>
      </w:r>
      <w:r>
        <w:rPr/>
        <w:t>。未来智慧照明行</w:t>
      </w:r>
      <w:r>
        <w:rPr>
          <w:spacing w:val="-17"/>
        </w:rPr>
        <w:t> </w:t>
      </w:r>
      <w:r>
        <w:rPr>
          <w:spacing w:val="-17"/>
        </w:rPr>
      </w:r>
      <w:r>
        <w:rPr/>
        <w:t>业朝着城市运营及视觉一体化的方向转变，将成为智慧城市建设中重要的一环。</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2"/>
        <w:spacing w:line="240" w:lineRule="auto" w:before="156"/>
        <w:ind w:right="0"/>
        <w:jc w:val="both"/>
        <w:rPr>
          <w:b w:val="0"/>
          <w:bCs w:val="0"/>
        </w:rPr>
      </w:pPr>
      <w:bookmarkStart w:name="二、主要资产重大变化情况" w:id="19"/>
      <w:bookmarkEnd w:id="19"/>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both"/>
        <w:rPr>
          <w:b w:val="0"/>
          <w:bCs w:val="0"/>
        </w:rPr>
      </w:pPr>
      <w:bookmarkStart w:name="1、主要资产重大变化情况" w:id="20"/>
      <w:bookmarkEnd w:id="20"/>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029"/>
        <w:gridCol w:w="6529"/>
      </w:tblGrid>
      <w:tr>
        <w:trPr>
          <w:trHeight w:val="186" w:hRule="exact"/>
        </w:trPr>
        <w:tc>
          <w:tcPr>
            <w:tcW w:w="3029" w:type="dxa"/>
            <w:tcBorders>
              <w:top w:val="single" w:sz="4" w:space="0" w:color="000000"/>
              <w:left w:val="single" w:sz="4" w:space="0" w:color="000000"/>
              <w:bottom w:val="nil" w:sz="6" w:space="0" w:color="auto"/>
              <w:right w:val="single" w:sz="4" w:space="0" w:color="000000"/>
            </w:tcBorders>
            <w:shd w:val="clear" w:color="auto" w:fill="D2D2D2"/>
          </w:tcPr>
          <w:p>
            <w:pPr/>
          </w:p>
        </w:tc>
        <w:tc>
          <w:tcPr>
            <w:tcW w:w="652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0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29" w:type="dxa"/>
            <w:tcBorders>
              <w:top w:val="nil" w:sz="6" w:space="0" w:color="auto"/>
              <w:left w:val="single" w:sz="4" w:space="0" w:color="000000"/>
              <w:bottom w:val="single" w:sz="4" w:space="0" w:color="000000"/>
              <w:right w:val="single" w:sz="4" w:space="0" w:color="000000"/>
            </w:tcBorders>
            <w:shd w:val="clear" w:color="auto" w:fill="D2D2D2"/>
          </w:tcPr>
          <w:p>
            <w:pPr/>
          </w:p>
        </w:tc>
        <w:tc>
          <w:tcPr>
            <w:tcW w:w="652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新设武汉市奥拓智能科技有限公司，系本公司控股子公司</w:t>
            </w:r>
          </w:p>
        </w:tc>
      </w:tr>
      <w:tr>
        <w:trPr>
          <w:trHeight w:val="40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b/>
          <w:bCs/>
          <w:sz w:val="24"/>
          <w:szCs w:val="24"/>
        </w:rPr>
      </w:pPr>
    </w:p>
    <w:p>
      <w:pPr>
        <w:pStyle w:val="Heading4"/>
        <w:spacing w:line="240" w:lineRule="auto" w:before="35"/>
        <w:ind w:right="0"/>
        <w:jc w:val="left"/>
        <w:rPr>
          <w:b w:val="0"/>
          <w:bCs w:val="0"/>
        </w:rPr>
      </w:pPr>
      <w:bookmarkStart w:name="2、主要境外资产情况" w:id="21"/>
      <w:bookmarkEnd w:id="21"/>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三、核心竞争力分析" w:id="22"/>
      <w:bookmarkEnd w:id="22"/>
      <w:r>
        <w:rPr>
          <w:b w:val="0"/>
          <w:bCs w:val="0"/>
        </w:rPr>
      </w:r>
      <w:r>
        <w:rPr/>
        <w:t>三、核心竞争力分析</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spacing w:line="240" w:lineRule="auto" w:before="9"/>
        <w:rPr>
          <w:rFonts w:ascii="宋体" w:hAnsi="宋体" w:cs="宋体" w:eastAsia="宋体" w:hint="default"/>
          <w:sz w:val="9"/>
          <w:szCs w:val="9"/>
        </w:rPr>
      </w:pPr>
    </w:p>
    <w:p>
      <w:pPr>
        <w:spacing w:line="4772" w:lineRule="exact"/>
        <w:ind w:left="1786" w:right="0" w:firstLine="0"/>
        <w:rPr>
          <w:rFonts w:ascii="宋体" w:hAnsi="宋体" w:cs="宋体" w:eastAsia="宋体" w:hint="default"/>
          <w:sz w:val="20"/>
          <w:szCs w:val="20"/>
        </w:rPr>
      </w:pPr>
      <w:r>
        <w:rPr>
          <w:rFonts w:ascii="宋体" w:hAnsi="宋体" w:cs="宋体" w:eastAsia="宋体" w:hint="default"/>
          <w:position w:val="-94"/>
          <w:sz w:val="20"/>
          <w:szCs w:val="20"/>
        </w:rPr>
        <w:drawing>
          <wp:inline distT="0" distB="0" distL="0" distR="0">
            <wp:extent cx="4051866" cy="3030474"/>
            <wp:effectExtent l="0" t="0" r="0" b="0"/>
            <wp:docPr id="29" name="image16.png" descr=""/>
            <wp:cNvGraphicFramePr>
              <a:graphicFrameLocks noChangeAspect="1"/>
            </wp:cNvGraphicFramePr>
            <a:graphic>
              <a:graphicData uri="http://schemas.openxmlformats.org/drawingml/2006/picture">
                <pic:pic>
                  <pic:nvPicPr>
                    <pic:cNvPr id="30" name="image16.png"/>
                    <pic:cNvPicPr/>
                  </pic:nvPicPr>
                  <pic:blipFill>
                    <a:blip r:embed="rId26" cstate="print"/>
                    <a:stretch>
                      <a:fillRect/>
                    </a:stretch>
                  </pic:blipFill>
                  <pic:spPr>
                    <a:xfrm>
                      <a:off x="0" y="0"/>
                      <a:ext cx="4051866" cy="3030474"/>
                    </a:xfrm>
                    <a:prstGeom prst="rect">
                      <a:avLst/>
                    </a:prstGeom>
                  </pic:spPr>
                </pic:pic>
              </a:graphicData>
            </a:graphic>
          </wp:inline>
        </w:drawing>
      </w:r>
      <w:r>
        <w:rPr>
          <w:rFonts w:ascii="宋体" w:hAnsi="宋体" w:cs="宋体" w:eastAsia="宋体" w:hint="default"/>
          <w:position w:val="-94"/>
          <w:sz w:val="20"/>
          <w:szCs w:val="20"/>
        </w:rPr>
      </w:r>
    </w:p>
    <w:p>
      <w:pPr>
        <w:pStyle w:val="Heading7"/>
        <w:spacing w:line="240" w:lineRule="auto" w:before="121"/>
        <w:ind w:right="0"/>
        <w:jc w:val="left"/>
        <w:rPr>
          <w:b w:val="0"/>
          <w:bCs w:val="0"/>
        </w:rPr>
      </w:pPr>
      <w:r>
        <w:rPr>
          <w:rFonts w:ascii="Times New Roman" w:hAnsi="Times New Roman" w:cs="Times New Roman" w:eastAsia="Times New Roman" w:hint="default"/>
        </w:rPr>
        <w:t>1</w:t>
      </w:r>
      <w:r>
        <w:rPr/>
        <w:t>、行业领先的研发能力</w:t>
      </w:r>
      <w:r>
        <w:rPr>
          <w:b w:val="0"/>
          <w:bCs w:val="0"/>
        </w:rPr>
      </w:r>
    </w:p>
    <w:p>
      <w:pPr>
        <w:pStyle w:val="BodyText"/>
        <w:spacing w:line="309" w:lineRule="auto" w:before="103"/>
        <w:ind w:right="0" w:firstLine="360"/>
        <w:jc w:val="left"/>
      </w:pPr>
      <w:r>
        <w:rPr>
          <w:rFonts w:ascii="Times New Roman" w:hAnsi="Times New Roman" w:cs="Times New Roman" w:eastAsia="Times New Roman" w:hint="default"/>
        </w:rPr>
        <w:t>26</w:t>
      </w:r>
      <w:r>
        <w:rPr/>
        <w:t>年来，公司聚焦于为高端客户提供技术领先及创新的</w:t>
      </w:r>
      <w:r>
        <w:rPr>
          <w:rFonts w:ascii="Times New Roman" w:hAnsi="Times New Roman" w:cs="Times New Roman" w:eastAsia="Times New Roman" w:hint="default"/>
        </w:rPr>
        <w:t>LED</w:t>
      </w:r>
      <w:r>
        <w:rPr/>
        <w:t>应用及金融科技解决方案，组建了一支以技术创新为先导、 </w:t>
      </w:r>
      <w:r>
        <w:rPr>
          <w:spacing w:val="-2"/>
        </w:rPr>
        <w:t>实施技术领先型全球化发展战略的核心研发团队，并通过内生外延双轮驱动的模式不断吸纳优秀技术团队和领先技术，始终</w:t>
      </w:r>
      <w:r>
        <w:rPr>
          <w:spacing w:val="-64"/>
        </w:rPr>
        <w:t> </w:t>
      </w:r>
      <w:r>
        <w:rPr>
          <w:spacing w:val="-64"/>
        </w:rPr>
      </w:r>
      <w:r>
        <w:rPr/>
        <w:t>坚持自主开发、自主创新的研发道路。</w:t>
      </w:r>
    </w:p>
    <w:p>
      <w:pPr>
        <w:pStyle w:val="BodyText"/>
        <w:spacing w:line="307" w:lineRule="auto" w:before="62"/>
        <w:ind w:right="1027" w:firstLine="360"/>
        <w:jc w:val="left"/>
      </w:pPr>
      <w:r>
        <w:rPr/>
        <w:t>报告期内，公司围绕</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战略，加大研发投入，重视技术创新，提升研发成果转换效率，在</w:t>
      </w:r>
      <w:r>
        <w:rPr>
          <w:rFonts w:ascii="Times New Roman" w:hAnsi="Times New Roman" w:cs="Times New Roman" w:eastAsia="Times New Roman" w:hint="default"/>
        </w:rPr>
        <w:t>MINI</w:t>
      </w:r>
      <w:r>
        <w:rPr>
          <w:rFonts w:ascii="Times New Roman" w:hAnsi="Times New Roman" w:cs="Times New Roman" w:eastAsia="Times New Roman" w:hint="default"/>
          <w:spacing w:val="19"/>
        </w:rPr>
        <w:t> </w:t>
      </w:r>
      <w:r>
        <w:rPr>
          <w:rFonts w:ascii="Times New Roman" w:hAnsi="Times New Roman" w:cs="Times New Roman" w:eastAsia="Times New Roman" w:hint="default"/>
        </w:rPr>
        <w:t>LED</w:t>
      </w:r>
      <w:r>
        <w:rPr/>
        <w:t>、智慧银行、</w:t>
      </w:r>
      <w:r>
        <w:rPr>
          <w:w w:val="99"/>
        </w:rPr>
        <w:t> </w:t>
      </w:r>
      <w:r>
        <w:rPr>
          <w:spacing w:val="-2"/>
        </w:rPr>
        <w:t>智能服务型机器人、智能图像处理阵列、智能照明控制管理系统、区块链等领域取得了一批具有核心竞争力的知识产权，进</w:t>
      </w:r>
      <w:r>
        <w:rPr>
          <w:spacing w:val="-67"/>
        </w:rPr>
        <w:t> </w:t>
      </w:r>
      <w:r>
        <w:rPr>
          <w:spacing w:val="-67"/>
        </w:rPr>
      </w:r>
      <w:r>
        <w:rPr>
          <w:spacing w:val="-2"/>
        </w:rPr>
        <w:t>一步巩固公司产品和技术在行业的领先地位。同时，公司于</w:t>
      </w:r>
      <w:r>
        <w:rPr>
          <w:rFonts w:ascii="Times New Roman" w:hAnsi="Times New Roman" w:cs="Times New Roman" w:eastAsia="Times New Roman" w:hint="default"/>
          <w:spacing w:val="-2"/>
        </w:rPr>
        <w:t>2018</w:t>
      </w:r>
      <w:r>
        <w:rPr>
          <w:spacing w:val="-2"/>
        </w:rPr>
        <w:t>年末设立武汉市奥拓智能科技有限公司以及</w:t>
      </w:r>
      <w:r>
        <w:rPr>
          <w:rFonts w:ascii="Times New Roman" w:hAnsi="Times New Roman" w:cs="Times New Roman" w:eastAsia="Times New Roman" w:hint="default"/>
          <w:spacing w:val="-2"/>
        </w:rPr>
        <w:t>2019</w:t>
      </w:r>
      <w:r>
        <w:rPr>
          <w:spacing w:val="-2"/>
        </w:rPr>
        <w:t>年初设立智</w:t>
      </w:r>
      <w:r>
        <w:rPr>
          <w:spacing w:val="-57"/>
        </w:rPr>
        <w:t> </w:t>
      </w:r>
      <w:r>
        <w:rPr/>
        <w:t>能视讯技术研究院，以研究院为研发创新平台，武汉奥拓为软件开发中心，连接金融科技、</w:t>
      </w:r>
      <w:r>
        <w:rPr>
          <w:rFonts w:ascii="Times New Roman" w:hAnsi="Times New Roman" w:cs="Times New Roman" w:eastAsia="Times New Roman" w:hint="default"/>
        </w:rPr>
        <w:t>LED</w:t>
      </w:r>
      <w:r>
        <w:rPr/>
        <w:t>显示及智慧照明三大业务，</w:t>
      </w:r>
      <w:r>
        <w:rPr>
          <w:spacing w:val="-75"/>
        </w:rPr>
        <w:t> </w:t>
      </w:r>
      <w:r>
        <w:rPr>
          <w:spacing w:val="-75"/>
        </w:rPr>
      </w:r>
      <w:r>
        <w:rPr>
          <w:spacing w:val="-2"/>
        </w:rPr>
        <w:t>提升公司的智能化和集成化水平，配合公司深圳、惠州、南京、上海等地的研发基地，形成公司技术研发及科研合作的全国</w:t>
      </w:r>
      <w:r>
        <w:rPr>
          <w:spacing w:val="-67"/>
        </w:rPr>
        <w:t> </w:t>
      </w:r>
      <w:r>
        <w:rPr>
          <w:spacing w:val="-67"/>
        </w:rPr>
      </w:r>
      <w:r>
        <w:rPr/>
        <w:t>性辐射网络，通过技术创新引领公司快速发展。报告期内，公司研发投入</w:t>
      </w:r>
      <w:r>
        <w:rPr>
          <w:rFonts w:ascii="Times New Roman" w:hAnsi="Times New Roman" w:cs="Times New Roman" w:eastAsia="Times New Roman" w:hint="default"/>
        </w:rPr>
        <w:t>9,003</w:t>
      </w:r>
      <w:r>
        <w:rPr/>
        <w:t>万元，占</w:t>
      </w:r>
      <w:r>
        <w:rPr>
          <w:rFonts w:ascii="Times New Roman" w:hAnsi="Times New Roman" w:cs="Times New Roman" w:eastAsia="Times New Roman" w:hint="default"/>
        </w:rPr>
        <w:t>2018</w:t>
      </w:r>
      <w:r>
        <w:rPr/>
        <w:t>年营业收入的比例超过</w:t>
      </w:r>
      <w:r>
        <w:rPr>
          <w:rFonts w:ascii="Times New Roman" w:hAnsi="Times New Roman" w:cs="Times New Roman" w:eastAsia="Times New Roman" w:hint="default"/>
        </w:rPr>
        <w:t>5.72%</w:t>
      </w:r>
      <w:r>
        <w:rPr/>
        <w:t>，</w:t>
      </w:r>
      <w:r>
        <w:rPr>
          <w:spacing w:val="-58"/>
        </w:rPr>
        <w:t> </w:t>
      </w:r>
      <w:r>
        <w:rPr/>
        <w:t>相比去年同期增长了</w:t>
      </w:r>
      <w:r>
        <w:rPr>
          <w:rFonts w:ascii="Times New Roman" w:hAnsi="Times New Roman" w:cs="Times New Roman" w:eastAsia="Times New Roman" w:hint="default"/>
        </w:rPr>
        <w:t>33.39%</w:t>
      </w:r>
      <w:r>
        <w:rPr/>
        <w:t>。</w:t>
      </w:r>
    </w:p>
    <w:p>
      <w:pPr>
        <w:pStyle w:val="BodyText"/>
        <w:spacing w:line="309" w:lineRule="auto" w:before="46"/>
        <w:ind w:right="1129" w:firstLine="360"/>
        <w:jc w:val="both"/>
      </w:pPr>
      <w:r>
        <w:rPr>
          <w:spacing w:val="-2"/>
        </w:rPr>
        <w:t>公司作为科技创新型上市公司，重视研发创新和投入，注重知识产权保护和管理。报告期内，公司及控股子公司共获得</w:t>
      </w:r>
      <w:r>
        <w:rPr/>
        <w:t> </w:t>
      </w:r>
      <w:r>
        <w:rPr>
          <w:spacing w:val="-1"/>
        </w:rPr>
        <w:t>国内专利</w:t>
      </w:r>
      <w:r>
        <w:rPr>
          <w:rFonts w:ascii="Times New Roman" w:hAnsi="Times New Roman" w:cs="Times New Roman" w:eastAsia="Times New Roman" w:hint="default"/>
          <w:spacing w:val="-1"/>
        </w:rPr>
        <w:t>55</w:t>
      </w:r>
      <w:r>
        <w:rPr>
          <w:spacing w:val="-1"/>
        </w:rPr>
        <w:t>项，其中发明专利</w:t>
      </w:r>
      <w:r>
        <w:rPr>
          <w:rFonts w:ascii="Times New Roman" w:hAnsi="Times New Roman" w:cs="Times New Roman" w:eastAsia="Times New Roman" w:hint="default"/>
          <w:spacing w:val="-1"/>
        </w:rPr>
        <w:t>8</w:t>
      </w:r>
      <w:r>
        <w:rPr>
          <w:spacing w:val="-1"/>
        </w:rPr>
        <w:t>项；国际发明专利</w:t>
      </w:r>
      <w:r>
        <w:rPr>
          <w:rFonts w:ascii="Times New Roman" w:hAnsi="Times New Roman" w:cs="Times New Roman" w:eastAsia="Times New Roman" w:hint="default"/>
          <w:spacing w:val="-1"/>
        </w:rPr>
        <w:t>2</w:t>
      </w:r>
      <w:r>
        <w:rPr>
          <w:spacing w:val="-1"/>
        </w:rPr>
        <w:t>项；提交</w:t>
      </w:r>
      <w:r>
        <w:rPr>
          <w:rFonts w:ascii="Times New Roman" w:hAnsi="Times New Roman" w:cs="Times New Roman" w:eastAsia="Times New Roman" w:hint="default"/>
          <w:spacing w:val="-1"/>
        </w:rPr>
        <w:t>PCT</w:t>
      </w:r>
      <w:r>
        <w:rPr>
          <w:spacing w:val="-1"/>
        </w:rPr>
        <w:t>国际申请</w:t>
      </w:r>
      <w:r>
        <w:rPr>
          <w:rFonts w:ascii="Times New Roman" w:hAnsi="Times New Roman" w:cs="Times New Roman" w:eastAsia="Times New Roman" w:hint="default"/>
          <w:spacing w:val="-1"/>
        </w:rPr>
        <w:t>13</w:t>
      </w:r>
      <w:r>
        <w:rPr>
          <w:spacing w:val="-1"/>
        </w:rPr>
        <w:t>项；共取得软件著作权</w:t>
      </w:r>
      <w:r>
        <w:rPr>
          <w:rFonts w:ascii="Times New Roman" w:hAnsi="Times New Roman" w:cs="Times New Roman" w:eastAsia="Times New Roman" w:hint="default"/>
          <w:spacing w:val="-1"/>
        </w:rPr>
        <w:t>34</w:t>
      </w:r>
      <w:r>
        <w:rPr>
          <w:spacing w:val="-1"/>
        </w:rPr>
        <w:t>项。截至目前，公司及</w:t>
      </w:r>
      <w:r>
        <w:rPr>
          <w:spacing w:val="-86"/>
        </w:rPr>
        <w:t> </w:t>
      </w:r>
      <w:r>
        <w:rPr>
          <w:spacing w:val="-86"/>
        </w:rPr>
      </w:r>
      <w:r>
        <w:rPr/>
        <w:t>控股子公司累计取得授权专利证书</w:t>
      </w:r>
      <w:r>
        <w:rPr>
          <w:rFonts w:ascii="Times New Roman" w:hAnsi="Times New Roman" w:cs="Times New Roman" w:eastAsia="Times New Roman" w:hint="default"/>
        </w:rPr>
        <w:t>560</w:t>
      </w:r>
      <w:r>
        <w:rPr/>
        <w:t>项，其中累计取得</w:t>
      </w:r>
      <w:r>
        <w:rPr>
          <w:rFonts w:ascii="Times New Roman" w:hAnsi="Times New Roman" w:cs="Times New Roman" w:eastAsia="Times New Roman" w:hint="default"/>
        </w:rPr>
        <w:t>6</w:t>
      </w:r>
      <w:r>
        <w:rPr/>
        <w:t>项美国发明专利、</w:t>
      </w:r>
      <w:r>
        <w:rPr>
          <w:rFonts w:ascii="Times New Roman" w:hAnsi="Times New Roman" w:cs="Times New Roman" w:eastAsia="Times New Roman" w:hint="default"/>
        </w:rPr>
        <w:t>4</w:t>
      </w:r>
      <w:r>
        <w:rPr/>
        <w:t>项欧盟发明专利和</w:t>
      </w:r>
      <w:r>
        <w:rPr>
          <w:rFonts w:ascii="Times New Roman" w:hAnsi="Times New Roman" w:cs="Times New Roman" w:eastAsia="Times New Roman" w:hint="default"/>
        </w:rPr>
        <w:t>1</w:t>
      </w:r>
      <w:r>
        <w:rPr/>
        <w:t>项日本发明专利。</w:t>
      </w:r>
    </w:p>
    <w:p>
      <w:pPr>
        <w:pStyle w:val="BodyText"/>
        <w:spacing w:line="240" w:lineRule="auto" w:before="5"/>
        <w:ind w:left="514" w:right="0"/>
        <w:jc w:val="left"/>
      </w:pPr>
      <w:r>
        <w:rPr/>
        <w:t>报告期内，公司主要获得的国内外发明专利及软件著作权列表如下：</w:t>
      </w:r>
    </w:p>
    <w:p>
      <w:pPr>
        <w:spacing w:line="240" w:lineRule="auto" w:before="6"/>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1009"/>
        <w:gridCol w:w="3985"/>
        <w:gridCol w:w="1700"/>
        <w:gridCol w:w="2127"/>
      </w:tblGrid>
      <w:tr>
        <w:trPr>
          <w:trHeight w:val="342" w:hRule="exact"/>
        </w:trPr>
        <w:tc>
          <w:tcPr>
            <w:tcW w:w="8821" w:type="dxa"/>
            <w:gridSpan w:val="4"/>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39"/>
              <w:ind w:right="0"/>
              <w:jc w:val="center"/>
              <w:rPr>
                <w:rFonts w:ascii="宋体" w:hAnsi="宋体" w:cs="宋体" w:eastAsia="宋体" w:hint="default"/>
                <w:sz w:val="15"/>
                <w:szCs w:val="15"/>
              </w:rPr>
            </w:pPr>
            <w:r>
              <w:rPr>
                <w:rFonts w:ascii="Times New Roman" w:hAnsi="Times New Roman" w:cs="Times New Roman" w:eastAsia="Times New Roman" w:hint="default"/>
                <w:b/>
                <w:bCs/>
                <w:sz w:val="15"/>
                <w:szCs w:val="15"/>
              </w:rPr>
              <w:t>2018</w:t>
            </w:r>
            <w:r>
              <w:rPr>
                <w:rFonts w:ascii="宋体" w:hAnsi="宋体" w:cs="宋体" w:eastAsia="宋体" w:hint="default"/>
                <w:b/>
                <w:bCs/>
                <w:sz w:val="15"/>
                <w:szCs w:val="15"/>
              </w:rPr>
              <w:t>年授权发明专利</w:t>
            </w:r>
            <w:r>
              <w:rPr>
                <w:rFonts w:ascii="宋体" w:hAnsi="宋体" w:cs="宋体" w:eastAsia="宋体" w:hint="default"/>
                <w:sz w:val="15"/>
                <w:szCs w:val="15"/>
              </w:rPr>
            </w:r>
          </w:p>
        </w:tc>
      </w:tr>
      <w:tr>
        <w:trPr>
          <w:trHeight w:val="341"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b/>
                <w:bCs/>
                <w:sz w:val="15"/>
                <w:szCs w:val="15"/>
              </w:rPr>
              <w:t>序号</w:t>
            </w:r>
            <w:r>
              <w:rPr>
                <w:rFonts w:ascii="宋体" w:hAnsi="宋体" w:cs="宋体" w:eastAsia="宋体" w:hint="default"/>
                <w:sz w:val="15"/>
                <w:szCs w:val="15"/>
              </w:rPr>
            </w:r>
          </w:p>
        </w:tc>
        <w:tc>
          <w:tcPr>
            <w:tcW w:w="3985"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b/>
                <w:bCs/>
                <w:sz w:val="15"/>
                <w:szCs w:val="15"/>
              </w:rPr>
              <w:t>名称</w:t>
            </w:r>
            <w:r>
              <w:rPr>
                <w:rFonts w:ascii="宋体" w:hAnsi="宋体" w:cs="宋体" w:eastAsia="宋体" w:hint="default"/>
                <w:sz w:val="15"/>
                <w:szCs w:val="15"/>
              </w:rPr>
            </w:r>
          </w:p>
        </w:tc>
        <w:tc>
          <w:tcPr>
            <w:tcW w:w="1700"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left="541" w:right="0"/>
              <w:jc w:val="left"/>
              <w:rPr>
                <w:rFonts w:ascii="宋体" w:hAnsi="宋体" w:cs="宋体" w:eastAsia="宋体" w:hint="default"/>
                <w:sz w:val="15"/>
                <w:szCs w:val="15"/>
              </w:rPr>
            </w:pPr>
            <w:r>
              <w:rPr>
                <w:rFonts w:ascii="宋体" w:hAnsi="宋体" w:cs="宋体" w:eastAsia="宋体" w:hint="default"/>
                <w:b/>
                <w:bCs/>
                <w:sz w:val="15"/>
                <w:szCs w:val="15"/>
              </w:rPr>
              <w:t>专利类型</w:t>
            </w:r>
            <w:r>
              <w:rPr>
                <w:rFonts w:ascii="宋体" w:hAnsi="宋体" w:cs="宋体" w:eastAsia="宋体" w:hint="default"/>
                <w:sz w:val="15"/>
                <w:szCs w:val="15"/>
              </w:rPr>
            </w:r>
          </w:p>
        </w:tc>
        <w:tc>
          <w:tcPr>
            <w:tcW w:w="2127"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b/>
                <w:bCs/>
                <w:sz w:val="15"/>
                <w:szCs w:val="15"/>
              </w:rPr>
              <w:t>专利号</w:t>
            </w:r>
            <w:r>
              <w:rPr>
                <w:rFonts w:ascii="宋体" w:hAnsi="宋体" w:cs="宋体" w:eastAsia="宋体" w:hint="default"/>
                <w:sz w:val="15"/>
                <w:szCs w:val="15"/>
              </w:rPr>
            </w:r>
          </w:p>
        </w:tc>
      </w:tr>
      <w:tr>
        <w:trPr>
          <w:trHeight w:val="352"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7"/>
              <w:ind w:right="0"/>
              <w:jc w:val="center"/>
              <w:rPr>
                <w:rFonts w:ascii="Times New Roman" w:hAnsi="Times New Roman" w:cs="Times New Roman" w:eastAsia="Times New Roman" w:hint="default"/>
                <w:sz w:val="15"/>
                <w:szCs w:val="15"/>
              </w:rPr>
            </w:pPr>
            <w:r>
              <w:rPr>
                <w:rFonts w:ascii="Times New Roman"/>
                <w:b/>
                <w:sz w:val="15"/>
              </w:rPr>
              <w:t>1</w:t>
            </w:r>
            <w:r>
              <w:rPr>
                <w:rFonts w:ascii="Times New Roman"/>
                <w:sz w:val="15"/>
              </w:rPr>
            </w:r>
          </w:p>
        </w:tc>
        <w:tc>
          <w:tcPr>
            <w:tcW w:w="3985"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无缝式弯折拼接机构和可弯折拼接屏</w:t>
            </w:r>
          </w:p>
        </w:tc>
        <w:tc>
          <w:tcPr>
            <w:tcW w:w="170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4"/>
              <w:ind w:left="542" w:right="0"/>
              <w:jc w:val="left"/>
              <w:rPr>
                <w:rFonts w:ascii="宋体" w:hAnsi="宋体" w:cs="宋体" w:eastAsia="宋体" w:hint="default"/>
                <w:sz w:val="15"/>
                <w:szCs w:val="15"/>
              </w:rPr>
            </w:pPr>
            <w:r>
              <w:rPr>
                <w:rFonts w:ascii="宋体" w:hAnsi="宋体" w:cs="宋体" w:eastAsia="宋体" w:hint="default"/>
                <w:sz w:val="15"/>
                <w:szCs w:val="15"/>
              </w:rPr>
              <w:t>发明专利</w:t>
            </w:r>
          </w:p>
        </w:tc>
        <w:tc>
          <w:tcPr>
            <w:tcW w:w="2127"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78"/>
              <w:ind w:right="0"/>
              <w:jc w:val="center"/>
              <w:rPr>
                <w:rFonts w:ascii="Times New Roman" w:hAnsi="Times New Roman" w:cs="Times New Roman" w:eastAsia="Times New Roman" w:hint="default"/>
                <w:sz w:val="15"/>
                <w:szCs w:val="15"/>
              </w:rPr>
            </w:pPr>
            <w:r>
              <w:rPr>
                <w:rFonts w:ascii="Times New Roman"/>
                <w:sz w:val="15"/>
              </w:rPr>
              <w:t>2015104661169</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一种</w:t>
            </w:r>
            <w:r>
              <w:rPr>
                <w:rFonts w:ascii="Times New Roman" w:hAnsi="Times New Roman" w:cs="Times New Roman" w:eastAsia="Times New Roman" w:hint="default"/>
                <w:sz w:val="15"/>
                <w:szCs w:val="15"/>
              </w:rPr>
              <w:t>LED</w:t>
            </w:r>
            <w:r>
              <w:rPr>
                <w:rFonts w:ascii="宋体" w:hAnsi="宋体" w:cs="宋体" w:eastAsia="宋体" w:hint="default"/>
                <w:sz w:val="15"/>
                <w:szCs w:val="15"/>
              </w:rPr>
              <w:t>显示设备的自适应色彩调节方法及系统</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542" w:right="0"/>
              <w:jc w:val="left"/>
              <w:rPr>
                <w:rFonts w:ascii="宋体" w:hAnsi="宋体" w:cs="宋体" w:eastAsia="宋体" w:hint="default"/>
                <w:sz w:val="15"/>
                <w:szCs w:val="15"/>
              </w:rPr>
            </w:pPr>
            <w:r>
              <w:rPr>
                <w:rFonts w:ascii="宋体" w:hAnsi="宋体" w:cs="宋体" w:eastAsia="宋体" w:hint="default"/>
                <w:sz w:val="15"/>
                <w:szCs w:val="15"/>
              </w:rPr>
              <w:t>发明专利</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0"/>
              <w:jc w:val="center"/>
              <w:rPr>
                <w:rFonts w:ascii="Times New Roman" w:hAnsi="Times New Roman" w:cs="Times New Roman" w:eastAsia="Times New Roman" w:hint="default"/>
                <w:sz w:val="15"/>
                <w:szCs w:val="15"/>
              </w:rPr>
            </w:pPr>
            <w:r>
              <w:rPr>
                <w:rFonts w:ascii="Times New Roman"/>
                <w:sz w:val="15"/>
              </w:rPr>
              <w:t>2015110050232</w:t>
            </w:r>
          </w:p>
        </w:tc>
      </w:tr>
    </w:tbl>
    <w:p>
      <w:pPr>
        <w:spacing w:after="0" w:line="240" w:lineRule="auto"/>
        <w:jc w:val="center"/>
        <w:rPr>
          <w:rFonts w:ascii="Times New Roman" w:hAnsi="Times New Roman" w:cs="Times New Roman" w:eastAsia="Times New Roman" w:hint="default"/>
          <w:sz w:val="15"/>
          <w:szCs w:val="15"/>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6" w:type="dxa"/>
        <w:tblLayout w:type="fixed"/>
        <w:tblCellMar>
          <w:top w:w="0" w:type="dxa"/>
          <w:left w:w="0" w:type="dxa"/>
          <w:bottom w:w="0" w:type="dxa"/>
          <w:right w:w="0" w:type="dxa"/>
        </w:tblCellMar>
        <w:tblLook w:val="01E0"/>
      </w:tblPr>
      <w:tblGrid>
        <w:gridCol w:w="1009"/>
        <w:gridCol w:w="3985"/>
        <w:gridCol w:w="1700"/>
        <w:gridCol w:w="2127"/>
      </w:tblGrid>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3</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一种</w:t>
            </w:r>
            <w:r>
              <w:rPr>
                <w:rFonts w:ascii="Times New Roman" w:hAnsi="Times New Roman" w:cs="Times New Roman" w:eastAsia="Times New Roman" w:hint="default"/>
                <w:sz w:val="15"/>
                <w:szCs w:val="15"/>
              </w:rPr>
              <w:t>LED</w:t>
            </w:r>
            <w:r>
              <w:rPr>
                <w:rFonts w:ascii="宋体" w:hAnsi="宋体" w:cs="宋体" w:eastAsia="宋体" w:hint="default"/>
                <w:sz w:val="15"/>
                <w:szCs w:val="15"/>
              </w:rPr>
              <w:t>单元板连接方法</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发明专利</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36"/>
              <w:jc w:val="center"/>
              <w:rPr>
                <w:rFonts w:ascii="Times New Roman" w:hAnsi="Times New Roman" w:cs="Times New Roman" w:eastAsia="Times New Roman" w:hint="default"/>
                <w:sz w:val="15"/>
                <w:szCs w:val="15"/>
              </w:rPr>
            </w:pPr>
            <w:r>
              <w:rPr>
                <w:rFonts w:ascii="Times New Roman"/>
                <w:sz w:val="15"/>
              </w:rPr>
              <w:t>2015108903631</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4</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一种可快速现场定制单据的自助填单机及其方法</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发明专利</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0"/>
              <w:jc w:val="center"/>
              <w:rPr>
                <w:rFonts w:ascii="Times New Roman" w:hAnsi="Times New Roman" w:cs="Times New Roman" w:eastAsia="Times New Roman" w:hint="default"/>
                <w:sz w:val="15"/>
                <w:szCs w:val="15"/>
              </w:rPr>
            </w:pPr>
            <w:r>
              <w:rPr>
                <w:rFonts w:ascii="Times New Roman"/>
                <w:sz w:val="15"/>
              </w:rPr>
              <w:t>2014107494286</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5</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一种可扩展的综合信息发布系统</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发明专利</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0"/>
              <w:jc w:val="center"/>
              <w:rPr>
                <w:rFonts w:ascii="Times New Roman" w:hAnsi="Times New Roman" w:cs="Times New Roman" w:eastAsia="Times New Roman" w:hint="default"/>
                <w:sz w:val="15"/>
                <w:szCs w:val="15"/>
              </w:rPr>
            </w:pPr>
            <w:r>
              <w:rPr>
                <w:rFonts w:ascii="Times New Roman"/>
                <w:sz w:val="15"/>
              </w:rPr>
              <w:t>2014106836318</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6</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一种</w:t>
            </w:r>
            <w:r>
              <w:rPr>
                <w:rFonts w:ascii="Times New Roman" w:hAnsi="Times New Roman" w:cs="Times New Roman" w:eastAsia="Times New Roman" w:hint="default"/>
                <w:sz w:val="15"/>
                <w:szCs w:val="15"/>
              </w:rPr>
              <w:t>LED</w:t>
            </w:r>
            <w:r>
              <w:rPr>
                <w:rFonts w:ascii="宋体" w:hAnsi="宋体" w:cs="宋体" w:eastAsia="宋体" w:hint="default"/>
                <w:sz w:val="15"/>
                <w:szCs w:val="15"/>
              </w:rPr>
              <w:t>显示屏的数据传输装置、数据传输方法及系统</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发明专利</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0"/>
              <w:jc w:val="center"/>
              <w:rPr>
                <w:rFonts w:ascii="Times New Roman" w:hAnsi="Times New Roman" w:cs="Times New Roman" w:eastAsia="Times New Roman" w:hint="default"/>
                <w:sz w:val="15"/>
                <w:szCs w:val="15"/>
              </w:rPr>
            </w:pPr>
            <w:r>
              <w:rPr>
                <w:rFonts w:ascii="Times New Roman"/>
                <w:sz w:val="15"/>
              </w:rPr>
              <w:t>2016100181171</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0"/>
              <w:jc w:val="center"/>
              <w:rPr>
                <w:rFonts w:ascii="Times New Roman" w:hAnsi="Times New Roman" w:cs="Times New Roman" w:eastAsia="Times New Roman" w:hint="default"/>
                <w:sz w:val="15"/>
                <w:szCs w:val="15"/>
              </w:rPr>
            </w:pPr>
            <w:r>
              <w:rPr>
                <w:rFonts w:ascii="Times New Roman"/>
                <w:b/>
                <w:sz w:val="15"/>
              </w:rPr>
              <w:t>7</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宋体" w:hAnsi="宋体" w:cs="宋体" w:eastAsia="宋体" w:hint="default"/>
                <w:sz w:val="15"/>
                <w:szCs w:val="15"/>
              </w:rPr>
            </w:pPr>
            <w:r>
              <w:rPr>
                <w:rFonts w:ascii="Times New Roman" w:hAnsi="Times New Roman" w:cs="Times New Roman" w:eastAsia="Times New Roman" w:hint="default"/>
                <w:sz w:val="15"/>
                <w:szCs w:val="15"/>
              </w:rPr>
              <w:t>LED</w:t>
            </w:r>
            <w:r>
              <w:rPr>
                <w:rFonts w:ascii="宋体" w:hAnsi="宋体" w:cs="宋体" w:eastAsia="宋体" w:hint="default"/>
                <w:sz w:val="15"/>
                <w:szCs w:val="15"/>
              </w:rPr>
              <w:t>显示屏带载配置方法及装置</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宋体" w:hAnsi="宋体" w:cs="宋体" w:eastAsia="宋体" w:hint="default"/>
                <w:sz w:val="15"/>
                <w:szCs w:val="15"/>
              </w:rPr>
            </w:pPr>
            <w:r>
              <w:rPr>
                <w:rFonts w:ascii="宋体" w:hAnsi="宋体" w:cs="宋体" w:eastAsia="宋体" w:hint="default"/>
                <w:sz w:val="15"/>
                <w:szCs w:val="15"/>
              </w:rPr>
              <w:t>发明专利</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Times New Roman" w:hAnsi="Times New Roman" w:cs="Times New Roman" w:eastAsia="Times New Roman" w:hint="default"/>
                <w:sz w:val="15"/>
                <w:szCs w:val="15"/>
              </w:rPr>
            </w:pPr>
            <w:r>
              <w:rPr>
                <w:rFonts w:ascii="Times New Roman"/>
                <w:sz w:val="15"/>
              </w:rPr>
              <w:t>2016108053665</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8</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Times New Roman" w:hAnsi="Times New Roman" w:cs="Times New Roman" w:eastAsia="Times New Roman" w:hint="default"/>
                <w:sz w:val="15"/>
                <w:szCs w:val="15"/>
              </w:rPr>
              <w:t>LED</w:t>
            </w:r>
            <w:r>
              <w:rPr>
                <w:rFonts w:ascii="宋体" w:hAnsi="宋体" w:cs="宋体" w:eastAsia="宋体" w:hint="default"/>
                <w:sz w:val="15"/>
                <w:szCs w:val="15"/>
              </w:rPr>
              <w:t>显示屏远程管理方法和系统</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发明专利</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0"/>
              <w:jc w:val="center"/>
              <w:rPr>
                <w:rFonts w:ascii="Times New Roman" w:hAnsi="Times New Roman" w:cs="Times New Roman" w:eastAsia="Times New Roman" w:hint="default"/>
                <w:sz w:val="15"/>
                <w:szCs w:val="15"/>
              </w:rPr>
            </w:pPr>
            <w:r>
              <w:rPr>
                <w:rFonts w:ascii="Times New Roman"/>
                <w:sz w:val="15"/>
              </w:rPr>
              <w:t>200710077100</w:t>
            </w:r>
          </w:p>
        </w:tc>
      </w:tr>
      <w:tr>
        <w:trPr>
          <w:trHeight w:val="42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9</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5"/>
              <w:ind w:right="0"/>
              <w:jc w:val="center"/>
              <w:rPr>
                <w:rFonts w:ascii="宋体" w:hAnsi="宋体" w:cs="宋体" w:eastAsia="宋体" w:hint="default"/>
                <w:sz w:val="15"/>
                <w:szCs w:val="15"/>
              </w:rPr>
            </w:pPr>
            <w:r>
              <w:rPr>
                <w:rFonts w:ascii="宋体" w:hAnsi="宋体" w:cs="宋体" w:eastAsia="宋体" w:hint="default"/>
                <w:sz w:val="15"/>
                <w:szCs w:val="15"/>
              </w:rPr>
              <w:t>一种转播视频与现场显示视频分离方法及装置</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发明专利（日本）</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left="1" w:right="0"/>
              <w:jc w:val="center"/>
              <w:rPr>
                <w:rFonts w:ascii="Times New Roman" w:hAnsi="Times New Roman" w:cs="Times New Roman" w:eastAsia="Times New Roman" w:hint="default"/>
                <w:sz w:val="15"/>
                <w:szCs w:val="15"/>
              </w:rPr>
            </w:pPr>
            <w:r>
              <w:rPr>
                <w:rFonts w:ascii="Times New Roman"/>
                <w:sz w:val="15"/>
              </w:rPr>
              <w:t>6412263</w:t>
            </w:r>
          </w:p>
        </w:tc>
      </w:tr>
      <w:tr>
        <w:trPr>
          <w:trHeight w:val="439"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10</w:t>
            </w:r>
            <w:r>
              <w:rPr>
                <w:rFonts w:ascii="Times New Roman"/>
                <w:sz w:val="15"/>
              </w:rPr>
            </w:r>
          </w:p>
        </w:tc>
        <w:tc>
          <w:tcPr>
            <w:tcW w:w="3985"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85"/>
              <w:ind w:right="0"/>
              <w:jc w:val="center"/>
              <w:rPr>
                <w:rFonts w:ascii="宋体" w:hAnsi="宋体" w:cs="宋体" w:eastAsia="宋体" w:hint="default"/>
                <w:sz w:val="15"/>
                <w:szCs w:val="15"/>
              </w:rPr>
            </w:pPr>
            <w:r>
              <w:rPr>
                <w:rFonts w:ascii="宋体" w:hAnsi="宋体" w:cs="宋体" w:eastAsia="宋体" w:hint="default"/>
                <w:sz w:val="15"/>
                <w:szCs w:val="15"/>
              </w:rPr>
              <w:t>一种转播视频与现场显示视频分离方法及装置</w:t>
            </w:r>
          </w:p>
        </w:tc>
        <w:tc>
          <w:tcPr>
            <w:tcW w:w="1700"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发明专利（美国）</w:t>
            </w:r>
          </w:p>
        </w:tc>
        <w:tc>
          <w:tcPr>
            <w:tcW w:w="2127"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78"/>
              <w:ind w:right="0"/>
              <w:jc w:val="center"/>
              <w:rPr>
                <w:rFonts w:ascii="Times New Roman" w:hAnsi="Times New Roman" w:cs="Times New Roman" w:eastAsia="Times New Roman" w:hint="default"/>
                <w:sz w:val="15"/>
                <w:szCs w:val="15"/>
              </w:rPr>
            </w:pPr>
            <w:r>
              <w:rPr>
                <w:rFonts w:ascii="Times New Roman"/>
                <w:sz w:val="15"/>
              </w:rPr>
              <w:t>US10080041B2</w:t>
            </w:r>
          </w:p>
        </w:tc>
      </w:tr>
      <w:tr>
        <w:trPr>
          <w:trHeight w:val="335" w:hRule="exact"/>
        </w:trPr>
        <w:tc>
          <w:tcPr>
            <w:tcW w:w="8821" w:type="dxa"/>
            <w:gridSpan w:val="4"/>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31"/>
              <w:ind w:right="2"/>
              <w:jc w:val="center"/>
              <w:rPr>
                <w:rFonts w:ascii="宋体" w:hAnsi="宋体" w:cs="宋体" w:eastAsia="宋体" w:hint="default"/>
                <w:sz w:val="15"/>
                <w:szCs w:val="15"/>
              </w:rPr>
            </w:pPr>
            <w:r>
              <w:rPr>
                <w:rFonts w:ascii="Times New Roman" w:hAnsi="Times New Roman" w:cs="Times New Roman" w:eastAsia="Times New Roman" w:hint="default"/>
                <w:b/>
                <w:bCs/>
                <w:sz w:val="15"/>
                <w:szCs w:val="15"/>
              </w:rPr>
              <w:t>2018</w:t>
            </w:r>
            <w:r>
              <w:rPr>
                <w:rFonts w:ascii="宋体" w:hAnsi="宋体" w:cs="宋体" w:eastAsia="宋体" w:hint="default"/>
                <w:b/>
                <w:bCs/>
                <w:sz w:val="15"/>
                <w:szCs w:val="15"/>
              </w:rPr>
              <w:t>年授权软件著作权</w:t>
            </w:r>
            <w:r>
              <w:rPr>
                <w:rFonts w:ascii="宋体" w:hAnsi="宋体" w:cs="宋体" w:eastAsia="宋体" w:hint="default"/>
                <w:sz w:val="15"/>
                <w:szCs w:val="15"/>
              </w:rPr>
            </w:r>
          </w:p>
        </w:tc>
      </w:tr>
      <w:tr>
        <w:trPr>
          <w:trHeight w:val="341"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b/>
                <w:bCs/>
                <w:sz w:val="15"/>
                <w:szCs w:val="15"/>
              </w:rPr>
              <w:t>序号</w:t>
            </w:r>
            <w:r>
              <w:rPr>
                <w:rFonts w:ascii="宋体" w:hAnsi="宋体" w:cs="宋体" w:eastAsia="宋体" w:hint="default"/>
                <w:sz w:val="15"/>
                <w:szCs w:val="15"/>
              </w:rPr>
            </w:r>
          </w:p>
        </w:tc>
        <w:tc>
          <w:tcPr>
            <w:tcW w:w="3985"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b/>
                <w:bCs/>
                <w:sz w:val="15"/>
                <w:szCs w:val="15"/>
              </w:rPr>
              <w:t>软件名称</w:t>
            </w:r>
            <w:r>
              <w:rPr>
                <w:rFonts w:ascii="宋体" w:hAnsi="宋体" w:cs="宋体" w:eastAsia="宋体" w:hint="default"/>
                <w:sz w:val="15"/>
                <w:szCs w:val="15"/>
              </w:rPr>
            </w:r>
          </w:p>
        </w:tc>
        <w:tc>
          <w:tcPr>
            <w:tcW w:w="1700"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b/>
                <w:bCs/>
                <w:sz w:val="15"/>
                <w:szCs w:val="15"/>
              </w:rPr>
              <w:t>登记号</w:t>
            </w:r>
            <w:r>
              <w:rPr>
                <w:rFonts w:ascii="宋体" w:hAnsi="宋体" w:cs="宋体" w:eastAsia="宋体" w:hint="default"/>
                <w:sz w:val="15"/>
                <w:szCs w:val="15"/>
              </w:rPr>
            </w:r>
          </w:p>
        </w:tc>
        <w:tc>
          <w:tcPr>
            <w:tcW w:w="2127"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b/>
                <w:bCs/>
                <w:sz w:val="15"/>
                <w:szCs w:val="15"/>
              </w:rPr>
              <w:t>证书号</w:t>
            </w:r>
            <w:r>
              <w:rPr>
                <w:rFonts w:ascii="宋体" w:hAnsi="宋体" w:cs="宋体" w:eastAsia="宋体" w:hint="default"/>
                <w:sz w:val="15"/>
                <w:szCs w:val="15"/>
              </w:rPr>
            </w:r>
          </w:p>
        </w:tc>
      </w:tr>
      <w:tr>
        <w:trPr>
          <w:trHeight w:val="352"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7"/>
              <w:ind w:right="0"/>
              <w:jc w:val="center"/>
              <w:rPr>
                <w:rFonts w:ascii="Times New Roman" w:hAnsi="Times New Roman" w:cs="Times New Roman" w:eastAsia="Times New Roman" w:hint="default"/>
                <w:sz w:val="15"/>
                <w:szCs w:val="15"/>
              </w:rPr>
            </w:pPr>
            <w:r>
              <w:rPr>
                <w:rFonts w:ascii="Times New Roman"/>
                <w:b/>
                <w:sz w:val="15"/>
              </w:rPr>
              <w:t>1</w:t>
            </w:r>
            <w:r>
              <w:rPr>
                <w:rFonts w:ascii="Times New Roman"/>
                <w:sz w:val="15"/>
              </w:rPr>
            </w:r>
          </w:p>
        </w:tc>
        <w:tc>
          <w:tcPr>
            <w:tcW w:w="3985"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综合信息发布系统</w:t>
            </w:r>
            <w:r>
              <w:rPr>
                <w:rFonts w:ascii="Times New Roman" w:hAnsi="Times New Roman" w:cs="Times New Roman" w:eastAsia="Times New Roman" w:hint="default"/>
                <w:sz w:val="15"/>
                <w:szCs w:val="15"/>
              </w:rPr>
              <w:t>V2.0</w:t>
            </w:r>
          </w:p>
        </w:tc>
        <w:tc>
          <w:tcPr>
            <w:tcW w:w="170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2018SR083360</w:t>
            </w:r>
          </w:p>
        </w:tc>
        <w:tc>
          <w:tcPr>
            <w:tcW w:w="2127"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2412455</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奥拓多媒体终端系统</w:t>
            </w:r>
            <w:r>
              <w:rPr>
                <w:rFonts w:ascii="Times New Roman" w:hAnsi="Times New Roman" w:cs="Times New Roman" w:eastAsia="Times New Roman" w:hint="default"/>
                <w:sz w:val="15"/>
                <w:szCs w:val="15"/>
              </w:rPr>
              <w:t>(ATMS)</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2018SR081069</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2410164</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3</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奥拓视频会议系统</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2018SR081797</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2410892</w:t>
            </w:r>
            <w:r>
              <w:rPr>
                <w:rFonts w:ascii="宋体" w:hAnsi="宋体" w:cs="宋体" w:eastAsia="宋体" w:hint="default"/>
                <w:sz w:val="15"/>
                <w:szCs w:val="15"/>
              </w:rPr>
              <w:t>号</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4</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AOTO</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z w:val="15"/>
                <w:szCs w:val="15"/>
              </w:rPr>
              <w:t>LED</w:t>
            </w:r>
            <w:r>
              <w:rPr>
                <w:rFonts w:ascii="宋体" w:hAnsi="宋体" w:cs="宋体" w:eastAsia="宋体" w:hint="default"/>
                <w:sz w:val="15"/>
                <w:szCs w:val="15"/>
              </w:rPr>
              <w:t>控制系统</w:t>
            </w:r>
            <w:r>
              <w:rPr>
                <w:rFonts w:ascii="Times New Roman" w:hAnsi="Times New Roman" w:cs="Times New Roman" w:eastAsia="Times New Roman" w:hint="default"/>
                <w:sz w:val="15"/>
                <w:szCs w:val="15"/>
              </w:rPr>
              <w:t>WEB</w:t>
            </w:r>
            <w:r>
              <w:rPr>
                <w:rFonts w:ascii="宋体" w:hAnsi="宋体" w:cs="宋体" w:eastAsia="宋体" w:hint="default"/>
                <w:sz w:val="15"/>
                <w:szCs w:val="15"/>
              </w:rPr>
              <w:t>后台管理软件</w:t>
            </w:r>
            <w:r>
              <w:rPr>
                <w:rFonts w:ascii="Times New Roman" w:hAnsi="Times New Roman" w:cs="Times New Roman" w:eastAsia="Times New Roman" w:hint="default"/>
                <w:sz w:val="15"/>
                <w:szCs w:val="15"/>
              </w:rPr>
              <w:t>V1.0.20.0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2018SR357960</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2687055</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0"/>
              <w:jc w:val="center"/>
              <w:rPr>
                <w:rFonts w:ascii="Times New Roman" w:hAnsi="Times New Roman" w:cs="Times New Roman" w:eastAsia="Times New Roman" w:hint="default"/>
                <w:sz w:val="15"/>
                <w:szCs w:val="15"/>
              </w:rPr>
            </w:pPr>
            <w:r>
              <w:rPr>
                <w:rFonts w:ascii="Times New Roman"/>
                <w:b/>
                <w:sz w:val="15"/>
              </w:rPr>
              <w:t>5</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AOTO</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sz w:val="15"/>
                <w:szCs w:val="15"/>
              </w:rPr>
              <w:t>LED</w:t>
            </w:r>
            <w:r>
              <w:rPr>
                <w:rFonts w:ascii="宋体" w:hAnsi="宋体" w:cs="宋体" w:eastAsia="宋体" w:hint="default"/>
                <w:sz w:val="15"/>
                <w:szCs w:val="15"/>
              </w:rPr>
              <w:t>控制系统</w:t>
            </w:r>
            <w:r>
              <w:rPr>
                <w:rFonts w:ascii="Times New Roman" w:hAnsi="Times New Roman" w:cs="Times New Roman" w:eastAsia="Times New Roman" w:hint="default"/>
                <w:sz w:val="15"/>
                <w:szCs w:val="15"/>
              </w:rPr>
              <w:t>4K/8K</w:t>
            </w:r>
            <w:r>
              <w:rPr>
                <w:rFonts w:ascii="宋体" w:hAnsi="宋体" w:cs="宋体" w:eastAsia="宋体" w:hint="default"/>
                <w:sz w:val="15"/>
                <w:szCs w:val="15"/>
              </w:rPr>
              <w:t>控制器端管理软件</w:t>
            </w:r>
            <w:r>
              <w:rPr>
                <w:rFonts w:ascii="Times New Roman" w:hAnsi="Times New Roman" w:cs="Times New Roman" w:eastAsia="Times New Roman" w:hint="default"/>
                <w:sz w:val="15"/>
                <w:szCs w:val="15"/>
              </w:rPr>
              <w:t>V1.0.20.0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1"/>
              <w:jc w:val="center"/>
              <w:rPr>
                <w:rFonts w:ascii="Times New Roman" w:hAnsi="Times New Roman" w:cs="Times New Roman" w:eastAsia="Times New Roman" w:hint="default"/>
                <w:sz w:val="15"/>
                <w:szCs w:val="15"/>
              </w:rPr>
            </w:pPr>
            <w:r>
              <w:rPr>
                <w:rFonts w:ascii="Times New Roman"/>
                <w:sz w:val="15"/>
              </w:rPr>
              <w:t>2018SR354906</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2684001</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6</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AOTO</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sz w:val="15"/>
                <w:szCs w:val="15"/>
              </w:rPr>
              <w:t>LED</w:t>
            </w:r>
            <w:r>
              <w:rPr>
                <w:rFonts w:ascii="宋体" w:hAnsi="宋体" w:cs="宋体" w:eastAsia="宋体" w:hint="default"/>
                <w:sz w:val="15"/>
                <w:szCs w:val="15"/>
              </w:rPr>
              <w:t>控制系统</w:t>
            </w:r>
            <w:r>
              <w:rPr>
                <w:rFonts w:ascii="Times New Roman" w:hAnsi="Times New Roman" w:cs="Times New Roman" w:eastAsia="Times New Roman" w:hint="default"/>
                <w:sz w:val="15"/>
                <w:szCs w:val="15"/>
              </w:rPr>
              <w:t>4K</w:t>
            </w:r>
            <w:r>
              <w:rPr>
                <w:rFonts w:ascii="宋体" w:hAnsi="宋体" w:cs="宋体" w:eastAsia="宋体" w:hint="default"/>
                <w:sz w:val="15"/>
                <w:szCs w:val="15"/>
              </w:rPr>
              <w:t>控制器</w:t>
            </w:r>
            <w:r>
              <w:rPr>
                <w:rFonts w:ascii="Times New Roman" w:hAnsi="Times New Roman" w:cs="Times New Roman" w:eastAsia="Times New Roman" w:hint="default"/>
                <w:sz w:val="15"/>
                <w:szCs w:val="15"/>
              </w:rPr>
              <w:t>10G</w:t>
            </w:r>
            <w:r>
              <w:rPr>
                <w:rFonts w:ascii="宋体" w:hAnsi="宋体" w:cs="宋体" w:eastAsia="宋体" w:hint="default"/>
                <w:sz w:val="15"/>
                <w:szCs w:val="15"/>
              </w:rPr>
              <w:t>光纤发送卡软件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2018SR356145</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2685240</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7</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AOTO</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z w:val="15"/>
                <w:szCs w:val="15"/>
              </w:rPr>
              <w:t>LED</w:t>
            </w:r>
            <w:r>
              <w:rPr>
                <w:rFonts w:ascii="宋体" w:hAnsi="宋体" w:cs="宋体" w:eastAsia="宋体" w:hint="default"/>
                <w:sz w:val="15"/>
                <w:szCs w:val="15"/>
              </w:rPr>
              <w:t>控制系统手机端管理软件</w:t>
            </w:r>
            <w:r>
              <w:rPr>
                <w:rFonts w:ascii="Times New Roman" w:hAnsi="Times New Roman" w:cs="Times New Roman" w:eastAsia="Times New Roman" w:hint="default"/>
                <w:sz w:val="15"/>
                <w:szCs w:val="15"/>
              </w:rPr>
              <w:t>V1.0.20.0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2018SR356899</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2685994</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8</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AOTO</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z w:val="15"/>
                <w:szCs w:val="15"/>
              </w:rPr>
              <w:t>LED</w:t>
            </w:r>
            <w:r>
              <w:rPr>
                <w:rFonts w:ascii="宋体" w:hAnsi="宋体" w:cs="宋体" w:eastAsia="宋体" w:hint="default"/>
                <w:sz w:val="15"/>
                <w:szCs w:val="15"/>
              </w:rPr>
              <w:t>控制系统</w:t>
            </w:r>
            <w:r>
              <w:rPr>
                <w:rFonts w:ascii="Times New Roman" w:hAnsi="Times New Roman" w:cs="Times New Roman" w:eastAsia="Times New Roman" w:hint="default"/>
                <w:sz w:val="15"/>
                <w:szCs w:val="15"/>
              </w:rPr>
              <w:t>2K</w:t>
            </w:r>
            <w:r>
              <w:rPr>
                <w:rFonts w:ascii="宋体" w:hAnsi="宋体" w:cs="宋体" w:eastAsia="宋体" w:hint="default"/>
                <w:sz w:val="15"/>
                <w:szCs w:val="15"/>
              </w:rPr>
              <w:t>控制器端管理软件</w:t>
            </w:r>
            <w:r>
              <w:rPr>
                <w:rFonts w:ascii="Times New Roman" w:hAnsi="Times New Roman" w:cs="Times New Roman" w:eastAsia="Times New Roman" w:hint="default"/>
                <w:sz w:val="15"/>
                <w:szCs w:val="15"/>
              </w:rPr>
              <w:t>V1.0.20.0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2018SR357894</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2686989</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9</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奥拓安卓播放器软件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2018SR397321</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2726416</w:t>
            </w:r>
            <w:r>
              <w:rPr>
                <w:rFonts w:ascii="宋体" w:hAnsi="宋体" w:cs="宋体" w:eastAsia="宋体" w:hint="default"/>
                <w:sz w:val="15"/>
                <w:szCs w:val="15"/>
              </w:rPr>
              <w:t>号</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10</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奥拓工具系统软件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2018SR401803</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2730898</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1"/>
              <w:jc w:val="center"/>
              <w:rPr>
                <w:rFonts w:ascii="Times New Roman" w:hAnsi="Times New Roman" w:cs="Times New Roman" w:eastAsia="Times New Roman" w:hint="default"/>
                <w:sz w:val="15"/>
                <w:szCs w:val="15"/>
              </w:rPr>
            </w:pPr>
            <w:r>
              <w:rPr>
                <w:rFonts w:ascii="Times New Roman"/>
                <w:b/>
                <w:sz w:val="15"/>
              </w:rPr>
              <w:t>11</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奥拓客户填单取号系统软件</w:t>
            </w:r>
            <w:r>
              <w:rPr>
                <w:rFonts w:ascii="Times New Roman" w:hAnsi="Times New Roman" w:cs="Times New Roman" w:eastAsia="Times New Roman" w:hint="default"/>
                <w:sz w:val="15"/>
                <w:szCs w:val="15"/>
              </w:rPr>
              <w:t>V2.2</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1"/>
              <w:jc w:val="center"/>
              <w:rPr>
                <w:rFonts w:ascii="Times New Roman" w:hAnsi="Times New Roman" w:cs="Times New Roman" w:eastAsia="Times New Roman" w:hint="default"/>
                <w:sz w:val="15"/>
                <w:szCs w:val="15"/>
              </w:rPr>
            </w:pPr>
            <w:r>
              <w:rPr>
                <w:rFonts w:ascii="Times New Roman"/>
                <w:sz w:val="15"/>
              </w:rPr>
              <w:t>2018SR398461</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2727556</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12</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奥拓排队机管理系统软件</w:t>
            </w:r>
            <w:r>
              <w:rPr>
                <w:rFonts w:ascii="Times New Roman" w:hAnsi="Times New Roman" w:cs="Times New Roman" w:eastAsia="Times New Roman" w:hint="default"/>
                <w:sz w:val="15"/>
                <w:szCs w:val="15"/>
              </w:rPr>
              <w:t>V2.0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2018SR401336</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2730431</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13</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奥拓排队机监控统计软件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2018SR398326</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2727421</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14</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全息投影贵金属展示管理系统软件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2018SR488715</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2817810</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15</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人脸识别服务管理系统软件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2018SR490259</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2819354</w:t>
            </w:r>
            <w:r>
              <w:rPr>
                <w:rFonts w:ascii="宋体" w:hAnsi="宋体" w:cs="宋体" w:eastAsia="宋体" w:hint="default"/>
                <w:sz w:val="15"/>
                <w:szCs w:val="15"/>
              </w:rPr>
              <w:t>号</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16</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智能播控管理系统软件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2018SR490627</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2819722</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1"/>
              <w:jc w:val="center"/>
              <w:rPr>
                <w:rFonts w:ascii="Times New Roman" w:hAnsi="Times New Roman" w:cs="Times New Roman" w:eastAsia="Times New Roman" w:hint="default"/>
                <w:sz w:val="15"/>
                <w:szCs w:val="15"/>
              </w:rPr>
            </w:pPr>
            <w:r>
              <w:rPr>
                <w:rFonts w:ascii="Times New Roman"/>
                <w:b/>
                <w:sz w:val="15"/>
              </w:rPr>
              <w:t>17</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智能服务机器人管理系统软件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1"/>
              <w:jc w:val="center"/>
              <w:rPr>
                <w:rFonts w:ascii="Times New Roman" w:hAnsi="Times New Roman" w:cs="Times New Roman" w:eastAsia="Times New Roman" w:hint="default"/>
                <w:sz w:val="15"/>
                <w:szCs w:val="15"/>
              </w:rPr>
            </w:pPr>
            <w:r>
              <w:rPr>
                <w:rFonts w:ascii="Times New Roman"/>
                <w:sz w:val="15"/>
              </w:rPr>
              <w:t>2018SR484768</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2813863</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18</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智能门禁管理系统软件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2018SR484574</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2813669</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19</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智能营销服务管理系统软件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2018SR486584</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2815679</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20</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奥拓电子客服中心售后管理系统软件</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2018SR559375</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2888470</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21</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奥拓基于大数据的数据可视化数据分析系统</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2018SR982359</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3311454</w:t>
            </w:r>
            <w:r>
              <w:rPr>
                <w:rFonts w:ascii="宋体" w:hAnsi="宋体" w:cs="宋体" w:eastAsia="宋体" w:hint="default"/>
                <w:sz w:val="15"/>
                <w:szCs w:val="15"/>
              </w:rPr>
              <w:t>号</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22</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奥拓基于大数据的金融机构的风险控制系统</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2018SR982364</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3311459</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1"/>
              <w:jc w:val="center"/>
              <w:rPr>
                <w:rFonts w:ascii="Times New Roman" w:hAnsi="Times New Roman" w:cs="Times New Roman" w:eastAsia="Times New Roman" w:hint="default"/>
                <w:sz w:val="15"/>
                <w:szCs w:val="15"/>
              </w:rPr>
            </w:pPr>
            <w:r>
              <w:rPr>
                <w:rFonts w:ascii="Times New Roman"/>
                <w:b/>
                <w:sz w:val="15"/>
              </w:rPr>
              <w:t>23</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奥拓综合信息发布软件</w:t>
            </w:r>
            <w:r>
              <w:rPr>
                <w:rFonts w:ascii="Times New Roman" w:hAnsi="Times New Roman" w:cs="Times New Roman" w:eastAsia="Times New Roman" w:hint="default"/>
                <w:sz w:val="15"/>
                <w:szCs w:val="15"/>
              </w:rPr>
              <w:t>V5.0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1"/>
              <w:jc w:val="center"/>
              <w:rPr>
                <w:rFonts w:ascii="Times New Roman" w:hAnsi="Times New Roman" w:cs="Times New Roman" w:eastAsia="Times New Roman" w:hint="default"/>
                <w:sz w:val="15"/>
                <w:szCs w:val="15"/>
              </w:rPr>
            </w:pPr>
            <w:r>
              <w:rPr>
                <w:rFonts w:ascii="Times New Roman"/>
                <w:sz w:val="15"/>
              </w:rPr>
              <w:t>2018SR944782</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3273877</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24</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奥拓电子回单箱管理系统</w:t>
            </w:r>
            <w:r>
              <w:rPr>
                <w:rFonts w:ascii="Times New Roman" w:hAnsi="Times New Roman" w:cs="Times New Roman" w:eastAsia="Times New Roman" w:hint="default"/>
                <w:sz w:val="15"/>
                <w:szCs w:val="15"/>
              </w:rPr>
              <w:t>V6.0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2018SR858987</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3188082</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25</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奥拓智能卡电子回单箱管理软件</w:t>
            </w:r>
            <w:r>
              <w:rPr>
                <w:rFonts w:ascii="Times New Roman" w:hAnsi="Times New Roman" w:cs="Times New Roman" w:eastAsia="Times New Roman" w:hint="default"/>
                <w:sz w:val="15"/>
                <w:szCs w:val="15"/>
              </w:rPr>
              <w:t>V6.2"</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2018SR858996</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3188091</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26</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奥拓无线客户分类排队管理软件</w:t>
            </w:r>
            <w:r>
              <w:rPr>
                <w:rFonts w:ascii="Times New Roman" w:hAnsi="Times New Roman" w:cs="Times New Roman" w:eastAsia="Times New Roman" w:hint="default"/>
                <w:sz w:val="15"/>
                <w:szCs w:val="15"/>
              </w:rPr>
              <w:t>V4.0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2018SR879237</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3208332</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27</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奥拓智能卡电子回单箱管理软件</w:t>
            </w:r>
            <w:r>
              <w:rPr>
                <w:rFonts w:ascii="Times New Roman" w:hAnsi="Times New Roman" w:cs="Times New Roman" w:eastAsia="Times New Roman" w:hint="default"/>
                <w:sz w:val="15"/>
                <w:szCs w:val="15"/>
              </w:rPr>
              <w:t>V6.61</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2018SR847615</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3176010</w:t>
            </w:r>
            <w:r>
              <w:rPr>
                <w:rFonts w:ascii="宋体" w:hAnsi="宋体" w:cs="宋体" w:eastAsia="宋体" w:hint="default"/>
                <w:sz w:val="15"/>
                <w:szCs w:val="15"/>
              </w:rPr>
              <w:t>号</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28</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翰明自助发卡系统软件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2017SR650528</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沪</w:t>
            </w:r>
            <w:r>
              <w:rPr>
                <w:rFonts w:ascii="Times New Roman" w:hAnsi="Times New Roman" w:cs="Times New Roman" w:eastAsia="Times New Roman" w:hint="default"/>
                <w:sz w:val="15"/>
                <w:szCs w:val="15"/>
              </w:rPr>
              <w:t>RC-2018-0005</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1"/>
              <w:jc w:val="center"/>
              <w:rPr>
                <w:rFonts w:ascii="Times New Roman" w:hAnsi="Times New Roman" w:cs="Times New Roman" w:eastAsia="Times New Roman" w:hint="default"/>
                <w:sz w:val="15"/>
                <w:szCs w:val="15"/>
              </w:rPr>
            </w:pPr>
            <w:r>
              <w:rPr>
                <w:rFonts w:ascii="Times New Roman"/>
                <w:b/>
                <w:sz w:val="15"/>
              </w:rPr>
              <w:t>29</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翰明基于区块链技术的电子对账系统软件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1"/>
              <w:jc w:val="center"/>
              <w:rPr>
                <w:rFonts w:ascii="Times New Roman" w:hAnsi="Times New Roman" w:cs="Times New Roman" w:eastAsia="Times New Roman" w:hint="default"/>
                <w:sz w:val="15"/>
                <w:szCs w:val="15"/>
              </w:rPr>
            </w:pPr>
            <w:r>
              <w:rPr>
                <w:rFonts w:ascii="Times New Roman"/>
                <w:sz w:val="15"/>
              </w:rPr>
              <w:t>2017SR650516</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沪</w:t>
            </w:r>
            <w:r>
              <w:rPr>
                <w:rFonts w:ascii="Times New Roman" w:hAnsi="Times New Roman" w:cs="Times New Roman" w:eastAsia="Times New Roman" w:hint="default"/>
                <w:sz w:val="15"/>
                <w:szCs w:val="15"/>
              </w:rPr>
              <w:t>RC-2018-0006</w:t>
            </w:r>
          </w:p>
        </w:tc>
      </w:tr>
    </w:tbl>
    <w:p>
      <w:pPr>
        <w:spacing w:after="0" w:line="240" w:lineRule="auto"/>
        <w:jc w:val="center"/>
        <w:rPr>
          <w:rFonts w:ascii="Times New Roman" w:hAnsi="Times New Roman" w:cs="Times New Roman" w:eastAsia="Times New Roman" w:hint="default"/>
          <w:sz w:val="15"/>
          <w:szCs w:val="15"/>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6" w:type="dxa"/>
        <w:tblLayout w:type="fixed"/>
        <w:tblCellMar>
          <w:top w:w="0" w:type="dxa"/>
          <w:left w:w="0" w:type="dxa"/>
          <w:bottom w:w="0" w:type="dxa"/>
          <w:right w:w="0" w:type="dxa"/>
        </w:tblCellMar>
        <w:tblLook w:val="01E0"/>
      </w:tblPr>
      <w:tblGrid>
        <w:gridCol w:w="1009"/>
        <w:gridCol w:w="3985"/>
        <w:gridCol w:w="1700"/>
        <w:gridCol w:w="2127"/>
      </w:tblGrid>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30</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翰明资产保全管理系统软件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2017SR683979</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沪</w:t>
            </w:r>
            <w:r>
              <w:rPr>
                <w:rFonts w:ascii="Times New Roman" w:hAnsi="Times New Roman" w:cs="Times New Roman" w:eastAsia="Times New Roman" w:hint="default"/>
                <w:sz w:val="15"/>
                <w:szCs w:val="15"/>
              </w:rPr>
              <w:t>RC-2018-0027</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31</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千百辉建筑机电安装调试系统</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2018SR978456</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3307551</w:t>
            </w:r>
            <w:r>
              <w:rPr>
                <w:rFonts w:ascii="宋体" w:hAnsi="宋体" w:cs="宋体" w:eastAsia="宋体" w:hint="default"/>
                <w:sz w:val="15"/>
                <w:szCs w:val="15"/>
              </w:rPr>
              <w:t>号</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32</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千百辉照明灯具综合测试系统</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2018SR975469</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3304564</w:t>
            </w:r>
            <w:r>
              <w:rPr>
                <w:rFonts w:ascii="宋体" w:hAnsi="宋体" w:cs="宋体" w:eastAsia="宋体" w:hint="default"/>
                <w:sz w:val="15"/>
                <w:szCs w:val="15"/>
              </w:rPr>
              <w:t>号</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1"/>
              <w:jc w:val="center"/>
              <w:rPr>
                <w:rFonts w:ascii="Times New Roman" w:hAnsi="Times New Roman" w:cs="Times New Roman" w:eastAsia="Times New Roman" w:hint="default"/>
                <w:sz w:val="15"/>
                <w:szCs w:val="15"/>
              </w:rPr>
            </w:pPr>
            <w:r>
              <w:rPr>
                <w:rFonts w:ascii="Times New Roman"/>
                <w:b/>
                <w:sz w:val="15"/>
              </w:rPr>
              <w:t>33</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千百辉智慧照明集中控制系统</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2018SR975893</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3304988</w:t>
            </w:r>
            <w:r>
              <w:rPr>
                <w:rFonts w:ascii="宋体" w:hAnsi="宋体" w:cs="宋体" w:eastAsia="宋体" w:hint="default"/>
                <w:sz w:val="15"/>
                <w:szCs w:val="15"/>
              </w:rPr>
              <w:t>号</w:t>
            </w:r>
          </w:p>
        </w:tc>
      </w:tr>
      <w:tr>
        <w:trPr>
          <w:trHeight w:val="360"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1"/>
              <w:jc w:val="center"/>
              <w:rPr>
                <w:rFonts w:ascii="Times New Roman" w:hAnsi="Times New Roman" w:cs="Times New Roman" w:eastAsia="Times New Roman" w:hint="default"/>
                <w:sz w:val="15"/>
                <w:szCs w:val="15"/>
              </w:rPr>
            </w:pPr>
            <w:r>
              <w:rPr>
                <w:rFonts w:ascii="Times New Roman"/>
                <w:b/>
                <w:sz w:val="15"/>
              </w:rPr>
              <w:t>34</w:t>
            </w:r>
            <w:r>
              <w:rPr>
                <w:rFonts w:ascii="Times New Roman"/>
                <w:sz w:val="15"/>
              </w:rPr>
            </w:r>
          </w:p>
        </w:tc>
        <w:tc>
          <w:tcPr>
            <w:tcW w:w="3985"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43"/>
              <w:ind w:right="1"/>
              <w:jc w:val="center"/>
              <w:rPr>
                <w:rFonts w:ascii="宋体" w:hAnsi="宋体" w:cs="宋体" w:eastAsia="宋体" w:hint="default"/>
                <w:sz w:val="15"/>
                <w:szCs w:val="15"/>
              </w:rPr>
            </w:pPr>
            <w:r>
              <w:rPr>
                <w:rFonts w:ascii="宋体" w:hAnsi="宋体" w:cs="宋体" w:eastAsia="宋体" w:hint="default"/>
                <w:sz w:val="15"/>
                <w:szCs w:val="15"/>
              </w:rPr>
              <w:t>千百辉智慧照明远程监测系统</w:t>
            </w:r>
          </w:p>
        </w:tc>
        <w:tc>
          <w:tcPr>
            <w:tcW w:w="1700"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77"/>
              <w:ind w:right="1"/>
              <w:jc w:val="center"/>
              <w:rPr>
                <w:rFonts w:ascii="Times New Roman" w:hAnsi="Times New Roman" w:cs="Times New Roman" w:eastAsia="Times New Roman" w:hint="default"/>
                <w:sz w:val="15"/>
                <w:szCs w:val="15"/>
              </w:rPr>
            </w:pPr>
            <w:r>
              <w:rPr>
                <w:rFonts w:ascii="Times New Roman"/>
                <w:sz w:val="15"/>
              </w:rPr>
              <w:t>2018SR978447</w:t>
            </w:r>
          </w:p>
        </w:tc>
        <w:tc>
          <w:tcPr>
            <w:tcW w:w="2127"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43"/>
              <w:ind w:left="2" w:right="0"/>
              <w:jc w:val="center"/>
              <w:rPr>
                <w:rFonts w:ascii="宋体" w:hAnsi="宋体" w:cs="宋体" w:eastAsia="宋体" w:hint="default"/>
                <w:sz w:val="15"/>
                <w:szCs w:val="15"/>
              </w:rPr>
            </w:pPr>
            <w:r>
              <w:rPr>
                <w:rFonts w:ascii="宋体" w:hAnsi="宋体" w:cs="宋体" w:eastAsia="宋体" w:hint="default"/>
                <w:sz w:val="15"/>
                <w:szCs w:val="15"/>
              </w:rPr>
              <w:t>软著登字第</w:t>
            </w:r>
            <w:r>
              <w:rPr>
                <w:rFonts w:ascii="Times New Roman" w:hAnsi="Times New Roman" w:cs="Times New Roman" w:eastAsia="Times New Roman" w:hint="default"/>
                <w:sz w:val="15"/>
                <w:szCs w:val="15"/>
              </w:rPr>
              <w:t>3307542</w:t>
            </w:r>
            <w:r>
              <w:rPr>
                <w:rFonts w:ascii="宋体" w:hAnsi="宋体" w:cs="宋体" w:eastAsia="宋体" w:hint="default"/>
                <w:sz w:val="15"/>
                <w:szCs w:val="15"/>
              </w:rPr>
              <w:t>号</w:t>
            </w:r>
          </w:p>
        </w:tc>
      </w:tr>
      <w:tr>
        <w:trPr>
          <w:trHeight w:val="334" w:hRule="exact"/>
        </w:trPr>
        <w:tc>
          <w:tcPr>
            <w:tcW w:w="8821" w:type="dxa"/>
            <w:gridSpan w:val="4"/>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31"/>
              <w:ind w:right="1"/>
              <w:jc w:val="center"/>
              <w:rPr>
                <w:rFonts w:ascii="宋体" w:hAnsi="宋体" w:cs="宋体" w:eastAsia="宋体" w:hint="default"/>
                <w:sz w:val="15"/>
                <w:szCs w:val="15"/>
              </w:rPr>
            </w:pPr>
            <w:r>
              <w:rPr>
                <w:rFonts w:ascii="Times New Roman" w:hAnsi="Times New Roman" w:cs="Times New Roman" w:eastAsia="Times New Roman" w:hint="default"/>
                <w:b/>
                <w:bCs/>
                <w:sz w:val="15"/>
                <w:szCs w:val="15"/>
              </w:rPr>
              <w:t>2019</w:t>
            </w:r>
            <w:r>
              <w:rPr>
                <w:rFonts w:ascii="宋体" w:hAnsi="宋体" w:cs="宋体" w:eastAsia="宋体" w:hint="default"/>
                <w:b/>
                <w:bCs/>
                <w:sz w:val="15"/>
                <w:szCs w:val="15"/>
              </w:rPr>
              <w:t>年一季度授权软件著作权</w:t>
            </w:r>
            <w:r>
              <w:rPr>
                <w:rFonts w:ascii="宋体" w:hAnsi="宋体" w:cs="宋体" w:eastAsia="宋体" w:hint="default"/>
                <w:sz w:val="15"/>
                <w:szCs w:val="15"/>
              </w:rPr>
            </w:r>
          </w:p>
        </w:tc>
      </w:tr>
      <w:tr>
        <w:trPr>
          <w:trHeight w:val="341"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b/>
                <w:bCs/>
                <w:sz w:val="15"/>
                <w:szCs w:val="15"/>
              </w:rPr>
              <w:t>序号</w:t>
            </w:r>
            <w:r>
              <w:rPr>
                <w:rFonts w:ascii="宋体" w:hAnsi="宋体" w:cs="宋体" w:eastAsia="宋体" w:hint="default"/>
                <w:sz w:val="15"/>
                <w:szCs w:val="15"/>
              </w:rPr>
            </w:r>
          </w:p>
        </w:tc>
        <w:tc>
          <w:tcPr>
            <w:tcW w:w="3985"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b/>
                <w:bCs/>
                <w:sz w:val="15"/>
                <w:szCs w:val="15"/>
              </w:rPr>
              <w:t>软件名称</w:t>
            </w:r>
            <w:r>
              <w:rPr>
                <w:rFonts w:ascii="宋体" w:hAnsi="宋体" w:cs="宋体" w:eastAsia="宋体" w:hint="default"/>
                <w:sz w:val="15"/>
                <w:szCs w:val="15"/>
              </w:rPr>
            </w:r>
          </w:p>
        </w:tc>
        <w:tc>
          <w:tcPr>
            <w:tcW w:w="1700"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b/>
                <w:bCs/>
                <w:sz w:val="15"/>
                <w:szCs w:val="15"/>
              </w:rPr>
              <w:t>登记号</w:t>
            </w:r>
            <w:r>
              <w:rPr>
                <w:rFonts w:ascii="宋体" w:hAnsi="宋体" w:cs="宋体" w:eastAsia="宋体" w:hint="default"/>
                <w:sz w:val="15"/>
                <w:szCs w:val="15"/>
              </w:rPr>
            </w:r>
          </w:p>
        </w:tc>
        <w:tc>
          <w:tcPr>
            <w:tcW w:w="2127"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b/>
                <w:bCs/>
                <w:sz w:val="15"/>
                <w:szCs w:val="15"/>
              </w:rPr>
              <w:t>证书号</w:t>
            </w:r>
            <w:r>
              <w:rPr>
                <w:rFonts w:ascii="宋体" w:hAnsi="宋体" w:cs="宋体" w:eastAsia="宋体" w:hint="default"/>
                <w:sz w:val="15"/>
                <w:szCs w:val="15"/>
              </w:rPr>
            </w:r>
          </w:p>
        </w:tc>
      </w:tr>
      <w:tr>
        <w:trPr>
          <w:trHeight w:val="352"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7"/>
              <w:ind w:right="0"/>
              <w:jc w:val="center"/>
              <w:rPr>
                <w:rFonts w:ascii="Times New Roman" w:hAnsi="Times New Roman" w:cs="Times New Roman" w:eastAsia="Times New Roman" w:hint="default"/>
                <w:sz w:val="15"/>
                <w:szCs w:val="15"/>
              </w:rPr>
            </w:pPr>
            <w:r>
              <w:rPr>
                <w:rFonts w:ascii="Times New Roman"/>
                <w:b/>
                <w:sz w:val="15"/>
              </w:rPr>
              <w:t>1</w:t>
            </w:r>
            <w:r>
              <w:rPr>
                <w:rFonts w:ascii="Times New Roman"/>
                <w:sz w:val="15"/>
              </w:rPr>
            </w:r>
          </w:p>
        </w:tc>
        <w:tc>
          <w:tcPr>
            <w:tcW w:w="3985"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翰明智能化自助平台软件</w:t>
            </w:r>
            <w:r>
              <w:rPr>
                <w:rFonts w:ascii="Times New Roman" w:hAnsi="Times New Roman" w:cs="Times New Roman" w:eastAsia="Times New Roman" w:hint="default"/>
                <w:sz w:val="15"/>
                <w:szCs w:val="15"/>
              </w:rPr>
              <w:t>V1.0</w:t>
            </w:r>
          </w:p>
        </w:tc>
        <w:tc>
          <w:tcPr>
            <w:tcW w:w="170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2018SR1015982</w:t>
            </w:r>
          </w:p>
        </w:tc>
        <w:tc>
          <w:tcPr>
            <w:tcW w:w="2127"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沪</w:t>
            </w:r>
            <w:r>
              <w:rPr>
                <w:rFonts w:ascii="Times New Roman" w:hAnsi="Times New Roman" w:cs="Times New Roman" w:eastAsia="Times New Roman" w:hint="default"/>
                <w:sz w:val="15"/>
                <w:szCs w:val="15"/>
              </w:rPr>
              <w:t>RC-2019-0189</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翰明智能会议软件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2018SR1015973</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沪</w:t>
            </w:r>
            <w:r>
              <w:rPr>
                <w:rFonts w:ascii="Times New Roman" w:hAnsi="Times New Roman" w:cs="Times New Roman" w:eastAsia="Times New Roman" w:hint="default"/>
                <w:sz w:val="15"/>
                <w:szCs w:val="15"/>
              </w:rPr>
              <w:t>RC-2019-0192</w:t>
            </w:r>
          </w:p>
        </w:tc>
      </w:tr>
      <w:tr>
        <w:trPr>
          <w:trHeight w:val="348"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3</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翰明基于区块链技术的理财双录软件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1"/>
              <w:jc w:val="center"/>
              <w:rPr>
                <w:rFonts w:ascii="Times New Roman" w:hAnsi="Times New Roman" w:cs="Times New Roman" w:eastAsia="Times New Roman" w:hint="default"/>
                <w:sz w:val="15"/>
                <w:szCs w:val="15"/>
              </w:rPr>
            </w:pPr>
            <w:r>
              <w:rPr>
                <w:rFonts w:ascii="Times New Roman"/>
                <w:sz w:val="15"/>
              </w:rPr>
              <w:t>2018SR1016260</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沪</w:t>
            </w:r>
            <w:r>
              <w:rPr>
                <w:rFonts w:ascii="Times New Roman" w:hAnsi="Times New Roman" w:cs="Times New Roman" w:eastAsia="Times New Roman" w:hint="default"/>
                <w:sz w:val="15"/>
                <w:szCs w:val="15"/>
              </w:rPr>
              <w:t>RC-2019-0192</w:t>
            </w:r>
          </w:p>
        </w:tc>
      </w:tr>
      <w:tr>
        <w:trPr>
          <w:trHeight w:val="347" w:hRule="exact"/>
        </w:trPr>
        <w:tc>
          <w:tcPr>
            <w:tcW w:w="100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0"/>
              <w:jc w:val="center"/>
              <w:rPr>
                <w:rFonts w:ascii="Times New Roman" w:hAnsi="Times New Roman" w:cs="Times New Roman" w:eastAsia="Times New Roman" w:hint="default"/>
                <w:sz w:val="15"/>
                <w:szCs w:val="15"/>
              </w:rPr>
            </w:pPr>
            <w:r>
              <w:rPr>
                <w:rFonts w:ascii="Times New Roman"/>
                <w:b/>
                <w:sz w:val="15"/>
              </w:rPr>
              <w:t>4</w:t>
            </w:r>
            <w:r>
              <w:rPr>
                <w:rFonts w:ascii="Times New Roman"/>
                <w:sz w:val="15"/>
              </w:rPr>
            </w:r>
          </w:p>
        </w:tc>
        <w:tc>
          <w:tcPr>
            <w:tcW w:w="3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翰明智能体育场馆云服务软件</w:t>
            </w:r>
            <w:r>
              <w:rPr>
                <w:rFonts w:ascii="Times New Roman" w:hAnsi="Times New Roman" w:cs="Times New Roman" w:eastAsia="Times New Roman" w:hint="default"/>
                <w:sz w:val="15"/>
                <w:szCs w:val="15"/>
              </w:rPr>
              <w:t>V1.0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1"/>
              <w:jc w:val="center"/>
              <w:rPr>
                <w:rFonts w:ascii="Times New Roman" w:hAnsi="Times New Roman" w:cs="Times New Roman" w:eastAsia="Times New Roman" w:hint="default"/>
                <w:sz w:val="15"/>
                <w:szCs w:val="15"/>
              </w:rPr>
            </w:pPr>
            <w:r>
              <w:rPr>
                <w:rFonts w:ascii="Times New Roman"/>
                <w:sz w:val="15"/>
              </w:rPr>
              <w:t>2018SR1055244</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沪</w:t>
            </w:r>
            <w:r>
              <w:rPr>
                <w:rFonts w:ascii="Times New Roman" w:hAnsi="Times New Roman" w:cs="Times New Roman" w:eastAsia="Times New Roman" w:hint="default"/>
                <w:sz w:val="15"/>
                <w:szCs w:val="15"/>
              </w:rPr>
              <w:t>RC-2019-0195</w:t>
            </w:r>
          </w:p>
        </w:tc>
      </w:tr>
    </w:tbl>
    <w:p>
      <w:pPr>
        <w:spacing w:line="240" w:lineRule="auto" w:before="2"/>
        <w:rPr>
          <w:rFonts w:ascii="Times New Roman" w:hAnsi="Times New Roman" w:cs="Times New Roman" w:eastAsia="Times New Roman" w:hint="default"/>
          <w:sz w:val="24"/>
          <w:szCs w:val="24"/>
        </w:rPr>
      </w:pPr>
    </w:p>
    <w:p>
      <w:pPr>
        <w:pStyle w:val="BodyText"/>
        <w:spacing w:line="340" w:lineRule="auto" w:before="44"/>
        <w:ind w:left="514" w:right="0" w:firstLine="1"/>
        <w:jc w:val="left"/>
      </w:pPr>
      <w:r>
        <w:rPr>
          <w:rFonts w:ascii="Times New Roman" w:hAnsi="Times New Roman" w:cs="Times New Roman" w:eastAsia="Times New Roman" w:hint="default"/>
          <w:b/>
          <w:bCs/>
        </w:rPr>
        <w:t>2</w:t>
      </w:r>
      <w:r>
        <w:rPr>
          <w:rFonts w:ascii="宋体" w:hAnsi="宋体" w:cs="宋体" w:eastAsia="宋体" w:hint="default"/>
          <w:b/>
          <w:bCs/>
        </w:rPr>
        <w:t>、持续提升的品牌影响力</w:t>
      </w:r>
      <w:r>
        <w:rPr>
          <w:rFonts w:ascii="宋体" w:hAnsi="宋体" w:cs="宋体" w:eastAsia="宋体" w:hint="default"/>
          <w:b/>
          <w:bCs/>
          <w:w w:val="99"/>
        </w:rPr>
        <w:t> </w:t>
      </w:r>
      <w:r>
        <w:rPr>
          <w:spacing w:val="-2"/>
        </w:rPr>
        <w:t>公司一直专注为国内外高端市场和客户提供优质的产品及服务，坚持以自主品牌进行全球的拓展及运营，通过技术创新</w:t>
      </w:r>
    </w:p>
    <w:p>
      <w:pPr>
        <w:pStyle w:val="BodyText"/>
        <w:spacing w:line="357" w:lineRule="auto" w:before="2"/>
        <w:ind w:left="514" w:right="1122" w:hanging="360"/>
        <w:jc w:val="left"/>
      </w:pPr>
      <w:r>
        <w:rPr/>
        <w:t>和优质服务不断满足高端市场的客户需求，提升产品附加值，从而提高公司盈利能力。 公司金融科技业务服务于银行客户</w:t>
      </w:r>
      <w:r>
        <w:rPr>
          <w:rFonts w:ascii="Times New Roman" w:hAnsi="Times New Roman" w:cs="Times New Roman" w:eastAsia="Times New Roman" w:hint="default"/>
        </w:rPr>
        <w:t>26</w:t>
      </w:r>
      <w:r>
        <w:rPr/>
        <w:t>年，专注于为银行客户提供专业化的金融科技产品及解决方案，目前已为近</w:t>
      </w:r>
      <w:r>
        <w:rPr>
          <w:rFonts w:ascii="Times New Roman" w:hAnsi="Times New Roman" w:cs="Times New Roman" w:eastAsia="Times New Roman" w:hint="default"/>
        </w:rPr>
        <w:t>7</w:t>
      </w:r>
      <w:r>
        <w:rPr/>
        <w:t>万个</w:t>
      </w:r>
    </w:p>
    <w:p>
      <w:pPr>
        <w:pStyle w:val="BodyText"/>
        <w:spacing w:line="201" w:lineRule="exact"/>
        <w:ind w:right="0"/>
        <w:jc w:val="both"/>
      </w:pPr>
      <w:r>
        <w:rPr/>
        <w:t>银行网点提供过解决方案及服务</w:t>
      </w:r>
      <w:r>
        <w:rPr>
          <w:spacing w:val="-88"/>
        </w:rPr>
        <w:t>，</w:t>
      </w:r>
      <w:r>
        <w:rPr/>
        <w:t>同时</w:t>
      </w:r>
      <w:r>
        <w:rPr>
          <w:spacing w:val="-88"/>
        </w:rPr>
        <w:t>，</w:t>
      </w:r>
      <w:r>
        <w:rPr/>
        <w:t>公司作为国内最早一批智慧银行解决方案提供商</w:t>
      </w:r>
      <w:r>
        <w:rPr>
          <w:spacing w:val="-88"/>
        </w:rPr>
        <w:t>，</w:t>
      </w:r>
      <w:r>
        <w:rPr/>
        <w:t>积累了丰富的金融行业应用经验，</w:t>
      </w:r>
    </w:p>
    <w:p>
      <w:pPr>
        <w:pStyle w:val="BodyText"/>
        <w:spacing w:line="314" w:lineRule="auto" w:before="76"/>
        <w:ind w:right="1131"/>
        <w:jc w:val="both"/>
      </w:pPr>
      <w:r>
        <w:rPr>
          <w:spacing w:val="-2"/>
        </w:rPr>
        <w:t>深刻了解银行客户需求，在智慧银行的市场开拓中为公司奠定了坚实的基础。报告期内，公司智慧银行业务全面开花，成功</w:t>
      </w:r>
      <w:r>
        <w:rPr>
          <w:spacing w:val="-66"/>
        </w:rPr>
        <w:t> </w:t>
      </w:r>
      <w:r>
        <w:rPr>
          <w:spacing w:val="-66"/>
        </w:rPr>
      </w:r>
      <w:r>
        <w:rPr>
          <w:spacing w:val="-2"/>
        </w:rPr>
        <w:t>实施完成了建设银行湖南省分行、建设银行河南省分行、建设银行山东省分行等多个重点智慧银行建设项目；除智慧银行之</w:t>
      </w:r>
      <w:r>
        <w:rPr>
          <w:spacing w:val="-66"/>
        </w:rPr>
        <w:t> </w:t>
      </w:r>
      <w:r>
        <w:rPr>
          <w:spacing w:val="-66"/>
        </w:rPr>
      </w:r>
      <w:r>
        <w:rPr>
          <w:spacing w:val="-2"/>
        </w:rPr>
        <w:t>外，公司在中国电信智慧营业厅建设方面多有斩获，共实施完成了中国电信</w:t>
      </w:r>
      <w:r>
        <w:rPr>
          <w:rFonts w:ascii="Times New Roman" w:hAnsi="Times New Roman" w:cs="Times New Roman" w:eastAsia="Times New Roman" w:hint="default"/>
          <w:spacing w:val="-2"/>
        </w:rPr>
        <w:t>30</w:t>
      </w:r>
      <w:r>
        <w:rPr>
          <w:spacing w:val="-2"/>
        </w:rPr>
        <w:t>多家智慧营业厅建设，并率先发布通信行业内</w:t>
      </w:r>
      <w:r>
        <w:rPr>
          <w:spacing w:val="-64"/>
        </w:rPr>
        <w:t> </w:t>
      </w:r>
      <w:r>
        <w:rPr>
          <w:spacing w:val="-64"/>
        </w:rPr>
      </w:r>
      <w:r>
        <w:rPr>
          <w:spacing w:val="-2"/>
        </w:rPr>
        <w:t>首个智慧营业厅标准规范；新产品方面，公司智能服务型机器人成功集成运用到中国银行、工商银行、兴业银行、南京银行</w:t>
      </w:r>
      <w:r>
        <w:rPr>
          <w:spacing w:val="-66"/>
        </w:rPr>
        <w:t> </w:t>
      </w:r>
      <w:r>
        <w:rPr>
          <w:spacing w:val="-66"/>
        </w:rPr>
      </w:r>
      <w:r>
        <w:rPr/>
        <w:t>等银行网点。</w:t>
      </w:r>
    </w:p>
    <w:p>
      <w:pPr>
        <w:pStyle w:val="BodyText"/>
        <w:spacing w:line="300" w:lineRule="auto" w:before="59"/>
        <w:ind w:right="1130" w:firstLine="360"/>
        <w:jc w:val="both"/>
      </w:pPr>
      <w:r>
        <w:rPr>
          <w:spacing w:val="-2"/>
        </w:rPr>
        <w:t>公司的</w:t>
      </w:r>
      <w:r>
        <w:rPr>
          <w:rFonts w:ascii="Times New Roman" w:hAnsi="Times New Roman" w:cs="Times New Roman" w:eastAsia="Times New Roman" w:hint="default"/>
          <w:spacing w:val="-2"/>
        </w:rPr>
        <w:t>LED</w:t>
      </w:r>
      <w:r>
        <w:rPr>
          <w:spacing w:val="-2"/>
        </w:rPr>
        <w:t>显示业务在体育赛事、大交通、广播电视、户外媒体等领域收获颇丰，公司产品及解决方案应用在</w:t>
      </w:r>
      <w:r>
        <w:rPr>
          <w:rFonts w:ascii="Times New Roman" w:hAnsi="Times New Roman" w:cs="Times New Roman" w:eastAsia="Times New Roman" w:hint="default"/>
          <w:spacing w:val="-2"/>
        </w:rPr>
        <w:t>2018</w:t>
      </w:r>
      <w:r>
        <w:rPr>
          <w:spacing w:val="-2"/>
        </w:rPr>
        <w:t>年俄</w:t>
      </w:r>
      <w:r>
        <w:rPr/>
        <w:t> 罗斯世界杯、香港高铁西九龙站、白云国际机场</w:t>
      </w:r>
      <w:r>
        <w:rPr>
          <w:rFonts w:ascii="Times New Roman" w:hAnsi="Times New Roman" w:cs="Times New Roman" w:eastAsia="Times New Roman" w:hint="default"/>
        </w:rPr>
        <w:t>T2</w:t>
      </w:r>
      <w:r>
        <w:rPr/>
        <w:t>航站楼、上海浦东机场、三亚凤凰机场、伦敦希斯罗机场、香港国际机</w:t>
      </w:r>
      <w:r>
        <w:rPr>
          <w:spacing w:val="-25"/>
        </w:rPr>
        <w:t> </w:t>
      </w:r>
      <w:r>
        <w:rPr>
          <w:spacing w:val="-25"/>
        </w:rPr>
      </w:r>
      <w:r>
        <w:rPr>
          <w:spacing w:val="-2"/>
        </w:rPr>
        <w:t>场、延安机场、成都双流机场、中央电视台财经频道、香港</w:t>
      </w:r>
      <w:r>
        <w:rPr>
          <w:rFonts w:ascii="Times New Roman" w:hAnsi="Times New Roman" w:cs="Times New Roman" w:eastAsia="Times New Roman" w:hint="default"/>
          <w:spacing w:val="-2"/>
        </w:rPr>
        <w:t>NOW</w:t>
      </w:r>
      <w:r>
        <w:rPr>
          <w:rFonts w:ascii="Times New Roman" w:hAnsi="Times New Roman" w:cs="Times New Roman" w:eastAsia="Times New Roman" w:hint="default"/>
        </w:rPr>
        <w:t> </w:t>
      </w:r>
      <w:r>
        <w:rPr>
          <w:rFonts w:ascii="Times New Roman" w:hAnsi="Times New Roman" w:cs="Times New Roman" w:eastAsia="Times New Roman" w:hint="default"/>
          <w:spacing w:val="-1"/>
        </w:rPr>
        <w:t>TV</w:t>
      </w:r>
      <w:r>
        <w:rPr>
          <w:spacing w:val="-1"/>
        </w:rPr>
        <w:t>等项目，极大的提升了公司品牌形象和知名度，并通过</w:t>
      </w:r>
      <w:r>
        <w:rPr>
          <w:spacing w:val="-85"/>
        </w:rPr>
        <w:t> </w:t>
      </w:r>
      <w:r>
        <w:rPr>
          <w:spacing w:val="-85"/>
        </w:rPr>
      </w:r>
      <w:r>
        <w:rPr/>
        <w:t>重大项目的建设，进一步巩固了公司的高端和专业的全球性品牌。</w:t>
      </w:r>
    </w:p>
    <w:p>
      <w:pPr>
        <w:pStyle w:val="BodyText"/>
        <w:spacing w:line="309" w:lineRule="auto" w:before="71"/>
        <w:ind w:right="1131" w:firstLine="360"/>
        <w:jc w:val="both"/>
      </w:pPr>
      <w:r>
        <w:rPr>
          <w:spacing w:val="-2"/>
        </w:rPr>
        <w:t>公司全资子公司千百辉承接了青岛上合组织峰会城市亮化项目、西安灞河项目、深圳深南大道（福田段）景观照明提升</w:t>
      </w:r>
      <w:r>
        <w:rPr/>
        <w:t> 项目东段、深南东路景观照明提升工程</w:t>
      </w:r>
      <w:r>
        <w:rPr>
          <w:rFonts w:ascii="Times New Roman" w:hAnsi="Times New Roman" w:cs="Times New Roman" w:eastAsia="Times New Roman" w:hint="default"/>
        </w:rPr>
        <w:t>I</w:t>
      </w:r>
      <w:r>
        <w:rPr/>
        <w:t>标段（罗湖段）、三亚市城市景观亮化及长春奥林匹克公园等多个核心标段的亮化</w:t>
      </w:r>
      <w:r>
        <w:rPr>
          <w:spacing w:val="-56"/>
        </w:rPr>
        <w:t> </w:t>
      </w:r>
      <w:r>
        <w:rPr>
          <w:spacing w:val="-56"/>
        </w:rPr>
      </w:r>
      <w:r>
        <w:rPr/>
        <w:t>建设，极大地提升了公司在智慧照明行业的地位及品牌影响力。</w:t>
      </w:r>
    </w:p>
    <w:p>
      <w:pPr>
        <w:pStyle w:val="BodyText"/>
        <w:spacing w:line="240" w:lineRule="auto" w:before="62"/>
        <w:ind w:left="514" w:right="0"/>
        <w:jc w:val="left"/>
      </w:pPr>
      <w:r>
        <w:rPr/>
        <w:t>报告期内，公司也屡次获得行业奖项，提升了公司在行业的知名度和品牌影响力。具体获得的荣誉如下：</w:t>
      </w:r>
    </w:p>
    <w:p>
      <w:pPr>
        <w:spacing w:line="240" w:lineRule="auto" w:before="6"/>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634"/>
        <w:gridCol w:w="5178"/>
        <w:gridCol w:w="2904"/>
      </w:tblGrid>
      <w:tr>
        <w:trPr>
          <w:trHeight w:val="336"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39"/>
              <w:ind w:right="0"/>
              <w:jc w:val="center"/>
              <w:rPr>
                <w:rFonts w:ascii="宋体" w:hAnsi="宋体" w:cs="宋体" w:eastAsia="宋体" w:hint="default"/>
                <w:sz w:val="15"/>
                <w:szCs w:val="15"/>
              </w:rPr>
            </w:pPr>
            <w:r>
              <w:rPr>
                <w:rFonts w:ascii="宋体" w:hAnsi="宋体" w:cs="宋体" w:eastAsia="宋体" w:hint="default"/>
                <w:sz w:val="15"/>
                <w:szCs w:val="15"/>
              </w:rPr>
              <w:t>时间</w:t>
            </w:r>
          </w:p>
        </w:tc>
        <w:tc>
          <w:tcPr>
            <w:tcW w:w="5178"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39"/>
              <w:ind w:right="0"/>
              <w:jc w:val="center"/>
              <w:rPr>
                <w:rFonts w:ascii="宋体" w:hAnsi="宋体" w:cs="宋体" w:eastAsia="宋体" w:hint="default"/>
                <w:sz w:val="15"/>
                <w:szCs w:val="15"/>
              </w:rPr>
            </w:pPr>
            <w:r>
              <w:rPr>
                <w:rFonts w:ascii="宋体" w:hAnsi="宋体" w:cs="宋体" w:eastAsia="宋体" w:hint="default"/>
                <w:sz w:val="15"/>
                <w:szCs w:val="15"/>
              </w:rPr>
              <w:t>荣誉</w:t>
            </w:r>
            <w:r>
              <w:rPr>
                <w:rFonts w:ascii="Times New Roman" w:hAnsi="Times New Roman" w:cs="Times New Roman" w:eastAsia="Times New Roman" w:hint="default"/>
                <w:sz w:val="15"/>
                <w:szCs w:val="15"/>
              </w:rPr>
              <w:t>/</w:t>
            </w:r>
            <w:r>
              <w:rPr>
                <w:rFonts w:ascii="宋体" w:hAnsi="宋体" w:cs="宋体" w:eastAsia="宋体" w:hint="default"/>
                <w:sz w:val="15"/>
                <w:szCs w:val="15"/>
              </w:rPr>
              <w:t>奖项</w:t>
            </w:r>
          </w:p>
        </w:tc>
        <w:tc>
          <w:tcPr>
            <w:tcW w:w="290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39"/>
              <w:ind w:right="0"/>
              <w:jc w:val="center"/>
              <w:rPr>
                <w:rFonts w:ascii="宋体" w:hAnsi="宋体" w:cs="宋体" w:eastAsia="宋体" w:hint="default"/>
                <w:sz w:val="15"/>
                <w:szCs w:val="15"/>
              </w:rPr>
            </w:pPr>
            <w:r>
              <w:rPr>
                <w:rFonts w:ascii="宋体" w:hAnsi="宋体" w:cs="宋体" w:eastAsia="宋体" w:hint="default"/>
                <w:sz w:val="15"/>
                <w:szCs w:val="15"/>
              </w:rPr>
              <w:t>颁发单位</w:t>
            </w:r>
          </w:p>
        </w:tc>
      </w:tr>
      <w:tr>
        <w:trPr>
          <w:trHeight w:val="352"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7"/>
              <w:ind w:right="0"/>
              <w:jc w:val="center"/>
              <w:rPr>
                <w:rFonts w:ascii="Times New Roman" w:hAnsi="Times New Roman" w:cs="Times New Roman" w:eastAsia="Times New Roman" w:hint="default"/>
                <w:sz w:val="15"/>
                <w:szCs w:val="15"/>
              </w:rPr>
            </w:pPr>
            <w:r>
              <w:rPr>
                <w:rFonts w:ascii="Times New Roman"/>
                <w:b/>
                <w:sz w:val="15"/>
              </w:rPr>
              <w:t>2018.01</w:t>
            </w:r>
            <w:r>
              <w:rPr>
                <w:rFonts w:ascii="Times New Roman"/>
                <w:sz w:val="15"/>
              </w:rPr>
            </w:r>
          </w:p>
        </w:tc>
        <w:tc>
          <w:tcPr>
            <w:tcW w:w="5178"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罗湖商务中心夜景照明设计</w:t>
            </w:r>
            <w:r>
              <w:rPr>
                <w:rFonts w:ascii="Times New Roman" w:hAnsi="Times New Roman" w:cs="Times New Roman" w:eastAsia="Times New Roman" w:hint="default"/>
                <w:sz w:val="15"/>
                <w:szCs w:val="15"/>
              </w:rPr>
              <w:t>”</w:t>
            </w:r>
            <w:r>
              <w:rPr>
                <w:rFonts w:ascii="宋体" w:hAnsi="宋体" w:cs="宋体" w:eastAsia="宋体" w:hint="default"/>
                <w:sz w:val="15"/>
                <w:szCs w:val="15"/>
              </w:rPr>
              <w:t>荣获</w:t>
            </w:r>
            <w:r>
              <w:rPr>
                <w:rFonts w:ascii="Times New Roman" w:hAnsi="Times New Roman" w:cs="Times New Roman" w:eastAsia="Times New Roman" w:hint="default"/>
                <w:sz w:val="15"/>
                <w:szCs w:val="15"/>
              </w:rPr>
              <w:t>2017</w:t>
            </w:r>
            <w:r>
              <w:rPr>
                <w:rFonts w:ascii="宋体" w:hAnsi="宋体" w:cs="宋体" w:eastAsia="宋体" w:hint="default"/>
                <w:sz w:val="15"/>
                <w:szCs w:val="15"/>
              </w:rPr>
              <w:t>年度</w:t>
            </w:r>
            <w:r>
              <w:rPr>
                <w:rFonts w:ascii="Times New Roman" w:hAnsi="Times New Roman" w:cs="Times New Roman" w:eastAsia="Times New Roman" w:hint="default"/>
                <w:sz w:val="15"/>
                <w:szCs w:val="15"/>
              </w:rPr>
              <w:t>“</w:t>
            </w:r>
            <w:r>
              <w:rPr>
                <w:rFonts w:ascii="宋体" w:hAnsi="宋体" w:cs="宋体" w:eastAsia="宋体" w:hint="default"/>
                <w:sz w:val="15"/>
                <w:szCs w:val="15"/>
              </w:rPr>
              <w:t>深圳市优秀照明设计奖</w:t>
            </w:r>
            <w:r>
              <w:rPr>
                <w:rFonts w:ascii="Times New Roman" w:hAnsi="Times New Roman" w:cs="Times New Roman" w:eastAsia="Times New Roman" w:hint="default"/>
                <w:sz w:val="15"/>
                <w:szCs w:val="15"/>
              </w:rPr>
              <w:t>”</w:t>
            </w:r>
          </w:p>
        </w:tc>
        <w:tc>
          <w:tcPr>
            <w:tcW w:w="290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深圳市照明学会</w:t>
            </w:r>
          </w:p>
        </w:tc>
      </w:tr>
      <w:tr>
        <w:trPr>
          <w:trHeight w:val="347"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2018.01</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2017</w:t>
            </w:r>
            <w:r>
              <w:rPr>
                <w:rFonts w:ascii="宋体" w:hAnsi="宋体" w:cs="宋体" w:eastAsia="宋体" w:hint="default"/>
                <w:sz w:val="15"/>
                <w:szCs w:val="15"/>
              </w:rPr>
              <w:t>年度中国光电行业</w:t>
            </w:r>
            <w:r>
              <w:rPr>
                <w:rFonts w:ascii="Times New Roman" w:hAnsi="Times New Roman" w:cs="Times New Roman" w:eastAsia="Times New Roman" w:hint="default"/>
                <w:sz w:val="15"/>
                <w:szCs w:val="15"/>
              </w:rPr>
              <w:t>“</w:t>
            </w:r>
            <w:r>
              <w:rPr>
                <w:rFonts w:ascii="宋体" w:hAnsi="宋体" w:cs="宋体" w:eastAsia="宋体" w:hint="default"/>
                <w:sz w:val="15"/>
                <w:szCs w:val="15"/>
              </w:rPr>
              <w:t>影响力企业</w:t>
            </w:r>
            <w:r>
              <w:rPr>
                <w:rFonts w:ascii="Times New Roman" w:hAnsi="Times New Roman" w:cs="Times New Roman" w:eastAsia="Times New Roman" w:hint="default"/>
                <w:sz w:val="15"/>
                <w:szCs w:val="15"/>
              </w:rPr>
              <w:t>”</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中国光学光电子行业协会</w:t>
            </w:r>
          </w:p>
        </w:tc>
      </w:tr>
      <w:tr>
        <w:trPr>
          <w:trHeight w:val="348"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2018.02</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奥拓电子荣获深圳知名品牌奖</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深圳知名品牌评价委员会</w:t>
            </w:r>
          </w:p>
        </w:tc>
      </w:tr>
      <w:tr>
        <w:trPr>
          <w:trHeight w:val="659"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0"/>
              <w:jc w:val="center"/>
              <w:rPr>
                <w:rFonts w:ascii="Times New Roman" w:hAnsi="Times New Roman" w:cs="Times New Roman" w:eastAsia="Times New Roman" w:hint="default"/>
                <w:sz w:val="15"/>
                <w:szCs w:val="15"/>
              </w:rPr>
            </w:pPr>
            <w:r>
              <w:rPr>
                <w:rFonts w:ascii="Times New Roman"/>
                <w:b/>
                <w:sz w:val="15"/>
              </w:rPr>
              <w:t>2018.02</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43"/>
              <w:ind w:left="1632" w:right="39" w:hanging="1592"/>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美丽青岛行动</w:t>
            </w:r>
            <w:r>
              <w:rPr>
                <w:rFonts w:ascii="Times New Roman" w:hAnsi="Times New Roman" w:cs="Times New Roman" w:eastAsia="Times New Roman" w:hint="default"/>
                <w:sz w:val="15"/>
                <w:szCs w:val="15"/>
              </w:rPr>
              <w:t>”</w:t>
            </w:r>
            <w:r>
              <w:rPr>
                <w:rFonts w:ascii="宋体" w:hAnsi="宋体" w:cs="宋体" w:eastAsia="宋体" w:hint="default"/>
                <w:sz w:val="15"/>
                <w:szCs w:val="15"/>
              </w:rPr>
              <w:t>浮山湾核心区亮化提升工程中做出的杰出贡献，优秀项目管理 奖</w:t>
            </w:r>
            <w:r>
              <w:rPr>
                <w:rFonts w:ascii="Times New Roman" w:hAnsi="Times New Roman" w:cs="Times New Roman" w:eastAsia="Times New Roman" w:hint="default"/>
                <w:sz w:val="15"/>
                <w:szCs w:val="15"/>
              </w:rPr>
              <w:t>--</w:t>
            </w:r>
            <w:r>
              <w:rPr>
                <w:rFonts w:ascii="宋体" w:hAnsi="宋体" w:cs="宋体" w:eastAsia="宋体" w:hint="default"/>
                <w:sz w:val="15"/>
                <w:szCs w:val="15"/>
              </w:rPr>
              <w:t>千百辉青岛项目管理中心</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青岛市市政建设发展有限公司</w:t>
            </w:r>
          </w:p>
        </w:tc>
      </w:tr>
      <w:tr>
        <w:trPr>
          <w:trHeight w:val="659"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2018.04</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第五届中国</w:t>
            </w:r>
            <w:r>
              <w:rPr>
                <w:rFonts w:ascii="Times New Roman" w:hAnsi="Times New Roman" w:cs="Times New Roman" w:eastAsia="Times New Roman" w:hint="default"/>
                <w:sz w:val="15"/>
                <w:szCs w:val="15"/>
              </w:rPr>
              <w:t>LED</w:t>
            </w:r>
            <w:r>
              <w:rPr>
                <w:rFonts w:ascii="宋体" w:hAnsi="宋体" w:cs="宋体" w:eastAsia="宋体" w:hint="default"/>
                <w:sz w:val="15"/>
                <w:szCs w:val="15"/>
              </w:rPr>
              <w:t>首创奖知识产权</w:t>
            </w:r>
            <w:r>
              <w:rPr>
                <w:rFonts w:ascii="Times New Roman" w:hAnsi="Times New Roman" w:cs="Times New Roman" w:eastAsia="Times New Roman" w:hint="default"/>
                <w:sz w:val="15"/>
                <w:szCs w:val="15"/>
              </w:rPr>
              <w:t>30</w:t>
            </w:r>
            <w:r>
              <w:rPr>
                <w:rFonts w:ascii="宋体" w:hAnsi="宋体" w:cs="宋体" w:eastAsia="宋体" w:hint="default"/>
                <w:sz w:val="15"/>
                <w:szCs w:val="15"/>
              </w:rPr>
              <w:t>强</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44"/>
              <w:ind w:left="1219" w:right="72" w:hanging="1147"/>
              <w:jc w:val="left"/>
              <w:rPr>
                <w:rFonts w:ascii="宋体" w:hAnsi="宋体" w:cs="宋体" w:eastAsia="宋体" w:hint="default"/>
                <w:sz w:val="15"/>
                <w:szCs w:val="15"/>
              </w:rPr>
            </w:pPr>
            <w:r>
              <w:rPr>
                <w:rFonts w:ascii="宋体" w:hAnsi="宋体" w:cs="宋体" w:eastAsia="宋体" w:hint="default"/>
                <w:sz w:val="15"/>
                <w:szCs w:val="15"/>
              </w:rPr>
              <w:t>中国照明学会</w:t>
            </w:r>
            <w:r>
              <w:rPr>
                <w:rFonts w:ascii="Times New Roman" w:hAnsi="Times New Roman" w:cs="Times New Roman" w:eastAsia="Times New Roman" w:hint="default"/>
                <w:sz w:val="15"/>
                <w:szCs w:val="15"/>
              </w:rPr>
              <w:t>/</w:t>
            </w:r>
            <w:r>
              <w:rPr>
                <w:rFonts w:ascii="宋体" w:hAnsi="宋体" w:cs="宋体" w:eastAsia="宋体" w:hint="default"/>
                <w:sz w:val="15"/>
                <w:szCs w:val="15"/>
              </w:rPr>
              <w:t>半导体照明技术与应用专业 委员会</w:t>
            </w:r>
          </w:p>
        </w:tc>
      </w:tr>
      <w:tr>
        <w:trPr>
          <w:trHeight w:val="659"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2018.04</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中国光学光电子行业协会发光二极管显示应用分会会员单位证书</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381" w:lineRule="auto" w:before="44"/>
              <w:ind w:left="1219" w:right="18" w:hanging="1201"/>
              <w:jc w:val="left"/>
              <w:rPr>
                <w:rFonts w:ascii="宋体" w:hAnsi="宋体" w:cs="宋体" w:eastAsia="宋体" w:hint="default"/>
                <w:sz w:val="15"/>
                <w:szCs w:val="15"/>
              </w:rPr>
            </w:pPr>
            <w:r>
              <w:rPr>
                <w:rFonts w:ascii="宋体" w:hAnsi="宋体" w:cs="宋体" w:eastAsia="宋体" w:hint="default"/>
                <w:sz w:val="15"/>
                <w:szCs w:val="15"/>
              </w:rPr>
              <w:t>中国光学光电子行业协会发光二极管显示应 用分会</w:t>
            </w:r>
          </w:p>
        </w:tc>
      </w:tr>
      <w:tr>
        <w:trPr>
          <w:trHeight w:val="348"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2018.05</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2017</w:t>
            </w:r>
            <w:r>
              <w:rPr>
                <w:rFonts w:ascii="宋体" w:hAnsi="宋体" w:cs="宋体" w:eastAsia="宋体" w:hint="default"/>
                <w:sz w:val="15"/>
                <w:szCs w:val="15"/>
              </w:rPr>
              <w:t>年度深圳市软件业务收入前百家企业</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深圳市软件行业协会</w:t>
            </w:r>
          </w:p>
        </w:tc>
      </w:tr>
    </w:tbl>
    <w:p>
      <w:pPr>
        <w:spacing w:after="0" w:line="240" w:lineRule="auto"/>
        <w:jc w:val="center"/>
        <w:rPr>
          <w:rFonts w:ascii="宋体" w:hAnsi="宋体" w:cs="宋体" w:eastAsia="宋体" w:hint="default"/>
          <w:sz w:val="15"/>
          <w:szCs w:val="15"/>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634"/>
        <w:gridCol w:w="5178"/>
        <w:gridCol w:w="2904"/>
      </w:tblGrid>
      <w:tr>
        <w:trPr>
          <w:trHeight w:val="347"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48"/>
              <w:jc w:val="center"/>
              <w:rPr>
                <w:rFonts w:ascii="Times New Roman" w:hAnsi="Times New Roman" w:cs="Times New Roman" w:eastAsia="Times New Roman" w:hint="default"/>
                <w:sz w:val="15"/>
                <w:szCs w:val="15"/>
              </w:rPr>
            </w:pPr>
            <w:r>
              <w:rPr>
                <w:rFonts w:ascii="Times New Roman"/>
                <w:b/>
                <w:sz w:val="15"/>
              </w:rPr>
              <w:t>2018.7</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上合组织青岛峰会照明建设杰出贡献奖</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中国照明学会</w:t>
            </w:r>
          </w:p>
        </w:tc>
      </w:tr>
      <w:tr>
        <w:trPr>
          <w:trHeight w:val="659"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2018.08</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44"/>
              <w:ind w:left="2506" w:right="42" w:hanging="2462"/>
              <w:jc w:val="left"/>
              <w:rPr>
                <w:rFonts w:ascii="宋体" w:hAnsi="宋体" w:cs="宋体" w:eastAsia="宋体" w:hint="default"/>
                <w:sz w:val="15"/>
                <w:szCs w:val="15"/>
              </w:rPr>
            </w:pPr>
            <w:r>
              <w:rPr>
                <w:rFonts w:ascii="宋体" w:hAnsi="宋体" w:cs="宋体" w:eastAsia="宋体" w:hint="default"/>
                <w:sz w:val="15"/>
                <w:szCs w:val="15"/>
              </w:rPr>
              <w:t>公司</w:t>
            </w:r>
            <w:r>
              <w:rPr>
                <w:rFonts w:ascii="Times New Roman" w:hAnsi="Times New Roman" w:cs="Times New Roman" w:eastAsia="Times New Roman" w:hint="default"/>
                <w:sz w:val="15"/>
                <w:szCs w:val="15"/>
              </w:rPr>
              <w:t>“</w:t>
            </w:r>
            <w:r>
              <w:rPr>
                <w:rFonts w:ascii="宋体" w:hAnsi="宋体" w:cs="宋体" w:eastAsia="宋体" w:hint="default"/>
                <w:sz w:val="15"/>
                <w:szCs w:val="15"/>
              </w:rPr>
              <w:t>深色超级清体育场馆</w:t>
            </w:r>
            <w:r>
              <w:rPr>
                <w:rFonts w:ascii="Times New Roman" w:hAnsi="Times New Roman" w:cs="Times New Roman" w:eastAsia="Times New Roman" w:hint="default"/>
                <w:sz w:val="15"/>
                <w:szCs w:val="15"/>
              </w:rPr>
              <w:t>LED</w:t>
            </w:r>
            <w:r>
              <w:rPr>
                <w:rFonts w:ascii="宋体" w:hAnsi="宋体" w:cs="宋体" w:eastAsia="宋体" w:hint="default"/>
                <w:sz w:val="15"/>
                <w:szCs w:val="15"/>
              </w:rPr>
              <w:t>显示系统研制技术</w:t>
            </w:r>
            <w:r>
              <w:rPr>
                <w:rFonts w:ascii="Times New Roman" w:hAnsi="Times New Roman" w:cs="Times New Roman" w:eastAsia="Times New Roman" w:hint="default"/>
                <w:sz w:val="15"/>
                <w:szCs w:val="15"/>
              </w:rPr>
              <w:t>”</w:t>
            </w:r>
            <w:r>
              <w:rPr>
                <w:rFonts w:ascii="宋体" w:hAnsi="宋体" w:cs="宋体" w:eastAsia="宋体" w:hint="default"/>
                <w:sz w:val="15"/>
                <w:szCs w:val="15"/>
              </w:rPr>
              <w:t>获得深圳市科技进步奖二等 奖</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深圳市人民政府</w:t>
            </w:r>
          </w:p>
        </w:tc>
      </w:tr>
      <w:tr>
        <w:trPr>
          <w:trHeight w:val="347"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2018.09</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厦门国际会展中心夜景照明工程</w:t>
            </w:r>
            <w:r>
              <w:rPr>
                <w:rFonts w:ascii="Times New Roman" w:hAnsi="Times New Roman" w:cs="Times New Roman" w:eastAsia="Times New Roman" w:hint="default"/>
                <w:sz w:val="15"/>
                <w:szCs w:val="15"/>
              </w:rPr>
              <w:t>--</w:t>
            </w:r>
            <w:r>
              <w:rPr>
                <w:rFonts w:ascii="宋体" w:hAnsi="宋体" w:cs="宋体" w:eastAsia="宋体" w:hint="default"/>
                <w:sz w:val="15"/>
                <w:szCs w:val="15"/>
              </w:rPr>
              <w:t>第十三届中照设计一等奖</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中国照明学会</w:t>
            </w:r>
          </w:p>
        </w:tc>
      </w:tr>
      <w:tr>
        <w:trPr>
          <w:trHeight w:val="348"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2018.09</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宋体" w:hAnsi="宋体" w:cs="宋体" w:eastAsia="宋体" w:hint="default"/>
                <w:sz w:val="15"/>
                <w:szCs w:val="15"/>
              </w:rPr>
            </w:pPr>
            <w:r>
              <w:rPr>
                <w:rFonts w:ascii="宋体" w:hAnsi="宋体" w:cs="宋体" w:eastAsia="宋体" w:hint="default"/>
                <w:sz w:val="15"/>
                <w:szCs w:val="15"/>
              </w:rPr>
              <w:t>西安市浐灞生态区夜景照明工程（</w:t>
            </w:r>
            <w:r>
              <w:rPr>
                <w:rFonts w:ascii="Times New Roman" w:hAnsi="Times New Roman" w:cs="Times New Roman" w:eastAsia="Times New Roman" w:hint="default"/>
                <w:sz w:val="15"/>
                <w:szCs w:val="15"/>
              </w:rPr>
              <w:t>EPC</w:t>
            </w:r>
            <w:r>
              <w:rPr>
                <w:rFonts w:ascii="宋体" w:hAnsi="宋体" w:cs="宋体" w:eastAsia="宋体" w:hint="default"/>
                <w:sz w:val="15"/>
                <w:szCs w:val="15"/>
              </w:rPr>
              <w:t>项目）</w:t>
            </w:r>
            <w:r>
              <w:rPr>
                <w:rFonts w:ascii="Times New Roman" w:hAnsi="Times New Roman" w:cs="Times New Roman" w:eastAsia="Times New Roman" w:hint="default"/>
                <w:sz w:val="15"/>
                <w:szCs w:val="15"/>
              </w:rPr>
              <w:t>--</w:t>
            </w:r>
            <w:r>
              <w:rPr>
                <w:rFonts w:ascii="宋体" w:hAnsi="宋体" w:cs="宋体" w:eastAsia="宋体" w:hint="default"/>
                <w:sz w:val="15"/>
                <w:szCs w:val="15"/>
              </w:rPr>
              <w:t>第十三届中照设计二等奖</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中国照明学会</w:t>
            </w:r>
          </w:p>
        </w:tc>
      </w:tr>
      <w:tr>
        <w:trPr>
          <w:trHeight w:val="347"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0"/>
              <w:jc w:val="center"/>
              <w:rPr>
                <w:rFonts w:ascii="Times New Roman" w:hAnsi="Times New Roman" w:cs="Times New Roman" w:eastAsia="Times New Roman" w:hint="default"/>
                <w:sz w:val="15"/>
                <w:szCs w:val="15"/>
              </w:rPr>
            </w:pPr>
            <w:r>
              <w:rPr>
                <w:rFonts w:ascii="Times New Roman"/>
                <w:b/>
                <w:sz w:val="15"/>
              </w:rPr>
              <w:t>2018.09</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15"/>
                <w:szCs w:val="15"/>
              </w:rPr>
            </w:pPr>
            <w:r>
              <w:rPr>
                <w:rFonts w:ascii="宋体" w:hAnsi="宋体" w:cs="宋体" w:eastAsia="宋体" w:hint="default"/>
                <w:sz w:val="15"/>
                <w:szCs w:val="15"/>
              </w:rPr>
              <w:t>东莞市麻涌镇华阳湖夜景照明工程</w:t>
            </w:r>
            <w:r>
              <w:rPr>
                <w:rFonts w:ascii="Times New Roman" w:hAnsi="Times New Roman" w:cs="Times New Roman" w:eastAsia="Times New Roman" w:hint="default"/>
                <w:sz w:val="15"/>
                <w:szCs w:val="15"/>
              </w:rPr>
              <w:t>--</w:t>
            </w:r>
            <w:r>
              <w:rPr>
                <w:rFonts w:ascii="宋体" w:hAnsi="宋体" w:cs="宋体" w:eastAsia="宋体" w:hint="default"/>
                <w:sz w:val="15"/>
                <w:szCs w:val="15"/>
              </w:rPr>
              <w:t>第十三届中照设计优秀奖</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15"/>
                <w:szCs w:val="15"/>
              </w:rPr>
            </w:pPr>
            <w:r>
              <w:rPr>
                <w:rFonts w:ascii="宋体" w:hAnsi="宋体" w:cs="宋体" w:eastAsia="宋体" w:hint="default"/>
                <w:sz w:val="15"/>
                <w:szCs w:val="15"/>
              </w:rPr>
              <w:t>中国照明学会</w:t>
            </w:r>
          </w:p>
        </w:tc>
      </w:tr>
      <w:tr>
        <w:trPr>
          <w:trHeight w:val="347"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2018.09</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中国照明学会特别奖</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中国照明学会</w:t>
            </w:r>
          </w:p>
        </w:tc>
      </w:tr>
      <w:tr>
        <w:trPr>
          <w:trHeight w:val="347"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2018.10</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2017-2018</w:t>
            </w:r>
            <w:r>
              <w:rPr>
                <w:rFonts w:ascii="宋体" w:hAnsi="宋体" w:cs="宋体" w:eastAsia="宋体" w:hint="default"/>
                <w:sz w:val="15"/>
                <w:szCs w:val="15"/>
              </w:rPr>
              <w:t>中国</w:t>
            </w:r>
            <w:r>
              <w:rPr>
                <w:rFonts w:ascii="Times New Roman" w:hAnsi="Times New Roman" w:cs="Times New Roman" w:eastAsia="Times New Roman" w:hint="default"/>
                <w:sz w:val="15"/>
                <w:szCs w:val="15"/>
              </w:rPr>
              <w:t>LED</w:t>
            </w:r>
            <w:r>
              <w:rPr>
                <w:rFonts w:ascii="宋体" w:hAnsi="宋体" w:cs="宋体" w:eastAsia="宋体" w:hint="default"/>
                <w:sz w:val="15"/>
                <w:szCs w:val="15"/>
              </w:rPr>
              <w:t>应用工程优秀奖</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中国光学光电子行业协会</w:t>
            </w:r>
            <w:r>
              <w:rPr>
                <w:rFonts w:ascii="Times New Roman" w:hAnsi="Times New Roman" w:cs="Times New Roman" w:eastAsia="Times New Roman" w:hint="default"/>
                <w:sz w:val="15"/>
                <w:szCs w:val="15"/>
              </w:rPr>
              <w:t>/</w:t>
            </w:r>
            <w:r>
              <w:rPr>
                <w:rFonts w:ascii="宋体" w:hAnsi="宋体" w:cs="宋体" w:eastAsia="宋体" w:hint="default"/>
                <w:sz w:val="15"/>
                <w:szCs w:val="15"/>
              </w:rPr>
              <w:t>中国电子报社</w:t>
            </w:r>
          </w:p>
        </w:tc>
      </w:tr>
      <w:tr>
        <w:trPr>
          <w:trHeight w:val="659"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 w:right="0"/>
              <w:jc w:val="center"/>
              <w:rPr>
                <w:rFonts w:ascii="Times New Roman" w:hAnsi="Times New Roman" w:cs="Times New Roman" w:eastAsia="Times New Roman" w:hint="default"/>
                <w:sz w:val="15"/>
                <w:szCs w:val="15"/>
              </w:rPr>
            </w:pPr>
            <w:r>
              <w:rPr>
                <w:rFonts w:ascii="Times New Roman"/>
                <w:b/>
                <w:sz w:val="15"/>
              </w:rPr>
              <w:t>2018.10</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44"/>
              <w:ind w:left="2432" w:right="17" w:hanging="2414"/>
              <w:jc w:val="left"/>
              <w:rPr>
                <w:rFonts w:ascii="宋体" w:hAnsi="宋体" w:cs="宋体" w:eastAsia="宋体" w:hint="default"/>
                <w:sz w:val="15"/>
                <w:szCs w:val="15"/>
              </w:rPr>
            </w:pPr>
            <w:r>
              <w:rPr>
                <w:rFonts w:ascii="宋体" w:hAnsi="宋体" w:cs="宋体" w:eastAsia="宋体" w:hint="default"/>
                <w:sz w:val="15"/>
                <w:szCs w:val="15"/>
              </w:rPr>
              <w:t>全球半导体照明示范工程</w:t>
            </w:r>
            <w:r>
              <w:rPr>
                <w:rFonts w:ascii="Times New Roman" w:hAnsi="Times New Roman" w:cs="Times New Roman" w:eastAsia="Times New Roman" w:hint="default"/>
                <w:sz w:val="15"/>
                <w:szCs w:val="15"/>
              </w:rPr>
              <w:t>100</w:t>
            </w:r>
            <w:r>
              <w:rPr>
                <w:rFonts w:ascii="宋体" w:hAnsi="宋体" w:cs="宋体" w:eastAsia="宋体" w:hint="default"/>
                <w:sz w:val="15"/>
                <w:szCs w:val="15"/>
              </w:rPr>
              <w:t>佳</w:t>
            </w:r>
            <w:r>
              <w:rPr>
                <w:rFonts w:ascii="Times New Roman" w:hAnsi="Times New Roman" w:cs="Times New Roman" w:eastAsia="Times New Roman" w:hint="default"/>
                <w:sz w:val="15"/>
                <w:szCs w:val="15"/>
              </w:rPr>
              <w:t>--</w:t>
            </w:r>
            <w:r>
              <w:rPr>
                <w:rFonts w:ascii="宋体" w:hAnsi="宋体" w:cs="宋体" w:eastAsia="宋体" w:hint="default"/>
                <w:sz w:val="15"/>
                <w:szCs w:val="15"/>
              </w:rPr>
              <w:t>厦门金砖重点片区夜景照明工程厦门国际会展 中心</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国际半导体照明联盟（</w:t>
            </w:r>
            <w:r>
              <w:rPr>
                <w:rFonts w:ascii="Times New Roman" w:hAnsi="Times New Roman" w:cs="Times New Roman" w:eastAsia="Times New Roman" w:hint="default"/>
                <w:sz w:val="15"/>
                <w:szCs w:val="15"/>
              </w:rPr>
              <w:t>ISA</w:t>
            </w:r>
            <w:r>
              <w:rPr>
                <w:rFonts w:ascii="宋体" w:hAnsi="宋体" w:cs="宋体" w:eastAsia="宋体" w:hint="default"/>
                <w:sz w:val="15"/>
                <w:szCs w:val="15"/>
              </w:rPr>
              <w:t>）</w:t>
            </w:r>
          </w:p>
        </w:tc>
      </w:tr>
      <w:tr>
        <w:trPr>
          <w:trHeight w:val="659"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2018.11</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44"/>
              <w:ind w:left="2356" w:right="59" w:hanging="2296"/>
              <w:jc w:val="left"/>
              <w:rPr>
                <w:rFonts w:ascii="宋体" w:hAnsi="宋体" w:cs="宋体" w:eastAsia="宋体" w:hint="default"/>
                <w:sz w:val="15"/>
                <w:szCs w:val="15"/>
              </w:rPr>
            </w:pPr>
            <w:r>
              <w:rPr>
                <w:rFonts w:ascii="宋体" w:hAnsi="宋体" w:cs="宋体" w:eastAsia="宋体" w:hint="default"/>
                <w:sz w:val="15"/>
                <w:szCs w:val="15"/>
              </w:rPr>
              <w:t>科学技术奖三等奖</w:t>
            </w:r>
            <w:r>
              <w:rPr>
                <w:rFonts w:ascii="Times New Roman" w:hAnsi="Times New Roman" w:cs="Times New Roman" w:eastAsia="Times New Roman" w:hint="default"/>
                <w:sz w:val="15"/>
                <w:szCs w:val="15"/>
              </w:rPr>
              <w:t>--</w:t>
            </w:r>
            <w:r>
              <w:rPr>
                <w:rFonts w:ascii="宋体" w:hAnsi="宋体" w:cs="宋体" w:eastAsia="宋体" w:hint="default"/>
                <w:sz w:val="15"/>
                <w:szCs w:val="15"/>
              </w:rPr>
              <w:t>依托视觉传达与信息交互设计的</w:t>
            </w:r>
            <w:r>
              <w:rPr>
                <w:rFonts w:ascii="Times New Roman" w:hAnsi="Times New Roman" w:cs="Times New Roman" w:eastAsia="Times New Roman" w:hint="default"/>
                <w:sz w:val="15"/>
                <w:szCs w:val="15"/>
              </w:rPr>
              <w:t>LED</w:t>
            </w:r>
            <w:r>
              <w:rPr>
                <w:rFonts w:ascii="宋体" w:hAnsi="宋体" w:cs="宋体" w:eastAsia="宋体" w:hint="default"/>
                <w:sz w:val="15"/>
                <w:szCs w:val="15"/>
              </w:rPr>
              <w:t>光产品关键技术及工 程应用</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中国轻工业联合会</w:t>
            </w:r>
          </w:p>
        </w:tc>
      </w:tr>
      <w:tr>
        <w:trPr>
          <w:trHeight w:val="348"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2"/>
              <w:ind w:right="0"/>
              <w:jc w:val="center"/>
              <w:rPr>
                <w:rFonts w:ascii="Times New Roman" w:hAnsi="Times New Roman" w:cs="Times New Roman" w:eastAsia="Times New Roman" w:hint="default"/>
                <w:sz w:val="15"/>
                <w:szCs w:val="15"/>
              </w:rPr>
            </w:pPr>
            <w:r>
              <w:rPr>
                <w:rFonts w:ascii="Times New Roman"/>
                <w:b/>
                <w:sz w:val="15"/>
              </w:rPr>
              <w:t>2018.12</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公司被评为</w:t>
            </w:r>
            <w:r>
              <w:rPr>
                <w:rFonts w:ascii="Times New Roman" w:hAnsi="Times New Roman" w:cs="Times New Roman" w:eastAsia="Times New Roman" w:hint="default"/>
                <w:sz w:val="15"/>
                <w:szCs w:val="15"/>
              </w:rPr>
              <w:t>“miniLED</w:t>
            </w:r>
            <w:r>
              <w:rPr>
                <w:rFonts w:ascii="宋体" w:hAnsi="宋体" w:cs="宋体" w:eastAsia="宋体" w:hint="default"/>
                <w:sz w:val="15"/>
                <w:szCs w:val="15"/>
              </w:rPr>
              <w:t>新一代商业显示工程技术研究中心</w:t>
            </w:r>
            <w:r>
              <w:rPr>
                <w:rFonts w:ascii="Times New Roman" w:hAnsi="Times New Roman" w:cs="Times New Roman" w:eastAsia="Times New Roman" w:hint="default"/>
                <w:sz w:val="15"/>
                <w:szCs w:val="15"/>
              </w:rPr>
              <w:t>”</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广东省科学技术厅</w:t>
            </w:r>
          </w:p>
        </w:tc>
      </w:tr>
      <w:tr>
        <w:trPr>
          <w:trHeight w:val="347" w:hRule="exact"/>
        </w:trPr>
        <w:tc>
          <w:tcPr>
            <w:tcW w:w="6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80"/>
              <w:ind w:right="0"/>
              <w:jc w:val="center"/>
              <w:rPr>
                <w:rFonts w:ascii="Times New Roman" w:hAnsi="Times New Roman" w:cs="Times New Roman" w:eastAsia="Times New Roman" w:hint="default"/>
                <w:sz w:val="15"/>
                <w:szCs w:val="15"/>
              </w:rPr>
            </w:pPr>
            <w:r>
              <w:rPr>
                <w:rFonts w:ascii="Times New Roman"/>
                <w:b/>
                <w:sz w:val="15"/>
              </w:rPr>
              <w:t>2018.12</w:t>
            </w:r>
            <w:r>
              <w:rPr>
                <w:rFonts w:ascii="Times New Roman"/>
                <w:sz w:val="15"/>
              </w:rPr>
            </w:r>
          </w:p>
        </w:tc>
        <w:tc>
          <w:tcPr>
            <w:tcW w:w="51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15"/>
                <w:szCs w:val="15"/>
              </w:rPr>
            </w:pPr>
            <w:r>
              <w:rPr>
                <w:rFonts w:ascii="宋体" w:hAnsi="宋体" w:cs="宋体" w:eastAsia="宋体" w:hint="default"/>
                <w:sz w:val="15"/>
                <w:szCs w:val="15"/>
              </w:rPr>
              <w:t>第八届金手指奖全国照明工程公司</w:t>
            </w:r>
            <w:r>
              <w:rPr>
                <w:rFonts w:ascii="Times New Roman" w:hAnsi="Times New Roman" w:cs="Times New Roman" w:eastAsia="Times New Roman" w:hint="default"/>
                <w:sz w:val="15"/>
                <w:szCs w:val="15"/>
              </w:rPr>
              <w:t>30</w:t>
            </w:r>
            <w:r>
              <w:rPr>
                <w:rFonts w:ascii="宋体" w:hAnsi="宋体" w:cs="宋体" w:eastAsia="宋体" w:hint="default"/>
                <w:sz w:val="15"/>
                <w:szCs w:val="15"/>
              </w:rPr>
              <w:t>强</w:t>
            </w:r>
          </w:p>
        </w:tc>
        <w:tc>
          <w:tcPr>
            <w:tcW w:w="29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15"/>
                <w:szCs w:val="15"/>
              </w:rPr>
            </w:pPr>
            <w:r>
              <w:rPr>
                <w:rFonts w:ascii="宋体" w:hAnsi="宋体" w:cs="宋体" w:eastAsia="宋体" w:hint="default"/>
                <w:sz w:val="15"/>
                <w:szCs w:val="15"/>
              </w:rPr>
              <w:t>中国照明学会</w:t>
            </w:r>
          </w:p>
        </w:tc>
      </w:tr>
    </w:tbl>
    <w:p>
      <w:pPr>
        <w:spacing w:line="240" w:lineRule="auto" w:before="3"/>
        <w:rPr>
          <w:rFonts w:ascii="宋体" w:hAnsi="宋体" w:cs="宋体" w:eastAsia="宋体" w:hint="default"/>
          <w:sz w:val="21"/>
          <w:szCs w:val="21"/>
        </w:rPr>
      </w:pPr>
    </w:p>
    <w:p>
      <w:pPr>
        <w:pStyle w:val="BodyText"/>
        <w:spacing w:line="340" w:lineRule="auto" w:before="44"/>
        <w:ind w:left="514" w:right="0" w:firstLine="1"/>
        <w:jc w:val="left"/>
      </w:pPr>
      <w:r>
        <w:rPr>
          <w:rFonts w:ascii="Times New Roman" w:hAnsi="Times New Roman" w:cs="Times New Roman" w:eastAsia="Times New Roman" w:hint="default"/>
          <w:b/>
          <w:bCs/>
        </w:rPr>
        <w:t>3</w:t>
      </w:r>
      <w:r>
        <w:rPr>
          <w:rFonts w:ascii="宋体" w:hAnsi="宋体" w:cs="宋体" w:eastAsia="宋体" w:hint="default"/>
          <w:b/>
          <w:bCs/>
        </w:rPr>
        <w:t>、高效的运营管理体系</w:t>
      </w:r>
      <w:r>
        <w:rPr>
          <w:rFonts w:ascii="宋体" w:hAnsi="宋体" w:cs="宋体" w:eastAsia="宋体" w:hint="default"/>
          <w:b/>
          <w:bCs/>
          <w:w w:val="99"/>
        </w:rPr>
        <w:t> </w:t>
      </w:r>
      <w:r>
        <w:rPr>
          <w:spacing w:val="-2"/>
        </w:rPr>
        <w:t>报告期内，公司</w:t>
      </w:r>
      <w:r>
        <w:rPr>
          <w:rFonts w:ascii="Times New Roman" w:hAnsi="Times New Roman" w:cs="Times New Roman" w:eastAsia="Times New Roman" w:hint="default"/>
          <w:spacing w:val="-2"/>
        </w:rPr>
        <w:t>ERP</w:t>
      </w:r>
      <w:r>
        <w:rPr>
          <w:spacing w:val="-2"/>
        </w:rPr>
        <w:t>系统第一期及第二期项目正式落地，促进公司信息化平台建设的快速发展，实现了公司业务及财务</w:t>
      </w:r>
    </w:p>
    <w:p>
      <w:pPr>
        <w:pStyle w:val="BodyText"/>
        <w:spacing w:line="215" w:lineRule="exact"/>
        <w:ind w:right="0"/>
        <w:jc w:val="both"/>
      </w:pPr>
      <w:r>
        <w:rPr/>
        <w:t>一体化的目标。同时，公司进一步完善集团化战略管控的制度建设和文化宣贯，各业务板块和经营单位实现战略协同，提高</w:t>
      </w:r>
    </w:p>
    <w:p>
      <w:pPr>
        <w:pStyle w:val="BodyText"/>
        <w:spacing w:line="357" w:lineRule="auto" w:before="77"/>
        <w:ind w:left="514" w:right="0" w:hanging="360"/>
        <w:jc w:val="left"/>
      </w:pPr>
      <w:r>
        <w:rPr/>
        <w:t>公司运营效率，控制经营风险。 </w:t>
      </w:r>
      <w:r>
        <w:rPr>
          <w:spacing w:val="-2"/>
        </w:rPr>
        <w:t>公司于</w:t>
      </w:r>
      <w:r>
        <w:rPr>
          <w:rFonts w:ascii="Times New Roman" w:hAnsi="Times New Roman" w:cs="Times New Roman" w:eastAsia="Times New Roman" w:hint="default"/>
          <w:spacing w:val="-2"/>
        </w:rPr>
        <w:t>2018</w:t>
      </w:r>
      <w:r>
        <w:rPr>
          <w:spacing w:val="-2"/>
        </w:rPr>
        <w:t>年末设立武汉市奥拓智能科技有限公司以及</w:t>
      </w:r>
      <w:r>
        <w:rPr>
          <w:rFonts w:ascii="Times New Roman" w:hAnsi="Times New Roman" w:cs="Times New Roman" w:eastAsia="Times New Roman" w:hint="default"/>
          <w:spacing w:val="-2"/>
        </w:rPr>
        <w:t>2019</w:t>
      </w:r>
      <w:r>
        <w:rPr>
          <w:spacing w:val="-2"/>
        </w:rPr>
        <w:t>年初设立智能视讯技术研究院，将通过新的技术创新平台及</w:t>
      </w:r>
    </w:p>
    <w:p>
      <w:pPr>
        <w:pStyle w:val="BodyText"/>
        <w:spacing w:line="201" w:lineRule="exact"/>
        <w:ind w:right="0"/>
        <w:jc w:val="both"/>
      </w:pPr>
      <w:r>
        <w:rPr/>
        <w:t>软件研发平台，提升公司智能化及集成化水平，服务于公司战略，兼顾技术前瞻性和商业竞争性，将人工智能等先进技术与</w:t>
      </w:r>
    </w:p>
    <w:p>
      <w:pPr>
        <w:pStyle w:val="BodyText"/>
        <w:spacing w:line="319" w:lineRule="auto" w:before="77"/>
        <w:ind w:right="1133"/>
        <w:jc w:val="both"/>
      </w:pPr>
      <w:r>
        <w:rPr>
          <w:spacing w:val="-2"/>
        </w:rPr>
        <w:t>公司主业进行结合，解决客户实际需求及痛点，同时，武汉奥拓的成立，与国家长江流域大开发战略相结合，将推动公司三</w:t>
      </w:r>
      <w:r>
        <w:rPr>
          <w:spacing w:val="-66"/>
        </w:rPr>
        <w:t> </w:t>
      </w:r>
      <w:r>
        <w:rPr>
          <w:spacing w:val="-66"/>
        </w:rPr>
      </w:r>
      <w:r>
        <w:rPr/>
        <w:t>大业务在华中地区的开拓，进一步落地公司</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的战略。</w:t>
      </w:r>
    </w:p>
    <w:p>
      <w:pPr>
        <w:pStyle w:val="BodyText"/>
        <w:spacing w:line="309" w:lineRule="auto" w:before="35"/>
        <w:ind w:right="1131" w:firstLine="360"/>
        <w:jc w:val="both"/>
      </w:pPr>
      <w:r>
        <w:rPr>
          <w:rFonts w:ascii="Times New Roman" w:hAnsi="Times New Roman" w:cs="Times New Roman" w:eastAsia="Times New Roman" w:hint="default"/>
          <w:spacing w:val="-2"/>
        </w:rPr>
        <w:t>2019</w:t>
      </w:r>
      <w:r>
        <w:rPr>
          <w:spacing w:val="-2"/>
        </w:rPr>
        <w:t>年，公司重新组建了经营管理团队，团队均拥有多年的行业从业及管理经验，并且均为公司股东，能够最大限度地</w:t>
      </w:r>
      <w:r>
        <w:rPr/>
        <w:t> </w:t>
      </w:r>
      <w:r>
        <w:rPr>
          <w:spacing w:val="-2"/>
        </w:rPr>
        <w:t>发挥自身优势和潜能，有利于公司的长远发展。同时，公司对组织架构及业务进行了梳理，有利于提高战略的执行力，以及</w:t>
      </w:r>
      <w:r>
        <w:rPr>
          <w:spacing w:val="-66"/>
        </w:rPr>
        <w:t> </w:t>
      </w:r>
      <w:r>
        <w:rPr>
          <w:spacing w:val="-66"/>
        </w:rPr>
      </w:r>
      <w:r>
        <w:rPr/>
        <w:t>提升公司的整体运行效率。</w:t>
      </w:r>
    </w:p>
    <w:p>
      <w:pPr>
        <w:pStyle w:val="BodyText"/>
        <w:spacing w:line="338" w:lineRule="auto" w:before="65"/>
        <w:ind w:left="514" w:right="0"/>
        <w:jc w:val="left"/>
      </w:pPr>
      <w:r>
        <w:rPr>
          <w:rFonts w:ascii="Times New Roman" w:hAnsi="Times New Roman" w:cs="Times New Roman" w:eastAsia="Times New Roman" w:hint="default"/>
          <w:b/>
          <w:bCs/>
        </w:rPr>
        <w:t>4</w:t>
      </w:r>
      <w:r>
        <w:rPr>
          <w:rFonts w:ascii="宋体" w:hAnsi="宋体" w:cs="宋体" w:eastAsia="宋体" w:hint="default"/>
          <w:b/>
          <w:bCs/>
        </w:rPr>
        <w:t>、全面的营销服务网络</w:t>
      </w:r>
      <w:r>
        <w:rPr>
          <w:rFonts w:ascii="宋体" w:hAnsi="宋体" w:cs="宋体" w:eastAsia="宋体" w:hint="default"/>
          <w:b/>
          <w:bCs/>
          <w:w w:val="99"/>
        </w:rPr>
        <w:t> </w:t>
      </w:r>
      <w:r>
        <w:rPr>
          <w:spacing w:val="-2"/>
        </w:rPr>
        <w:t>报告期内，公司高度重视营销网络的建设。针对国内市场，为了更好地为智慧银行建设提供全方位的服务，公司在国内</w:t>
      </w:r>
    </w:p>
    <w:p>
      <w:pPr>
        <w:pStyle w:val="BodyText"/>
        <w:spacing w:line="309" w:lineRule="auto" w:before="2"/>
        <w:ind w:right="1132"/>
        <w:jc w:val="both"/>
      </w:pPr>
      <w:r>
        <w:rPr>
          <w:spacing w:val="-2"/>
        </w:rPr>
        <w:t>建立了</w:t>
      </w:r>
      <w:r>
        <w:rPr>
          <w:rFonts w:ascii="Times New Roman" w:hAnsi="Times New Roman" w:cs="Times New Roman" w:eastAsia="Times New Roman" w:hint="default"/>
          <w:spacing w:val="-2"/>
        </w:rPr>
        <w:t>85</w:t>
      </w:r>
      <w:r>
        <w:rPr>
          <w:spacing w:val="-2"/>
        </w:rPr>
        <w:t>个销售办事处及售后服务网点；针对海外市场，公司持续打造海外市场本地化营销网络，招揽本地优秀营销服务人</w:t>
      </w:r>
      <w:r>
        <w:rPr>
          <w:spacing w:val="-64"/>
        </w:rPr>
        <w:t> </w:t>
      </w:r>
      <w:r>
        <w:rPr>
          <w:spacing w:val="-64"/>
        </w:rPr>
      </w:r>
      <w:r>
        <w:rPr>
          <w:spacing w:val="-2"/>
        </w:rPr>
        <w:t>才，目前公司已拥有日本、美国、英国、德国、中国香港等多个地区子公司、办事处等营销服务网络，为公司海外业务的拓</w:t>
      </w:r>
      <w:r>
        <w:rPr>
          <w:spacing w:val="-72"/>
        </w:rPr>
        <w:t> </w:t>
      </w:r>
      <w:r>
        <w:rPr>
          <w:spacing w:val="-72"/>
        </w:rPr>
      </w:r>
      <w:r>
        <w:rPr/>
        <w:t>展奠定了基础。</w:t>
      </w:r>
    </w:p>
    <w:p>
      <w:pPr>
        <w:pStyle w:val="BodyText"/>
        <w:spacing w:line="316" w:lineRule="auto" w:before="62"/>
        <w:ind w:right="1131" w:firstLine="360"/>
        <w:jc w:val="both"/>
      </w:pPr>
      <w:r>
        <w:rPr>
          <w:spacing w:val="-2"/>
        </w:rPr>
        <w:t>经过多年的积累，公司建立了立体及多元化的售后服务体系，在产品同质化竞争异常激烈的市场环境中，公司以个性化</w:t>
      </w:r>
      <w:r>
        <w:rPr/>
        <w:t> </w:t>
      </w:r>
      <w:r>
        <w:rPr>
          <w:spacing w:val="-2"/>
        </w:rPr>
        <w:t>及专业化的服务为客户提供一站式解决方案。公司在人员配备、业务流程、售后服务体系上保证对客户的快速反应，长期跟</w:t>
      </w:r>
      <w:r>
        <w:rPr>
          <w:spacing w:val="-66"/>
        </w:rPr>
        <w:t> </w:t>
      </w:r>
      <w:r>
        <w:rPr>
          <w:spacing w:val="-66"/>
        </w:rPr>
      </w:r>
      <w:r>
        <w:rPr/>
        <w:t>踪并向客户提供优质服务。</w:t>
      </w:r>
    </w:p>
    <w:p>
      <w:pPr>
        <w:spacing w:after="0" w:line="316"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spacing w:line="4102" w:lineRule="exact"/>
        <w:ind w:left="1624"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4461478" cy="2604897"/>
            <wp:effectExtent l="0" t="0" r="0" b="0"/>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7" cstate="print"/>
                    <a:stretch>
                      <a:fillRect/>
                    </a:stretch>
                  </pic:blipFill>
                  <pic:spPr>
                    <a:xfrm>
                      <a:off x="0" y="0"/>
                      <a:ext cx="4461478" cy="2604897"/>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1"/>
        <w:rPr>
          <w:rFonts w:ascii="宋体" w:hAnsi="宋体" w:cs="宋体" w:eastAsia="宋体" w:hint="default"/>
          <w:sz w:val="12"/>
          <w:szCs w:val="12"/>
        </w:rPr>
      </w:pPr>
    </w:p>
    <w:p>
      <w:pPr>
        <w:pStyle w:val="BodyText"/>
        <w:spacing w:line="240" w:lineRule="auto" w:before="44"/>
        <w:ind w:left="3067" w:right="3834"/>
        <w:jc w:val="center"/>
      </w:pPr>
      <w:r>
        <w:rPr/>
        <w:t>全球子公司及办事处分布图</w:t>
      </w:r>
    </w:p>
    <w:p>
      <w:pPr>
        <w:spacing w:line="240" w:lineRule="auto" w:before="12"/>
        <w:rPr>
          <w:rFonts w:ascii="宋体" w:hAnsi="宋体" w:cs="宋体" w:eastAsia="宋体" w:hint="default"/>
          <w:sz w:val="14"/>
          <w:szCs w:val="14"/>
        </w:rPr>
      </w:pPr>
    </w:p>
    <w:p>
      <w:pPr>
        <w:spacing w:line="4128" w:lineRule="exact"/>
        <w:ind w:left="983"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5242560" cy="2621279"/>
            <wp:effectExtent l="0" t="0" r="0" b="0"/>
            <wp:docPr id="33" name="image18.png" descr=""/>
            <wp:cNvGraphicFramePr>
              <a:graphicFrameLocks noChangeAspect="1"/>
            </wp:cNvGraphicFramePr>
            <a:graphic>
              <a:graphicData uri="http://schemas.openxmlformats.org/drawingml/2006/picture">
                <pic:pic>
                  <pic:nvPicPr>
                    <pic:cNvPr id="34" name="image18.png"/>
                    <pic:cNvPicPr/>
                  </pic:nvPicPr>
                  <pic:blipFill>
                    <a:blip r:embed="rId28" cstate="print"/>
                    <a:stretch>
                      <a:fillRect/>
                    </a:stretch>
                  </pic:blipFill>
                  <pic:spPr>
                    <a:xfrm>
                      <a:off x="0" y="0"/>
                      <a:ext cx="5242560" cy="2621279"/>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12"/>
        <w:rPr>
          <w:rFonts w:ascii="宋体" w:hAnsi="宋体" w:cs="宋体" w:eastAsia="宋体" w:hint="default"/>
          <w:sz w:val="5"/>
          <w:szCs w:val="5"/>
        </w:rPr>
      </w:pPr>
    </w:p>
    <w:p>
      <w:pPr>
        <w:pStyle w:val="BodyText"/>
        <w:spacing w:line="240" w:lineRule="auto" w:before="44"/>
        <w:ind w:left="3067" w:right="3834"/>
        <w:jc w:val="center"/>
      </w:pPr>
      <w:r>
        <w:rPr/>
        <w:t>国内营销服务网点</w:t>
      </w:r>
    </w:p>
    <w:p>
      <w:pPr>
        <w:pStyle w:val="Heading7"/>
        <w:spacing w:line="240" w:lineRule="auto" w:before="76"/>
        <w:ind w:right="0"/>
        <w:jc w:val="left"/>
        <w:rPr>
          <w:b w:val="0"/>
          <w:bCs w:val="0"/>
        </w:rPr>
      </w:pPr>
      <w:r>
        <w:rPr>
          <w:rFonts w:ascii="Times New Roman" w:hAnsi="Times New Roman" w:cs="Times New Roman" w:eastAsia="Times New Roman" w:hint="default"/>
        </w:rPr>
        <w:t>5</w:t>
      </w:r>
      <w:r>
        <w:rPr/>
        <w:t>、人才高地战略</w:t>
      </w:r>
      <w:r>
        <w:rPr>
          <w:b w:val="0"/>
          <w:bCs w:val="0"/>
        </w:rPr>
      </w:r>
    </w:p>
    <w:p>
      <w:pPr>
        <w:pStyle w:val="BodyText"/>
        <w:spacing w:line="309" w:lineRule="auto" w:before="103"/>
        <w:ind w:right="1131" w:firstLine="360"/>
        <w:jc w:val="both"/>
      </w:pPr>
      <w:r>
        <w:rPr>
          <w:rFonts w:ascii="Times New Roman" w:hAnsi="Times New Roman" w:cs="Times New Roman" w:eastAsia="Times New Roman" w:hint="default"/>
          <w:spacing w:val="-5"/>
        </w:rPr>
        <w:t>2018</w:t>
      </w:r>
      <w:r>
        <w:rPr>
          <w:spacing w:val="-5"/>
        </w:rPr>
        <w:t>年，公司加速落地人才高地战略，加强人才梯队建设，通过</w:t>
      </w:r>
      <w:r>
        <w:rPr>
          <w:rFonts w:ascii="Times New Roman" w:hAnsi="Times New Roman" w:cs="Times New Roman" w:eastAsia="Times New Roman" w:hint="default"/>
          <w:spacing w:val="-5"/>
        </w:rPr>
        <w:t>25</w:t>
      </w:r>
      <w:r>
        <w:rPr>
          <w:spacing w:val="-5"/>
        </w:rPr>
        <w:t>周年庆典等一系列活动，增强员工的幸福感及归属感，</w:t>
      </w:r>
      <w:r>
        <w:rPr/>
        <w:t> </w:t>
      </w:r>
      <w:r>
        <w:rPr>
          <w:spacing w:val="-2"/>
        </w:rPr>
        <w:t>积极培养优质毕业生作为公司核心后备力量，通过系统性的培训，提升每个员工的工作能力及素养。同时，公司实行了新的</w:t>
      </w:r>
      <w:r>
        <w:rPr>
          <w:spacing w:val="-66"/>
        </w:rPr>
        <w:t> </w:t>
      </w:r>
      <w:r>
        <w:rPr>
          <w:spacing w:val="-66"/>
        </w:rPr>
      </w:r>
      <w:r>
        <w:rPr/>
        <w:t>薪酬制度及激励制度，提升公司员工的平均待遇及福利，有效地增强员工工作积极性。</w:t>
      </w:r>
    </w:p>
    <w:p>
      <w:pPr>
        <w:pStyle w:val="BodyText"/>
        <w:spacing w:line="302" w:lineRule="auto" w:before="62"/>
        <w:ind w:right="1132" w:firstLine="360"/>
        <w:jc w:val="both"/>
      </w:pPr>
      <w:r>
        <w:rPr/>
        <w:t>报告期内，公司实施了</w:t>
      </w:r>
      <w:r>
        <w:rPr>
          <w:rFonts w:ascii="Times New Roman" w:hAnsi="Times New Roman" w:cs="Times New Roman" w:eastAsia="Times New Roman" w:hint="default"/>
        </w:rPr>
        <w:t>2018</w:t>
      </w:r>
      <w:r>
        <w:rPr/>
        <w:t>年限制性股票激励计划，以</w:t>
      </w:r>
      <w:r>
        <w:rPr>
          <w:rFonts w:ascii="Times New Roman" w:hAnsi="Times New Roman" w:cs="Times New Roman" w:eastAsia="Times New Roman" w:hint="default"/>
        </w:rPr>
        <w:t>2.7</w:t>
      </w:r>
      <w:r>
        <w:rPr/>
        <w:t>元</w:t>
      </w:r>
      <w:r>
        <w:rPr>
          <w:rFonts w:ascii="Times New Roman" w:hAnsi="Times New Roman" w:cs="Times New Roman" w:eastAsia="Times New Roman" w:hint="default"/>
        </w:rPr>
        <w:t>/</w:t>
      </w:r>
      <w:r>
        <w:rPr/>
        <w:t>股的价格向</w:t>
      </w:r>
      <w:r>
        <w:rPr>
          <w:rFonts w:ascii="Times New Roman" w:hAnsi="Times New Roman" w:cs="Times New Roman" w:eastAsia="Times New Roman" w:hint="default"/>
        </w:rPr>
        <w:t>147</w:t>
      </w:r>
      <w:r>
        <w:rPr/>
        <w:t>名员工授予</w:t>
      </w:r>
      <w:r>
        <w:rPr>
          <w:rFonts w:ascii="Times New Roman" w:hAnsi="Times New Roman" w:cs="Times New Roman" w:eastAsia="Times New Roman" w:hint="default"/>
        </w:rPr>
        <w:t>800</w:t>
      </w:r>
      <w:r>
        <w:rPr/>
        <w:t>万股限制性股票，有效增强 员工与公司的粘性，增强员工工作积极性，将核心骨干纳入长效激励体系，为未来发展打下良好基础。</w:t>
      </w:r>
    </w:p>
    <w:p>
      <w:pPr>
        <w:spacing w:after="0" w:line="302"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right="0"/>
        <w:jc w:val="left"/>
        <w:rPr>
          <w:b w:val="0"/>
          <w:bCs w:val="0"/>
        </w:rPr>
      </w:pPr>
      <w:bookmarkStart w:name="第四节 经营情况讨论与分析" w:id="23"/>
      <w:bookmarkEnd w:id="23"/>
      <w:r>
        <w:rPr>
          <w:b w:val="0"/>
          <w:bCs w:val="0"/>
        </w:rPr>
      </w:r>
      <w:bookmarkStart w:name="_bookmark3" w:id="24"/>
      <w:bookmarkEnd w:id="24"/>
      <w:r>
        <w:rPr>
          <w:b w:val="0"/>
          <w:bCs w:val="0"/>
        </w:rPr>
      </w:r>
      <w:r>
        <w:rPr/>
        <w:t>第四节</w:t>
      </w:r>
      <w:r>
        <w:rPr>
          <w:spacing w:val="-10"/>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概述" w:id="25"/>
      <w:bookmarkEnd w:id="25"/>
      <w:r>
        <w:rPr>
          <w:b w:val="0"/>
          <w:bCs w:val="0"/>
        </w:rPr>
      </w:r>
      <w:r>
        <w:rPr/>
        <w:t>一、概述</w:t>
      </w:r>
      <w:r>
        <w:rPr>
          <w:b w:val="0"/>
          <w:bCs w:val="0"/>
        </w:rPr>
      </w:r>
    </w:p>
    <w:p>
      <w:pPr>
        <w:spacing w:line="240" w:lineRule="auto" w:before="7"/>
        <w:rPr>
          <w:rFonts w:ascii="宋体" w:hAnsi="宋体" w:cs="宋体" w:eastAsia="宋体" w:hint="default"/>
          <w:b/>
          <w:bCs/>
          <w:sz w:val="26"/>
          <w:szCs w:val="26"/>
        </w:rPr>
      </w:pPr>
    </w:p>
    <w:p>
      <w:pPr>
        <w:spacing w:line="307" w:lineRule="auto" w:before="0"/>
        <w:ind w:left="154" w:right="1032"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年，公司围绕</w:t>
      </w:r>
      <w:r>
        <w:rPr>
          <w:rFonts w:ascii="Times New Roman" w:hAnsi="Times New Roman" w:cs="Times New Roman" w:eastAsia="Times New Roman" w:hint="default"/>
          <w:sz w:val="18"/>
          <w:szCs w:val="18"/>
        </w:rPr>
        <w:t>“</w:t>
      </w:r>
      <w:r>
        <w:rPr>
          <w:rFonts w:ascii="宋体" w:hAnsi="宋体" w:cs="宋体" w:eastAsia="宋体" w:hint="default"/>
          <w:sz w:val="18"/>
          <w:szCs w:val="18"/>
        </w:rPr>
        <w:t>智能</w:t>
      </w:r>
      <w:r>
        <w:rPr>
          <w:rFonts w:ascii="Times New Roman" w:hAnsi="Times New Roman" w:cs="Times New Roman" w:eastAsia="Times New Roman" w:hint="default"/>
          <w:sz w:val="18"/>
          <w:szCs w:val="18"/>
        </w:rPr>
        <w:t>+”</w:t>
      </w:r>
      <w:r>
        <w:rPr>
          <w:rFonts w:ascii="宋体" w:hAnsi="宋体" w:cs="宋体" w:eastAsia="宋体" w:hint="default"/>
          <w:sz w:val="18"/>
          <w:szCs w:val="18"/>
        </w:rPr>
        <w:t>战略，加强了人工智能技术与产品的集成联结，增强了公司的创新能力和竞争力；智慧银行 业务的全面拓展使得金融科技业务规模再创新高，银行智能服务型机器人成功集成运用到中国银行、工商银行、兴业银行、</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南京银行等银行网点；智能照明控制管理系统及</w:t>
      </w:r>
      <w:r>
        <w:rPr>
          <w:rFonts w:ascii="Times New Roman" w:hAnsi="Times New Roman" w:cs="Times New Roman" w:eastAsia="Times New Roman" w:hint="default"/>
          <w:sz w:val="18"/>
          <w:szCs w:val="18"/>
        </w:rPr>
        <w:t>MINI</w:t>
      </w:r>
      <w:r>
        <w:rPr>
          <w:rFonts w:ascii="Times New Roman" w:hAnsi="Times New Roman" w:cs="Times New Roman" w:eastAsia="Times New Roman" w:hint="default"/>
          <w:spacing w:val="22"/>
          <w:sz w:val="18"/>
          <w:szCs w:val="18"/>
        </w:rPr>
        <w:t> </w:t>
      </w:r>
      <w:r>
        <w:rPr>
          <w:rFonts w:ascii="Times New Roman" w:hAnsi="Times New Roman" w:cs="Times New Roman" w:eastAsia="Times New Roman" w:hint="default"/>
          <w:sz w:val="18"/>
          <w:szCs w:val="18"/>
        </w:rPr>
        <w:t>LED</w:t>
      </w:r>
      <w:r>
        <w:rPr>
          <w:rFonts w:ascii="宋体" w:hAnsi="宋体" w:cs="宋体" w:eastAsia="宋体" w:hint="default"/>
          <w:sz w:val="18"/>
          <w:szCs w:val="18"/>
        </w:rPr>
        <w:t>产品的研发落地，进一步扩大了</w:t>
      </w:r>
      <w:r>
        <w:rPr>
          <w:rFonts w:ascii="Times New Roman" w:hAnsi="Times New Roman" w:cs="Times New Roman" w:eastAsia="Times New Roman" w:hint="default"/>
          <w:sz w:val="18"/>
          <w:szCs w:val="18"/>
        </w:rPr>
        <w:t>LED</w:t>
      </w:r>
      <w:r>
        <w:rPr>
          <w:rFonts w:ascii="宋体" w:hAnsi="宋体" w:cs="宋体" w:eastAsia="宋体" w:hint="default"/>
          <w:sz w:val="18"/>
          <w:szCs w:val="18"/>
        </w:rPr>
        <w:t>应用业务的销售规模，提升 了核心竞争力；公司高度重视并加大应收账款的管理力度，经营性现金净流量大幅提升。</w:t>
      </w:r>
      <w:r>
        <w:rPr>
          <w:rFonts w:ascii="宋体" w:hAnsi="宋体" w:cs="宋体" w:eastAsia="宋体" w:hint="default"/>
          <w:b/>
          <w:bCs/>
          <w:sz w:val="18"/>
          <w:szCs w:val="18"/>
        </w:rPr>
        <w:t>在全国经济增速下行，证券市场</w:t>
      </w:r>
      <w:r>
        <w:rPr>
          <w:rFonts w:ascii="宋体" w:hAnsi="宋体" w:cs="宋体" w:eastAsia="宋体" w:hint="default"/>
          <w:b/>
          <w:bCs/>
          <w:spacing w:val="-15"/>
          <w:sz w:val="18"/>
          <w:szCs w:val="18"/>
        </w:rPr>
        <w:t> </w:t>
      </w:r>
      <w:r>
        <w:rPr>
          <w:rFonts w:ascii="宋体" w:hAnsi="宋体" w:cs="宋体" w:eastAsia="宋体" w:hint="default"/>
          <w:b/>
          <w:bCs/>
          <w:spacing w:val="-15"/>
          <w:sz w:val="18"/>
          <w:szCs w:val="18"/>
        </w:rPr>
      </w:r>
      <w:r>
        <w:rPr>
          <w:rFonts w:ascii="宋体" w:hAnsi="宋体" w:cs="宋体" w:eastAsia="宋体" w:hint="default"/>
          <w:b/>
          <w:bCs/>
          <w:sz w:val="18"/>
          <w:szCs w:val="18"/>
        </w:rPr>
        <w:t>低迷的大环境下，公司</w:t>
      </w:r>
      <w:r>
        <w:rPr>
          <w:rFonts w:ascii="宋体" w:hAnsi="宋体" w:cs="宋体" w:eastAsia="宋体" w:hint="default"/>
          <w:b/>
          <w:bCs/>
          <w:spacing w:val="-24"/>
          <w:sz w:val="18"/>
          <w:szCs w:val="18"/>
        </w:rPr>
        <w:t> </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不爆仓</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不爆雷</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，持续稳健发展，全年营业收入和利润等主要经营指标创历史新高，全面实现</w:t>
      </w:r>
      <w:r>
        <w:rPr>
          <w:rFonts w:ascii="宋体" w:hAnsi="宋体" w:cs="宋体" w:eastAsia="宋体" w:hint="default"/>
          <w:b/>
          <w:bCs/>
          <w:w w:val="99"/>
          <w:sz w:val="18"/>
          <w:szCs w:val="18"/>
        </w:rPr>
        <w:t> </w:t>
      </w:r>
      <w:r>
        <w:rPr>
          <w:rFonts w:ascii="宋体" w:hAnsi="宋体" w:cs="宋体" w:eastAsia="宋体" w:hint="default"/>
          <w:b/>
          <w:bCs/>
          <w:sz w:val="18"/>
          <w:szCs w:val="18"/>
        </w:rPr>
        <w:t>公司跨越式健康发展的战略目标。</w:t>
      </w:r>
      <w:r>
        <w:rPr>
          <w:rFonts w:ascii="宋体" w:hAnsi="宋体" w:cs="宋体" w:eastAsia="宋体" w:hint="default"/>
          <w:sz w:val="18"/>
          <w:szCs w:val="18"/>
        </w:rPr>
      </w:r>
    </w:p>
    <w:p>
      <w:pPr>
        <w:pStyle w:val="BodyText"/>
        <w:spacing w:line="319" w:lineRule="auto" w:before="64"/>
        <w:ind w:right="1130" w:firstLine="420"/>
        <w:jc w:val="both"/>
      </w:pPr>
      <w:r>
        <w:rPr>
          <w:spacing w:val="-1"/>
        </w:rPr>
        <w:t>报告期内，公司实现营业收入</w:t>
      </w:r>
      <w:r>
        <w:rPr>
          <w:rFonts w:ascii="宋体" w:hAnsi="宋体" w:cs="宋体" w:eastAsia="宋体" w:hint="default"/>
          <w:spacing w:val="-1"/>
        </w:rPr>
        <w:t>157,337.24</w:t>
      </w:r>
      <w:r>
        <w:rPr>
          <w:spacing w:val="-1"/>
        </w:rPr>
        <w:t>万元，同比增长</w:t>
      </w:r>
      <w:r>
        <w:rPr>
          <w:rFonts w:ascii="宋体" w:hAnsi="宋体" w:cs="宋体" w:eastAsia="宋体" w:hint="default"/>
          <w:spacing w:val="-1"/>
        </w:rPr>
        <w:t>51.12%</w:t>
      </w:r>
      <w:r>
        <w:rPr>
          <w:spacing w:val="-1"/>
        </w:rPr>
        <w:t>；实现营业利润</w:t>
      </w:r>
      <w:r>
        <w:rPr>
          <w:rFonts w:ascii="宋体" w:hAnsi="宋体" w:cs="宋体" w:eastAsia="宋体" w:hint="default"/>
          <w:spacing w:val="-1"/>
        </w:rPr>
        <w:t>20,554.18</w:t>
      </w:r>
      <w:r>
        <w:rPr>
          <w:spacing w:val="-1"/>
        </w:rPr>
        <w:t>万元，同比增长</w:t>
      </w:r>
      <w:r>
        <w:rPr>
          <w:rFonts w:ascii="宋体" w:hAnsi="宋体" w:cs="宋体" w:eastAsia="宋体" w:hint="default"/>
          <w:spacing w:val="-1"/>
        </w:rPr>
        <w:t>46.72%</w:t>
      </w:r>
      <w:r>
        <w:rPr>
          <w:spacing w:val="-1"/>
        </w:rPr>
        <w:t>；实</w:t>
      </w:r>
      <w:r>
        <w:rPr>
          <w:spacing w:val="-10"/>
        </w:rPr>
        <w:t> </w:t>
      </w:r>
      <w:r>
        <w:rPr/>
        <w:t>现归属于上市公司股东的净利润</w:t>
      </w:r>
      <w:r>
        <w:rPr>
          <w:rFonts w:ascii="宋体" w:hAnsi="宋体" w:cs="宋体" w:eastAsia="宋体" w:hint="default"/>
        </w:rPr>
        <w:t>17,966.23</w:t>
      </w:r>
      <w:r>
        <w:rPr/>
        <w:t>万元，同比增长</w:t>
      </w:r>
      <w:r>
        <w:rPr>
          <w:rFonts w:ascii="宋体" w:hAnsi="宋体" w:cs="宋体" w:eastAsia="宋体" w:hint="default"/>
        </w:rPr>
        <w:t>36.09%</w:t>
      </w:r>
      <w:r>
        <w:rPr/>
        <w:t>。公司加强应收账款管理，高度重视资金回笼，经营性现</w:t>
      </w:r>
      <w:r>
        <w:rPr>
          <w:spacing w:val="-84"/>
        </w:rPr>
        <w:t> </w:t>
      </w:r>
      <w:r>
        <w:rPr>
          <w:spacing w:val="-84"/>
        </w:rPr>
      </w:r>
      <w:r>
        <w:rPr>
          <w:spacing w:val="-2"/>
        </w:rPr>
        <w:t>金流净额为</w:t>
      </w:r>
      <w:r>
        <w:rPr>
          <w:rFonts w:ascii="宋体" w:hAnsi="宋体" w:cs="宋体" w:eastAsia="宋体" w:hint="default"/>
          <w:spacing w:val="-2"/>
        </w:rPr>
        <w:t>19,291.61</w:t>
      </w:r>
      <w:r>
        <w:rPr>
          <w:spacing w:val="-2"/>
        </w:rPr>
        <w:t>万元，同比增长</w:t>
      </w:r>
      <w:r>
        <w:rPr>
          <w:rFonts w:ascii="宋体" w:hAnsi="宋体" w:cs="宋体" w:eastAsia="宋体" w:hint="default"/>
          <w:spacing w:val="-2"/>
        </w:rPr>
        <w:t>1,961.73%</w:t>
      </w:r>
      <w:r>
        <w:rPr>
          <w:spacing w:val="-2"/>
        </w:rPr>
        <w:t>。报告期内，公司业绩的快速提升，主要是由于销售收入增长以及汇兑收益</w:t>
      </w:r>
      <w:r>
        <w:rPr>
          <w:spacing w:val="-49"/>
        </w:rPr>
        <w:t> </w:t>
      </w:r>
      <w:r>
        <w:rPr>
          <w:spacing w:val="-49"/>
        </w:rPr>
      </w:r>
      <w:r>
        <w:rPr/>
        <w:t>增长所致，展现了公司可持续健康发展的良好态势。</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line="4435" w:lineRule="exact"/>
        <w:ind w:left="1583" w:right="0" w:firstLine="0"/>
        <w:rPr>
          <w:rFonts w:ascii="宋体" w:hAnsi="宋体" w:cs="宋体" w:eastAsia="宋体" w:hint="default"/>
          <w:sz w:val="20"/>
          <w:szCs w:val="20"/>
        </w:rPr>
      </w:pPr>
      <w:r>
        <w:rPr>
          <w:rFonts w:ascii="宋体" w:hAnsi="宋体" w:cs="宋体" w:eastAsia="宋体" w:hint="default"/>
          <w:position w:val="-88"/>
          <w:sz w:val="20"/>
          <w:szCs w:val="20"/>
        </w:rPr>
        <w:drawing>
          <wp:inline distT="0" distB="0" distL="0" distR="0">
            <wp:extent cx="4567057" cy="2816352"/>
            <wp:effectExtent l="0" t="0" r="0" b="0"/>
            <wp:docPr id="35" name="image19.png" descr=""/>
            <wp:cNvGraphicFramePr>
              <a:graphicFrameLocks noChangeAspect="1"/>
            </wp:cNvGraphicFramePr>
            <a:graphic>
              <a:graphicData uri="http://schemas.openxmlformats.org/drawingml/2006/picture">
                <pic:pic>
                  <pic:nvPicPr>
                    <pic:cNvPr id="36" name="image19.png"/>
                    <pic:cNvPicPr/>
                  </pic:nvPicPr>
                  <pic:blipFill>
                    <a:blip r:embed="rId29" cstate="print"/>
                    <a:stretch>
                      <a:fillRect/>
                    </a:stretch>
                  </pic:blipFill>
                  <pic:spPr>
                    <a:xfrm>
                      <a:off x="0" y="0"/>
                      <a:ext cx="4567057" cy="2816352"/>
                    </a:xfrm>
                    <a:prstGeom prst="rect">
                      <a:avLst/>
                    </a:prstGeom>
                  </pic:spPr>
                </pic:pic>
              </a:graphicData>
            </a:graphic>
          </wp:inline>
        </w:drawing>
      </w:r>
      <w:r>
        <w:rPr>
          <w:rFonts w:ascii="宋体" w:hAnsi="宋体" w:cs="宋体" w:eastAsia="宋体" w:hint="default"/>
          <w:position w:val="-88"/>
          <w:sz w:val="20"/>
          <w:szCs w:val="20"/>
        </w:rPr>
      </w:r>
    </w:p>
    <w:p>
      <w:pPr>
        <w:spacing w:after="0" w:line="4435" w:lineRule="exact"/>
        <w:rPr>
          <w:rFonts w:ascii="宋体" w:hAnsi="宋体" w:cs="宋体" w:eastAsia="宋体" w:hint="default"/>
          <w:sz w:val="20"/>
          <w:szCs w:val="20"/>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p>
      <w:pPr>
        <w:spacing w:line="4935" w:lineRule="exact"/>
        <w:ind w:left="1418" w:right="0" w:firstLine="0"/>
        <w:rPr>
          <w:rFonts w:ascii="宋体" w:hAnsi="宋体" w:cs="宋体" w:eastAsia="宋体" w:hint="default"/>
          <w:sz w:val="20"/>
          <w:szCs w:val="20"/>
        </w:rPr>
      </w:pPr>
      <w:r>
        <w:rPr>
          <w:rFonts w:ascii="宋体" w:hAnsi="宋体" w:cs="宋体" w:eastAsia="宋体" w:hint="default"/>
          <w:position w:val="-98"/>
          <w:sz w:val="20"/>
          <w:szCs w:val="20"/>
        </w:rPr>
        <w:drawing>
          <wp:inline distT="0" distB="0" distL="0" distR="0">
            <wp:extent cx="4505325" cy="3133725"/>
            <wp:effectExtent l="0" t="0" r="0" b="0"/>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30" cstate="print"/>
                    <a:stretch>
                      <a:fillRect/>
                    </a:stretch>
                  </pic:blipFill>
                  <pic:spPr>
                    <a:xfrm>
                      <a:off x="0" y="0"/>
                      <a:ext cx="4505325" cy="3133725"/>
                    </a:xfrm>
                    <a:prstGeom prst="rect">
                      <a:avLst/>
                    </a:prstGeom>
                  </pic:spPr>
                </pic:pic>
              </a:graphicData>
            </a:graphic>
          </wp:inline>
        </w:drawing>
      </w:r>
      <w:r>
        <w:rPr>
          <w:rFonts w:ascii="宋体" w:hAnsi="宋体" w:cs="宋体" w:eastAsia="宋体" w:hint="default"/>
          <w:position w:val="-98"/>
          <w:sz w:val="20"/>
          <w:szCs w:val="20"/>
        </w:rPr>
      </w:r>
    </w:p>
    <w:p>
      <w:pPr>
        <w:pStyle w:val="BodyText"/>
        <w:spacing w:line="309" w:lineRule="auto" w:before="86"/>
        <w:ind w:right="1130" w:firstLine="360"/>
        <w:jc w:val="both"/>
      </w:pPr>
      <w:r>
        <w:rPr/>
        <w:t>技术创新方面，公司以</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战略为核心，加强了对关键技术的更新迭代以及核心产品的智能化改造，继续坚持技术 领先型全球化发展战略，研发出申请</w:t>
      </w:r>
      <w:r>
        <w:rPr>
          <w:rFonts w:ascii="Times New Roman" w:hAnsi="Times New Roman" w:cs="Times New Roman" w:eastAsia="Times New Roman" w:hint="default"/>
        </w:rPr>
        <w:t>30</w:t>
      </w:r>
      <w:r>
        <w:rPr/>
        <w:t>多项全球各地专利的</w:t>
      </w:r>
      <w:r>
        <w:rPr>
          <w:rFonts w:ascii="Times New Roman" w:hAnsi="Times New Roman" w:cs="Times New Roman" w:eastAsia="Times New Roman" w:hint="default"/>
        </w:rPr>
        <w:t>MINI</w:t>
      </w:r>
      <w:r>
        <w:rPr>
          <w:rFonts w:ascii="Times New Roman" w:hAnsi="Times New Roman" w:cs="Times New Roman" w:eastAsia="Times New Roman" w:hint="default"/>
          <w:spacing w:val="11"/>
        </w:rPr>
        <w:t> </w:t>
      </w:r>
      <w:r>
        <w:rPr>
          <w:rFonts w:ascii="Times New Roman" w:hAnsi="Times New Roman" w:cs="Times New Roman" w:eastAsia="Times New Roman" w:hint="default"/>
        </w:rPr>
        <w:t>LED</w:t>
      </w:r>
      <w:r>
        <w:rPr/>
        <w:t>显示屏，推出了专为大型指挥控制中心、监控中心、 </w:t>
      </w:r>
      <w:r>
        <w:rPr>
          <w:spacing w:val="-2"/>
        </w:rPr>
        <w:t>演播室等领域提供海量数据图像处理支持的智能图像处理阵列；银行智能服务型机器人完成第二代产品小批量量产，并成功</w:t>
      </w:r>
      <w:r>
        <w:rPr>
          <w:spacing w:val="-64"/>
        </w:rPr>
        <w:t> </w:t>
      </w:r>
      <w:r>
        <w:rPr>
          <w:spacing w:val="-64"/>
        </w:rPr>
      </w:r>
      <w:r>
        <w:rPr>
          <w:spacing w:val="-2"/>
        </w:rPr>
        <w:t>集成运用到中国银行、工商银行、兴业银行、南京银行等银行网点；新开发的智能照明控制管理系统成功集成运用到深圳市</w:t>
      </w:r>
      <w:r>
        <w:rPr>
          <w:spacing w:val="-66"/>
        </w:rPr>
        <w:t> </w:t>
      </w:r>
      <w:r>
        <w:rPr>
          <w:spacing w:val="-66"/>
        </w:rPr>
      </w:r>
      <w:r>
        <w:rPr/>
        <w:t>“金三角”金融商业核心区灯光夜景提升工程等项目；基于区块链技术的理财双录软件已取得软件著作权。</w:t>
      </w:r>
    </w:p>
    <w:p>
      <w:pPr>
        <w:pStyle w:val="BodyText"/>
        <w:spacing w:line="240" w:lineRule="auto" w:before="65"/>
        <w:ind w:left="514" w:right="0"/>
        <w:jc w:val="left"/>
      </w:pPr>
      <w:r>
        <w:rPr/>
        <w:t>战略协同方面，千百辉、奥拓立翔等子公司加强与公司各业务单元的协同，经营业绩再创新高，企业文化进一步融合。</w:t>
      </w:r>
    </w:p>
    <w:p>
      <w:pPr>
        <w:pStyle w:val="BodyText"/>
        <w:spacing w:line="300" w:lineRule="auto" w:before="115"/>
        <w:ind w:right="1157" w:firstLine="360"/>
        <w:jc w:val="both"/>
      </w:pPr>
      <w:r>
        <w:rPr>
          <w:rFonts w:ascii="Times New Roman" w:hAnsi="Times New Roman" w:cs="Times New Roman" w:eastAsia="Times New Roman" w:hint="default"/>
        </w:rPr>
        <w:t>2018</w:t>
      </w:r>
      <w:r>
        <w:rPr/>
        <w:t>年，公司在金融科技业务板块、</w:t>
      </w:r>
      <w:r>
        <w:rPr>
          <w:rFonts w:ascii="Times New Roman" w:hAnsi="Times New Roman" w:cs="Times New Roman" w:eastAsia="Times New Roman" w:hint="default"/>
        </w:rPr>
        <w:t>LED</w:t>
      </w:r>
      <w:r>
        <w:rPr/>
        <w:t>应用业务板块、</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战略落地、运营管理、股东回报等方面主要完成的工 作情况如下：</w:t>
      </w:r>
    </w:p>
    <w:p>
      <w:pPr>
        <w:spacing w:line="300" w:lineRule="auto" w:before="31"/>
        <w:ind w:left="514" w:right="0" w:hanging="6"/>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、金融科技业务</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智慧营业厅建设全面开花，销售规模历史新高</w:t>
      </w:r>
      <w:r>
        <w:rPr>
          <w:rFonts w:ascii="宋体" w:hAnsi="宋体" w:cs="宋体" w:eastAsia="宋体" w:hint="default"/>
          <w:b/>
          <w:bCs/>
          <w:w w:val="99"/>
          <w:sz w:val="18"/>
          <w:szCs w:val="18"/>
        </w:rPr>
        <w:t> </w:t>
      </w:r>
      <w:r>
        <w:rPr>
          <w:rFonts w:ascii="宋体" w:hAnsi="宋体" w:cs="宋体" w:eastAsia="宋体" w:hint="default"/>
          <w:spacing w:val="-2"/>
          <w:sz w:val="18"/>
          <w:szCs w:val="18"/>
        </w:rPr>
        <w:t>金融科技作为公司国内业务的核心业务板块，主要由全资子公司南京奥拓和控股孙公司奥拓翰明运营。报告期内，智慧</w:t>
      </w:r>
    </w:p>
    <w:p>
      <w:pPr>
        <w:pStyle w:val="BodyText"/>
        <w:spacing w:line="240" w:lineRule="auto" w:before="31"/>
        <w:ind w:right="0"/>
        <w:jc w:val="left"/>
      </w:pPr>
      <w:r>
        <w:rPr/>
        <w:t>营业厅建设业务全面开花，销售规模创历史新高，营业收入为</w:t>
      </w:r>
      <w:r>
        <w:rPr>
          <w:rFonts w:ascii="Times New Roman" w:hAnsi="Times New Roman" w:cs="Times New Roman" w:eastAsia="Times New Roman" w:hint="default"/>
        </w:rPr>
        <w:t>29,233.87</w:t>
      </w:r>
      <w:r>
        <w:rPr/>
        <w:t>万元，相比去年同期增长</w:t>
      </w:r>
      <w:r>
        <w:rPr>
          <w:rFonts w:ascii="Times New Roman" w:hAnsi="Times New Roman" w:cs="Times New Roman" w:eastAsia="Times New Roman" w:hint="default"/>
        </w:rPr>
        <w:t>41.84%</w:t>
      </w:r>
      <w:r>
        <w:rPr/>
        <w:t>。</w:t>
      </w:r>
    </w:p>
    <w:p>
      <w:pPr>
        <w:spacing w:line="240" w:lineRule="auto" w:before="8"/>
        <w:rPr>
          <w:rFonts w:ascii="宋体" w:hAnsi="宋体" w:cs="宋体" w:eastAsia="宋体" w:hint="default"/>
          <w:sz w:val="29"/>
          <w:szCs w:val="29"/>
        </w:rPr>
      </w:pPr>
    </w:p>
    <w:p>
      <w:pPr>
        <w:spacing w:line="4320" w:lineRule="exact"/>
        <w:ind w:left="1587"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4572635" cy="2743200"/>
            <wp:effectExtent l="0" t="0" r="0" b="0"/>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31" cstate="print"/>
                    <a:stretch>
                      <a:fillRect/>
                    </a:stretch>
                  </pic:blipFill>
                  <pic:spPr>
                    <a:xfrm>
                      <a:off x="0" y="0"/>
                      <a:ext cx="4572635" cy="2743200"/>
                    </a:xfrm>
                    <a:prstGeom prst="rect">
                      <a:avLst/>
                    </a:prstGeom>
                  </pic:spPr>
                </pic:pic>
              </a:graphicData>
            </a:graphic>
          </wp:inline>
        </w:drawing>
      </w:r>
      <w:r>
        <w:rPr>
          <w:rFonts w:ascii="宋体" w:hAnsi="宋体" w:cs="宋体" w:eastAsia="宋体" w:hint="default"/>
          <w:position w:val="-85"/>
          <w:sz w:val="20"/>
          <w:szCs w:val="20"/>
        </w:rPr>
      </w:r>
    </w:p>
    <w:p>
      <w:pPr>
        <w:pStyle w:val="BodyText"/>
        <w:spacing w:line="316" w:lineRule="auto" w:before="76"/>
        <w:ind w:right="1132" w:firstLine="429"/>
        <w:jc w:val="both"/>
      </w:pPr>
      <w:r>
        <w:rPr/>
        <w:t>报告期内，公司智慧银行建设业务合同额大幅增长。在人脸识别、语音识别、语义识别、大数据等人工智能技术的加 持下，公司推出了</w:t>
      </w:r>
      <w:r>
        <w:rPr>
          <w:spacing w:val="-19"/>
        </w:rPr>
        <w:t> </w:t>
      </w:r>
      <w:r>
        <w:rPr>
          <w:rFonts w:ascii="Times New Roman" w:hAnsi="Times New Roman" w:cs="Times New Roman" w:eastAsia="Times New Roman" w:hint="default"/>
        </w:rPr>
        <w:t>“</w:t>
      </w:r>
      <w:r>
        <w:rPr/>
        <w:t>智慧银行</w:t>
      </w:r>
      <w:r>
        <w:rPr>
          <w:rFonts w:ascii="Times New Roman" w:hAnsi="Times New Roman" w:cs="Times New Roman" w:eastAsia="Times New Roman" w:hint="default"/>
        </w:rPr>
        <w:t>3.0</w:t>
      </w:r>
      <w:r>
        <w:rPr/>
        <w:t>解决方案</w:t>
      </w:r>
      <w:r>
        <w:rPr>
          <w:rFonts w:ascii="Times New Roman" w:hAnsi="Times New Roman" w:cs="Times New Roman" w:eastAsia="Times New Roman" w:hint="default"/>
        </w:rPr>
        <w:t>”</w:t>
      </w:r>
      <w:r>
        <w:rPr/>
        <w:t>，基于公司</w:t>
      </w:r>
      <w:r>
        <w:rPr>
          <w:rFonts w:ascii="Times New Roman" w:hAnsi="Times New Roman" w:cs="Times New Roman" w:eastAsia="Times New Roman" w:hint="default"/>
        </w:rPr>
        <w:t>26</w:t>
      </w:r>
      <w:r>
        <w:rPr/>
        <w:t>年服务银行客户的基础及优势，成功实施完成了建设银行湖南省分</w:t>
      </w:r>
    </w:p>
    <w:p>
      <w:pPr>
        <w:spacing w:after="0" w:line="316"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2" w:lineRule="auto" w:before="44"/>
        <w:ind w:right="1032"/>
        <w:jc w:val="left"/>
      </w:pPr>
      <w:r>
        <w:rPr/>
        <w:t>行、建设银行河南省分行、建设银行山东省分行等多个重点智慧银行建设项目。公司成立至今，已经服务过近</w:t>
      </w:r>
      <w:r>
        <w:rPr>
          <w:rFonts w:ascii="Times New Roman" w:hAnsi="Times New Roman" w:cs="Times New Roman" w:eastAsia="Times New Roman" w:hint="default"/>
        </w:rPr>
        <w:t>7</w:t>
      </w:r>
      <w:r>
        <w:rPr/>
        <w:t>万个银行网</w:t>
      </w:r>
      <w:r>
        <w:rPr>
          <w:spacing w:val="-81"/>
        </w:rPr>
        <w:t> </w:t>
      </w:r>
      <w:r>
        <w:rPr>
          <w:spacing w:val="-2"/>
        </w:rPr>
        <w:t>点，积累了丰富的金融行业应用经验，深刻了解银行客户需求，能为银行客户提供优质的解决方案及综合服务，同时，公司</w:t>
      </w:r>
      <w:r>
        <w:rPr>
          <w:spacing w:val="-67"/>
        </w:rPr>
        <w:t> </w:t>
      </w:r>
      <w:r>
        <w:rPr>
          <w:spacing w:val="-67"/>
        </w:rPr>
      </w:r>
      <w:r>
        <w:rPr/>
        <w:t>作为国内最早一批智慧银行解决方案提供商，紧握行业先发优势，以客户体验为中心，以科技赋能金融，实现智能、便捷、</w:t>
      </w:r>
      <w:r>
        <w:rPr>
          <w:spacing w:val="-83"/>
        </w:rPr>
        <w:t> </w:t>
      </w:r>
      <w:r>
        <w:rPr>
          <w:spacing w:val="-83"/>
        </w:rPr>
      </w:r>
      <w:r>
        <w:rPr/>
        <w:t>个性的金融服务。</w:t>
      </w:r>
    </w:p>
    <w:p>
      <w:pPr>
        <w:pStyle w:val="BodyText"/>
        <w:spacing w:line="309" w:lineRule="auto" w:before="61"/>
        <w:ind w:right="1131" w:firstLine="429"/>
        <w:jc w:val="both"/>
      </w:pPr>
      <w:r>
        <w:rPr/>
        <w:t>除了智慧银行以外，报告期内，公司在中国电信智慧营业厅建设方面多有斩获，共实施完成了中国电信</w:t>
      </w:r>
      <w:r>
        <w:rPr>
          <w:rFonts w:ascii="Times New Roman" w:hAnsi="Times New Roman" w:cs="Times New Roman" w:eastAsia="Times New Roman" w:hint="default"/>
        </w:rPr>
        <w:t>30</w:t>
      </w:r>
      <w:r>
        <w:rPr/>
        <w:t>多家智慧营 </w:t>
      </w:r>
      <w:r>
        <w:rPr>
          <w:spacing w:val="-2"/>
        </w:rPr>
        <w:t>业厅建设，包括中国电信首家智慧营业厅——广州马场智慧营业厅，并率先发布通信行业内首个智慧营业厅标准规范，为通</w:t>
      </w:r>
      <w:r>
        <w:rPr>
          <w:spacing w:val="-66"/>
        </w:rPr>
        <w:t> </w:t>
      </w:r>
      <w:r>
        <w:rPr>
          <w:spacing w:val="-66"/>
        </w:rPr>
      </w:r>
      <w:r>
        <w:rPr/>
        <w:t>信行业智慧营业厅建设奠定了坚实的基础。</w:t>
      </w:r>
    </w:p>
    <w:p>
      <w:pPr>
        <w:pStyle w:val="BodyText"/>
        <w:spacing w:line="314" w:lineRule="auto" w:before="64"/>
        <w:ind w:right="1131" w:firstLine="429"/>
        <w:jc w:val="both"/>
      </w:pPr>
      <w:r>
        <w:rPr>
          <w:spacing w:val="-3"/>
        </w:rPr>
        <w:t>新产品方面，公司</w:t>
      </w:r>
      <w:r>
        <w:rPr>
          <w:spacing w:val="-35"/>
        </w:rPr>
        <w:t> </w:t>
      </w:r>
      <w:r>
        <w:rPr/>
        <w:t>智能服务型机器人完成第二代产品小批量量产，且取得了产品认证证书，并成功集成运用到中国银</w:t>
      </w:r>
      <w:r>
        <w:rPr/>
        <w:t> </w:t>
      </w:r>
      <w:r>
        <w:rPr>
          <w:spacing w:val="-2"/>
        </w:rPr>
        <w:t>行上海分行、兴业银行安徽省分行、工商银行海南省分行、南京银行等银行网点。作为响应智慧银行网点改造需求的核心产</w:t>
      </w:r>
      <w:r>
        <w:rPr>
          <w:spacing w:val="-66"/>
        </w:rPr>
        <w:t> </w:t>
      </w:r>
      <w:r>
        <w:rPr>
          <w:spacing w:val="-66"/>
        </w:rPr>
      </w:r>
      <w:r>
        <w:rPr>
          <w:spacing w:val="-2"/>
        </w:rPr>
        <w:t>品，公司智慧服务型机器人融合语音语义、多媒体、运动控制、室内定位、大数据、云计算及图像识别等前沿技术，实现对</w:t>
      </w:r>
      <w:r>
        <w:rPr>
          <w:spacing w:val="-72"/>
        </w:rPr>
        <w:t> </w:t>
      </w:r>
      <w:r>
        <w:rPr>
          <w:spacing w:val="-72"/>
        </w:rPr>
      </w:r>
      <w:r>
        <w:rPr>
          <w:spacing w:val="-2"/>
        </w:rPr>
        <w:t>客户的智能引导和精准营销，使银行网点开启</w:t>
      </w:r>
      <w:r>
        <w:rPr>
          <w:rFonts w:ascii="Times New Roman" w:hAnsi="Times New Roman" w:cs="Times New Roman" w:eastAsia="Times New Roman" w:hint="default"/>
          <w:spacing w:val="-2"/>
        </w:rPr>
        <w:t>“</w:t>
      </w:r>
      <w:r>
        <w:rPr>
          <w:spacing w:val="-2"/>
        </w:rPr>
        <w:t>智慧</w:t>
      </w:r>
      <w:r>
        <w:rPr>
          <w:rFonts w:ascii="Times New Roman" w:hAnsi="Times New Roman" w:cs="Times New Roman" w:eastAsia="Times New Roman" w:hint="default"/>
          <w:spacing w:val="-2"/>
        </w:rPr>
        <w:t>”</w:t>
      </w:r>
      <w:r>
        <w:rPr>
          <w:spacing w:val="-2"/>
        </w:rPr>
        <w:t>模式，帮助提升网点绩效。目前公司第三代小巧型智能服务型机器人正</w:t>
      </w:r>
      <w:r>
        <w:rPr>
          <w:spacing w:val="-44"/>
        </w:rPr>
        <w:t> </w:t>
      </w:r>
      <w:r>
        <w:rPr>
          <w:spacing w:val="-44"/>
        </w:rPr>
      </w:r>
      <w:r>
        <w:rPr/>
        <w:t>在开发中。</w:t>
      </w:r>
    </w:p>
    <w:p>
      <w:pPr>
        <w:pStyle w:val="BodyText"/>
        <w:spacing w:line="312" w:lineRule="auto" w:before="59"/>
        <w:ind w:right="1129" w:firstLine="450"/>
        <w:jc w:val="both"/>
      </w:pPr>
      <w:r>
        <w:rPr/>
        <w:t>公司将金融科技作为</w:t>
      </w:r>
      <w:r>
        <w:rPr>
          <w:spacing w:val="8"/>
        </w:rPr>
        <w:t> </w:t>
      </w:r>
      <w:r>
        <w:rPr/>
        <w:t>“智能</w:t>
      </w:r>
      <w:r>
        <w:rPr>
          <w:rFonts w:ascii="宋体" w:hAnsi="宋体" w:cs="宋体" w:eastAsia="宋体" w:hint="default"/>
        </w:rPr>
        <w:t>+</w:t>
      </w:r>
      <w:r>
        <w:rPr/>
        <w:t>”战略的核心业务，一直致力于该业务的智能化升级以及人工智能技术的探索研究。报 </w:t>
      </w:r>
      <w:r>
        <w:rPr>
          <w:spacing w:val="-3"/>
        </w:rPr>
        <w:t>告期内，公司智能服务型机器人已解决语音语义的识别及银行网点业务流程集成运用问题，并且开发了机器人管理平台，扩</w:t>
      </w:r>
      <w:r>
        <w:rPr>
          <w:spacing w:val="-39"/>
        </w:rPr>
        <w:t> </w:t>
      </w:r>
      <w:r>
        <w:rPr>
          <w:spacing w:val="-39"/>
        </w:rPr>
      </w:r>
      <w:r>
        <w:rPr>
          <w:spacing w:val="-2"/>
        </w:rPr>
        <w:t>展第三方支持平台；同时联合北京大学深圳研究生院建立</w:t>
      </w:r>
      <w:r>
        <w:rPr>
          <w:rFonts w:ascii="Times New Roman" w:hAnsi="Times New Roman" w:cs="Times New Roman" w:eastAsia="Times New Roman" w:hint="default"/>
          <w:spacing w:val="-2"/>
        </w:rPr>
        <w:t>“</w:t>
      </w:r>
      <w:r>
        <w:rPr>
          <w:spacing w:val="-2"/>
        </w:rPr>
        <w:t>人工智能场景认知技术与产业创新联合实验室</w:t>
      </w:r>
      <w:r>
        <w:rPr>
          <w:rFonts w:ascii="Times New Roman" w:hAnsi="Times New Roman" w:cs="Times New Roman" w:eastAsia="Times New Roman" w:hint="default"/>
          <w:spacing w:val="-2"/>
        </w:rPr>
        <w:t>”</w:t>
      </w:r>
      <w:r>
        <w:rPr>
          <w:spacing w:val="-2"/>
        </w:rPr>
        <w:t>，重点研究面向银</w:t>
      </w:r>
      <w:r>
        <w:rPr>
          <w:spacing w:val="-44"/>
        </w:rPr>
        <w:t> </w:t>
      </w:r>
      <w:r>
        <w:rPr>
          <w:spacing w:val="-44"/>
        </w:rPr>
      </w:r>
      <w:r>
        <w:rPr>
          <w:spacing w:val="-2"/>
        </w:rPr>
        <w:t>行服务机器人的语音交互技术以及声纹识别技术；此外，公司在区块链技术与现有业务的结合中取得一定突破，奥拓翰明已</w:t>
      </w:r>
      <w:r>
        <w:rPr>
          <w:spacing w:val="-66"/>
        </w:rPr>
        <w:t> </w:t>
      </w:r>
      <w:r>
        <w:rPr>
          <w:spacing w:val="-66"/>
        </w:rPr>
      </w:r>
      <w:r>
        <w:rPr>
          <w:spacing w:val="-2"/>
        </w:rPr>
        <w:t>取得《基于区块链技术的电子对账系统软件</w:t>
      </w:r>
      <w:r>
        <w:rPr>
          <w:rFonts w:ascii="Times New Roman" w:hAnsi="Times New Roman" w:cs="Times New Roman" w:eastAsia="Times New Roman" w:hint="default"/>
          <w:spacing w:val="-2"/>
        </w:rPr>
        <w:t>V1.0</w:t>
      </w:r>
      <w:r>
        <w:rPr>
          <w:spacing w:val="-2"/>
        </w:rPr>
        <w:t>》、《基于区块链技术的理财双录软件</w:t>
      </w:r>
      <w:r>
        <w:rPr>
          <w:rFonts w:ascii="Times New Roman" w:hAnsi="Times New Roman" w:cs="Times New Roman" w:eastAsia="Times New Roman" w:hint="default"/>
          <w:spacing w:val="-2"/>
        </w:rPr>
        <w:t>V1.0</w:t>
      </w:r>
      <w:r>
        <w:rPr>
          <w:spacing w:val="-2"/>
        </w:rPr>
        <w:t>》及《翰明智能化自助平台软件</w:t>
      </w:r>
      <w:r>
        <w:rPr>
          <w:spacing w:val="-50"/>
        </w:rPr>
        <w:t> </w:t>
      </w:r>
      <w:r>
        <w:rPr>
          <w:spacing w:val="-50"/>
        </w:rPr>
      </w:r>
      <w:r>
        <w:rPr>
          <w:rFonts w:ascii="Times New Roman" w:hAnsi="Times New Roman" w:cs="Times New Roman" w:eastAsia="Times New Roman" w:hint="default"/>
        </w:rPr>
        <w:t>V1.0</w:t>
      </w:r>
      <w:r>
        <w:rPr/>
        <w:t>》等多个软件著作权证书。</w:t>
      </w:r>
    </w:p>
    <w:p>
      <w:pPr>
        <w:spacing w:line="240" w:lineRule="auto" w:before="11"/>
        <w:rPr>
          <w:rFonts w:ascii="宋体" w:hAnsi="宋体" w:cs="宋体" w:eastAsia="宋体" w:hint="default"/>
          <w:sz w:val="7"/>
          <w:szCs w:val="7"/>
        </w:rPr>
      </w:pPr>
    </w:p>
    <w:p>
      <w:pPr>
        <w:pStyle w:val="Heading6"/>
        <w:spacing w:line="3240" w:lineRule="exact"/>
        <w:ind w:left="443" w:right="0"/>
        <w:jc w:val="left"/>
      </w:pPr>
      <w:r>
        <w:rPr>
          <w:position w:val="-62"/>
        </w:rPr>
        <w:drawing>
          <wp:inline distT="0" distB="0" distL="0" distR="0">
            <wp:extent cx="2899778" cy="2045208"/>
            <wp:effectExtent l="0" t="0" r="0" b="0"/>
            <wp:docPr id="41" name="image22.jpeg" descr=""/>
            <wp:cNvGraphicFramePr>
              <a:graphicFrameLocks noChangeAspect="1"/>
            </wp:cNvGraphicFramePr>
            <a:graphic>
              <a:graphicData uri="http://schemas.openxmlformats.org/drawingml/2006/picture">
                <pic:pic>
                  <pic:nvPicPr>
                    <pic:cNvPr id="42" name="image22.jpeg"/>
                    <pic:cNvPicPr/>
                  </pic:nvPicPr>
                  <pic:blipFill>
                    <a:blip r:embed="rId32" cstate="print"/>
                    <a:stretch>
                      <a:fillRect/>
                    </a:stretch>
                  </pic:blipFill>
                  <pic:spPr>
                    <a:xfrm>
                      <a:off x="0" y="0"/>
                      <a:ext cx="2899778" cy="2045208"/>
                    </a:xfrm>
                    <a:prstGeom prst="rect">
                      <a:avLst/>
                    </a:prstGeom>
                  </pic:spPr>
                </pic:pic>
              </a:graphicData>
            </a:graphic>
          </wp:inline>
        </w:drawing>
      </w:r>
      <w:r>
        <w:rPr>
          <w:position w:val="-62"/>
        </w:rPr>
      </w:r>
      <w:r>
        <w:rPr>
          <w:rFonts w:ascii="Times New Roman"/>
          <w:spacing w:val="18"/>
          <w:position w:val="-62"/>
        </w:rPr>
        <w:t> </w:t>
      </w:r>
      <w:r>
        <w:rPr>
          <w:spacing w:val="18"/>
          <w:position w:val="-64"/>
        </w:rPr>
        <w:drawing>
          <wp:inline distT="0" distB="0" distL="0" distR="0">
            <wp:extent cx="2907405" cy="2057400"/>
            <wp:effectExtent l="0" t="0" r="0" b="0"/>
            <wp:docPr id="43" name="image23.jpeg" descr=""/>
            <wp:cNvGraphicFramePr>
              <a:graphicFrameLocks noChangeAspect="1"/>
            </wp:cNvGraphicFramePr>
            <a:graphic>
              <a:graphicData uri="http://schemas.openxmlformats.org/drawingml/2006/picture">
                <pic:pic>
                  <pic:nvPicPr>
                    <pic:cNvPr id="44" name="image23.jpeg"/>
                    <pic:cNvPicPr/>
                  </pic:nvPicPr>
                  <pic:blipFill>
                    <a:blip r:embed="rId33" cstate="print"/>
                    <a:stretch>
                      <a:fillRect/>
                    </a:stretch>
                  </pic:blipFill>
                  <pic:spPr>
                    <a:xfrm>
                      <a:off x="0" y="0"/>
                      <a:ext cx="2907405" cy="2057400"/>
                    </a:xfrm>
                    <a:prstGeom prst="rect">
                      <a:avLst/>
                    </a:prstGeom>
                  </pic:spPr>
                </pic:pic>
              </a:graphicData>
            </a:graphic>
          </wp:inline>
        </w:drawing>
      </w:r>
      <w:r>
        <w:rPr>
          <w:spacing w:val="18"/>
          <w:position w:val="-64"/>
        </w:rPr>
      </w:r>
    </w:p>
    <w:p>
      <w:pPr>
        <w:pStyle w:val="BodyText"/>
        <w:tabs>
          <w:tab w:pos="6117" w:val="left" w:leader="none"/>
        </w:tabs>
        <w:spacing w:line="240" w:lineRule="auto" w:before="92"/>
        <w:ind w:left="1436" w:right="0"/>
        <w:jc w:val="left"/>
      </w:pPr>
      <w:r>
        <w:rPr/>
        <w:t>建设银行湖南省分行智慧银行项目</w:t>
        <w:tab/>
        <w:t>建设银行河南省分行智慧银行项目</w:t>
      </w:r>
    </w:p>
    <w:p>
      <w:pPr>
        <w:spacing w:line="240" w:lineRule="auto" w:before="6"/>
        <w:rPr>
          <w:rFonts w:ascii="宋体" w:hAnsi="宋体" w:cs="宋体" w:eastAsia="宋体" w:hint="default"/>
          <w:sz w:val="13"/>
          <w:szCs w:val="13"/>
        </w:rPr>
      </w:pPr>
    </w:p>
    <w:p>
      <w:pPr>
        <w:pStyle w:val="Heading6"/>
        <w:spacing w:line="3220" w:lineRule="exact"/>
        <w:ind w:left="394" w:right="0"/>
        <w:jc w:val="left"/>
      </w:pPr>
      <w:r>
        <w:rPr>
          <w:position w:val="-63"/>
        </w:rPr>
        <w:drawing>
          <wp:inline distT="0" distB="0" distL="0" distR="0">
            <wp:extent cx="2928584" cy="2045208"/>
            <wp:effectExtent l="0" t="0" r="0" b="0"/>
            <wp:docPr id="45" name="image24.jpeg" descr=""/>
            <wp:cNvGraphicFramePr>
              <a:graphicFrameLocks noChangeAspect="1"/>
            </wp:cNvGraphicFramePr>
            <a:graphic>
              <a:graphicData uri="http://schemas.openxmlformats.org/drawingml/2006/picture">
                <pic:pic>
                  <pic:nvPicPr>
                    <pic:cNvPr id="46" name="image24.jpeg"/>
                    <pic:cNvPicPr/>
                  </pic:nvPicPr>
                  <pic:blipFill>
                    <a:blip r:embed="rId34" cstate="print"/>
                    <a:stretch>
                      <a:fillRect/>
                    </a:stretch>
                  </pic:blipFill>
                  <pic:spPr>
                    <a:xfrm>
                      <a:off x="0" y="0"/>
                      <a:ext cx="2928584" cy="2045208"/>
                    </a:xfrm>
                    <a:prstGeom prst="rect">
                      <a:avLst/>
                    </a:prstGeom>
                  </pic:spPr>
                </pic:pic>
              </a:graphicData>
            </a:graphic>
          </wp:inline>
        </w:drawing>
      </w:r>
      <w:r>
        <w:rPr>
          <w:position w:val="-63"/>
        </w:rPr>
      </w:r>
      <w:r>
        <w:rPr>
          <w:rFonts w:ascii="Times New Roman"/>
          <w:spacing w:val="18"/>
          <w:position w:val="-63"/>
        </w:rPr>
        <w:t> </w:t>
      </w:r>
      <w:r>
        <w:rPr>
          <w:spacing w:val="18"/>
          <w:position w:val="-63"/>
        </w:rPr>
        <w:drawing>
          <wp:inline distT="0" distB="0" distL="0" distR="0">
            <wp:extent cx="2913000" cy="2041017"/>
            <wp:effectExtent l="0" t="0" r="0" b="0"/>
            <wp:docPr id="47" name="image25.jpeg" descr=""/>
            <wp:cNvGraphicFramePr>
              <a:graphicFrameLocks noChangeAspect="1"/>
            </wp:cNvGraphicFramePr>
            <a:graphic>
              <a:graphicData uri="http://schemas.openxmlformats.org/drawingml/2006/picture">
                <pic:pic>
                  <pic:nvPicPr>
                    <pic:cNvPr id="48" name="image25.jpeg"/>
                    <pic:cNvPicPr/>
                  </pic:nvPicPr>
                  <pic:blipFill>
                    <a:blip r:embed="rId35" cstate="print"/>
                    <a:stretch>
                      <a:fillRect/>
                    </a:stretch>
                  </pic:blipFill>
                  <pic:spPr>
                    <a:xfrm>
                      <a:off x="0" y="0"/>
                      <a:ext cx="2913000" cy="2041017"/>
                    </a:xfrm>
                    <a:prstGeom prst="rect">
                      <a:avLst/>
                    </a:prstGeom>
                  </pic:spPr>
                </pic:pic>
              </a:graphicData>
            </a:graphic>
          </wp:inline>
        </w:drawing>
      </w:r>
      <w:r>
        <w:rPr>
          <w:spacing w:val="18"/>
          <w:position w:val="-63"/>
        </w:rPr>
      </w:r>
    </w:p>
    <w:p>
      <w:pPr>
        <w:pStyle w:val="BodyText"/>
        <w:tabs>
          <w:tab w:pos="6004" w:val="left" w:leader="none"/>
        </w:tabs>
        <w:spacing w:line="240" w:lineRule="auto" w:before="113"/>
        <w:ind w:left="1054" w:right="0"/>
        <w:jc w:val="left"/>
      </w:pPr>
      <w:r>
        <w:rPr/>
        <w:t>智能服务型机器人（中国银行上海分行项目）</w:t>
        <w:tab/>
        <w:t>中国电信南京大钟亭智慧营业厅项目</w:t>
      </w:r>
    </w:p>
    <w:p>
      <w:pPr>
        <w:spacing w:line="240" w:lineRule="auto" w:before="0"/>
        <w:rPr>
          <w:rFonts w:ascii="宋体" w:hAnsi="宋体" w:cs="宋体" w:eastAsia="宋体" w:hint="default"/>
          <w:sz w:val="18"/>
          <w:szCs w:val="18"/>
        </w:rPr>
      </w:pPr>
    </w:p>
    <w:p>
      <w:pPr>
        <w:pStyle w:val="Heading7"/>
        <w:spacing w:line="240" w:lineRule="auto" w:before="153"/>
        <w:ind w:left="232" w:right="0"/>
        <w:jc w:val="left"/>
        <w:rPr>
          <w:b w:val="0"/>
          <w:bCs w:val="0"/>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LED</w:t>
      </w:r>
      <w:r>
        <w:rPr/>
        <w:t>应用业务</w:t>
      </w:r>
      <w:r>
        <w:rPr>
          <w:rFonts w:ascii="Times New Roman" w:hAnsi="Times New Roman" w:cs="Times New Roman" w:eastAsia="Times New Roman" w:hint="default"/>
        </w:rPr>
        <w:t>——</w:t>
      </w:r>
      <w:r>
        <w:rPr/>
        <w:t>销售规模再创新高，</w:t>
      </w:r>
      <w:r>
        <w:rPr>
          <w:rFonts w:ascii="Times New Roman" w:hAnsi="Times New Roman" w:cs="Times New Roman" w:eastAsia="Times New Roman" w:hint="default"/>
        </w:rPr>
        <w:t>MINI</w:t>
      </w:r>
      <w:r>
        <w:rPr>
          <w:rFonts w:ascii="Times New Roman" w:hAnsi="Times New Roman" w:cs="Times New Roman" w:eastAsia="Times New Roman" w:hint="default"/>
          <w:spacing w:val="-5"/>
        </w:rPr>
        <w:t> </w:t>
      </w:r>
      <w:r>
        <w:rPr>
          <w:rFonts w:ascii="Times New Roman" w:hAnsi="Times New Roman" w:cs="Times New Roman" w:eastAsia="Times New Roman" w:hint="default"/>
        </w:rPr>
        <w:t>LED</w:t>
      </w:r>
      <w:r>
        <w:rPr/>
        <w:t>引领市场</w:t>
      </w:r>
      <w:r>
        <w:rPr>
          <w:b w:val="0"/>
          <w:bCs w:val="0"/>
        </w:rPr>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b/>
          <w:bCs/>
          <w:sz w:val="25"/>
          <w:szCs w:val="25"/>
        </w:rPr>
      </w:pPr>
    </w:p>
    <w:p>
      <w:pPr>
        <w:pStyle w:val="BodyText"/>
        <w:spacing w:line="300" w:lineRule="auto" w:before="44"/>
        <w:ind w:right="1921" w:firstLine="360"/>
        <w:jc w:val="both"/>
      </w:pPr>
      <w:r>
        <w:rPr>
          <w:spacing w:val="-1"/>
        </w:rPr>
        <w:t>报告期内，</w:t>
      </w:r>
      <w:r>
        <w:rPr>
          <w:rFonts w:ascii="Times New Roman" w:hAnsi="Times New Roman" w:cs="Times New Roman" w:eastAsia="Times New Roman" w:hint="default"/>
          <w:spacing w:val="-1"/>
        </w:rPr>
        <w:t>LED</w:t>
      </w:r>
      <w:r>
        <w:rPr>
          <w:spacing w:val="-1"/>
        </w:rPr>
        <w:t>应用业务合同额大幅增长，销售规模再创新高，</w:t>
      </w:r>
      <w:r>
        <w:rPr>
          <w:rFonts w:ascii="Times New Roman" w:hAnsi="Times New Roman" w:cs="Times New Roman" w:eastAsia="Times New Roman" w:hint="default"/>
          <w:spacing w:val="-1"/>
        </w:rPr>
        <w:t>MINI</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1"/>
        </w:rPr>
        <w:t>LED</w:t>
      </w:r>
      <w:r>
        <w:rPr>
          <w:spacing w:val="-1"/>
        </w:rPr>
        <w:t>显示屏正式推向市场，</w:t>
      </w:r>
      <w:r>
        <w:rPr>
          <w:rFonts w:ascii="Times New Roman" w:hAnsi="Times New Roman" w:cs="Times New Roman" w:eastAsia="Times New Roman" w:hint="default"/>
          <w:spacing w:val="-1"/>
        </w:rPr>
        <w:t>LED</w:t>
      </w:r>
      <w:r>
        <w:rPr>
          <w:spacing w:val="-1"/>
        </w:rPr>
        <w:t>应用业</w:t>
      </w:r>
      <w:r>
        <w:rPr>
          <w:w w:val="99"/>
        </w:rPr>
        <w:t> </w:t>
      </w:r>
      <w:r>
        <w:rPr/>
        <w:t>务销售收入</w:t>
      </w:r>
      <w:r>
        <w:rPr>
          <w:rFonts w:ascii="Times New Roman" w:hAnsi="Times New Roman" w:cs="Times New Roman" w:eastAsia="Times New Roman" w:hint="default"/>
        </w:rPr>
        <w:t>128,103.37</w:t>
      </w:r>
      <w:r>
        <w:rPr/>
        <w:t>万元，相比去年同期增长了</w:t>
      </w:r>
      <w:r>
        <w:rPr>
          <w:rFonts w:ascii="Times New Roman" w:hAnsi="Times New Roman" w:cs="Times New Roman" w:eastAsia="Times New Roman" w:hint="default"/>
        </w:rPr>
        <w:t>53.41%</w:t>
      </w:r>
      <w:r>
        <w:rPr/>
        <w:t>。虽然受</w:t>
      </w:r>
      <w:r>
        <w:rPr>
          <w:rFonts w:ascii="Times New Roman" w:hAnsi="Times New Roman" w:cs="Times New Roman" w:eastAsia="Times New Roman" w:hint="default"/>
        </w:rPr>
        <w:t>337</w:t>
      </w:r>
      <w:r>
        <w:rPr/>
        <w:t>事件及中美贸易摩擦的影响，公司海外业务</w:t>
      </w:r>
      <w:r>
        <w:rPr>
          <w:spacing w:val="-83"/>
        </w:rPr>
        <w:t> </w:t>
      </w:r>
      <w:r>
        <w:rPr>
          <w:spacing w:val="-83"/>
        </w:rPr>
      </w:r>
      <w:r>
        <w:rPr/>
        <w:t>仍然保持稳步增长，相比</w:t>
      </w:r>
      <w:r>
        <w:rPr>
          <w:rFonts w:ascii="Times New Roman" w:hAnsi="Times New Roman" w:cs="Times New Roman" w:eastAsia="Times New Roman" w:hint="default"/>
        </w:rPr>
        <w:t>2017</w:t>
      </w:r>
      <w:r>
        <w:rPr/>
        <w:t>年海外业务增长</w:t>
      </w:r>
      <w:r>
        <w:rPr>
          <w:rFonts w:ascii="Times New Roman" w:hAnsi="Times New Roman" w:cs="Times New Roman" w:eastAsia="Times New Roman" w:hint="default"/>
        </w:rPr>
        <w:t>27.55%</w:t>
      </w:r>
      <w:r>
        <w:rPr/>
        <w:t>。</w:t>
      </w:r>
    </w:p>
    <w:p>
      <w:pPr>
        <w:spacing w:line="240" w:lineRule="auto" w:before="0"/>
        <w:rPr>
          <w:rFonts w:ascii="宋体" w:hAnsi="宋体" w:cs="宋体" w:eastAsia="宋体" w:hint="default"/>
          <w:sz w:val="2"/>
          <w:szCs w:val="2"/>
        </w:rPr>
      </w:pPr>
    </w:p>
    <w:p>
      <w:pPr>
        <w:spacing w:line="4320" w:lineRule="exact"/>
        <w:ind w:left="1587"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4572634" cy="2743200"/>
            <wp:effectExtent l="0" t="0" r="0" b="0"/>
            <wp:docPr id="49" name="image26.jpeg" descr=""/>
            <wp:cNvGraphicFramePr>
              <a:graphicFrameLocks noChangeAspect="1"/>
            </wp:cNvGraphicFramePr>
            <a:graphic>
              <a:graphicData uri="http://schemas.openxmlformats.org/drawingml/2006/picture">
                <pic:pic>
                  <pic:nvPicPr>
                    <pic:cNvPr id="50" name="image26.jpeg"/>
                    <pic:cNvPicPr/>
                  </pic:nvPicPr>
                  <pic:blipFill>
                    <a:blip r:embed="rId36" cstate="print"/>
                    <a:stretch>
                      <a:fillRect/>
                    </a:stretch>
                  </pic:blipFill>
                  <pic:spPr>
                    <a:xfrm>
                      <a:off x="0" y="0"/>
                      <a:ext cx="4572634" cy="2743200"/>
                    </a:xfrm>
                    <a:prstGeom prst="rect">
                      <a:avLst/>
                    </a:prstGeom>
                  </pic:spPr>
                </pic:pic>
              </a:graphicData>
            </a:graphic>
          </wp:inline>
        </w:drawing>
      </w:r>
      <w:r>
        <w:rPr>
          <w:rFonts w:ascii="宋体" w:hAnsi="宋体" w:cs="宋体" w:eastAsia="宋体" w:hint="default"/>
          <w:position w:val="-85"/>
          <w:sz w:val="20"/>
          <w:szCs w:val="20"/>
        </w:rPr>
      </w:r>
    </w:p>
    <w:p>
      <w:pPr>
        <w:pStyle w:val="BodyText"/>
        <w:spacing w:line="302" w:lineRule="auto" w:before="35"/>
        <w:ind w:right="1128" w:firstLine="360"/>
        <w:jc w:val="both"/>
      </w:pPr>
      <w:r>
        <w:rPr>
          <w:rFonts w:ascii="Times New Roman" w:hAnsi="Times New Roman" w:cs="Times New Roman" w:eastAsia="Times New Roman" w:hint="default"/>
          <w:spacing w:val="-2"/>
        </w:rPr>
        <w:t>2018</w:t>
      </w:r>
      <w:r>
        <w:rPr>
          <w:spacing w:val="-2"/>
        </w:rPr>
        <w:t>年，公司坚持大市场、大客户营销战略，以创新的技术和稳定的性能为客户提供优质的高端</w:t>
      </w:r>
      <w:r>
        <w:rPr>
          <w:rFonts w:ascii="Times New Roman" w:hAnsi="Times New Roman" w:cs="Times New Roman" w:eastAsia="Times New Roman" w:hint="default"/>
          <w:spacing w:val="-2"/>
        </w:rPr>
        <w:t>LED</w:t>
      </w:r>
      <w:r>
        <w:rPr>
          <w:spacing w:val="-2"/>
        </w:rPr>
        <w:t>显示解决方案，公</w:t>
      </w:r>
      <w:r>
        <w:rPr/>
        <w:t> </w:t>
      </w:r>
      <w:r>
        <w:rPr>
          <w:spacing w:val="-2"/>
        </w:rPr>
        <w:t>司的产品在国际体育赛事、大交通、广播电视、户外媒体、高端零售、高端会议系统和监控系统等行业的市场拓展取得了重</w:t>
      </w:r>
      <w:r>
        <w:rPr>
          <w:spacing w:val="-66"/>
        </w:rPr>
        <w:t> </w:t>
      </w:r>
      <w:r>
        <w:rPr>
          <w:spacing w:val="-66"/>
        </w:rPr>
      </w:r>
      <w:r>
        <w:rPr>
          <w:spacing w:val="-2"/>
        </w:rPr>
        <w:t>大的突破，全面完成年初制定的经营目标。报告期内，公司连续三届成功入选世界杯高端</w:t>
      </w:r>
      <w:r>
        <w:rPr>
          <w:rFonts w:ascii="Times New Roman" w:hAnsi="Times New Roman" w:cs="Times New Roman" w:eastAsia="Times New Roman" w:hint="default"/>
          <w:spacing w:val="-2"/>
        </w:rPr>
        <w:t>LED</w:t>
      </w:r>
      <w:r>
        <w:rPr>
          <w:spacing w:val="-2"/>
        </w:rPr>
        <w:t>视频系统，公司产品投放到本</w:t>
      </w:r>
      <w:r>
        <w:rPr>
          <w:spacing w:val="-52"/>
        </w:rPr>
        <w:t> </w:t>
      </w:r>
      <w:r>
        <w:rPr>
          <w:spacing w:val="-52"/>
        </w:rPr>
      </w:r>
      <w:r>
        <w:rPr/>
        <w:t>届俄罗斯世界杯的</w:t>
      </w:r>
      <w:r>
        <w:rPr>
          <w:rFonts w:ascii="Times New Roman" w:hAnsi="Times New Roman" w:cs="Times New Roman" w:eastAsia="Times New Roman" w:hint="default"/>
        </w:rPr>
        <w:t>12</w:t>
      </w:r>
      <w:r>
        <w:rPr/>
        <w:t>个球场，完美呈现世界杯精彩赛事和展现场边广告；同时，公司为香港高铁西九龙站打造的高端</w:t>
      </w:r>
      <w:r>
        <w:rPr>
          <w:rFonts w:ascii="Times New Roman" w:hAnsi="Times New Roman" w:cs="Times New Roman" w:eastAsia="Times New Roman" w:hint="default"/>
        </w:rPr>
        <w:t>LED</w:t>
      </w:r>
      <w:r>
        <w:rPr>
          <w:rFonts w:ascii="Times New Roman" w:hAnsi="Times New Roman" w:cs="Times New Roman" w:eastAsia="Times New Roman" w:hint="default"/>
          <w:spacing w:val="10"/>
        </w:rPr>
        <w:t> </w:t>
      </w:r>
      <w:r>
        <w:rPr/>
        <w:t>显示视频墙，为广州白云</w:t>
      </w:r>
      <w:r>
        <w:rPr>
          <w:rFonts w:ascii="Times New Roman" w:hAnsi="Times New Roman" w:cs="Times New Roman" w:eastAsia="Times New Roman" w:hint="default"/>
        </w:rPr>
        <w:t>T2</w:t>
      </w:r>
      <w:r>
        <w:rPr/>
        <w:t>国际航站楼打造的近</w:t>
      </w:r>
      <w:r>
        <w:rPr>
          <w:rFonts w:ascii="Times New Roman" w:hAnsi="Times New Roman" w:cs="Times New Roman" w:eastAsia="Times New Roman" w:hint="default"/>
        </w:rPr>
        <w:t>1,000</w:t>
      </w:r>
      <w:r>
        <w:rPr/>
        <w:t>平方米的</w:t>
      </w:r>
      <w:r>
        <w:rPr>
          <w:rFonts w:ascii="Times New Roman" w:hAnsi="Times New Roman" w:cs="Times New Roman" w:eastAsia="Times New Roman" w:hint="default"/>
        </w:rPr>
        <w:t>LED</w:t>
      </w:r>
      <w:r>
        <w:rPr/>
        <w:t>显示屏，以及为上海浦东机场、三亚凤凰机场、伦敦希</w:t>
      </w:r>
      <w:r>
        <w:rPr>
          <w:spacing w:val="-55"/>
        </w:rPr>
        <w:t> </w:t>
      </w:r>
      <w:r>
        <w:rPr>
          <w:spacing w:val="-55"/>
        </w:rPr>
      </w:r>
      <w:r>
        <w:rPr>
          <w:spacing w:val="-2"/>
        </w:rPr>
        <w:t>斯罗机场、香港国际机场、延安机场、成都双流机场等项目提供的</w:t>
      </w:r>
      <w:r>
        <w:rPr>
          <w:rFonts w:ascii="Times New Roman" w:hAnsi="Times New Roman" w:cs="Times New Roman" w:eastAsia="Times New Roman" w:hint="default"/>
          <w:spacing w:val="-2"/>
        </w:rPr>
        <w:t>LED</w:t>
      </w:r>
      <w:r>
        <w:rPr>
          <w:spacing w:val="-2"/>
        </w:rPr>
        <w:t>显示屏，再一次证明了公司</w:t>
      </w:r>
      <w:r>
        <w:rPr>
          <w:rFonts w:ascii="Times New Roman" w:hAnsi="Times New Roman" w:cs="Times New Roman" w:eastAsia="Times New Roman" w:hint="default"/>
          <w:spacing w:val="-2"/>
        </w:rPr>
        <w:t>LED</w:t>
      </w:r>
      <w:r>
        <w:rPr>
          <w:spacing w:val="-2"/>
        </w:rPr>
        <w:t>显示系统是国际认可</w:t>
      </w:r>
      <w:r>
        <w:rPr>
          <w:spacing w:val="-44"/>
        </w:rPr>
        <w:t> </w:t>
      </w:r>
      <w:r>
        <w:rPr>
          <w:spacing w:val="-2"/>
        </w:rPr>
        <w:t>的全球国际机场和交通枢纽中心数字媒体的典范；为中央电视台财经频道和香港</w:t>
      </w:r>
      <w:r>
        <w:rPr>
          <w:rFonts w:ascii="Times New Roman" w:hAnsi="Times New Roman" w:cs="Times New Roman" w:eastAsia="Times New Roman" w:hint="default"/>
          <w:spacing w:val="-2"/>
        </w:rPr>
        <w:t>NOW</w:t>
      </w:r>
      <w:r>
        <w:rPr>
          <w:rFonts w:ascii="Times New Roman" w:hAnsi="Times New Roman" w:cs="Times New Roman" w:eastAsia="Times New Roman" w:hint="default"/>
        </w:rPr>
        <w:t> </w:t>
      </w:r>
      <w:r>
        <w:rPr>
          <w:rFonts w:ascii="Times New Roman" w:hAnsi="Times New Roman" w:cs="Times New Roman" w:eastAsia="Times New Roman" w:hint="default"/>
          <w:spacing w:val="-1"/>
        </w:rPr>
        <w:t>TV</w:t>
      </w:r>
      <w:r>
        <w:rPr>
          <w:spacing w:val="-1"/>
        </w:rPr>
        <w:t>打造的高端</w:t>
      </w:r>
      <w:r>
        <w:rPr>
          <w:rFonts w:ascii="Times New Roman" w:hAnsi="Times New Roman" w:cs="Times New Roman" w:eastAsia="Times New Roman" w:hint="default"/>
          <w:spacing w:val="-1"/>
        </w:rPr>
        <w:t>LED</w:t>
      </w:r>
      <w:r>
        <w:rPr>
          <w:spacing w:val="-1"/>
        </w:rPr>
        <w:t>显示屏也进一步提</w:t>
      </w:r>
      <w:r>
        <w:rPr>
          <w:spacing w:val="-66"/>
        </w:rPr>
        <w:t> </w:t>
      </w:r>
      <w:r>
        <w:rPr>
          <w:spacing w:val="-2"/>
        </w:rPr>
        <w:t>升公司在广播电视领域的品牌知名度；另外，公司的</w:t>
      </w:r>
      <w:r>
        <w:rPr>
          <w:rFonts w:ascii="Times New Roman" w:hAnsi="Times New Roman" w:cs="Times New Roman" w:eastAsia="Times New Roman" w:hint="default"/>
          <w:spacing w:val="-2"/>
        </w:rPr>
        <w:t>LED</w:t>
      </w:r>
      <w:r>
        <w:rPr>
          <w:spacing w:val="-2"/>
        </w:rPr>
        <w:t>显示解决方案也应用在荷兰、日本、沙特、印度、瑞士等国家的户</w:t>
      </w:r>
      <w:r>
        <w:rPr>
          <w:spacing w:val="-59"/>
        </w:rPr>
        <w:t> </w:t>
      </w:r>
      <w:r>
        <w:rPr>
          <w:spacing w:val="-59"/>
        </w:rPr>
      </w:r>
      <w:r>
        <w:rPr/>
        <w:t>外媒体及地标建筑，为客户创造更大的商业价值。</w:t>
      </w:r>
    </w:p>
    <w:p>
      <w:pPr>
        <w:spacing w:line="240" w:lineRule="auto" w:before="4"/>
        <w:rPr>
          <w:rFonts w:ascii="宋体" w:hAnsi="宋体" w:cs="宋体" w:eastAsia="宋体" w:hint="default"/>
          <w:sz w:val="27"/>
          <w:szCs w:val="27"/>
        </w:rPr>
      </w:pPr>
    </w:p>
    <w:p>
      <w:pPr>
        <w:pStyle w:val="Heading6"/>
        <w:spacing w:line="3644" w:lineRule="exact"/>
        <w:ind w:left="514" w:right="0"/>
        <w:jc w:val="left"/>
      </w:pPr>
      <w:r>
        <w:rPr>
          <w:position w:val="-72"/>
        </w:rPr>
        <w:drawing>
          <wp:inline distT="0" distB="0" distL="0" distR="0">
            <wp:extent cx="2840885" cy="2314098"/>
            <wp:effectExtent l="0" t="0" r="0" b="0"/>
            <wp:docPr id="51" name="image27.jpeg" descr=""/>
            <wp:cNvGraphicFramePr>
              <a:graphicFrameLocks noChangeAspect="1"/>
            </wp:cNvGraphicFramePr>
            <a:graphic>
              <a:graphicData uri="http://schemas.openxmlformats.org/drawingml/2006/picture">
                <pic:pic>
                  <pic:nvPicPr>
                    <pic:cNvPr id="52" name="image27.jpeg"/>
                    <pic:cNvPicPr/>
                  </pic:nvPicPr>
                  <pic:blipFill>
                    <a:blip r:embed="rId37" cstate="print"/>
                    <a:stretch>
                      <a:fillRect/>
                    </a:stretch>
                  </pic:blipFill>
                  <pic:spPr>
                    <a:xfrm>
                      <a:off x="0" y="0"/>
                      <a:ext cx="2840885" cy="2314098"/>
                    </a:xfrm>
                    <a:prstGeom prst="rect">
                      <a:avLst/>
                    </a:prstGeom>
                  </pic:spPr>
                </pic:pic>
              </a:graphicData>
            </a:graphic>
          </wp:inline>
        </w:drawing>
      </w:r>
      <w:r>
        <w:rPr>
          <w:position w:val="-72"/>
        </w:rPr>
      </w:r>
      <w:r>
        <w:rPr>
          <w:rFonts w:ascii="Times New Roman"/>
          <w:spacing w:val="96"/>
          <w:position w:val="-72"/>
        </w:rPr>
        <w:t> </w:t>
      </w:r>
      <w:r>
        <w:rPr>
          <w:spacing w:val="96"/>
          <w:position w:val="-72"/>
        </w:rPr>
        <w:drawing>
          <wp:inline distT="0" distB="0" distL="0" distR="0">
            <wp:extent cx="2822071" cy="2314098"/>
            <wp:effectExtent l="0" t="0" r="0" b="0"/>
            <wp:docPr id="53" name="image28.jpeg" descr=""/>
            <wp:cNvGraphicFramePr>
              <a:graphicFrameLocks noChangeAspect="1"/>
            </wp:cNvGraphicFramePr>
            <a:graphic>
              <a:graphicData uri="http://schemas.openxmlformats.org/drawingml/2006/picture">
                <pic:pic>
                  <pic:nvPicPr>
                    <pic:cNvPr id="54" name="image28.jpeg"/>
                    <pic:cNvPicPr/>
                  </pic:nvPicPr>
                  <pic:blipFill>
                    <a:blip r:embed="rId38" cstate="print"/>
                    <a:stretch>
                      <a:fillRect/>
                    </a:stretch>
                  </pic:blipFill>
                  <pic:spPr>
                    <a:xfrm>
                      <a:off x="0" y="0"/>
                      <a:ext cx="2822071" cy="2314098"/>
                    </a:xfrm>
                    <a:prstGeom prst="rect">
                      <a:avLst/>
                    </a:prstGeom>
                  </pic:spPr>
                </pic:pic>
              </a:graphicData>
            </a:graphic>
          </wp:inline>
        </w:drawing>
      </w:r>
      <w:r>
        <w:rPr>
          <w:spacing w:val="96"/>
          <w:position w:val="-72"/>
        </w:rPr>
      </w:r>
    </w:p>
    <w:p>
      <w:pPr>
        <w:pStyle w:val="BodyText"/>
        <w:tabs>
          <w:tab w:pos="6379" w:val="left" w:leader="none"/>
        </w:tabs>
        <w:spacing w:line="240" w:lineRule="auto" w:before="84"/>
        <w:ind w:left="1948" w:right="0"/>
        <w:jc w:val="left"/>
      </w:pPr>
      <w:r>
        <w:rPr/>
        <w:t>广州白云机场</w:t>
      </w:r>
      <w:r>
        <w:rPr>
          <w:rFonts w:ascii="Times New Roman" w:hAnsi="Times New Roman" w:cs="Times New Roman" w:eastAsia="Times New Roman" w:hint="default"/>
        </w:rPr>
        <w:t>T2</w:t>
      </w:r>
      <w:r>
        <w:rPr/>
        <w:t>航站楼项目</w:t>
        <w:tab/>
      </w:r>
      <w:r>
        <w:rPr>
          <w:rFonts w:ascii="Times New Roman" w:hAnsi="Times New Roman" w:cs="Times New Roman" w:eastAsia="Times New Roman" w:hint="default"/>
        </w:rPr>
        <w:t>2018</w:t>
      </w:r>
      <w:r>
        <w:rPr/>
        <w:t>年俄罗斯世界杯项目</w:t>
      </w:r>
    </w:p>
    <w:p>
      <w:pPr>
        <w:spacing w:after="0" w:line="240" w:lineRule="auto"/>
        <w:jc w:val="left"/>
        <w:sectPr>
          <w:pgSz w:w="11910" w:h="16840"/>
          <w:pgMar w:header="747" w:footer="979" w:top="1060" w:bottom="1160" w:left="980" w:right="0"/>
        </w:sectPr>
      </w:pPr>
    </w:p>
    <w:p>
      <w:pPr>
        <w:spacing w:line="240" w:lineRule="auto" w:before="5"/>
        <w:rPr>
          <w:rFonts w:ascii="宋体" w:hAnsi="宋体" w:cs="宋体" w:eastAsia="宋体" w:hint="default"/>
          <w:sz w:val="29"/>
          <w:szCs w:val="29"/>
        </w:rPr>
      </w:pPr>
    </w:p>
    <w:p>
      <w:pPr>
        <w:pStyle w:val="Heading6"/>
        <w:spacing w:line="3759" w:lineRule="exact"/>
        <w:ind w:left="503" w:right="0"/>
        <w:jc w:val="left"/>
      </w:pPr>
      <w:r>
        <w:rPr>
          <w:position w:val="-72"/>
        </w:rPr>
        <w:drawing>
          <wp:inline distT="0" distB="0" distL="0" distR="0">
            <wp:extent cx="2881100" cy="2372105"/>
            <wp:effectExtent l="0" t="0" r="0" b="0"/>
            <wp:docPr id="55" name="image29.jpeg" descr=""/>
            <wp:cNvGraphicFramePr>
              <a:graphicFrameLocks noChangeAspect="1"/>
            </wp:cNvGraphicFramePr>
            <a:graphic>
              <a:graphicData uri="http://schemas.openxmlformats.org/drawingml/2006/picture">
                <pic:pic>
                  <pic:nvPicPr>
                    <pic:cNvPr id="56" name="image29.jpeg"/>
                    <pic:cNvPicPr/>
                  </pic:nvPicPr>
                  <pic:blipFill>
                    <a:blip r:embed="rId39" cstate="print"/>
                    <a:stretch>
                      <a:fillRect/>
                    </a:stretch>
                  </pic:blipFill>
                  <pic:spPr>
                    <a:xfrm>
                      <a:off x="0" y="0"/>
                      <a:ext cx="2881100" cy="2372105"/>
                    </a:xfrm>
                    <a:prstGeom prst="rect">
                      <a:avLst/>
                    </a:prstGeom>
                  </pic:spPr>
                </pic:pic>
              </a:graphicData>
            </a:graphic>
          </wp:inline>
        </w:drawing>
      </w:r>
      <w:r>
        <w:rPr>
          <w:position w:val="-72"/>
        </w:rPr>
      </w:r>
      <w:r>
        <w:rPr>
          <w:rFonts w:ascii="Times New Roman"/>
          <w:spacing w:val="2"/>
          <w:position w:val="-72"/>
        </w:rPr>
        <w:t> </w:t>
      </w:r>
      <w:r>
        <w:rPr>
          <w:spacing w:val="2"/>
          <w:position w:val="-74"/>
        </w:rPr>
        <w:drawing>
          <wp:inline distT="0" distB="0" distL="0" distR="0">
            <wp:extent cx="2906952" cy="2367914"/>
            <wp:effectExtent l="0" t="0" r="0" b="0"/>
            <wp:docPr id="57" name="image30.jpeg" descr=""/>
            <wp:cNvGraphicFramePr>
              <a:graphicFrameLocks noChangeAspect="1"/>
            </wp:cNvGraphicFramePr>
            <a:graphic>
              <a:graphicData uri="http://schemas.openxmlformats.org/drawingml/2006/picture">
                <pic:pic>
                  <pic:nvPicPr>
                    <pic:cNvPr id="58" name="image30.jpeg"/>
                    <pic:cNvPicPr/>
                  </pic:nvPicPr>
                  <pic:blipFill>
                    <a:blip r:embed="rId40" cstate="print"/>
                    <a:stretch>
                      <a:fillRect/>
                    </a:stretch>
                  </pic:blipFill>
                  <pic:spPr>
                    <a:xfrm>
                      <a:off x="0" y="0"/>
                      <a:ext cx="2906952" cy="2367914"/>
                    </a:xfrm>
                    <a:prstGeom prst="rect">
                      <a:avLst/>
                    </a:prstGeom>
                  </pic:spPr>
                </pic:pic>
              </a:graphicData>
            </a:graphic>
          </wp:inline>
        </w:drawing>
      </w:r>
      <w:r>
        <w:rPr>
          <w:spacing w:val="2"/>
          <w:position w:val="-74"/>
        </w:rPr>
      </w:r>
    </w:p>
    <w:p>
      <w:pPr>
        <w:pStyle w:val="BodyText"/>
        <w:tabs>
          <w:tab w:pos="6724" w:val="left" w:leader="none"/>
        </w:tabs>
        <w:spacing w:line="220" w:lineRule="exact"/>
        <w:ind w:left="514" w:right="0" w:firstLine="1620"/>
        <w:jc w:val="left"/>
      </w:pPr>
      <w:r>
        <w:rPr/>
        <w:t>香港高铁西九龙站项目</w:t>
        <w:tab/>
        <w:t>上海浦东机场项目</w:t>
      </w:r>
    </w:p>
    <w:p>
      <w:pPr>
        <w:spacing w:line="240" w:lineRule="auto" w:before="0"/>
        <w:rPr>
          <w:rFonts w:ascii="宋体" w:hAnsi="宋体" w:cs="宋体" w:eastAsia="宋体" w:hint="default"/>
          <w:sz w:val="18"/>
          <w:szCs w:val="18"/>
        </w:rPr>
      </w:pPr>
    </w:p>
    <w:p>
      <w:pPr>
        <w:pStyle w:val="BodyText"/>
        <w:spacing w:line="312" w:lineRule="auto" w:before="153"/>
        <w:ind w:right="1133" w:firstLine="360"/>
        <w:jc w:val="both"/>
      </w:pPr>
      <w:r>
        <w:rPr>
          <w:spacing w:val="-2"/>
        </w:rPr>
        <w:t>报告期内，公司智慧照明业务受城市智慧照明亮化升级的驱动，经营业绩再创新高。公司全资子公司千百辉承接了青岛</w:t>
      </w:r>
      <w:r>
        <w:rPr/>
        <w:t> </w:t>
      </w:r>
      <w:r>
        <w:rPr>
          <w:spacing w:val="-2"/>
        </w:rPr>
        <w:t>上合组织峰会城市亮化项目、西安灞河项目、深圳深南大道（福田段）景观照明提升项目东段、深南东路景观照明提升工程</w:t>
      </w:r>
      <w:r>
        <w:rPr>
          <w:spacing w:val="-66"/>
        </w:rPr>
        <w:t> </w:t>
      </w:r>
      <w:r>
        <w:rPr>
          <w:spacing w:val="-66"/>
        </w:rPr>
      </w:r>
      <w:r>
        <w:rPr>
          <w:rFonts w:ascii="Times New Roman" w:hAnsi="Times New Roman" w:cs="Times New Roman" w:eastAsia="Times New Roman" w:hint="default"/>
        </w:rPr>
        <w:t>I</w:t>
      </w:r>
      <w:r>
        <w:rPr/>
        <w:t>标段（罗湖段）、三亚市城市景观亮化及长春奥林匹克公园等多个核心标段项目的亮化建设，为国际级会议以及纪念改革</w:t>
      </w:r>
      <w:r>
        <w:rPr>
          <w:spacing w:val="-57"/>
        </w:rPr>
        <w:t> </w:t>
      </w:r>
      <w:r>
        <w:rPr>
          <w:spacing w:val="-57"/>
        </w:rPr>
      </w:r>
      <w:r>
        <w:rPr/>
        <w:t>开放</w:t>
      </w:r>
      <w:r>
        <w:rPr>
          <w:rFonts w:ascii="Times New Roman" w:hAnsi="Times New Roman" w:cs="Times New Roman" w:eastAsia="Times New Roman" w:hint="default"/>
        </w:rPr>
        <w:t>40</w:t>
      </w:r>
      <w:r>
        <w:rPr/>
        <w:t>周年活动增添一道亮丽的风景，也为智慧城市建设贡献一份力量。</w:t>
      </w:r>
    </w:p>
    <w:p>
      <w:pPr>
        <w:pStyle w:val="BodyText"/>
        <w:spacing w:line="316" w:lineRule="auto" w:before="3"/>
        <w:ind w:right="1131" w:firstLine="360"/>
        <w:jc w:val="both"/>
      </w:pPr>
      <w:r>
        <w:rPr>
          <w:spacing w:val="-2"/>
        </w:rPr>
        <w:t>公司研发的智能照明控制管理系统也广泛应用在各个景观亮化项目中，为智慧照明业务的技术升级及核心竞争力提升奠</w:t>
      </w:r>
      <w:r>
        <w:rPr/>
        <w:t> </w:t>
      </w:r>
      <w:r>
        <w:rPr>
          <w:spacing w:val="-2"/>
        </w:rPr>
        <w:t>定了基础。未来智慧照明行业更加注重城市环境综合品质的提升，逐渐朝着城市运营和视觉一体化的方向转变，将成为智慧</w:t>
      </w:r>
      <w:r>
        <w:rPr>
          <w:spacing w:val="-66"/>
        </w:rPr>
        <w:t> </w:t>
      </w:r>
      <w:r>
        <w:rPr>
          <w:spacing w:val="-66"/>
        </w:rPr>
      </w:r>
      <w:r>
        <w:rPr/>
        <w:t>城市建设中尤为重要的一环。</w:t>
      </w:r>
    </w:p>
    <w:p>
      <w:pPr>
        <w:spacing w:line="300" w:lineRule="auto" w:before="19"/>
        <w:ind w:left="154" w:right="1132" w:firstLine="360"/>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2018</w:t>
      </w:r>
      <w:r>
        <w:rPr>
          <w:rFonts w:ascii="宋体" w:hAnsi="宋体" w:cs="宋体" w:eastAsia="宋体" w:hint="default"/>
          <w:spacing w:val="-2"/>
          <w:sz w:val="18"/>
          <w:szCs w:val="18"/>
        </w:rPr>
        <w:t>年部分政府对于景观照明方面的财政支付能力下降，但公司甄选精品项目，积极加强应收账款管理，高度重视资金</w:t>
      </w:r>
      <w:r>
        <w:rPr>
          <w:rFonts w:ascii="宋体" w:hAnsi="宋体" w:cs="宋体" w:eastAsia="宋体" w:hint="default"/>
          <w:sz w:val="18"/>
          <w:szCs w:val="18"/>
        </w:rPr>
        <w:t> 回笼，</w:t>
      </w:r>
      <w:r>
        <w:rPr>
          <w:rFonts w:ascii="宋体" w:hAnsi="宋体" w:cs="宋体" w:eastAsia="宋体" w:hint="default"/>
          <w:b/>
          <w:bCs/>
          <w:sz w:val="18"/>
          <w:szCs w:val="18"/>
        </w:rPr>
        <w:t>智慧照明业务经营性现金流净额为</w:t>
      </w:r>
      <w:r>
        <w:rPr>
          <w:rFonts w:ascii="宋体" w:hAnsi="宋体" w:cs="宋体" w:eastAsia="宋体" w:hint="default"/>
          <w:b/>
          <w:bCs/>
          <w:sz w:val="18"/>
          <w:szCs w:val="18"/>
        </w:rPr>
        <w:t>11,090.03</w:t>
      </w:r>
      <w:r>
        <w:rPr>
          <w:rFonts w:ascii="宋体" w:hAnsi="宋体" w:cs="宋体" w:eastAsia="宋体" w:hint="default"/>
          <w:b/>
          <w:bCs/>
          <w:sz w:val="18"/>
          <w:szCs w:val="18"/>
        </w:rPr>
        <w:t>万元，实现了由负转正的跃变。</w:t>
      </w:r>
      <w:r>
        <w:rPr>
          <w:rFonts w:ascii="宋体" w:hAnsi="宋体" w:cs="宋体" w:eastAsia="宋体" w:hint="default"/>
          <w:sz w:val="18"/>
          <w:szCs w:val="18"/>
        </w:rPr>
      </w:r>
    </w:p>
    <w:p>
      <w:pPr>
        <w:spacing w:line="240" w:lineRule="auto" w:before="4"/>
        <w:rPr>
          <w:rFonts w:ascii="宋体" w:hAnsi="宋体" w:cs="宋体" w:eastAsia="宋体" w:hint="default"/>
          <w:b/>
          <w:bCs/>
          <w:sz w:val="26"/>
          <w:szCs w:val="26"/>
        </w:rPr>
      </w:pPr>
    </w:p>
    <w:p>
      <w:pPr>
        <w:pStyle w:val="Heading6"/>
        <w:spacing w:line="3729" w:lineRule="exact"/>
        <w:ind w:left="154" w:right="0"/>
        <w:jc w:val="left"/>
        <w:rPr>
          <w:rFonts w:ascii="宋体" w:hAnsi="宋体" w:cs="宋体" w:eastAsia="宋体" w:hint="default"/>
        </w:rPr>
      </w:pPr>
      <w:r>
        <w:rPr>
          <w:rFonts w:ascii="宋体"/>
          <w:position w:val="-73"/>
        </w:rPr>
        <w:drawing>
          <wp:inline distT="0" distB="0" distL="0" distR="0">
            <wp:extent cx="2891706" cy="2347722"/>
            <wp:effectExtent l="0" t="0" r="0" b="0"/>
            <wp:docPr id="59" name="image31.jpeg" descr=""/>
            <wp:cNvGraphicFramePr>
              <a:graphicFrameLocks noChangeAspect="1"/>
            </wp:cNvGraphicFramePr>
            <a:graphic>
              <a:graphicData uri="http://schemas.openxmlformats.org/drawingml/2006/picture">
                <pic:pic>
                  <pic:nvPicPr>
                    <pic:cNvPr id="60" name="image31.jpeg"/>
                    <pic:cNvPicPr/>
                  </pic:nvPicPr>
                  <pic:blipFill>
                    <a:blip r:embed="rId41" cstate="print"/>
                    <a:stretch>
                      <a:fillRect/>
                    </a:stretch>
                  </pic:blipFill>
                  <pic:spPr>
                    <a:xfrm>
                      <a:off x="0" y="0"/>
                      <a:ext cx="2891706" cy="2347722"/>
                    </a:xfrm>
                    <a:prstGeom prst="rect">
                      <a:avLst/>
                    </a:prstGeom>
                  </pic:spPr>
                </pic:pic>
              </a:graphicData>
            </a:graphic>
          </wp:inline>
        </w:drawing>
      </w:r>
      <w:r>
        <w:rPr>
          <w:rFonts w:ascii="宋体"/>
          <w:position w:val="-73"/>
        </w:rPr>
      </w:r>
      <w:r>
        <w:rPr>
          <w:rFonts w:ascii="Times New Roman"/>
          <w:spacing w:val="136"/>
          <w:position w:val="-73"/>
        </w:rPr>
        <w:t> </w:t>
      </w:r>
      <w:r>
        <w:rPr>
          <w:rFonts w:ascii="宋体"/>
          <w:spacing w:val="136"/>
          <w:position w:val="-74"/>
        </w:rPr>
        <w:drawing>
          <wp:inline distT="0" distB="0" distL="0" distR="0">
            <wp:extent cx="2895183" cy="2367915"/>
            <wp:effectExtent l="0" t="0" r="0" b="0"/>
            <wp:docPr id="61" name="image32.jpeg" descr=""/>
            <wp:cNvGraphicFramePr>
              <a:graphicFrameLocks noChangeAspect="1"/>
            </wp:cNvGraphicFramePr>
            <a:graphic>
              <a:graphicData uri="http://schemas.openxmlformats.org/drawingml/2006/picture">
                <pic:pic>
                  <pic:nvPicPr>
                    <pic:cNvPr id="62" name="image32.jpeg"/>
                    <pic:cNvPicPr/>
                  </pic:nvPicPr>
                  <pic:blipFill>
                    <a:blip r:embed="rId42" cstate="print"/>
                    <a:stretch>
                      <a:fillRect/>
                    </a:stretch>
                  </pic:blipFill>
                  <pic:spPr>
                    <a:xfrm>
                      <a:off x="0" y="0"/>
                      <a:ext cx="2895183" cy="2367915"/>
                    </a:xfrm>
                    <a:prstGeom prst="rect">
                      <a:avLst/>
                    </a:prstGeom>
                  </pic:spPr>
                </pic:pic>
              </a:graphicData>
            </a:graphic>
          </wp:inline>
        </w:drawing>
      </w:r>
      <w:r>
        <w:rPr>
          <w:rFonts w:ascii="宋体"/>
          <w:spacing w:val="136"/>
          <w:position w:val="-74"/>
        </w:rPr>
      </w:r>
    </w:p>
    <w:p>
      <w:pPr>
        <w:pStyle w:val="BodyText"/>
        <w:tabs>
          <w:tab w:pos="6184" w:val="left" w:leader="none"/>
        </w:tabs>
        <w:spacing w:line="240" w:lineRule="auto" w:before="14"/>
        <w:ind w:left="1234" w:right="0"/>
        <w:jc w:val="left"/>
      </w:pPr>
      <w:r>
        <w:rPr/>
        <w:t>青岛市上合组织峰会城市亮化项目</w:t>
        <w:tab/>
        <w:t>深圳深南东路景观亮化项目</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9"/>
          <w:szCs w:val="29"/>
        </w:rPr>
      </w:pPr>
    </w:p>
    <w:p>
      <w:pPr>
        <w:pStyle w:val="Heading6"/>
        <w:spacing w:line="3735" w:lineRule="exact"/>
        <w:ind w:left="147" w:right="0"/>
        <w:jc w:val="left"/>
      </w:pPr>
      <w:r>
        <w:rPr>
          <w:position w:val="-74"/>
        </w:rPr>
        <w:drawing>
          <wp:inline distT="0" distB="0" distL="0" distR="0">
            <wp:extent cx="2921489" cy="2372105"/>
            <wp:effectExtent l="0" t="0" r="0" b="0"/>
            <wp:docPr id="63" name="image33.jpeg" descr=""/>
            <wp:cNvGraphicFramePr>
              <a:graphicFrameLocks noChangeAspect="1"/>
            </wp:cNvGraphicFramePr>
            <a:graphic>
              <a:graphicData uri="http://schemas.openxmlformats.org/drawingml/2006/picture">
                <pic:pic>
                  <pic:nvPicPr>
                    <pic:cNvPr id="64" name="image33.jpeg"/>
                    <pic:cNvPicPr/>
                  </pic:nvPicPr>
                  <pic:blipFill>
                    <a:blip r:embed="rId43" cstate="print"/>
                    <a:stretch>
                      <a:fillRect/>
                    </a:stretch>
                  </pic:blipFill>
                  <pic:spPr>
                    <a:xfrm>
                      <a:off x="0" y="0"/>
                      <a:ext cx="2921489" cy="2372105"/>
                    </a:xfrm>
                    <a:prstGeom prst="rect">
                      <a:avLst/>
                    </a:prstGeom>
                  </pic:spPr>
                </pic:pic>
              </a:graphicData>
            </a:graphic>
          </wp:inline>
        </w:drawing>
      </w:r>
      <w:r>
        <w:rPr>
          <w:position w:val="-74"/>
        </w:rPr>
      </w:r>
      <w:r>
        <w:rPr>
          <w:rFonts w:ascii="Times New Roman"/>
          <w:spacing w:val="89"/>
          <w:position w:val="-74"/>
        </w:rPr>
        <w:t> </w:t>
      </w:r>
      <w:r>
        <w:rPr>
          <w:spacing w:val="89"/>
          <w:position w:val="-67"/>
        </w:rPr>
        <w:drawing>
          <wp:inline distT="0" distB="0" distL="0" distR="0">
            <wp:extent cx="2862610" cy="2324100"/>
            <wp:effectExtent l="0" t="0" r="0" b="0"/>
            <wp:docPr id="65" name="image34.jpeg" descr=""/>
            <wp:cNvGraphicFramePr>
              <a:graphicFrameLocks noChangeAspect="1"/>
            </wp:cNvGraphicFramePr>
            <a:graphic>
              <a:graphicData uri="http://schemas.openxmlformats.org/drawingml/2006/picture">
                <pic:pic>
                  <pic:nvPicPr>
                    <pic:cNvPr id="66" name="image34.jpeg"/>
                    <pic:cNvPicPr/>
                  </pic:nvPicPr>
                  <pic:blipFill>
                    <a:blip r:embed="rId44" cstate="print"/>
                    <a:stretch>
                      <a:fillRect/>
                    </a:stretch>
                  </pic:blipFill>
                  <pic:spPr>
                    <a:xfrm>
                      <a:off x="0" y="0"/>
                      <a:ext cx="2862610" cy="2324100"/>
                    </a:xfrm>
                    <a:prstGeom prst="rect">
                      <a:avLst/>
                    </a:prstGeom>
                  </pic:spPr>
                </pic:pic>
              </a:graphicData>
            </a:graphic>
          </wp:inline>
        </w:drawing>
      </w:r>
      <w:r>
        <w:rPr>
          <w:spacing w:val="89"/>
          <w:position w:val="-67"/>
        </w:rPr>
      </w:r>
    </w:p>
    <w:p>
      <w:pPr>
        <w:pStyle w:val="BodyText"/>
        <w:tabs>
          <w:tab w:pos="6290" w:val="left" w:leader="none"/>
        </w:tabs>
        <w:spacing w:line="240" w:lineRule="auto" w:before="1"/>
        <w:ind w:left="1430" w:right="0"/>
        <w:jc w:val="left"/>
      </w:pPr>
      <w:r>
        <w:rPr/>
        <w:t>长春奥林匹克公园项目</w:t>
        <w:tab/>
        <w:t>三亚市城市景观亮化项目</w:t>
      </w:r>
    </w:p>
    <w:p>
      <w:pPr>
        <w:spacing w:line="240" w:lineRule="auto" w:before="0"/>
        <w:rPr>
          <w:rFonts w:ascii="宋体" w:hAnsi="宋体" w:cs="宋体" w:eastAsia="宋体" w:hint="default"/>
          <w:sz w:val="18"/>
          <w:szCs w:val="18"/>
        </w:rPr>
      </w:pPr>
    </w:p>
    <w:p>
      <w:pPr>
        <w:pStyle w:val="Heading7"/>
        <w:spacing w:line="240" w:lineRule="auto" w:before="153"/>
        <w:ind w:right="0"/>
        <w:jc w:val="left"/>
        <w:rPr>
          <w:b w:val="0"/>
          <w:bCs w:val="0"/>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战略落地</w:t>
      </w:r>
      <w:r>
        <w:rPr>
          <w:rFonts w:ascii="Times New Roman" w:hAnsi="Times New Roman" w:cs="Times New Roman" w:eastAsia="Times New Roman" w:hint="default"/>
        </w:rPr>
        <w:t>——</w:t>
      </w:r>
      <w:r>
        <w:rPr/>
        <w:t>新产品推向市场，科研合作更进一步</w:t>
      </w:r>
      <w:r>
        <w:rPr>
          <w:b w:val="0"/>
          <w:bCs w:val="0"/>
        </w:rPr>
      </w:r>
    </w:p>
    <w:p>
      <w:pPr>
        <w:pStyle w:val="BodyText"/>
        <w:spacing w:line="307" w:lineRule="auto" w:before="63"/>
        <w:ind w:right="1128" w:firstLine="360"/>
        <w:jc w:val="both"/>
      </w:pPr>
      <w:r>
        <w:rPr/>
        <w:t>报告期内，公司为了进一步落地年初制定的</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战略，高度重视新技术创新及新产品的研发，将行业领先的人脸识 </w:t>
      </w:r>
      <w:r>
        <w:rPr>
          <w:spacing w:val="-5"/>
        </w:rPr>
        <w:t>别、大数据、语音识别、语义识别等人工智能技术融入到新产品的前期研发中，进一步增强公司产品的核心竞争力及创新力。</w:t>
      </w:r>
      <w:r>
        <w:rPr>
          <w:spacing w:val="-82"/>
        </w:rPr>
        <w:t> </w:t>
      </w:r>
      <w:r>
        <w:rPr>
          <w:spacing w:val="-82"/>
        </w:rPr>
      </w:r>
      <w:r>
        <w:rPr/>
        <w:t>公司最新研制的</w:t>
      </w:r>
      <w:r>
        <w:rPr>
          <w:rFonts w:ascii="Times New Roman" w:hAnsi="Times New Roman" w:cs="Times New Roman" w:eastAsia="Times New Roman" w:hint="default"/>
        </w:rPr>
        <w:t>“</w:t>
      </w:r>
      <w:r>
        <w:rPr>
          <w:rFonts w:ascii="Times New Roman" w:hAnsi="Times New Roman" w:cs="Times New Roman" w:eastAsia="Times New Roman" w:hint="default"/>
        </w:rPr>
        <w:t>MINI</w:t>
      </w:r>
      <w:r>
        <w:rPr>
          <w:rFonts w:ascii="Times New Roman" w:hAnsi="Times New Roman" w:cs="Times New Roman" w:eastAsia="Times New Roman" w:hint="default"/>
          <w:spacing w:val="27"/>
        </w:rPr>
        <w:t> </w:t>
      </w:r>
      <w:r>
        <w:rPr>
          <w:rFonts w:ascii="Times New Roman" w:hAnsi="Times New Roman" w:cs="Times New Roman" w:eastAsia="Times New Roman" w:hint="default"/>
        </w:rPr>
        <w:t>LED</w:t>
      </w:r>
      <w:r>
        <w:rPr/>
        <w:t>商用显示系统</w:t>
      </w:r>
      <w:r>
        <w:rPr>
          <w:rFonts w:ascii="Times New Roman" w:hAnsi="Times New Roman" w:cs="Times New Roman" w:eastAsia="Times New Roman" w:hint="default"/>
        </w:rPr>
        <w:t>”</w:t>
      </w:r>
      <w:r>
        <w:rPr/>
        <w:t>，一次性解决了超小间距</w:t>
      </w:r>
      <w:r>
        <w:rPr>
          <w:rFonts w:ascii="Times New Roman" w:hAnsi="Times New Roman" w:cs="Times New Roman" w:eastAsia="Times New Roman" w:hint="default"/>
        </w:rPr>
        <w:t>LED</w:t>
      </w:r>
      <w:r>
        <w:rPr/>
        <w:t>显示屏易损坏、</w:t>
      </w:r>
      <w:r>
        <w:rPr>
          <w:rFonts w:ascii="Times New Roman" w:hAnsi="Times New Roman" w:cs="Times New Roman" w:eastAsia="Times New Roman" w:hint="default"/>
        </w:rPr>
        <w:t>COB</w:t>
      </w:r>
      <w:r>
        <w:rPr/>
        <w:t>产品不可现场维修以及表面墨 色、显示亮色一致性等问题，申请</w:t>
      </w:r>
      <w:r>
        <w:rPr>
          <w:rFonts w:ascii="Times New Roman" w:hAnsi="Times New Roman" w:cs="Times New Roman" w:eastAsia="Times New Roman" w:hint="default"/>
        </w:rPr>
        <w:t>30</w:t>
      </w:r>
      <w:r>
        <w:rPr/>
        <w:t>多项全球各地的专利，目前已在南京市公安局正式商用，公司</w:t>
      </w:r>
      <w:r>
        <w:rPr>
          <w:rFonts w:ascii="Times New Roman" w:hAnsi="Times New Roman" w:cs="Times New Roman" w:eastAsia="Times New Roman" w:hint="default"/>
        </w:rPr>
        <w:t>“</w:t>
      </w:r>
      <w:r>
        <w:rPr/>
        <w:t>广东省</w:t>
      </w:r>
      <w:r>
        <w:rPr>
          <w:rFonts w:ascii="Times New Roman" w:hAnsi="Times New Roman" w:cs="Times New Roman" w:eastAsia="Times New Roman" w:hint="default"/>
        </w:rPr>
        <w:t>miniLED</w:t>
      </w:r>
      <w:r>
        <w:rPr/>
        <w:t>新一代</w:t>
      </w:r>
      <w:r>
        <w:rPr>
          <w:spacing w:val="-41"/>
        </w:rPr>
        <w:t> </w:t>
      </w:r>
      <w:r>
        <w:rPr>
          <w:spacing w:val="-1"/>
        </w:rPr>
        <w:t>商业显示工程技术研究中心</w:t>
      </w:r>
      <w:r>
        <w:rPr>
          <w:rFonts w:ascii="Times New Roman" w:hAnsi="Times New Roman" w:cs="Times New Roman" w:eastAsia="Times New Roman" w:hint="default"/>
          <w:spacing w:val="-1"/>
        </w:rPr>
        <w:t>”</w:t>
      </w:r>
      <w:r>
        <w:rPr>
          <w:spacing w:val="-1"/>
        </w:rPr>
        <w:t>被认定为</w:t>
      </w:r>
      <w:r>
        <w:rPr>
          <w:rFonts w:ascii="Times New Roman" w:hAnsi="Times New Roman" w:cs="Times New Roman" w:eastAsia="Times New Roman" w:hint="default"/>
          <w:spacing w:val="-1"/>
        </w:rPr>
        <w:t>“</w:t>
      </w:r>
      <w:r>
        <w:rPr>
          <w:spacing w:val="-1"/>
        </w:rPr>
        <w:t>广东省工程技术研究中心</w:t>
      </w:r>
      <w:r>
        <w:rPr>
          <w:rFonts w:ascii="Times New Roman" w:hAnsi="Times New Roman" w:cs="Times New Roman" w:eastAsia="Times New Roman" w:hint="default"/>
          <w:spacing w:val="-1"/>
        </w:rPr>
        <w:t>”</w:t>
      </w:r>
      <w:r>
        <w:rPr>
          <w:spacing w:val="-1"/>
        </w:rPr>
        <w:t>。公司开发的商显巨屏搭配公司最新推出的</w:t>
      </w:r>
      <w:r>
        <w:rPr>
          <w:rFonts w:ascii="宋体" w:hAnsi="宋体" w:cs="宋体" w:eastAsia="宋体" w:hint="default"/>
          <w:spacing w:val="-1"/>
        </w:rPr>
        <w:t>64K</w:t>
      </w:r>
      <w:r>
        <w:rPr>
          <w:spacing w:val="-1"/>
        </w:rPr>
        <w:t>超级视频图</w:t>
      </w:r>
      <w:r>
        <w:rPr>
          <w:spacing w:val="-87"/>
        </w:rPr>
        <w:t> </w:t>
      </w:r>
      <w:r>
        <w:rPr/>
        <w:t>像阵列，单台支持</w:t>
      </w:r>
      <w:r>
        <w:rPr>
          <w:rFonts w:ascii="宋体" w:hAnsi="宋体" w:cs="宋体" w:eastAsia="宋体" w:hint="default"/>
        </w:rPr>
        <w:t>64K</w:t>
      </w:r>
      <w:r>
        <w:rPr>
          <w:rFonts w:ascii="宋体" w:hAnsi="宋体" w:cs="宋体" w:eastAsia="宋体" w:hint="default"/>
          <w:spacing w:val="-41"/>
        </w:rPr>
        <w:t> </w:t>
      </w:r>
      <w:r>
        <w:rPr>
          <w:rFonts w:ascii="宋体" w:hAnsi="宋体" w:cs="宋体" w:eastAsia="宋体" w:hint="default"/>
        </w:rPr>
        <w:t>x</w:t>
      </w:r>
      <w:r>
        <w:rPr>
          <w:rFonts w:ascii="宋体" w:hAnsi="宋体" w:cs="宋体" w:eastAsia="宋体" w:hint="default"/>
          <w:spacing w:val="-41"/>
        </w:rPr>
        <w:t> </w:t>
      </w:r>
      <w:r>
        <w:rPr>
          <w:rFonts w:ascii="宋体" w:hAnsi="宋体" w:cs="宋体" w:eastAsia="宋体" w:hint="default"/>
        </w:rPr>
        <w:t>4K</w:t>
      </w:r>
      <w:r>
        <w:rPr/>
        <w:t>显示分辨率、海量数据与图像视频传输处理，专为大型控制指挥中心、监控中心、设计中心及演 </w:t>
      </w:r>
      <w:r>
        <w:rPr>
          <w:spacing w:val="-5"/>
        </w:rPr>
        <w:t>播室等领域打造；公司智能服务型机器人完成第二代产品小批量量产，且取得了产品认证证书，并在多家银行进行集成运用；</w:t>
      </w:r>
      <w:r>
        <w:rPr>
          <w:spacing w:val="-79"/>
        </w:rPr>
        <w:t> </w:t>
      </w:r>
      <w:r>
        <w:rPr>
          <w:spacing w:val="-79"/>
        </w:rPr>
      </w:r>
      <w:r>
        <w:rPr/>
        <w:t>公司新开发的智能照明控制管理系统成功集成运用到深圳市“金三角”金融商业核心区灯光夜景提升工程等项目。</w:t>
      </w:r>
    </w:p>
    <w:p>
      <w:pPr>
        <w:pStyle w:val="BodyText"/>
        <w:spacing w:line="307" w:lineRule="auto" w:before="26"/>
        <w:ind w:right="1129" w:firstLine="360"/>
        <w:jc w:val="both"/>
      </w:pPr>
      <w:r>
        <w:rPr/>
        <w:t>公司加强与科研机构以及高校的产学研合作，利用科研机构及高校的研发资源，提升公司科研成果转换效率。</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 </w:t>
      </w:r>
      <w:r>
        <w:rPr>
          <w:spacing w:val="-5"/>
        </w:rPr>
        <w:t>月，公司与深圳市和信中欧金融科技研究院达成战略合作伙伴，双方共同推动区块链技术与金融科技领域的结合及应用；</w:t>
      </w:r>
      <w:r>
        <w:rPr>
          <w:rFonts w:ascii="Times New Roman" w:hAnsi="Times New Roman" w:cs="Times New Roman" w:eastAsia="Times New Roman" w:hint="default"/>
          <w:spacing w:val="-5"/>
        </w:rPr>
        <w:t>2018</w:t>
      </w:r>
      <w:r>
        <w:rPr>
          <w:rFonts w:ascii="Times New Roman" w:hAnsi="Times New Roman" w:cs="Times New Roman" w:eastAsia="Times New Roman" w:hint="default"/>
          <w:spacing w:val="-23"/>
        </w:rPr>
        <w:t> </w:t>
      </w:r>
      <w:r>
        <w:rPr/>
        <w:t>年</w:t>
      </w:r>
      <w:r>
        <w:rPr>
          <w:rFonts w:ascii="Times New Roman" w:hAnsi="Times New Roman" w:cs="Times New Roman" w:eastAsia="Times New Roman" w:hint="default"/>
        </w:rPr>
        <w:t>6</w:t>
      </w:r>
      <w:r>
        <w:rPr/>
        <w:t>月，公司与北京大学深圳研究生院联合成立的</w:t>
      </w:r>
      <w:r>
        <w:rPr>
          <w:rFonts w:ascii="Times New Roman" w:hAnsi="Times New Roman" w:cs="Times New Roman" w:eastAsia="Times New Roman" w:hint="default"/>
        </w:rPr>
        <w:t>“</w:t>
      </w:r>
      <w:r>
        <w:rPr/>
        <w:t>人工智能场景认知技术与产业创新联合实验室</w:t>
      </w:r>
      <w:r>
        <w:rPr>
          <w:rFonts w:ascii="Times New Roman" w:hAnsi="Times New Roman" w:cs="Times New Roman" w:eastAsia="Times New Roman" w:hint="default"/>
        </w:rPr>
        <w:t>”</w:t>
      </w:r>
      <w:r>
        <w:rPr/>
        <w:t>，重点研究机器视觉、机</w:t>
      </w:r>
      <w:r>
        <w:rPr>
          <w:spacing w:val="-66"/>
        </w:rPr>
        <w:t> </w:t>
      </w:r>
      <w:r>
        <w:rPr>
          <w:spacing w:val="-66"/>
        </w:rPr>
      </w:r>
      <w:r>
        <w:rPr>
          <w:spacing w:val="-5"/>
        </w:rPr>
        <w:t>器听觉、自然语言处理、知识表示和推理等机器智能的基础共性技术，将提升公司在人工智能技术研究及应用的实力；同时，</w:t>
      </w:r>
      <w:r>
        <w:rPr>
          <w:spacing w:val="-82"/>
        </w:rPr>
        <w:t> </w:t>
      </w:r>
      <w:r>
        <w:rPr>
          <w:spacing w:val="-82"/>
        </w:rPr>
      </w:r>
      <w:r>
        <w:rPr>
          <w:spacing w:val="-2"/>
        </w:rPr>
        <w:t>公司也与香港科技大学电子及计算机工程学院孵化团队共同研发语义识别领域相关技术，为公司的产品及技术的智能化升级</w:t>
      </w:r>
      <w:r>
        <w:rPr>
          <w:spacing w:val="-64"/>
        </w:rPr>
        <w:t> </w:t>
      </w:r>
      <w:r>
        <w:rPr>
          <w:spacing w:val="-64"/>
        </w:rPr>
      </w:r>
      <w:r>
        <w:rPr/>
        <w:t>奠定了基础。</w:t>
      </w:r>
    </w:p>
    <w:p>
      <w:pPr>
        <w:pStyle w:val="BodyText"/>
        <w:spacing w:line="307" w:lineRule="auto" w:before="67"/>
        <w:ind w:right="1131" w:firstLine="360"/>
        <w:jc w:val="both"/>
      </w:pPr>
      <w:r>
        <w:rPr>
          <w:spacing w:val="-3"/>
        </w:rPr>
        <w:t>为了更好地响应</w:t>
      </w:r>
      <w:r>
        <w:rPr>
          <w:rFonts w:ascii="Times New Roman" w:hAnsi="Times New Roman" w:cs="Times New Roman" w:eastAsia="Times New Roman" w:hint="default"/>
          <w:spacing w:val="-3"/>
        </w:rPr>
        <w:t>“</w:t>
      </w:r>
      <w:r>
        <w:rPr>
          <w:spacing w:val="-3"/>
        </w:rPr>
        <w:t>智能</w:t>
      </w:r>
      <w:r>
        <w:rPr>
          <w:rFonts w:ascii="Times New Roman" w:hAnsi="Times New Roman" w:cs="Times New Roman" w:eastAsia="Times New Roman" w:hint="default"/>
          <w:spacing w:val="-3"/>
        </w:rPr>
        <w:t>+”</w:t>
      </w:r>
      <w:r>
        <w:rPr>
          <w:spacing w:val="-3"/>
        </w:rPr>
        <w:t>战略，整合公司研发资源，提升公司整体研发实力，公司成立了武汉市奥拓智能科技有限公司，</w:t>
      </w:r>
      <w:r>
        <w:rPr/>
        <w:t> </w:t>
      </w:r>
      <w:r>
        <w:rPr>
          <w:spacing w:val="-2"/>
        </w:rPr>
        <w:t>并且于</w:t>
      </w:r>
      <w:r>
        <w:rPr>
          <w:rFonts w:ascii="Times New Roman" w:hAnsi="Times New Roman" w:cs="Times New Roman" w:eastAsia="Times New Roman" w:hint="default"/>
          <w:spacing w:val="-2"/>
        </w:rPr>
        <w:t>2019</w:t>
      </w:r>
      <w:r>
        <w:rPr>
          <w:spacing w:val="-2"/>
        </w:rPr>
        <w:t>年初设立了智能视讯技术研究院，将以智能视讯技术研究院为研发平台，连接公司三大业务，夯实公司智能化和</w:t>
      </w:r>
      <w:r>
        <w:rPr>
          <w:spacing w:val="-62"/>
        </w:rPr>
        <w:t> </w:t>
      </w:r>
      <w:r>
        <w:rPr>
          <w:spacing w:val="-62"/>
        </w:rPr>
      </w:r>
      <w:r>
        <w:rPr>
          <w:spacing w:val="-2"/>
        </w:rPr>
        <w:t>集成化水平，在打造武汉奥拓为公司软件开发中心的同时，在智慧银行、智慧城市等领域取得技术领先，促进公司业务快速</w:t>
      </w:r>
      <w:r>
        <w:rPr>
          <w:spacing w:val="-66"/>
        </w:rPr>
        <w:t> </w:t>
      </w:r>
      <w:r>
        <w:rPr>
          <w:spacing w:val="-66"/>
        </w:rPr>
      </w:r>
      <w:r>
        <w:rPr/>
        <w:t>发展。</w:t>
      </w:r>
    </w:p>
    <w:p>
      <w:pPr>
        <w:spacing w:after="0" w:line="307" w:lineRule="auto"/>
        <w:jc w:val="both"/>
        <w:sectPr>
          <w:pgSz w:w="11910" w:h="16840"/>
          <w:pgMar w:header="747" w:footer="979" w:top="1060" w:bottom="1160" w:left="980" w:right="0"/>
        </w:sectPr>
      </w:pPr>
    </w:p>
    <w:p>
      <w:pPr>
        <w:spacing w:line="240" w:lineRule="auto" w:before="5"/>
        <w:rPr>
          <w:rFonts w:ascii="宋体" w:hAnsi="宋体" w:cs="宋体" w:eastAsia="宋体" w:hint="default"/>
          <w:sz w:val="29"/>
          <w:szCs w:val="29"/>
        </w:rPr>
      </w:pPr>
    </w:p>
    <w:p>
      <w:pPr>
        <w:pStyle w:val="Heading6"/>
        <w:spacing w:line="3742" w:lineRule="exact"/>
        <w:ind w:left="694" w:right="0"/>
        <w:jc w:val="left"/>
      </w:pPr>
      <w:r>
        <w:rPr>
          <w:position w:val="-74"/>
        </w:rPr>
        <w:drawing>
          <wp:inline distT="0" distB="0" distL="0" distR="0">
            <wp:extent cx="2895811" cy="2376297"/>
            <wp:effectExtent l="0" t="0" r="0" b="0"/>
            <wp:docPr id="67" name="image35.jpeg" descr=""/>
            <wp:cNvGraphicFramePr>
              <a:graphicFrameLocks noChangeAspect="1"/>
            </wp:cNvGraphicFramePr>
            <a:graphic>
              <a:graphicData uri="http://schemas.openxmlformats.org/drawingml/2006/picture">
                <pic:pic>
                  <pic:nvPicPr>
                    <pic:cNvPr id="68" name="image35.jpeg"/>
                    <pic:cNvPicPr/>
                  </pic:nvPicPr>
                  <pic:blipFill>
                    <a:blip r:embed="rId45" cstate="print"/>
                    <a:stretch>
                      <a:fillRect/>
                    </a:stretch>
                  </pic:blipFill>
                  <pic:spPr>
                    <a:xfrm>
                      <a:off x="0" y="0"/>
                      <a:ext cx="2895811" cy="2376297"/>
                    </a:xfrm>
                    <a:prstGeom prst="rect">
                      <a:avLst/>
                    </a:prstGeom>
                  </pic:spPr>
                </pic:pic>
              </a:graphicData>
            </a:graphic>
          </wp:inline>
        </w:drawing>
      </w:r>
      <w:r>
        <w:rPr>
          <w:position w:val="-74"/>
        </w:rPr>
      </w:r>
      <w:r>
        <w:rPr>
          <w:rFonts w:ascii="Times New Roman"/>
          <w:spacing w:val="17"/>
          <w:position w:val="-74"/>
        </w:rPr>
        <w:t> </w:t>
      </w:r>
      <w:r>
        <w:rPr>
          <w:spacing w:val="17"/>
          <w:position w:val="-74"/>
        </w:rPr>
        <w:drawing>
          <wp:inline distT="0" distB="0" distL="0" distR="0">
            <wp:extent cx="2857328" cy="2376297"/>
            <wp:effectExtent l="0" t="0" r="0" b="0"/>
            <wp:docPr id="69" name="image36.png" descr=""/>
            <wp:cNvGraphicFramePr>
              <a:graphicFrameLocks noChangeAspect="1"/>
            </wp:cNvGraphicFramePr>
            <a:graphic>
              <a:graphicData uri="http://schemas.openxmlformats.org/drawingml/2006/picture">
                <pic:pic>
                  <pic:nvPicPr>
                    <pic:cNvPr id="70" name="image36.png"/>
                    <pic:cNvPicPr/>
                  </pic:nvPicPr>
                  <pic:blipFill>
                    <a:blip r:embed="rId46" cstate="print"/>
                    <a:stretch>
                      <a:fillRect/>
                    </a:stretch>
                  </pic:blipFill>
                  <pic:spPr>
                    <a:xfrm>
                      <a:off x="0" y="0"/>
                      <a:ext cx="2857328" cy="2376297"/>
                    </a:xfrm>
                    <a:prstGeom prst="rect">
                      <a:avLst/>
                    </a:prstGeom>
                  </pic:spPr>
                </pic:pic>
              </a:graphicData>
            </a:graphic>
          </wp:inline>
        </w:drawing>
      </w:r>
      <w:r>
        <w:rPr>
          <w:spacing w:val="17"/>
          <w:position w:val="-74"/>
        </w:rPr>
      </w:r>
    </w:p>
    <w:p>
      <w:pPr>
        <w:pStyle w:val="BodyText"/>
        <w:tabs>
          <w:tab w:pos="6958" w:val="left" w:leader="none"/>
        </w:tabs>
        <w:spacing w:line="240" w:lineRule="auto" w:before="1"/>
        <w:ind w:left="1504" w:right="0"/>
        <w:jc w:val="left"/>
      </w:pPr>
      <w:r>
        <w:rPr>
          <w:rFonts w:ascii="Times New Roman" w:hAnsi="Times New Roman" w:cs="Times New Roman" w:eastAsia="Times New Roman" w:hint="default"/>
        </w:rPr>
        <w:t>MINI</w:t>
      </w:r>
      <w:r>
        <w:rPr>
          <w:rFonts w:ascii="Times New Roman" w:hAnsi="Times New Roman" w:cs="Times New Roman" w:eastAsia="Times New Roman" w:hint="default"/>
          <w:spacing w:val="-3"/>
        </w:rPr>
        <w:t> </w:t>
      </w:r>
      <w:r>
        <w:rPr>
          <w:rFonts w:ascii="Times New Roman" w:hAnsi="Times New Roman" w:cs="Times New Roman" w:eastAsia="Times New Roman" w:hint="default"/>
        </w:rPr>
        <w:t>LED</w:t>
      </w:r>
      <w:r>
        <w:rPr/>
        <w:t>商用显示系统（南京市公安局）</w:t>
        <w:tab/>
        <w:t>超级视频图像阵列</w:t>
      </w:r>
    </w:p>
    <w:p>
      <w:pPr>
        <w:spacing w:line="240" w:lineRule="auto" w:before="12"/>
        <w:rPr>
          <w:rFonts w:ascii="宋体" w:hAnsi="宋体" w:cs="宋体" w:eastAsia="宋体" w:hint="default"/>
          <w:sz w:val="4"/>
          <w:szCs w:val="4"/>
        </w:rPr>
      </w:pPr>
    </w:p>
    <w:p>
      <w:pPr>
        <w:spacing w:line="3720" w:lineRule="exact"/>
        <w:ind w:left="694"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50.75pt;height:186pt;mso-position-horizontal-relative:char;mso-position-vertical-relative:line" coordorigin="0,0" coordsize="9015,3720">
            <v:shape style="position:absolute;left:0;top:0;width:4515;height:3705" type="#_x0000_t75" stroked="false">
              <v:imagedata r:id="rId47" o:title=""/>
            </v:shape>
            <v:shape style="position:absolute;left:4530;top:30;width:4485;height:3690" type="#_x0000_t75" stroked="false">
              <v:imagedata r:id="rId48" o:title=""/>
            </v:shape>
          </v:group>
        </w:pict>
      </w:r>
      <w:r>
        <w:rPr>
          <w:rFonts w:ascii="宋体" w:hAnsi="宋体" w:cs="宋体" w:eastAsia="宋体" w:hint="default"/>
          <w:position w:val="-73"/>
          <w:sz w:val="20"/>
          <w:szCs w:val="20"/>
        </w:rPr>
      </w:r>
    </w:p>
    <w:p>
      <w:pPr>
        <w:pStyle w:val="BodyText"/>
        <w:tabs>
          <w:tab w:pos="6454" w:val="left" w:leader="none"/>
        </w:tabs>
        <w:spacing w:line="240" w:lineRule="auto" w:before="23"/>
        <w:ind w:left="964" w:right="0"/>
        <w:jc w:val="left"/>
      </w:pPr>
      <w:r>
        <w:rPr/>
        <w:t>公司与北京大学深圳研究生院成立的人工智能实验室</w:t>
        <w:tab/>
        <w:t>奥拓电子智能视讯技术研究院</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spacing w:line="340" w:lineRule="auto" w:before="0"/>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、运营管理</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ERP</w:t>
      </w:r>
      <w:r>
        <w:rPr>
          <w:rFonts w:ascii="宋体" w:hAnsi="宋体" w:cs="宋体" w:eastAsia="宋体" w:hint="default"/>
          <w:b/>
          <w:bCs/>
          <w:sz w:val="18"/>
          <w:szCs w:val="18"/>
        </w:rPr>
        <w:t>系统提升管理效率，回购股份彰显发展信心</w:t>
      </w:r>
      <w:r>
        <w:rPr>
          <w:rFonts w:ascii="宋体" w:hAnsi="宋体" w:cs="宋体" w:eastAsia="宋体" w:hint="default"/>
          <w:b/>
          <w:bCs/>
          <w:w w:val="99"/>
          <w:sz w:val="18"/>
          <w:szCs w:val="18"/>
        </w:rPr>
        <w:t> </w:t>
      </w:r>
      <w:r>
        <w:rPr>
          <w:rFonts w:ascii="宋体" w:hAnsi="宋体" w:cs="宋体" w:eastAsia="宋体" w:hint="default"/>
          <w:spacing w:val="-2"/>
          <w:sz w:val="18"/>
          <w:szCs w:val="18"/>
        </w:rPr>
        <w:t>报告期内，公司努力加强集团化管理与整合资源。</w:t>
      </w:r>
      <w:r>
        <w:rPr>
          <w:rFonts w:ascii="Times New Roman" w:hAnsi="Times New Roman" w:cs="Times New Roman" w:eastAsia="Times New Roman" w:hint="default"/>
          <w:spacing w:val="-2"/>
          <w:sz w:val="18"/>
          <w:szCs w:val="18"/>
        </w:rPr>
        <w:t>ERP</w:t>
      </w:r>
      <w:r>
        <w:rPr>
          <w:rFonts w:ascii="宋体" w:hAnsi="宋体" w:cs="宋体" w:eastAsia="宋体" w:hint="default"/>
          <w:spacing w:val="-2"/>
          <w:sz w:val="18"/>
          <w:szCs w:val="18"/>
        </w:rPr>
        <w:t>系统第一期及第二期项目正式落地，公司大部分业务单元均纳入</w:t>
      </w:r>
    </w:p>
    <w:p>
      <w:pPr>
        <w:pStyle w:val="BodyText"/>
        <w:spacing w:line="213" w:lineRule="exact"/>
        <w:ind w:right="0"/>
        <w:jc w:val="left"/>
      </w:pPr>
      <w:r>
        <w:rPr/>
        <w:t>系统，促进公司信息化平台建设的快速发展，实现了公司业务及财务一体化的目标。同时，公司进一步完善集团化战略管控</w:t>
      </w:r>
    </w:p>
    <w:p>
      <w:pPr>
        <w:pStyle w:val="BodyText"/>
        <w:spacing w:line="357" w:lineRule="auto" w:before="77"/>
        <w:ind w:left="514" w:right="1122" w:hanging="360"/>
        <w:jc w:val="left"/>
      </w:pPr>
      <w:r>
        <w:rPr/>
        <w:t>的制度建设和文化宣贯，各业务板块和经营单位实现战略协同，提高公司运营效率，控制经营风险。 另外，基于对公司未来发展前景的信心和基本面的判断，公司拟以不低于人民币</w:t>
      </w:r>
      <w:r>
        <w:rPr>
          <w:rFonts w:ascii="Times New Roman" w:hAnsi="Times New Roman" w:cs="Times New Roman" w:eastAsia="Times New Roman" w:hint="default"/>
        </w:rPr>
        <w:t>4,000</w:t>
      </w:r>
      <w:r>
        <w:rPr/>
        <w:t>万元（包含</w:t>
      </w:r>
      <w:r>
        <w:rPr>
          <w:rFonts w:ascii="Times New Roman" w:hAnsi="Times New Roman" w:cs="Times New Roman" w:eastAsia="Times New Roman" w:hint="default"/>
        </w:rPr>
        <w:t>4,000</w:t>
      </w:r>
      <w:r>
        <w:rPr/>
        <w:t>万元），不超过</w:t>
      </w:r>
    </w:p>
    <w:p>
      <w:pPr>
        <w:pStyle w:val="BodyText"/>
        <w:spacing w:line="214" w:lineRule="exact"/>
        <w:ind w:right="0"/>
        <w:jc w:val="left"/>
      </w:pPr>
      <w:r>
        <w:rPr/>
        <w:t>人民币</w:t>
      </w:r>
      <w:r>
        <w:rPr>
          <w:rFonts w:ascii="Times New Roman" w:hAnsi="Times New Roman" w:cs="Times New Roman" w:eastAsia="Times New Roman" w:hint="default"/>
        </w:rPr>
        <w:t>8,000</w:t>
      </w:r>
      <w:r>
        <w:rPr/>
        <w:t>万元（包含</w:t>
      </w:r>
      <w:r>
        <w:rPr>
          <w:rFonts w:ascii="Times New Roman" w:hAnsi="Times New Roman" w:cs="Times New Roman" w:eastAsia="Times New Roman" w:hint="default"/>
        </w:rPr>
        <w:t>8,000</w:t>
      </w:r>
      <w:r>
        <w:rPr/>
        <w:t>万元）的资金回购公司股份，回购股份成本价格不超过</w:t>
      </w:r>
      <w:r>
        <w:rPr>
          <w:rFonts w:ascii="Times New Roman" w:hAnsi="Times New Roman" w:cs="Times New Roman" w:eastAsia="Times New Roman" w:hint="default"/>
        </w:rPr>
        <w:t>9</w:t>
      </w:r>
      <w:r>
        <w:rPr/>
        <w:t>元</w:t>
      </w:r>
      <w:r>
        <w:rPr>
          <w:rFonts w:ascii="Times New Roman" w:hAnsi="Times New Roman" w:cs="Times New Roman" w:eastAsia="Times New Roman" w:hint="default"/>
        </w:rPr>
        <w:t>/</w:t>
      </w:r>
      <w:r>
        <w:rPr/>
        <w:t>股。截至</w:t>
      </w:r>
      <w:r>
        <w:rPr>
          <w:rFonts w:ascii="宋体" w:hAnsi="宋体" w:cs="宋体" w:eastAsia="宋体" w:hint="default"/>
        </w:rPr>
        <w:t>2019</w:t>
      </w:r>
      <w:r>
        <w:rPr/>
        <w:t>年</w:t>
      </w:r>
      <w:r>
        <w:rPr>
          <w:rFonts w:ascii="宋体" w:hAnsi="宋体" w:cs="宋体" w:eastAsia="宋体" w:hint="default"/>
        </w:rPr>
        <w:t>3</w:t>
      </w:r>
      <w:r>
        <w:rPr/>
        <w:t>月</w:t>
      </w:r>
      <w:r>
        <w:rPr>
          <w:rFonts w:ascii="宋体" w:hAnsi="宋体" w:cs="宋体" w:eastAsia="宋体" w:hint="default"/>
        </w:rPr>
        <w:t>31</w:t>
      </w:r>
      <w:r>
        <w:rPr/>
        <w:t>日，通过股票</w:t>
      </w:r>
    </w:p>
    <w:p>
      <w:pPr>
        <w:pStyle w:val="BodyText"/>
        <w:spacing w:line="319" w:lineRule="auto" w:before="63"/>
        <w:ind w:right="1027"/>
        <w:jc w:val="left"/>
      </w:pPr>
      <w:r>
        <w:rPr>
          <w:spacing w:val="-3"/>
        </w:rPr>
        <w:t>回购专用证券账户以集中竞价交易方式回购公司股份，回购股份数量为</w:t>
      </w:r>
      <w:r>
        <w:rPr/>
        <w:t> </w:t>
      </w:r>
      <w:r>
        <w:rPr>
          <w:rFonts w:ascii="宋体" w:hAnsi="宋体" w:cs="宋体" w:eastAsia="宋体" w:hint="default"/>
        </w:rPr>
        <w:t>4,186,652</w:t>
      </w:r>
      <w:r>
        <w:rPr>
          <w:rFonts w:ascii="宋体" w:hAnsi="宋体" w:cs="宋体" w:eastAsia="宋体" w:hint="default"/>
          <w:spacing w:val="23"/>
        </w:rPr>
        <w:t> </w:t>
      </w:r>
      <w:r>
        <w:rPr>
          <w:spacing w:val="-5"/>
        </w:rPr>
        <w:t>股，占公司已发行总股本的比例为</w:t>
      </w:r>
      <w:r>
        <w:rPr>
          <w:rFonts w:ascii="宋体" w:hAnsi="宋体" w:cs="宋体" w:eastAsia="宋体" w:hint="default"/>
          <w:spacing w:val="-5"/>
        </w:rPr>
        <w:t>0.68%</w:t>
      </w:r>
      <w:r>
        <w:rPr>
          <w:spacing w:val="-5"/>
        </w:rPr>
        <w:t>，</w:t>
      </w:r>
      <w:r>
        <w:rPr/>
        <w:t> 其中最高成交价为 </w:t>
      </w:r>
      <w:r>
        <w:rPr>
          <w:rFonts w:ascii="宋体" w:hAnsi="宋体" w:cs="宋体" w:eastAsia="宋体" w:hint="default"/>
        </w:rPr>
        <w:t>6.51</w:t>
      </w:r>
      <w:r>
        <w:rPr/>
        <w:t>元</w:t>
      </w:r>
      <w:r>
        <w:rPr>
          <w:rFonts w:ascii="宋体" w:hAnsi="宋体" w:cs="宋体" w:eastAsia="宋体" w:hint="default"/>
        </w:rPr>
        <w:t>/</w:t>
      </w:r>
      <w:r>
        <w:rPr/>
        <w:t>股，最低成交价为 </w:t>
      </w:r>
      <w:r>
        <w:rPr>
          <w:rFonts w:ascii="宋体" w:hAnsi="宋体" w:cs="宋体" w:eastAsia="宋体" w:hint="default"/>
        </w:rPr>
        <w:t>4.76 </w:t>
      </w:r>
      <w:r>
        <w:rPr/>
        <w:t>元</w:t>
      </w:r>
      <w:r>
        <w:rPr>
          <w:rFonts w:ascii="宋体" w:hAnsi="宋体" w:cs="宋体" w:eastAsia="宋体" w:hint="default"/>
        </w:rPr>
        <w:t>/</w:t>
      </w:r>
      <w:r>
        <w:rPr/>
        <w:t>股，合计支付的总金额为 </w:t>
      </w:r>
      <w:r>
        <w:rPr>
          <w:rFonts w:ascii="宋体" w:hAnsi="宋体" w:cs="宋体" w:eastAsia="宋体" w:hint="default"/>
        </w:rPr>
        <w:t>21,736,700.11</w:t>
      </w:r>
      <w:r>
        <w:rPr/>
        <w:t>元（不含交易费用）。</w:t>
      </w:r>
    </w:p>
    <w:p>
      <w:pPr>
        <w:pStyle w:val="BodyText"/>
        <w:spacing w:line="302" w:lineRule="auto" w:before="56"/>
        <w:ind w:right="1117" w:firstLine="360"/>
        <w:jc w:val="left"/>
      </w:pPr>
      <w:r>
        <w:rPr/>
        <w:t>报告期内，公司实施了</w:t>
      </w:r>
      <w:r>
        <w:rPr>
          <w:rFonts w:ascii="Times New Roman" w:hAnsi="Times New Roman" w:cs="Times New Roman" w:eastAsia="Times New Roman" w:hint="default"/>
        </w:rPr>
        <w:t>2018</w:t>
      </w:r>
      <w:r>
        <w:rPr/>
        <w:t>年限制性股票激励计划，以</w:t>
      </w:r>
      <w:r>
        <w:rPr>
          <w:rFonts w:ascii="Times New Roman" w:hAnsi="Times New Roman" w:cs="Times New Roman" w:eastAsia="Times New Roman" w:hint="default"/>
        </w:rPr>
        <w:t>2.7</w:t>
      </w:r>
      <w:r>
        <w:rPr/>
        <w:t>元</w:t>
      </w:r>
      <w:r>
        <w:rPr>
          <w:rFonts w:ascii="Times New Roman" w:hAnsi="Times New Roman" w:cs="Times New Roman" w:eastAsia="Times New Roman" w:hint="default"/>
        </w:rPr>
        <w:t>/</w:t>
      </w:r>
      <w:r>
        <w:rPr/>
        <w:t>股的价格向</w:t>
      </w:r>
      <w:r>
        <w:rPr>
          <w:rFonts w:ascii="Times New Roman" w:hAnsi="Times New Roman" w:cs="Times New Roman" w:eastAsia="Times New Roman" w:hint="default"/>
        </w:rPr>
        <w:t>147</w:t>
      </w:r>
      <w:r>
        <w:rPr/>
        <w:t>名员工授予</w:t>
      </w:r>
      <w:r>
        <w:rPr>
          <w:rFonts w:ascii="Times New Roman" w:hAnsi="Times New Roman" w:cs="Times New Roman" w:eastAsia="Times New Roman" w:hint="default"/>
        </w:rPr>
        <w:t>800</w:t>
      </w:r>
      <w:r>
        <w:rPr/>
        <w:t>万股限制性股票，有效增强 员工与公司的粘性，提高员工工作积极性，将核心骨干纳入长效激励体系，为未来发展打下良好基础。</w:t>
      </w:r>
    </w:p>
    <w:p>
      <w:pPr>
        <w:pStyle w:val="BodyText"/>
        <w:spacing w:line="309" w:lineRule="auto" w:before="68"/>
        <w:ind w:right="1131" w:firstLine="360"/>
        <w:jc w:val="both"/>
      </w:pPr>
      <w:r>
        <w:rPr>
          <w:rFonts w:ascii="Times New Roman" w:hAnsi="Times New Roman" w:cs="Times New Roman" w:eastAsia="Times New Roman" w:hint="default"/>
          <w:spacing w:val="-2"/>
        </w:rPr>
        <w:t>2018</w:t>
      </w:r>
      <w:r>
        <w:rPr>
          <w:spacing w:val="-2"/>
        </w:rPr>
        <w:t>年，公司加速落地人才高地战略，加强人才梯队建设，积极培养优质毕业生作为公司核心后备力量，通过系统性的</w:t>
      </w:r>
      <w:r>
        <w:rPr/>
        <w:t> </w:t>
      </w:r>
      <w:r>
        <w:rPr>
          <w:spacing w:val="-2"/>
        </w:rPr>
        <w:t>培训，提升每个员工的工作能力及素养。同时，公司实行了新的薪酬制度及激励制度，提升公司员工的平均待遇及福利，有</w:t>
      </w:r>
      <w:r>
        <w:rPr>
          <w:spacing w:val="-66"/>
        </w:rPr>
        <w:t> </w:t>
      </w:r>
      <w:r>
        <w:rPr>
          <w:spacing w:val="-66"/>
        </w:rPr>
      </w:r>
      <w:r>
        <w:rPr/>
        <w:t>效地增强员工工作积极性。</w:t>
      </w:r>
    </w:p>
    <w:p>
      <w:pPr>
        <w:pStyle w:val="BodyText"/>
        <w:spacing w:line="309" w:lineRule="auto" w:before="62"/>
        <w:ind w:right="1032" w:firstLine="360"/>
        <w:jc w:val="left"/>
      </w:pPr>
      <w:r>
        <w:rPr>
          <w:spacing w:val="-2"/>
        </w:rPr>
        <w:t>同时，公司积极参与社会公益活动，公司与部分股东拟合计捐赠</w:t>
      </w:r>
      <w:r>
        <w:rPr>
          <w:rFonts w:ascii="Times New Roman" w:hAnsi="Times New Roman" w:cs="Times New Roman" w:eastAsia="Times New Roman" w:hint="default"/>
          <w:spacing w:val="-2"/>
        </w:rPr>
        <w:t>200</w:t>
      </w:r>
      <w:r>
        <w:rPr>
          <w:spacing w:val="-2"/>
        </w:rPr>
        <w:t>万元，其中公司本次捐赠</w:t>
      </w:r>
      <w:r>
        <w:rPr>
          <w:rFonts w:ascii="Times New Roman" w:hAnsi="Times New Roman" w:cs="Times New Roman" w:eastAsia="Times New Roman" w:hint="default"/>
          <w:spacing w:val="-2"/>
        </w:rPr>
        <w:t>100</w:t>
      </w:r>
      <w:r>
        <w:rPr>
          <w:spacing w:val="-2"/>
        </w:rPr>
        <w:t>万元人民币，拟设立深</w:t>
      </w:r>
      <w:r>
        <w:rPr/>
        <w:t> 圳市奥之爱公益基金会，用于关爱和扶持弱势群体，扶持和资助贫困地区弱势群体接受职业培训指导服务；资助扶贫项目，</w:t>
      </w:r>
      <w:r>
        <w:rPr>
          <w:spacing w:val="-84"/>
        </w:rPr>
        <w:t> </w:t>
      </w:r>
      <w:r>
        <w:rPr>
          <w:spacing w:val="-84"/>
        </w:rPr>
      </w:r>
      <w:r>
        <w:rPr>
          <w:spacing w:val="-5"/>
        </w:rPr>
        <w:t>致力于改善贫困地区人群的生活条件，帮助贫困地区的学校兴建改造篮球场、羽毛球场馆运动设施；对困难的学生进行资助。</w:t>
      </w:r>
    </w:p>
    <w:p>
      <w:pPr>
        <w:spacing w:after="0" w:line="309"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48" w:lineRule="auto" w:before="44"/>
        <w:ind w:left="514" w:right="1032" w:hanging="360"/>
        <w:jc w:val="left"/>
      </w:pPr>
      <w:r>
        <w:rPr/>
        <w:t>公司全资子公司千百辉成立义工团队，支持深圳台风过后社会垃圾转运行动，为美丽城市建设贡献一份力量。 </w:t>
      </w:r>
      <w:r>
        <w:rPr>
          <w:rFonts w:ascii="Times New Roman" w:hAnsi="Times New Roman" w:cs="Times New Roman" w:eastAsia="Times New Roman" w:hint="default"/>
          <w:b/>
          <w:bCs/>
        </w:rPr>
        <w:t>5</w:t>
      </w:r>
      <w:r>
        <w:rPr>
          <w:rFonts w:ascii="宋体" w:hAnsi="宋体" w:cs="宋体" w:eastAsia="宋体" w:hint="default"/>
          <w:b/>
          <w:bCs/>
        </w:rPr>
        <w:t>、股东回报</w:t>
      </w:r>
      <w:r>
        <w:rPr>
          <w:rFonts w:ascii="Times New Roman" w:hAnsi="Times New Roman" w:cs="Times New Roman" w:eastAsia="Times New Roman" w:hint="default"/>
          <w:b/>
          <w:bCs/>
        </w:rPr>
        <w:t>——</w:t>
      </w:r>
      <w:r>
        <w:rPr>
          <w:rFonts w:ascii="宋体" w:hAnsi="宋体" w:cs="宋体" w:eastAsia="宋体" w:hint="default"/>
          <w:b/>
          <w:bCs/>
        </w:rPr>
        <w:t>稳健经营健康发展，持续回报股东</w:t>
      </w:r>
      <w:r>
        <w:rPr>
          <w:rFonts w:ascii="宋体" w:hAnsi="宋体" w:cs="宋体" w:eastAsia="宋体" w:hint="default"/>
          <w:b/>
          <w:bCs/>
          <w:w w:val="99"/>
        </w:rPr>
        <w:t> </w:t>
      </w:r>
      <w:r>
        <w:rPr/>
        <w:t>公司秉承稳健的经营风格，健康的发展态势，用心经营持续回馈投资者。报告期内，公司完成</w:t>
      </w:r>
      <w:r>
        <w:rPr>
          <w:rFonts w:ascii="Times New Roman" w:hAnsi="Times New Roman" w:cs="Times New Roman" w:eastAsia="Times New Roman" w:hint="default"/>
        </w:rPr>
        <w:t>2017</w:t>
      </w:r>
      <w:r>
        <w:rPr/>
        <w:t>年度权益分派事宜，</w:t>
      </w:r>
    </w:p>
    <w:p>
      <w:pPr>
        <w:pStyle w:val="BodyText"/>
        <w:spacing w:line="223" w:lineRule="exact"/>
        <w:ind w:right="0"/>
        <w:jc w:val="left"/>
      </w:pPr>
      <w:r>
        <w:rPr/>
        <w:t>以公司总股本</w:t>
      </w:r>
      <w:r>
        <w:rPr>
          <w:rFonts w:ascii="Times New Roman" w:hAnsi="Times New Roman" w:cs="Times New Roman" w:eastAsia="Times New Roman" w:hint="default"/>
        </w:rPr>
        <w:t>6.11</w:t>
      </w:r>
      <w:r>
        <w:rPr/>
        <w:t>亿股为基数，向全体股东每</w:t>
      </w:r>
      <w:r>
        <w:rPr>
          <w:rFonts w:ascii="Times New Roman" w:hAnsi="Times New Roman" w:cs="Times New Roman" w:eastAsia="Times New Roman" w:hint="default"/>
        </w:rPr>
        <w:t>10</w:t>
      </w:r>
      <w:r>
        <w:rPr/>
        <w:t>股派发现金红利</w:t>
      </w:r>
      <w:r>
        <w:rPr>
          <w:rFonts w:ascii="Times New Roman" w:hAnsi="Times New Roman" w:cs="Times New Roman" w:eastAsia="Times New Roman" w:hint="default"/>
        </w:rPr>
        <w:t>1.00</w:t>
      </w:r>
      <w:r>
        <w:rPr/>
        <w:t>元（含税），合计派发现金红利总额为</w:t>
      </w:r>
      <w:r>
        <w:rPr>
          <w:rFonts w:ascii="Times New Roman" w:hAnsi="Times New Roman" w:cs="Times New Roman" w:eastAsia="Times New Roman" w:hint="default"/>
        </w:rPr>
        <w:t>6,112.15</w:t>
      </w:r>
      <w:r>
        <w:rPr/>
        <w:t>万元。</w:t>
      </w:r>
    </w:p>
    <w:p>
      <w:pPr>
        <w:pStyle w:val="BodyText"/>
        <w:spacing w:line="302" w:lineRule="auto" w:before="101"/>
        <w:ind w:right="1029" w:firstLine="360"/>
        <w:jc w:val="left"/>
      </w:pPr>
      <w:r>
        <w:rPr>
          <w:rFonts w:ascii="Times New Roman" w:hAnsi="Times New Roman" w:cs="Times New Roman" w:eastAsia="Times New Roman" w:hint="default"/>
          <w:spacing w:val="-3"/>
        </w:rPr>
        <w:t>2018</w:t>
      </w:r>
      <w:r>
        <w:rPr>
          <w:spacing w:val="-3"/>
        </w:rPr>
        <w:t>年公司拟以未来实施分配方案时股权登记日的总股本为基数</w:t>
      </w:r>
      <w:r>
        <w:rPr>
          <w:rFonts w:ascii="Times New Roman" w:hAnsi="Times New Roman" w:cs="Times New Roman" w:eastAsia="Times New Roman" w:hint="default"/>
          <w:spacing w:val="-3"/>
        </w:rPr>
        <w:t>,</w:t>
      </w:r>
      <w:r>
        <w:rPr>
          <w:spacing w:val="-3"/>
        </w:rPr>
        <w:t>向全体股东每</w:t>
      </w:r>
      <w:r>
        <w:rPr>
          <w:rFonts w:ascii="Times New Roman" w:hAnsi="Times New Roman" w:cs="Times New Roman" w:eastAsia="Times New Roman" w:hint="default"/>
          <w:spacing w:val="-3"/>
        </w:rPr>
        <w:t>10</w:t>
      </w:r>
      <w:r>
        <w:rPr>
          <w:spacing w:val="-3"/>
        </w:rPr>
        <w:t>股派发现金股利人民币</w:t>
      </w:r>
      <w:r>
        <w:rPr>
          <w:rFonts w:ascii="Times New Roman" w:hAnsi="Times New Roman" w:cs="Times New Roman" w:eastAsia="Times New Roman" w:hint="default"/>
          <w:spacing w:val="-3"/>
        </w:rPr>
        <w:t>1.00</w:t>
      </w:r>
      <w:r>
        <w:rPr>
          <w:spacing w:val="-3"/>
        </w:rPr>
        <w:t>元（含税），</w:t>
      </w:r>
      <w:r>
        <w:rPr/>
        <w:t> 分红金额为</w:t>
      </w:r>
      <w:r>
        <w:rPr>
          <w:rFonts w:ascii="Times New Roman" w:hAnsi="Times New Roman" w:cs="Times New Roman" w:eastAsia="Times New Roman" w:hint="default"/>
        </w:rPr>
        <w:t>6,149.40</w:t>
      </w:r>
      <w:r>
        <w:rPr/>
        <w:t>万元。</w:t>
      </w:r>
    </w:p>
    <w:p>
      <w:pPr>
        <w:spacing w:before="50"/>
        <w:ind w:left="515" w:right="0" w:firstLine="0"/>
        <w:jc w:val="left"/>
        <w:rPr>
          <w:rFonts w:ascii="宋体" w:hAnsi="宋体" w:cs="宋体" w:eastAsia="宋体" w:hint="default"/>
          <w:sz w:val="18"/>
          <w:szCs w:val="18"/>
        </w:rPr>
      </w:pPr>
      <w:r>
        <w:rPr>
          <w:rFonts w:ascii="宋体" w:hAnsi="宋体" w:cs="宋体" w:eastAsia="宋体" w:hint="default"/>
          <w:b/>
          <w:bCs/>
          <w:sz w:val="18"/>
          <w:szCs w:val="18"/>
        </w:rPr>
        <w:t>公司连续</w:t>
      </w:r>
      <w:r>
        <w:rPr>
          <w:rFonts w:ascii="Times New Roman" w:hAnsi="Times New Roman" w:cs="Times New Roman" w:eastAsia="Times New Roman" w:hint="default"/>
          <w:b/>
          <w:bCs/>
          <w:sz w:val="18"/>
          <w:szCs w:val="18"/>
        </w:rPr>
        <w:t>8</w:t>
      </w:r>
      <w:r>
        <w:rPr>
          <w:rFonts w:ascii="宋体" w:hAnsi="宋体" w:cs="宋体" w:eastAsia="宋体" w:hint="default"/>
          <w:b/>
          <w:bCs/>
          <w:sz w:val="18"/>
          <w:szCs w:val="18"/>
        </w:rPr>
        <w:t>年现金分红，累计现金分红约</w:t>
      </w:r>
      <w:r>
        <w:rPr>
          <w:rFonts w:ascii="Times New Roman" w:hAnsi="Times New Roman" w:cs="Times New Roman" w:eastAsia="Times New Roman" w:hint="default"/>
          <w:b/>
          <w:bCs/>
          <w:sz w:val="18"/>
          <w:szCs w:val="18"/>
        </w:rPr>
        <w:t>2.77</w:t>
      </w:r>
      <w:r>
        <w:rPr>
          <w:rFonts w:ascii="宋体" w:hAnsi="宋体" w:cs="宋体" w:eastAsia="宋体" w:hint="default"/>
          <w:b/>
          <w:bCs/>
          <w:sz w:val="18"/>
          <w:szCs w:val="18"/>
        </w:rPr>
        <w:t>亿元</w:t>
      </w:r>
      <w:r>
        <w:rPr>
          <w:rFonts w:ascii="宋体" w:hAnsi="宋体" w:cs="宋体" w:eastAsia="宋体" w:hint="default"/>
          <w:sz w:val="18"/>
          <w:szCs w:val="18"/>
        </w:rPr>
        <w:t>（含</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年度拟分配红利）。</w:t>
      </w:r>
    </w:p>
    <w:p>
      <w:pPr>
        <w:spacing w:line="240" w:lineRule="auto" w:before="6"/>
        <w:rPr>
          <w:rFonts w:ascii="宋体" w:hAnsi="宋体" w:cs="宋体" w:eastAsia="宋体" w:hint="default"/>
          <w:sz w:val="9"/>
          <w:szCs w:val="9"/>
        </w:rPr>
      </w:pPr>
    </w:p>
    <w:p>
      <w:pPr>
        <w:spacing w:line="3984" w:lineRule="exact"/>
        <w:ind w:left="638" w:right="0" w:firstLine="0"/>
        <w:rPr>
          <w:rFonts w:ascii="宋体" w:hAnsi="宋体" w:cs="宋体" w:eastAsia="宋体" w:hint="default"/>
          <w:sz w:val="20"/>
          <w:szCs w:val="20"/>
        </w:rPr>
      </w:pPr>
      <w:r>
        <w:rPr>
          <w:rFonts w:ascii="宋体" w:hAnsi="宋体" w:cs="宋体" w:eastAsia="宋体" w:hint="default"/>
          <w:position w:val="-79"/>
          <w:sz w:val="20"/>
          <w:szCs w:val="20"/>
        </w:rPr>
        <w:drawing>
          <wp:inline distT="0" distB="0" distL="0" distR="0">
            <wp:extent cx="5487660" cy="2529840"/>
            <wp:effectExtent l="0" t="0" r="0" b="0"/>
            <wp:docPr id="71" name="image39.jpeg" descr=""/>
            <wp:cNvGraphicFramePr>
              <a:graphicFrameLocks noChangeAspect="1"/>
            </wp:cNvGraphicFramePr>
            <a:graphic>
              <a:graphicData uri="http://schemas.openxmlformats.org/drawingml/2006/picture">
                <pic:pic>
                  <pic:nvPicPr>
                    <pic:cNvPr id="72" name="image39.jpeg"/>
                    <pic:cNvPicPr/>
                  </pic:nvPicPr>
                  <pic:blipFill>
                    <a:blip r:embed="rId49" cstate="print"/>
                    <a:stretch>
                      <a:fillRect/>
                    </a:stretch>
                  </pic:blipFill>
                  <pic:spPr>
                    <a:xfrm>
                      <a:off x="0" y="0"/>
                      <a:ext cx="5487660" cy="2529840"/>
                    </a:xfrm>
                    <a:prstGeom prst="rect">
                      <a:avLst/>
                    </a:prstGeom>
                  </pic:spPr>
                </pic:pic>
              </a:graphicData>
            </a:graphic>
          </wp:inline>
        </w:drawing>
      </w:r>
      <w:r>
        <w:rPr>
          <w:rFonts w:ascii="宋体" w:hAnsi="宋体" w:cs="宋体" w:eastAsia="宋体" w:hint="default"/>
          <w:position w:val="-79"/>
          <w:sz w:val="20"/>
          <w:szCs w:val="20"/>
        </w:rPr>
      </w:r>
    </w:p>
    <w:p>
      <w:pPr>
        <w:spacing w:line="240" w:lineRule="auto" w:before="3"/>
        <w:rPr>
          <w:rFonts w:ascii="宋体" w:hAnsi="宋体" w:cs="宋体" w:eastAsia="宋体" w:hint="default"/>
          <w:sz w:val="23"/>
          <w:szCs w:val="23"/>
        </w:rPr>
      </w:pPr>
    </w:p>
    <w:p>
      <w:pPr>
        <w:pStyle w:val="Heading2"/>
        <w:spacing w:line="240" w:lineRule="auto"/>
        <w:ind w:right="0"/>
        <w:jc w:val="left"/>
        <w:rPr>
          <w:b w:val="0"/>
          <w:bCs w:val="0"/>
        </w:rPr>
      </w:pPr>
      <w:bookmarkStart w:name="二、主营业务分析" w:id="26"/>
      <w:bookmarkEnd w:id="26"/>
      <w:r>
        <w:rPr>
          <w:b w:val="0"/>
          <w:bCs w:val="0"/>
        </w:rPr>
      </w:r>
      <w:r>
        <w:rPr/>
        <w:t>二、主营业务分析</w:t>
      </w:r>
      <w:r>
        <w:rPr>
          <w:b w:val="0"/>
          <w:bCs w:val="0"/>
        </w:rPr>
      </w:r>
    </w:p>
    <w:p>
      <w:pPr>
        <w:spacing w:line="240" w:lineRule="auto" w:before="8"/>
        <w:rPr>
          <w:rFonts w:ascii="宋体" w:hAnsi="宋体" w:cs="宋体" w:eastAsia="宋体" w:hint="default"/>
          <w:b/>
          <w:bCs/>
          <w:sz w:val="24"/>
          <w:szCs w:val="24"/>
        </w:rPr>
      </w:pPr>
    </w:p>
    <w:p>
      <w:pPr>
        <w:spacing w:line="544" w:lineRule="auto" w:before="0"/>
        <w:ind w:left="154" w:right="6472" w:firstLine="0"/>
        <w:jc w:val="left"/>
        <w:rPr>
          <w:rFonts w:ascii="宋体" w:hAnsi="宋体" w:cs="宋体" w:eastAsia="宋体" w:hint="default"/>
          <w:sz w:val="21"/>
          <w:szCs w:val="21"/>
        </w:rPr>
      </w:pPr>
      <w:bookmarkStart w:name="1、概述" w:id="27"/>
      <w:bookmarkEnd w:id="27"/>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spacing w:val="1"/>
          <w:w w:val="99"/>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bookmarkStart w:name="2、收入与成本" w:id="28"/>
      <w:bookmarkEnd w:id="28"/>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4"/>
        <w:spacing w:line="240" w:lineRule="auto" w:before="28"/>
        <w:ind w:right="0"/>
        <w:jc w:val="left"/>
        <w:rPr>
          <w:b w:val="0"/>
          <w:bCs w:val="0"/>
        </w:rPr>
      </w:pPr>
      <w:bookmarkStart w:name="（1）营业收入构成" w:id="29"/>
      <w:bookmarkEnd w:id="29"/>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8"/>
        <w:gridCol w:w="1591"/>
        <w:gridCol w:w="1598"/>
        <w:gridCol w:w="1586"/>
        <w:gridCol w:w="1599"/>
      </w:tblGrid>
      <w:tr>
        <w:trPr>
          <w:trHeight w:val="206" w:hRule="exact"/>
        </w:trPr>
        <w:tc>
          <w:tcPr>
            <w:tcW w:w="1596"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596" w:type="dxa"/>
            <w:vMerge w:val="restart"/>
            <w:tcBorders>
              <w:top w:val="nil" w:sz="6" w:space="0" w:color="auto"/>
              <w:left w:val="single" w:sz="4" w:space="0" w:color="000000"/>
              <w:right w:val="single" w:sz="4" w:space="0" w:color="000000"/>
            </w:tcBorders>
            <w:shd w:val="clear" w:color="auto" w:fill="D2D2D2"/>
          </w:tcPr>
          <w:p>
            <w:pPr/>
          </w:p>
        </w:tc>
        <w:tc>
          <w:tcPr>
            <w:tcW w:w="3189" w:type="dxa"/>
            <w:gridSpan w:val="2"/>
            <w:vMerge/>
            <w:tcBorders>
              <w:left w:val="single" w:sz="4" w:space="0" w:color="000000"/>
              <w:bottom w:val="single" w:sz="4" w:space="0" w:color="000000"/>
              <w:right w:val="single" w:sz="4" w:space="0" w:color="000000"/>
            </w:tcBorders>
            <w:shd w:val="clear" w:color="auto" w:fill="D2D2D2"/>
          </w:tcPr>
          <w:p>
            <w:pPr/>
          </w:p>
        </w:tc>
        <w:tc>
          <w:tcPr>
            <w:tcW w:w="3184" w:type="dxa"/>
            <w:gridSpan w:val="2"/>
            <w:vMerge/>
            <w:tcBorders>
              <w:left w:val="single" w:sz="4" w:space="0" w:color="000000"/>
              <w:bottom w:val="single" w:sz="4" w:space="0" w:color="000000"/>
              <w:right w:val="single" w:sz="4" w:space="0" w:color="000000"/>
            </w:tcBorders>
            <w:shd w:val="clear" w:color="auto" w:fill="D2D2D2"/>
          </w:tcPr>
          <w:p>
            <w:pPr/>
          </w:p>
        </w:tc>
        <w:tc>
          <w:tcPr>
            <w:tcW w:w="15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3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196" w:hRule="exact"/>
        </w:trPr>
        <w:tc>
          <w:tcPr>
            <w:tcW w:w="1596" w:type="dxa"/>
            <w:vMerge/>
            <w:tcBorders>
              <w:left w:val="single" w:sz="4" w:space="0" w:color="000000"/>
              <w:bottom w:val="nil" w:sz="6" w:space="0" w:color="auto"/>
              <w:right w:val="single" w:sz="4" w:space="0" w:color="000000"/>
            </w:tcBorders>
            <w:shd w:val="clear" w:color="auto" w:fill="D2D2D2"/>
          </w:tcPr>
          <w:p>
            <w:pPr/>
          </w:p>
        </w:tc>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15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58"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9"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5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8" w:type="dxa"/>
            <w:vMerge/>
            <w:tcBorders>
              <w:left w:val="single" w:sz="4" w:space="0" w:color="000000"/>
              <w:bottom w:val="single" w:sz="4" w:space="0" w:color="000000"/>
              <w:right w:val="single" w:sz="4" w:space="0" w:color="000000"/>
            </w:tcBorders>
            <w:shd w:val="clear" w:color="auto" w:fill="D2D2D2"/>
          </w:tcPr>
          <w:p>
            <w:pPr/>
          </w:p>
        </w:tc>
        <w:tc>
          <w:tcPr>
            <w:tcW w:w="1591" w:type="dxa"/>
            <w:vMerge/>
            <w:tcBorders>
              <w:left w:val="single" w:sz="4" w:space="0" w:color="000000"/>
              <w:bottom w:val="single" w:sz="4" w:space="0" w:color="000000"/>
              <w:right w:val="single" w:sz="4" w:space="0" w:color="000000"/>
            </w:tcBorders>
            <w:shd w:val="clear" w:color="auto" w:fill="D2D2D2"/>
          </w:tcPr>
          <w:p>
            <w:pPr/>
          </w:p>
        </w:tc>
        <w:tc>
          <w:tcPr>
            <w:tcW w:w="1598" w:type="dxa"/>
            <w:vMerge/>
            <w:tcBorders>
              <w:left w:val="single" w:sz="4" w:space="0" w:color="000000"/>
              <w:bottom w:val="single" w:sz="4" w:space="0" w:color="000000"/>
              <w:right w:val="single" w:sz="4" w:space="0" w:color="000000"/>
            </w:tcBorders>
            <w:shd w:val="clear" w:color="auto" w:fill="D2D2D2"/>
          </w:tcPr>
          <w:p>
            <w:pPr/>
          </w:p>
        </w:tc>
        <w:tc>
          <w:tcPr>
            <w:tcW w:w="1586" w:type="dxa"/>
            <w:vMerge/>
            <w:tcBorders>
              <w:left w:val="single" w:sz="4" w:space="0" w:color="000000"/>
              <w:bottom w:val="single" w:sz="4" w:space="0" w:color="000000"/>
              <w:right w:val="single" w:sz="4" w:space="0" w:color="000000"/>
            </w:tcBorders>
            <w:shd w:val="clear" w:color="auto" w:fill="D2D2D2"/>
          </w:tcPr>
          <w:p>
            <w:pPr/>
          </w:p>
        </w:tc>
        <w:tc>
          <w:tcPr>
            <w:tcW w:w="159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8"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8"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1,573,372,443.96</w:t>
            </w:r>
          </w:p>
        </w:tc>
        <w:tc>
          <w:tcPr>
            <w:tcW w:w="15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8"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1,041,124,027.40</w:t>
            </w:r>
          </w:p>
        </w:tc>
        <w:tc>
          <w:tcPr>
            <w:tcW w:w="15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51.12%</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1,281,033,739.87</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81.42%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835,013,409.10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80.20%</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53.41%</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292,338,704.09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18.58%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206,110,618.30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19.80%</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41.84%</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视频显示系统</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320,850,441.27</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20.39%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283,571,475.60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27.24%</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13.15%</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智能景观亮化工程</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928,701,099.58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59.03%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519,071,944.60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49.86%</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78.92%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3"/>
              <w:jc w:val="left"/>
              <w:rPr>
                <w:rFonts w:ascii="宋体" w:hAnsi="宋体" w:cs="宋体" w:eastAsia="宋体" w:hint="default"/>
                <w:sz w:val="18"/>
                <w:szCs w:val="18"/>
              </w:rPr>
            </w:pPr>
            <w:r>
              <w:rPr>
                <w:rFonts w:ascii="宋体" w:hAnsi="宋体" w:cs="宋体" w:eastAsia="宋体" w:hint="default"/>
                <w:sz w:val="18"/>
                <w:szCs w:val="18"/>
              </w:rPr>
              <w:t>网点智能化集成与 设备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271,629,568.99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186,803,187.47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17.94%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45.41%</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服务及其它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52,191,334.12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51,677,419.73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0.99%</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231,231,069.40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181,286,017.93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17.41%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27.55%</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国内销售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1,342,141,374.56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859,838,009.47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82.59%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56.09%</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占公司营业收入或营业利润10%以上的行业、产品或地区情况" w:id="30"/>
      <w:bookmarkEnd w:id="30"/>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48"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公司是否需要遵守特殊行业的披露要求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left="153" w:right="0"/>
        <w:jc w:val="left"/>
      </w:pPr>
      <w:r>
        <w:rPr/>
        <w:t>单位：元</w:t>
      </w:r>
    </w:p>
    <w:p>
      <w:pPr>
        <w:spacing w:after="0" w:line="240" w:lineRule="auto"/>
        <w:jc w:val="left"/>
        <w:sectPr>
          <w:type w:val="continuous"/>
          <w:pgSz w:w="11910" w:h="16840"/>
          <w:pgMar w:top="1060" w:bottom="1160" w:left="980" w:right="0"/>
          <w:cols w:num="2" w:equalWidth="0">
            <w:col w:w="3215" w:space="5705"/>
            <w:col w:w="201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1,281,033,739.87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891,223,145.30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72.51%</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-7.70%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292,338,704.09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154,775,996.37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40.02%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0.69%</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39"/>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w:t>
            </w:r>
            <w:r>
              <w:rPr>
                <w:rFonts w:ascii="宋体" w:hAnsi="宋体" w:cs="宋体" w:eastAsia="宋体" w:hint="default"/>
                <w:w w:val="99"/>
                <w:sz w:val="18"/>
                <w:szCs w:val="18"/>
              </w:rPr>
              <w:t> </w:t>
            </w:r>
            <w:r>
              <w:rPr>
                <w:rFonts w:ascii="宋体" w:hAnsi="宋体" w:cs="宋体" w:eastAsia="宋体" w:hint="default"/>
                <w:sz w:val="18"/>
                <w:szCs w:val="18"/>
              </w:rPr>
              <w:t>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320,850,441.27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159,018,222.22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19.35%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-2.58%</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智能景观亮化工 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928,701,099.58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714,048,569.22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23.11%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78.92%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97.96%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-7.40%</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网点智能化集成 与设备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271,629,568.99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154,351,877.84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43.18%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40.39%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2.03%</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服务及其它</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52,191,334.12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18,580,472.39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-20.22%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9.47%</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231,231,069.40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117,499,951.95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49.64%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国内销售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1,342,141,374.56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928,499,189.72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69.23%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-5.37%</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pStyle w:val="BodyText"/>
        <w:spacing w:line="240" w:lineRule="auto" w:before="51"/>
        <w:ind w:right="-20"/>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 </w:t>
      </w:r>
      <w:r>
        <w:rPr/>
        <w:t>年按报告期末口径调整后的主营业务数据</w:t>
      </w:r>
    </w:p>
    <w:p>
      <w:pPr>
        <w:pStyle w:val="BodyText"/>
        <w:spacing w:line="240" w:lineRule="auto" w:before="103"/>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单位：元</w:t>
      </w:r>
    </w:p>
    <w:p>
      <w:pPr>
        <w:spacing w:after="0" w:line="240" w:lineRule="auto"/>
        <w:jc w:val="left"/>
        <w:sectPr>
          <w:type w:val="continuous"/>
          <w:pgSz w:w="11910" w:h="16840"/>
          <w:pgMar w:top="1060" w:bottom="1160" w:left="980" w:right="0"/>
          <w:cols w:num="2" w:equalWidth="0">
            <w:col w:w="8795" w:space="124"/>
            <w:col w:w="201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1,281,033,739.87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891,223,145.30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53.41%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72.51%</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-7.70%</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292,338,704.09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154,775,996.37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47.06%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41.84%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40.02%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0.69%</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28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39"/>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w:t>
            </w:r>
            <w:r>
              <w:rPr>
                <w:rFonts w:ascii="宋体" w:hAnsi="宋体" w:cs="宋体" w:eastAsia="宋体" w:hint="default"/>
                <w:w w:val="99"/>
                <w:sz w:val="18"/>
                <w:szCs w:val="18"/>
              </w:rPr>
              <w:t> </w:t>
            </w:r>
            <w:r>
              <w:rPr>
                <w:rFonts w:ascii="宋体" w:hAnsi="宋体" w:cs="宋体" w:eastAsia="宋体" w:hint="default"/>
                <w:sz w:val="18"/>
                <w:szCs w:val="18"/>
              </w:rPr>
              <w:t>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320,850,441.27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159,018,222.22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19.35%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-2.58%</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智能景观亮化工 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928,701,099.58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714,048,569.22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23.11%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78.92%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97.96%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-7.40%</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网点智能化集成 与设备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271,629,568.99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154,351,877.84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43.18%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40.39%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2.03%</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服务及其它</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52,191,334.12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18,580,472.39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-20.22%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9.47%</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231,231,069.40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117,499,951.95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49.64%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国内销售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1,342,141,374.56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928,499,189.72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69.23%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-5.37%</w:t>
            </w:r>
          </w:p>
        </w:tc>
      </w:tr>
    </w:tbl>
    <w:p>
      <w:pPr>
        <w:pStyle w:val="BodyText"/>
        <w:spacing w:line="357" w:lineRule="auto" w:before="51"/>
        <w:ind w:left="294" w:right="4472"/>
        <w:jc w:val="left"/>
      </w:pPr>
      <w:r>
        <w:rPr/>
        <w:t>变更口径的理由 主要是将银行应用的显示产品及软件集成归入到</w:t>
      </w:r>
      <w:r>
        <w:rPr>
          <w:rFonts w:ascii="Times New Roman" w:hAnsi="Times New Roman" w:cs="Times New Roman" w:eastAsia="Times New Roman" w:hint="default"/>
        </w:rPr>
        <w:t>“</w:t>
      </w:r>
      <w:r>
        <w:rPr/>
        <w:t>网点智能化集成与设备</w:t>
      </w:r>
      <w:r>
        <w:rPr>
          <w:rFonts w:ascii="Times New Roman" w:hAnsi="Times New Roman" w:cs="Times New Roman" w:eastAsia="Times New Roman" w:hint="default"/>
        </w:rPr>
        <w:t>”</w:t>
      </w:r>
      <w:r>
        <w:rPr/>
        <w:t>项目。</w:t>
      </w:r>
    </w:p>
    <w:p>
      <w:pPr>
        <w:spacing w:line="240" w:lineRule="auto" w:before="5"/>
        <w:rPr>
          <w:rFonts w:ascii="宋体" w:hAnsi="宋体" w:cs="宋体" w:eastAsia="宋体" w:hint="default"/>
          <w:sz w:val="18"/>
          <w:szCs w:val="18"/>
        </w:rPr>
      </w:pPr>
    </w:p>
    <w:p>
      <w:pPr>
        <w:pStyle w:val="Heading4"/>
        <w:spacing w:line="240" w:lineRule="auto"/>
        <w:ind w:left="294" w:right="4472"/>
        <w:jc w:val="left"/>
        <w:rPr>
          <w:b w:val="0"/>
          <w:bCs w:val="0"/>
        </w:rPr>
      </w:pPr>
      <w:bookmarkStart w:name="（3）公司实物销售收入是否大于劳务收入" w:id="31"/>
      <w:bookmarkEnd w:id="31"/>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294" w:right="447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12"/>
        <w:rPr>
          <w:rFonts w:ascii="宋体" w:hAnsi="宋体" w:cs="宋体" w:eastAsia="宋体" w:hint="default"/>
          <w:sz w:val="6"/>
          <w:szCs w:val="6"/>
        </w:rPr>
      </w:pPr>
    </w:p>
    <w:tbl>
      <w:tblPr>
        <w:tblW w:w="0" w:type="auto"/>
        <w:jc w:val="left"/>
        <w:tblInd w:w="289" w:type="dxa"/>
        <w:tblLayout w:type="fixed"/>
        <w:tblCellMar>
          <w:top w:w="0" w:type="dxa"/>
          <w:left w:w="0" w:type="dxa"/>
          <w:bottom w:w="0" w:type="dxa"/>
          <w:right w:w="0" w:type="dxa"/>
        </w:tblCellMar>
        <w:tblLook w:val="01E0"/>
      </w:tblPr>
      <w:tblGrid>
        <w:gridCol w:w="1608"/>
        <w:gridCol w:w="1571"/>
        <w:gridCol w:w="1607"/>
        <w:gridCol w:w="1594"/>
        <w:gridCol w:w="1594"/>
        <w:gridCol w:w="1595"/>
      </w:tblGrid>
      <w:tr>
        <w:trPr>
          <w:trHeight w:val="402" w:hRule="exact"/>
        </w:trPr>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视频显示系统</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811,019,742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612,764,836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32.35%</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891,921,698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680,060,452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31.15%</w:t>
            </w:r>
          </w:p>
        </w:tc>
      </w:tr>
      <w:tr>
        <w:trPr>
          <w:trHeight w:val="402"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243,507,102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162,605,146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49.75%</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22" w:right="123"/>
              <w:jc w:val="left"/>
              <w:rPr>
                <w:rFonts w:ascii="宋体" w:hAnsi="宋体" w:cs="宋体" w:eastAsia="宋体" w:hint="default"/>
                <w:sz w:val="18"/>
                <w:szCs w:val="18"/>
              </w:rPr>
            </w:pPr>
            <w:r>
              <w:rPr>
                <w:rFonts w:ascii="宋体" w:hAnsi="宋体" w:cs="宋体" w:eastAsia="宋体" w:hint="default"/>
                <w:sz w:val="18"/>
                <w:szCs w:val="18"/>
              </w:rPr>
              <w:t>网点智能化集成及 设备</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28,357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16,687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69.93%</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28,295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15,635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80.97%</w:t>
            </w:r>
          </w:p>
        </w:tc>
      </w:tr>
      <w:tr>
        <w:trPr>
          <w:trHeight w:val="403"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1,992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-3.11%</w:t>
            </w:r>
          </w:p>
        </w:tc>
      </w:tr>
    </w:tbl>
    <w:p>
      <w:pPr>
        <w:pStyle w:val="BodyText"/>
        <w:spacing w:line="240" w:lineRule="auto" w:before="51"/>
        <w:ind w:left="294" w:right="4472"/>
        <w:jc w:val="left"/>
      </w:pPr>
      <w:r>
        <w:rPr/>
        <w:t>相关数据同比发生变动</w:t>
      </w:r>
      <w:r>
        <w:rPr>
          <w:spacing w:val="-46"/>
        </w:rPr>
        <w:t> </w:t>
      </w:r>
      <w:r>
        <w:rPr>
          <w:rFonts w:ascii="Times New Roman" w:hAnsi="Times New Roman" w:cs="Times New Roman" w:eastAsia="Times New Roman" w:hint="default"/>
        </w:rPr>
        <w:t>30%</w:t>
      </w:r>
      <w:r>
        <w:rPr/>
        <w:t>以上的原因说明</w:t>
      </w:r>
    </w:p>
    <w:p>
      <w:pPr>
        <w:pStyle w:val="BodyText"/>
        <w:spacing w:line="240" w:lineRule="auto" w:before="102"/>
        <w:ind w:left="294" w:right="447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15"/>
          <w:szCs w:val="15"/>
        </w:rPr>
      </w:pPr>
    </w:p>
    <w:tbl>
      <w:tblPr>
        <w:tblW w:w="0" w:type="auto"/>
        <w:jc w:val="left"/>
        <w:tblInd w:w="103" w:type="dxa"/>
        <w:tblLayout w:type="fixed"/>
        <w:tblCellMar>
          <w:top w:w="0" w:type="dxa"/>
          <w:left w:w="0" w:type="dxa"/>
          <w:bottom w:w="0" w:type="dxa"/>
          <w:right w:w="0" w:type="dxa"/>
        </w:tblCellMar>
        <w:tblLook w:val="01E0"/>
      </w:tblPr>
      <w:tblGrid>
        <w:gridCol w:w="9536"/>
      </w:tblGrid>
      <w:tr>
        <w:trPr>
          <w:trHeight w:val="625" w:hRule="exact"/>
        </w:trPr>
        <w:tc>
          <w:tcPr>
            <w:tcW w:w="9536" w:type="dxa"/>
            <w:tcBorders>
              <w:top w:val="nil" w:sz="6" w:space="0" w:color="auto"/>
              <w:left w:val="nil" w:sz="6" w:space="0" w:color="auto"/>
              <w:bottom w:val="nil" w:sz="6" w:space="0" w:color="auto"/>
              <w:right w:val="nil" w:sz="6" w:space="0" w:color="auto"/>
            </w:tcBorders>
          </w:tcPr>
          <w:p>
            <w:pPr>
              <w:pStyle w:val="TableParagraph"/>
              <w:spacing w:line="194" w:lineRule="exact"/>
              <w:ind w:left="560" w:right="0"/>
              <w:jc w:val="left"/>
              <w:rPr>
                <w:rFonts w:ascii="宋体" w:hAnsi="宋体" w:cs="宋体" w:eastAsia="宋体" w:hint="default"/>
                <w:sz w:val="18"/>
                <w:szCs w:val="18"/>
              </w:rPr>
            </w:pPr>
            <w:r>
              <w:rPr>
                <w:rFonts w:ascii="宋体" w:hAnsi="宋体" w:cs="宋体" w:eastAsia="宋体" w:hint="default"/>
                <w:sz w:val="18"/>
                <w:szCs w:val="18"/>
              </w:rPr>
              <w:t>报告期，</w:t>
            </w:r>
            <w:r>
              <w:rPr>
                <w:rFonts w:ascii="Times New Roman" w:hAnsi="Times New Roman" w:cs="Times New Roman" w:eastAsia="Times New Roman" w:hint="default"/>
                <w:sz w:val="18"/>
                <w:szCs w:val="18"/>
              </w:rPr>
              <w:t>LED</w:t>
            </w:r>
            <w:r>
              <w:rPr>
                <w:rFonts w:ascii="宋体" w:hAnsi="宋体" w:cs="宋体" w:eastAsia="宋体" w:hint="default"/>
                <w:sz w:val="18"/>
                <w:szCs w:val="18"/>
              </w:rPr>
              <w:t>视频显示系统出货量同比上升</w:t>
            </w:r>
            <w:r>
              <w:rPr>
                <w:rFonts w:ascii="Times New Roman" w:hAnsi="Times New Roman" w:cs="Times New Roman" w:eastAsia="Times New Roman" w:hint="default"/>
                <w:sz w:val="18"/>
                <w:szCs w:val="18"/>
              </w:rPr>
              <w:t>32.35%</w:t>
            </w:r>
            <w:r>
              <w:rPr>
                <w:rFonts w:ascii="宋体" w:hAnsi="宋体" w:cs="宋体" w:eastAsia="宋体" w:hint="default"/>
                <w:sz w:val="18"/>
                <w:szCs w:val="18"/>
              </w:rPr>
              <w:t>，生产量同比上升</w:t>
            </w:r>
            <w:r>
              <w:rPr>
                <w:rFonts w:ascii="Times New Roman" w:hAnsi="Times New Roman" w:cs="Times New Roman" w:eastAsia="Times New Roman" w:hint="default"/>
                <w:sz w:val="18"/>
                <w:szCs w:val="18"/>
              </w:rPr>
              <w:t>31.15%</w:t>
            </w:r>
            <w:r>
              <w:rPr>
                <w:rFonts w:ascii="宋体" w:hAnsi="宋体" w:cs="宋体" w:eastAsia="宋体" w:hint="default"/>
                <w:sz w:val="18"/>
                <w:szCs w:val="18"/>
              </w:rPr>
              <w:t>，库存量同比上升</w:t>
            </w:r>
            <w:r>
              <w:rPr>
                <w:rFonts w:ascii="Times New Roman" w:hAnsi="Times New Roman" w:cs="Times New Roman" w:eastAsia="Times New Roman" w:hint="default"/>
                <w:sz w:val="18"/>
                <w:szCs w:val="18"/>
              </w:rPr>
              <w:t>49.75%</w:t>
            </w:r>
            <w:r>
              <w:rPr>
                <w:rFonts w:ascii="宋体" w:hAnsi="宋体" w:cs="宋体" w:eastAsia="宋体" w:hint="default"/>
                <w:sz w:val="18"/>
                <w:szCs w:val="18"/>
              </w:rPr>
              <w:t>，主</w:t>
            </w:r>
          </w:p>
          <w:p>
            <w:pPr>
              <w:pStyle w:val="TableParagraph"/>
              <w:spacing w:line="240" w:lineRule="auto" w:before="63"/>
              <w:ind w:left="200" w:right="0"/>
              <w:jc w:val="left"/>
              <w:rPr>
                <w:rFonts w:ascii="宋体" w:hAnsi="宋体" w:cs="宋体" w:eastAsia="宋体" w:hint="default"/>
                <w:sz w:val="18"/>
                <w:szCs w:val="18"/>
              </w:rPr>
            </w:pPr>
            <w:r>
              <w:rPr>
                <w:rFonts w:ascii="宋体" w:hAnsi="宋体" w:cs="宋体" w:eastAsia="宋体" w:hint="default"/>
                <w:sz w:val="18"/>
                <w:szCs w:val="18"/>
              </w:rPr>
              <w:t>要是</w:t>
            </w:r>
            <w:r>
              <w:rPr>
                <w:rFonts w:ascii="Times New Roman" w:hAnsi="Times New Roman" w:cs="Times New Roman" w:eastAsia="Times New Roman" w:hint="default"/>
                <w:sz w:val="18"/>
                <w:szCs w:val="18"/>
              </w:rPr>
              <w:t>LED</w:t>
            </w:r>
            <w:r>
              <w:rPr>
                <w:rFonts w:ascii="宋体" w:hAnsi="宋体" w:cs="宋体" w:eastAsia="宋体" w:hint="default"/>
                <w:sz w:val="18"/>
                <w:szCs w:val="18"/>
              </w:rPr>
              <w:t>视频显示系统主要原材料国产化，相近销售规模情况下，出货量增加所致。</w:t>
            </w:r>
          </w:p>
        </w:tc>
      </w:tr>
      <w:tr>
        <w:trPr>
          <w:trHeight w:val="616" w:hRule="exact"/>
        </w:trPr>
        <w:tc>
          <w:tcPr>
            <w:tcW w:w="9536" w:type="dxa"/>
            <w:tcBorders>
              <w:top w:val="nil" w:sz="6" w:space="0" w:color="auto"/>
              <w:left w:val="nil" w:sz="6" w:space="0" w:color="auto"/>
              <w:bottom w:val="nil" w:sz="6" w:space="0" w:color="auto"/>
              <w:right w:val="nil" w:sz="6" w:space="0" w:color="auto"/>
            </w:tcBorders>
          </w:tcPr>
          <w:p>
            <w:pPr>
              <w:pStyle w:val="TableParagraph"/>
              <w:spacing w:line="302" w:lineRule="auto" w:before="67"/>
              <w:ind w:left="200" w:right="198" w:firstLine="360"/>
              <w:jc w:val="left"/>
              <w:rPr>
                <w:rFonts w:ascii="宋体" w:hAnsi="宋体" w:cs="宋体" w:eastAsia="宋体" w:hint="default"/>
                <w:sz w:val="18"/>
                <w:szCs w:val="18"/>
              </w:rPr>
            </w:pPr>
            <w:r>
              <w:rPr>
                <w:rFonts w:ascii="宋体" w:hAnsi="宋体" w:cs="宋体" w:eastAsia="宋体" w:hint="default"/>
                <w:sz w:val="18"/>
                <w:szCs w:val="18"/>
              </w:rPr>
              <w:t>报告期，网点智能化集成及设备出货量同比上升</w:t>
            </w:r>
            <w:r>
              <w:rPr>
                <w:rFonts w:ascii="Times New Roman" w:hAnsi="Times New Roman" w:cs="Times New Roman" w:eastAsia="Times New Roman" w:hint="default"/>
                <w:sz w:val="18"/>
                <w:szCs w:val="18"/>
              </w:rPr>
              <w:t>69.93%</w:t>
            </w:r>
            <w:r>
              <w:rPr>
                <w:rFonts w:ascii="宋体" w:hAnsi="宋体" w:cs="宋体" w:eastAsia="宋体" w:hint="default"/>
                <w:sz w:val="18"/>
                <w:szCs w:val="18"/>
              </w:rPr>
              <w:t>，生产量同比上升</w:t>
            </w:r>
            <w:r>
              <w:rPr>
                <w:rFonts w:ascii="Times New Roman" w:hAnsi="Times New Roman" w:cs="Times New Roman" w:eastAsia="Times New Roman" w:hint="default"/>
                <w:sz w:val="18"/>
                <w:szCs w:val="18"/>
              </w:rPr>
              <w:t>80.97%</w:t>
            </w:r>
            <w:r>
              <w:rPr>
                <w:rFonts w:ascii="宋体" w:hAnsi="宋体" w:cs="宋体" w:eastAsia="宋体" w:hint="default"/>
                <w:sz w:val="18"/>
                <w:szCs w:val="18"/>
              </w:rPr>
              <w:t>，库存量同比下降</w:t>
            </w:r>
            <w:r>
              <w:rPr>
                <w:rFonts w:ascii="Times New Roman" w:hAnsi="Times New Roman" w:cs="Times New Roman" w:eastAsia="Times New Roman" w:hint="default"/>
                <w:sz w:val="18"/>
                <w:szCs w:val="18"/>
              </w:rPr>
              <w:t>3.11%</w:t>
            </w:r>
            <w:r>
              <w:rPr>
                <w:rFonts w:ascii="宋体" w:hAnsi="宋体" w:cs="宋体" w:eastAsia="宋体" w:hint="default"/>
                <w:sz w:val="18"/>
                <w:szCs w:val="18"/>
              </w:rPr>
              <w:t>，主要 是网点智能化集成及设备销售订单增加，出货需求增加所致。</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4"/>
        <w:spacing w:line="240" w:lineRule="auto"/>
        <w:ind w:left="294" w:right="4472"/>
        <w:jc w:val="left"/>
        <w:rPr>
          <w:b w:val="0"/>
          <w:bCs w:val="0"/>
        </w:rPr>
      </w:pPr>
      <w:bookmarkStart w:name="（4）公司已签订的重大销售合同截至本报告期的履行情况" w:id="32"/>
      <w:bookmarkEnd w:id="32"/>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pStyle w:val="BodyText"/>
        <w:spacing w:line="348" w:lineRule="auto"/>
        <w:ind w:left="294" w:right="76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公司是否需要遵守特殊行业的披露要求 否</w:t>
      </w:r>
    </w:p>
    <w:p>
      <w:pPr>
        <w:pStyle w:val="BodyText"/>
        <w:spacing w:line="240" w:lineRule="auto" w:before="34"/>
        <w:ind w:left="654" w:right="4472"/>
        <w:jc w:val="left"/>
      </w:pPr>
      <w:r>
        <w:rPr>
          <w:rFonts w:ascii="Times New Roman" w:hAnsi="Times New Roman" w:cs="Times New Roman" w:eastAsia="Times New Roman" w:hint="default"/>
        </w:rPr>
        <w:t>1</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15</w:t>
      </w:r>
      <w:r>
        <w:rPr/>
        <w:t>日，公司在手订单及中标金额合计超</w:t>
      </w:r>
      <w:r>
        <w:rPr>
          <w:rFonts w:ascii="宋体" w:hAnsi="宋体" w:cs="宋体" w:eastAsia="宋体" w:hint="default"/>
        </w:rPr>
        <w:t>9</w:t>
      </w:r>
      <w:r>
        <w:rPr/>
        <w:t>亿元。</w:t>
      </w:r>
    </w:p>
    <w:p>
      <w:pPr>
        <w:spacing w:after="0" w:line="240" w:lineRule="auto"/>
        <w:jc w:val="left"/>
        <w:sectPr>
          <w:pgSz w:w="11910" w:h="16840"/>
          <w:pgMar w:header="747" w:footer="979" w:top="1060" w:bottom="1160" w:left="840" w:right="0"/>
        </w:sectPr>
      </w:pPr>
    </w:p>
    <w:p>
      <w:pPr>
        <w:spacing w:line="240" w:lineRule="auto" w:before="12"/>
        <w:rPr>
          <w:rFonts w:ascii="宋体" w:hAnsi="宋体" w:cs="宋体" w:eastAsia="宋体" w:hint="default"/>
          <w:sz w:val="25"/>
          <w:szCs w:val="25"/>
        </w:rPr>
      </w:pPr>
    </w:p>
    <w:p>
      <w:pPr>
        <w:pStyle w:val="BodyText"/>
        <w:spacing w:line="300" w:lineRule="auto" w:before="44"/>
        <w:ind w:right="1122" w:firstLine="360"/>
        <w:jc w:val="left"/>
      </w:pPr>
      <w:r>
        <w:rPr>
          <w:rFonts w:ascii="Times New Roman" w:hAnsi="Times New Roman" w:cs="Times New Roman" w:eastAsia="Times New Roman" w:hint="default"/>
          <w:spacing w:val="-2"/>
        </w:rPr>
        <w:t>2</w:t>
      </w:r>
      <w:r>
        <w:rPr>
          <w:spacing w:val="-2"/>
        </w:rPr>
        <w:t>、《深圳市奥拓电子股份有限公司关于签订</w:t>
      </w:r>
      <w:r>
        <w:rPr>
          <w:rFonts w:ascii="Times New Roman" w:hAnsi="Times New Roman" w:cs="Times New Roman" w:eastAsia="Times New Roman" w:hint="default"/>
          <w:spacing w:val="-2"/>
        </w:rPr>
        <w:t>LED</w:t>
      </w:r>
      <w:r>
        <w:rPr>
          <w:spacing w:val="-2"/>
        </w:rPr>
        <w:t>电视墙及相关系统重大合同的公告》于</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13</w:t>
      </w:r>
      <w:r>
        <w:rPr>
          <w:spacing w:val="-2"/>
        </w:rPr>
        <w:t>日刊登在指定信息</w:t>
      </w:r>
      <w:r>
        <w:rPr/>
        <w:t> </w:t>
      </w:r>
      <w:r>
        <w:rPr>
          <w:spacing w:val="-1"/>
        </w:rPr>
        <w:t>披露网站巨潮资讯网（</w:t>
      </w:r>
      <w:hyperlink r:id="rId12">
        <w:r>
          <w:rPr>
            <w:rFonts w:ascii="Times New Roman" w:hAnsi="Times New Roman" w:cs="Times New Roman" w:eastAsia="Times New Roman" w:hint="default"/>
            <w:spacing w:val="-1"/>
          </w:rPr>
          <w:t>www.cninfo.com.cn</w:t>
        </w:r>
      </w:hyperlink>
      <w:r>
        <w:rPr>
          <w:spacing w:val="-1"/>
        </w:rPr>
        <w:t>）。公司（分包商）与新世界</w:t>
      </w:r>
      <w:r>
        <w:rPr>
          <w:rFonts w:ascii="Times New Roman" w:hAnsi="Times New Roman" w:cs="Times New Roman" w:eastAsia="Times New Roman" w:hint="default"/>
          <w:spacing w:val="-1"/>
        </w:rPr>
        <w:t>(</w:t>
      </w:r>
      <w:r>
        <w:rPr>
          <w:spacing w:val="-1"/>
        </w:rPr>
        <w:t>沈阳</w:t>
      </w:r>
      <w:r>
        <w:rPr>
          <w:rFonts w:ascii="Times New Roman" w:hAnsi="Times New Roman" w:cs="Times New Roman" w:eastAsia="Times New Roman" w:hint="default"/>
          <w:spacing w:val="-1"/>
        </w:rPr>
        <w:t>)</w:t>
      </w:r>
      <w:r>
        <w:rPr>
          <w:spacing w:val="-1"/>
        </w:rPr>
        <w:t>房地产开发有限公司（雇主）、中建三局集团</w:t>
      </w:r>
      <w:r>
        <w:rPr>
          <w:spacing w:val="-78"/>
        </w:rPr>
        <w:t> </w:t>
      </w:r>
      <w:r>
        <w:rPr>
          <w:spacing w:val="-78"/>
        </w:rPr>
      </w:r>
      <w:r>
        <w:rPr>
          <w:spacing w:val="-2"/>
        </w:rPr>
        <w:t>有限公司（总承包商）于</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8</w:t>
      </w:r>
      <w:r>
        <w:rPr>
          <w:spacing w:val="-2"/>
        </w:rPr>
        <w:t>日签署《沈阳新世界中心项目第一期电视墙及相关系统深化设计、供应及安装分包工程</w:t>
      </w:r>
      <w:r>
        <w:rPr>
          <w:spacing w:val="-60"/>
        </w:rPr>
        <w:t> </w:t>
      </w:r>
      <w:r>
        <w:rPr>
          <w:spacing w:val="-60"/>
        </w:rPr>
      </w:r>
      <w:r>
        <w:rPr/>
        <w:t>合同文件补充协议》，因工程范围变更，原合同金额由</w:t>
      </w:r>
      <w:r>
        <w:rPr>
          <w:rFonts w:ascii="Times New Roman" w:hAnsi="Times New Roman" w:cs="Times New Roman" w:eastAsia="Times New Roman" w:hint="default"/>
        </w:rPr>
        <w:t>29,288,650.00</w:t>
      </w:r>
      <w:r>
        <w:rPr/>
        <w:t>元，调整至</w:t>
      </w:r>
      <w:r>
        <w:rPr>
          <w:rFonts w:ascii="Times New Roman" w:hAnsi="Times New Roman" w:cs="Times New Roman" w:eastAsia="Times New Roman" w:hint="default"/>
        </w:rPr>
        <w:t>29,249,955.00</w:t>
      </w:r>
      <w:r>
        <w:rPr/>
        <w:t>元；另外，雇主及总承包商同 意对于分包商在延长竣工时间内所产生的费用额外补偿分包商</w:t>
      </w:r>
      <w:r>
        <w:rPr>
          <w:rFonts w:ascii="Times New Roman" w:hAnsi="Times New Roman" w:cs="Times New Roman" w:eastAsia="Times New Roman" w:hint="default"/>
        </w:rPr>
        <w:t>1,508,000.00</w:t>
      </w:r>
      <w:r>
        <w:rPr/>
        <w:t>元。截至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日，公司已发货金额 </w:t>
      </w:r>
      <w:r>
        <w:rPr>
          <w:rFonts w:ascii="Times New Roman" w:hAnsi="Times New Roman" w:cs="Times New Roman" w:eastAsia="Times New Roman" w:hint="default"/>
        </w:rPr>
        <w:t>26,323,315.00</w:t>
      </w:r>
      <w:r>
        <w:rPr/>
        <w:t>元。</w:t>
      </w:r>
    </w:p>
    <w:p>
      <w:pPr>
        <w:pStyle w:val="BodyText"/>
        <w:spacing w:line="300" w:lineRule="auto" w:before="13"/>
        <w:ind w:right="0" w:firstLine="360"/>
        <w:jc w:val="left"/>
      </w:pPr>
      <w:r>
        <w:rPr>
          <w:rFonts w:ascii="Times New Roman" w:hAnsi="Times New Roman" w:cs="Times New Roman" w:eastAsia="Times New Roman" w:hint="default"/>
        </w:rPr>
        <w:t>3</w:t>
      </w:r>
      <w:r>
        <w:rPr/>
        <w:t>、《深圳市奥拓电子股份有限公司关于签署</w:t>
      </w:r>
      <w:r>
        <w:rPr>
          <w:rFonts w:ascii="Times New Roman" w:hAnsi="Times New Roman" w:cs="Times New Roman" w:eastAsia="Times New Roman" w:hint="default"/>
        </w:rPr>
        <w:t>&lt;</w:t>
      </w:r>
      <w:r>
        <w:rPr/>
        <w:t>中国足协中国之队</w:t>
      </w:r>
      <w:r>
        <w:rPr>
          <w:rFonts w:ascii="Times New Roman" w:hAnsi="Times New Roman" w:cs="Times New Roman" w:eastAsia="Times New Roman" w:hint="default"/>
        </w:rPr>
        <w:t>LED</w:t>
      </w:r>
      <w:r>
        <w:rPr/>
        <w:t>服务商合作协议</w:t>
      </w:r>
      <w:r>
        <w:rPr>
          <w:rFonts w:ascii="Times New Roman" w:hAnsi="Times New Roman" w:cs="Times New Roman" w:eastAsia="Times New Roman" w:hint="default"/>
        </w:rPr>
        <w:t>&gt;</w:t>
      </w:r>
      <w:r>
        <w:rPr/>
        <w:t>的公告》于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17</w:t>
      </w:r>
      <w:r>
        <w:rPr/>
        <w:t>日刊登 </w:t>
      </w:r>
      <w:r>
        <w:rPr>
          <w:spacing w:val="-3"/>
        </w:rPr>
        <w:t>在指定信息披露网站巨潮资讯（</w:t>
      </w:r>
      <w:hyperlink r:id="rId12">
        <w:r>
          <w:rPr>
            <w:rFonts w:ascii="Times New Roman" w:hAnsi="Times New Roman" w:cs="Times New Roman" w:eastAsia="Times New Roman" w:hint="default"/>
            <w:spacing w:val="-3"/>
          </w:rPr>
          <w:t>www.cninfo.com.cn</w:t>
        </w:r>
      </w:hyperlink>
      <w:r>
        <w:rPr>
          <w:spacing w:val="-3"/>
        </w:rPr>
        <w:t>）。截至</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日，公司为中国足协中国之队</w:t>
      </w:r>
      <w:r>
        <w:rPr>
          <w:rFonts w:ascii="Times New Roman" w:hAnsi="Times New Roman" w:cs="Times New Roman" w:eastAsia="Times New Roman" w:hint="default"/>
          <w:spacing w:val="-3"/>
        </w:rPr>
        <w:t>164</w:t>
      </w:r>
      <w:r>
        <w:rPr>
          <w:spacing w:val="-3"/>
        </w:rPr>
        <w:t>场赛事提供了</w:t>
      </w:r>
      <w:r>
        <w:rPr>
          <w:rFonts w:ascii="Times New Roman" w:hAnsi="Times New Roman" w:cs="Times New Roman" w:eastAsia="Times New Roman" w:hint="default"/>
          <w:spacing w:val="-3"/>
        </w:rPr>
        <w:t>LED</w:t>
      </w:r>
      <w:r>
        <w:rPr>
          <w:rFonts w:ascii="Times New Roman" w:hAnsi="Times New Roman" w:cs="Times New Roman" w:eastAsia="Times New Roman" w:hint="default"/>
          <w:spacing w:val="-27"/>
        </w:rPr>
        <w:t> </w:t>
      </w:r>
      <w:r>
        <w:rPr/>
        <w:t>显示设备和比赛期间的相关服务。</w:t>
      </w:r>
    </w:p>
    <w:p>
      <w:pPr>
        <w:pStyle w:val="BodyText"/>
        <w:spacing w:line="300" w:lineRule="auto" w:before="31"/>
        <w:ind w:right="1118" w:firstLine="360"/>
        <w:jc w:val="left"/>
      </w:pPr>
      <w:r>
        <w:rPr>
          <w:rFonts w:ascii="Times New Roman" w:hAnsi="Times New Roman" w:cs="Times New Roman" w:eastAsia="Times New Roman" w:hint="default"/>
          <w:spacing w:val="-2"/>
        </w:rPr>
        <w:t>4</w:t>
      </w:r>
      <w:r>
        <w:rPr>
          <w:spacing w:val="-2"/>
        </w:rPr>
        <w:t>、《深圳市奥拓电子股份有限公司关于与中国工商银行股份有限公司签署</w:t>
      </w:r>
      <w:r>
        <w:rPr>
          <w:rFonts w:ascii="Times New Roman" w:hAnsi="Times New Roman" w:cs="Times New Roman" w:eastAsia="Times New Roman" w:hint="default"/>
          <w:spacing w:val="-2"/>
        </w:rPr>
        <w:t>&lt;</w:t>
      </w:r>
      <w:r>
        <w:rPr>
          <w:spacing w:val="-2"/>
        </w:rPr>
        <w:t>集中采购协议</w:t>
      </w:r>
      <w:r>
        <w:rPr>
          <w:rFonts w:ascii="Times New Roman" w:hAnsi="Times New Roman" w:cs="Times New Roman" w:eastAsia="Times New Roman" w:hint="default"/>
          <w:spacing w:val="-2"/>
        </w:rPr>
        <w:t>-</w:t>
      </w:r>
      <w:r>
        <w:rPr>
          <w:spacing w:val="-2"/>
        </w:rPr>
        <w:t>设备类</w:t>
      </w:r>
      <w:r>
        <w:rPr>
          <w:rFonts w:ascii="Times New Roman" w:hAnsi="Times New Roman" w:cs="Times New Roman" w:eastAsia="Times New Roman" w:hint="default"/>
          <w:spacing w:val="-2"/>
        </w:rPr>
        <w:t>&gt;</w:t>
      </w:r>
      <w:r>
        <w:rPr>
          <w:spacing w:val="-2"/>
        </w:rPr>
        <w:t>的公告》于</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rFonts w:ascii="Times New Roman" w:hAnsi="Times New Roman" w:cs="Times New Roman" w:eastAsia="Times New Roman" w:hint="default"/>
        </w:rPr>
        <w:t> </w:t>
      </w:r>
      <w:r>
        <w:rPr/>
        <w:t>月</w:t>
      </w:r>
      <w:r>
        <w:rPr>
          <w:rFonts w:ascii="Times New Roman" w:hAnsi="Times New Roman" w:cs="Times New Roman" w:eastAsia="Times New Roman" w:hint="default"/>
        </w:rPr>
        <w:t>15</w:t>
      </w:r>
      <w:r>
        <w:rPr/>
        <w:t>日刊登在指定信息披露网站巨潮资讯网（</w:t>
      </w:r>
      <w:hyperlink r:id="rId12">
        <w:r>
          <w:rPr>
            <w:rFonts w:ascii="Times New Roman" w:hAnsi="Times New Roman" w:cs="Times New Roman" w:eastAsia="Times New Roman" w:hint="default"/>
          </w:rPr>
          <w:t>www.cninfo.com.cn</w:t>
        </w:r>
      </w:hyperlink>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日，公司已发货金额</w:t>
      </w:r>
      <w:r>
        <w:rPr>
          <w:rFonts w:ascii="Times New Roman" w:hAnsi="Times New Roman" w:cs="Times New Roman" w:eastAsia="Times New Roman" w:hint="default"/>
        </w:rPr>
        <w:t>69,641,941.36</w:t>
      </w:r>
      <w:r>
        <w:rPr>
          <w:rFonts w:ascii="Times New Roman" w:hAnsi="Times New Roman" w:cs="Times New Roman" w:eastAsia="Times New Roman" w:hint="default"/>
          <w:w w:val="99"/>
        </w:rPr>
        <w:t> </w:t>
      </w:r>
      <w:r>
        <w:rPr/>
        <w:t>元。</w:t>
      </w:r>
    </w:p>
    <w:p>
      <w:pPr>
        <w:pStyle w:val="BodyText"/>
        <w:spacing w:line="300" w:lineRule="auto" w:before="31"/>
        <w:ind w:right="1128" w:firstLine="360"/>
        <w:jc w:val="both"/>
      </w:pPr>
      <w:r>
        <w:rPr>
          <w:rFonts w:ascii="Times New Roman" w:hAnsi="Times New Roman" w:cs="Times New Roman" w:eastAsia="Times New Roman" w:hint="default"/>
          <w:spacing w:val="-1"/>
        </w:rPr>
        <w:t>5</w:t>
      </w:r>
      <w:r>
        <w:rPr>
          <w:spacing w:val="-1"/>
        </w:rPr>
        <w:t>、《深圳市奥拓电子股份有限公司关于</w:t>
      </w:r>
      <w:r>
        <w:rPr>
          <w:rFonts w:ascii="Times New Roman" w:hAnsi="Times New Roman" w:cs="Times New Roman" w:eastAsia="Times New Roman" w:hint="default"/>
          <w:spacing w:val="-1"/>
        </w:rPr>
        <w:t>&lt;</w:t>
      </w:r>
      <w:r>
        <w:rPr>
          <w:spacing w:val="-1"/>
        </w:rPr>
        <w:t>全资子公司签署</w:t>
      </w:r>
      <w:r>
        <w:rPr>
          <w:rFonts w:ascii="Times New Roman" w:hAnsi="Times New Roman" w:cs="Times New Roman" w:eastAsia="Times New Roman" w:hint="default"/>
          <w:spacing w:val="-1"/>
        </w:rPr>
        <w:t>PPP</w:t>
      </w:r>
      <w:r>
        <w:rPr>
          <w:spacing w:val="-1"/>
        </w:rPr>
        <w:t>项目框架协议</w:t>
      </w:r>
      <w:r>
        <w:rPr>
          <w:rFonts w:ascii="Times New Roman" w:hAnsi="Times New Roman" w:cs="Times New Roman" w:eastAsia="Times New Roman" w:hint="default"/>
          <w:spacing w:val="-1"/>
        </w:rPr>
        <w:t>&gt;</w:t>
      </w:r>
      <w:r>
        <w:rPr>
          <w:spacing w:val="-1"/>
        </w:rPr>
        <w:t>的公告》于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26</w:t>
      </w:r>
      <w:r>
        <w:rPr>
          <w:spacing w:val="-1"/>
        </w:rPr>
        <w:t>日刊登在指定信息</w:t>
      </w:r>
      <w:r>
        <w:rPr/>
        <w:t> </w:t>
      </w:r>
      <w:r>
        <w:rPr>
          <w:spacing w:val="-2"/>
        </w:rPr>
        <w:t>披露网站巨潮资讯网（</w:t>
      </w:r>
      <w:hyperlink r:id="rId12">
        <w:r>
          <w:rPr>
            <w:rFonts w:ascii="Times New Roman" w:hAnsi="Times New Roman" w:cs="Times New Roman" w:eastAsia="Times New Roman" w:hint="default"/>
            <w:spacing w:val="-2"/>
          </w:rPr>
          <w:t>www.cninfo.com.cn</w:t>
        </w:r>
      </w:hyperlink>
      <w:r>
        <w:rPr>
          <w:spacing w:val="-2"/>
        </w:rPr>
        <w:t>）。公司全资子公司深圳市千百辉照明工程有限公司（以下简称</w:t>
      </w:r>
      <w:r>
        <w:rPr>
          <w:rFonts w:ascii="Times New Roman" w:hAnsi="Times New Roman" w:cs="Times New Roman" w:eastAsia="Times New Roman" w:hint="default"/>
          <w:spacing w:val="-2"/>
        </w:rPr>
        <w:t>“</w:t>
      </w:r>
      <w:r>
        <w:rPr>
          <w:spacing w:val="-2"/>
        </w:rPr>
        <w:t>千百辉</w:t>
      </w:r>
      <w:r>
        <w:rPr>
          <w:rFonts w:ascii="Times New Roman" w:hAnsi="Times New Roman" w:cs="Times New Roman" w:eastAsia="Times New Roman" w:hint="default"/>
          <w:spacing w:val="-2"/>
        </w:rPr>
        <w:t>”</w:t>
      </w:r>
      <w:r>
        <w:rPr>
          <w:spacing w:val="-2"/>
        </w:rPr>
        <w:t>）已与上</w:t>
      </w:r>
      <w:r>
        <w:rPr>
          <w:spacing w:val="-51"/>
        </w:rPr>
        <w:t> </w:t>
      </w:r>
      <w:r>
        <w:rPr>
          <w:spacing w:val="-51"/>
        </w:rPr>
      </w:r>
      <w:r>
        <w:rPr>
          <w:spacing w:val="-1"/>
        </w:rPr>
        <w:t>海亚明照明有限公司、内蒙古黄河明珠文化旅游产业投资有限责任公司签署股东协议书，合资设立</w:t>
      </w:r>
      <w:r>
        <w:rPr>
          <w:rFonts w:ascii="Times New Roman" w:hAnsi="Times New Roman" w:cs="Times New Roman" w:eastAsia="Times New Roman" w:hint="default"/>
          <w:spacing w:val="-1"/>
        </w:rPr>
        <w:t>PPP</w:t>
      </w:r>
      <w:r>
        <w:rPr>
          <w:spacing w:val="-1"/>
        </w:rPr>
        <w:t>项目公司</w:t>
      </w:r>
      <w:r>
        <w:rPr>
          <w:rFonts w:ascii="Times New Roman" w:hAnsi="Times New Roman" w:cs="Times New Roman" w:eastAsia="Times New Roman" w:hint="default"/>
          <w:spacing w:val="-1"/>
        </w:rPr>
        <w:t>—</w:t>
      </w:r>
      <w:r>
        <w:rPr>
          <w:spacing w:val="-1"/>
        </w:rPr>
        <w:t>内蒙古中</w:t>
      </w:r>
      <w:r>
        <w:rPr>
          <w:spacing w:val="-59"/>
        </w:rPr>
        <w:t> </w:t>
      </w:r>
      <w:r>
        <w:rPr>
          <w:spacing w:val="-1"/>
        </w:rPr>
        <w:t>基智慧城市建设有限公司，《关于全资子公司合资组建</w:t>
      </w:r>
      <w:r>
        <w:rPr>
          <w:rFonts w:ascii="Times New Roman" w:hAnsi="Times New Roman" w:cs="Times New Roman" w:eastAsia="Times New Roman" w:hint="default"/>
          <w:spacing w:val="-1"/>
        </w:rPr>
        <w:t>PPP</w:t>
      </w:r>
      <w:r>
        <w:rPr>
          <w:spacing w:val="-1"/>
        </w:rPr>
        <w:t>项目公司的公告》已于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4</w:t>
      </w:r>
      <w:r>
        <w:rPr>
          <w:spacing w:val="-1"/>
        </w:rPr>
        <w:t>日刊登在指定信息披露网站巨</w:t>
      </w:r>
      <w:r>
        <w:rPr>
          <w:spacing w:val="-58"/>
        </w:rPr>
        <w:t> </w:t>
      </w:r>
      <w:r>
        <w:rPr/>
        <w:t>潮资讯网（</w:t>
      </w:r>
      <w:hyperlink r:id="rId12">
        <w:r>
          <w:rPr>
            <w:rFonts w:ascii="Times New Roman" w:hAnsi="Times New Roman" w:cs="Times New Roman" w:eastAsia="Times New Roman" w:hint="default"/>
          </w:rPr>
          <w:t>www.cninfo.com.cn</w:t>
        </w:r>
      </w:hyperlink>
      <w:r>
        <w:rPr/>
        <w:t>），《关于全资子公司之参股项目公司签署</w:t>
      </w:r>
      <w:r>
        <w:rPr>
          <w:rFonts w:ascii="Times New Roman" w:hAnsi="Times New Roman" w:cs="Times New Roman" w:eastAsia="Times New Roman" w:hint="default"/>
        </w:rPr>
        <w:t>PPP</w:t>
      </w:r>
      <w:r>
        <w:rPr/>
        <w:t>项目合同的公告》已于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7</w:t>
      </w:r>
      <w:r>
        <w:rPr/>
        <w:t>日刊登在</w:t>
      </w:r>
      <w:r>
        <w:rPr>
          <w:spacing w:val="-57"/>
        </w:rPr>
        <w:t> </w:t>
      </w:r>
      <w:r>
        <w:rPr>
          <w:spacing w:val="-57"/>
        </w:rPr>
      </w:r>
      <w:r>
        <w:rPr/>
        <w:t>指定信息披露网站巨潮资讯网（</w:t>
      </w:r>
      <w:hyperlink r:id="rId12">
        <w:r>
          <w:rPr>
            <w:rFonts w:ascii="Times New Roman" w:hAnsi="Times New Roman" w:cs="Times New Roman" w:eastAsia="Times New Roman" w:hint="default"/>
          </w:rPr>
          <w:t>www.cninfo.com.cn</w:t>
        </w:r>
      </w:hyperlink>
      <w:r>
        <w:rPr/>
        <w:t>），内蒙古中基智慧城市建设有限公司与乌海市综合行政执法局针对本</w:t>
      </w:r>
      <w:r>
        <w:rPr>
          <w:spacing w:val="-31"/>
        </w:rPr>
        <w:t> </w:t>
      </w:r>
      <w:r>
        <w:rPr>
          <w:spacing w:val="-31"/>
        </w:rPr>
      </w:r>
      <w:r>
        <w:rPr>
          <w:spacing w:val="-1"/>
        </w:rPr>
        <w:t>项目共同签署了《</w:t>
      </w:r>
      <w:r>
        <w:rPr>
          <w:rFonts w:ascii="Times New Roman" w:hAnsi="Times New Roman" w:cs="Times New Roman" w:eastAsia="Times New Roman" w:hint="default"/>
          <w:spacing w:val="-1"/>
        </w:rPr>
        <w:t>PPP</w:t>
      </w:r>
      <w:r>
        <w:rPr>
          <w:spacing w:val="-1"/>
        </w:rPr>
        <w:t>项目合同》。</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14</w:t>
      </w:r>
      <w:r>
        <w:rPr>
          <w:spacing w:val="-1"/>
        </w:rPr>
        <w:t>日，乌海市八届人大常委会召开第四十五次会议，表决通过了《乌海市人</w:t>
      </w:r>
      <w:r>
        <w:rPr>
          <w:spacing w:val="-57"/>
        </w:rPr>
        <w:t> </w:t>
      </w:r>
      <w:r>
        <w:rPr>
          <w:spacing w:val="-57"/>
        </w:rPr>
      </w:r>
      <w:r>
        <w:rPr>
          <w:spacing w:val="2"/>
        </w:rPr>
        <w:t>大常委会关于批准将乌海市城市灯光基础建设及灯光旅游</w:t>
      </w:r>
      <w:r>
        <w:rPr>
          <w:rFonts w:ascii="Times New Roman" w:hAnsi="Times New Roman" w:cs="Times New Roman" w:eastAsia="Times New Roman" w:hint="default"/>
          <w:spacing w:val="2"/>
        </w:rPr>
        <w:t>PPP</w:t>
      </w:r>
      <w:r>
        <w:rPr>
          <w:spacing w:val="2"/>
        </w:rPr>
        <w:t>项目财政支出责任纳入市级财政预算及中长期财政规划的决</w:t>
      </w:r>
      <w:r>
        <w:rPr>
          <w:spacing w:val="-62"/>
        </w:rPr>
        <w:t> </w:t>
      </w:r>
      <w:r>
        <w:rPr>
          <w:spacing w:val="-62"/>
        </w:rPr>
      </w:r>
      <w:r>
        <w:rPr/>
        <w:t>定》。截至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日，项目正在推进之中。</w:t>
      </w:r>
    </w:p>
    <w:p>
      <w:pPr>
        <w:pStyle w:val="BodyText"/>
        <w:spacing w:line="300" w:lineRule="auto" w:before="13"/>
        <w:ind w:right="1132" w:firstLine="360"/>
        <w:jc w:val="both"/>
      </w:pPr>
      <w:r>
        <w:rPr>
          <w:rFonts w:ascii="Times New Roman" w:hAnsi="Times New Roman" w:cs="Times New Roman" w:eastAsia="Times New Roman" w:hint="default"/>
          <w:spacing w:val="-2"/>
        </w:rPr>
        <w:t>6</w:t>
      </w:r>
      <w:r>
        <w:rPr>
          <w:spacing w:val="-2"/>
        </w:rPr>
        <w:t>、《深圳市奥拓电子股份有限公司关于中标项目签订合同的进展公告》于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30</w:t>
      </w:r>
      <w:r>
        <w:rPr>
          <w:spacing w:val="-2"/>
        </w:rPr>
        <w:t>日刊登在指定信息披露网站巨潮</w:t>
      </w:r>
      <w:r>
        <w:rPr/>
        <w:t> 资讯网（</w:t>
      </w:r>
      <w:hyperlink r:id="rId12">
        <w:r>
          <w:rPr>
            <w:rFonts w:ascii="Times New Roman" w:hAnsi="Times New Roman" w:cs="Times New Roman" w:eastAsia="Times New Roman" w:hint="default"/>
          </w:rPr>
          <w:t>www.cninfo.com.cn</w:t>
        </w:r>
      </w:hyperlink>
      <w:r>
        <w:rPr/>
        <w:t>）。公司与遵义市高铁新城开发投资有限责任公司签订了《</w:t>
      </w:r>
      <w:r>
        <w:rPr>
          <w:rFonts w:ascii="Times New Roman" w:hAnsi="Times New Roman" w:cs="Times New Roman" w:eastAsia="Times New Roman" w:hint="default"/>
        </w:rPr>
        <w:t>LED</w:t>
      </w:r>
      <w:r>
        <w:rPr/>
        <w:t>定制天幕采购合同》，合同金</w:t>
      </w:r>
      <w:r>
        <w:rPr>
          <w:spacing w:val="-18"/>
        </w:rPr>
        <w:t> </w:t>
      </w:r>
      <w:r>
        <w:rPr>
          <w:spacing w:val="-18"/>
        </w:rPr>
      </w:r>
      <w:r>
        <w:rPr/>
        <w:t>额为</w:t>
      </w:r>
      <w:r>
        <w:rPr>
          <w:rFonts w:ascii="Times New Roman" w:hAnsi="Times New Roman" w:cs="Times New Roman" w:eastAsia="Times New Roman" w:hint="default"/>
        </w:rPr>
        <w:t>89,691,695.00</w:t>
      </w:r>
      <w:r>
        <w:rPr/>
        <w:t>元。截至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日，项目正在推进之中。</w:t>
      </w:r>
    </w:p>
    <w:p>
      <w:pPr>
        <w:pStyle w:val="BodyText"/>
        <w:spacing w:line="300" w:lineRule="auto" w:before="13"/>
        <w:ind w:right="1042" w:firstLine="360"/>
        <w:jc w:val="left"/>
      </w:pPr>
      <w:r>
        <w:rPr>
          <w:rFonts w:ascii="Times New Roman" w:hAnsi="Times New Roman" w:cs="Times New Roman" w:eastAsia="Times New Roman" w:hint="default"/>
          <w:spacing w:val="-2"/>
        </w:rPr>
        <w:t>7</w:t>
      </w:r>
      <w:r>
        <w:rPr>
          <w:spacing w:val="-2"/>
        </w:rPr>
        <w:t>、《深圳市奥拓电子股份有限公司关于全资子公司中标项目签订合同的进展公告》于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14</w:t>
      </w:r>
      <w:r>
        <w:rPr>
          <w:spacing w:val="-2"/>
        </w:rPr>
        <w:t>日刊登在指定信息披</w:t>
      </w:r>
      <w:r>
        <w:rPr/>
        <w:t> 露网站巨潮资讯网（</w:t>
      </w:r>
      <w:hyperlink r:id="rId12">
        <w:r>
          <w:rPr>
            <w:rFonts w:ascii="Times New Roman" w:hAnsi="Times New Roman" w:cs="Times New Roman" w:eastAsia="Times New Roman" w:hint="default"/>
          </w:rPr>
          <w:t>www.cninfo.com.cn</w:t>
        </w:r>
      </w:hyperlink>
      <w:r>
        <w:rPr/>
        <w:t>）。公司全资子公司深圳市千百辉照明工程有限公司与青岛市市政建设发展有限公</w:t>
      </w:r>
      <w:r>
        <w:rPr>
          <w:spacing w:val="-34"/>
        </w:rPr>
        <w:t> </w:t>
      </w:r>
      <w:r>
        <w:rPr>
          <w:spacing w:val="-34"/>
        </w:rPr>
      </w:r>
      <w:r>
        <w:rPr/>
        <w:t>司、青岛市政空间开发集团有限责任公司签订了《</w:t>
      </w:r>
      <w:r>
        <w:rPr>
          <w:rFonts w:ascii="Times New Roman" w:hAnsi="Times New Roman" w:cs="Times New Roman" w:eastAsia="Times New Roman" w:hint="default"/>
        </w:rPr>
        <w:t>“</w:t>
      </w:r>
      <w:r>
        <w:rPr/>
        <w:t>美丽青岛行动</w:t>
      </w:r>
      <w:r>
        <w:rPr>
          <w:rFonts w:ascii="Times New Roman" w:hAnsi="Times New Roman" w:cs="Times New Roman" w:eastAsia="Times New Roman" w:hint="default"/>
        </w:rPr>
        <w:t>”</w:t>
      </w:r>
      <w:r>
        <w:rPr/>
        <w:t>重要道路沿线亮化提升（香港路、东海路、澳门路沿线）</w:t>
      </w:r>
      <w:r>
        <w:rPr>
          <w:spacing w:val="-67"/>
        </w:rPr>
        <w:t> </w:t>
      </w:r>
      <w:r>
        <w:rPr>
          <w:spacing w:val="-67"/>
        </w:rPr>
      </w:r>
      <w:r>
        <w:rPr>
          <w:spacing w:val="-4"/>
        </w:rPr>
        <w:t>总承包四标段设计</w:t>
      </w:r>
      <w:r>
        <w:rPr>
          <w:rFonts w:ascii="Times New Roman" w:hAnsi="Times New Roman" w:cs="Times New Roman" w:eastAsia="Times New Roman" w:hint="default"/>
          <w:spacing w:val="-4"/>
        </w:rPr>
        <w:t>-</w:t>
      </w:r>
      <w:r>
        <w:rPr>
          <w:spacing w:val="-4"/>
        </w:rPr>
        <w:t>施工合同》，合同暂定总价</w:t>
      </w:r>
      <w:r>
        <w:rPr>
          <w:rFonts w:ascii="Times New Roman" w:hAnsi="Times New Roman" w:cs="Times New Roman" w:eastAsia="Times New Roman" w:hint="default"/>
          <w:spacing w:val="-4"/>
        </w:rPr>
        <w:t>135,820,000.00</w:t>
      </w:r>
      <w:r>
        <w:rPr>
          <w:spacing w:val="-4"/>
        </w:rPr>
        <w:t>元（其中建安费用暂定</w:t>
      </w:r>
      <w:r>
        <w:rPr>
          <w:rFonts w:ascii="Times New Roman" w:hAnsi="Times New Roman" w:cs="Times New Roman" w:eastAsia="Times New Roman" w:hint="default"/>
          <w:spacing w:val="-4"/>
        </w:rPr>
        <w:t>132,700,000.00</w:t>
      </w:r>
      <w:r>
        <w:rPr>
          <w:spacing w:val="-4"/>
        </w:rPr>
        <w:t>元，设计费暂定</w:t>
      </w:r>
      <w:r>
        <w:rPr>
          <w:rFonts w:ascii="Times New Roman" w:hAnsi="Times New Roman" w:cs="Times New Roman" w:eastAsia="Times New Roman" w:hint="default"/>
          <w:spacing w:val="-4"/>
        </w:rPr>
        <w:t>3,120,000.00</w:t>
      </w:r>
      <w:r>
        <w:rPr>
          <w:rFonts w:ascii="Times New Roman" w:hAnsi="Times New Roman" w:cs="Times New Roman" w:eastAsia="Times New Roman" w:hint="default"/>
          <w:spacing w:val="-18"/>
        </w:rPr>
        <w:t> </w:t>
      </w:r>
      <w:r>
        <w:rPr>
          <w:rFonts w:ascii="Times New Roman" w:hAnsi="Times New Roman" w:cs="Times New Roman" w:eastAsia="Times New Roman" w:hint="default"/>
          <w:spacing w:val="-18"/>
        </w:rPr>
      </w:r>
      <w:r>
        <w:rPr/>
        <w:t>元）。截至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rFonts w:ascii="宋体" w:hAnsi="宋体" w:cs="宋体" w:eastAsia="宋体" w:hint="default"/>
        </w:rPr>
        <w:t>1</w:t>
      </w:r>
      <w:r>
        <w:rPr/>
        <w:t>日，项目施工已完工。</w:t>
      </w:r>
    </w:p>
    <w:p>
      <w:pPr>
        <w:spacing w:line="240" w:lineRule="auto" w:before="1"/>
        <w:rPr>
          <w:rFonts w:ascii="宋体" w:hAnsi="宋体" w:cs="宋体" w:eastAsia="宋体" w:hint="default"/>
          <w:sz w:val="22"/>
          <w:szCs w:val="22"/>
        </w:rPr>
      </w:pPr>
    </w:p>
    <w:p>
      <w:pPr>
        <w:pStyle w:val="Heading4"/>
        <w:spacing w:line="240" w:lineRule="auto"/>
        <w:ind w:right="0"/>
        <w:jc w:val="left"/>
        <w:rPr>
          <w:b w:val="0"/>
          <w:bCs w:val="0"/>
        </w:rPr>
      </w:pPr>
      <w:bookmarkStart w:name="（5）营业成本构成" w:id="33"/>
      <w:bookmarkEnd w:id="33"/>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行业分类</w:t>
      </w:r>
    </w:p>
    <w:p>
      <w:pPr>
        <w:pStyle w:val="BodyText"/>
        <w:spacing w:line="240" w:lineRule="auto" w:before="116"/>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652,478,270.39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62.38%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405,718,482.33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60.82%</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182,538,003.96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107,774,832.92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69.37%</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18,409,976.27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24,160,719.39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-23.80%</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38,221,013.21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13,046,651.24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192.96%</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132,411,887.16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58,981,215.97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124.50%</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18,041,979.21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14,242,712.34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26.68%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金融科技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6" w:right="0"/>
              <w:jc w:val="left"/>
              <w:rPr>
                <w:rFonts w:ascii="Times New Roman" w:hAnsi="Times New Roman" w:cs="Times New Roman" w:eastAsia="Times New Roman" w:hint="default"/>
                <w:sz w:val="18"/>
                <w:szCs w:val="18"/>
              </w:rPr>
            </w:pPr>
            <w:r>
              <w:rPr>
                <w:rFonts w:ascii="Times New Roman"/>
                <w:sz w:val="18"/>
              </w:rPr>
              <w:t>3,898,011.47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9" w:right="0"/>
              <w:jc w:val="left"/>
              <w:rPr>
                <w:rFonts w:ascii="Times New Roman" w:hAnsi="Times New Roman" w:cs="Times New Roman" w:eastAsia="Times New Roman" w:hint="default"/>
                <w:sz w:val="18"/>
                <w:szCs w:val="18"/>
              </w:rPr>
            </w:pPr>
            <w:r>
              <w:rPr>
                <w:rFonts w:ascii="Times New Roman"/>
                <w:sz w:val="18"/>
              </w:rPr>
              <w:t>0.37%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1" w:right="0"/>
              <w:jc w:val="left"/>
              <w:rPr>
                <w:rFonts w:ascii="Times New Roman" w:hAnsi="Times New Roman" w:cs="Times New Roman" w:eastAsia="Times New Roman" w:hint="default"/>
                <w:sz w:val="18"/>
                <w:szCs w:val="18"/>
              </w:rPr>
            </w:pPr>
            <w:r>
              <w:rPr>
                <w:rFonts w:ascii="Times New Roman"/>
                <w:sz w:val="18"/>
              </w:rPr>
              <w:t>3,245,513.00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70" w:right="0"/>
              <w:jc w:val="left"/>
              <w:rPr>
                <w:rFonts w:ascii="Times New Roman" w:hAnsi="Times New Roman" w:cs="Times New Roman" w:eastAsia="Times New Roman" w:hint="default"/>
                <w:sz w:val="18"/>
                <w:szCs w:val="18"/>
              </w:rPr>
            </w:pPr>
            <w:r>
              <w:rPr>
                <w:rFonts w:ascii="Times New Roman"/>
                <w:sz w:val="18"/>
              </w:rPr>
              <w:t>0.52%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9" w:right="0"/>
              <w:jc w:val="left"/>
              <w:rPr>
                <w:rFonts w:ascii="Times New Roman" w:hAnsi="Times New Roman" w:cs="Times New Roman" w:eastAsia="Times New Roman" w:hint="default"/>
                <w:sz w:val="18"/>
                <w:szCs w:val="18"/>
              </w:rPr>
            </w:pPr>
            <w:r>
              <w:rPr>
                <w:rFonts w:ascii="Times New Roman"/>
                <w:sz w:val="18"/>
              </w:rPr>
              <w:t>20.10%</w:t>
            </w:r>
          </w:p>
        </w:tc>
      </w:tr>
    </w:tbl>
    <w:p>
      <w:pPr>
        <w:pStyle w:val="BodyText"/>
        <w:spacing w:line="357" w:lineRule="auto" w:before="51"/>
        <w:ind w:right="10392"/>
        <w:jc w:val="left"/>
      </w:pPr>
      <w:r>
        <w:rPr/>
        <w:t>说明 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6）报告期内合并范围是否发生变动" w:id="34"/>
      <w:bookmarkEnd w:id="34"/>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463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月设立全资子公司武汉市奥拓智能科技有限公司，纳入合并范围。</w:t>
      </w:r>
    </w:p>
    <w:p>
      <w:pPr>
        <w:spacing w:line="240" w:lineRule="auto" w:before="7"/>
        <w:rPr>
          <w:rFonts w:ascii="宋体" w:hAnsi="宋体" w:cs="宋体" w:eastAsia="宋体" w:hint="default"/>
          <w:sz w:val="19"/>
          <w:szCs w:val="19"/>
        </w:rPr>
      </w:pPr>
    </w:p>
    <w:p>
      <w:pPr>
        <w:pStyle w:val="Heading4"/>
        <w:spacing w:line="240" w:lineRule="auto"/>
        <w:ind w:right="0"/>
        <w:jc w:val="left"/>
        <w:rPr>
          <w:b w:val="0"/>
          <w:bCs w:val="0"/>
        </w:rPr>
      </w:pPr>
      <w:bookmarkStart w:name="（7）公司报告期内业务、产品或服务发生重大变化或调整有关情况" w:id="35"/>
      <w:bookmarkEnd w:id="35"/>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bookmarkStart w:name="（8）主要销售客户和主要供应商情况" w:id="36"/>
      <w:bookmarkEnd w:id="36"/>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公司主要销售客户情况</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631,992,254.12</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40.17%</w:t>
            </w:r>
          </w:p>
        </w:tc>
      </w:tr>
      <w:tr>
        <w:trPr>
          <w:trHeight w:val="714"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91"/>
        <w:gridCol w:w="3313"/>
        <w:gridCol w:w="2322"/>
        <w:gridCol w:w="3143"/>
      </w:tblGrid>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169,536,086.55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10.78%</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136,696,857.26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8.69%</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135,567,689.73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8.62%</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107,703,275.99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6.85%</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82,488,344.59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5.24%</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631,992,254.12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40.17%</w:t>
            </w:r>
          </w:p>
        </w:tc>
      </w:tr>
    </w:tbl>
    <w:p>
      <w:pPr>
        <w:pStyle w:val="BodyText"/>
        <w:spacing w:line="240" w:lineRule="auto" w:before="51"/>
        <w:ind w:right="0"/>
        <w:jc w:val="left"/>
      </w:pPr>
      <w:r>
        <w:rPr/>
        <w:t>主要客户其他情况说明</w:t>
      </w:r>
    </w:p>
    <w:p>
      <w:pPr>
        <w:pStyle w:val="BodyText"/>
        <w:spacing w:line="338" w:lineRule="auto" w:before="117"/>
        <w:ind w:right="91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公司主要供应商情况</w:t>
      </w:r>
    </w:p>
    <w:p>
      <w:pPr>
        <w:spacing w:line="240" w:lineRule="auto" w:before="6"/>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354,951,095.14</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57.05%</w:t>
            </w:r>
          </w:p>
        </w:tc>
      </w:tr>
      <w:tr>
        <w:trPr>
          <w:trHeight w:val="714"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0"/>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3180"/>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0"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1</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9" w:right="0"/>
              <w:jc w:val="left"/>
              <w:rPr>
                <w:rFonts w:ascii="Times New Roman" w:hAnsi="Times New Roman" w:cs="Times New Roman" w:eastAsia="Times New Roman" w:hint="default"/>
                <w:sz w:val="18"/>
                <w:szCs w:val="18"/>
              </w:rPr>
            </w:pPr>
            <w:r>
              <w:rPr>
                <w:rFonts w:ascii="Times New Roman"/>
                <w:sz w:val="18"/>
              </w:rPr>
              <w:t>113,363,251.21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18.22%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912"/>
        <w:gridCol w:w="3180"/>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2</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93,496,120.60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15.03%</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3</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66,811,456.65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10.74%</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4</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52,024,845.73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8.36%</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5</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29,255,420.95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4.70%</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354,951,095.14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57.05%</w:t>
            </w:r>
          </w:p>
        </w:tc>
      </w:tr>
    </w:tbl>
    <w:p>
      <w:pPr>
        <w:pStyle w:val="BodyText"/>
        <w:spacing w:line="240" w:lineRule="auto" w:before="51"/>
        <w:ind w:right="0"/>
        <w:jc w:val="left"/>
      </w:pPr>
      <w:r>
        <w:rPr/>
        <w:t>主要供应商其他情况说明</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3、费用" w:id="37"/>
      <w:bookmarkEnd w:id="37"/>
      <w:r>
        <w:rPr>
          <w:b w:val="0"/>
          <w:bCs w:val="0"/>
        </w:rPr>
      </w: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4"/>
        <w:gridCol w:w="1637"/>
        <w:gridCol w:w="1637"/>
        <w:gridCol w:w="1462"/>
        <w:gridCol w:w="2918"/>
      </w:tblGrid>
      <w:tr>
        <w:trPr>
          <w:trHeight w:val="402" w:hRule="exact"/>
        </w:trPr>
        <w:tc>
          <w:tcPr>
            <w:tcW w:w="19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74" w:hRule="exact"/>
        </w:trPr>
        <w:tc>
          <w:tcPr>
            <w:tcW w:w="1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72" w:right="0"/>
              <w:jc w:val="left"/>
              <w:rPr>
                <w:rFonts w:ascii="Times New Roman" w:hAnsi="Times New Roman" w:cs="Times New Roman" w:eastAsia="Times New Roman" w:hint="default"/>
                <w:sz w:val="18"/>
                <w:szCs w:val="18"/>
              </w:rPr>
            </w:pPr>
            <w:r>
              <w:rPr>
                <w:rFonts w:ascii="Times New Roman"/>
                <w:sz w:val="18"/>
              </w:rPr>
              <w:t>146,068,015.45</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93" w:right="0"/>
              <w:jc w:val="left"/>
              <w:rPr>
                <w:rFonts w:ascii="Times New Roman" w:hAnsi="Times New Roman" w:cs="Times New Roman" w:eastAsia="Times New Roman" w:hint="default"/>
                <w:sz w:val="18"/>
                <w:szCs w:val="18"/>
              </w:rPr>
            </w:pPr>
            <w:r>
              <w:rPr>
                <w:rFonts w:ascii="Times New Roman"/>
                <w:sz w:val="18"/>
              </w:rPr>
              <w:t>111,409,964.58</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879" w:right="0"/>
              <w:jc w:val="left"/>
              <w:rPr>
                <w:rFonts w:ascii="Times New Roman" w:hAnsi="Times New Roman" w:cs="Times New Roman" w:eastAsia="Times New Roman" w:hint="default"/>
                <w:sz w:val="18"/>
                <w:szCs w:val="18"/>
              </w:rPr>
            </w:pPr>
            <w:r>
              <w:rPr>
                <w:rFonts w:ascii="Times New Roman"/>
                <w:sz w:val="18"/>
              </w:rPr>
              <w:t>31.11%</w:t>
            </w:r>
          </w:p>
        </w:tc>
        <w:tc>
          <w:tcPr>
            <w:tcW w:w="2918" w:type="dxa"/>
            <w:vMerge w:val="restart"/>
            <w:tcBorders>
              <w:top w:val="single" w:sz="4" w:space="0" w:color="000000"/>
              <w:left w:val="single" w:sz="4" w:space="0" w:color="000000"/>
              <w:right w:val="single" w:sz="4" w:space="0" w:color="000000"/>
            </w:tcBorders>
          </w:tcPr>
          <w:p>
            <w:pPr>
              <w:pStyle w:val="TableParagraph"/>
              <w:spacing w:line="312"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3,466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增幅</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31.11%,</w:t>
            </w:r>
            <w:r>
              <w:rPr>
                <w:rFonts w:ascii="宋体" w:hAnsi="宋体" w:cs="宋体" w:eastAsia="宋体" w:hint="default"/>
                <w:sz w:val="18"/>
                <w:szCs w:val="18"/>
              </w:rPr>
              <w:t>主 </w:t>
            </w:r>
            <w:r>
              <w:rPr>
                <w:rFonts w:ascii="宋体" w:hAnsi="宋体" w:cs="宋体" w:eastAsia="宋体" w:hint="default"/>
                <w:spacing w:val="-2"/>
                <w:sz w:val="18"/>
                <w:szCs w:val="18"/>
              </w:rPr>
              <w:t>要是本期销售规模扩大，销售人员增</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加及薪资水平提高、展览费增加所 致。</w:t>
            </w:r>
          </w:p>
        </w:tc>
      </w:tr>
      <w:tr>
        <w:trPr>
          <w:trHeight w:val="391" w:hRule="exact"/>
        </w:trPr>
        <w:tc>
          <w:tcPr>
            <w:tcW w:w="1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473" w:hRule="exact"/>
        </w:trPr>
        <w:tc>
          <w:tcPr>
            <w:tcW w:w="1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318" w:hRule="exact"/>
        </w:trPr>
        <w:tc>
          <w:tcPr>
            <w:tcW w:w="1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62" w:right="0"/>
              <w:jc w:val="left"/>
              <w:rPr>
                <w:rFonts w:ascii="Times New Roman" w:hAnsi="Times New Roman" w:cs="Times New Roman" w:eastAsia="Times New Roman" w:hint="default"/>
                <w:sz w:val="18"/>
                <w:szCs w:val="18"/>
              </w:rPr>
            </w:pPr>
            <w:r>
              <w:rPr>
                <w:rFonts w:ascii="Times New Roman"/>
                <w:sz w:val="18"/>
              </w:rPr>
              <w:t>71,262,449.54</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70" w:right="0"/>
              <w:jc w:val="left"/>
              <w:rPr>
                <w:rFonts w:ascii="Times New Roman" w:hAnsi="Times New Roman" w:cs="Times New Roman" w:eastAsia="Times New Roman" w:hint="default"/>
                <w:sz w:val="18"/>
                <w:szCs w:val="18"/>
              </w:rPr>
            </w:pPr>
            <w:r>
              <w:rPr>
                <w:rFonts w:ascii="Times New Roman"/>
                <w:sz w:val="18"/>
              </w:rPr>
              <w:t>61,605,159.45</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873" w:right="0"/>
              <w:jc w:val="left"/>
              <w:rPr>
                <w:rFonts w:ascii="Times New Roman" w:hAnsi="Times New Roman" w:cs="Times New Roman" w:eastAsia="Times New Roman" w:hint="default"/>
                <w:sz w:val="18"/>
                <w:szCs w:val="18"/>
              </w:rPr>
            </w:pPr>
            <w:r>
              <w:rPr>
                <w:rFonts w:ascii="Times New Roman"/>
                <w:sz w:val="18"/>
              </w:rPr>
              <w:t>15.68%</w:t>
            </w:r>
          </w:p>
        </w:tc>
        <w:tc>
          <w:tcPr>
            <w:tcW w:w="2918" w:type="dxa"/>
            <w:vMerge w:val="restart"/>
            <w:tcBorders>
              <w:top w:val="single" w:sz="4" w:space="0" w:color="000000"/>
              <w:left w:val="single" w:sz="4" w:space="0" w:color="000000"/>
              <w:right w:val="single" w:sz="4" w:space="0" w:color="000000"/>
            </w:tcBorders>
          </w:tcPr>
          <w:p>
            <w:pPr>
              <w:pStyle w:val="TableParagraph"/>
              <w:spacing w:line="309" w:lineRule="auto" w:before="52"/>
              <w:ind w:left="22" w:right="32"/>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966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增幅</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15.68%,</w:t>
            </w:r>
            <w:r>
              <w:rPr>
                <w:rFonts w:ascii="宋体" w:hAnsi="宋体" w:cs="宋体" w:eastAsia="宋体" w:hint="default"/>
                <w:sz w:val="18"/>
                <w:szCs w:val="18"/>
              </w:rPr>
              <w:t>主要 是本期管理人员增加及薪资水平提 高增加所致。</w:t>
            </w:r>
          </w:p>
        </w:tc>
      </w:tr>
      <w:tr>
        <w:trPr>
          <w:trHeight w:val="391" w:hRule="exact"/>
        </w:trPr>
        <w:tc>
          <w:tcPr>
            <w:tcW w:w="1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318" w:hRule="exact"/>
        </w:trPr>
        <w:tc>
          <w:tcPr>
            <w:tcW w:w="1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92" w:right="0"/>
              <w:jc w:val="left"/>
              <w:rPr>
                <w:rFonts w:ascii="Times New Roman" w:hAnsi="Times New Roman" w:cs="Times New Roman" w:eastAsia="Times New Roman" w:hint="default"/>
                <w:sz w:val="18"/>
                <w:szCs w:val="18"/>
              </w:rPr>
            </w:pPr>
            <w:r>
              <w:rPr>
                <w:rFonts w:ascii="Times New Roman"/>
                <w:sz w:val="18"/>
              </w:rPr>
              <w:t>-3,814,621.97</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70" w:right="0"/>
              <w:jc w:val="left"/>
              <w:rPr>
                <w:rFonts w:ascii="Times New Roman" w:hAnsi="Times New Roman" w:cs="Times New Roman" w:eastAsia="Times New Roman" w:hint="default"/>
                <w:sz w:val="18"/>
                <w:szCs w:val="18"/>
              </w:rPr>
            </w:pPr>
            <w:r>
              <w:rPr>
                <w:rFonts w:ascii="Times New Roman"/>
                <w:sz w:val="18"/>
              </w:rPr>
              <w:t>14,338,023.29</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723" w:right="0"/>
              <w:jc w:val="left"/>
              <w:rPr>
                <w:rFonts w:ascii="Times New Roman" w:hAnsi="Times New Roman" w:cs="Times New Roman" w:eastAsia="Times New Roman" w:hint="default"/>
                <w:sz w:val="18"/>
                <w:szCs w:val="18"/>
              </w:rPr>
            </w:pPr>
            <w:r>
              <w:rPr>
                <w:rFonts w:ascii="Times New Roman"/>
                <w:sz w:val="18"/>
              </w:rPr>
              <w:t>-126.60%</w:t>
            </w:r>
          </w:p>
        </w:tc>
        <w:tc>
          <w:tcPr>
            <w:tcW w:w="2918" w:type="dxa"/>
            <w:vMerge w:val="restart"/>
            <w:tcBorders>
              <w:top w:val="single" w:sz="4" w:space="0" w:color="000000"/>
              <w:left w:val="single" w:sz="4" w:space="0" w:color="000000"/>
              <w:right w:val="single" w:sz="4" w:space="0" w:color="000000"/>
            </w:tcBorders>
          </w:tcPr>
          <w:p>
            <w:pPr>
              <w:pStyle w:val="TableParagraph"/>
              <w:spacing w:line="309" w:lineRule="auto" w:before="53"/>
              <w:ind w:left="22" w:right="21"/>
              <w:jc w:val="left"/>
              <w:rPr>
                <w:rFonts w:ascii="宋体" w:hAnsi="宋体" w:cs="宋体" w:eastAsia="宋体" w:hint="default"/>
                <w:sz w:val="18"/>
                <w:szCs w:val="18"/>
              </w:rPr>
            </w:pPr>
            <w:r>
              <w:rPr>
                <w:rFonts w:ascii="宋体" w:hAnsi="宋体" w:cs="宋体" w:eastAsia="宋体" w:hint="default"/>
                <w:sz w:val="18"/>
                <w:szCs w:val="18"/>
              </w:rPr>
              <w:t>同比减少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降幅</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126.60%, </w:t>
            </w:r>
            <w:r>
              <w:rPr>
                <w:rFonts w:ascii="宋体" w:hAnsi="宋体" w:cs="宋体" w:eastAsia="宋体" w:hint="default"/>
                <w:spacing w:val="-2"/>
                <w:sz w:val="18"/>
                <w:szCs w:val="18"/>
              </w:rPr>
              <w:t>主要是本期人民币对美元贬值、汇兑</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收益增加所致。</w:t>
            </w:r>
          </w:p>
        </w:tc>
      </w:tr>
      <w:tr>
        <w:trPr>
          <w:trHeight w:val="391" w:hRule="exact"/>
        </w:trPr>
        <w:tc>
          <w:tcPr>
            <w:tcW w:w="1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318" w:hRule="exact"/>
        </w:trPr>
        <w:tc>
          <w:tcPr>
            <w:tcW w:w="1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62" w:right="0"/>
              <w:jc w:val="left"/>
              <w:rPr>
                <w:rFonts w:ascii="Times New Roman" w:hAnsi="Times New Roman" w:cs="Times New Roman" w:eastAsia="Times New Roman" w:hint="default"/>
                <w:sz w:val="18"/>
                <w:szCs w:val="18"/>
              </w:rPr>
            </w:pPr>
            <w:r>
              <w:rPr>
                <w:rFonts w:ascii="Times New Roman"/>
                <w:sz w:val="18"/>
              </w:rPr>
              <w:t>90,029,318.05</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70" w:right="0"/>
              <w:jc w:val="left"/>
              <w:rPr>
                <w:rFonts w:ascii="Times New Roman" w:hAnsi="Times New Roman" w:cs="Times New Roman" w:eastAsia="Times New Roman" w:hint="default"/>
                <w:sz w:val="18"/>
                <w:szCs w:val="18"/>
              </w:rPr>
            </w:pPr>
            <w:r>
              <w:rPr>
                <w:rFonts w:ascii="Times New Roman"/>
                <w:sz w:val="18"/>
              </w:rPr>
              <w:t>67,494,849.69</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873" w:right="0"/>
              <w:jc w:val="left"/>
              <w:rPr>
                <w:rFonts w:ascii="Times New Roman" w:hAnsi="Times New Roman" w:cs="Times New Roman" w:eastAsia="Times New Roman" w:hint="default"/>
                <w:sz w:val="18"/>
                <w:szCs w:val="18"/>
              </w:rPr>
            </w:pPr>
            <w:r>
              <w:rPr>
                <w:rFonts w:ascii="Times New Roman"/>
                <w:sz w:val="18"/>
              </w:rPr>
              <w:t>33.39%</w:t>
            </w:r>
          </w:p>
        </w:tc>
        <w:tc>
          <w:tcPr>
            <w:tcW w:w="2918" w:type="dxa"/>
            <w:vMerge w:val="restart"/>
            <w:tcBorders>
              <w:top w:val="single" w:sz="4" w:space="0" w:color="000000"/>
              <w:left w:val="single" w:sz="4" w:space="0" w:color="000000"/>
              <w:right w:val="single" w:sz="4" w:space="0" w:color="000000"/>
            </w:tcBorders>
          </w:tcPr>
          <w:p>
            <w:pPr>
              <w:pStyle w:val="TableParagraph"/>
              <w:spacing w:line="309"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2,253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增幅</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33.39%,</w:t>
            </w:r>
            <w:r>
              <w:rPr>
                <w:rFonts w:ascii="宋体" w:hAnsi="宋体" w:cs="宋体" w:eastAsia="宋体" w:hint="default"/>
                <w:sz w:val="18"/>
                <w:szCs w:val="18"/>
              </w:rPr>
              <w:t>主 要是本期研发人员增加及薪资水平 提高、技术开发费增加所致。</w:t>
            </w:r>
          </w:p>
        </w:tc>
      </w:tr>
      <w:tr>
        <w:trPr>
          <w:trHeight w:val="391" w:hRule="exact"/>
        </w:trPr>
        <w:tc>
          <w:tcPr>
            <w:tcW w:w="1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8" w:hRule="exact"/>
        </w:trPr>
        <w:tc>
          <w:tcPr>
            <w:tcW w:w="1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Heading4"/>
        <w:spacing w:line="240" w:lineRule="auto" w:before="35"/>
        <w:ind w:right="0"/>
        <w:jc w:val="left"/>
        <w:rPr>
          <w:b w:val="0"/>
          <w:bCs w:val="0"/>
        </w:rPr>
      </w:pPr>
      <w:bookmarkStart w:name="4、研发投入" w:id="38"/>
      <w:bookmarkEnd w:id="38"/>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09" w:lineRule="auto" w:before="101"/>
        <w:ind w:right="1033" w:firstLine="360"/>
        <w:jc w:val="left"/>
      </w:pPr>
      <w:r>
        <w:rPr/>
        <w:t>报告期内，公司围绕</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战略，加大研发投入，重视技术创新，提升研发成果转换效率，在</w:t>
      </w:r>
      <w:r>
        <w:rPr>
          <w:rFonts w:ascii="Times New Roman" w:hAnsi="Times New Roman" w:cs="Times New Roman" w:eastAsia="Times New Roman" w:hint="default"/>
        </w:rPr>
        <w:t>MINI</w:t>
      </w:r>
      <w:r>
        <w:rPr>
          <w:rFonts w:ascii="Times New Roman" w:hAnsi="Times New Roman" w:cs="Times New Roman" w:eastAsia="Times New Roman" w:hint="default"/>
          <w:spacing w:val="13"/>
        </w:rPr>
        <w:t> </w:t>
      </w:r>
      <w:r>
        <w:rPr>
          <w:rFonts w:ascii="Times New Roman" w:hAnsi="Times New Roman" w:cs="Times New Roman" w:eastAsia="Times New Roman" w:hint="default"/>
        </w:rPr>
        <w:t>LED</w:t>
      </w:r>
      <w:r>
        <w:rPr/>
        <w:t>、智慧银行、 </w:t>
      </w:r>
      <w:r>
        <w:rPr>
          <w:spacing w:val="-2"/>
        </w:rPr>
        <w:t>智能服务型机器人、智能图像处理阵列、智能亮化控制系统、区块链等领域取得了一批具有核心竞争力的知识产权，进一步</w:t>
      </w:r>
      <w:r>
        <w:rPr>
          <w:spacing w:val="-66"/>
        </w:rPr>
        <w:t> </w:t>
      </w:r>
      <w:r>
        <w:rPr>
          <w:spacing w:val="-66"/>
        </w:rPr>
      </w:r>
      <w:r>
        <w:rPr/>
        <w:t>巩固公司产品和技术在行业的领先地位。</w:t>
      </w:r>
    </w:p>
    <w:p>
      <w:pPr>
        <w:spacing w:line="240" w:lineRule="auto" w:before="0"/>
        <w:rPr>
          <w:rFonts w:ascii="宋体" w:hAnsi="宋体" w:cs="宋体" w:eastAsia="宋体" w:hint="default"/>
          <w:sz w:val="18"/>
          <w:szCs w:val="18"/>
        </w:rPr>
      </w:pPr>
    </w:p>
    <w:p>
      <w:pPr>
        <w:pStyle w:val="BodyText"/>
        <w:spacing w:line="240" w:lineRule="auto" w:before="141"/>
        <w:ind w:right="0"/>
        <w:jc w:val="left"/>
      </w:pPr>
      <w:r>
        <w:rPr/>
        <w:t>公司研发投入情况</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7.06%</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0.21%</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90,029,318.05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67,494,849.69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33.39%</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-0.76%</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资本化研发投入占研发投入 的比例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研发投入总额占营业收入的比重较上年发生显著变化的原因</w:t>
      </w:r>
    </w:p>
    <w:p>
      <w:pPr>
        <w:pStyle w:val="BodyText"/>
        <w:spacing w:line="338" w:lineRule="auto" w:before="117"/>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研发投入资本化率大幅变动的原因及其合理性说明</w:t>
      </w:r>
    </w:p>
    <w:p>
      <w:pPr>
        <w:pStyle w:val="BodyText"/>
        <w:spacing w:line="240" w:lineRule="auto" w:before="43"/>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5、现金流" w:id="39"/>
      <w:bookmarkEnd w:id="39"/>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1,342,258,753.83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919,129,967.92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46.04%</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1,149,342,664.21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909,772,961.55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26.33%</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86"/>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192,916,089.62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9,357,006.37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1,961.73%</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607,571,579.62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50,226,230.23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1,109.67%</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618,272,128.74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266,131,064.53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132.32%</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86"/>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-10,700,549.12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-215,904,834.30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95.04%</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121,904,418.04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242,540,299.38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-49.74%</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172,583,527.88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68,488,286.14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151.99%</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86"/>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-50,679,109.84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174,052,013.24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-129.12%</w:t>
            </w:r>
            <w:r>
              <w:rPr>
                <w:rFonts w:ascii="Times New Roman"/>
                <w:sz w:val="18"/>
              </w:rPr>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138,260,989.00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-44,214,387.62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412.71%</w:t>
            </w:r>
          </w:p>
        </w:tc>
      </w:tr>
    </w:tbl>
    <w:p>
      <w:pPr>
        <w:pStyle w:val="BodyText"/>
        <w:spacing w:line="240" w:lineRule="auto" w:before="51"/>
        <w:ind w:right="0"/>
        <w:jc w:val="left"/>
      </w:pPr>
      <w:r>
        <w:rPr/>
        <w:t>相关数据同比发生重大变动的主要影响因素说明</w:t>
      </w:r>
    </w:p>
    <w:p>
      <w:pPr>
        <w:pStyle w:val="BodyText"/>
        <w:spacing w:line="338" w:lineRule="auto" w:before="117"/>
        <w:ind w:left="514" w:right="1197"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报告期内，公司经营活动产生的现金流量净额为</w:t>
      </w:r>
      <w:r>
        <w:rPr>
          <w:rFonts w:ascii="Times New Roman" w:hAnsi="Times New Roman" w:cs="Times New Roman" w:eastAsia="Times New Roman" w:hint="default"/>
        </w:rPr>
        <w:t>19,291.61</w:t>
      </w:r>
      <w:r>
        <w:rPr/>
        <w:t>万元，同比增加</w:t>
      </w:r>
      <w:r>
        <w:rPr>
          <w:rFonts w:ascii="Times New Roman" w:hAnsi="Times New Roman" w:cs="Times New Roman" w:eastAsia="Times New Roman" w:hint="default"/>
        </w:rPr>
        <w:t>18,356</w:t>
      </w:r>
      <w:r>
        <w:rPr/>
        <w:t>万元，增幅</w:t>
      </w:r>
      <w:r>
        <w:rPr>
          <w:rFonts w:ascii="Times New Roman" w:hAnsi="Times New Roman" w:cs="Times New Roman" w:eastAsia="Times New Roman" w:hint="default"/>
        </w:rPr>
        <w:t>1,961.73%</w:t>
      </w:r>
      <w:r>
        <w:rPr/>
        <w:t>，主要是本期销</w:t>
      </w:r>
    </w:p>
    <w:p>
      <w:pPr>
        <w:pStyle w:val="BodyText"/>
        <w:spacing w:line="218" w:lineRule="exact"/>
        <w:ind w:right="0"/>
        <w:jc w:val="left"/>
      </w:pPr>
      <w:r>
        <w:rPr/>
        <w:t>售规模扩大及加强应收帐款管理，应收帐款回笼同比增长较快所致。</w:t>
      </w:r>
    </w:p>
    <w:p>
      <w:pPr>
        <w:pStyle w:val="BodyText"/>
        <w:spacing w:line="302" w:lineRule="auto" w:before="116"/>
        <w:ind w:right="0" w:firstLine="360"/>
        <w:jc w:val="left"/>
      </w:pPr>
      <w:r>
        <w:rPr>
          <w:spacing w:val="-1"/>
        </w:rPr>
        <w:t>报告期内，公司投资活动产生的现金流量净额为</w:t>
      </w:r>
      <w:r>
        <w:rPr>
          <w:rFonts w:ascii="Times New Roman" w:hAnsi="Times New Roman" w:cs="Times New Roman" w:eastAsia="Times New Roman" w:hint="default"/>
          <w:spacing w:val="-1"/>
        </w:rPr>
        <w:t>-1,070.05</w:t>
      </w:r>
      <w:r>
        <w:rPr>
          <w:spacing w:val="-1"/>
        </w:rPr>
        <w:t>万元，同比增加</w:t>
      </w:r>
      <w:r>
        <w:rPr>
          <w:rFonts w:ascii="Times New Roman" w:hAnsi="Times New Roman" w:cs="Times New Roman" w:eastAsia="Times New Roman" w:hint="default"/>
          <w:spacing w:val="-1"/>
        </w:rPr>
        <w:t>20,520</w:t>
      </w:r>
      <w:r>
        <w:rPr>
          <w:spacing w:val="-1"/>
        </w:rPr>
        <w:t>万元，增幅</w:t>
      </w:r>
      <w:r>
        <w:rPr>
          <w:rFonts w:ascii="Times New Roman" w:hAnsi="Times New Roman" w:cs="Times New Roman" w:eastAsia="Times New Roman" w:hint="default"/>
          <w:spacing w:val="-1"/>
        </w:rPr>
        <w:t>95.04%</w:t>
      </w:r>
      <w:r>
        <w:rPr>
          <w:spacing w:val="-1"/>
        </w:rPr>
        <w:t>，主要是本期银行理</w:t>
      </w:r>
      <w:r>
        <w:rPr/>
        <w:t> 财投资同比减少</w:t>
      </w:r>
      <w:r>
        <w:rPr>
          <w:rFonts w:ascii="Times New Roman" w:hAnsi="Times New Roman" w:cs="Times New Roman" w:eastAsia="Times New Roman" w:hint="default"/>
        </w:rPr>
        <w:t>1.26</w:t>
      </w:r>
      <w:r>
        <w:rPr/>
        <w:t>亿元，上年同期公司实施重大资产重组、向标的公司原股东支付</w:t>
      </w:r>
      <w:r>
        <w:rPr>
          <w:rFonts w:ascii="Times New Roman" w:hAnsi="Times New Roman" w:cs="Times New Roman" w:eastAsia="Times New Roman" w:hint="default"/>
        </w:rPr>
        <w:t>7,500</w:t>
      </w:r>
      <w:r>
        <w:rPr/>
        <w:t>万元对价所致。</w:t>
      </w:r>
    </w:p>
    <w:p>
      <w:pPr>
        <w:pStyle w:val="BodyText"/>
        <w:spacing w:line="302" w:lineRule="auto" w:before="49"/>
        <w:ind w:right="1182" w:firstLine="360"/>
        <w:jc w:val="left"/>
      </w:pPr>
      <w:r>
        <w:rPr/>
        <w:t>报告期内，公司筹资活动产生的现金流量净额为</w:t>
      </w:r>
      <w:r>
        <w:rPr>
          <w:rFonts w:ascii="Times New Roman" w:hAnsi="Times New Roman" w:cs="Times New Roman" w:eastAsia="Times New Roman" w:hint="default"/>
        </w:rPr>
        <w:t>-5,067.91</w:t>
      </w:r>
      <w:r>
        <w:rPr/>
        <w:t>万元，同比减少</w:t>
      </w:r>
      <w:r>
        <w:rPr>
          <w:rFonts w:ascii="Times New Roman" w:hAnsi="Times New Roman" w:cs="Times New Roman" w:eastAsia="Times New Roman" w:hint="default"/>
        </w:rPr>
        <w:t>22,473</w:t>
      </w:r>
      <w:r>
        <w:rPr/>
        <w:t>万元，降幅</w:t>
      </w:r>
      <w:r>
        <w:rPr>
          <w:rFonts w:ascii="Times New Roman" w:hAnsi="Times New Roman" w:cs="Times New Roman" w:eastAsia="Times New Roman" w:hint="default"/>
        </w:rPr>
        <w:t>129.12%</w:t>
      </w:r>
      <w:r>
        <w:rPr/>
        <w:t>，主要是上年同期 非公开发行股份、收到募集资金</w:t>
      </w:r>
      <w:r>
        <w:rPr>
          <w:rFonts w:ascii="Times New Roman" w:hAnsi="Times New Roman" w:cs="Times New Roman" w:eastAsia="Times New Roman" w:hint="default"/>
        </w:rPr>
        <w:t>1.36</w:t>
      </w:r>
      <w:r>
        <w:rPr/>
        <w:t>亿元；本期偿还借款同比增加</w:t>
      </w:r>
      <w:r>
        <w:rPr>
          <w:rFonts w:ascii="Times New Roman" w:hAnsi="Times New Roman" w:cs="Times New Roman" w:eastAsia="Times New Roman" w:hint="default"/>
        </w:rPr>
        <w:t>7,500</w:t>
      </w:r>
      <w:r>
        <w:rPr/>
        <w:t>万元、分配股利同比增加</w:t>
      </w:r>
      <w:r>
        <w:rPr>
          <w:rFonts w:ascii="Times New Roman" w:hAnsi="Times New Roman" w:cs="Times New Roman" w:eastAsia="Times New Roman" w:hint="default"/>
        </w:rPr>
        <w:t>2,070</w:t>
      </w:r>
      <w:r>
        <w:rPr/>
        <w:t>万元所致。</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pStyle w:val="BodyText"/>
        <w:spacing w:line="240" w:lineRule="auto"/>
        <w:ind w:right="0"/>
        <w:jc w:val="left"/>
      </w:pPr>
      <w:r>
        <w:rPr/>
        <w:t>报告期内公司经营活动产生的现金净流量与本年度净利润存在重大差异的原因说明</w:t>
      </w:r>
    </w:p>
    <w:p>
      <w:pPr>
        <w:pStyle w:val="BodyText"/>
        <w:spacing w:line="240" w:lineRule="auto" w:before="116"/>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left"/>
        <w:rPr>
          <w:b w:val="0"/>
          <w:bCs w:val="0"/>
        </w:rPr>
      </w:pPr>
      <w:bookmarkStart w:name="三、非主营业务分析" w:id="40"/>
      <w:bookmarkEnd w:id="40"/>
      <w:r>
        <w:rPr>
          <w:b w:val="0"/>
          <w:bCs w:val="0"/>
        </w:rPr>
      </w:r>
      <w:r>
        <w:rPr/>
        <w:t>三、非主营业务分析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12"/>
        <w:gridCol w:w="1916"/>
        <w:gridCol w:w="1623"/>
        <w:gridCol w:w="2254"/>
        <w:gridCol w:w="2254"/>
      </w:tblGrid>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76"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1"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2"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3,057,287.69</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1.48%</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理财收益所致</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可持续</w:t>
            </w:r>
          </w:p>
        </w:tc>
      </w:tr>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-364,050.00</w:t>
            </w:r>
            <w:r>
              <w:rPr>
                <w:rFonts w:ascii="Times New Roman"/>
                <w:sz w:val="18"/>
              </w:rPr>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-0.18%</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外汇掉期交易所致</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不可持续</w:t>
            </w:r>
          </w:p>
        </w:tc>
      </w:tr>
      <w:tr>
        <w:trPr>
          <w:trHeight w:val="161"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41" w:right="0"/>
              <w:jc w:val="left"/>
              <w:rPr>
                <w:rFonts w:ascii="Times New Roman" w:hAnsi="Times New Roman" w:cs="Times New Roman" w:eastAsia="Times New Roman" w:hint="default"/>
                <w:sz w:val="18"/>
                <w:szCs w:val="18"/>
              </w:rPr>
            </w:pPr>
            <w:r>
              <w:rPr>
                <w:rFonts w:ascii="Times New Roman"/>
                <w:sz w:val="18"/>
              </w:rPr>
              <w:t>27,588,130.77</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6" w:right="0"/>
              <w:jc w:val="left"/>
              <w:rPr>
                <w:rFonts w:ascii="Times New Roman" w:hAnsi="Times New Roman" w:cs="Times New Roman" w:eastAsia="Times New Roman" w:hint="default"/>
                <w:sz w:val="18"/>
                <w:szCs w:val="18"/>
              </w:rPr>
            </w:pPr>
            <w:r>
              <w:rPr>
                <w:rFonts w:ascii="Times New Roman"/>
                <w:sz w:val="18"/>
              </w:rPr>
              <w:t>13.37%</w:t>
            </w:r>
          </w:p>
        </w:tc>
        <w:tc>
          <w:tcPr>
            <w:tcW w:w="2254"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58"/>
              <w:jc w:val="left"/>
              <w:rPr>
                <w:rFonts w:ascii="宋体" w:hAnsi="宋体" w:cs="宋体" w:eastAsia="宋体" w:hint="default"/>
                <w:sz w:val="18"/>
                <w:szCs w:val="18"/>
              </w:rPr>
            </w:pPr>
            <w:r>
              <w:rPr>
                <w:rFonts w:ascii="宋体" w:hAnsi="宋体" w:cs="宋体" w:eastAsia="宋体" w:hint="default"/>
                <w:sz w:val="18"/>
                <w:szCs w:val="18"/>
              </w:rPr>
              <w:t>应收款项计提坏帐、存货计 提跌价所致</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可持续</w:t>
            </w:r>
          </w:p>
        </w:tc>
      </w:tr>
      <w:tr>
        <w:trPr>
          <w:trHeight w:val="392"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161"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1" w:right="0"/>
              <w:jc w:val="left"/>
              <w:rPr>
                <w:rFonts w:ascii="Times New Roman" w:hAnsi="Times New Roman" w:cs="Times New Roman" w:eastAsia="Times New Roman" w:hint="default"/>
                <w:sz w:val="18"/>
                <w:szCs w:val="18"/>
              </w:rPr>
            </w:pPr>
            <w:r>
              <w:rPr>
                <w:rFonts w:ascii="Times New Roman"/>
                <w:sz w:val="18"/>
              </w:rPr>
              <w:t>1,276,849.78</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0.62%</w:t>
            </w:r>
          </w:p>
        </w:tc>
        <w:tc>
          <w:tcPr>
            <w:tcW w:w="2254"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58"/>
              <w:jc w:val="left"/>
              <w:rPr>
                <w:rFonts w:ascii="宋体" w:hAnsi="宋体" w:cs="宋体" w:eastAsia="宋体" w:hint="default"/>
                <w:sz w:val="18"/>
                <w:szCs w:val="18"/>
              </w:rPr>
            </w:pPr>
            <w:r>
              <w:rPr>
                <w:rFonts w:ascii="宋体" w:hAnsi="宋体" w:cs="宋体" w:eastAsia="宋体" w:hint="default"/>
                <w:sz w:val="18"/>
                <w:szCs w:val="18"/>
              </w:rPr>
              <w:t>政府补助、处理固定资产收 益及其它</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不可持续</w:t>
            </w:r>
          </w:p>
        </w:tc>
      </w:tr>
      <w:tr>
        <w:trPr>
          <w:trHeight w:val="392"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161"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66" w:right="0"/>
              <w:jc w:val="left"/>
              <w:rPr>
                <w:rFonts w:ascii="Times New Roman" w:hAnsi="Times New Roman" w:cs="Times New Roman" w:eastAsia="Times New Roman" w:hint="default"/>
                <w:sz w:val="18"/>
                <w:szCs w:val="18"/>
              </w:rPr>
            </w:pPr>
            <w:r>
              <w:rPr>
                <w:rFonts w:ascii="Times New Roman"/>
                <w:sz w:val="18"/>
              </w:rPr>
              <w:t>536,823.44</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0.26%</w:t>
            </w:r>
          </w:p>
        </w:tc>
        <w:tc>
          <w:tcPr>
            <w:tcW w:w="2254"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58"/>
              <w:jc w:val="left"/>
              <w:rPr>
                <w:rFonts w:ascii="宋体" w:hAnsi="宋体" w:cs="宋体" w:eastAsia="宋体" w:hint="default"/>
                <w:sz w:val="18"/>
                <w:szCs w:val="18"/>
              </w:rPr>
            </w:pPr>
            <w:r>
              <w:rPr>
                <w:rFonts w:ascii="宋体" w:hAnsi="宋体" w:cs="宋体" w:eastAsia="宋体" w:hint="default"/>
                <w:sz w:val="18"/>
                <w:szCs w:val="18"/>
              </w:rPr>
              <w:t>固定资产处置损失、违约滞 纳金及其它</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不可持续</w:t>
            </w:r>
          </w:p>
        </w:tc>
      </w:tr>
      <w:tr>
        <w:trPr>
          <w:trHeight w:val="392"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402" w:hRule="exact"/>
        </w:trPr>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15,393,206.27</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7.46%</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政府补助、软件退税</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可持续</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四、资产及负债状况分析" w:id="41"/>
      <w:bookmarkEnd w:id="41"/>
      <w:r>
        <w:rPr>
          <w:b w:val="0"/>
          <w:bCs w:val="0"/>
        </w:rPr>
      </w:r>
      <w:r>
        <w:rPr/>
        <w:t>四、资产及负债状况分析</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资产构成重大变动情况" w:id="42"/>
      <w:bookmarkEnd w:id="42"/>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ind w:left="0" w:right="1138"/>
        <w:jc w:val="right"/>
      </w:pPr>
      <w:r>
        <w:rPr/>
        <w:pict>
          <v:shape style="position:absolute;margin-left:57.029999pt;margin-top:-201.668274pt;width:478.65pt;height:346.45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65"/>
                    <w:gridCol w:w="1256"/>
                    <w:gridCol w:w="1063"/>
                    <w:gridCol w:w="1196"/>
                    <w:gridCol w:w="1063"/>
                    <w:gridCol w:w="798"/>
                    <w:gridCol w:w="2918"/>
                  </w:tblGrid>
                  <w:tr>
                    <w:trPr>
                      <w:trHeight w:val="380" w:hRule="exact"/>
                    </w:trPr>
                    <w:tc>
                      <w:tcPr>
                        <w:tcW w:w="1265" w:type="dxa"/>
                        <w:tcBorders>
                          <w:top w:val="single" w:sz="4" w:space="0" w:color="000000"/>
                          <w:left w:val="single" w:sz="4" w:space="0" w:color="000000"/>
                          <w:bottom w:val="single" w:sz="14" w:space="0" w:color="FFFFFF"/>
                          <w:right w:val="single" w:sz="4" w:space="0" w:color="000000"/>
                        </w:tcBorders>
                        <w:shd w:val="clear" w:color="auto" w:fill="D2D2D2"/>
                      </w:tcPr>
                      <w:p>
                        <w:pPr/>
                      </w:p>
                    </w:tc>
                    <w:tc>
                      <w:tcPr>
                        <w:tcW w:w="2320" w:type="dxa"/>
                        <w:gridSpan w:val="2"/>
                        <w:tcBorders>
                          <w:top w:val="single" w:sz="4" w:space="0" w:color="000000"/>
                          <w:left w:val="single" w:sz="4" w:space="0" w:color="000000"/>
                          <w:bottom w:val="single" w:sz="14" w:space="0" w:color="FFFFFF"/>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14" w:space="0" w:color="FFFFFF"/>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798" w:type="dxa"/>
                        <w:tcBorders>
                          <w:top w:val="single" w:sz="4" w:space="0" w:color="000000"/>
                          <w:left w:val="single" w:sz="4" w:space="0" w:color="000000"/>
                          <w:bottom w:val="single" w:sz="14" w:space="0" w:color="FFFFFF"/>
                          <w:right w:val="single" w:sz="4" w:space="0" w:color="000000"/>
                        </w:tcBorders>
                        <w:shd w:val="clear" w:color="auto" w:fill="D2D2D2"/>
                      </w:tcPr>
                      <w:p>
                        <w:pPr/>
                      </w:p>
                    </w:tc>
                    <w:tc>
                      <w:tcPr>
                        <w:tcW w:w="2918" w:type="dxa"/>
                        <w:tcBorders>
                          <w:top w:val="single" w:sz="4" w:space="0" w:color="000000"/>
                          <w:left w:val="single" w:sz="4" w:space="0" w:color="000000"/>
                          <w:bottom w:val="single" w:sz="14" w:space="0" w:color="FFFFFF"/>
                          <w:right w:val="single" w:sz="4" w:space="0" w:color="000000"/>
                        </w:tcBorders>
                        <w:shd w:val="clear" w:color="auto" w:fill="D2D2D2"/>
                      </w:tcPr>
                      <w:p>
                        <w:pPr/>
                      </w:p>
                    </w:tc>
                  </w:tr>
                  <w:tr>
                    <w:trPr>
                      <w:trHeight w:val="184" w:hRule="exact"/>
                    </w:trPr>
                    <w:tc>
                      <w:tcPr>
                        <w:tcW w:w="1265" w:type="dxa"/>
                        <w:vMerge w:val="restart"/>
                        <w:tcBorders>
                          <w:top w:val="single" w:sz="14" w:space="0" w:color="FFFFFF"/>
                          <w:left w:val="single" w:sz="4" w:space="0" w:color="000000"/>
                          <w:right w:val="single" w:sz="4" w:space="0" w:color="000000"/>
                        </w:tcBorders>
                        <w:shd w:val="clear" w:color="auto" w:fill="D2D2D2"/>
                      </w:tcPr>
                      <w:p>
                        <w:pPr/>
                      </w:p>
                    </w:tc>
                    <w:tc>
                      <w:tcPr>
                        <w:tcW w:w="1256" w:type="dxa"/>
                        <w:tcBorders>
                          <w:top w:val="single" w:sz="14" w:space="0" w:color="FFFFFF"/>
                          <w:left w:val="single" w:sz="4" w:space="0" w:color="000000"/>
                          <w:bottom w:val="nil" w:sz="6" w:space="0" w:color="auto"/>
                          <w:right w:val="single" w:sz="4" w:space="0" w:color="000000"/>
                        </w:tcBorders>
                        <w:shd w:val="clear" w:color="auto" w:fill="D2D2D2"/>
                      </w:tcPr>
                      <w:p>
                        <w:pPr/>
                      </w:p>
                    </w:tc>
                    <w:tc>
                      <w:tcPr>
                        <w:tcW w:w="1063" w:type="dxa"/>
                        <w:vMerge w:val="restart"/>
                        <w:tcBorders>
                          <w:top w:val="single" w:sz="14" w:space="0" w:color="FFFFFF"/>
                          <w:left w:val="single" w:sz="4" w:space="0" w:color="000000"/>
                          <w:right w:val="single" w:sz="4" w:space="0" w:color="000000"/>
                        </w:tcBorders>
                        <w:shd w:val="clear" w:color="auto" w:fill="D2D2D2"/>
                      </w:tcPr>
                      <w:p>
                        <w:pPr>
                          <w:pStyle w:val="TableParagraph"/>
                          <w:spacing w:line="316" w:lineRule="auto" w:before="61"/>
                          <w:ind w:left="435" w:right="77"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196" w:type="dxa"/>
                        <w:tcBorders>
                          <w:top w:val="single" w:sz="14" w:space="0" w:color="FFFFFF"/>
                          <w:left w:val="single" w:sz="4" w:space="0" w:color="000000"/>
                          <w:bottom w:val="nil" w:sz="6" w:space="0" w:color="auto"/>
                          <w:right w:val="single" w:sz="4" w:space="0" w:color="000000"/>
                        </w:tcBorders>
                        <w:shd w:val="clear" w:color="auto" w:fill="D2D2D2"/>
                      </w:tcPr>
                      <w:p>
                        <w:pPr/>
                      </w:p>
                    </w:tc>
                    <w:tc>
                      <w:tcPr>
                        <w:tcW w:w="1063" w:type="dxa"/>
                        <w:vMerge w:val="restart"/>
                        <w:tcBorders>
                          <w:top w:val="single" w:sz="14" w:space="0" w:color="FFFFFF"/>
                          <w:left w:val="single" w:sz="4" w:space="0" w:color="000000"/>
                          <w:right w:val="single" w:sz="4" w:space="0" w:color="000000"/>
                        </w:tcBorders>
                        <w:shd w:val="clear" w:color="auto" w:fill="D2D2D2"/>
                      </w:tcPr>
                      <w:p>
                        <w:pPr>
                          <w:pStyle w:val="TableParagraph"/>
                          <w:spacing w:line="316" w:lineRule="auto" w:before="61"/>
                          <w:ind w:left="435" w:right="77"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798"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15"/>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8"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15"/>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1" w:hRule="exact"/>
                    </w:trPr>
                    <w:tc>
                      <w:tcPr>
                        <w:tcW w:w="1265" w:type="dxa"/>
                        <w:vMerge/>
                        <w:tcBorders>
                          <w:left w:val="single" w:sz="4" w:space="0" w:color="000000"/>
                          <w:bottom w:val="nil" w:sz="6" w:space="0" w:color="auto"/>
                          <w:right w:val="single" w:sz="4" w:space="0" w:color="000000"/>
                        </w:tcBorders>
                        <w:shd w:val="clear" w:color="auto" w:fill="D2D2D2"/>
                      </w:tcPr>
                      <w:p>
                        <w:pPr/>
                      </w:p>
                    </w:tc>
                    <w:tc>
                      <w:tcPr>
                        <w:tcW w:w="125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2918"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265" w:type="dxa"/>
                        <w:vMerge w:val="restart"/>
                        <w:tcBorders>
                          <w:top w:val="nil" w:sz="6" w:space="0" w:color="auto"/>
                          <w:left w:val="single" w:sz="4" w:space="0" w:color="000000"/>
                          <w:right w:val="single" w:sz="4" w:space="0" w:color="000000"/>
                        </w:tcBorders>
                        <w:shd w:val="clear" w:color="auto" w:fill="D2D2D2"/>
                      </w:tcPr>
                      <w:p>
                        <w:pPr/>
                      </w:p>
                    </w:tc>
                    <w:tc>
                      <w:tcPr>
                        <w:tcW w:w="1256"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
                    </w:tc>
                    <w:tc>
                      <w:tcPr>
                        <w:tcW w:w="2918"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265" w:type="dxa"/>
                        <w:vMerge/>
                        <w:tcBorders>
                          <w:left w:val="single" w:sz="4" w:space="0" w:color="000000"/>
                          <w:bottom w:val="single" w:sz="4" w:space="0" w:color="000000"/>
                          <w:right w:val="single" w:sz="4" w:space="0" w:color="000000"/>
                        </w:tcBorders>
                        <w:shd w:val="clear" w:color="auto" w:fill="D2D2D2"/>
                      </w:tcPr>
                      <w:p>
                        <w:pPr/>
                      </w:p>
                    </w:tc>
                    <w:tc>
                      <w:tcPr>
                        <w:tcW w:w="125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2918" w:type="dxa"/>
                        <w:vMerge/>
                        <w:tcBorders>
                          <w:left w:val="single" w:sz="4" w:space="0" w:color="000000"/>
                          <w:bottom w:val="single" w:sz="4" w:space="0" w:color="000000"/>
                          <w:right w:val="single" w:sz="4" w:space="0" w:color="000000"/>
                        </w:tcBorders>
                        <w:shd w:val="clear" w:color="auto" w:fill="D2D2D2"/>
                      </w:tcPr>
                      <w:p>
                        <w:pPr/>
                      </w:p>
                    </w:tc>
                  </w:tr>
                  <w:tr>
                    <w:trPr>
                      <w:trHeight w:val="317" w:hRule="exact"/>
                    </w:trPr>
                    <w:tc>
                      <w:tcPr>
                        <w:tcW w:w="12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56"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463,500,284.85</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20.43%</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328,155,120.71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18.30%</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99" w:right="0"/>
                          <w:jc w:val="left"/>
                          <w:rPr>
                            <w:rFonts w:ascii="Times New Roman" w:hAnsi="Times New Roman" w:cs="Times New Roman" w:eastAsia="Times New Roman" w:hint="default"/>
                            <w:sz w:val="18"/>
                            <w:szCs w:val="18"/>
                          </w:rPr>
                        </w:pPr>
                        <w:r>
                          <w:rPr>
                            <w:rFonts w:ascii="Times New Roman"/>
                            <w:sz w:val="18"/>
                          </w:rPr>
                          <w:t>2.13%</w:t>
                        </w:r>
                      </w:p>
                    </w:tc>
                    <w:tc>
                      <w:tcPr>
                        <w:tcW w:w="2918" w:type="dxa"/>
                        <w:vMerge w:val="restart"/>
                        <w:tcBorders>
                          <w:top w:val="single" w:sz="4" w:space="0" w:color="000000"/>
                          <w:left w:val="single" w:sz="4" w:space="0" w:color="000000"/>
                          <w:right w:val="single" w:sz="4" w:space="0" w:color="000000"/>
                        </w:tcBorders>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较年初增加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13,535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万元，增幅 </w:t>
                        </w:r>
                        <w:r>
                          <w:rPr>
                            <w:rFonts w:ascii="Times New Roman" w:hAnsi="Times New Roman" w:cs="Times New Roman" w:eastAsia="Times New Roman" w:hint="default"/>
                            <w:spacing w:val="-2"/>
                            <w:sz w:val="18"/>
                            <w:szCs w:val="18"/>
                          </w:rPr>
                          <w:t>41.24%</w:t>
                        </w:r>
                        <w:r>
                          <w:rPr>
                            <w:rFonts w:ascii="宋体" w:hAnsi="宋体" w:cs="宋体" w:eastAsia="宋体" w:hint="default"/>
                            <w:spacing w:val="-2"/>
                            <w:sz w:val="18"/>
                            <w:szCs w:val="18"/>
                          </w:rPr>
                          <w:t>，主要是应收账款回笼加快所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致。</w:t>
                        </w:r>
                      </w:p>
                    </w:tc>
                  </w:tr>
                  <w:tr>
                    <w:trPr>
                      <w:trHeight w:val="392" w:hRule="exact"/>
                    </w:trPr>
                    <w:tc>
                      <w:tcPr>
                        <w:tcW w:w="12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256"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2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56"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317" w:hRule="exact"/>
                    </w:trPr>
                    <w:tc>
                      <w:tcPr>
                        <w:tcW w:w="12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56"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869,801,744.37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38.33%</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506,285,252.32</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28.23%</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9" w:right="0"/>
                          <w:jc w:val="left"/>
                          <w:rPr>
                            <w:rFonts w:ascii="Times New Roman" w:hAnsi="Times New Roman" w:cs="Times New Roman" w:eastAsia="Times New Roman" w:hint="default"/>
                            <w:sz w:val="18"/>
                            <w:szCs w:val="18"/>
                          </w:rPr>
                        </w:pPr>
                        <w:r>
                          <w:rPr>
                            <w:rFonts w:ascii="Times New Roman"/>
                            <w:sz w:val="18"/>
                          </w:rPr>
                          <w:t>10.10%</w:t>
                        </w:r>
                      </w:p>
                    </w:tc>
                    <w:tc>
                      <w:tcPr>
                        <w:tcW w:w="2918" w:type="dxa"/>
                        <w:vMerge w:val="restart"/>
                        <w:tcBorders>
                          <w:top w:val="single" w:sz="4" w:space="0" w:color="000000"/>
                          <w:left w:val="single" w:sz="4" w:space="0" w:color="000000"/>
                          <w:right w:val="single" w:sz="4" w:space="0" w:color="000000"/>
                        </w:tcBorders>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较年初增加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36,352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万元，增幅 </w:t>
                        </w:r>
                        <w:r>
                          <w:rPr>
                            <w:rFonts w:ascii="Times New Roman" w:hAnsi="Times New Roman" w:cs="Times New Roman" w:eastAsia="Times New Roman" w:hint="default"/>
                            <w:spacing w:val="-2"/>
                            <w:sz w:val="18"/>
                            <w:szCs w:val="18"/>
                          </w:rPr>
                          <w:t>71.80%</w:t>
                        </w:r>
                        <w:r>
                          <w:rPr>
                            <w:rFonts w:ascii="宋体" w:hAnsi="宋体" w:cs="宋体" w:eastAsia="宋体" w:hint="default"/>
                            <w:spacing w:val="-2"/>
                            <w:sz w:val="18"/>
                            <w:szCs w:val="18"/>
                          </w:rPr>
                          <w:t>，主要是本期营业收入增长较</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快，致期末应收账款增加。</w:t>
                        </w:r>
                      </w:p>
                    </w:tc>
                  </w:tr>
                  <w:tr>
                    <w:trPr>
                      <w:trHeight w:val="392" w:hRule="exact"/>
                    </w:trPr>
                    <w:tc>
                      <w:tcPr>
                        <w:tcW w:w="12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256"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2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56"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402"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233,094,230.84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10.27%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231,557,258.67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12.91%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-2.64%</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26,782,166.04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26,528,401.90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73" w:hRule="exact"/>
                    </w:trPr>
                    <w:tc>
                      <w:tcPr>
                        <w:tcW w:w="12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56"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73" w:right="0"/>
                          <w:jc w:val="left"/>
                          <w:rPr>
                            <w:rFonts w:ascii="Times New Roman" w:hAnsi="Times New Roman" w:cs="Times New Roman" w:eastAsia="Times New Roman" w:hint="default"/>
                            <w:sz w:val="18"/>
                            <w:szCs w:val="18"/>
                          </w:rPr>
                        </w:pPr>
                        <w:r>
                          <w:rPr>
                            <w:rFonts w:ascii="Times New Roman"/>
                            <w:sz w:val="18"/>
                          </w:rPr>
                          <w:t>3,556,443.61</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z w:val="18"/>
                          </w:rPr>
                          <w:t>0.16%</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17" w:right="0"/>
                          <w:jc w:val="left"/>
                          <w:rPr>
                            <w:rFonts w:ascii="Times New Roman" w:hAnsi="Times New Roman" w:cs="Times New Roman" w:eastAsia="Times New Roman" w:hint="default"/>
                            <w:sz w:val="18"/>
                            <w:szCs w:val="18"/>
                          </w:rPr>
                        </w:pPr>
                        <w:r>
                          <w:rPr>
                            <w:rFonts w:ascii="Times New Roman"/>
                            <w:sz w:val="18"/>
                          </w:rPr>
                          <w:t>1,177,449.00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z w:val="18"/>
                          </w:rPr>
                          <w:t>0.07%</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99" w:right="0"/>
                          <w:jc w:val="left"/>
                          <w:rPr>
                            <w:rFonts w:ascii="Times New Roman" w:hAnsi="Times New Roman" w:cs="Times New Roman" w:eastAsia="Times New Roman" w:hint="default"/>
                            <w:sz w:val="18"/>
                            <w:szCs w:val="18"/>
                          </w:rPr>
                        </w:pPr>
                        <w:r>
                          <w:rPr>
                            <w:rFonts w:ascii="Times New Roman"/>
                            <w:sz w:val="18"/>
                          </w:rPr>
                          <w:t>0.09%</w:t>
                        </w:r>
                      </w:p>
                    </w:tc>
                    <w:tc>
                      <w:tcPr>
                        <w:tcW w:w="2918" w:type="dxa"/>
                        <w:vMerge w:val="restart"/>
                        <w:tcBorders>
                          <w:top w:val="single" w:sz="4" w:space="0" w:color="000000"/>
                          <w:left w:val="single" w:sz="4" w:space="0" w:color="000000"/>
                          <w:right w:val="single" w:sz="4" w:space="0" w:color="000000"/>
                        </w:tcBorders>
                      </w:tcPr>
                      <w:p>
                        <w:pPr>
                          <w:pStyle w:val="TableParagraph"/>
                          <w:spacing w:line="300" w:lineRule="auto" w:before="51"/>
                          <w:ind w:left="22" w:right="102"/>
                          <w:jc w:val="both"/>
                          <w:rPr>
                            <w:rFonts w:ascii="宋体" w:hAnsi="宋体" w:cs="宋体" w:eastAsia="宋体" w:hint="default"/>
                            <w:sz w:val="18"/>
                            <w:szCs w:val="18"/>
                          </w:rPr>
                        </w:pPr>
                        <w:r>
                          <w:rPr>
                            <w:rFonts w:ascii="宋体" w:hAnsi="宋体" w:cs="宋体" w:eastAsia="宋体" w:hint="default"/>
                            <w:sz w:val="18"/>
                            <w:szCs w:val="18"/>
                          </w:rPr>
                          <w:t>较年初增加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238</w:t>
                        </w:r>
                        <w:r>
                          <w:rPr>
                            <w:rFonts w:ascii="Times New Roman" w:hAnsi="Times New Roman" w:cs="Times New Roman" w:eastAsia="Times New Roman" w:hint="default"/>
                            <w:spacing w:val="-1"/>
                            <w:sz w:val="18"/>
                            <w:szCs w:val="18"/>
                          </w:rPr>
                          <w:t> </w:t>
                        </w:r>
                        <w:r>
                          <w:rPr>
                            <w:rFonts w:ascii="宋体" w:hAnsi="宋体" w:cs="宋体" w:eastAsia="宋体" w:hint="default"/>
                            <w:spacing w:val="-16"/>
                            <w:sz w:val="18"/>
                            <w:szCs w:val="18"/>
                          </w:rPr>
                          <w:t>万元，增幅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202.05% </w:t>
                        </w:r>
                        <w:r>
                          <w:rPr>
                            <w:rFonts w:ascii="宋体" w:hAnsi="宋体" w:cs="宋体" w:eastAsia="宋体" w:hint="default"/>
                            <w:sz w:val="18"/>
                            <w:szCs w:val="18"/>
                          </w:rPr>
                          <w:t>主要是：千百辉本期向</w:t>
                        </w:r>
                        <w:r>
                          <w:rPr>
                            <w:rFonts w:ascii="Times New Roman" w:hAnsi="Times New Roman" w:cs="Times New Roman" w:eastAsia="Times New Roman" w:hint="default"/>
                            <w:sz w:val="18"/>
                            <w:szCs w:val="18"/>
                          </w:rPr>
                          <w:t>“</w:t>
                        </w:r>
                        <w:r>
                          <w:rPr>
                            <w:rFonts w:ascii="宋体" w:hAnsi="宋体" w:cs="宋体" w:eastAsia="宋体" w:hint="default"/>
                            <w:sz w:val="18"/>
                            <w:szCs w:val="18"/>
                          </w:rPr>
                          <w:t>内蒙古中基 智慧城市建设有限公司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投资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pStyle w:val="TableParagraph"/>
                          <w:spacing w:line="240" w:lineRule="auto" w:before="14"/>
                          <w:ind w:left="22" w:right="0"/>
                          <w:jc w:val="both"/>
                          <w:rPr>
                            <w:rFonts w:ascii="宋体" w:hAnsi="宋体" w:cs="宋体" w:eastAsia="宋体" w:hint="default"/>
                            <w:sz w:val="18"/>
                            <w:szCs w:val="18"/>
                          </w:rPr>
                        </w:pPr>
                        <w:r>
                          <w:rPr>
                            <w:rFonts w:ascii="宋体" w:hAnsi="宋体" w:cs="宋体" w:eastAsia="宋体" w:hint="default"/>
                            <w:sz w:val="18"/>
                            <w:szCs w:val="18"/>
                          </w:rPr>
                          <w:t>元，另外确认投资损失</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万元所致</w:t>
                        </w:r>
                      </w:p>
                    </w:tc>
                  </w:tr>
                  <w:tr>
                    <w:trPr>
                      <w:trHeight w:val="392" w:hRule="exact"/>
                    </w:trPr>
                    <w:tc>
                      <w:tcPr>
                        <w:tcW w:w="12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256" w:type="dxa"/>
                        <w:vMerge/>
                        <w:tcBorders>
                          <w:left w:val="single" w:sz="9" w:space="0" w:color="D2D2D2"/>
                          <w:right w:val="single" w:sz="4" w:space="0" w:color="000000"/>
                        </w:tcBorders>
                      </w:tcPr>
                      <w:p>
                        <w:pPr/>
                      </w:p>
                    </w:tc>
                    <w:tc>
                      <w:tcPr>
                        <w:tcW w:w="1063"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473" w:hRule="exact"/>
                    </w:trPr>
                    <w:tc>
                      <w:tcPr>
                        <w:tcW w:w="12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56" w:type="dxa"/>
                        <w:vMerge/>
                        <w:tcBorders>
                          <w:left w:val="single" w:sz="9" w:space="0" w:color="D2D2D2"/>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402"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161,777,040.12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164,002,912.81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9.14%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-2.01%</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256" w:type="dxa"/>
                        <w:tcBorders>
                          <w:top w:val="single" w:sz="4" w:space="0" w:color="000000"/>
                          <w:left w:val="single" w:sz="13" w:space="0" w:color="D2D2D2"/>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5.58%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-1.17%</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256" w:type="dxa"/>
                        <w:tcBorders>
                          <w:top w:val="single" w:sz="4" w:space="0" w:color="000000"/>
                          <w:left w:val="single" w:sz="13" w:space="0" w:color="D2D2D2"/>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2918" w:type="dxa"/>
                        <w:tcBorders>
                          <w:top w:val="single" w:sz="4" w:space="0" w:color="000000"/>
                          <w:left w:val="single" w:sz="4" w:space="0" w:color="000000"/>
                          <w:bottom w:val="single" w:sz="4" w:space="0" w:color="000000"/>
                          <w:right w:val="single" w:sz="4" w:space="0" w:color="000000"/>
                        </w:tcBorders>
                      </w:tcPr>
                      <w:p>
                        <w:pP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p>
      <w:pPr>
        <w:pStyle w:val="BodyText"/>
        <w:spacing w:line="240" w:lineRule="auto"/>
        <w:ind w:left="0" w:right="1138"/>
        <w:jc w:val="right"/>
      </w:pPr>
      <w:r>
        <w:rPr/>
        <w:t>。</w:t>
      </w:r>
    </w:p>
    <w:p>
      <w:pPr>
        <w:spacing w:after="0" w:line="240" w:lineRule="auto"/>
        <w:jc w:val="righ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2、以公允价值计量的资产和负债" w:id="43"/>
      <w:bookmarkEnd w:id="43"/>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8"/>
        <w:rPr>
          <w:rFonts w:ascii="宋体" w:hAnsi="宋体" w:cs="宋体" w:eastAsia="宋体" w:hint="default"/>
          <w:b/>
          <w:bCs/>
          <w:sz w:val="26"/>
          <w:szCs w:val="26"/>
        </w:rPr>
      </w:pPr>
    </w:p>
    <w:p>
      <w:pPr>
        <w:spacing w:line="544" w:lineRule="auto" w:before="0"/>
        <w:ind w:left="154" w:right="72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bookmarkStart w:name="3、截至报告期末的资产权利受限情况" w:id="44"/>
      <w:bookmarkEnd w:id="44"/>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、截至报告期末的资产权利受限情况</w:t>
      </w:r>
      <w:r>
        <w:rPr>
          <w:rFonts w:ascii="宋体" w:hAnsi="宋体" w:cs="宋体" w:eastAsia="宋体" w:hint="default"/>
          <w:b/>
          <w:bCs/>
          <w:w w:val="99"/>
          <w:sz w:val="21"/>
          <w:szCs w:val="21"/>
        </w:rPr>
        <w:t> </w:t>
      </w:r>
      <w:r>
        <w:rPr>
          <w:rFonts w:ascii="宋体" w:hAnsi="宋体" w:cs="宋体" w:eastAsia="宋体" w:hint="default"/>
          <w:sz w:val="18"/>
          <w:szCs w:val="18"/>
        </w:rPr>
        <w:t>无。</w:t>
      </w:r>
    </w:p>
    <w:p>
      <w:pPr>
        <w:pStyle w:val="Heading2"/>
        <w:spacing w:line="240" w:lineRule="auto" w:before="100"/>
        <w:ind w:right="0"/>
        <w:jc w:val="left"/>
        <w:rPr>
          <w:b w:val="0"/>
          <w:bCs w:val="0"/>
        </w:rPr>
      </w:pPr>
      <w:bookmarkStart w:name="五、投资状况分析" w:id="45"/>
      <w:bookmarkEnd w:id="45"/>
      <w:r>
        <w:rPr>
          <w:b w:val="0"/>
          <w:bCs w:val="0"/>
        </w:rPr>
      </w:r>
      <w:r>
        <w:rPr/>
        <w:t>五、投资状况分析</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总体情况" w:id="46"/>
      <w:bookmarkEnd w:id="46"/>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86,401,300.00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-88.42%</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报告期内获取的重大的股权投资情况" w:id="47"/>
      <w:bookmarkEnd w:id="47"/>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654"/>
        <w:gridCol w:w="652"/>
        <w:gridCol w:w="623"/>
        <w:gridCol w:w="622"/>
        <w:gridCol w:w="622"/>
        <w:gridCol w:w="623"/>
        <w:gridCol w:w="618"/>
        <w:gridCol w:w="616"/>
        <w:gridCol w:w="618"/>
        <w:gridCol w:w="592"/>
        <w:gridCol w:w="593"/>
        <w:gridCol w:w="693"/>
        <w:gridCol w:w="690"/>
        <w:gridCol w:w="690"/>
        <w:gridCol w:w="668"/>
      </w:tblGrid>
      <w:tr>
        <w:trPr>
          <w:trHeight w:val="2274" w:hRule="exact"/>
        </w:trPr>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51" w:right="51"/>
              <w:jc w:val="center"/>
              <w:rPr>
                <w:rFonts w:ascii="宋体" w:hAnsi="宋体" w:cs="宋体" w:eastAsia="宋体" w:hint="default"/>
                <w:sz w:val="18"/>
                <w:szCs w:val="18"/>
              </w:rPr>
            </w:pPr>
            <w:r>
              <w:rPr>
                <w:rFonts w:ascii="宋体" w:hAnsi="宋体" w:cs="宋体" w:eastAsia="宋体" w:hint="default"/>
                <w:sz w:val="18"/>
                <w:szCs w:val="18"/>
              </w:rPr>
              <w:t>被投资 公司名 称</w:t>
            </w:r>
          </w:p>
        </w:tc>
        <w:tc>
          <w:tcPr>
            <w:tcW w:w="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0" w:right="49"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7" w:right="35" w:hanging="180"/>
              <w:jc w:val="left"/>
              <w:rPr>
                <w:rFonts w:ascii="宋体" w:hAnsi="宋体" w:cs="宋体" w:eastAsia="宋体" w:hint="default"/>
                <w:sz w:val="18"/>
                <w:szCs w:val="18"/>
              </w:rPr>
            </w:pPr>
            <w:r>
              <w:rPr>
                <w:rFonts w:ascii="宋体" w:hAnsi="宋体" w:cs="宋体" w:eastAsia="宋体" w:hint="default"/>
                <w:sz w:val="18"/>
                <w:szCs w:val="18"/>
              </w:rPr>
              <w:t>投资方 式</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6" w:right="35"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6" w:right="35"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7" w:right="34" w:hanging="180"/>
              <w:jc w:val="left"/>
              <w:rPr>
                <w:rFonts w:ascii="宋体" w:hAnsi="宋体" w:cs="宋体" w:eastAsia="宋体" w:hint="default"/>
                <w:sz w:val="18"/>
                <w:szCs w:val="18"/>
              </w:rPr>
            </w:pPr>
            <w:r>
              <w:rPr>
                <w:rFonts w:ascii="宋体" w:hAnsi="宋体" w:cs="宋体" w:eastAsia="宋体" w:hint="default"/>
                <w:sz w:val="18"/>
                <w:szCs w:val="18"/>
              </w:rPr>
              <w:t>资金来 源</w:t>
            </w:r>
          </w:p>
        </w:tc>
        <w:tc>
          <w:tcPr>
            <w:tcW w:w="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2" w:right="31" w:hanging="180"/>
              <w:jc w:val="left"/>
              <w:rPr>
                <w:rFonts w:ascii="宋体" w:hAnsi="宋体" w:cs="宋体" w:eastAsia="宋体" w:hint="default"/>
                <w:sz w:val="18"/>
                <w:szCs w:val="18"/>
              </w:rPr>
            </w:pPr>
            <w:r>
              <w:rPr>
                <w:rFonts w:ascii="宋体" w:hAnsi="宋体" w:cs="宋体" w:eastAsia="宋体" w:hint="default"/>
                <w:sz w:val="18"/>
                <w:szCs w:val="18"/>
              </w:rPr>
              <w:t>投资期 限</w:t>
            </w:r>
          </w:p>
        </w:tc>
        <w:tc>
          <w:tcPr>
            <w:tcW w:w="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13" w:right="32" w:hanging="180"/>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0" w:right="109"/>
              <w:jc w:val="both"/>
              <w:rPr>
                <w:rFonts w:ascii="宋体" w:hAnsi="宋体" w:cs="宋体" w:eastAsia="宋体" w:hint="default"/>
                <w:sz w:val="18"/>
                <w:szCs w:val="18"/>
              </w:rPr>
            </w:pPr>
            <w:r>
              <w:rPr>
                <w:rFonts w:ascii="宋体" w:hAnsi="宋体" w:cs="宋体" w:eastAsia="宋体" w:hint="default"/>
                <w:sz w:val="18"/>
                <w:szCs w:val="18"/>
              </w:rPr>
              <w:t>截至 资产 负债 表日 的进 展情 况</w:t>
            </w:r>
          </w:p>
        </w:tc>
        <w:tc>
          <w:tcPr>
            <w:tcW w:w="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11" w:right="109"/>
              <w:jc w:val="left"/>
              <w:rPr>
                <w:rFonts w:ascii="宋体" w:hAnsi="宋体" w:cs="宋体" w:eastAsia="宋体" w:hint="default"/>
                <w:sz w:val="18"/>
                <w:szCs w:val="18"/>
              </w:rPr>
            </w:pPr>
            <w:r>
              <w:rPr>
                <w:rFonts w:ascii="宋体" w:hAnsi="宋体" w:cs="宋体" w:eastAsia="宋体" w:hint="default"/>
                <w:sz w:val="18"/>
                <w:szCs w:val="18"/>
              </w:rPr>
              <w:t>预计 收益</w:t>
            </w:r>
          </w:p>
        </w:tc>
        <w:tc>
          <w:tcPr>
            <w:tcW w:w="6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70" w:right="70"/>
              <w:jc w:val="left"/>
              <w:rPr>
                <w:rFonts w:ascii="宋体" w:hAnsi="宋体" w:cs="宋体" w:eastAsia="宋体" w:hint="default"/>
                <w:sz w:val="18"/>
                <w:szCs w:val="18"/>
              </w:rPr>
            </w:pPr>
            <w:r>
              <w:rPr>
                <w:rFonts w:ascii="宋体" w:hAnsi="宋体" w:cs="宋体" w:eastAsia="宋体" w:hint="default"/>
                <w:sz w:val="18"/>
                <w:szCs w:val="18"/>
              </w:rPr>
              <w:t>本期投 资盈亏</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9" w:right="68" w:hanging="180"/>
              <w:jc w:val="left"/>
              <w:rPr>
                <w:rFonts w:ascii="宋体" w:hAnsi="宋体" w:cs="宋体" w:eastAsia="宋体" w:hint="default"/>
                <w:sz w:val="18"/>
                <w:szCs w:val="18"/>
              </w:rPr>
            </w:pPr>
            <w:r>
              <w:rPr>
                <w:rFonts w:ascii="宋体" w:hAnsi="宋体" w:cs="宋体" w:eastAsia="宋体" w:hint="default"/>
                <w:sz w:val="18"/>
                <w:szCs w:val="18"/>
              </w:rPr>
              <w:t>是否涉 诉</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披露日 期（如 有）</w:t>
            </w:r>
          </w:p>
        </w:tc>
        <w:tc>
          <w:tcPr>
            <w:tcW w:w="6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58" w:right="59"/>
              <w:jc w:val="both"/>
              <w:rPr>
                <w:rFonts w:ascii="宋体" w:hAnsi="宋体" w:cs="宋体" w:eastAsia="宋体" w:hint="default"/>
                <w:sz w:val="18"/>
                <w:szCs w:val="18"/>
              </w:rPr>
            </w:pPr>
            <w:r>
              <w:rPr>
                <w:rFonts w:ascii="宋体" w:hAnsi="宋体" w:cs="宋体" w:eastAsia="宋体" w:hint="default"/>
                <w:sz w:val="18"/>
                <w:szCs w:val="18"/>
              </w:rPr>
              <w:t>披露索 引（如 有）</w:t>
            </w:r>
          </w:p>
        </w:tc>
      </w:tr>
      <w:tr>
        <w:trPr>
          <w:trHeight w:val="5043" w:hRule="exact"/>
        </w:trPr>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5"/>
                <w:szCs w:val="25"/>
              </w:rPr>
            </w:pPr>
          </w:p>
          <w:p>
            <w:pPr>
              <w:pStyle w:val="TableParagraph"/>
              <w:spacing w:line="319" w:lineRule="auto"/>
              <w:ind w:left="22" w:right="81"/>
              <w:jc w:val="both"/>
              <w:rPr>
                <w:rFonts w:ascii="宋体" w:hAnsi="宋体" w:cs="宋体" w:eastAsia="宋体" w:hint="default"/>
                <w:sz w:val="18"/>
                <w:szCs w:val="18"/>
              </w:rPr>
            </w:pPr>
            <w:r>
              <w:rPr>
                <w:rFonts w:ascii="宋体" w:hAnsi="宋体" w:cs="宋体" w:eastAsia="宋体" w:hint="default"/>
                <w:sz w:val="18"/>
                <w:szCs w:val="18"/>
              </w:rPr>
              <w:t>武汉市 奥拓智 能科技 有限公 司</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319" w:lineRule="auto"/>
              <w:ind w:left="22" w:right="77"/>
              <w:jc w:val="left"/>
              <w:rPr>
                <w:rFonts w:ascii="宋体" w:hAnsi="宋体" w:cs="宋体" w:eastAsia="宋体" w:hint="default"/>
                <w:sz w:val="18"/>
                <w:szCs w:val="18"/>
              </w:rPr>
            </w:pPr>
            <w:r>
              <w:rPr>
                <w:rFonts w:ascii="宋体" w:hAnsi="宋体" w:cs="宋体" w:eastAsia="宋体" w:hint="default"/>
                <w:sz w:val="18"/>
                <w:szCs w:val="18"/>
              </w:rPr>
              <w:t>人工智 能产品 的研 发、集 成、技 术服务 及销 售；智 能网点 系</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49"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94" w:right="0"/>
              <w:jc w:val="left"/>
              <w:rPr>
                <w:rFonts w:ascii="Times New Roman" w:hAnsi="Times New Roman" w:cs="Times New Roman" w:eastAsia="Times New Roman" w:hint="default"/>
                <w:sz w:val="18"/>
                <w:szCs w:val="18"/>
              </w:rPr>
            </w:pPr>
            <w:r>
              <w:rPr>
                <w:rFonts w:ascii="Times New Roman"/>
                <w:sz w:val="18"/>
              </w:rPr>
              <w:t>000.00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right="19"/>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319" w:lineRule="auto"/>
              <w:ind w:left="23" w:right="47"/>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w:t>
            </w:r>
          </w:p>
        </w:tc>
        <w:tc>
          <w:tcPr>
            <w:tcW w:w="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319" w:lineRule="auto"/>
              <w:ind w:left="22" w:right="197"/>
              <w:jc w:val="both"/>
              <w:rPr>
                <w:rFonts w:ascii="宋体" w:hAnsi="宋体" w:cs="宋体" w:eastAsia="宋体" w:hint="default"/>
                <w:sz w:val="18"/>
                <w:szCs w:val="18"/>
              </w:rPr>
            </w:pPr>
            <w:r>
              <w:rPr>
                <w:rFonts w:ascii="宋体" w:hAnsi="宋体" w:cs="宋体" w:eastAsia="宋体" w:hint="default"/>
                <w:sz w:val="18"/>
                <w:szCs w:val="18"/>
              </w:rPr>
              <w:t>已完 成工 商登 记</w:t>
            </w:r>
          </w:p>
        </w:tc>
        <w:tc>
          <w:tcPr>
            <w:tcW w:w="593" w:type="dxa"/>
            <w:tcBorders>
              <w:top w:val="single" w:sz="4" w:space="0" w:color="000000"/>
              <w:left w:val="single" w:sz="4" w:space="0" w:color="000000"/>
              <w:bottom w:val="single" w:sz="4" w:space="0" w:color="000000"/>
              <w:right w:val="single" w:sz="4" w:space="0" w:color="000000"/>
            </w:tcBorders>
          </w:tcPr>
          <w:p>
            <w:pPr/>
          </w:p>
        </w:tc>
        <w:tc>
          <w:tcPr>
            <w:tcW w:w="693"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详见公 司于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8" w:lineRule="exact"/>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24</w:t>
            </w:r>
          </w:p>
          <w:p>
            <w:pPr>
              <w:pStyle w:val="TableParagraph"/>
              <w:spacing w:line="316" w:lineRule="auto" w:before="63"/>
              <w:ind w:left="22" w:right="95"/>
              <w:jc w:val="both"/>
              <w:rPr>
                <w:rFonts w:ascii="宋体" w:hAnsi="宋体" w:cs="宋体" w:eastAsia="宋体" w:hint="default"/>
                <w:sz w:val="18"/>
                <w:szCs w:val="18"/>
              </w:rPr>
            </w:pPr>
            <w:r>
              <w:rPr>
                <w:rFonts w:ascii="宋体" w:hAnsi="宋体" w:cs="宋体" w:eastAsia="宋体" w:hint="default"/>
                <w:sz w:val="18"/>
                <w:szCs w:val="18"/>
              </w:rPr>
              <w:t>日在巨 潮资讯 网上披 露的</w:t>
            </w:r>
          </w:p>
          <w:p>
            <w:pPr>
              <w:pStyle w:val="TableParagraph"/>
              <w:spacing w:line="316" w:lineRule="auto" w:before="19"/>
              <w:ind w:left="22" w:right="95"/>
              <w:jc w:val="both"/>
              <w:rPr>
                <w:rFonts w:ascii="宋体" w:hAnsi="宋体" w:cs="宋体" w:eastAsia="宋体" w:hint="default"/>
                <w:sz w:val="18"/>
                <w:szCs w:val="18"/>
              </w:rPr>
            </w:pPr>
            <w:r>
              <w:rPr>
                <w:rFonts w:ascii="宋体" w:hAnsi="宋体" w:cs="宋体" w:eastAsia="宋体" w:hint="default"/>
                <w:sz w:val="18"/>
                <w:szCs w:val="18"/>
              </w:rPr>
              <w:t>《深圳 市奥拓 电子股 份有限 公司关 于投资 设立武 汉全资</w:t>
            </w:r>
          </w:p>
        </w:tc>
      </w:tr>
    </w:tbl>
    <w:p>
      <w:pPr>
        <w:spacing w:after="0" w:line="316"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654"/>
        <w:gridCol w:w="652"/>
        <w:gridCol w:w="623"/>
        <w:gridCol w:w="622"/>
        <w:gridCol w:w="622"/>
        <w:gridCol w:w="623"/>
        <w:gridCol w:w="618"/>
        <w:gridCol w:w="616"/>
        <w:gridCol w:w="618"/>
        <w:gridCol w:w="592"/>
        <w:gridCol w:w="593"/>
        <w:gridCol w:w="693"/>
        <w:gridCol w:w="690"/>
        <w:gridCol w:w="690"/>
        <w:gridCol w:w="668"/>
      </w:tblGrid>
      <w:tr>
        <w:trPr>
          <w:trHeight w:val="986" w:hRule="exact"/>
        </w:trPr>
        <w:tc>
          <w:tcPr>
            <w:tcW w:w="654"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618"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618"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693"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95"/>
              <w:jc w:val="left"/>
              <w:rPr>
                <w:rFonts w:ascii="宋体" w:hAnsi="宋体" w:cs="宋体" w:eastAsia="宋体" w:hint="default"/>
                <w:sz w:val="18"/>
                <w:szCs w:val="18"/>
              </w:rPr>
            </w:pPr>
            <w:r>
              <w:rPr>
                <w:rFonts w:ascii="宋体" w:hAnsi="宋体" w:cs="宋体" w:eastAsia="宋体" w:hint="default"/>
                <w:sz w:val="18"/>
                <w:szCs w:val="18"/>
              </w:rPr>
              <w:t>子公司 的公 告》</w:t>
            </w:r>
          </w:p>
        </w:tc>
      </w:tr>
      <w:tr>
        <w:trPr>
          <w:trHeight w:val="714" w:hRule="exact"/>
        </w:trPr>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6" w:right="0"/>
              <w:jc w:val="left"/>
              <w:rPr>
                <w:rFonts w:ascii="Times New Roman" w:hAnsi="Times New Roman" w:cs="Times New Roman" w:eastAsia="Times New Roman" w:hint="default"/>
                <w:sz w:val="18"/>
                <w:szCs w:val="18"/>
              </w:rPr>
            </w:pPr>
            <w:r>
              <w:rPr>
                <w:rFonts w:ascii="Times New Roman"/>
                <w:sz w:val="18"/>
              </w:rPr>
              <w:t>0.00</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0.00</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6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3、报告期内正在进行的重大的非股权投资情况" w:id="48"/>
      <w:bookmarkEnd w:id="48"/>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4、以公允价值计量的金融资产" w:id="49"/>
      <w:bookmarkEnd w:id="49"/>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5、募集资金使用情况" w:id="50"/>
      <w:bookmarkEnd w:id="50"/>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bookmarkStart w:name="（1）募集资金总体使用情况" w:id="51"/>
      <w:bookmarkEnd w:id="51"/>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单位：万元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867"/>
        <w:gridCol w:w="863"/>
        <w:gridCol w:w="877"/>
        <w:gridCol w:w="870"/>
        <w:gridCol w:w="870"/>
        <w:gridCol w:w="869"/>
        <w:gridCol w:w="870"/>
        <w:gridCol w:w="870"/>
        <w:gridCol w:w="870"/>
        <w:gridCol w:w="870"/>
        <w:gridCol w:w="869"/>
      </w:tblGrid>
      <w:tr>
        <w:trPr>
          <w:trHeight w:val="1338"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53" w:right="72"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9"/>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 w:right="68"/>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9" w:right="68"/>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8" w:right="68"/>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714" w:hRule="exact"/>
        </w:trPr>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2017</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非公开发 行</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center"/>
              <w:rPr>
                <w:rFonts w:ascii="Times New Roman" w:hAnsi="Times New Roman" w:cs="Times New Roman" w:eastAsia="Times New Roman" w:hint="default"/>
                <w:sz w:val="18"/>
                <w:szCs w:val="18"/>
              </w:rPr>
            </w:pPr>
            <w:r>
              <w:rPr>
                <w:rFonts w:ascii="Times New Roman"/>
                <w:sz w:val="18"/>
              </w:rPr>
              <w:t>14,360.13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873.09</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9,482.82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5,177.7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5"/>
              <w:jc w:val="left"/>
              <w:rPr>
                <w:rFonts w:ascii="宋体" w:hAnsi="宋体" w:cs="宋体" w:eastAsia="宋体" w:hint="default"/>
                <w:sz w:val="18"/>
                <w:szCs w:val="18"/>
              </w:rPr>
            </w:pPr>
            <w:r>
              <w:rPr>
                <w:rFonts w:ascii="宋体" w:hAnsi="宋体" w:cs="宋体" w:eastAsia="宋体" w:hint="default"/>
                <w:sz w:val="18"/>
                <w:szCs w:val="18"/>
              </w:rPr>
              <w:t>存于募集 资金账户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14,360.13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873.09</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9,482.82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5,177.7</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5"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2274" w:hRule="exact"/>
        </w:trPr>
        <w:tc>
          <w:tcPr>
            <w:tcW w:w="9565"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公司本次募集配套资金总额为</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143,601,291.54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元。根据公司《发行股份及支付现金购买资产并募集配套资金报告书（修订</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稿</w:t>
            </w:r>
            <w:r>
              <w:rPr>
                <w:rFonts w:ascii="宋体" w:hAnsi="宋体" w:cs="宋体" w:eastAsia="宋体" w:hint="default"/>
                <w:spacing w:val="-90"/>
                <w:sz w:val="18"/>
                <w:szCs w:val="18"/>
              </w:rPr>
              <w:t>）</w:t>
            </w:r>
            <w:r>
              <w:rPr>
                <w:rFonts w:ascii="宋体" w:hAnsi="宋体" w:cs="宋体" w:eastAsia="宋体" w:hint="default"/>
                <w:sz w:val="18"/>
                <w:szCs w:val="18"/>
              </w:rPr>
              <w:t>》关于募集配套资金安排的规定，公司支付本次现金对价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75,000,00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元，支付本次发行的承销费用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1"/>
                <w:sz w:val="18"/>
                <w:szCs w:val="18"/>
              </w:rPr>
              <w:t>元</w:t>
            </w:r>
            <w:r>
              <w:rPr>
                <w:rFonts w:ascii="宋体" w:hAnsi="宋体" w:cs="宋体" w:eastAsia="宋体" w:hint="default"/>
                <w:sz w:val="18"/>
                <w:szCs w:val="18"/>
              </w:rPr>
              <w:t>，公司</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置换先行支付的中介机构费和其他发行费用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570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万元，向公司全资子公司深圳市千百辉照明工程有限公司（以下简称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千</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百辉</w:t>
            </w:r>
            <w:r>
              <w:rPr>
                <w:rFonts w:ascii="Times New Roman" w:hAnsi="Times New Roman" w:cs="Times New Roman" w:eastAsia="Times New Roman" w:hint="default"/>
                <w:sz w:val="18"/>
                <w:szCs w:val="18"/>
              </w:rPr>
              <w:t>”</w:t>
            </w:r>
            <w:r>
              <w:rPr>
                <w:rFonts w:ascii="宋体" w:hAnsi="宋体" w:cs="宋体" w:eastAsia="宋体" w:hint="default"/>
                <w:sz w:val="18"/>
                <w:szCs w:val="18"/>
              </w:rPr>
              <w:t>）增资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60,901,300.00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元用于募集资金投资项目建设，截至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日，公司募集资金专户余额为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（利息收入</w:t>
            </w:r>
            <w:r>
              <w:rPr>
                <w:rFonts w:ascii="宋体" w:hAnsi="宋体" w:cs="宋体" w:eastAsia="宋体" w:hint="default"/>
                <w:spacing w:val="-90"/>
                <w:sz w:val="18"/>
                <w:szCs w:val="18"/>
              </w:rPr>
              <w:t>）</w:t>
            </w:r>
            <w:r>
              <w:rPr>
                <w:rFonts w:ascii="宋体" w:hAnsi="宋体" w:cs="宋体" w:eastAsia="宋体" w:hint="default"/>
                <w:spacing w:val="-6"/>
                <w:sz w:val="18"/>
                <w:szCs w:val="18"/>
              </w:rPr>
              <w:t>。</w:t>
            </w:r>
            <w:r>
              <w:rPr>
                <w:rFonts w:ascii="宋体" w:hAnsi="宋体" w:cs="宋体" w:eastAsia="宋体" w:hint="default"/>
                <w:sz w:val="18"/>
                <w:szCs w:val="18"/>
              </w:rPr>
              <w:t>千百辉增资完成后</w:t>
            </w:r>
            <w:r>
              <w:rPr>
                <w:rFonts w:ascii="宋体" w:hAnsi="宋体" w:cs="宋体" w:eastAsia="宋体" w:hint="default"/>
                <w:spacing w:val="-6"/>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6"/>
                <w:sz w:val="18"/>
                <w:szCs w:val="18"/>
              </w:rPr>
              <w:t>，</w:t>
            </w:r>
            <w:r>
              <w:rPr>
                <w:rFonts w:ascii="宋体" w:hAnsi="宋体" w:cs="宋体" w:eastAsia="宋体" w:hint="default"/>
                <w:sz w:val="18"/>
                <w:szCs w:val="18"/>
              </w:rPr>
              <w:t>千</w:t>
            </w:r>
            <w:r>
              <w:rPr>
                <w:rFonts w:ascii="宋体" w:hAnsi="宋体" w:cs="宋体" w:eastAsia="宋体" w:hint="default"/>
                <w:spacing w:val="1"/>
                <w:sz w:val="18"/>
                <w:szCs w:val="18"/>
              </w:rPr>
              <w:t>百</w:t>
            </w:r>
            <w:r>
              <w:rPr>
                <w:rFonts w:ascii="宋体" w:hAnsi="宋体" w:cs="宋体" w:eastAsia="宋体" w:hint="default"/>
                <w:sz w:val="18"/>
                <w:szCs w:val="18"/>
              </w:rPr>
              <w:t>辉募集资金账户金额为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60,901,300.00 </w:t>
            </w:r>
            <w:r>
              <w:rPr>
                <w:rFonts w:ascii="宋体" w:hAnsi="宋体" w:cs="宋体" w:eastAsia="宋体" w:hint="default"/>
                <w:sz w:val="18"/>
                <w:szCs w:val="18"/>
              </w:rPr>
              <w:t>元</w:t>
            </w:r>
            <w:r>
              <w:rPr>
                <w:rFonts w:ascii="宋体" w:hAnsi="宋体" w:cs="宋体" w:eastAsia="宋体" w:hint="default"/>
                <w:spacing w:val="-6"/>
                <w:sz w:val="18"/>
                <w:szCs w:val="18"/>
              </w:rPr>
              <w:t>，</w:t>
            </w:r>
            <w:r>
              <w:rPr>
                <w:rFonts w:ascii="宋体" w:hAnsi="宋体" w:cs="宋体" w:eastAsia="宋体" w:hint="default"/>
                <w:spacing w:val="-2"/>
                <w:sz w:val="18"/>
                <w:szCs w:val="18"/>
              </w:rPr>
              <w:t>报</w:t>
            </w:r>
            <w:r>
              <w:rPr>
                <w:rFonts w:ascii="宋体" w:hAnsi="宋体" w:cs="宋体" w:eastAsia="宋体" w:hint="default"/>
                <w:sz w:val="18"/>
                <w:szCs w:val="18"/>
              </w:rPr>
              <w:t>告期内</w:t>
            </w:r>
            <w:r>
              <w:rPr>
                <w:rFonts w:ascii="宋体" w:hAnsi="宋体" w:cs="宋体" w:eastAsia="宋体" w:hint="default"/>
                <w:spacing w:val="-6"/>
                <w:sz w:val="18"/>
                <w:szCs w:val="18"/>
              </w:rPr>
              <w:t>，</w:t>
            </w:r>
            <w:r>
              <w:rPr>
                <w:rFonts w:ascii="宋体" w:hAnsi="宋体" w:cs="宋体" w:eastAsia="宋体" w:hint="default"/>
                <w:sz w:val="18"/>
                <w:szCs w:val="18"/>
              </w:rPr>
              <w:t>千百辉募</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投项目支出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873.09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日，千百辉募投项目支出累计为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1,212.82 </w:t>
            </w:r>
            <w:r>
              <w:rPr>
                <w:rFonts w:ascii="宋体" w:hAnsi="宋体" w:cs="宋体" w:eastAsia="宋体" w:hint="default"/>
                <w:sz w:val="18"/>
                <w:szCs w:val="18"/>
              </w:rPr>
              <w:t>万元，千百辉募集资金专户余额</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5,168.39 </w:t>
            </w:r>
            <w:r>
              <w:rPr>
                <w:rFonts w:ascii="宋体" w:hAnsi="宋体" w:cs="宋体" w:eastAsia="宋体" w:hint="default"/>
                <w:sz w:val="18"/>
                <w:szCs w:val="18"/>
              </w:rPr>
              <w:t>万元（扣除银行手续费后，含利息收入</w:t>
            </w:r>
            <w:r>
              <w:rPr>
                <w:rFonts w:ascii="宋体" w:hAnsi="宋体" w:cs="宋体" w:eastAsia="宋体" w:hint="default"/>
                <w:spacing w:val="-90"/>
                <w:sz w:val="18"/>
                <w:szCs w:val="18"/>
              </w:rPr>
              <w:t>）</w:t>
            </w:r>
            <w:r>
              <w:rPr>
                <w:rFonts w:ascii="宋体" w:hAnsi="宋体" w:cs="宋体" w:eastAsia="宋体" w:hint="default"/>
                <w:sz w:val="18"/>
                <w:szCs w:val="18"/>
              </w:rPr>
              <w:t>。</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2）募集资金承诺项目情况" w:id="52"/>
      <w:bookmarkEnd w:id="52"/>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单位：万元</w:t>
      </w:r>
    </w:p>
    <w:p>
      <w:pPr>
        <w:spacing w:after="0" w:line="240" w:lineRule="auto"/>
        <w:jc w:val="right"/>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770"/>
        <w:gridCol w:w="779"/>
        <w:gridCol w:w="780"/>
        <w:gridCol w:w="780"/>
        <w:gridCol w:w="779"/>
        <w:gridCol w:w="780"/>
        <w:gridCol w:w="780"/>
        <w:gridCol w:w="780"/>
        <w:gridCol w:w="780"/>
        <w:gridCol w:w="780"/>
        <w:gridCol w:w="780"/>
      </w:tblGrid>
      <w:tr>
        <w:trPr>
          <w:trHeight w:val="1338"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520" w:right="69" w:hanging="451"/>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1"/>
              <w:ind w:left="24"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是否已变 更项目 </w:t>
            </w:r>
            <w:r>
              <w:rPr>
                <w:rFonts w:ascii="Times New Roman" w:hAnsi="Times New Roman" w:cs="Times New Roman" w:eastAsia="Times New Roman" w:hint="default"/>
                <w:sz w:val="18"/>
                <w:szCs w:val="18"/>
              </w:rPr>
              <w:t>(</w:t>
            </w:r>
            <w:r>
              <w:rPr>
                <w:rFonts w:ascii="宋体" w:hAnsi="宋体" w:cs="宋体" w:eastAsia="宋体" w:hint="default"/>
                <w:sz w:val="18"/>
                <w:szCs w:val="18"/>
              </w:rPr>
              <w:t>含部分 变更</w:t>
            </w:r>
            <w:r>
              <w:rPr>
                <w:rFonts w:ascii="Times New Roman" w:hAnsi="Times New Roman" w:cs="Times New Roman" w:eastAsia="Times New Roman" w:hint="default"/>
                <w:sz w:val="18"/>
                <w:szCs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4" w:right="24"/>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38" w:lineRule="auto"/>
              <w:ind w:left="24" w:right="24"/>
              <w:jc w:val="center"/>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 </w:t>
            </w:r>
            <w:r>
              <w:rPr>
                <w:rFonts w:ascii="Times New Roman" w:hAnsi="Times New Roman" w:cs="Times New Roman" w:eastAsia="Times New Roman" w:hint="default"/>
                <w:sz w:val="18"/>
                <w:szCs w:val="18"/>
              </w:rPr>
              <w:t>(1)</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4" w:right="23"/>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5" w:right="23"/>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6" w:lineRule="auto" w:before="51"/>
              <w:ind w:left="25"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 w:right="23"/>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5" w:right="23"/>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5" w:right="23"/>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 w:right="23"/>
              <w:jc w:val="center"/>
              <w:rPr>
                <w:rFonts w:ascii="宋体" w:hAnsi="宋体" w:cs="宋体" w:eastAsia="宋体" w:hint="default"/>
                <w:sz w:val="18"/>
                <w:szCs w:val="18"/>
              </w:rPr>
            </w:pPr>
            <w:r>
              <w:rPr>
                <w:rFonts w:ascii="宋体" w:hAnsi="宋体" w:cs="宋体" w:eastAsia="宋体" w:hint="default"/>
                <w:sz w:val="18"/>
                <w:szCs w:val="18"/>
              </w:rPr>
              <w:t>项目可行 性是否发 生重大变 化</w:t>
            </w:r>
          </w:p>
        </w:tc>
      </w:tr>
      <w:tr>
        <w:trPr>
          <w:trHeight w:val="402"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支付本次现金对价</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本次交易中介机构相 关费用</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770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770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770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1"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7"/>
              <w:jc w:val="both"/>
              <w:rPr>
                <w:rFonts w:ascii="宋体" w:hAnsi="宋体" w:cs="宋体" w:eastAsia="宋体" w:hint="default"/>
                <w:sz w:val="18"/>
                <w:szCs w:val="18"/>
              </w:rPr>
            </w:pPr>
            <w:r>
              <w:rPr>
                <w:rFonts w:ascii="宋体" w:hAnsi="宋体" w:cs="宋体" w:eastAsia="宋体" w:hint="default"/>
                <w:sz w:val="18"/>
                <w:szCs w:val="18"/>
              </w:rPr>
              <w:t>千百辉智能楼宇亮化 系统研发中心建设项 目</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6,090.13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6,090.13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873.09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1,212.82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71" w:right="0"/>
              <w:jc w:val="center"/>
              <w:rPr>
                <w:rFonts w:ascii="Times New Roman" w:hAnsi="Times New Roman" w:cs="Times New Roman" w:eastAsia="Times New Roman" w:hint="default"/>
                <w:sz w:val="18"/>
                <w:szCs w:val="18"/>
              </w:rPr>
            </w:pPr>
            <w:r>
              <w:rPr>
                <w:rFonts w:ascii="Times New Roman"/>
                <w:sz w:val="18"/>
              </w:rPr>
              <w:t>19.91%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14,360.13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14,360.13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873.09</w:t>
            </w:r>
          </w:p>
        </w:tc>
        <w:tc>
          <w:tcPr>
            <w:tcW w:w="78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9,482.82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25" w:right="0"/>
              <w:jc w:val="lef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13" w:space="0" w:color="D2D2D2"/>
              <w:bottom w:val="single" w:sz="4" w:space="0" w:color="000000"/>
              <w:right w:val="single" w:sz="10" w:space="0" w:color="D2D2D2"/>
            </w:tcBorders>
          </w:tcPr>
          <w:p>
            <w:pP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r>
      <w:tr>
        <w:trPr>
          <w:trHeight w:val="397"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14,360.13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14,360.13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873.09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9,482.82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25" w:right="0"/>
              <w:jc w:val="lef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r>
      <w:tr>
        <w:trPr>
          <w:trHeight w:val="629"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312" w:lineRule="auto" w:before="51"/>
              <w:ind w:left="16" w:right="20"/>
              <w:jc w:val="both"/>
              <w:rPr>
                <w:rFonts w:ascii="宋体" w:hAnsi="宋体" w:cs="宋体" w:eastAsia="宋体" w:hint="default"/>
                <w:sz w:val="18"/>
                <w:szCs w:val="18"/>
              </w:rPr>
            </w:pPr>
            <w:r>
              <w:rPr>
                <w:rFonts w:ascii="宋体" w:hAnsi="宋体" w:cs="宋体" w:eastAsia="宋体" w:hint="default"/>
                <w:sz w:val="18"/>
                <w:szCs w:val="18"/>
              </w:rPr>
              <w:t>截至目前，</w:t>
            </w:r>
            <w:r>
              <w:rPr>
                <w:rFonts w:ascii="Times New Roman" w:hAnsi="Times New Roman" w:cs="Times New Roman" w:eastAsia="Times New Roman" w:hint="default"/>
                <w:sz w:val="18"/>
                <w:szCs w:val="18"/>
              </w:rPr>
              <w:t>“</w:t>
            </w:r>
            <w:r>
              <w:rPr>
                <w:rFonts w:ascii="宋体" w:hAnsi="宋体" w:cs="宋体" w:eastAsia="宋体" w:hint="default"/>
                <w:sz w:val="18"/>
                <w:szCs w:val="18"/>
              </w:rPr>
              <w:t>千百辉智能楼宇亮化系统研发中心建设项目</w:t>
            </w:r>
            <w:r>
              <w:rPr>
                <w:rFonts w:ascii="Times New Roman" w:hAnsi="Times New Roman" w:cs="Times New Roman" w:eastAsia="Times New Roman" w:hint="default"/>
                <w:sz w:val="18"/>
                <w:szCs w:val="18"/>
              </w:rPr>
              <w:t>”</w:t>
            </w:r>
            <w:r>
              <w:rPr>
                <w:rFonts w:ascii="宋体" w:hAnsi="宋体" w:cs="宋体" w:eastAsia="宋体" w:hint="default"/>
                <w:sz w:val="18"/>
                <w:szCs w:val="18"/>
              </w:rPr>
              <w:t>投资进度为</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19.91%</w:t>
            </w:r>
            <w:r>
              <w:rPr>
                <w:rFonts w:ascii="宋体" w:hAnsi="宋体" w:cs="宋体" w:eastAsia="宋体" w:hint="default"/>
                <w:sz w:val="18"/>
                <w:szCs w:val="18"/>
              </w:rPr>
              <w:t>，导致项目进度有所延 缓原因：一方面，由于项目可研报告编制时间较早，后续房地产价格上涨幅度较大，原投入建设研 发中心实验、办公场所及工程展示厅</w:t>
            </w:r>
            <w:r>
              <w:rPr>
                <w:rFonts w:ascii="Times New Roman" w:hAnsi="Times New Roman" w:cs="Times New Roman" w:eastAsia="Times New Roman" w:hint="default"/>
                <w:sz w:val="18"/>
                <w:szCs w:val="18"/>
              </w:rPr>
              <w:t>&amp;</w:t>
            </w:r>
            <w:r>
              <w:rPr>
                <w:rFonts w:ascii="宋体" w:hAnsi="宋体" w:cs="宋体" w:eastAsia="宋体" w:hint="default"/>
                <w:sz w:val="18"/>
                <w:szCs w:val="18"/>
              </w:rPr>
              <w:t>材料仓库等三个区域难以执行，继而给本项目的设备购置、 安装、调试等阶段的实施带来一定的影响。另一方面，由于本项目对研发能力要求较高，招聘合适 研发人才较为困难。公司采取腾用现有办公场所，或临时租用、借用场地、借调现有研发人员等措 施解决相关问题，以保证该项目中相关研发项目的开展。后续公司将根据房地产市场宏观调控形势 及自身实际情况，择机购置场地研发中心实验及办公场所。</w:t>
            </w:r>
          </w:p>
        </w:tc>
      </w:tr>
      <w:tr>
        <w:trPr>
          <w:trHeight w:val="1017" w:hRule="exact"/>
        </w:trPr>
        <w:tc>
          <w:tcPr>
            <w:tcW w:w="17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798" w:type="dxa"/>
            <w:gridSpan w:val="10"/>
            <w:vMerge/>
            <w:tcBorders>
              <w:left w:val="single" w:sz="9" w:space="0" w:color="D2D2D2"/>
              <w:right w:val="single" w:sz="4" w:space="0" w:color="000000"/>
            </w:tcBorders>
          </w:tcPr>
          <w:p>
            <w:pPr/>
          </w:p>
        </w:tc>
      </w:tr>
      <w:tr>
        <w:trPr>
          <w:trHeight w:val="629"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2" w:right="22"/>
              <w:jc w:val="left"/>
              <w:rPr>
                <w:rFonts w:ascii="宋体" w:hAnsi="宋体" w:cs="宋体" w:eastAsia="宋体" w:hint="default"/>
                <w:sz w:val="18"/>
                <w:szCs w:val="18"/>
              </w:rPr>
            </w:pPr>
            <w:r>
              <w:rPr>
                <w:rFonts w:ascii="宋体" w:hAnsi="宋体" w:cs="宋体" w:eastAsia="宋体" w:hint="default"/>
                <w:spacing w:val="-9"/>
                <w:sz w:val="18"/>
                <w:szCs w:val="18"/>
              </w:rPr>
              <w:t>超募资金的金额、用途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及使用进展情况</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r>
        <w:trPr>
          <w:trHeight w:val="251"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51"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798"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r>
        <w:trPr>
          <w:trHeight w:val="151"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
        </w:tc>
      </w:tr>
      <w:tr>
        <w:trPr>
          <w:trHeight w:val="251"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r>
        <w:trPr>
          <w:trHeight w:val="251"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51"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798"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r>
        <w:trPr>
          <w:trHeight w:val="151"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
        </w:tc>
      </w:tr>
      <w:tr>
        <w:trPr>
          <w:trHeight w:val="251"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r>
        <w:trPr>
          <w:trHeight w:val="206"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96"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798" w:type="dxa"/>
            <w:gridSpan w:val="10"/>
            <w:vMerge/>
            <w:tcBorders>
              <w:left w:val="single" w:sz="9" w:space="0" w:color="D2D2D2"/>
              <w:bottom w:val="single" w:sz="4" w:space="0" w:color="000000"/>
              <w:right w:val="single" w:sz="4" w:space="0" w:color="000000"/>
            </w:tcBorders>
          </w:tcPr>
          <w:p>
            <w:pPr/>
          </w:p>
        </w:tc>
      </w:tr>
      <w:tr>
        <w:trPr>
          <w:trHeight w:val="508"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日，公司第三届董事会第十九次会议审议通过了《关于以募集资金置换已预先投入自</w:t>
            </w:r>
          </w:p>
          <w:p>
            <w:pPr>
              <w:pStyle w:val="TableParagraph"/>
              <w:spacing w:line="240" w:lineRule="auto" w:before="64"/>
              <w:ind w:left="16" w:right="0"/>
              <w:jc w:val="left"/>
              <w:rPr>
                <w:rFonts w:ascii="宋体" w:hAnsi="宋体" w:cs="宋体" w:eastAsia="宋体" w:hint="default"/>
                <w:sz w:val="18"/>
                <w:szCs w:val="18"/>
              </w:rPr>
            </w:pPr>
            <w:r>
              <w:rPr>
                <w:rFonts w:ascii="宋体" w:hAnsi="宋体" w:cs="宋体" w:eastAsia="宋体" w:hint="default"/>
                <w:sz w:val="18"/>
                <w:szCs w:val="18"/>
              </w:rPr>
              <w:t>筹资金的议案</w:t>
            </w:r>
            <w:r>
              <w:rPr>
                <w:rFonts w:ascii="宋体" w:hAnsi="宋体" w:cs="宋体" w:eastAsia="宋体" w:hint="default"/>
                <w:spacing w:val="-90"/>
                <w:sz w:val="18"/>
                <w:szCs w:val="18"/>
              </w:rPr>
              <w:t>》</w:t>
            </w:r>
            <w:r>
              <w:rPr>
                <w:rFonts w:ascii="宋体" w:hAnsi="宋体" w:cs="宋体" w:eastAsia="宋体" w:hint="default"/>
                <w:sz w:val="18"/>
                <w:szCs w:val="18"/>
              </w:rPr>
              <w:t>，千百辉通过自筹资金自行支付投入到募集资金投资项目费用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1,781,6</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3.44  </w:t>
            </w:r>
            <w:r>
              <w:rPr>
                <w:rFonts w:ascii="宋体" w:hAnsi="宋体" w:cs="宋体" w:eastAsia="宋体" w:hint="default"/>
                <w:sz w:val="18"/>
                <w:szCs w:val="18"/>
              </w:rPr>
              <w:t>元。</w:t>
            </w:r>
          </w:p>
        </w:tc>
      </w:tr>
      <w:tr>
        <w:trPr>
          <w:trHeight w:val="206"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2" w:right="117"/>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798"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gridSpan w:val="10"/>
            <w:tcBorders>
              <w:top w:val="single" w:sz="4" w:space="0" w:color="000000"/>
              <w:left w:val="single" w:sz="9" w:space="0" w:color="D2D2D2"/>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770"/>
        <w:gridCol w:w="7798"/>
      </w:tblGrid>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2" w:right="117"/>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17"/>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日，奥拓电子尚未使用的募集资金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万元（利息收入）以活期存款的形式</w:t>
            </w:r>
          </w:p>
          <w:p>
            <w:pPr>
              <w:pStyle w:val="TableParagraph"/>
              <w:spacing w:line="309" w:lineRule="auto" w:before="63"/>
              <w:ind w:left="22" w:right="21"/>
              <w:jc w:val="both"/>
              <w:rPr>
                <w:rFonts w:ascii="宋体" w:hAnsi="宋体" w:cs="宋体" w:eastAsia="宋体" w:hint="default"/>
                <w:sz w:val="18"/>
                <w:szCs w:val="18"/>
              </w:rPr>
            </w:pPr>
            <w:r>
              <w:rPr>
                <w:rFonts w:ascii="宋体" w:hAnsi="宋体" w:cs="宋体" w:eastAsia="宋体" w:hint="default"/>
                <w:spacing w:val="-5"/>
                <w:sz w:val="18"/>
                <w:szCs w:val="18"/>
              </w:rPr>
              <w:t>存储于经批准的银行募集资金账户中。截至</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日，千百辉尚未使用的募集资金</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5,168.39 </w:t>
            </w:r>
            <w:r>
              <w:rPr>
                <w:rFonts w:ascii="宋体" w:hAnsi="宋体" w:cs="宋体" w:eastAsia="宋体" w:hint="default"/>
                <w:sz w:val="18"/>
                <w:szCs w:val="18"/>
              </w:rPr>
              <w:t>万元，部分以活期存款的形式存储于经批准的银行募集资金账户中；部分募集资金根据《上市公司 监管指引第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上市公司募集资金管理和使用的监管要求》等法律法规规定，进行现金管理。</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17"/>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报告期内，募集资金使用及披露不存在重大问题。</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0"/>
        <w:jc w:val="left"/>
        <w:rPr>
          <w:b w:val="0"/>
          <w:bCs w:val="0"/>
        </w:rPr>
      </w:pPr>
      <w:bookmarkStart w:name="（3）募集资金变更项目情况" w:id="53"/>
      <w:bookmarkEnd w:id="53"/>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73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公司报告期不存在募集资金变更项目情况。</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六、重大资产和股权出售" w:id="54"/>
      <w:bookmarkEnd w:id="54"/>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出售重大资产情况" w:id="55"/>
      <w:bookmarkEnd w:id="55"/>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84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公司报告期未出售重大资产。</w:t>
      </w:r>
    </w:p>
    <w:p>
      <w:pPr>
        <w:spacing w:line="240" w:lineRule="auto" w:before="3"/>
        <w:rPr>
          <w:rFonts w:ascii="宋体" w:hAnsi="宋体" w:cs="宋体" w:eastAsia="宋体" w:hint="default"/>
          <w:sz w:val="21"/>
          <w:szCs w:val="21"/>
        </w:rPr>
      </w:pPr>
    </w:p>
    <w:p>
      <w:pPr>
        <w:pStyle w:val="Heading4"/>
        <w:spacing w:line="240" w:lineRule="auto"/>
        <w:ind w:right="0"/>
        <w:jc w:val="left"/>
        <w:rPr>
          <w:b w:val="0"/>
          <w:bCs w:val="0"/>
        </w:rPr>
      </w:pPr>
      <w:bookmarkStart w:name="2、出售重大股权情况" w:id="56"/>
      <w:bookmarkEnd w:id="56"/>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七、主要控股参股公司分析" w:id="57"/>
      <w:bookmarkEnd w:id="57"/>
      <w:r>
        <w:rPr>
          <w:b w:val="0"/>
          <w:bCs w:val="0"/>
        </w:rPr>
      </w:r>
      <w:r>
        <w:rPr/>
        <w:t>七、主要控股参股公司分析</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240"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right="-20"/>
        <w:jc w:val="left"/>
      </w:pPr>
      <w:r>
        <w:rPr/>
        <w:t>主要子公司及对公司净利润影响达</w:t>
      </w:r>
      <w:r>
        <w:rPr>
          <w:spacing w:val="-46"/>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单位：元</w:t>
      </w:r>
    </w:p>
    <w:p>
      <w:pPr>
        <w:spacing w:after="0" w:line="240" w:lineRule="auto"/>
        <w:jc w:val="left"/>
        <w:sectPr>
          <w:type w:val="continuous"/>
          <w:pgSz w:w="11910" w:h="16840"/>
          <w:pgMar w:top="1060" w:bottom="1160" w:left="980" w:right="0"/>
          <w:cols w:num="2" w:equalWidth="0">
            <w:col w:w="4849" w:space="4070"/>
            <w:col w:w="201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54"/>
        <w:gridCol w:w="1196"/>
        <w:gridCol w:w="1045"/>
        <w:gridCol w:w="1046"/>
        <w:gridCol w:w="1045"/>
        <w:gridCol w:w="1045"/>
        <w:gridCol w:w="1046"/>
        <w:gridCol w:w="1045"/>
        <w:gridCol w:w="1046"/>
      </w:tblGrid>
      <w:tr>
        <w:trPr>
          <w:trHeight w:val="401"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8"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净利润</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9"/>
              <w:jc w:val="both"/>
              <w:rPr>
                <w:rFonts w:ascii="宋体" w:hAnsi="宋体" w:cs="宋体" w:eastAsia="宋体" w:hint="default"/>
                <w:sz w:val="18"/>
                <w:szCs w:val="18"/>
              </w:rPr>
            </w:pPr>
            <w:r>
              <w:rPr>
                <w:rFonts w:ascii="宋体" w:hAnsi="宋体" w:cs="宋体" w:eastAsia="宋体" w:hint="default"/>
                <w:sz w:val="18"/>
                <w:szCs w:val="18"/>
              </w:rPr>
              <w:t>深圳市奥拓 软件技术有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0"/>
              <w:jc w:val="both"/>
              <w:rPr>
                <w:rFonts w:ascii="宋体" w:hAnsi="宋体" w:cs="宋体" w:eastAsia="宋体" w:hint="default"/>
                <w:sz w:val="18"/>
                <w:szCs w:val="18"/>
              </w:rPr>
            </w:pPr>
            <w:r>
              <w:rPr>
                <w:rFonts w:ascii="宋体" w:hAnsi="宋体" w:cs="宋体" w:eastAsia="宋体" w:hint="default"/>
                <w:sz w:val="18"/>
                <w:szCs w:val="18"/>
              </w:rPr>
              <w:t>计算机软件 的开发与销 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22"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20,047,575.1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20,047,575.1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3" w:right="0"/>
              <w:jc w:val="center"/>
              <w:rPr>
                <w:rFonts w:ascii="Times New Roman" w:hAnsi="Times New Roman" w:cs="Times New Roman" w:eastAsia="Times New Roman" w:hint="default"/>
                <w:sz w:val="18"/>
                <w:szCs w:val="18"/>
              </w:rPr>
            </w:pPr>
            <w:r>
              <w:rPr>
                <w:rFonts w:ascii="Times New Roman"/>
                <w:sz w:val="18"/>
              </w:rPr>
              <w:t>7,459,535.44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7,458,990.48</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9"/>
              <w:jc w:val="both"/>
              <w:rPr>
                <w:rFonts w:ascii="宋体" w:hAnsi="宋体" w:cs="宋体" w:eastAsia="宋体" w:hint="default"/>
                <w:sz w:val="18"/>
                <w:szCs w:val="18"/>
              </w:rPr>
            </w:pPr>
            <w:r>
              <w:rPr>
                <w:rFonts w:ascii="宋体" w:hAnsi="宋体" w:cs="宋体" w:eastAsia="宋体" w:hint="default"/>
                <w:sz w:val="18"/>
                <w:szCs w:val="18"/>
              </w:rPr>
              <w:t>深圳市奥拓 光电科技有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22" w:right="77"/>
              <w:jc w:val="both"/>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半导体</w:t>
            </w:r>
            <w:r>
              <w:rPr>
                <w:rFonts w:ascii="宋体" w:hAnsi="宋体" w:cs="宋体" w:eastAsia="宋体" w:hint="default"/>
                <w:w w:val="99"/>
                <w:sz w:val="18"/>
                <w:szCs w:val="18"/>
              </w:rPr>
              <w:t> </w:t>
            </w:r>
            <w:r>
              <w:rPr>
                <w:rFonts w:ascii="宋体" w:hAnsi="宋体" w:cs="宋体" w:eastAsia="宋体" w:hint="default"/>
                <w:sz w:val="18"/>
                <w:szCs w:val="18"/>
              </w:rPr>
              <w:t>照明产品的</w:t>
            </w:r>
            <w:r>
              <w:rPr>
                <w:rFonts w:ascii="宋体" w:hAnsi="宋体" w:cs="宋体" w:eastAsia="宋体" w:hint="default"/>
                <w:w w:val="99"/>
                <w:sz w:val="18"/>
                <w:szCs w:val="18"/>
              </w:rPr>
              <w:t> </w:t>
            </w:r>
            <w:r>
              <w:rPr>
                <w:rFonts w:ascii="宋体" w:hAnsi="宋体" w:cs="宋体" w:eastAsia="宋体" w:hint="default"/>
                <w:sz w:val="18"/>
                <w:szCs w:val="18"/>
              </w:rPr>
              <w:t>研发与销售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2,000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26,331,695.8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26,331,695.8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1,911,754.15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1,881,405.95</w:t>
            </w:r>
          </w:p>
        </w:tc>
      </w:tr>
      <w:tr>
        <w:trPr>
          <w:trHeight w:val="1298"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316" w:lineRule="auto"/>
              <w:ind w:left="22" w:right="119"/>
              <w:jc w:val="both"/>
              <w:rPr>
                <w:rFonts w:ascii="宋体" w:hAnsi="宋体" w:cs="宋体" w:eastAsia="宋体" w:hint="default"/>
                <w:sz w:val="18"/>
                <w:szCs w:val="18"/>
              </w:rPr>
            </w:pPr>
            <w:r>
              <w:rPr>
                <w:rFonts w:ascii="宋体" w:hAnsi="宋体" w:cs="宋体" w:eastAsia="宋体" w:hint="default"/>
                <w:sz w:val="18"/>
                <w:szCs w:val="18"/>
              </w:rPr>
              <w:t>南京奥拓电 子科技有限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0"/>
              <w:jc w:val="both"/>
              <w:rPr>
                <w:rFonts w:ascii="宋体" w:hAnsi="宋体" w:cs="宋体" w:eastAsia="宋体" w:hint="default"/>
                <w:sz w:val="18"/>
                <w:szCs w:val="18"/>
              </w:rPr>
            </w:pPr>
            <w:r>
              <w:rPr>
                <w:rFonts w:ascii="宋体" w:hAnsi="宋体" w:cs="宋体" w:eastAsia="宋体" w:hint="default"/>
                <w:sz w:val="18"/>
                <w:szCs w:val="18"/>
              </w:rPr>
              <w:t>电子产品、 光电产品、 计算机产品 的开发及销</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300" w:lineRule="auto"/>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5,000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pacing w:val="-1"/>
                <w:sz w:val="18"/>
              </w:rPr>
              <w:t>306,387,696.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pacing w:val="-1"/>
                <w:sz w:val="18"/>
              </w:rPr>
              <w:t>172,388,349.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2"/>
              <w:jc w:val="right"/>
              <w:rPr>
                <w:rFonts w:ascii="Times New Roman" w:hAnsi="Times New Roman" w:cs="Times New Roman" w:eastAsia="Times New Roman" w:hint="default"/>
                <w:sz w:val="18"/>
                <w:szCs w:val="18"/>
              </w:rPr>
            </w:pPr>
            <w:r>
              <w:rPr>
                <w:rFonts w:ascii="Times New Roman"/>
                <w:spacing w:val="-1"/>
                <w:sz w:val="18"/>
              </w:rPr>
              <w:t>290,357,762.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pacing w:val="-1"/>
                <w:sz w:val="18"/>
              </w:rPr>
              <w:t>47,699,519.2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pacing w:val="-1"/>
                <w:sz w:val="18"/>
              </w:rPr>
              <w:t>43,044,611.7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054"/>
        <w:gridCol w:w="1196"/>
        <w:gridCol w:w="1045"/>
        <w:gridCol w:w="1046"/>
        <w:gridCol w:w="1045"/>
        <w:gridCol w:w="1045"/>
        <w:gridCol w:w="1046"/>
        <w:gridCol w:w="1045"/>
        <w:gridCol w:w="1046"/>
      </w:tblGrid>
      <w:tr>
        <w:trPr>
          <w:trHeight w:val="362" w:hRule="exact"/>
        </w:trPr>
        <w:tc>
          <w:tcPr>
            <w:tcW w:w="1054"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售</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19"/>
              <w:jc w:val="both"/>
              <w:rPr>
                <w:rFonts w:ascii="宋体" w:hAnsi="宋体" w:cs="宋体" w:eastAsia="宋体" w:hint="default"/>
                <w:sz w:val="18"/>
                <w:szCs w:val="18"/>
              </w:rPr>
            </w:pPr>
            <w:r>
              <w:rPr>
                <w:rFonts w:ascii="宋体" w:hAnsi="宋体" w:cs="宋体" w:eastAsia="宋体" w:hint="default"/>
                <w:sz w:val="18"/>
                <w:szCs w:val="18"/>
              </w:rPr>
              <w:t>惠州市奥拓 电子科技有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电子产品、 光电产品、 计算机产品 的开发及销 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0" w:lineRule="auto"/>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1,500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300,057,984.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144,774,079.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186,485,344.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8,452,692.54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8,676,533.02</w:t>
            </w:r>
          </w:p>
        </w:tc>
      </w:tr>
      <w:tr>
        <w:trPr>
          <w:trHeight w:val="1962"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00" w:lineRule="auto"/>
              <w:ind w:left="22" w:right="21"/>
              <w:jc w:val="left"/>
              <w:rPr>
                <w:rFonts w:ascii="宋体" w:hAnsi="宋体" w:cs="宋体" w:eastAsia="宋体" w:hint="default"/>
                <w:sz w:val="18"/>
                <w:szCs w:val="18"/>
              </w:rPr>
            </w:pPr>
            <w:r>
              <w:rPr>
                <w:rFonts w:ascii="宋体" w:hAnsi="宋体" w:cs="宋体" w:eastAsia="宋体" w:hint="default"/>
                <w:sz w:val="18"/>
                <w:szCs w:val="18"/>
              </w:rPr>
              <w:t>奥拓电子</w:t>
            </w:r>
            <w:r>
              <w:rPr>
                <w:rFonts w:ascii="Times New Roman" w:hAnsi="Times New Roman" w:cs="Times New Roman" w:eastAsia="Times New Roman" w:hint="default"/>
                <w:sz w:val="18"/>
                <w:szCs w:val="18"/>
              </w:rPr>
              <w:t>(</w:t>
            </w:r>
            <w:r>
              <w:rPr>
                <w:rFonts w:ascii="宋体" w:hAnsi="宋体" w:cs="宋体" w:eastAsia="宋体" w:hint="default"/>
                <w:sz w:val="18"/>
                <w:szCs w:val="18"/>
              </w:rPr>
              <w:t>香 </w:t>
            </w:r>
            <w:r>
              <w:rPr>
                <w:rFonts w:ascii="宋体" w:hAnsi="宋体" w:cs="宋体" w:eastAsia="宋体" w:hint="default"/>
                <w:spacing w:val="-14"/>
                <w:sz w:val="18"/>
                <w:szCs w:val="18"/>
              </w:rPr>
              <w:t>港）有限公司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电子产品研 发设计，进 出口贸易， 电子设备租 赁，投资控 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103,374,379.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20,535,714.5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88,968,621.3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2,202,488.81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2,175,389.65</w:t>
            </w:r>
          </w:p>
        </w:tc>
      </w:tr>
      <w:tr>
        <w:trPr>
          <w:trHeight w:val="321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6" w:lineRule="auto"/>
              <w:ind w:left="22" w:right="119"/>
              <w:jc w:val="both"/>
              <w:rPr>
                <w:rFonts w:ascii="宋体" w:hAnsi="宋体" w:cs="宋体" w:eastAsia="宋体" w:hint="default"/>
                <w:sz w:val="18"/>
                <w:szCs w:val="18"/>
              </w:rPr>
            </w:pPr>
            <w:r>
              <w:rPr>
                <w:rFonts w:ascii="宋体" w:hAnsi="宋体" w:cs="宋体" w:eastAsia="宋体" w:hint="default"/>
                <w:sz w:val="18"/>
                <w:szCs w:val="18"/>
              </w:rPr>
              <w:t>深圳前海奥 拓投资有限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合同能源管 理、对外科 技投资、产 业投资、科 技成果的开 发、推广和 转化、设备 租赁、货物 的进出口业 务等</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1"/>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1,000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5,029,049.74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5,010,869.00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23,048.01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21,267.27</w:t>
            </w:r>
          </w:p>
        </w:tc>
      </w:tr>
      <w:tr>
        <w:trPr>
          <w:trHeight w:val="1338"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119"/>
              <w:jc w:val="left"/>
              <w:rPr>
                <w:rFonts w:ascii="宋体" w:hAnsi="宋体" w:cs="宋体" w:eastAsia="宋体" w:hint="default"/>
                <w:sz w:val="18"/>
                <w:szCs w:val="18"/>
              </w:rPr>
            </w:pPr>
            <w:r>
              <w:rPr>
                <w:rFonts w:ascii="宋体" w:hAnsi="宋体" w:cs="宋体" w:eastAsia="宋体" w:hint="default"/>
                <w:sz w:val="18"/>
                <w:szCs w:val="18"/>
              </w:rPr>
              <w:t>北京奥拓科 技有限公司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电子产品销 售、软件开 发、计算机 系统服务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8"/>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1,000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9,120,790.02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8,907,384.78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1,720,754.71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1,293,633.21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969,976.95</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深圳市千百 辉照明工程 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安装工程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10,006 </w:t>
            </w:r>
            <w:r>
              <w:rPr>
                <w:rFonts w:ascii="宋体" w:hAnsi="宋体" w:cs="宋体" w:eastAsia="宋体" w:hint="default"/>
                <w:sz w:val="18"/>
                <w:szCs w:val="18"/>
              </w:rPr>
              <w:t>万元</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1,033,190,25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9.04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344,937,424.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953,120,805.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109,209,822.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96,363,903.7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r>
      <w:tr>
        <w:trPr>
          <w:trHeight w:val="1338"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19"/>
              <w:jc w:val="both"/>
              <w:rPr>
                <w:rFonts w:ascii="宋体" w:hAnsi="宋体" w:cs="宋体" w:eastAsia="宋体" w:hint="default"/>
                <w:sz w:val="18"/>
                <w:szCs w:val="18"/>
              </w:rPr>
            </w:pPr>
            <w:r>
              <w:rPr>
                <w:rFonts w:ascii="宋体" w:hAnsi="宋体" w:cs="宋体" w:eastAsia="宋体" w:hint="default"/>
                <w:sz w:val="18"/>
                <w:szCs w:val="18"/>
              </w:rPr>
              <w:t>深圳市奥拓 体育文化发 展有限公司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广告服务、 体育服务、 广告权益营 销</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8"/>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1,000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6,566,436.03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2,544,433.42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5,474,135.21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-1,913,078.2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-1,454,333.2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深圳市奥拓 立翔光电科 技有限公司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研发、销售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3,750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72,316,539.7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34,073,290.9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82,050,361.6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13,473,730.7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10,968,530.8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武汉市奥拓 智能科技有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研发、销售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1,000 </w:t>
            </w:r>
            <w:r>
              <w:rPr>
                <w:rFonts w:ascii="宋体" w:hAnsi="宋体" w:cs="宋体" w:eastAsia="宋体" w:hint="default"/>
                <w:sz w:val="18"/>
                <w:szCs w:val="18"/>
              </w:rPr>
              <w:t>万元人 民币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60,000.00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报告期内取得和处置子公司的情况</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0"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武汉市奥拓电子科技有限公司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新设立取得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357" w:lineRule="auto" w:before="51"/>
        <w:ind w:right="1190"/>
        <w:jc w:val="left"/>
      </w:pPr>
      <w:r>
        <w:rPr/>
        <w:t>主要控股参股公司情况说明 无</w:t>
      </w:r>
    </w:p>
    <w:p>
      <w:pPr>
        <w:spacing w:line="240" w:lineRule="auto" w:before="5"/>
        <w:rPr>
          <w:rFonts w:ascii="宋体" w:hAnsi="宋体" w:cs="宋体" w:eastAsia="宋体" w:hint="default"/>
          <w:sz w:val="18"/>
          <w:szCs w:val="18"/>
        </w:rPr>
      </w:pPr>
    </w:p>
    <w:p>
      <w:pPr>
        <w:pStyle w:val="Heading2"/>
        <w:spacing w:line="240" w:lineRule="auto"/>
        <w:ind w:right="0"/>
        <w:jc w:val="left"/>
        <w:rPr>
          <w:b w:val="0"/>
          <w:bCs w:val="0"/>
        </w:rPr>
      </w:pPr>
      <w:bookmarkStart w:name="八、公司控制的结构化主体情况" w:id="58"/>
      <w:bookmarkEnd w:id="58"/>
      <w:r>
        <w:rPr>
          <w:b w:val="0"/>
          <w:bCs w:val="0"/>
        </w:rPr>
      </w:r>
      <w:r>
        <w:rPr>
          <w:w w:val="95"/>
        </w:rPr>
        <w:t>八、公司控制的结构化主体情况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9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九、公司未来发展的展望" w:id="59"/>
      <w:bookmarkEnd w:id="59"/>
      <w:r>
        <w:rPr>
          <w:b w:val="0"/>
          <w:bCs w:val="0"/>
        </w:rPr>
      </w:r>
      <w:r>
        <w:rPr/>
        <w:t>九、公司未来发展的展望</w:t>
      </w:r>
      <w:r>
        <w:rPr>
          <w:b w:val="0"/>
          <w:bCs w:val="0"/>
        </w:rPr>
      </w:r>
    </w:p>
    <w:p>
      <w:pPr>
        <w:spacing w:line="240" w:lineRule="auto" w:before="7"/>
        <w:rPr>
          <w:rFonts w:ascii="宋体" w:hAnsi="宋体" w:cs="宋体" w:eastAsia="宋体" w:hint="default"/>
          <w:b/>
          <w:bCs/>
          <w:sz w:val="26"/>
          <w:szCs w:val="26"/>
        </w:rPr>
      </w:pPr>
    </w:p>
    <w:p>
      <w:pPr>
        <w:pStyle w:val="Heading7"/>
        <w:spacing w:line="240" w:lineRule="auto" w:before="0"/>
        <w:ind w:right="1190"/>
        <w:jc w:val="left"/>
        <w:rPr>
          <w:b w:val="0"/>
          <w:bCs w:val="0"/>
        </w:rPr>
      </w:pPr>
      <w:r>
        <w:rPr/>
        <w:pict>
          <v:shape style="position:absolute;margin-left:148.929993pt;margin-top:18.191696pt;width:280.07pt;height:274.75pt;mso-position-horizontal-relative:page;mso-position-vertical-relative:paragraph;z-index:1168" type="#_x0000_t75" stroked="false">
            <v:imagedata r:id="rId50" o:title=""/>
          </v:shape>
        </w:pict>
      </w:r>
      <w:r>
        <w:rPr/>
        <w:t>（一）公司发展战略</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pStyle w:val="BodyText"/>
        <w:spacing w:line="240" w:lineRule="auto" w:before="143"/>
        <w:ind w:left="153" w:right="0"/>
        <w:jc w:val="left"/>
      </w:pPr>
      <w:r>
        <w:rPr/>
        <w:t>奥拓电子</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战略生态图谱</w:t>
      </w:r>
    </w:p>
    <w:p>
      <w:pPr>
        <w:spacing w:after="0" w:line="240" w:lineRule="auto"/>
        <w:jc w:val="left"/>
        <w:sectPr>
          <w:type w:val="continuous"/>
          <w:pgSz w:w="11910" w:h="16840"/>
          <w:pgMar w:top="1060" w:bottom="1160" w:left="980" w:right="0"/>
          <w:cols w:num="2" w:equalWidth="0">
            <w:col w:w="3525" w:space="84"/>
            <w:col w:w="7321"/>
          </w:cols>
        </w:sectPr>
      </w:pPr>
    </w:p>
    <w:p>
      <w:pPr>
        <w:spacing w:line="240" w:lineRule="auto" w:before="3"/>
        <w:rPr>
          <w:rFonts w:ascii="宋体" w:hAnsi="宋体" w:cs="宋体" w:eastAsia="宋体" w:hint="default"/>
          <w:sz w:val="25"/>
          <w:szCs w:val="25"/>
        </w:rPr>
      </w:pPr>
    </w:p>
    <w:p>
      <w:pPr>
        <w:pStyle w:val="BodyText"/>
        <w:spacing w:line="300" w:lineRule="auto" w:before="44"/>
        <w:ind w:right="1129" w:firstLine="360"/>
        <w:jc w:val="both"/>
      </w:pPr>
      <w:r>
        <w:rPr>
          <w:rFonts w:ascii="Times New Roman" w:hAnsi="Times New Roman" w:cs="Times New Roman" w:eastAsia="Times New Roman" w:hint="default"/>
          <w:spacing w:val="-2"/>
        </w:rPr>
        <w:t>2018</w:t>
      </w:r>
      <w:r>
        <w:rPr>
          <w:spacing w:val="-2"/>
        </w:rPr>
        <w:t>年为智慧银行建设的元年，智慧银行成为各大银行主体转型升级的主要方向，受银行智能化转型需求的驱动，市场</w:t>
      </w:r>
      <w:r>
        <w:rPr/>
        <w:t> 空间将逐渐打开；</w:t>
      </w:r>
      <w:r>
        <w:rPr>
          <w:rFonts w:ascii="Times New Roman" w:hAnsi="Times New Roman" w:cs="Times New Roman" w:eastAsia="Times New Roman" w:hint="default"/>
        </w:rPr>
        <w:t>2018</w:t>
      </w:r>
      <w:r>
        <w:rPr/>
        <w:t>年，受</w:t>
      </w:r>
      <w:r>
        <w:rPr>
          <w:rFonts w:ascii="Times New Roman" w:hAnsi="Times New Roman" w:cs="Times New Roman" w:eastAsia="Times New Roman" w:hint="default"/>
        </w:rPr>
        <w:t>337</w:t>
      </w:r>
      <w:r>
        <w:rPr/>
        <w:t>事件及中美贸易摩擦的影响，</w:t>
      </w:r>
      <w:r>
        <w:rPr>
          <w:rFonts w:ascii="Times New Roman" w:hAnsi="Times New Roman" w:cs="Times New Roman" w:eastAsia="Times New Roman" w:hint="default"/>
        </w:rPr>
        <w:t>LED</w:t>
      </w:r>
      <w:r>
        <w:rPr/>
        <w:t>显示行业经历了一定的波动，但市场集中化程度仍然不</w:t>
      </w:r>
      <w:r>
        <w:rPr>
          <w:spacing w:val="-78"/>
        </w:rPr>
        <w:t> </w:t>
      </w:r>
      <w:r>
        <w:rPr>
          <w:spacing w:val="-78"/>
        </w:rPr>
      </w:r>
      <w:r>
        <w:rPr/>
        <w:t>断提高，技术迭代继续加速，</w:t>
      </w:r>
      <w:r>
        <w:rPr>
          <w:rFonts w:ascii="Times New Roman" w:hAnsi="Times New Roman" w:cs="Times New Roman" w:eastAsia="Times New Roman" w:hint="default"/>
        </w:rPr>
        <w:t>MINI LED</w:t>
      </w:r>
      <w:r>
        <w:rPr/>
        <w:t>等新技术逐渐迈向市场，市场呈现多元化发展局面；</w:t>
      </w:r>
      <w:r>
        <w:rPr>
          <w:spacing w:val="-75"/>
        </w:rPr>
        <w:t> </w:t>
      </w:r>
      <w:r>
        <w:rPr>
          <w:rFonts w:ascii="Times New Roman" w:hAnsi="Times New Roman" w:cs="Times New Roman" w:eastAsia="Times New Roman" w:hint="default"/>
        </w:rPr>
        <w:t>2018</w:t>
      </w:r>
      <w:r>
        <w:rPr/>
        <w:t>年智慧照明行业仍处于较</w:t>
      </w:r>
      <w:r>
        <w:rPr>
          <w:w w:val="99"/>
        </w:rPr>
        <w:t> </w:t>
      </w:r>
      <w:r>
        <w:rPr/>
        <w:t>高的景气度，市场朝着城市运营及视觉一体化发展，未来将成为智慧城市建设的重要一环。</w:t>
      </w:r>
    </w:p>
    <w:p>
      <w:pPr>
        <w:pStyle w:val="BodyText"/>
        <w:spacing w:line="300" w:lineRule="auto" w:before="31"/>
        <w:ind w:right="1130" w:firstLine="360"/>
        <w:jc w:val="both"/>
      </w:pPr>
      <w:r>
        <w:rPr>
          <w:rFonts w:ascii="Times New Roman" w:hAnsi="Times New Roman" w:cs="Times New Roman" w:eastAsia="Times New Roman" w:hint="default"/>
        </w:rPr>
        <w:t>2019</w:t>
      </w:r>
      <w:r>
        <w:rPr/>
        <w:t>年公司继续坚持</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战略，进一步梳理公司顶层架构及职能，力争构建</w:t>
      </w:r>
      <w:r>
        <w:rPr>
          <w:rFonts w:ascii="Times New Roman" w:hAnsi="Times New Roman" w:cs="Times New Roman" w:eastAsia="Times New Roman" w:hint="default"/>
        </w:rPr>
        <w:t>“</w:t>
      </w:r>
      <w:r>
        <w:rPr/>
        <w:t>赋能型管理平台</w:t>
      </w:r>
      <w:r>
        <w:rPr>
          <w:rFonts w:ascii="Times New Roman" w:hAnsi="Times New Roman" w:cs="Times New Roman" w:eastAsia="Times New Roman" w:hint="default"/>
        </w:rPr>
        <w:t>”</w:t>
      </w:r>
      <w:r>
        <w:rPr/>
        <w:t>，公司业务也将按照 事业群架构进行重建，成立金融科技事业群、智慧照明事业群以及</w:t>
      </w:r>
      <w:r>
        <w:rPr>
          <w:rFonts w:ascii="Times New Roman" w:hAnsi="Times New Roman" w:cs="Times New Roman" w:eastAsia="Times New Roman" w:hint="default"/>
        </w:rPr>
        <w:t>LED</w:t>
      </w:r>
      <w:r>
        <w:rPr/>
        <w:t>显示事业群，形成以</w:t>
      </w:r>
      <w:r>
        <w:rPr>
          <w:rFonts w:ascii="Times New Roman" w:hAnsi="Times New Roman" w:cs="Times New Roman" w:eastAsia="Times New Roman" w:hint="default"/>
        </w:rPr>
        <w:t>3</w:t>
      </w:r>
      <w:r>
        <w:rPr/>
        <w:t>大事业群、</w:t>
      </w:r>
      <w:r>
        <w:rPr>
          <w:rFonts w:ascii="Times New Roman" w:hAnsi="Times New Roman" w:cs="Times New Roman" w:eastAsia="Times New Roman" w:hint="default"/>
        </w:rPr>
        <w:t>11</w:t>
      </w:r>
      <w:r>
        <w:rPr/>
        <w:t>个职能部门为核</w:t>
      </w:r>
      <w:r>
        <w:rPr>
          <w:spacing w:val="-76"/>
        </w:rPr>
        <w:t> </w:t>
      </w:r>
      <w:r>
        <w:rPr>
          <w:spacing w:val="-76"/>
        </w:rPr>
      </w:r>
      <w:r>
        <w:rPr>
          <w:spacing w:val="-5"/>
        </w:rPr>
        <w:t>心的组织架构，促使各事业群分工明确、互相协同，为公司</w:t>
      </w:r>
      <w:r>
        <w:rPr>
          <w:rFonts w:ascii="Times New Roman" w:hAnsi="Times New Roman" w:cs="Times New Roman" w:eastAsia="Times New Roman" w:hint="default"/>
          <w:spacing w:val="-5"/>
        </w:rPr>
        <w:t>2019</w:t>
      </w:r>
      <w:r>
        <w:rPr>
          <w:spacing w:val="-5"/>
        </w:rPr>
        <w:t>年的快速发展奠定坚实的基础。同时，公司将围绕资源整合、</w:t>
      </w:r>
      <w:r>
        <w:rPr>
          <w:spacing w:val="-69"/>
        </w:rPr>
        <w:t> </w:t>
      </w:r>
      <w:r>
        <w:rPr>
          <w:spacing w:val="-69"/>
        </w:rPr>
      </w:r>
      <w:r>
        <w:rPr/>
        <w:t>人才聚集、技术创新、品牌塑造四大重点工作，提升公司资源聚集能力，发挥各事业群自身潜力，促进相互交叉赋能。</w:t>
      </w:r>
    </w:p>
    <w:p>
      <w:pPr>
        <w:pStyle w:val="BodyText"/>
        <w:spacing w:line="300" w:lineRule="auto" w:before="31"/>
        <w:ind w:right="1131" w:firstLine="360"/>
        <w:jc w:val="both"/>
      </w:pPr>
      <w:r>
        <w:rPr>
          <w:rFonts w:ascii="Times New Roman" w:hAnsi="Times New Roman" w:cs="Times New Roman" w:eastAsia="Times New Roman" w:hint="default"/>
        </w:rPr>
        <w:t>2019</w:t>
      </w:r>
      <w:r>
        <w:rPr/>
        <w:t>年，公司将围绕</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战略，加强人工智能技术的研究及融合，以智慧城市为新的业务增长点，利用公司的技术 </w:t>
      </w:r>
      <w:r>
        <w:rPr>
          <w:spacing w:val="-2"/>
        </w:rPr>
        <w:t>优势及资本市场平台，充分发挥赋能作用，促进金融科技、智慧照明及</w:t>
      </w:r>
      <w:r>
        <w:rPr>
          <w:rFonts w:ascii="Times New Roman" w:hAnsi="Times New Roman" w:cs="Times New Roman" w:eastAsia="Times New Roman" w:hint="default"/>
          <w:spacing w:val="-2"/>
        </w:rPr>
        <w:t>LED</w:t>
      </w:r>
      <w:r>
        <w:rPr>
          <w:spacing w:val="-2"/>
        </w:rPr>
        <w:t>显示三大事业群的快速发展，力争把公司建设成</w:t>
      </w:r>
      <w:r>
        <w:rPr>
          <w:spacing w:val="-53"/>
        </w:rPr>
        <w:t> </w:t>
      </w:r>
      <w:r>
        <w:rPr>
          <w:spacing w:val="-53"/>
        </w:rPr>
      </w:r>
      <w:r>
        <w:rPr/>
        <w:t>为</w:t>
      </w:r>
      <w:r>
        <w:rPr>
          <w:rFonts w:ascii="宋体" w:hAnsi="宋体" w:cs="宋体" w:eastAsia="宋体" w:hint="default"/>
          <w:b/>
          <w:bCs/>
        </w:rPr>
        <w:t>智能视讯系统集成行业中规模及市值领先的优秀上市公司</w:t>
      </w:r>
      <w:r>
        <w:rPr/>
        <w:t>。</w:t>
      </w:r>
    </w:p>
    <w:p>
      <w:pPr>
        <w:spacing w:after="0" w:line="300" w:lineRule="auto"/>
        <w:jc w:val="both"/>
        <w:sectPr>
          <w:type w:val="continuous"/>
          <w:pgSz w:w="11910" w:h="16840"/>
          <w:pgMar w:top="1060" w:bottom="1160" w:left="980" w:right="0"/>
        </w:sectPr>
      </w:pPr>
    </w:p>
    <w:p>
      <w:pPr>
        <w:spacing w:line="240" w:lineRule="auto" w:before="12"/>
        <w:rPr>
          <w:rFonts w:ascii="宋体" w:hAnsi="宋体" w:cs="宋体" w:eastAsia="宋体" w:hint="default"/>
          <w:sz w:val="25"/>
          <w:szCs w:val="25"/>
        </w:rPr>
      </w:pPr>
    </w:p>
    <w:p>
      <w:pPr>
        <w:pStyle w:val="Heading7"/>
        <w:spacing w:line="240" w:lineRule="auto" w:before="44"/>
        <w:ind w:left="514" w:right="0"/>
        <w:jc w:val="left"/>
        <w:rPr>
          <w:b w:val="0"/>
          <w:bCs w:val="0"/>
        </w:rPr>
      </w:pPr>
      <w:r>
        <w:rPr/>
        <w:t>（二）行业竞争格局与发展趋势</w:t>
      </w:r>
      <w:r>
        <w:rPr>
          <w:b w:val="0"/>
          <w:bCs w:val="0"/>
        </w:rPr>
      </w:r>
    </w:p>
    <w:p>
      <w:pPr>
        <w:spacing w:line="300" w:lineRule="auto" w:before="76"/>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、金融科技行业竞争格局与发展趋势</w:t>
      </w:r>
      <w:r>
        <w:rPr>
          <w:rFonts w:ascii="宋体" w:hAnsi="宋体" w:cs="宋体" w:eastAsia="宋体" w:hint="default"/>
          <w:b/>
          <w:bCs/>
          <w:w w:val="99"/>
          <w:sz w:val="18"/>
          <w:szCs w:val="18"/>
        </w:rPr>
        <w:t> </w:t>
      </w:r>
      <w:r>
        <w:rPr>
          <w:rFonts w:ascii="宋体" w:hAnsi="宋体" w:cs="宋体" w:eastAsia="宋体" w:hint="default"/>
          <w:spacing w:val="-1"/>
          <w:sz w:val="18"/>
          <w:szCs w:val="18"/>
        </w:rPr>
        <w:t>根据银保监会金融许可证查询，截至</w:t>
      </w: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11</w:t>
      </w:r>
      <w:r>
        <w:rPr>
          <w:rFonts w:ascii="宋体" w:hAnsi="宋体" w:cs="宋体" w:eastAsia="宋体" w:hint="default"/>
          <w:spacing w:val="-1"/>
          <w:sz w:val="18"/>
          <w:szCs w:val="18"/>
        </w:rPr>
        <w:t>日，国内登记在册的全国银行物理网点</w:t>
      </w:r>
      <w:r>
        <w:rPr>
          <w:rFonts w:ascii="Times New Roman" w:hAnsi="Times New Roman" w:cs="Times New Roman" w:eastAsia="Times New Roman" w:hint="default"/>
          <w:spacing w:val="-1"/>
          <w:sz w:val="18"/>
          <w:szCs w:val="18"/>
        </w:rPr>
        <w:t>22.86</w:t>
      </w:r>
      <w:r>
        <w:rPr>
          <w:rFonts w:ascii="宋体" w:hAnsi="宋体" w:cs="宋体" w:eastAsia="宋体" w:hint="default"/>
          <w:spacing w:val="-1"/>
          <w:sz w:val="18"/>
          <w:szCs w:val="18"/>
        </w:rPr>
        <w:t>万家，国有六大银行营业</w:t>
      </w:r>
    </w:p>
    <w:p>
      <w:pPr>
        <w:pStyle w:val="BodyText"/>
        <w:spacing w:line="300" w:lineRule="auto" w:before="13"/>
        <w:ind w:right="1132"/>
        <w:jc w:val="both"/>
      </w:pPr>
      <w:r>
        <w:rPr>
          <w:spacing w:val="-2"/>
        </w:rPr>
        <w:t>网点超过</w:t>
      </w:r>
      <w:r>
        <w:rPr>
          <w:rFonts w:ascii="Times New Roman" w:hAnsi="Times New Roman" w:cs="Times New Roman" w:eastAsia="Times New Roman" w:hint="default"/>
          <w:spacing w:val="-2"/>
        </w:rPr>
        <w:t>10</w:t>
      </w:r>
      <w:r>
        <w:rPr>
          <w:spacing w:val="-2"/>
        </w:rPr>
        <w:t>万个，但是银行物理网点的净增加量在逐渐降低，主要因为线上分流明显，银行行业竞争加剧，网点租金、人工</w:t>
      </w:r>
      <w:r>
        <w:rPr>
          <w:spacing w:val="-64"/>
        </w:rPr>
        <w:t> </w:t>
      </w:r>
      <w:r>
        <w:rPr>
          <w:spacing w:val="-64"/>
        </w:rPr>
      </w:r>
      <w:r>
        <w:rPr/>
        <w:t>成本上涨等因素所致，未来银行朝着智能化、数字化、场景化、轻型化及特色化趋势转型将成为行业的主流。</w:t>
      </w:r>
    </w:p>
    <w:p>
      <w:pPr>
        <w:pStyle w:val="BodyText"/>
        <w:spacing w:line="316" w:lineRule="auto" w:before="31"/>
        <w:ind w:right="1130" w:firstLine="360"/>
        <w:jc w:val="both"/>
      </w:pPr>
      <w:r>
        <w:rPr>
          <w:spacing w:val="-2"/>
        </w:rPr>
        <w:t>在技术、数据、市场和场景等多因素变化的影响下，基于互联网、大数据、云计算、人工智能、区块链等信息技术的运</w:t>
      </w:r>
      <w:r>
        <w:rPr/>
        <w:t> </w:t>
      </w:r>
      <w:r>
        <w:rPr>
          <w:spacing w:val="-2"/>
        </w:rPr>
        <w:t>用，银行业逐渐由传统的服务模式向智慧化的模式转变，以信息的高度集成化、自动化处理，实现对市场的智慧感知；依托</w:t>
      </w:r>
      <w:r>
        <w:rPr>
          <w:spacing w:val="-65"/>
        </w:rPr>
        <w:t> </w:t>
      </w:r>
      <w:r>
        <w:rPr>
          <w:spacing w:val="-65"/>
        </w:rPr>
      </w:r>
      <w:r>
        <w:rPr>
          <w:spacing w:val="-2"/>
        </w:rPr>
        <w:t>大数据信息实现对金融产品和服务的智慧精准营销，为客户提供随时、随地、随心的化服务。在此基础上，依托不同的用户</w:t>
      </w:r>
      <w:r>
        <w:rPr>
          <w:spacing w:val="-65"/>
        </w:rPr>
        <w:t> </w:t>
      </w:r>
      <w:r>
        <w:rPr>
          <w:spacing w:val="-65"/>
        </w:rPr>
      </w:r>
      <w:r>
        <w:rPr/>
        <w:t>需求，提供不同的个性化服务，在提升银行工作效率和服务内容的同时，实现了银行业发展的转型升级。</w:t>
      </w:r>
    </w:p>
    <w:p>
      <w:pPr>
        <w:pStyle w:val="BodyText"/>
        <w:spacing w:line="300" w:lineRule="auto" w:before="19"/>
        <w:ind w:right="1130" w:firstLine="360"/>
        <w:jc w:val="both"/>
      </w:pPr>
      <w:r>
        <w:rPr>
          <w:spacing w:val="-2"/>
        </w:rPr>
        <w:t>银行业的</w:t>
      </w:r>
      <w:r>
        <w:rPr>
          <w:rFonts w:ascii="Times New Roman" w:hAnsi="Times New Roman" w:cs="Times New Roman" w:eastAsia="Times New Roman" w:hint="default"/>
          <w:spacing w:val="-2"/>
        </w:rPr>
        <w:t>IT</w:t>
      </w:r>
      <w:r>
        <w:rPr>
          <w:spacing w:val="-2"/>
        </w:rPr>
        <w:t>投资是各银行智慧化建设的重要表现，根据前瞻产业研究院整理数据显示，</w:t>
      </w:r>
      <w:r>
        <w:rPr>
          <w:rFonts w:ascii="Times New Roman" w:hAnsi="Times New Roman" w:cs="Times New Roman" w:eastAsia="Times New Roman" w:hint="default"/>
          <w:spacing w:val="-2"/>
        </w:rPr>
        <w:t>2018</w:t>
      </w:r>
      <w:r>
        <w:rPr>
          <w:spacing w:val="-2"/>
        </w:rPr>
        <w:t>年中国银行业整体</w:t>
      </w:r>
      <w:r>
        <w:rPr>
          <w:rFonts w:ascii="Times New Roman" w:hAnsi="Times New Roman" w:cs="Times New Roman" w:eastAsia="Times New Roman" w:hint="default"/>
          <w:spacing w:val="-2"/>
        </w:rPr>
        <w:t>IT</w:t>
      </w:r>
      <w:r>
        <w:rPr>
          <w:spacing w:val="-2"/>
        </w:rPr>
        <w:t>投资规</w:t>
      </w:r>
      <w:r>
        <w:rPr/>
        <w:t> 模预计为</w:t>
      </w:r>
      <w:r>
        <w:rPr>
          <w:rFonts w:ascii="Times New Roman" w:hAnsi="Times New Roman" w:cs="Times New Roman" w:eastAsia="Times New Roman" w:hint="default"/>
        </w:rPr>
        <w:t>1,115</w:t>
      </w:r>
      <w:r>
        <w:rPr/>
        <w:t>亿元，预计到</w:t>
      </w:r>
      <w:r>
        <w:rPr>
          <w:rFonts w:ascii="Times New Roman" w:hAnsi="Times New Roman" w:cs="Times New Roman" w:eastAsia="Times New Roman" w:hint="default"/>
        </w:rPr>
        <w:t>2020</w:t>
      </w:r>
      <w:r>
        <w:rPr/>
        <w:t>年，中国银行业整体</w:t>
      </w:r>
      <w:r>
        <w:rPr>
          <w:rFonts w:ascii="Times New Roman" w:hAnsi="Times New Roman" w:cs="Times New Roman" w:eastAsia="Times New Roman" w:hint="default"/>
        </w:rPr>
        <w:t>IT</w:t>
      </w:r>
      <w:r>
        <w:rPr/>
        <w:t>投资规模将达到</w:t>
      </w:r>
      <w:r>
        <w:rPr>
          <w:rFonts w:ascii="Times New Roman" w:hAnsi="Times New Roman" w:cs="Times New Roman" w:eastAsia="Times New Roman" w:hint="default"/>
        </w:rPr>
        <w:t>1,351.3</w:t>
      </w:r>
      <w:r>
        <w:rPr/>
        <w:t>亿元，年均复合增速为</w:t>
      </w:r>
      <w:r>
        <w:rPr>
          <w:rFonts w:ascii="Times New Roman" w:hAnsi="Times New Roman" w:cs="Times New Roman" w:eastAsia="Times New Roman" w:hint="default"/>
        </w:rPr>
        <w:t>10%</w:t>
      </w:r>
      <w:r>
        <w:rPr/>
        <w:t>。</w:t>
      </w:r>
    </w:p>
    <w:p>
      <w:pPr>
        <w:pStyle w:val="BodyText"/>
        <w:spacing w:line="300" w:lineRule="auto" w:before="13"/>
        <w:ind w:right="0" w:firstLine="360"/>
        <w:jc w:val="left"/>
      </w:pPr>
      <w:r>
        <w:rPr>
          <w:spacing w:val="-2"/>
        </w:rPr>
        <w:t>目前国内银行物理网点</w:t>
      </w:r>
      <w:r>
        <w:rPr>
          <w:rFonts w:ascii="Times New Roman" w:hAnsi="Times New Roman" w:cs="Times New Roman" w:eastAsia="Times New Roman" w:hint="default"/>
          <w:spacing w:val="-2"/>
        </w:rPr>
        <w:t>22.86</w:t>
      </w:r>
      <w:r>
        <w:rPr>
          <w:spacing w:val="-2"/>
        </w:rPr>
        <w:t>万个，假设未来</w:t>
      </w:r>
      <w:r>
        <w:rPr>
          <w:rFonts w:ascii="Times New Roman" w:hAnsi="Times New Roman" w:cs="Times New Roman" w:eastAsia="Times New Roman" w:hint="default"/>
          <w:spacing w:val="-2"/>
        </w:rPr>
        <w:t>90%</w:t>
      </w:r>
      <w:r>
        <w:rPr>
          <w:spacing w:val="-2"/>
        </w:rPr>
        <w:t>的银行物理网点将进行智能化改造，单一网点平均投资金额为</w:t>
      </w:r>
      <w:r>
        <w:rPr>
          <w:rFonts w:ascii="Times New Roman" w:hAnsi="Times New Roman" w:cs="Times New Roman" w:eastAsia="Times New Roman" w:hint="default"/>
          <w:spacing w:val="-2"/>
        </w:rPr>
        <w:t>300</w:t>
      </w:r>
      <w:r>
        <w:rPr>
          <w:spacing w:val="-2"/>
        </w:rPr>
        <w:t>万元，</w:t>
      </w:r>
      <w:r>
        <w:rPr/>
        <w:t> 则整个智慧银行改造市场规模总量预计超过</w:t>
      </w:r>
      <w:r>
        <w:rPr>
          <w:rFonts w:ascii="Times New Roman" w:hAnsi="Times New Roman" w:cs="Times New Roman" w:eastAsia="Times New Roman" w:hint="default"/>
        </w:rPr>
        <w:t>6,000</w:t>
      </w:r>
      <w:r>
        <w:rPr/>
        <w:t>亿元；假设每年按照</w:t>
      </w:r>
      <w:r>
        <w:rPr>
          <w:rFonts w:ascii="Times New Roman" w:hAnsi="Times New Roman" w:cs="Times New Roman" w:eastAsia="Times New Roman" w:hint="default"/>
        </w:rPr>
        <w:t>10%</w:t>
      </w:r>
      <w:r>
        <w:rPr/>
        <w:t>的比例进行智能化改造，则预计一年的市场规模</w:t>
      </w:r>
      <w:r>
        <w:rPr>
          <w:spacing w:val="-20"/>
        </w:rPr>
        <w:t> </w:t>
      </w:r>
      <w:r>
        <w:rPr>
          <w:spacing w:val="-20"/>
        </w:rPr>
      </w:r>
      <w:r>
        <w:rPr/>
        <w:t>为</w:t>
      </w:r>
      <w:r>
        <w:rPr>
          <w:rFonts w:ascii="Times New Roman" w:hAnsi="Times New Roman" w:cs="Times New Roman" w:eastAsia="Times New Roman" w:hint="default"/>
        </w:rPr>
        <w:t>685.8</w:t>
      </w:r>
      <w:r>
        <w:rPr/>
        <w:t>亿元。未来在金融科技技术的助力下，智慧银行将是各银行实体网点转型升级的主要方向，市场空间将逐渐增大。</w:t>
      </w:r>
    </w:p>
    <w:p>
      <w:pPr>
        <w:spacing w:line="300" w:lineRule="auto" w:before="13"/>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LED</w:t>
      </w:r>
      <w:r>
        <w:rPr>
          <w:rFonts w:ascii="宋体" w:hAnsi="宋体" w:cs="宋体" w:eastAsia="宋体" w:hint="default"/>
          <w:b/>
          <w:bCs/>
          <w:sz w:val="18"/>
          <w:szCs w:val="18"/>
        </w:rPr>
        <w:t>显示行业竞争格局与发展趋势</w:t>
      </w:r>
      <w:r>
        <w:rPr>
          <w:rFonts w:ascii="宋体" w:hAnsi="宋体" w:cs="宋体" w:eastAsia="宋体" w:hint="default"/>
          <w:b/>
          <w:bCs/>
          <w:w w:val="99"/>
          <w:sz w:val="18"/>
          <w:szCs w:val="18"/>
        </w:rPr>
        <w:t> </w:t>
      </w:r>
      <w:r>
        <w:rPr>
          <w:rFonts w:ascii="宋体" w:hAnsi="宋体" w:cs="宋体" w:eastAsia="宋体" w:hint="default"/>
          <w:spacing w:val="-1"/>
          <w:sz w:val="18"/>
          <w:szCs w:val="18"/>
        </w:rPr>
        <w:t>据高工产业研究院</w:t>
      </w:r>
      <w:r>
        <w:rPr>
          <w:rFonts w:ascii="Times New Roman" w:hAnsi="Times New Roman" w:cs="Times New Roman" w:eastAsia="Times New Roman" w:hint="default"/>
          <w:spacing w:val="-1"/>
          <w:sz w:val="18"/>
          <w:szCs w:val="18"/>
        </w:rPr>
        <w:t>LED</w:t>
      </w:r>
      <w:r>
        <w:rPr>
          <w:rFonts w:ascii="宋体" w:hAnsi="宋体" w:cs="宋体" w:eastAsia="宋体" w:hint="default"/>
          <w:spacing w:val="-1"/>
          <w:sz w:val="18"/>
          <w:szCs w:val="18"/>
        </w:rPr>
        <w:t>研究所</w:t>
      </w:r>
      <w:r>
        <w:rPr>
          <w:rFonts w:ascii="Times New Roman" w:hAnsi="Times New Roman" w:cs="Times New Roman" w:eastAsia="Times New Roman" w:hint="default"/>
          <w:spacing w:val="-1"/>
          <w:sz w:val="18"/>
          <w:szCs w:val="18"/>
        </w:rPr>
        <w:t>(GGII)</w:t>
      </w:r>
      <w:r>
        <w:rPr>
          <w:rFonts w:ascii="宋体" w:hAnsi="宋体" w:cs="宋体" w:eastAsia="宋体" w:hint="default"/>
          <w:spacing w:val="-1"/>
          <w:sz w:val="18"/>
          <w:szCs w:val="18"/>
        </w:rPr>
        <w:t>数据显示，受益于</w:t>
      </w:r>
      <w:r>
        <w:rPr>
          <w:rFonts w:ascii="Times New Roman" w:hAnsi="Times New Roman" w:cs="Times New Roman" w:eastAsia="Times New Roman" w:hint="default"/>
          <w:spacing w:val="-1"/>
          <w:sz w:val="18"/>
          <w:szCs w:val="18"/>
        </w:rPr>
        <w:t>LED</w:t>
      </w:r>
      <w:r>
        <w:rPr>
          <w:rFonts w:ascii="宋体" w:hAnsi="宋体" w:cs="宋体" w:eastAsia="宋体" w:hint="default"/>
          <w:spacing w:val="-1"/>
          <w:sz w:val="18"/>
          <w:szCs w:val="18"/>
        </w:rPr>
        <w:t>室内普通照明保持稳定增长、户外景观量化迅速增长以及显</w:t>
      </w:r>
    </w:p>
    <w:p>
      <w:pPr>
        <w:pStyle w:val="BodyText"/>
        <w:spacing w:line="300" w:lineRule="auto" w:before="13"/>
        <w:ind w:right="1134"/>
        <w:jc w:val="both"/>
      </w:pPr>
      <w:r>
        <w:rPr/>
        <w:t>示屏保持高速增长，</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LED</w:t>
      </w:r>
      <w:r>
        <w:rPr/>
        <w:t>产值规模达到</w:t>
      </w:r>
      <w:r>
        <w:rPr>
          <w:rFonts w:ascii="Times New Roman" w:hAnsi="Times New Roman" w:cs="Times New Roman" w:eastAsia="Times New Roman" w:hint="default"/>
        </w:rPr>
        <w:t>7,287</w:t>
      </w:r>
      <w:r>
        <w:rPr/>
        <w:t>亿元，同比增长达到</w:t>
      </w:r>
      <w:r>
        <w:rPr>
          <w:rFonts w:ascii="Times New Roman" w:hAnsi="Times New Roman" w:cs="Times New Roman" w:eastAsia="Times New Roman" w:hint="default"/>
        </w:rPr>
        <w:t>13.50%</w:t>
      </w:r>
      <w:r>
        <w:rPr/>
        <w:t>。由于全球经济增速放缓，国内房地产行业</w:t>
      </w:r>
      <w:r>
        <w:rPr>
          <w:spacing w:val="-50"/>
        </w:rPr>
        <w:t> </w:t>
      </w:r>
      <w:r>
        <w:rPr>
          <w:spacing w:val="-50"/>
        </w:rPr>
      </w:r>
      <w:r>
        <w:rPr/>
        <w:t>也将出现下滑，</w:t>
      </w:r>
      <w:r>
        <w:rPr>
          <w:rFonts w:ascii="Times New Roman" w:hAnsi="Times New Roman" w:cs="Times New Roman" w:eastAsia="Times New Roman" w:hint="default"/>
        </w:rPr>
        <w:t>GGII</w:t>
      </w:r>
      <w:r>
        <w:rPr/>
        <w:t>预计，</w:t>
      </w:r>
      <w:r>
        <w:rPr>
          <w:rFonts w:ascii="Times New Roman" w:hAnsi="Times New Roman" w:cs="Times New Roman" w:eastAsia="Times New Roman" w:hint="default"/>
        </w:rPr>
        <w:t>2019</w:t>
      </w:r>
      <w:r>
        <w:rPr/>
        <w:t>年整个</w:t>
      </w:r>
      <w:r>
        <w:rPr>
          <w:rFonts w:ascii="Times New Roman" w:hAnsi="Times New Roman" w:cs="Times New Roman" w:eastAsia="Times New Roman" w:hint="default"/>
        </w:rPr>
        <w:t>LED</w:t>
      </w:r>
      <w:r>
        <w:rPr/>
        <w:t>产值规模增速将下滑到</w:t>
      </w:r>
      <w:r>
        <w:rPr>
          <w:rFonts w:ascii="Times New Roman" w:hAnsi="Times New Roman" w:cs="Times New Roman" w:eastAsia="Times New Roman" w:hint="default"/>
        </w:rPr>
        <w:t>11.30%</w:t>
      </w:r>
      <w:r>
        <w:rPr/>
        <w:t>。</w:t>
      </w:r>
    </w:p>
    <w:p>
      <w:pPr>
        <w:pStyle w:val="Heading7"/>
        <w:spacing w:line="240" w:lineRule="auto" w:before="13"/>
        <w:ind w:left="514" w:right="0"/>
        <w:jc w:val="left"/>
        <w:rPr>
          <w:b w:val="0"/>
          <w:bCs w:val="0"/>
        </w:rPr>
      </w:pPr>
      <w:r>
        <w:rPr/>
        <w:t>（</w:t>
      </w:r>
      <w:r>
        <w:rPr>
          <w:rFonts w:ascii="Times New Roman" w:hAnsi="Times New Roman" w:cs="Times New Roman" w:eastAsia="Times New Roman" w:hint="default"/>
        </w:rPr>
        <w:t>1</w:t>
      </w:r>
      <w:r>
        <w:rPr/>
        <w:t>）中国</w:t>
      </w:r>
      <w:r>
        <w:rPr>
          <w:rFonts w:ascii="Times New Roman" w:hAnsi="Times New Roman" w:cs="Times New Roman" w:eastAsia="Times New Roman" w:hint="default"/>
        </w:rPr>
        <w:t>LED</w:t>
      </w:r>
      <w:r>
        <w:rPr/>
        <w:t>小间距市场持续增长，细分领域需求增加</w:t>
      </w:r>
      <w:r>
        <w:rPr>
          <w:b w:val="0"/>
          <w:bCs w:val="0"/>
        </w:rPr>
      </w:r>
    </w:p>
    <w:p>
      <w:pPr>
        <w:pStyle w:val="BodyText"/>
        <w:spacing w:line="300" w:lineRule="auto" w:before="103"/>
        <w:ind w:right="1130" w:firstLine="360"/>
        <w:jc w:val="both"/>
      </w:pPr>
      <w:r>
        <w:rPr>
          <w:rFonts w:ascii="Times New Roman" w:hAnsi="Times New Roman" w:cs="Times New Roman" w:eastAsia="Times New Roman" w:hint="default"/>
        </w:rPr>
        <w:t>GGII</w:t>
      </w:r>
      <w:r>
        <w:rPr/>
        <w:t>预计，</w:t>
      </w:r>
      <w:r>
        <w:rPr>
          <w:rFonts w:ascii="Times New Roman" w:hAnsi="Times New Roman" w:cs="Times New Roman" w:eastAsia="Times New Roman" w:hint="default"/>
        </w:rPr>
        <w:t>2018</w:t>
      </w:r>
      <w:r>
        <w:rPr/>
        <w:t>年中国小间距</w:t>
      </w:r>
      <w:r>
        <w:rPr>
          <w:rFonts w:ascii="Times New Roman" w:hAnsi="Times New Roman" w:cs="Times New Roman" w:eastAsia="Times New Roman" w:hint="default"/>
        </w:rPr>
        <w:t>LED</w:t>
      </w:r>
      <w:r>
        <w:rPr/>
        <w:t>显示市场规模同比增长</w:t>
      </w:r>
      <w:r>
        <w:rPr>
          <w:rFonts w:ascii="Times New Roman" w:hAnsi="Times New Roman" w:cs="Times New Roman" w:eastAsia="Times New Roman" w:hint="default"/>
        </w:rPr>
        <w:t>47.00%</w:t>
      </w:r>
      <w:r>
        <w:rPr/>
        <w:t>，达到</w:t>
      </w:r>
      <w:r>
        <w:rPr>
          <w:rFonts w:ascii="Times New Roman" w:hAnsi="Times New Roman" w:cs="Times New Roman" w:eastAsia="Times New Roman" w:hint="default"/>
        </w:rPr>
        <w:t>86</w:t>
      </w:r>
      <w:r>
        <w:rPr/>
        <w:t>亿元。进入</w:t>
      </w:r>
      <w:r>
        <w:rPr>
          <w:rFonts w:ascii="Times New Roman" w:hAnsi="Times New Roman" w:cs="Times New Roman" w:eastAsia="Times New Roman" w:hint="default"/>
        </w:rPr>
        <w:t>2018</w:t>
      </w:r>
      <w:r>
        <w:rPr/>
        <w:t>年以来，小间距显示在商显</w:t>
      </w:r>
      <w:r>
        <w:rPr>
          <w:w w:val="99"/>
        </w:rPr>
        <w:t> </w:t>
      </w:r>
      <w:r>
        <w:rPr/>
        <w:t>中的渗透率进一步提高，商显在小间距的应用占比有望达到</w:t>
      </w:r>
      <w:r>
        <w:rPr>
          <w:rFonts w:ascii="Times New Roman" w:hAnsi="Times New Roman" w:cs="Times New Roman" w:eastAsia="Times New Roman" w:hint="default"/>
        </w:rPr>
        <w:t>60.00%</w:t>
      </w:r>
      <w:r>
        <w:rPr/>
        <w:t>。</w:t>
      </w:r>
      <w:r>
        <w:rPr>
          <w:rFonts w:ascii="Times New Roman" w:hAnsi="Times New Roman" w:cs="Times New Roman" w:eastAsia="Times New Roman" w:hint="default"/>
        </w:rPr>
        <w:t>GGII</w:t>
      </w:r>
      <w:r>
        <w:rPr/>
        <w:t>预计未来</w:t>
      </w:r>
      <w:r>
        <w:rPr>
          <w:rFonts w:ascii="Times New Roman" w:hAnsi="Times New Roman" w:cs="Times New Roman" w:eastAsia="Times New Roman" w:hint="default"/>
        </w:rPr>
        <w:t>LED</w:t>
      </w:r>
      <w:r>
        <w:rPr/>
        <w:t>小间距显示屏仍将延续高速增长，</w:t>
      </w:r>
      <w:r>
        <w:rPr>
          <w:spacing w:val="-27"/>
        </w:rPr>
        <w:t> </w:t>
      </w:r>
      <w:r>
        <w:rPr>
          <w:spacing w:val="-27"/>
        </w:rPr>
      </w:r>
      <w:r>
        <w:rPr>
          <w:rFonts w:ascii="Times New Roman" w:hAnsi="Times New Roman" w:cs="Times New Roman" w:eastAsia="Times New Roman" w:hint="default"/>
        </w:rPr>
        <w:t>2018-2020</w:t>
      </w:r>
      <w:r>
        <w:rPr/>
        <w:t>年中国</w:t>
      </w:r>
      <w:r>
        <w:rPr>
          <w:rFonts w:ascii="Times New Roman" w:hAnsi="Times New Roman" w:cs="Times New Roman" w:eastAsia="Times New Roman" w:hint="default"/>
        </w:rPr>
        <w:t>LED</w:t>
      </w:r>
      <w:r>
        <w:rPr/>
        <w:t>小间距显示屏市场规模复合增长率将达</w:t>
      </w:r>
      <w:r>
        <w:rPr>
          <w:rFonts w:ascii="Times New Roman" w:hAnsi="Times New Roman" w:cs="Times New Roman" w:eastAsia="Times New Roman" w:hint="default"/>
        </w:rPr>
        <w:t>44.00%</w:t>
      </w:r>
      <w:r>
        <w:rPr/>
        <w:t>左右，</w:t>
      </w:r>
      <w:r>
        <w:rPr>
          <w:rFonts w:ascii="Times New Roman" w:hAnsi="Times New Roman" w:cs="Times New Roman" w:eastAsia="Times New Roman" w:hint="default"/>
        </w:rPr>
        <w:t>2020</w:t>
      </w:r>
      <w:r>
        <w:rPr/>
        <w:t>年中国</w:t>
      </w:r>
      <w:r>
        <w:rPr>
          <w:rFonts w:ascii="Times New Roman" w:hAnsi="Times New Roman" w:cs="Times New Roman" w:eastAsia="Times New Roman" w:hint="default"/>
        </w:rPr>
        <w:t>LED</w:t>
      </w:r>
      <w:r>
        <w:rPr/>
        <w:t>小间距显示屏市场规模将达</w:t>
      </w:r>
      <w:r>
        <w:rPr>
          <w:rFonts w:ascii="Times New Roman" w:hAnsi="Times New Roman" w:cs="Times New Roman" w:eastAsia="Times New Roman" w:hint="default"/>
        </w:rPr>
        <w:t>177</w:t>
      </w:r>
      <w:r>
        <w:rPr>
          <w:rFonts w:ascii="Times New Roman" w:hAnsi="Times New Roman" w:cs="Times New Roman" w:eastAsia="Times New Roman" w:hint="default"/>
          <w:spacing w:val="29"/>
        </w:rPr>
        <w:t> </w:t>
      </w:r>
      <w:r>
        <w:rPr>
          <w:rFonts w:ascii="Times New Roman" w:hAnsi="Times New Roman" w:cs="Times New Roman" w:eastAsia="Times New Roman" w:hint="default"/>
          <w:spacing w:val="29"/>
        </w:rPr>
      </w:r>
      <w:r>
        <w:rPr/>
        <w:t>亿元。</w:t>
      </w:r>
    </w:p>
    <w:p>
      <w:pPr>
        <w:pStyle w:val="Heading7"/>
        <w:spacing w:line="240" w:lineRule="auto" w:before="71"/>
        <w:ind w:left="514" w:right="0"/>
        <w:jc w:val="left"/>
        <w:rPr>
          <w:b w:val="0"/>
          <w:bCs w:val="0"/>
        </w:rPr>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MINI</w:t>
      </w:r>
      <w:r>
        <w:rPr>
          <w:rFonts w:ascii="Times New Roman" w:hAnsi="Times New Roman" w:cs="Times New Roman" w:eastAsia="Times New Roman" w:hint="default"/>
          <w:spacing w:val="-6"/>
        </w:rPr>
        <w:t> </w:t>
      </w:r>
      <w:r>
        <w:rPr>
          <w:rFonts w:ascii="Times New Roman" w:hAnsi="Times New Roman" w:cs="Times New Roman" w:eastAsia="Times New Roman" w:hint="default"/>
        </w:rPr>
        <w:t>LED</w:t>
      </w:r>
      <w:r>
        <w:rPr/>
        <w:t>市场前景广阔，逐渐渗透下游领域</w:t>
      </w:r>
      <w:r>
        <w:rPr>
          <w:b w:val="0"/>
          <w:bCs w:val="0"/>
        </w:rPr>
      </w:r>
    </w:p>
    <w:p>
      <w:pPr>
        <w:pStyle w:val="BodyText"/>
        <w:spacing w:line="300" w:lineRule="auto" w:before="63"/>
        <w:ind w:right="1132" w:firstLine="360"/>
        <w:jc w:val="both"/>
      </w:pPr>
      <w:r>
        <w:rPr/>
        <w:t>在</w:t>
      </w:r>
      <w:r>
        <w:rPr>
          <w:rFonts w:ascii="Times New Roman" w:hAnsi="Times New Roman" w:cs="Times New Roman" w:eastAsia="Times New Roman" w:hint="default"/>
        </w:rPr>
        <w:t>Mini </w:t>
      </w:r>
      <w:r>
        <w:rPr>
          <w:rFonts w:ascii="Times New Roman" w:hAnsi="Times New Roman" w:cs="Times New Roman" w:eastAsia="Times New Roman" w:hint="default"/>
          <w:spacing w:val="-4"/>
        </w:rPr>
        <w:t>LED</w:t>
      </w:r>
      <w:r>
        <w:rPr>
          <w:spacing w:val="-4"/>
        </w:rPr>
        <w:t>方面，</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MINI</w:t>
      </w:r>
      <w:r>
        <w:rPr>
          <w:rFonts w:ascii="Times New Roman" w:hAnsi="Times New Roman" w:cs="Times New Roman" w:eastAsia="Times New Roman" w:hint="default"/>
          <w:spacing w:val="28"/>
        </w:rPr>
        <w:t> </w:t>
      </w:r>
      <w:r>
        <w:rPr>
          <w:rFonts w:ascii="Times New Roman" w:hAnsi="Times New Roman" w:cs="Times New Roman" w:eastAsia="Times New Roman" w:hint="default"/>
          <w:spacing w:val="-3"/>
        </w:rPr>
        <w:t>LED</w:t>
      </w:r>
      <w:r>
        <w:rPr>
          <w:spacing w:val="-3"/>
        </w:rPr>
        <w:t>在显示屏和电竞背光领域已经出货，市场规模达到</w:t>
      </w:r>
      <w:r>
        <w:rPr>
          <w:rFonts w:ascii="Times New Roman" w:hAnsi="Times New Roman" w:cs="Times New Roman" w:eastAsia="Times New Roman" w:hint="default"/>
          <w:spacing w:val="-3"/>
        </w:rPr>
        <w:t>3.30</w:t>
      </w:r>
      <w:r>
        <w:rPr>
          <w:spacing w:val="-3"/>
        </w:rPr>
        <w:t>亿元。</w:t>
      </w:r>
      <w:r>
        <w:rPr>
          <w:rFonts w:ascii="Times New Roman" w:hAnsi="Times New Roman" w:cs="Times New Roman" w:eastAsia="Times New Roman" w:hint="default"/>
          <w:spacing w:val="-3"/>
        </w:rPr>
        <w:t>2019</w:t>
      </w:r>
      <w:r>
        <w:rPr>
          <w:spacing w:val="-3"/>
        </w:rPr>
        <w:t>年有望拓展手机、</w:t>
      </w:r>
      <w:r>
        <w:rPr/>
        <w:t> 车载背光等领域，</w:t>
      </w:r>
      <w:r>
        <w:rPr>
          <w:rFonts w:ascii="Times New Roman" w:hAnsi="Times New Roman" w:cs="Times New Roman" w:eastAsia="Times New Roman" w:hint="default"/>
        </w:rPr>
        <w:t>GGII</w:t>
      </w:r>
      <w:r>
        <w:rPr/>
        <w:t>预计</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MINI</w:t>
      </w:r>
      <w:r>
        <w:rPr>
          <w:rFonts w:ascii="Times New Roman" w:hAnsi="Times New Roman" w:cs="Times New Roman" w:eastAsia="Times New Roman" w:hint="default"/>
          <w:spacing w:val="-3"/>
        </w:rPr>
        <w:t> </w:t>
      </w:r>
      <w:r>
        <w:rPr>
          <w:rFonts w:ascii="Times New Roman" w:hAnsi="Times New Roman" w:cs="Times New Roman" w:eastAsia="Times New Roman" w:hint="default"/>
        </w:rPr>
        <w:t>LED</w:t>
      </w:r>
      <w:r>
        <w:rPr/>
        <w:t>市场规模有望达到超过</w:t>
      </w:r>
      <w:r>
        <w:rPr>
          <w:rFonts w:ascii="Times New Roman" w:hAnsi="Times New Roman" w:cs="Times New Roman" w:eastAsia="Times New Roman" w:hint="default"/>
        </w:rPr>
        <w:t>20</w:t>
      </w:r>
      <w:r>
        <w:rPr/>
        <w:t>亿。</w:t>
      </w:r>
    </w:p>
    <w:p>
      <w:pPr>
        <w:pStyle w:val="BodyText"/>
        <w:spacing w:line="300" w:lineRule="auto" w:before="13"/>
        <w:ind w:right="1129" w:firstLine="360"/>
        <w:jc w:val="both"/>
      </w:pPr>
      <w:r>
        <w:rPr>
          <w:spacing w:val="-1"/>
          <w:w w:val="99"/>
        </w:rPr>
        <w:t>在</w:t>
      </w:r>
      <w:r>
        <w:rPr>
          <w:rFonts w:ascii="Times New Roman" w:hAnsi="Times New Roman" w:cs="Times New Roman" w:eastAsia="Times New Roman" w:hint="default"/>
          <w:spacing w:val="-1"/>
          <w:w w:val="99"/>
        </w:rPr>
        <w:t>MICRO</w:t>
      </w:r>
      <w:r>
        <w:rPr>
          <w:rFonts w:ascii="Times New Roman" w:hAnsi="Times New Roman" w:cs="Times New Roman" w:eastAsia="Times New Roman" w:hint="default"/>
          <w:w w:val="99"/>
        </w:rPr>
        <w:t> </w:t>
      </w:r>
      <w:r>
        <w:rPr>
          <w:rFonts w:ascii="Times New Roman" w:hAnsi="Times New Roman" w:cs="Times New Roman" w:eastAsia="Times New Roman" w:hint="default"/>
          <w:spacing w:val="-4"/>
          <w:w w:val="99"/>
        </w:rPr>
        <w:t>LED</w:t>
      </w:r>
      <w:r>
        <w:rPr>
          <w:spacing w:val="-4"/>
          <w:w w:val="99"/>
        </w:rPr>
        <w:t>方面，超大电视和智能手表率先带动</w:t>
      </w:r>
      <w:r>
        <w:rPr>
          <w:rFonts w:ascii="Times New Roman" w:hAnsi="Times New Roman" w:cs="Times New Roman" w:eastAsia="Times New Roman" w:hint="default"/>
          <w:spacing w:val="-4"/>
          <w:w w:val="99"/>
        </w:rPr>
        <w:t>MICRO</w:t>
      </w:r>
      <w:r>
        <w:rPr>
          <w:rFonts w:ascii="Times New Roman" w:hAnsi="Times New Roman" w:cs="Times New Roman" w:eastAsia="Times New Roman" w:hint="default"/>
          <w:w w:val="99"/>
        </w:rPr>
        <w:t> </w:t>
      </w:r>
      <w:r>
        <w:rPr>
          <w:rFonts w:ascii="Times New Roman" w:hAnsi="Times New Roman" w:cs="Times New Roman" w:eastAsia="Times New Roman" w:hint="default"/>
          <w:spacing w:val="-7"/>
          <w:w w:val="99"/>
        </w:rPr>
        <w:t>LED</w:t>
      </w:r>
      <w:r>
        <w:rPr>
          <w:spacing w:val="-7"/>
          <w:w w:val="99"/>
        </w:rPr>
        <w:t>产业发展，如今三星、</w:t>
      </w:r>
      <w:r>
        <w:rPr>
          <w:rFonts w:ascii="Times New Roman" w:hAnsi="Times New Roman" w:cs="Times New Roman" w:eastAsia="Times New Roman" w:hint="default"/>
          <w:spacing w:val="-7"/>
          <w:w w:val="99"/>
        </w:rPr>
        <w:t>LG</w:t>
      </w:r>
      <w:r>
        <w:rPr>
          <w:spacing w:val="-7"/>
          <w:w w:val="99"/>
        </w:rPr>
        <w:t>已经推出了</w:t>
      </w:r>
      <w:r>
        <w:rPr>
          <w:rFonts w:ascii="Times New Roman" w:hAnsi="Times New Roman" w:cs="Times New Roman" w:eastAsia="Times New Roman" w:hint="default"/>
          <w:spacing w:val="-7"/>
          <w:w w:val="99"/>
        </w:rPr>
        <w:t>Micro</w:t>
      </w:r>
      <w:r>
        <w:rPr>
          <w:rFonts w:ascii="Times New Roman" w:hAnsi="Times New Roman" w:cs="Times New Roman" w:eastAsia="Times New Roman" w:hint="default"/>
          <w:spacing w:val="26"/>
          <w:w w:val="99"/>
        </w:rPr>
        <w:t> </w:t>
      </w:r>
      <w:r>
        <w:rPr>
          <w:rFonts w:ascii="Times New Roman" w:hAnsi="Times New Roman" w:cs="Times New Roman" w:eastAsia="Times New Roman" w:hint="default"/>
          <w:spacing w:val="-1"/>
          <w:w w:val="99"/>
        </w:rPr>
        <w:t>LED</w:t>
      </w:r>
      <w:r>
        <w:rPr>
          <w:spacing w:val="-1"/>
          <w:w w:val="99"/>
        </w:rPr>
        <w:t>的电视。</w:t>
      </w:r>
      <w:r>
        <w:rPr/>
        <w:t> </w:t>
      </w:r>
      <w:r>
        <w:rPr>
          <w:rFonts w:ascii="Times New Roman" w:hAnsi="Times New Roman" w:cs="Times New Roman" w:eastAsia="Times New Roman" w:hint="default"/>
        </w:rPr>
        <w:t>GGII</w:t>
      </w:r>
      <w:r>
        <w:rPr/>
        <w:t>预计</w:t>
      </w:r>
      <w:r>
        <w:rPr>
          <w:rFonts w:ascii="Times New Roman" w:hAnsi="Times New Roman" w:cs="Times New Roman" w:eastAsia="Times New Roman" w:hint="default"/>
        </w:rPr>
        <w:t>2019</w:t>
      </w:r>
      <w:r>
        <w:rPr/>
        <w:t>年中国</w:t>
      </w:r>
      <w:r>
        <w:rPr>
          <w:rFonts w:ascii="Times New Roman" w:hAnsi="Times New Roman" w:cs="Times New Roman" w:eastAsia="Times New Roman" w:hint="default"/>
        </w:rPr>
        <w:t>MICRO </w:t>
      </w:r>
      <w:r>
        <w:rPr>
          <w:rFonts w:ascii="Times New Roman" w:hAnsi="Times New Roman" w:cs="Times New Roman" w:eastAsia="Times New Roman" w:hint="default"/>
          <w:spacing w:val="-2"/>
        </w:rPr>
        <w:t>LED</w:t>
      </w:r>
      <w:r>
        <w:rPr>
          <w:spacing w:val="-2"/>
        </w:rPr>
        <w:t>市场规模有望达到</w:t>
      </w:r>
      <w:r>
        <w:rPr>
          <w:rFonts w:ascii="Times New Roman" w:hAnsi="Times New Roman" w:cs="Times New Roman" w:eastAsia="Times New Roman" w:hint="default"/>
          <w:spacing w:val="-2"/>
        </w:rPr>
        <w:t>8</w:t>
      </w:r>
      <w:r>
        <w:rPr>
          <w:spacing w:val="-2"/>
        </w:rPr>
        <w:t>亿元。随着</w:t>
      </w:r>
      <w:r>
        <w:rPr>
          <w:rFonts w:ascii="Times New Roman" w:hAnsi="Times New Roman" w:cs="Times New Roman" w:eastAsia="Times New Roman" w:hint="default"/>
          <w:spacing w:val="-2"/>
        </w:rPr>
        <w:t>MICRO</w:t>
      </w:r>
      <w:r>
        <w:rPr>
          <w:rFonts w:ascii="Times New Roman" w:hAnsi="Times New Roman" w:cs="Times New Roman" w:eastAsia="Times New Roman" w:hint="default"/>
        </w:rPr>
        <w:t> </w:t>
      </w:r>
      <w:r>
        <w:rPr>
          <w:rFonts w:ascii="Times New Roman" w:hAnsi="Times New Roman" w:cs="Times New Roman" w:eastAsia="Times New Roman" w:hint="default"/>
          <w:spacing w:val="-2"/>
        </w:rPr>
        <w:t>LED</w:t>
      </w:r>
      <w:r>
        <w:rPr>
          <w:spacing w:val="-2"/>
        </w:rPr>
        <w:t>的技术成熟，</w:t>
      </w:r>
      <w:r>
        <w:rPr>
          <w:rFonts w:ascii="Times New Roman" w:hAnsi="Times New Roman" w:cs="Times New Roman" w:eastAsia="Times New Roman" w:hint="default"/>
          <w:spacing w:val="-2"/>
        </w:rPr>
        <w:t>GGII</w:t>
      </w:r>
      <w:r>
        <w:rPr>
          <w:spacing w:val="-2"/>
        </w:rPr>
        <w:t>预计</w:t>
      </w:r>
      <w:r>
        <w:rPr>
          <w:rFonts w:ascii="Times New Roman" w:hAnsi="Times New Roman" w:cs="Times New Roman" w:eastAsia="Times New Roman" w:hint="default"/>
          <w:spacing w:val="-2"/>
        </w:rPr>
        <w:t>2022</w:t>
      </w:r>
      <w:r>
        <w:rPr>
          <w:spacing w:val="-2"/>
        </w:rPr>
        <w:t>年左右</w:t>
      </w:r>
      <w:r>
        <w:rPr>
          <w:rFonts w:ascii="Times New Roman" w:hAnsi="Times New Roman" w:cs="Times New Roman" w:eastAsia="Times New Roman" w:hint="default"/>
          <w:spacing w:val="-2"/>
        </w:rPr>
        <w:t>MICRO</w:t>
      </w:r>
      <w:r>
        <w:rPr>
          <w:rFonts w:ascii="Times New Roman" w:hAnsi="Times New Roman" w:cs="Times New Roman" w:eastAsia="Times New Roman" w:hint="default"/>
          <w:spacing w:val="-15"/>
        </w:rPr>
        <w:t> </w:t>
      </w:r>
      <w:r>
        <w:rPr>
          <w:rFonts w:ascii="Times New Roman" w:hAnsi="Times New Roman" w:cs="Times New Roman" w:eastAsia="Times New Roman" w:hint="default"/>
        </w:rPr>
        <w:t>LED</w:t>
      </w:r>
      <w:r>
        <w:rPr>
          <w:rFonts w:ascii="Times New Roman" w:hAnsi="Times New Roman" w:cs="Times New Roman" w:eastAsia="Times New Roman" w:hint="default"/>
          <w:w w:val="99"/>
        </w:rPr>
        <w:t> </w:t>
      </w:r>
      <w:r>
        <w:rPr>
          <w:spacing w:val="-2"/>
        </w:rPr>
        <w:t>将在手机、</w:t>
      </w:r>
      <w:r>
        <w:rPr>
          <w:rFonts w:ascii="Times New Roman" w:hAnsi="Times New Roman" w:cs="Times New Roman" w:eastAsia="Times New Roman" w:hint="default"/>
          <w:spacing w:val="-2"/>
        </w:rPr>
        <w:t>VR</w:t>
      </w:r>
      <w:r>
        <w:rPr>
          <w:spacing w:val="-2"/>
        </w:rPr>
        <w:t>、车载显示、平板显示等领域得到应用，到</w:t>
      </w:r>
      <w:r>
        <w:rPr>
          <w:rFonts w:ascii="Times New Roman" w:hAnsi="Times New Roman" w:cs="Times New Roman" w:eastAsia="Times New Roman" w:hint="default"/>
          <w:spacing w:val="-2"/>
        </w:rPr>
        <w:t>2024</w:t>
      </w:r>
      <w:r>
        <w:rPr>
          <w:spacing w:val="-2"/>
        </w:rPr>
        <w:t>年手机和超大电视显示将会成为</w:t>
      </w:r>
      <w:r>
        <w:rPr>
          <w:rFonts w:ascii="Times New Roman" w:hAnsi="Times New Roman" w:cs="Times New Roman" w:eastAsia="Times New Roman" w:hint="default"/>
          <w:spacing w:val="-2"/>
        </w:rPr>
        <w:t>MICRO</w:t>
      </w:r>
      <w:r>
        <w:rPr>
          <w:rFonts w:ascii="Times New Roman" w:hAnsi="Times New Roman" w:cs="Times New Roman" w:eastAsia="Times New Roman" w:hint="default"/>
        </w:rPr>
        <w:t> </w:t>
      </w:r>
      <w:r>
        <w:rPr>
          <w:rFonts w:ascii="Times New Roman" w:hAnsi="Times New Roman" w:cs="Times New Roman" w:eastAsia="Times New Roman" w:hint="default"/>
          <w:spacing w:val="-1"/>
        </w:rPr>
        <w:t>LED</w:t>
      </w:r>
      <w:r>
        <w:rPr>
          <w:spacing w:val="-1"/>
        </w:rPr>
        <w:t>应用最大的两个</w:t>
      </w:r>
      <w:r>
        <w:rPr>
          <w:spacing w:val="-48"/>
        </w:rPr>
        <w:t> </w:t>
      </w:r>
      <w:r>
        <w:rPr>
          <w:spacing w:val="-48"/>
        </w:rPr>
      </w:r>
      <w:r>
        <w:rPr/>
        <w:t>市场。</w:t>
      </w:r>
    </w:p>
    <w:p>
      <w:pPr>
        <w:spacing w:line="340" w:lineRule="auto" w:before="31"/>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、智慧照明行业竞争格局与发展趋势</w:t>
      </w:r>
      <w:r>
        <w:rPr>
          <w:rFonts w:ascii="宋体" w:hAnsi="宋体" w:cs="宋体" w:eastAsia="宋体" w:hint="default"/>
          <w:b/>
          <w:bCs/>
          <w:w w:val="99"/>
          <w:sz w:val="18"/>
          <w:szCs w:val="18"/>
        </w:rPr>
        <w:t> </w:t>
      </w:r>
      <w:r>
        <w:rPr>
          <w:rFonts w:ascii="宋体" w:hAnsi="宋体" w:cs="宋体" w:eastAsia="宋体" w:hint="default"/>
          <w:spacing w:val="-2"/>
          <w:sz w:val="18"/>
          <w:szCs w:val="18"/>
        </w:rPr>
        <w:t>受益于国家基建投资、文化旅游政策，包括国家大力推行特色小镇、美丽中国，与城市发展相关的景观亮化需求随之增</w:t>
      </w:r>
    </w:p>
    <w:p>
      <w:pPr>
        <w:pStyle w:val="BodyText"/>
        <w:spacing w:line="312" w:lineRule="auto"/>
        <w:ind w:right="1130"/>
        <w:jc w:val="both"/>
      </w:pPr>
      <w:r>
        <w:rPr>
          <w:spacing w:val="-1"/>
        </w:rPr>
        <w:t>长；同时，目前的城市化率还比较低，要达到</w:t>
      </w:r>
      <w:r>
        <w:rPr>
          <w:rFonts w:ascii="Times New Roman" w:hAnsi="Times New Roman" w:cs="Times New Roman" w:eastAsia="Times New Roman" w:hint="default"/>
          <w:spacing w:val="-1"/>
        </w:rPr>
        <w:t>80%</w:t>
      </w:r>
      <w:r>
        <w:rPr>
          <w:spacing w:val="-1"/>
        </w:rPr>
        <w:t>的城市化率，作为城市基础设施建设的城市景观及功能照明工程还有很大</w:t>
      </w:r>
      <w:r>
        <w:rPr/>
        <w:t> </w:t>
      </w:r>
      <w:r>
        <w:rPr>
          <w:spacing w:val="-2"/>
        </w:rPr>
        <w:t>的上升空间。未来的景观照明行业将从城市形象工程向休闲民生工程转变，从依托重大活动推进向按照照明规划科学适度建</w:t>
      </w:r>
      <w:r>
        <w:rPr>
          <w:spacing w:val="-63"/>
        </w:rPr>
        <w:t> </w:t>
      </w:r>
      <w:r>
        <w:rPr>
          <w:spacing w:val="-63"/>
        </w:rPr>
      </w:r>
      <w:r>
        <w:rPr>
          <w:spacing w:val="-2"/>
        </w:rPr>
        <w:t>设转变，从注重媒体建筑和灯光秀表演向注重内光外透转变，从重建轻养向建管并重转变，努力建设优美适度可持续的城市</w:t>
      </w:r>
      <w:r>
        <w:rPr>
          <w:spacing w:val="-66"/>
        </w:rPr>
        <w:t> </w:t>
      </w:r>
      <w:r>
        <w:rPr>
          <w:spacing w:val="-66"/>
        </w:rPr>
      </w:r>
      <w:r>
        <w:rPr/>
        <w:t>夜景灯光环境。</w:t>
      </w:r>
    </w:p>
    <w:p>
      <w:pPr>
        <w:pStyle w:val="BodyText"/>
        <w:spacing w:line="300" w:lineRule="auto" w:before="61"/>
        <w:ind w:right="1129" w:firstLine="360"/>
        <w:jc w:val="both"/>
      </w:pPr>
      <w:r>
        <w:rPr>
          <w:rFonts w:ascii="Times New Roman" w:hAnsi="Times New Roman" w:cs="Times New Roman" w:eastAsia="Times New Roman" w:hint="default"/>
          <w:spacing w:val="-1"/>
        </w:rPr>
        <w:t>GGII</w:t>
      </w:r>
      <w:r>
        <w:rPr>
          <w:spacing w:val="-1"/>
        </w:rPr>
        <w:t>数据显示，中国已成为全球最大的景观亮化市场。预计</w:t>
      </w:r>
      <w:r>
        <w:rPr>
          <w:rFonts w:ascii="Times New Roman" w:hAnsi="Times New Roman" w:cs="Times New Roman" w:eastAsia="Times New Roman" w:hint="default"/>
          <w:spacing w:val="-1"/>
        </w:rPr>
        <w:t>2018</w:t>
      </w:r>
      <w:r>
        <w:rPr>
          <w:spacing w:val="-1"/>
        </w:rPr>
        <w:t>年中国景观亮化市场规模将达到</w:t>
      </w:r>
      <w:r>
        <w:rPr>
          <w:rFonts w:ascii="Times New Roman" w:hAnsi="Times New Roman" w:cs="Times New Roman" w:eastAsia="Times New Roman" w:hint="default"/>
          <w:spacing w:val="-1"/>
        </w:rPr>
        <w:t>780</w:t>
      </w:r>
      <w:r>
        <w:rPr>
          <w:spacing w:val="-1"/>
        </w:rPr>
        <w:t>亿元，增长速度为</w:t>
      </w:r>
      <w:r>
        <w:rPr>
          <w:w w:val="99"/>
        </w:rPr>
        <w:t> </w:t>
      </w:r>
      <w:r>
        <w:rPr>
          <w:rFonts w:ascii="Times New Roman" w:hAnsi="Times New Roman" w:cs="Times New Roman" w:eastAsia="Times New Roman" w:hint="default"/>
        </w:rPr>
        <w:t>15%</w:t>
      </w:r>
      <w:r>
        <w:rPr/>
        <w:t>左右，预计</w:t>
      </w:r>
      <w:r>
        <w:rPr>
          <w:rFonts w:ascii="Times New Roman" w:hAnsi="Times New Roman" w:cs="Times New Roman" w:eastAsia="Times New Roman" w:hint="default"/>
        </w:rPr>
        <w:t>2019</w:t>
      </w:r>
      <w:r>
        <w:rPr/>
        <w:t>年中国景观亮化市场规模将近</w:t>
      </w:r>
      <w:r>
        <w:rPr>
          <w:rFonts w:ascii="Times New Roman" w:hAnsi="Times New Roman" w:cs="Times New Roman" w:eastAsia="Times New Roman" w:hint="default"/>
        </w:rPr>
        <w:t>1,000</w:t>
      </w:r>
      <w:r>
        <w:rPr/>
        <w:t>亿元。</w:t>
      </w:r>
    </w:p>
    <w:p>
      <w:pPr>
        <w:pStyle w:val="Heading7"/>
        <w:spacing w:line="240" w:lineRule="auto" w:before="13"/>
        <w:ind w:right="0"/>
        <w:jc w:val="left"/>
        <w:rPr>
          <w:b w:val="0"/>
          <w:bCs w:val="0"/>
        </w:rPr>
      </w:pPr>
      <w:r>
        <w:rPr/>
        <w:t>（三）公司</w:t>
      </w:r>
      <w:r>
        <w:rPr>
          <w:rFonts w:ascii="Times New Roman" w:hAnsi="Times New Roman" w:cs="Times New Roman" w:eastAsia="Times New Roman" w:hint="default"/>
        </w:rPr>
        <w:t>2019</w:t>
      </w:r>
      <w:r>
        <w:rPr/>
        <w:t>年经营计划</w:t>
      </w:r>
      <w:r>
        <w:rPr>
          <w:b w:val="0"/>
          <w:bCs w:val="0"/>
        </w:rPr>
      </w:r>
    </w:p>
    <w:p>
      <w:pPr>
        <w:pStyle w:val="Heading7"/>
        <w:spacing w:line="240" w:lineRule="auto"/>
        <w:ind w:right="0"/>
        <w:jc w:val="left"/>
        <w:rPr>
          <w:b w:val="0"/>
          <w:bCs w:val="0"/>
        </w:rPr>
      </w:pPr>
      <w:r>
        <w:rPr>
          <w:rFonts w:ascii="Times New Roman" w:hAnsi="Times New Roman" w:cs="Times New Roman" w:eastAsia="Times New Roman" w:hint="default"/>
        </w:rPr>
        <w:t>1</w:t>
      </w:r>
      <w:r>
        <w:rPr/>
        <w:t>、公司</w:t>
      </w:r>
      <w:r>
        <w:rPr>
          <w:rFonts w:ascii="Times New Roman" w:hAnsi="Times New Roman" w:cs="Times New Roman" w:eastAsia="Times New Roman" w:hint="default"/>
        </w:rPr>
        <w:t>2019</w:t>
      </w:r>
      <w:r>
        <w:rPr/>
        <w:t>年总体经营目标</w:t>
      </w:r>
      <w:r>
        <w:rPr>
          <w:b w:val="0"/>
          <w:bCs w:val="0"/>
        </w:rPr>
      </w:r>
    </w:p>
    <w:p>
      <w:pPr>
        <w:pStyle w:val="BodyText"/>
        <w:spacing w:line="307" w:lineRule="auto" w:before="104"/>
        <w:ind w:right="1130"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年公司继续以</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战略为核心，进一步梳理顶层架构及职能，力争构建</w:t>
      </w:r>
      <w:r>
        <w:rPr>
          <w:rFonts w:ascii="Times New Roman" w:hAnsi="Times New Roman" w:cs="Times New Roman" w:eastAsia="Times New Roman" w:hint="default"/>
        </w:rPr>
        <w:t>“</w:t>
      </w:r>
      <w:r>
        <w:rPr/>
        <w:t>赋能型管理平台</w:t>
      </w:r>
      <w:r>
        <w:rPr>
          <w:rFonts w:ascii="Times New Roman" w:hAnsi="Times New Roman" w:cs="Times New Roman" w:eastAsia="Times New Roman" w:hint="default"/>
        </w:rPr>
        <w:t>”</w:t>
      </w:r>
      <w:r>
        <w:rPr/>
        <w:t>，进一步实现公司规 模及行业地位的快速发展。</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年计划</w:t>
      </w:r>
      <w:r>
        <w:rPr>
          <w:rFonts w:ascii="宋体" w:hAnsi="宋体" w:cs="宋体" w:eastAsia="宋体" w:hint="default"/>
          <w:b/>
          <w:bCs/>
        </w:rPr>
        <w:t>实现净利润</w:t>
      </w:r>
      <w:r>
        <w:rPr>
          <w:rFonts w:ascii="宋体" w:hAnsi="宋体" w:cs="宋体" w:eastAsia="宋体" w:hint="default"/>
          <w:b/>
          <w:bCs/>
          <w:spacing w:val="-46"/>
        </w:rPr>
        <w:t> </w:t>
      </w:r>
      <w:r>
        <w:rPr>
          <w:rFonts w:ascii="Times New Roman" w:hAnsi="Times New Roman" w:cs="Times New Roman" w:eastAsia="Times New Roman" w:hint="default"/>
          <w:b/>
          <w:bCs/>
        </w:rPr>
        <w:t>2.34</w:t>
      </w:r>
      <w:r>
        <w:rPr>
          <w:rFonts w:ascii="Times New Roman" w:hAnsi="Times New Roman" w:cs="Times New Roman" w:eastAsia="Times New Roman" w:hint="default"/>
          <w:b/>
          <w:bCs/>
          <w:spacing w:val="-9"/>
        </w:rPr>
        <w:t> </w:t>
      </w:r>
      <w:r>
        <w:rPr>
          <w:rFonts w:ascii="宋体" w:hAnsi="宋体" w:cs="宋体" w:eastAsia="宋体" w:hint="default"/>
          <w:b/>
          <w:bCs/>
        </w:rPr>
        <w:t>亿元</w:t>
      </w:r>
      <w:r>
        <w:rPr>
          <w:rFonts w:ascii="Times New Roman" w:hAnsi="Times New Roman" w:cs="Times New Roman" w:eastAsia="Times New Roman" w:hint="default"/>
          <w:b/>
          <w:bCs/>
        </w:rPr>
        <w:t>~2.70</w:t>
      </w:r>
      <w:r>
        <w:rPr>
          <w:rFonts w:ascii="Times New Roman" w:hAnsi="Times New Roman" w:cs="Times New Roman" w:eastAsia="Times New Roman" w:hint="default"/>
          <w:b/>
          <w:bCs/>
          <w:spacing w:val="-9"/>
        </w:rPr>
        <w:t> </w:t>
      </w:r>
      <w:r>
        <w:rPr>
          <w:rFonts w:ascii="宋体" w:hAnsi="宋体" w:cs="宋体" w:eastAsia="宋体" w:hint="default"/>
          <w:b/>
          <w:bCs/>
        </w:rPr>
        <w:t>亿元</w:t>
      </w:r>
      <w:r>
        <w:rPr/>
        <w:t>，相比去年</w:t>
      </w:r>
      <w:r>
        <w:rPr>
          <w:rFonts w:ascii="宋体" w:hAnsi="宋体" w:cs="宋体" w:eastAsia="宋体" w:hint="default"/>
          <w:b/>
          <w:bCs/>
        </w:rPr>
        <w:t>增长</w:t>
      </w:r>
      <w:r>
        <w:rPr>
          <w:rFonts w:ascii="宋体" w:hAnsi="宋体" w:cs="宋体" w:eastAsia="宋体" w:hint="default"/>
          <w:b/>
          <w:bCs/>
          <w:spacing w:val="-46"/>
        </w:rPr>
        <w:t> </w:t>
      </w:r>
      <w:r>
        <w:rPr>
          <w:rFonts w:ascii="Times New Roman" w:hAnsi="Times New Roman" w:cs="Times New Roman" w:eastAsia="Times New Roman" w:hint="default"/>
          <w:b/>
          <w:bCs/>
        </w:rPr>
        <w:t>30.24%~50.28%</w:t>
      </w:r>
      <w:r>
        <w:rPr/>
        <w:t>。（特别提示：上 </w:t>
      </w:r>
      <w:r>
        <w:rPr>
          <w:spacing w:val="-2"/>
        </w:rPr>
        <w:t>述指标不代表公司盈利预测，能否实现取决于市场状况变化、经营团队的努力程度等多种因素，存在不确定性，请投资者特</w:t>
      </w:r>
      <w:r>
        <w:rPr>
          <w:spacing w:val="-66"/>
        </w:rPr>
        <w:t> </w:t>
      </w:r>
      <w:r>
        <w:rPr>
          <w:spacing w:val="-66"/>
        </w:rPr>
      </w:r>
      <w:r>
        <w:rPr/>
        <w:t>别注意）。</w:t>
      </w:r>
    </w:p>
    <w:p>
      <w:pPr>
        <w:spacing w:after="0" w:line="307"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spacing w:before="44"/>
        <w:ind w:left="444" w:right="0" w:firstLine="0"/>
        <w:jc w:val="left"/>
        <w:rPr>
          <w:rFonts w:ascii="宋体" w:hAnsi="宋体" w:cs="宋体" w:eastAsia="宋体" w:hint="default"/>
          <w:sz w:val="18"/>
          <w:szCs w:val="18"/>
        </w:rPr>
      </w:pPr>
      <w:r>
        <w:rPr>
          <w:rFonts w:ascii="宋体" w:hAnsi="宋体" w:cs="宋体" w:eastAsia="宋体" w:hint="default"/>
          <w:sz w:val="18"/>
          <w:szCs w:val="18"/>
        </w:rPr>
        <w:t>截至</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r>
        <w:rPr>
          <w:rFonts w:ascii="宋体" w:hAnsi="宋体" w:cs="宋体" w:eastAsia="宋体" w:hint="default"/>
          <w:b/>
          <w:bCs/>
          <w:sz w:val="18"/>
          <w:szCs w:val="18"/>
        </w:rPr>
        <w:t>公司在手订单及中标金额合计超</w:t>
      </w:r>
      <w:r>
        <w:rPr>
          <w:rFonts w:ascii="Times New Roman" w:hAnsi="Times New Roman" w:cs="Times New Roman" w:eastAsia="Times New Roman" w:hint="default"/>
          <w:b/>
          <w:bCs/>
          <w:sz w:val="18"/>
          <w:szCs w:val="18"/>
        </w:rPr>
        <w:t>9</w:t>
      </w:r>
      <w:r>
        <w:rPr>
          <w:rFonts w:ascii="宋体" w:hAnsi="宋体" w:cs="宋体" w:eastAsia="宋体" w:hint="default"/>
          <w:b/>
          <w:bCs/>
          <w:sz w:val="18"/>
          <w:szCs w:val="18"/>
        </w:rPr>
        <w:t>亿元</w:t>
      </w:r>
      <w:r>
        <w:rPr>
          <w:rFonts w:ascii="宋体" w:hAnsi="宋体" w:cs="宋体" w:eastAsia="宋体" w:hint="default"/>
          <w:sz w:val="18"/>
          <w:szCs w:val="18"/>
        </w:rPr>
        <w:t>，为全年经营目标的实现奠定了基础。</w:t>
      </w:r>
    </w:p>
    <w:p>
      <w:pPr>
        <w:pStyle w:val="Heading7"/>
        <w:spacing w:line="240" w:lineRule="auto"/>
        <w:ind w:left="514" w:right="0"/>
        <w:jc w:val="left"/>
        <w:rPr>
          <w:b w:val="0"/>
          <w:bCs w:val="0"/>
        </w:rPr>
      </w:pPr>
      <w:r>
        <w:rPr>
          <w:rFonts w:ascii="Times New Roman" w:hAnsi="Times New Roman" w:cs="Times New Roman" w:eastAsia="Times New Roman" w:hint="default"/>
        </w:rPr>
        <w:t>2</w:t>
      </w:r>
      <w:r>
        <w:rPr/>
        <w:t>、经营计划</w:t>
      </w:r>
      <w:r>
        <w:rPr>
          <w:b w:val="0"/>
          <w:bCs w:val="0"/>
        </w:rPr>
      </w:r>
    </w:p>
    <w:p>
      <w:pPr>
        <w:pStyle w:val="BodyText"/>
        <w:spacing w:line="300" w:lineRule="auto" w:before="63"/>
        <w:ind w:right="1130" w:firstLine="360"/>
        <w:jc w:val="both"/>
      </w:pPr>
      <w:r>
        <w:rPr>
          <w:rFonts w:ascii="Times New Roman" w:hAnsi="Times New Roman" w:cs="Times New Roman" w:eastAsia="Times New Roman" w:hint="default"/>
          <w:spacing w:val="-2"/>
        </w:rPr>
        <w:t>2019</w:t>
      </w:r>
      <w:r>
        <w:rPr>
          <w:spacing w:val="-2"/>
        </w:rPr>
        <w:t>年公司将进一步整合资源，加强技术创新，大力发展金融科技、</w:t>
      </w:r>
      <w:r>
        <w:rPr>
          <w:rFonts w:ascii="Times New Roman" w:hAnsi="Times New Roman" w:cs="Times New Roman" w:eastAsia="Times New Roman" w:hint="default"/>
          <w:spacing w:val="-2"/>
        </w:rPr>
        <w:t>LED</w:t>
      </w:r>
      <w:r>
        <w:rPr>
          <w:spacing w:val="-2"/>
        </w:rPr>
        <w:t>显示及智慧照明三大业务，抓住优势行业及智</w:t>
      </w:r>
      <w:r>
        <w:rPr/>
        <w:t> </w:t>
      </w:r>
      <w:r>
        <w:rPr>
          <w:spacing w:val="-2"/>
        </w:rPr>
        <w:t>慧银行改造东风，以智慧城市为新增长点，促进金融科技、智慧照明及</w:t>
      </w:r>
      <w:r>
        <w:rPr>
          <w:rFonts w:ascii="Times New Roman" w:hAnsi="Times New Roman" w:cs="Times New Roman" w:eastAsia="Times New Roman" w:hint="default"/>
          <w:spacing w:val="-2"/>
        </w:rPr>
        <w:t>LED</w:t>
      </w:r>
      <w:r>
        <w:rPr>
          <w:spacing w:val="-2"/>
        </w:rPr>
        <w:t>显示三大事业群的快速发展，实现公司</w:t>
      </w:r>
      <w:r>
        <w:rPr>
          <w:rFonts w:ascii="Times New Roman" w:hAnsi="Times New Roman" w:cs="Times New Roman" w:eastAsia="Times New Roman" w:hint="default"/>
          <w:spacing w:val="-2"/>
        </w:rPr>
        <w:t>2019</w:t>
      </w:r>
      <w:r>
        <w:rPr>
          <w:spacing w:val="-2"/>
        </w:rPr>
        <w:t>年制</w:t>
      </w:r>
      <w:r>
        <w:rPr>
          <w:spacing w:val="-49"/>
        </w:rPr>
        <w:t> </w:t>
      </w:r>
      <w:r>
        <w:rPr/>
        <w:t>定的经营目标。</w:t>
      </w:r>
    </w:p>
    <w:p>
      <w:pPr>
        <w:pStyle w:val="Heading7"/>
        <w:spacing w:line="240" w:lineRule="auto" w:before="31"/>
        <w:ind w:left="514" w:right="0"/>
        <w:jc w:val="left"/>
        <w:rPr>
          <w:b w:val="0"/>
          <w:bCs w:val="0"/>
        </w:rPr>
      </w:pPr>
      <w:r>
        <w:rPr>
          <w:rFonts w:ascii="Times New Roman" w:hAnsi="Times New Roman" w:cs="Times New Roman" w:eastAsia="Times New Roman" w:hint="default"/>
        </w:rPr>
        <w:t>3</w:t>
      </w:r>
      <w:r>
        <w:rPr/>
        <w:t>、运营管理计划</w:t>
      </w:r>
      <w:r>
        <w:rPr>
          <w:b w:val="0"/>
          <w:bCs w:val="0"/>
        </w:rPr>
      </w:r>
    </w:p>
    <w:p>
      <w:pPr>
        <w:pStyle w:val="BodyText"/>
        <w:spacing w:line="300" w:lineRule="auto" w:before="63"/>
        <w:ind w:right="1118" w:firstLine="360"/>
        <w:jc w:val="left"/>
      </w:pPr>
      <w:r>
        <w:rPr>
          <w:rFonts w:ascii="Times New Roman" w:hAnsi="Times New Roman" w:cs="Times New Roman" w:eastAsia="Times New Roman" w:hint="default"/>
        </w:rPr>
        <w:t>3.1</w:t>
      </w:r>
      <w:r>
        <w:rPr>
          <w:rFonts w:ascii="Times New Roman" w:hAnsi="Times New Roman" w:cs="Times New Roman" w:eastAsia="Times New Roman" w:hint="default"/>
          <w:spacing w:val="34"/>
        </w:rPr>
        <w:t> </w:t>
      </w:r>
      <w:r>
        <w:rPr/>
        <w:t>力争构建</w:t>
      </w:r>
      <w:r>
        <w:rPr>
          <w:rFonts w:ascii="Times New Roman" w:hAnsi="Times New Roman" w:cs="Times New Roman" w:eastAsia="Times New Roman" w:hint="default"/>
        </w:rPr>
        <w:t>“</w:t>
      </w:r>
      <w:r>
        <w:rPr/>
        <w:t>赋能型管理平台</w:t>
      </w:r>
      <w:r>
        <w:rPr>
          <w:rFonts w:ascii="Times New Roman" w:hAnsi="Times New Roman" w:cs="Times New Roman" w:eastAsia="Times New Roman" w:hint="default"/>
        </w:rPr>
        <w:t>”</w:t>
      </w:r>
      <w:r>
        <w:rPr/>
        <w:t>，公司业务按照事业群架构进行重建，成立金融科技事业群、智慧照明事业群以及</w:t>
      </w:r>
      <w:r>
        <w:rPr>
          <w:rFonts w:ascii="Times New Roman" w:hAnsi="Times New Roman" w:cs="Times New Roman" w:eastAsia="Times New Roman" w:hint="default"/>
        </w:rPr>
        <w:t>LED </w:t>
      </w:r>
      <w:r>
        <w:rPr/>
        <w:t>显示事业群，形成以</w:t>
      </w:r>
      <w:r>
        <w:rPr>
          <w:rFonts w:ascii="Times New Roman" w:hAnsi="Times New Roman" w:cs="Times New Roman" w:eastAsia="Times New Roman" w:hint="default"/>
        </w:rPr>
        <w:t>3</w:t>
      </w:r>
      <w:r>
        <w:rPr/>
        <w:t>大事业群、</w:t>
      </w:r>
      <w:r>
        <w:rPr>
          <w:rFonts w:ascii="Times New Roman" w:hAnsi="Times New Roman" w:cs="Times New Roman" w:eastAsia="Times New Roman" w:hint="default"/>
        </w:rPr>
        <w:t>11</w:t>
      </w:r>
      <w:r>
        <w:rPr/>
        <w:t>个职能部门为核心的组织架构，促使各事业群分工明确、互相协同。</w:t>
      </w:r>
    </w:p>
    <w:p>
      <w:pPr>
        <w:pStyle w:val="BodyText"/>
        <w:spacing w:line="240" w:lineRule="auto" w:before="13"/>
        <w:ind w:left="514" w:right="0"/>
        <w:jc w:val="left"/>
      </w:pPr>
      <w:r>
        <w:rPr>
          <w:rFonts w:ascii="Times New Roman" w:hAnsi="Times New Roman" w:cs="Times New Roman" w:eastAsia="Times New Roman" w:hint="default"/>
        </w:rPr>
        <w:t>3.2</w:t>
      </w:r>
      <w:r>
        <w:rPr>
          <w:rFonts w:ascii="Times New Roman" w:hAnsi="Times New Roman" w:cs="Times New Roman" w:eastAsia="Times New Roman" w:hint="default"/>
          <w:spacing w:val="26"/>
        </w:rPr>
        <w:t> </w:t>
      </w:r>
      <w:r>
        <w:rPr/>
        <w:t>公司将进一步贯彻落实人才高地战略，加强股份公司及各事业群团队建设，完善人才梯队及相关制度建设。</w:t>
      </w:r>
    </w:p>
    <w:p>
      <w:pPr>
        <w:pStyle w:val="BodyText"/>
        <w:spacing w:line="300" w:lineRule="auto" w:before="63"/>
        <w:ind w:right="1115" w:firstLine="360"/>
        <w:jc w:val="left"/>
      </w:pPr>
      <w:r>
        <w:rPr>
          <w:rFonts w:ascii="Times New Roman" w:hAnsi="Times New Roman" w:cs="Times New Roman" w:eastAsia="Times New Roman" w:hint="default"/>
        </w:rPr>
        <w:t>3.3</w:t>
      </w:r>
      <w:r>
        <w:rPr>
          <w:rFonts w:ascii="Times New Roman" w:hAnsi="Times New Roman" w:cs="Times New Roman" w:eastAsia="Times New Roman" w:hint="default"/>
          <w:spacing w:val="-3"/>
        </w:rPr>
        <w:t> </w:t>
      </w:r>
      <w:r>
        <w:rPr/>
        <w:t>进一步提升公司信息化管理能力，通过</w:t>
      </w:r>
      <w:r>
        <w:rPr>
          <w:rFonts w:ascii="Times New Roman" w:hAnsi="Times New Roman" w:cs="Times New Roman" w:eastAsia="Times New Roman" w:hint="default"/>
        </w:rPr>
        <w:t>ERP</w:t>
      </w:r>
      <w:r>
        <w:rPr/>
        <w:t>系统、</w:t>
      </w:r>
      <w:r>
        <w:rPr>
          <w:rFonts w:ascii="Times New Roman" w:hAnsi="Times New Roman" w:cs="Times New Roman" w:eastAsia="Times New Roman" w:hint="default"/>
        </w:rPr>
        <w:t>CRM</w:t>
      </w:r>
      <w:r>
        <w:rPr/>
        <w:t>系统等信息化手段，促进各业务板块和经营单位实现战略及 业务协同，提高公司运营及决策效率，有效控制经营风险。</w:t>
      </w:r>
    </w:p>
    <w:p>
      <w:pPr>
        <w:pStyle w:val="BodyText"/>
        <w:spacing w:line="240" w:lineRule="auto" w:before="31"/>
        <w:ind w:left="514" w:right="0"/>
        <w:jc w:val="left"/>
      </w:pPr>
      <w:r>
        <w:rPr>
          <w:rFonts w:ascii="Times New Roman" w:hAnsi="Times New Roman" w:cs="Times New Roman" w:eastAsia="Times New Roman" w:hint="default"/>
        </w:rPr>
        <w:t>3.4</w:t>
      </w:r>
      <w:r>
        <w:rPr>
          <w:rFonts w:ascii="Times New Roman" w:hAnsi="Times New Roman" w:cs="Times New Roman" w:eastAsia="Times New Roman" w:hint="default"/>
          <w:spacing w:val="26"/>
        </w:rPr>
        <w:t> </w:t>
      </w:r>
      <w:r>
        <w:rPr/>
        <w:t>进一步加强应收账款及经营性现金流的管理，提升资金使用效率。</w:t>
      </w:r>
    </w:p>
    <w:p>
      <w:pPr>
        <w:pStyle w:val="BodyText"/>
        <w:spacing w:line="300" w:lineRule="auto" w:before="63"/>
        <w:ind w:right="1112" w:firstLine="360"/>
        <w:jc w:val="left"/>
      </w:pPr>
      <w:r>
        <w:rPr>
          <w:rFonts w:ascii="Times New Roman" w:hAnsi="Times New Roman" w:cs="Times New Roman" w:eastAsia="Times New Roman" w:hint="default"/>
        </w:rPr>
        <w:t>3.5</w:t>
      </w:r>
      <w:r>
        <w:rPr>
          <w:rFonts w:ascii="Times New Roman" w:hAnsi="Times New Roman" w:cs="Times New Roman" w:eastAsia="Times New Roman" w:hint="default"/>
          <w:spacing w:val="10"/>
        </w:rPr>
        <w:t> </w:t>
      </w:r>
      <w:r>
        <w:rPr/>
        <w:t>设立智能视讯技术研究院，整合公司研发资源，加强高校及科研机构产学研合作，提升公司技术创新能力及科研成 果转换效率。</w:t>
      </w:r>
    </w:p>
    <w:p>
      <w:pPr>
        <w:pStyle w:val="BodyText"/>
        <w:spacing w:line="300" w:lineRule="auto" w:before="31"/>
        <w:ind w:left="514" w:right="0"/>
        <w:jc w:val="left"/>
      </w:pPr>
      <w:r>
        <w:rPr>
          <w:rFonts w:ascii="Times New Roman" w:hAnsi="Times New Roman" w:cs="Times New Roman" w:eastAsia="Times New Roman" w:hint="default"/>
          <w:b/>
          <w:bCs/>
        </w:rPr>
        <w:t>4</w:t>
      </w:r>
      <w:r>
        <w:rPr>
          <w:rFonts w:ascii="宋体" w:hAnsi="宋体" w:cs="宋体" w:eastAsia="宋体" w:hint="default"/>
          <w:b/>
          <w:bCs/>
        </w:rPr>
        <w:t>、技术创新计划</w:t>
      </w:r>
      <w:r>
        <w:rPr>
          <w:rFonts w:ascii="宋体" w:hAnsi="宋体" w:cs="宋体" w:eastAsia="宋体" w:hint="default"/>
          <w:b/>
          <w:bCs/>
          <w:w w:val="99"/>
        </w:rPr>
        <w:t> </w:t>
      </w:r>
      <w:r>
        <w:rPr>
          <w:spacing w:val="-2"/>
        </w:rPr>
        <w:t>公司于</w:t>
      </w:r>
      <w:r>
        <w:rPr>
          <w:rFonts w:ascii="Times New Roman" w:hAnsi="Times New Roman" w:cs="Times New Roman" w:eastAsia="Times New Roman" w:hint="default"/>
          <w:spacing w:val="-2"/>
        </w:rPr>
        <w:t>2018</w:t>
      </w:r>
      <w:r>
        <w:rPr>
          <w:spacing w:val="-2"/>
        </w:rPr>
        <w:t>年末设立武汉市奥拓智能科技有限公司以及</w:t>
      </w:r>
      <w:r>
        <w:rPr>
          <w:rFonts w:ascii="Times New Roman" w:hAnsi="Times New Roman" w:cs="Times New Roman" w:eastAsia="Times New Roman" w:hint="default"/>
          <w:spacing w:val="-2"/>
        </w:rPr>
        <w:t>2019</w:t>
      </w:r>
      <w:r>
        <w:rPr>
          <w:spacing w:val="-2"/>
        </w:rPr>
        <w:t>年初设立智能视讯技术研究院，以智能视讯技术研究院为技</w:t>
      </w:r>
    </w:p>
    <w:p>
      <w:pPr>
        <w:pStyle w:val="BodyText"/>
        <w:spacing w:line="300" w:lineRule="auto" w:before="13"/>
        <w:ind w:left="514" w:right="0" w:hanging="360"/>
        <w:jc w:val="left"/>
      </w:pPr>
      <w:r>
        <w:rPr/>
        <w:t>术创新平台，以武汉奥拓为软件研发平台，为各事业群提供技术支持及新技术预研，进一步落地公司</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 </w:t>
      </w:r>
      <w:r>
        <w:rPr>
          <w:spacing w:val="-2"/>
        </w:rPr>
        <w:t>继续加强与北京大学深圳研究生院、香港科技大学、深圳市和信中欧金融科技研究院等高校及科研机构的合作，利用高</w:t>
      </w:r>
    </w:p>
    <w:p>
      <w:pPr>
        <w:pStyle w:val="BodyText"/>
        <w:spacing w:line="316" w:lineRule="auto" w:before="31"/>
        <w:ind w:right="1118"/>
        <w:jc w:val="left"/>
      </w:pPr>
      <w:r>
        <w:rPr>
          <w:spacing w:val="-2"/>
        </w:rPr>
        <w:t>校及科研机构研发资源，加强公司在人工智能技术、区块链技术等领域的研究及应用，提升公司产品及解决方案的核心竞争</w:t>
      </w:r>
      <w:r>
        <w:rPr>
          <w:spacing w:val="-66"/>
        </w:rPr>
        <w:t> </w:t>
      </w:r>
      <w:r>
        <w:rPr>
          <w:spacing w:val="-66"/>
        </w:rPr>
      </w:r>
      <w:r>
        <w:rPr/>
        <w:t>力。</w:t>
      </w:r>
    </w:p>
    <w:p>
      <w:pPr>
        <w:pStyle w:val="BodyText"/>
        <w:spacing w:line="300" w:lineRule="auto" w:before="19"/>
        <w:ind w:left="514" w:right="1032"/>
        <w:jc w:val="left"/>
      </w:pPr>
      <w:r>
        <w:rPr>
          <w:rFonts w:ascii="Times New Roman" w:hAnsi="Times New Roman" w:cs="Times New Roman" w:eastAsia="Times New Roman" w:hint="default"/>
          <w:b/>
          <w:bCs/>
        </w:rPr>
        <w:t>5</w:t>
      </w:r>
      <w:r>
        <w:rPr>
          <w:rFonts w:ascii="宋体" w:hAnsi="宋体" w:cs="宋体" w:eastAsia="宋体" w:hint="default"/>
          <w:b/>
          <w:bCs/>
        </w:rPr>
        <w:t>、精准扶贫计划</w:t>
      </w:r>
      <w:r>
        <w:rPr>
          <w:rFonts w:ascii="宋体" w:hAnsi="宋体" w:cs="宋体" w:eastAsia="宋体" w:hint="default"/>
          <w:b/>
          <w:bCs/>
          <w:w w:val="99"/>
        </w:rPr>
        <w:t> </w:t>
      </w:r>
      <w:r>
        <w:rPr/>
        <w:t>通过深圳市奥之爱公益基金会，扶持和资助贫困地区弱势群体接受职业培训指导服务，改善贫困地区人群的生活条件，</w:t>
      </w:r>
    </w:p>
    <w:p>
      <w:pPr>
        <w:pStyle w:val="BodyText"/>
        <w:spacing w:line="240" w:lineRule="auto" w:before="32"/>
        <w:ind w:right="0"/>
        <w:jc w:val="left"/>
      </w:pPr>
      <w:r>
        <w:rPr/>
        <w:t>帮助贫困地区的学校兴建改造篮球场、羽毛球场馆运动设施；组织参加各项社会公益活动及扶贫活动。</w:t>
      </w:r>
    </w:p>
    <w:p>
      <w:pPr>
        <w:pStyle w:val="Heading7"/>
        <w:spacing w:line="240" w:lineRule="auto" w:before="76"/>
        <w:ind w:left="514" w:right="0"/>
        <w:jc w:val="left"/>
        <w:rPr>
          <w:b w:val="0"/>
          <w:bCs w:val="0"/>
        </w:rPr>
      </w:pPr>
      <w:r>
        <w:rPr/>
        <w:t>（四）资金需求和使用计划</w:t>
      </w:r>
      <w:r>
        <w:rPr>
          <w:b w:val="0"/>
          <w:bCs w:val="0"/>
        </w:rPr>
      </w:r>
    </w:p>
    <w:p>
      <w:pPr>
        <w:pStyle w:val="BodyText"/>
        <w:spacing w:line="300" w:lineRule="auto" w:before="76"/>
        <w:ind w:right="0" w:firstLine="360"/>
        <w:jc w:val="left"/>
      </w:pPr>
      <w:r>
        <w:rPr>
          <w:rFonts w:ascii="Times New Roman" w:hAnsi="Times New Roman" w:cs="Times New Roman" w:eastAsia="Times New Roman" w:hint="default"/>
          <w:spacing w:val="-2"/>
        </w:rPr>
        <w:t>2019</w:t>
      </w:r>
      <w:r>
        <w:rPr>
          <w:spacing w:val="-2"/>
        </w:rPr>
        <w:t>年作为公司新三年规划的首年，将构建</w:t>
      </w:r>
      <w:r>
        <w:rPr>
          <w:rFonts w:ascii="Times New Roman" w:hAnsi="Times New Roman" w:cs="Times New Roman" w:eastAsia="Times New Roman" w:hint="default"/>
          <w:spacing w:val="-2"/>
        </w:rPr>
        <w:t>“</w:t>
      </w:r>
      <w:r>
        <w:rPr>
          <w:spacing w:val="-2"/>
        </w:rPr>
        <w:t>赋能型管理平台</w:t>
      </w:r>
      <w:r>
        <w:rPr>
          <w:rFonts w:ascii="Times New Roman" w:hAnsi="Times New Roman" w:cs="Times New Roman" w:eastAsia="Times New Roman" w:hint="default"/>
          <w:spacing w:val="-2"/>
        </w:rPr>
        <w:t>”</w:t>
      </w:r>
      <w:r>
        <w:rPr>
          <w:spacing w:val="-2"/>
        </w:rPr>
        <w:t>，提升公司资源聚集能力及赋能能力，对于公司资金的统</w:t>
      </w:r>
      <w:r>
        <w:rPr/>
        <w:t> 筹及运用能力要求更高，资金管理也是公司重点工作之一。</w:t>
      </w:r>
    </w:p>
    <w:p>
      <w:pPr>
        <w:pStyle w:val="BodyText"/>
        <w:spacing w:line="240" w:lineRule="auto" w:before="31"/>
        <w:ind w:left="514" w:right="0"/>
        <w:jc w:val="left"/>
      </w:pPr>
      <w:r>
        <w:rPr>
          <w:rFonts w:ascii="Times New Roman" w:hAnsi="Times New Roman" w:cs="Times New Roman" w:eastAsia="Times New Roman" w:hint="default"/>
        </w:rPr>
        <w:t>2019</w:t>
      </w:r>
      <w:r>
        <w:rPr/>
        <w:t>年，公司将重点在如下几个方面投入资金：</w:t>
      </w:r>
    </w:p>
    <w:p>
      <w:pPr>
        <w:pStyle w:val="BodyText"/>
        <w:spacing w:line="300" w:lineRule="auto" w:before="63"/>
        <w:ind w:right="1122" w:firstLine="360"/>
        <w:jc w:val="left"/>
      </w:pPr>
      <w:r>
        <w:rPr>
          <w:rFonts w:ascii="Times New Roman" w:hAnsi="Times New Roman" w:cs="Times New Roman" w:eastAsia="Times New Roman" w:hint="default"/>
        </w:rPr>
        <w:t>1</w:t>
      </w:r>
      <w:r>
        <w:rPr/>
        <w:t>、进一步加大智慧营业厅建设业务的投入以及智能服务型机器人的研发投入，完善金融科技事业群团队建设及客服平 台，加强与高校及科研机构的产学研合作。</w:t>
      </w:r>
    </w:p>
    <w:p>
      <w:pPr>
        <w:pStyle w:val="BodyText"/>
        <w:spacing w:line="240" w:lineRule="auto" w:before="31"/>
        <w:ind w:left="514" w:right="0"/>
        <w:jc w:val="left"/>
      </w:pPr>
      <w:r>
        <w:rPr>
          <w:rFonts w:ascii="Times New Roman" w:hAnsi="Times New Roman" w:cs="Times New Roman" w:eastAsia="Times New Roman" w:hint="default"/>
          <w:spacing w:val="-5"/>
        </w:rPr>
        <w:t>2</w:t>
      </w:r>
      <w:r>
        <w:rPr>
          <w:spacing w:val="-5"/>
        </w:rPr>
        <w:t>、扩大</w:t>
      </w:r>
      <w:r>
        <w:rPr>
          <w:rFonts w:ascii="Times New Roman" w:hAnsi="Times New Roman" w:cs="Times New Roman" w:eastAsia="Times New Roman" w:hint="default"/>
          <w:spacing w:val="-5"/>
        </w:rPr>
        <w:t>MINI </w:t>
      </w:r>
      <w:r>
        <w:rPr>
          <w:rFonts w:ascii="Times New Roman" w:hAnsi="Times New Roman" w:cs="Times New Roman" w:eastAsia="Times New Roman" w:hint="default"/>
          <w:spacing w:val="-3"/>
        </w:rPr>
        <w:t>LED</w:t>
      </w:r>
      <w:r>
        <w:rPr>
          <w:spacing w:val="-3"/>
        </w:rPr>
        <w:t>业务规模，建设</w:t>
      </w:r>
      <w:r>
        <w:rPr>
          <w:rFonts w:ascii="Times New Roman" w:hAnsi="Times New Roman" w:cs="Times New Roman" w:eastAsia="Times New Roman" w:hint="default"/>
          <w:spacing w:val="-3"/>
        </w:rPr>
        <w:t>MINI</w:t>
      </w:r>
      <w:r>
        <w:rPr>
          <w:rFonts w:ascii="Times New Roman" w:hAnsi="Times New Roman" w:cs="Times New Roman" w:eastAsia="Times New Roman" w:hint="default"/>
          <w:spacing w:val="29"/>
        </w:rPr>
        <w:t> </w:t>
      </w:r>
      <w:r>
        <w:rPr>
          <w:rFonts w:ascii="Times New Roman" w:hAnsi="Times New Roman" w:cs="Times New Roman" w:eastAsia="Times New Roman" w:hint="default"/>
          <w:spacing w:val="-3"/>
        </w:rPr>
        <w:t>LED</w:t>
      </w:r>
      <w:r>
        <w:rPr>
          <w:spacing w:val="-3"/>
        </w:rPr>
        <w:t>智能制造基地，继续完善海内外营销网络建设及渠道建设，网罗优秀人才。</w:t>
      </w:r>
    </w:p>
    <w:p>
      <w:pPr>
        <w:pStyle w:val="BodyText"/>
        <w:spacing w:line="240" w:lineRule="auto" w:before="63"/>
        <w:ind w:left="514" w:right="0"/>
        <w:jc w:val="left"/>
      </w:pPr>
      <w:r>
        <w:rPr>
          <w:rFonts w:ascii="Times New Roman" w:hAnsi="Times New Roman" w:cs="Times New Roman" w:eastAsia="Times New Roman" w:hint="default"/>
        </w:rPr>
        <w:t>3</w:t>
      </w:r>
      <w:r>
        <w:rPr/>
        <w:t>、加大对智能视讯技术研究院的投入，以技术创新推动</w:t>
      </w:r>
      <w:r>
        <w:rPr>
          <w:rFonts w:ascii="Times New Roman" w:hAnsi="Times New Roman" w:cs="Times New Roman" w:eastAsia="Times New Roman" w:hint="default"/>
        </w:rPr>
        <w:t>LED</w:t>
      </w:r>
      <w:r>
        <w:rPr/>
        <w:t>显示业务的快速发展。</w:t>
      </w:r>
    </w:p>
    <w:p>
      <w:pPr>
        <w:pStyle w:val="BodyText"/>
        <w:spacing w:line="240" w:lineRule="auto" w:before="63"/>
        <w:ind w:left="514" w:right="0"/>
        <w:jc w:val="left"/>
      </w:pPr>
      <w:r>
        <w:rPr>
          <w:rFonts w:ascii="Times New Roman" w:hAnsi="Times New Roman" w:cs="Times New Roman" w:eastAsia="Times New Roman" w:hint="default"/>
        </w:rPr>
        <w:t>4</w:t>
      </w:r>
      <w:r>
        <w:rPr/>
        <w:t>、进一步扩大智慧照明业务的规模，加强全国营销网络的建设。</w:t>
      </w:r>
    </w:p>
    <w:p>
      <w:pPr>
        <w:pStyle w:val="BodyText"/>
        <w:spacing w:line="300" w:lineRule="auto" w:before="63"/>
        <w:ind w:right="1122" w:firstLine="360"/>
        <w:jc w:val="left"/>
      </w:pPr>
      <w:r>
        <w:rPr>
          <w:rFonts w:ascii="Times New Roman" w:hAnsi="Times New Roman" w:cs="Times New Roman" w:eastAsia="Times New Roman" w:hint="default"/>
        </w:rPr>
        <w:t>5</w:t>
      </w:r>
      <w:r>
        <w:rPr/>
        <w:t>、继续围绕公司发展战略及业务目标，寻找符合公司发展的优质标的，通过并购、参股与合作等方式，提升公司核心 竞争力。</w:t>
      </w:r>
    </w:p>
    <w:p>
      <w:pPr>
        <w:pStyle w:val="Heading7"/>
        <w:spacing w:line="240" w:lineRule="auto" w:before="31"/>
        <w:ind w:left="514" w:right="0"/>
        <w:jc w:val="left"/>
        <w:rPr>
          <w:b w:val="0"/>
          <w:bCs w:val="0"/>
        </w:rPr>
      </w:pPr>
      <w:r>
        <w:rPr/>
        <w:t>（五）对公司未来发展战略和经营目标产生不利影响的重大风险因素及应对措施</w:t>
      </w:r>
      <w:r>
        <w:rPr>
          <w:b w:val="0"/>
          <w:bCs w:val="0"/>
        </w:rPr>
      </w:r>
    </w:p>
    <w:p>
      <w:pPr>
        <w:pStyle w:val="BodyText"/>
        <w:spacing w:line="348" w:lineRule="auto" w:before="76"/>
        <w:ind w:left="514" w:right="0"/>
        <w:jc w:val="left"/>
      </w:pPr>
      <w:r>
        <w:rPr>
          <w:rFonts w:ascii="Times New Roman" w:hAnsi="Times New Roman" w:cs="Times New Roman" w:eastAsia="Times New Roman" w:hint="default"/>
          <w:b/>
          <w:bCs/>
        </w:rPr>
        <w:t>1</w:t>
      </w:r>
      <w:r>
        <w:rPr>
          <w:rFonts w:ascii="宋体" w:hAnsi="宋体" w:cs="宋体" w:eastAsia="宋体" w:hint="default"/>
          <w:b/>
          <w:bCs/>
        </w:rPr>
        <w:t>、汇率波动风险</w:t>
      </w:r>
      <w:r>
        <w:rPr>
          <w:rFonts w:ascii="宋体" w:hAnsi="宋体" w:cs="宋体" w:eastAsia="宋体" w:hint="default"/>
          <w:b/>
          <w:bCs/>
          <w:w w:val="99"/>
        </w:rPr>
        <w:t> </w:t>
      </w:r>
      <w:r>
        <w:rPr>
          <w:spacing w:val="-6"/>
        </w:rPr>
        <w:t>公司海外业务中，日常经营涉及到外汇收支，若在此期间，国际外汇市场出现剧烈波动，将对公司的经营造成一定影响。</w:t>
      </w:r>
      <w:r>
        <w:rPr>
          <w:spacing w:val="-39"/>
        </w:rPr>
        <w:t> </w:t>
      </w:r>
      <w:r>
        <w:rPr>
          <w:spacing w:val="-39"/>
        </w:rPr>
      </w:r>
      <w:r>
        <w:rPr>
          <w:spacing w:val="-2"/>
        </w:rPr>
        <w:t>针对上述风险，公司拟采取如下措施：开展外汇套期保值业务规避外汇市场的风险，防范汇率大幅波动对公司造成的不</w:t>
      </w:r>
    </w:p>
    <w:p>
      <w:pPr>
        <w:pStyle w:val="BodyText"/>
        <w:spacing w:line="231" w:lineRule="exact"/>
        <w:ind w:right="0"/>
        <w:jc w:val="left"/>
      </w:pPr>
      <w:r>
        <w:rPr/>
        <w:t>良影响。</w:t>
      </w:r>
    </w:p>
    <w:p>
      <w:pPr>
        <w:pStyle w:val="BodyText"/>
        <w:spacing w:line="340" w:lineRule="auto" w:before="76"/>
        <w:ind w:left="514" w:right="0"/>
        <w:jc w:val="left"/>
      </w:pPr>
      <w:r>
        <w:rPr>
          <w:rFonts w:ascii="Times New Roman" w:hAnsi="Times New Roman" w:cs="Times New Roman" w:eastAsia="Times New Roman" w:hint="default"/>
          <w:b/>
          <w:bCs/>
        </w:rPr>
        <w:t>2</w:t>
      </w:r>
      <w:r>
        <w:rPr>
          <w:rFonts w:ascii="宋体" w:hAnsi="宋体" w:cs="宋体" w:eastAsia="宋体" w:hint="default"/>
          <w:b/>
          <w:bCs/>
        </w:rPr>
        <w:t>、商誉减值风险</w:t>
      </w:r>
      <w:r>
        <w:rPr>
          <w:rFonts w:ascii="宋体" w:hAnsi="宋体" w:cs="宋体" w:eastAsia="宋体" w:hint="default"/>
          <w:b/>
          <w:bCs/>
          <w:w w:val="99"/>
        </w:rPr>
        <w:t> </w:t>
      </w:r>
      <w:r>
        <w:rPr>
          <w:spacing w:val="-2"/>
        </w:rPr>
        <w:t>公司对千百辉的收购以及未来潜在的收购，形成了一定商誉，随着行业竞争日趋激烈，若并购标的不能较好的完成承诺</w:t>
      </w:r>
    </w:p>
    <w:p>
      <w:pPr>
        <w:pStyle w:val="BodyText"/>
        <w:spacing w:line="357" w:lineRule="auto" w:before="1"/>
        <w:ind w:left="514" w:right="0" w:hanging="360"/>
        <w:jc w:val="left"/>
      </w:pPr>
      <w:r>
        <w:rPr/>
        <w:t>业绩，则存在商誉减值的风险。 </w:t>
      </w:r>
      <w:r>
        <w:rPr>
          <w:spacing w:val="-2"/>
        </w:rPr>
        <w:t>针对上述风险，公司拟采取如下措施：加强对千百辉以及未来潜在收购标的的投后管理工作，利用信息化平台提升内部</w:t>
      </w:r>
    </w:p>
    <w:p>
      <w:pPr>
        <w:pStyle w:val="BodyText"/>
        <w:spacing w:line="224" w:lineRule="exact"/>
        <w:ind w:right="0"/>
        <w:jc w:val="left"/>
      </w:pPr>
      <w:r>
        <w:rPr/>
        <w:t>运营及管理水平，加强各业务板块间的战略协同，从而降低产生商誉减值风险的可能性。</w:t>
      </w:r>
    </w:p>
    <w:p>
      <w:pPr>
        <w:spacing w:after="0" w:line="224" w:lineRule="exact"/>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40" w:lineRule="auto" w:before="44"/>
        <w:ind w:left="514" w:right="0"/>
        <w:jc w:val="left"/>
      </w:pPr>
      <w:r>
        <w:rPr>
          <w:rFonts w:ascii="Times New Roman" w:hAnsi="Times New Roman" w:cs="Times New Roman" w:eastAsia="Times New Roman" w:hint="default"/>
          <w:b/>
          <w:bCs/>
        </w:rPr>
        <w:t>3</w:t>
      </w:r>
      <w:r>
        <w:rPr>
          <w:rFonts w:ascii="宋体" w:hAnsi="宋体" w:cs="宋体" w:eastAsia="宋体" w:hint="default"/>
          <w:b/>
          <w:bCs/>
        </w:rPr>
        <w:t>、集团化管控风险</w:t>
      </w:r>
      <w:r>
        <w:rPr>
          <w:rFonts w:ascii="宋体" w:hAnsi="宋体" w:cs="宋体" w:eastAsia="宋体" w:hint="default"/>
          <w:b/>
          <w:bCs/>
          <w:w w:val="99"/>
        </w:rPr>
        <w:t> </w:t>
      </w:r>
      <w:r>
        <w:rPr>
          <w:spacing w:val="-2"/>
        </w:rPr>
        <w:t>截至报告期内，公司共拥有境内外全资子公司</w:t>
      </w:r>
      <w:r>
        <w:rPr>
          <w:rFonts w:ascii="Times New Roman" w:hAnsi="Times New Roman" w:cs="Times New Roman" w:eastAsia="Times New Roman" w:hint="default"/>
          <w:spacing w:val="-2"/>
        </w:rPr>
        <w:t>14</w:t>
      </w:r>
      <w:r>
        <w:rPr>
          <w:spacing w:val="-2"/>
        </w:rPr>
        <w:t>家，控股公司</w:t>
      </w:r>
      <w:r>
        <w:rPr>
          <w:rFonts w:ascii="Times New Roman" w:hAnsi="Times New Roman" w:cs="Times New Roman" w:eastAsia="Times New Roman" w:hint="default"/>
          <w:spacing w:val="-2"/>
        </w:rPr>
        <w:t>3</w:t>
      </w:r>
      <w:r>
        <w:rPr>
          <w:spacing w:val="-2"/>
        </w:rPr>
        <w:t>家，参股公司</w:t>
      </w:r>
      <w:r>
        <w:rPr>
          <w:rFonts w:ascii="Times New Roman" w:hAnsi="Times New Roman" w:cs="Times New Roman" w:eastAsia="Times New Roman" w:hint="default"/>
          <w:spacing w:val="-2"/>
        </w:rPr>
        <w:t>2</w:t>
      </w:r>
      <w:r>
        <w:rPr>
          <w:spacing w:val="-2"/>
        </w:rPr>
        <w:t>家，全球员工数量超过</w:t>
      </w:r>
      <w:r>
        <w:rPr>
          <w:rFonts w:ascii="Times New Roman" w:hAnsi="Times New Roman" w:cs="Times New Roman" w:eastAsia="Times New Roman" w:hint="default"/>
          <w:spacing w:val="-2"/>
        </w:rPr>
        <w:t>1400</w:t>
      </w:r>
      <w:r>
        <w:rPr>
          <w:spacing w:val="-2"/>
        </w:rPr>
        <w:t>人。随着公司</w:t>
      </w:r>
    </w:p>
    <w:p>
      <w:pPr>
        <w:pStyle w:val="BodyText"/>
        <w:spacing w:line="215" w:lineRule="exact"/>
        <w:ind w:right="0"/>
        <w:jc w:val="left"/>
      </w:pPr>
      <w:r>
        <w:rPr/>
        <w:t>的规模及人数的逐渐增加，若不能进一步提高管理水平，有可能影响公司的正常运作以及经营目标的实现。</w:t>
      </w:r>
    </w:p>
    <w:p>
      <w:pPr>
        <w:pStyle w:val="BodyText"/>
        <w:spacing w:line="302" w:lineRule="auto" w:before="116"/>
        <w:ind w:right="1129" w:firstLine="360"/>
        <w:jc w:val="both"/>
      </w:pPr>
      <w:r>
        <w:rPr>
          <w:spacing w:val="-2"/>
        </w:rPr>
        <w:t>针对上述风险，公司拟采取如下措施：（</w:t>
      </w:r>
      <w:r>
        <w:rPr>
          <w:rFonts w:ascii="Times New Roman" w:hAnsi="Times New Roman" w:cs="Times New Roman" w:eastAsia="Times New Roman" w:hint="default"/>
          <w:spacing w:val="-2"/>
        </w:rPr>
        <w:t>1</w:t>
      </w:r>
      <w:r>
        <w:rPr>
          <w:spacing w:val="-2"/>
        </w:rPr>
        <w:t>）积极完善信息化管理平台的建设，提高管理效率及水平；（</w:t>
      </w:r>
      <w:r>
        <w:rPr>
          <w:rFonts w:ascii="Times New Roman" w:hAnsi="Times New Roman" w:cs="Times New Roman" w:eastAsia="Times New Roman" w:hint="default"/>
          <w:spacing w:val="-2"/>
        </w:rPr>
        <w:t>2</w:t>
      </w:r>
      <w:r>
        <w:rPr>
          <w:spacing w:val="-2"/>
        </w:rPr>
        <w:t>）完善法人治</w:t>
      </w:r>
      <w:r>
        <w:rPr/>
        <w:t> 理结构及内部管理流程，规范公司运作体系，加强内控与预算管理，强化各类决策的科学性；（</w:t>
      </w:r>
      <w:r>
        <w:rPr>
          <w:rFonts w:ascii="Times New Roman" w:hAnsi="Times New Roman" w:cs="Times New Roman" w:eastAsia="Times New Roman" w:hint="default"/>
        </w:rPr>
        <w:t>3</w:t>
      </w:r>
      <w:r>
        <w:rPr/>
        <w:t>）提高公司管理层及核心</w:t>
      </w:r>
      <w:r>
        <w:rPr>
          <w:spacing w:val="-82"/>
        </w:rPr>
        <w:t> </w:t>
      </w:r>
      <w:r>
        <w:rPr>
          <w:spacing w:val="-82"/>
        </w:rPr>
      </w:r>
      <w:r>
        <w:rPr/>
        <w:t>员工的管理能力，完善激励机制，培养后备人才，打造具有国际化视野的综合型管理团队。</w:t>
      </w:r>
    </w:p>
    <w:p>
      <w:pPr>
        <w:pStyle w:val="BodyText"/>
        <w:spacing w:line="340" w:lineRule="auto" w:before="68"/>
        <w:ind w:left="514" w:right="0"/>
        <w:jc w:val="left"/>
      </w:pPr>
      <w:r>
        <w:rPr>
          <w:rFonts w:ascii="Times New Roman" w:hAnsi="Times New Roman" w:cs="Times New Roman" w:eastAsia="Times New Roman" w:hint="default"/>
          <w:b/>
          <w:bCs/>
        </w:rPr>
        <w:t>4</w:t>
      </w:r>
      <w:r>
        <w:rPr>
          <w:rFonts w:ascii="宋体" w:hAnsi="宋体" w:cs="宋体" w:eastAsia="宋体" w:hint="default"/>
          <w:b/>
          <w:bCs/>
        </w:rPr>
        <w:t>、投资并购整合风险</w:t>
      </w:r>
      <w:r>
        <w:rPr>
          <w:rFonts w:ascii="宋体" w:hAnsi="宋体" w:cs="宋体" w:eastAsia="宋体" w:hint="default"/>
          <w:b/>
          <w:bCs/>
          <w:w w:val="99"/>
        </w:rPr>
        <w:t> </w:t>
      </w:r>
      <w:r>
        <w:rPr>
          <w:spacing w:val="-2"/>
        </w:rPr>
        <w:t>公司未来将根据业务需要及战略规划收购新的公司，促进公司的快速发展，但是新并购标的与公司之间工作方式、文化</w:t>
      </w:r>
    </w:p>
    <w:p>
      <w:pPr>
        <w:pStyle w:val="BodyText"/>
        <w:spacing w:line="357" w:lineRule="auto" w:before="1"/>
        <w:ind w:left="514" w:right="1122" w:hanging="360"/>
        <w:jc w:val="left"/>
      </w:pPr>
      <w:r>
        <w:rPr/>
        <w:t>等方面会存在差异，有可能出现整合不及预期从而影响公司业绩的风险。 </w:t>
      </w:r>
      <w:r>
        <w:rPr>
          <w:spacing w:val="-5"/>
        </w:rPr>
        <w:t>针对上述风险，公司拟采取如下措施：（</w:t>
      </w:r>
      <w:r>
        <w:rPr>
          <w:rFonts w:ascii="Times New Roman" w:hAnsi="Times New Roman" w:cs="Times New Roman" w:eastAsia="Times New Roman" w:hint="default"/>
          <w:spacing w:val="-5"/>
        </w:rPr>
        <w:t>1</w:t>
      </w:r>
      <w:r>
        <w:rPr>
          <w:spacing w:val="-5"/>
        </w:rPr>
        <w:t>）加强对新并购公司的企业文化宣贯工作；（</w:t>
      </w:r>
      <w:r>
        <w:rPr>
          <w:rFonts w:ascii="Times New Roman" w:hAnsi="Times New Roman" w:cs="Times New Roman" w:eastAsia="Times New Roman" w:hint="default"/>
          <w:spacing w:val="-5"/>
        </w:rPr>
        <w:t>2</w:t>
      </w:r>
      <w:r>
        <w:rPr>
          <w:spacing w:val="-5"/>
        </w:rPr>
        <w:t>）努力完善公司投后管理制度；</w:t>
      </w:r>
    </w:p>
    <w:p>
      <w:pPr>
        <w:pStyle w:val="BodyText"/>
        <w:spacing w:line="216" w:lineRule="exact"/>
        <w:ind w:right="0"/>
        <w:jc w:val="left"/>
      </w:pPr>
      <w:r>
        <w:rPr/>
        <w:t>（</w:t>
      </w:r>
      <w:r>
        <w:rPr>
          <w:rFonts w:ascii="Times New Roman" w:hAnsi="Times New Roman" w:cs="Times New Roman" w:eastAsia="Times New Roman" w:hint="default"/>
        </w:rPr>
        <w:t>3</w:t>
      </w:r>
      <w:r>
        <w:rPr/>
        <w:t>）促进公司各业务板块间的交流与合作。</w:t>
      </w:r>
    </w:p>
    <w:p>
      <w:pPr>
        <w:pStyle w:val="BodyText"/>
        <w:spacing w:line="340" w:lineRule="auto" w:before="101"/>
        <w:ind w:left="444" w:right="0" w:firstLine="69"/>
        <w:jc w:val="left"/>
      </w:pPr>
      <w:r>
        <w:rPr>
          <w:rFonts w:ascii="Times New Roman" w:hAnsi="Times New Roman" w:cs="Times New Roman" w:eastAsia="Times New Roman" w:hint="default"/>
          <w:b/>
          <w:bCs/>
        </w:rPr>
        <w:t>5</w:t>
      </w:r>
      <w:r>
        <w:rPr>
          <w:rFonts w:ascii="宋体" w:hAnsi="宋体" w:cs="宋体" w:eastAsia="宋体" w:hint="default"/>
          <w:b/>
          <w:bCs/>
        </w:rPr>
        <w:t>、应收账款风险</w:t>
      </w:r>
      <w:r>
        <w:rPr>
          <w:rFonts w:ascii="宋体" w:hAnsi="宋体" w:cs="宋体" w:eastAsia="宋体" w:hint="default"/>
          <w:b/>
          <w:bCs/>
          <w:w w:val="99"/>
        </w:rPr>
        <w:t> </w:t>
      </w:r>
      <w:r>
        <w:rPr>
          <w:spacing w:val="-1"/>
        </w:rPr>
        <w:t>随着公司的业务规模持续扩大，应收账款额度也持续增加，未来可能由于各类不利因素的影响，形成呆账和烂账，对公</w:t>
      </w:r>
    </w:p>
    <w:p>
      <w:pPr>
        <w:pStyle w:val="BodyText"/>
        <w:spacing w:line="357" w:lineRule="auto" w:before="1"/>
        <w:ind w:left="444" w:right="0" w:hanging="291"/>
        <w:jc w:val="left"/>
      </w:pPr>
      <w:r>
        <w:rPr/>
        <w:t>司的资金成本产生压力，从而影响公司盈利水平。 </w:t>
      </w:r>
      <w:r>
        <w:rPr>
          <w:spacing w:val="-1"/>
        </w:rPr>
        <w:t>针对上述风险，公司拟采取如下措施：（</w:t>
      </w:r>
      <w:r>
        <w:rPr>
          <w:rFonts w:ascii="Times New Roman" w:hAnsi="Times New Roman" w:cs="Times New Roman" w:eastAsia="Times New Roman" w:hint="default"/>
          <w:spacing w:val="-1"/>
        </w:rPr>
        <w:t>1</w:t>
      </w:r>
      <w:r>
        <w:rPr>
          <w:spacing w:val="-1"/>
        </w:rPr>
        <w:t>）建立全面的信用管理制度，加强赊账和欠账的监控及催收；（</w:t>
      </w:r>
      <w:r>
        <w:rPr>
          <w:rFonts w:ascii="Times New Roman" w:hAnsi="Times New Roman" w:cs="Times New Roman" w:eastAsia="Times New Roman" w:hint="default"/>
          <w:spacing w:val="-1"/>
        </w:rPr>
        <w:t>2</w:t>
      </w:r>
      <w:r>
        <w:rPr>
          <w:spacing w:val="-1"/>
        </w:rPr>
        <w:t>）建立客户</w:t>
      </w:r>
    </w:p>
    <w:p>
      <w:pPr>
        <w:pStyle w:val="BodyText"/>
        <w:spacing w:line="214" w:lineRule="exact"/>
        <w:ind w:right="0"/>
        <w:jc w:val="left"/>
      </w:pPr>
      <w:r>
        <w:rPr/>
        <w:t>信用评估体系，针对不同信用等级客户给予不同的账期；（</w:t>
      </w:r>
      <w:r>
        <w:rPr>
          <w:rFonts w:ascii="Times New Roman" w:hAnsi="Times New Roman" w:cs="Times New Roman" w:eastAsia="Times New Roman" w:hint="default"/>
        </w:rPr>
        <w:t>3</w:t>
      </w:r>
      <w:r>
        <w:rPr/>
        <w:t>）加强与中国出口信用保险公司合作以减少坏账的产生。</w:t>
      </w:r>
    </w:p>
    <w:p>
      <w:pPr>
        <w:spacing w:line="340" w:lineRule="auto" w:before="63"/>
        <w:ind w:left="444" w:right="4342" w:firstLine="69"/>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、产品质量风险</w:t>
      </w:r>
      <w:r>
        <w:rPr>
          <w:rFonts w:ascii="宋体" w:hAnsi="宋体" w:cs="宋体" w:eastAsia="宋体" w:hint="default"/>
          <w:b/>
          <w:bCs/>
          <w:w w:val="99"/>
          <w:sz w:val="18"/>
          <w:szCs w:val="18"/>
        </w:rPr>
        <w:t> </w:t>
      </w:r>
      <w:r>
        <w:rPr>
          <w:rFonts w:ascii="宋体" w:hAnsi="宋体" w:cs="宋体" w:eastAsia="宋体" w:hint="default"/>
          <w:sz w:val="18"/>
          <w:szCs w:val="18"/>
        </w:rPr>
        <w:t>随着公司的业务规模的扩大，产能持续上升，可能带来一定的产品质量问题。</w:t>
      </w:r>
    </w:p>
    <w:p>
      <w:pPr>
        <w:pStyle w:val="BodyText"/>
        <w:spacing w:line="300" w:lineRule="auto" w:before="39"/>
        <w:ind w:right="1130" w:firstLine="290"/>
        <w:jc w:val="both"/>
      </w:pPr>
      <w:r>
        <w:rPr>
          <w:spacing w:val="-1"/>
        </w:rPr>
        <w:t>针对上述风险，公司拟采取如下措施：（</w:t>
      </w:r>
      <w:r>
        <w:rPr>
          <w:rFonts w:ascii="Times New Roman" w:hAnsi="Times New Roman" w:cs="Times New Roman" w:eastAsia="Times New Roman" w:hint="default"/>
          <w:spacing w:val="-1"/>
        </w:rPr>
        <w:t>1</w:t>
      </w:r>
      <w:r>
        <w:rPr>
          <w:spacing w:val="-1"/>
        </w:rPr>
        <w:t>）加强公司员工质量意识培训，健全质量风险控制制度；（</w:t>
      </w:r>
      <w:r>
        <w:rPr>
          <w:rFonts w:ascii="Times New Roman" w:hAnsi="Times New Roman" w:cs="Times New Roman" w:eastAsia="Times New Roman" w:hint="default"/>
          <w:spacing w:val="-1"/>
        </w:rPr>
        <w:t>2</w:t>
      </w:r>
      <w:r>
        <w:rPr>
          <w:spacing w:val="-1"/>
        </w:rPr>
        <w:t>）全面购置生产</w:t>
      </w:r>
      <w:r>
        <w:rPr/>
        <w:t> 员工及设备保险；（</w:t>
      </w:r>
      <w:r>
        <w:rPr>
          <w:rFonts w:ascii="Times New Roman" w:hAnsi="Times New Roman" w:cs="Times New Roman" w:eastAsia="Times New Roman" w:hint="default"/>
        </w:rPr>
        <w:t>3</w:t>
      </w:r>
      <w:r>
        <w:rPr/>
        <w:t>）积极引进生产质量监督人才。</w:t>
      </w:r>
    </w:p>
    <w:p>
      <w:pPr>
        <w:pStyle w:val="BodyText"/>
        <w:spacing w:line="340" w:lineRule="auto" w:before="13"/>
        <w:ind w:left="444" w:right="0" w:firstLine="69"/>
        <w:jc w:val="left"/>
      </w:pPr>
      <w:r>
        <w:rPr>
          <w:rFonts w:ascii="Times New Roman" w:hAnsi="Times New Roman" w:cs="Times New Roman" w:eastAsia="Times New Roman" w:hint="default"/>
          <w:b/>
          <w:bCs/>
        </w:rPr>
        <w:t>7</w:t>
      </w:r>
      <w:r>
        <w:rPr>
          <w:rFonts w:ascii="宋体" w:hAnsi="宋体" w:cs="宋体" w:eastAsia="宋体" w:hint="default"/>
          <w:b/>
          <w:bCs/>
        </w:rPr>
        <w:t>、贸易摩擦风险</w:t>
      </w:r>
      <w:r>
        <w:rPr>
          <w:rFonts w:ascii="宋体" w:hAnsi="宋体" w:cs="宋体" w:eastAsia="宋体" w:hint="default"/>
          <w:b/>
          <w:bCs/>
          <w:w w:val="99"/>
        </w:rPr>
        <w:t> </w:t>
      </w:r>
      <w:r>
        <w:rPr>
          <w:spacing w:val="-1"/>
        </w:rPr>
        <w:t>近年国际经济形势不稳定，中美贸易形式仍然存在一定波动，若贸易保护政策逐渐实施，可能对公司北美地区业务开展</w:t>
      </w:r>
    </w:p>
    <w:p>
      <w:pPr>
        <w:pStyle w:val="BodyText"/>
        <w:spacing w:line="240" w:lineRule="auto" w:before="2"/>
        <w:ind w:right="0"/>
        <w:jc w:val="left"/>
      </w:pPr>
      <w:r>
        <w:rPr/>
        <w:t>造成一定影响。</w:t>
      </w:r>
    </w:p>
    <w:p>
      <w:pPr>
        <w:pStyle w:val="BodyText"/>
        <w:spacing w:line="300" w:lineRule="auto" w:before="115"/>
        <w:ind w:right="1131" w:firstLine="420"/>
        <w:jc w:val="both"/>
      </w:pPr>
      <w:r>
        <w:rPr>
          <w:spacing w:val="-2"/>
        </w:rPr>
        <w:t>针对上述风险，公司拟采取如下措施：（</w:t>
      </w:r>
      <w:r>
        <w:rPr>
          <w:rFonts w:ascii="Times New Roman" w:hAnsi="Times New Roman" w:cs="Times New Roman" w:eastAsia="Times New Roman" w:hint="default"/>
          <w:spacing w:val="-2"/>
        </w:rPr>
        <w:t>1</w:t>
      </w:r>
      <w:r>
        <w:rPr>
          <w:spacing w:val="-2"/>
        </w:rPr>
        <w:t>）加大对政治及经济环境稳定的地区市场的开拓，分散由于贸易摩擦带来的</w:t>
      </w:r>
      <w:r>
        <w:rPr/>
        <w:t> 潜在风险；（</w:t>
      </w:r>
      <w:r>
        <w:rPr>
          <w:rFonts w:ascii="Times New Roman" w:hAnsi="Times New Roman" w:cs="Times New Roman" w:eastAsia="Times New Roman" w:hint="default"/>
        </w:rPr>
        <w:t>2</w:t>
      </w:r>
      <w:r>
        <w:rPr/>
        <w:t>）加强海外市场本地化服务网络的建设，网罗优秀管理及营销人才，实时跟踪政治及经济政策变化，加强管</w:t>
      </w:r>
      <w:r>
        <w:rPr>
          <w:spacing w:val="-83"/>
        </w:rPr>
        <w:t> </w:t>
      </w:r>
      <w:r>
        <w:rPr>
          <w:spacing w:val="-83"/>
        </w:rPr>
      </w:r>
      <w:r>
        <w:rPr/>
        <w:t>理运营能力，提前做好应对措施。</w:t>
      </w:r>
    </w:p>
    <w:p>
      <w:pPr>
        <w:pStyle w:val="Heading7"/>
        <w:spacing w:line="240" w:lineRule="auto" w:before="70"/>
        <w:ind w:right="0"/>
        <w:jc w:val="left"/>
        <w:rPr>
          <w:b w:val="0"/>
          <w:bCs w:val="0"/>
        </w:rPr>
      </w:pPr>
      <w:r>
        <w:rPr/>
        <w:t>（六）公司</w:t>
      </w:r>
      <w:r>
        <w:rPr>
          <w:rFonts w:ascii="Times New Roman" w:hAnsi="Times New Roman" w:cs="Times New Roman" w:eastAsia="Times New Roman" w:hint="default"/>
        </w:rPr>
        <w:t>2018</w:t>
      </w:r>
      <w:r>
        <w:rPr/>
        <w:t>年经营计划完成情况</w:t>
      </w:r>
      <w:r>
        <w:rPr>
          <w:b w:val="0"/>
          <w:bCs w:val="0"/>
        </w:rPr>
      </w:r>
    </w:p>
    <w:p>
      <w:pPr>
        <w:pStyle w:val="BodyText"/>
        <w:spacing w:line="304" w:lineRule="auto" w:before="103"/>
        <w:ind w:right="1130" w:firstLine="420"/>
        <w:jc w:val="both"/>
      </w:pPr>
      <w:r>
        <w:rPr>
          <w:rFonts w:ascii="Times New Roman" w:hAnsi="Times New Roman" w:cs="Times New Roman" w:eastAsia="Times New Roman" w:hint="default"/>
        </w:rPr>
        <w:t>1</w:t>
      </w:r>
      <w:r>
        <w:rPr/>
        <w:t>、报告期内，公司围绕</w:t>
      </w:r>
      <w:r>
        <w:rPr>
          <w:rFonts w:ascii="Times New Roman" w:hAnsi="Times New Roman" w:cs="Times New Roman" w:eastAsia="Times New Roman" w:hint="default"/>
        </w:rPr>
        <w:t>“</w:t>
      </w:r>
      <w:r>
        <w:rPr/>
        <w:t>智能</w:t>
      </w:r>
      <w:r>
        <w:rPr>
          <w:rFonts w:ascii="Times New Roman" w:hAnsi="Times New Roman" w:cs="Times New Roman" w:eastAsia="Times New Roman" w:hint="default"/>
        </w:rPr>
        <w:t>+”</w:t>
      </w:r>
      <w:r>
        <w:rPr/>
        <w:t>战略，加强了人工智能技术与产品的有效联结；智慧银行业务的全面拓展使得金融科 </w:t>
      </w:r>
      <w:r>
        <w:rPr>
          <w:spacing w:val="-2"/>
        </w:rPr>
        <w:t>技业务规模再创新高，银行智能服务型机器人成功集成运用到中国银行、工商银行、兴业银行、南京银行等银行网点；智能</w:t>
      </w:r>
      <w:r>
        <w:rPr>
          <w:spacing w:val="-65"/>
        </w:rPr>
        <w:t> </w:t>
      </w:r>
      <w:r>
        <w:rPr>
          <w:spacing w:val="-65"/>
        </w:rPr>
      </w:r>
      <w:r>
        <w:rPr/>
        <w:t>照明控制管理系统及</w:t>
      </w:r>
      <w:r>
        <w:rPr>
          <w:rFonts w:ascii="Times New Roman" w:hAnsi="Times New Roman" w:cs="Times New Roman" w:eastAsia="Times New Roman" w:hint="default"/>
        </w:rPr>
        <w:t>MINI</w:t>
      </w:r>
      <w:r>
        <w:rPr>
          <w:rFonts w:ascii="Times New Roman" w:hAnsi="Times New Roman" w:cs="Times New Roman" w:eastAsia="Times New Roman" w:hint="default"/>
          <w:spacing w:val="21"/>
        </w:rPr>
        <w:t> </w:t>
      </w:r>
      <w:r>
        <w:rPr>
          <w:rFonts w:ascii="Times New Roman" w:hAnsi="Times New Roman" w:cs="Times New Roman" w:eastAsia="Times New Roman" w:hint="default"/>
        </w:rPr>
        <w:t>LED</w:t>
      </w:r>
      <w:r>
        <w:rPr/>
        <w:t>产品的研发落地，进一步扩大了</w:t>
      </w:r>
      <w:r>
        <w:rPr>
          <w:rFonts w:ascii="Times New Roman" w:hAnsi="Times New Roman" w:cs="Times New Roman" w:eastAsia="Times New Roman" w:hint="default"/>
        </w:rPr>
        <w:t>LED</w:t>
      </w:r>
      <w:r>
        <w:rPr/>
        <w:t>应用业务的销售规模，提升了核心竞争力。公司高度重 </w:t>
      </w:r>
      <w:r>
        <w:rPr>
          <w:spacing w:val="-1"/>
        </w:rPr>
        <w:t>视并加大收款力度，经营性现金净流量大幅提升。报告期内，公司实现营业收入</w:t>
      </w:r>
      <w:r>
        <w:rPr>
          <w:rFonts w:ascii="Times New Roman" w:hAnsi="Times New Roman" w:cs="Times New Roman" w:eastAsia="Times New Roman" w:hint="default"/>
          <w:spacing w:val="-1"/>
        </w:rPr>
        <w:t>157,337.24</w:t>
      </w:r>
      <w:r>
        <w:rPr>
          <w:spacing w:val="-1"/>
        </w:rPr>
        <w:t>万元，同比增长</w:t>
      </w:r>
      <w:r>
        <w:rPr>
          <w:rFonts w:ascii="Times New Roman" w:hAnsi="Times New Roman" w:cs="Times New Roman" w:eastAsia="Times New Roman" w:hint="default"/>
          <w:spacing w:val="-1"/>
        </w:rPr>
        <w:t>51.12%</w:t>
      </w:r>
      <w:r>
        <w:rPr>
          <w:spacing w:val="-1"/>
        </w:rPr>
        <w:t>；实现营</w:t>
      </w:r>
      <w:r>
        <w:rPr>
          <w:spacing w:val="-42"/>
        </w:rPr>
        <w:t> </w:t>
      </w:r>
      <w:r>
        <w:rPr>
          <w:spacing w:val="-42"/>
        </w:rPr>
      </w:r>
      <w:r>
        <w:rPr>
          <w:spacing w:val="-2"/>
        </w:rPr>
        <w:t>业利润</w:t>
      </w:r>
      <w:r>
        <w:rPr>
          <w:rFonts w:ascii="Times New Roman" w:hAnsi="Times New Roman" w:cs="Times New Roman" w:eastAsia="Times New Roman" w:hint="default"/>
          <w:spacing w:val="-2"/>
        </w:rPr>
        <w:t>20,554.18</w:t>
      </w:r>
      <w:r>
        <w:rPr>
          <w:spacing w:val="-2"/>
        </w:rPr>
        <w:t>万元，同比增长</w:t>
      </w:r>
      <w:r>
        <w:rPr>
          <w:rFonts w:ascii="Times New Roman" w:hAnsi="Times New Roman" w:cs="Times New Roman" w:eastAsia="Times New Roman" w:hint="default"/>
          <w:spacing w:val="-2"/>
        </w:rPr>
        <w:t>46.72%</w:t>
      </w:r>
      <w:r>
        <w:rPr>
          <w:spacing w:val="-2"/>
        </w:rPr>
        <w:t>；实现归属于上市公司股东的净利润</w:t>
      </w:r>
      <w:r>
        <w:rPr>
          <w:rFonts w:ascii="Times New Roman" w:hAnsi="Times New Roman" w:cs="Times New Roman" w:eastAsia="Times New Roman" w:hint="default"/>
          <w:spacing w:val="-2"/>
        </w:rPr>
        <w:t>17,966.23</w:t>
      </w:r>
      <w:r>
        <w:rPr>
          <w:spacing w:val="-2"/>
        </w:rPr>
        <w:t>万元，同比增长</w:t>
      </w:r>
      <w:r>
        <w:rPr>
          <w:rFonts w:ascii="Times New Roman" w:hAnsi="Times New Roman" w:cs="Times New Roman" w:eastAsia="Times New Roman" w:hint="default"/>
          <w:spacing w:val="-2"/>
        </w:rPr>
        <w:t>36.09%</w:t>
      </w:r>
      <w:r>
        <w:rPr>
          <w:spacing w:val="-2"/>
        </w:rPr>
        <w:t>。基本实现</w:t>
      </w:r>
      <w:r>
        <w:rPr>
          <w:rFonts w:ascii="Times New Roman" w:hAnsi="Times New Roman" w:cs="Times New Roman" w:eastAsia="Times New Roman" w:hint="default"/>
          <w:spacing w:val="-2"/>
        </w:rPr>
        <w:t>2018</w:t>
      </w:r>
      <w:r>
        <w:rPr>
          <w:rFonts w:ascii="Times New Roman" w:hAnsi="Times New Roman" w:cs="Times New Roman" w:eastAsia="Times New Roman" w:hint="default"/>
          <w:spacing w:val="-21"/>
        </w:rPr>
        <w:t> </w:t>
      </w:r>
      <w:r>
        <w:rPr/>
        <w:t>年年初制定的目标。</w:t>
      </w:r>
    </w:p>
    <w:p>
      <w:pPr>
        <w:pStyle w:val="BodyText"/>
        <w:spacing w:line="302" w:lineRule="auto" w:before="66"/>
        <w:ind w:right="1130" w:firstLine="360"/>
        <w:jc w:val="both"/>
      </w:pPr>
      <w:r>
        <w:rPr>
          <w:rFonts w:ascii="Times New Roman" w:hAnsi="Times New Roman" w:cs="Times New Roman" w:eastAsia="Times New Roman" w:hint="default"/>
          <w:spacing w:val="-2"/>
        </w:rPr>
        <w:t>2</w:t>
      </w:r>
      <w:r>
        <w:rPr>
          <w:spacing w:val="-2"/>
        </w:rPr>
        <w:t>、报告期内，公司实施了</w:t>
      </w:r>
      <w:r>
        <w:rPr>
          <w:rFonts w:ascii="Times New Roman" w:hAnsi="Times New Roman" w:cs="Times New Roman" w:eastAsia="Times New Roman" w:hint="default"/>
          <w:spacing w:val="-2"/>
        </w:rPr>
        <w:t>2018</w:t>
      </w:r>
      <w:r>
        <w:rPr>
          <w:spacing w:val="-2"/>
        </w:rPr>
        <w:t>年限制性股票激励计划，以</w:t>
      </w:r>
      <w:r>
        <w:rPr>
          <w:rFonts w:ascii="Times New Roman" w:hAnsi="Times New Roman" w:cs="Times New Roman" w:eastAsia="Times New Roman" w:hint="default"/>
          <w:spacing w:val="-2"/>
        </w:rPr>
        <w:t>2.7</w:t>
      </w:r>
      <w:r>
        <w:rPr>
          <w:spacing w:val="-2"/>
        </w:rPr>
        <w:t>元</w:t>
      </w:r>
      <w:r>
        <w:rPr>
          <w:rFonts w:ascii="Times New Roman" w:hAnsi="Times New Roman" w:cs="Times New Roman" w:eastAsia="Times New Roman" w:hint="default"/>
          <w:spacing w:val="-2"/>
        </w:rPr>
        <w:t>/</w:t>
      </w:r>
      <w:r>
        <w:rPr>
          <w:spacing w:val="-2"/>
        </w:rPr>
        <w:t>股的价格向</w:t>
      </w:r>
      <w:r>
        <w:rPr>
          <w:rFonts w:ascii="Times New Roman" w:hAnsi="Times New Roman" w:cs="Times New Roman" w:eastAsia="Times New Roman" w:hint="default"/>
          <w:spacing w:val="-2"/>
        </w:rPr>
        <w:t>147</w:t>
      </w:r>
      <w:r>
        <w:rPr>
          <w:spacing w:val="-2"/>
        </w:rPr>
        <w:t>名员工授予</w:t>
      </w:r>
      <w:r>
        <w:rPr>
          <w:rFonts w:ascii="Times New Roman" w:hAnsi="Times New Roman" w:cs="Times New Roman" w:eastAsia="Times New Roman" w:hint="default"/>
          <w:spacing w:val="-2"/>
        </w:rPr>
        <w:t>800</w:t>
      </w:r>
      <w:r>
        <w:rPr>
          <w:spacing w:val="-2"/>
        </w:rPr>
        <w:t>万股限制性股票，有效增</w:t>
      </w:r>
      <w:r>
        <w:rPr/>
        <w:t> 强员工与公司的粘性，提高员工工作积极性，将核心骨干纳入长效激励体系，为未来发展打下良好基础。</w:t>
      </w:r>
    </w:p>
    <w:p>
      <w:pPr>
        <w:pStyle w:val="BodyText"/>
        <w:spacing w:line="300" w:lineRule="auto" w:before="68"/>
        <w:ind w:right="1032" w:firstLine="360"/>
        <w:jc w:val="left"/>
        <w:rPr>
          <w:rFonts w:ascii="Times New Roman" w:hAnsi="Times New Roman" w:cs="Times New Roman" w:eastAsia="Times New Roman" w:hint="default"/>
        </w:rPr>
      </w:pPr>
      <w:r>
        <w:rPr>
          <w:rFonts w:ascii="Times New Roman" w:hAnsi="Times New Roman" w:cs="Times New Roman" w:eastAsia="Times New Roman" w:hint="default"/>
        </w:rPr>
        <w:t>3</w:t>
      </w:r>
      <w:r>
        <w:rPr/>
        <w:t>、报告期内，基于对公司未来发展前景的信心和基本面的判断，公司拟以不低于人民币</w:t>
      </w:r>
      <w:r>
        <w:rPr>
          <w:rFonts w:ascii="Times New Roman" w:hAnsi="Times New Roman" w:cs="Times New Roman" w:eastAsia="Times New Roman" w:hint="default"/>
        </w:rPr>
        <w:t>4,000</w:t>
      </w:r>
      <w:r>
        <w:rPr/>
        <w:t>万元（包含</w:t>
      </w:r>
      <w:r>
        <w:rPr>
          <w:rFonts w:ascii="Times New Roman" w:hAnsi="Times New Roman" w:cs="Times New Roman" w:eastAsia="Times New Roman" w:hint="default"/>
        </w:rPr>
        <w:t>4,000</w:t>
      </w:r>
      <w:r>
        <w:rPr/>
        <w:t>万元）， 不超过人民币</w:t>
      </w:r>
      <w:r>
        <w:rPr>
          <w:rFonts w:ascii="Times New Roman" w:hAnsi="Times New Roman" w:cs="Times New Roman" w:eastAsia="Times New Roman" w:hint="default"/>
        </w:rPr>
        <w:t>8,000</w:t>
      </w:r>
      <w:r>
        <w:rPr/>
        <w:t>万元（包含</w:t>
      </w:r>
      <w:r>
        <w:rPr>
          <w:rFonts w:ascii="Times New Roman" w:hAnsi="Times New Roman" w:cs="Times New Roman" w:eastAsia="Times New Roman" w:hint="default"/>
        </w:rPr>
        <w:t>8,000</w:t>
      </w:r>
      <w:r>
        <w:rPr/>
        <w:t>万元）的资金回购公司股份，回购股份成本价格不超过</w:t>
      </w:r>
      <w:r>
        <w:rPr>
          <w:rFonts w:ascii="Times New Roman" w:hAnsi="Times New Roman" w:cs="Times New Roman" w:eastAsia="Times New Roman" w:hint="default"/>
        </w:rPr>
        <w:t>9</w:t>
      </w:r>
      <w:r>
        <w:rPr/>
        <w:t>元</w:t>
      </w:r>
      <w:r>
        <w:rPr>
          <w:rFonts w:ascii="Times New Roman" w:hAnsi="Times New Roman" w:cs="Times New Roman" w:eastAsia="Times New Roman" w:hint="default"/>
        </w:rPr>
        <w:t>/</w:t>
      </w:r>
      <w:r>
        <w:rPr/>
        <w:t>股。截至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28</w:t>
      </w:r>
      <w:r>
        <w:rPr/>
        <w:t>日，回 购股份数量为 </w:t>
      </w:r>
      <w:r>
        <w:rPr>
          <w:rFonts w:ascii="Times New Roman" w:hAnsi="Times New Roman" w:cs="Times New Roman" w:eastAsia="Times New Roman" w:hint="default"/>
        </w:rPr>
        <w:t>3,506,652 </w:t>
      </w:r>
      <w:r>
        <w:rPr/>
        <w:t>股，占公司已发行总股本的比例为 </w:t>
      </w:r>
      <w:r>
        <w:rPr>
          <w:rFonts w:ascii="Times New Roman" w:hAnsi="Times New Roman" w:cs="Times New Roman" w:eastAsia="Times New Roman" w:hint="default"/>
        </w:rPr>
        <w:t>0.57%</w:t>
      </w:r>
      <w:r>
        <w:rPr/>
        <w:t>，其中最高成交价为 </w:t>
      </w:r>
      <w:r>
        <w:rPr>
          <w:rFonts w:ascii="Times New Roman" w:hAnsi="Times New Roman" w:cs="Times New Roman" w:eastAsia="Times New Roman" w:hint="default"/>
        </w:rPr>
        <w:t>5.11 </w:t>
      </w:r>
      <w:r>
        <w:rPr/>
        <w:t>元</w:t>
      </w:r>
      <w:r>
        <w:rPr>
          <w:rFonts w:ascii="Times New Roman" w:hAnsi="Times New Roman" w:cs="Times New Roman" w:eastAsia="Times New Roman" w:hint="default"/>
        </w:rPr>
        <w:t>/</w:t>
      </w:r>
      <w:r>
        <w:rPr/>
        <w:t>股，最低成交价为 </w:t>
      </w:r>
      <w:r>
        <w:rPr>
          <w:rFonts w:ascii="Times New Roman" w:hAnsi="Times New Roman" w:cs="Times New Roman" w:eastAsia="Times New Roman" w:hint="default"/>
        </w:rPr>
        <w:t>4.76</w:t>
      </w:r>
      <w:r>
        <w:rPr>
          <w:rFonts w:ascii="Times New Roman" w:hAnsi="Times New Roman" w:cs="Times New Roman" w:eastAsia="Times New Roman" w:hint="default"/>
          <w:spacing w:val="23"/>
        </w:rPr>
        <w:t> </w:t>
      </w:r>
      <w:r>
        <w:rPr/>
        <w:t>元</w:t>
      </w:r>
      <w:r>
        <w:rPr>
          <w:rFonts w:ascii="Times New Roman" w:hAnsi="Times New Roman" w:cs="Times New Roman" w:eastAsia="Times New Roman" w:hint="default"/>
        </w:rPr>
        <w:t>/</w:t>
      </w:r>
    </w:p>
    <w:p>
      <w:pPr>
        <w:pStyle w:val="BodyText"/>
        <w:spacing w:line="240" w:lineRule="auto" w:before="14"/>
        <w:ind w:right="0"/>
        <w:jc w:val="left"/>
      </w:pPr>
      <w:r>
        <w:rPr/>
        <w:t>股，合计支付的总金额为 </w:t>
      </w:r>
      <w:r>
        <w:rPr>
          <w:rFonts w:ascii="Times New Roman" w:hAnsi="Times New Roman" w:cs="Times New Roman" w:eastAsia="Times New Roman" w:hint="default"/>
        </w:rPr>
        <w:t>17,335,745.05</w:t>
      </w:r>
      <w:r>
        <w:rPr>
          <w:rFonts w:ascii="Times New Roman" w:hAnsi="Times New Roman" w:cs="Times New Roman" w:eastAsia="Times New Roman" w:hint="default"/>
          <w:spacing w:val="7"/>
        </w:rPr>
        <w:t> </w:t>
      </w:r>
      <w:r>
        <w:rPr/>
        <w:t>元（不含交易费用）。</w:t>
      </w:r>
    </w:p>
    <w:p>
      <w:pPr>
        <w:pStyle w:val="BodyText"/>
        <w:spacing w:line="309" w:lineRule="auto" w:before="102"/>
        <w:ind w:right="1131" w:firstLine="360"/>
        <w:jc w:val="both"/>
      </w:pPr>
      <w:r>
        <w:rPr>
          <w:rFonts w:ascii="Times New Roman" w:hAnsi="Times New Roman" w:cs="Times New Roman" w:eastAsia="Times New Roman" w:hint="default"/>
        </w:rPr>
        <w:t>4</w:t>
      </w:r>
      <w:r>
        <w:rPr/>
        <w:t>、公司</w:t>
      </w:r>
      <w:r>
        <w:rPr>
          <w:rFonts w:ascii="Times New Roman" w:hAnsi="Times New Roman" w:cs="Times New Roman" w:eastAsia="Times New Roman" w:hint="default"/>
        </w:rPr>
        <w:t>ERP</w:t>
      </w:r>
      <w:r>
        <w:rPr/>
        <w:t>系统第一期及第二期项目正式落地，促进公司信息化平台建设的快速发展，实现了公司业务及财务一体化 </w:t>
      </w:r>
      <w:r>
        <w:rPr>
          <w:spacing w:val="-2"/>
        </w:rPr>
        <w:t>的目标。同时，公司进一步完善集团化战略管控的制度建设和文化宣贯，各业务板块和经营单位实现战略协同，提高公司运</w:t>
      </w:r>
      <w:r>
        <w:rPr>
          <w:spacing w:val="-66"/>
        </w:rPr>
        <w:t> </w:t>
      </w:r>
      <w:r>
        <w:rPr>
          <w:spacing w:val="-66"/>
        </w:rPr>
      </w:r>
      <w:r>
        <w:rPr/>
        <w:t>营效率，控制经营风险。</w:t>
      </w:r>
    </w:p>
    <w:p>
      <w:pPr>
        <w:spacing w:after="0" w:line="309" w:lineRule="auto"/>
        <w:jc w:val="both"/>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514" w:right="0"/>
        <w:jc w:val="left"/>
      </w:pPr>
      <w:r>
        <w:rPr>
          <w:rFonts w:ascii="Times New Roman" w:hAnsi="Times New Roman" w:cs="Times New Roman" w:eastAsia="Times New Roman" w:hint="default"/>
        </w:rPr>
        <w:t>5</w:t>
      </w:r>
      <w:r>
        <w:rPr/>
        <w:t>、公司举行成立</w:t>
      </w:r>
      <w:r>
        <w:rPr>
          <w:rFonts w:ascii="宋体" w:hAnsi="宋体" w:cs="宋体" w:eastAsia="宋体" w:hint="default"/>
        </w:rPr>
        <w:t>25</w:t>
      </w:r>
      <w:r>
        <w:rPr/>
        <w:t>周年庆典等一系列活动，提升公司员工凝聚力及工作积极性。</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十、接待调研、沟通、采访等活动" w:id="60"/>
      <w:bookmarkEnd w:id="60"/>
      <w:r>
        <w:rPr>
          <w:b w:val="0"/>
          <w:bCs w:val="0"/>
        </w:rPr>
      </w:r>
      <w:r>
        <w:rPr/>
        <w:t>十、接待调研、沟通、采访等活动</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报告期内接待调研、沟通、采访等活动登记表" w:id="61"/>
      <w:bookmarkEnd w:id="61"/>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178"/>
        <w:gridCol w:w="2177"/>
        <w:gridCol w:w="2177"/>
        <w:gridCol w:w="3038"/>
      </w:tblGrid>
      <w:tr>
        <w:trPr>
          <w:trHeight w:val="401"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43"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04"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left"/>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2">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z w:val="18"/>
                <w:szCs w:val="18"/>
              </w:rPr>
              <w:t>拓电子：</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日投资者关 系活动记录表》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2">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z w:val="18"/>
                <w:szCs w:val="18"/>
              </w:rPr>
              <w:t>拓电子：</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日投资者关 系活动记录表》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2">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pacing w:val="-5"/>
                <w:sz w:val="18"/>
                <w:szCs w:val="18"/>
              </w:rPr>
              <w:t>拓电子：</w:t>
            </w:r>
            <w:r>
              <w:rPr>
                <w:rFonts w:ascii="Times New Roman" w:hAnsi="Times New Roman" w:cs="Times New Roman" w:eastAsia="Times New Roman" w:hint="default"/>
                <w:spacing w:val="-5"/>
                <w:sz w:val="18"/>
                <w:szCs w:val="18"/>
              </w:rPr>
              <w:t>2018</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日投资者关系 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2">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pacing w:val="-5"/>
                <w:sz w:val="18"/>
                <w:szCs w:val="18"/>
              </w:rPr>
              <w:t>拓电子：</w:t>
            </w:r>
            <w:r>
              <w:rPr>
                <w:rFonts w:ascii="Times New Roman" w:hAnsi="Times New Roman" w:cs="Times New Roman" w:eastAsia="Times New Roman" w:hint="default"/>
                <w:spacing w:val="-5"/>
                <w:sz w:val="18"/>
                <w:szCs w:val="18"/>
              </w:rPr>
              <w:t>2018</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日投资者关系 活动记录表》</w:t>
            </w:r>
          </w:p>
        </w:tc>
      </w:tr>
      <w:tr>
        <w:trPr>
          <w:trHeight w:val="1028"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20"/>
              <w:jc w:val="both"/>
              <w:rPr>
                <w:rFonts w:ascii="宋体" w:hAnsi="宋体" w:cs="宋体" w:eastAsia="宋体" w:hint="default"/>
                <w:sz w:val="18"/>
                <w:szCs w:val="18"/>
              </w:rPr>
            </w:pPr>
            <w:r>
              <w:rPr>
                <w:rFonts w:ascii="宋体" w:hAnsi="宋体" w:cs="宋体" w:eastAsia="宋体" w:hint="default"/>
                <w:spacing w:val="-5"/>
                <w:w w:val="99"/>
                <w:sz w:val="18"/>
                <w:szCs w:val="18"/>
              </w:rPr>
              <w:t>巨潮资讯网（</w:t>
            </w:r>
            <w:hyperlink r:id="rId12">
              <w:r>
                <w:rPr>
                  <w:rFonts w:ascii="Times New Roman" w:hAnsi="Times New Roman" w:cs="Times New Roman" w:eastAsia="Times New Roman" w:hint="default"/>
                  <w:spacing w:val="-5"/>
                  <w:w w:val="99"/>
                  <w:sz w:val="18"/>
                  <w:szCs w:val="18"/>
                </w:rPr>
                <w:t>www.cninfo.com.cn</w:t>
              </w:r>
            </w:hyperlink>
            <w:r>
              <w:rPr>
                <w:rFonts w:ascii="宋体" w:hAnsi="宋体" w:cs="宋体" w:eastAsia="宋体" w:hint="default"/>
                <w:spacing w:val="-5"/>
                <w:w w:val="99"/>
                <w:sz w:val="18"/>
                <w:szCs w:val="18"/>
              </w:rPr>
              <w:t>）《奥</w:t>
            </w:r>
            <w:r>
              <w:rPr>
                <w:rFonts w:ascii="宋体" w:hAnsi="宋体" w:cs="宋体" w:eastAsia="宋体" w:hint="default"/>
                <w:spacing w:val="-69"/>
                <w:w w:val="99"/>
                <w:sz w:val="18"/>
                <w:szCs w:val="18"/>
              </w:rPr>
              <w:t> </w:t>
            </w:r>
            <w:r>
              <w:rPr>
                <w:rFonts w:ascii="宋体" w:hAnsi="宋体" w:cs="宋体" w:eastAsia="宋体" w:hint="default"/>
                <w:spacing w:val="-69"/>
                <w:w w:val="99"/>
                <w:sz w:val="18"/>
                <w:szCs w:val="18"/>
              </w:rPr>
            </w:r>
            <w:r>
              <w:rPr>
                <w:rFonts w:ascii="宋体" w:hAnsi="宋体" w:cs="宋体" w:eastAsia="宋体" w:hint="default"/>
                <w:spacing w:val="-5"/>
                <w:sz w:val="18"/>
                <w:szCs w:val="18"/>
              </w:rPr>
              <w:t>拓电子：</w:t>
            </w:r>
            <w:r>
              <w:rPr>
                <w:rFonts w:ascii="Times New Roman" w:hAnsi="Times New Roman" w:cs="Times New Roman" w:eastAsia="Times New Roman" w:hint="default"/>
                <w:spacing w:val="-5"/>
                <w:sz w:val="18"/>
                <w:szCs w:val="18"/>
              </w:rPr>
              <w:t>2018</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日投资者关系 活动记录表》</w:t>
            </w:r>
          </w:p>
        </w:tc>
      </w:tr>
    </w:tbl>
    <w:p>
      <w:pPr>
        <w:spacing w:after="0" w:line="300"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065" w:right="4043"/>
        <w:jc w:val="center"/>
        <w:rPr>
          <w:b w:val="0"/>
          <w:bCs w:val="0"/>
        </w:rPr>
      </w:pPr>
      <w:bookmarkStart w:name="第五节 重要事项" w:id="62"/>
      <w:bookmarkEnd w:id="62"/>
      <w:r>
        <w:rPr>
          <w:b w:val="0"/>
          <w:bCs w:val="0"/>
        </w:rPr>
      </w:r>
      <w:bookmarkStart w:name="_bookmark4" w:id="63"/>
      <w:bookmarkEnd w:id="63"/>
      <w:r>
        <w:rPr>
          <w:b w:val="0"/>
          <w:bCs w:val="0"/>
        </w:rPr>
      </w:r>
      <w:r>
        <w:rPr/>
        <w:t>第五节</w:t>
      </w:r>
      <w:r>
        <w:rPr>
          <w:spacing w:val="-5"/>
        </w:rPr>
        <w:t> </w:t>
      </w:r>
      <w:r>
        <w:rPr/>
        <w:t>重要事项</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公司普通股利润分配及资本公积金转增股本情况" w:id="64"/>
      <w:bookmarkEnd w:id="64"/>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报告期内普通股利润分配政策，特别是现金分红政策的制定、执行或调整情况</w:t>
      </w:r>
    </w:p>
    <w:p>
      <w:pPr>
        <w:pStyle w:val="BodyText"/>
        <w:spacing w:line="338" w:lineRule="auto" w:before="117"/>
        <w:ind w:right="64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公司严格执行了《公司章程》中与利润分配相关的条款</w:t>
      </w:r>
    </w:p>
    <w:tbl>
      <w:tblPr>
        <w:tblW w:w="0" w:type="auto"/>
        <w:jc w:val="left"/>
        <w:tblInd w:w="160" w:type="dxa"/>
        <w:tblLayout w:type="fixed"/>
        <w:tblCellMar>
          <w:top w:w="0" w:type="dxa"/>
          <w:left w:w="0" w:type="dxa"/>
          <w:bottom w:w="0" w:type="dxa"/>
          <w:right w:w="0" w:type="dxa"/>
        </w:tblCellMar>
        <w:tblLook w:val="01E0"/>
      </w:tblPr>
      <w:tblGrid>
        <w:gridCol w:w="4762"/>
        <w:gridCol w:w="4796"/>
      </w:tblGrid>
      <w:tr>
        <w:trPr>
          <w:trHeight w:val="397"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left="-1" w:right="1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7"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8"/>
              <w:ind w:left="11"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left="11"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left="11"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3"/>
              <w:ind w:left="11"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3"/>
              <w:ind w:left="11" w:right="58"/>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3"/>
              <w:ind w:left="11" w:right="58"/>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pStyle w:val="BodyText"/>
        <w:spacing w:line="240" w:lineRule="auto" w:before="43"/>
        <w:ind w:right="0"/>
        <w:jc w:val="left"/>
      </w:pPr>
      <w:r>
        <w:rPr/>
        <w:t>公司近</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年</w:t>
      </w:r>
      <w:r>
        <w:rPr>
          <w:spacing w:val="1"/>
        </w:rPr>
        <w:t>（</w:t>
      </w:r>
      <w:r>
        <w:rPr/>
        <w:t>包括本报告期）的普通股股利分配方案（预案</w:t>
      </w:r>
      <w:r>
        <w:rPr>
          <w:spacing w:val="-90"/>
        </w:rPr>
        <w:t>）</w:t>
      </w:r>
      <w:r>
        <w:rPr/>
        <w:t>、资本公积金转增股本方案（预案）情况</w:t>
      </w:r>
    </w:p>
    <w:p>
      <w:pPr>
        <w:pStyle w:val="BodyText"/>
        <w:spacing w:line="240" w:lineRule="auto" w:before="103"/>
        <w:ind w:left="514" w:right="0"/>
        <w:jc w:val="left"/>
      </w:pPr>
      <w:r>
        <w:rPr>
          <w:rFonts w:ascii="Times New Roman" w:hAnsi="Times New Roman" w:cs="Times New Roman" w:eastAsia="Times New Roman" w:hint="default"/>
        </w:rPr>
        <w:t>1</w:t>
      </w:r>
      <w:r>
        <w:rPr/>
        <w:t>、公司</w:t>
      </w:r>
      <w:r>
        <w:rPr>
          <w:rFonts w:ascii="Times New Roman" w:hAnsi="Times New Roman" w:cs="Times New Roman" w:eastAsia="Times New Roman" w:hint="default"/>
        </w:rPr>
        <w:t>2016</w:t>
      </w:r>
      <w:r>
        <w:rPr/>
        <w:t>年年度权益分配方案为：以公司总股本 </w:t>
      </w:r>
      <w:r>
        <w:rPr>
          <w:rFonts w:ascii="Times New Roman" w:hAnsi="Times New Roman" w:cs="Times New Roman" w:eastAsia="Times New Roman" w:hint="default"/>
        </w:rPr>
        <w:t>407,590,556 </w:t>
      </w:r>
      <w:r>
        <w:rPr>
          <w:spacing w:val="-3"/>
        </w:rPr>
        <w:t>股为基数，向全体股东每 </w:t>
      </w:r>
      <w:r>
        <w:rPr>
          <w:rFonts w:ascii="Times New Roman" w:hAnsi="Times New Roman" w:cs="Times New Roman" w:eastAsia="Times New Roman" w:hint="default"/>
        </w:rPr>
        <w:t>10 </w:t>
      </w:r>
      <w:r>
        <w:rPr/>
        <w:t>股派</w:t>
      </w:r>
      <w:r>
        <w:rPr>
          <w:spacing w:val="-24"/>
        </w:rPr>
        <w:t> </w:t>
      </w:r>
      <w:r>
        <w:rPr>
          <w:rFonts w:ascii="Times New Roman" w:hAnsi="Times New Roman" w:cs="Times New Roman" w:eastAsia="Times New Roman" w:hint="default"/>
          <w:spacing w:val="-3"/>
        </w:rPr>
        <w:t>1</w:t>
      </w:r>
      <w:r>
        <w:rPr>
          <w:spacing w:val="-3"/>
        </w:rPr>
        <w:t>元人民币现金（含</w:t>
      </w:r>
    </w:p>
    <w:p>
      <w:pPr>
        <w:pStyle w:val="BodyText"/>
        <w:spacing w:line="240" w:lineRule="auto" w:before="63"/>
        <w:ind w:right="0"/>
        <w:jc w:val="left"/>
      </w:pPr>
      <w:r>
        <w:rPr/>
        <w:t>税）；同时，以资本公积金向全体股东每 </w:t>
      </w:r>
      <w:r>
        <w:rPr>
          <w:rFonts w:ascii="Times New Roman" w:hAnsi="Times New Roman" w:cs="Times New Roman" w:eastAsia="Times New Roman" w:hint="default"/>
        </w:rPr>
        <w:t>10 </w:t>
      </w:r>
      <w:r>
        <w:rPr/>
        <w:t>股转增 </w:t>
      </w:r>
      <w:r>
        <w:rPr>
          <w:rFonts w:ascii="Times New Roman" w:hAnsi="Times New Roman" w:cs="Times New Roman" w:eastAsia="Times New Roman" w:hint="default"/>
        </w:rPr>
        <w:t>5</w:t>
      </w:r>
      <w:r>
        <w:rPr>
          <w:rFonts w:ascii="Times New Roman" w:hAnsi="Times New Roman" w:cs="Times New Roman" w:eastAsia="Times New Roman" w:hint="default"/>
          <w:spacing w:val="15"/>
        </w:rPr>
        <w:t> </w:t>
      </w:r>
      <w:r>
        <w:rPr/>
        <w:t>股。</w:t>
      </w:r>
    </w:p>
    <w:p>
      <w:pPr>
        <w:pStyle w:val="BodyText"/>
        <w:spacing w:line="300" w:lineRule="auto" w:before="63"/>
        <w:ind w:right="1118" w:firstLine="360"/>
        <w:jc w:val="left"/>
      </w:pPr>
      <w:r>
        <w:rPr>
          <w:rFonts w:ascii="Times New Roman" w:hAnsi="Times New Roman" w:cs="Times New Roman" w:eastAsia="Times New Roman" w:hint="default"/>
          <w:spacing w:val="-2"/>
        </w:rPr>
        <w:t>2</w:t>
      </w:r>
      <w:r>
        <w:rPr>
          <w:spacing w:val="-2"/>
        </w:rPr>
        <w:t>、公司</w:t>
      </w:r>
      <w:r>
        <w:rPr>
          <w:rFonts w:ascii="Times New Roman" w:hAnsi="Times New Roman" w:cs="Times New Roman" w:eastAsia="Times New Roman" w:hint="default"/>
          <w:spacing w:val="-2"/>
        </w:rPr>
        <w:t>2017</w:t>
      </w:r>
      <w:r>
        <w:rPr>
          <w:spacing w:val="-2"/>
        </w:rPr>
        <w:t>年年度权益分配方案为：以公司现有总股本</w:t>
      </w:r>
      <w:r>
        <w:rPr>
          <w:rFonts w:ascii="Times New Roman" w:hAnsi="Times New Roman" w:cs="Times New Roman" w:eastAsia="Times New Roman" w:hint="default"/>
          <w:spacing w:val="-2"/>
        </w:rPr>
        <w:t>611,214,834</w:t>
      </w:r>
      <w:r>
        <w:rPr>
          <w:spacing w:val="-2"/>
        </w:rPr>
        <w:t>股为基数，向全体股东每</w:t>
      </w:r>
      <w:r>
        <w:rPr>
          <w:rFonts w:ascii="Times New Roman" w:hAnsi="Times New Roman" w:cs="Times New Roman" w:eastAsia="Times New Roman" w:hint="default"/>
          <w:spacing w:val="-2"/>
        </w:rPr>
        <w:t>10</w:t>
      </w:r>
      <w:r>
        <w:rPr>
          <w:spacing w:val="-2"/>
        </w:rPr>
        <w:t>股派</w:t>
      </w:r>
      <w:r>
        <w:rPr>
          <w:rFonts w:ascii="Times New Roman" w:hAnsi="Times New Roman" w:cs="Times New Roman" w:eastAsia="Times New Roman" w:hint="default"/>
          <w:spacing w:val="-2"/>
        </w:rPr>
        <w:t>1</w:t>
      </w:r>
      <w:r>
        <w:rPr>
          <w:spacing w:val="-2"/>
        </w:rPr>
        <w:t>元人民币现金（含</w:t>
      </w:r>
      <w:r>
        <w:rPr/>
        <w:t> 税）。</w:t>
      </w:r>
    </w:p>
    <w:p>
      <w:pPr>
        <w:pStyle w:val="BodyText"/>
        <w:spacing w:line="316" w:lineRule="auto" w:before="31"/>
        <w:ind w:right="1122" w:firstLine="360"/>
        <w:jc w:val="left"/>
      </w:pPr>
      <w:r>
        <w:rPr>
          <w:rFonts w:ascii="宋体" w:hAnsi="宋体" w:cs="宋体" w:eastAsia="宋体" w:hint="default"/>
          <w:spacing w:val="-2"/>
        </w:rPr>
        <w:t>3</w:t>
      </w:r>
      <w:r>
        <w:rPr>
          <w:spacing w:val="-2"/>
        </w:rPr>
        <w:t>、公司</w:t>
      </w:r>
      <w:r>
        <w:rPr>
          <w:rFonts w:ascii="宋体" w:hAnsi="宋体" w:cs="宋体" w:eastAsia="宋体" w:hint="default"/>
          <w:spacing w:val="-2"/>
        </w:rPr>
        <w:t>2018</w:t>
      </w:r>
      <w:r>
        <w:rPr>
          <w:spacing w:val="-2"/>
        </w:rPr>
        <w:t>年年度权益分配预案为：公司拟以未来实施分配方案时股权登记日的总股本</w:t>
      </w:r>
      <w:r>
        <w:rPr>
          <w:rFonts w:ascii="宋体" w:hAnsi="宋体" w:cs="宋体" w:eastAsia="宋体" w:hint="default"/>
          <w:spacing w:val="-2"/>
        </w:rPr>
        <w:t>614,940,432</w:t>
      </w:r>
      <w:r>
        <w:rPr>
          <w:spacing w:val="-2"/>
        </w:rPr>
        <w:t>股为基数（扣除公</w:t>
      </w:r>
      <w:r>
        <w:rPr/>
        <w:t> 司回购专用证券账户股份数以及</w:t>
      </w:r>
      <w:r>
        <w:rPr>
          <w:rFonts w:ascii="宋体" w:hAnsi="宋体" w:cs="宋体" w:eastAsia="宋体" w:hint="default"/>
        </w:rPr>
        <w:t>2016</w:t>
      </w:r>
      <w:r>
        <w:rPr/>
        <w:t>年股权激励计划限制性股票回购注销股数）</w:t>
      </w:r>
      <w:r>
        <w:rPr>
          <w:rFonts w:ascii="宋体" w:hAnsi="宋体" w:cs="宋体" w:eastAsia="宋体" w:hint="default"/>
        </w:rPr>
        <w:t>,</w:t>
      </w:r>
      <w:r>
        <w:rPr/>
        <w:t>向全体股东每</w:t>
      </w:r>
      <w:r>
        <w:rPr>
          <w:rFonts w:ascii="宋体" w:hAnsi="宋体" w:cs="宋体" w:eastAsia="宋体" w:hint="default"/>
        </w:rPr>
        <w:t>10</w:t>
      </w:r>
      <w:r>
        <w:rPr/>
        <w:t>股派发现金股利人民币</w:t>
      </w:r>
      <w:r>
        <w:rPr>
          <w:rFonts w:ascii="宋体" w:hAnsi="宋体" w:cs="宋体" w:eastAsia="宋体" w:hint="default"/>
        </w:rPr>
        <w:t>1 </w:t>
      </w:r>
      <w:r>
        <w:rPr>
          <w:spacing w:val="-2"/>
        </w:rPr>
        <w:t>元（含税）。上述利润分配预案尚待提交本公司股东大会审议。在公司实施</w:t>
      </w:r>
      <w:r>
        <w:rPr>
          <w:rFonts w:ascii="宋体" w:hAnsi="宋体" w:cs="宋体" w:eastAsia="宋体" w:hint="default"/>
          <w:spacing w:val="-2"/>
        </w:rPr>
        <w:t>2018</w:t>
      </w:r>
      <w:r>
        <w:rPr>
          <w:spacing w:val="-2"/>
        </w:rPr>
        <w:t>年度利润分配方案的股权登记日前，如果公</w:t>
      </w:r>
      <w:r>
        <w:rPr>
          <w:spacing w:val="-63"/>
        </w:rPr>
        <w:t> </w:t>
      </w:r>
      <w:r>
        <w:rPr>
          <w:spacing w:val="-63"/>
        </w:rPr>
      </w:r>
      <w:r>
        <w:rPr/>
        <w:t>司回购注销</w:t>
      </w:r>
      <w:r>
        <w:rPr>
          <w:rFonts w:ascii="宋体" w:hAnsi="宋体" w:cs="宋体" w:eastAsia="宋体" w:hint="default"/>
        </w:rPr>
        <w:t>8.775</w:t>
      </w:r>
      <w:r>
        <w:rPr/>
        <w:t>万股</w:t>
      </w:r>
      <w:r>
        <w:rPr>
          <w:rFonts w:ascii="宋体" w:hAnsi="宋体" w:cs="宋体" w:eastAsia="宋体" w:hint="default"/>
        </w:rPr>
        <w:t>2016</w:t>
      </w:r>
      <w:r>
        <w:rPr/>
        <w:t>年限制性股票激励计划授予的限制性股票未能完成或者进行新的回购股份，公司将按照《深圳证 </w:t>
      </w:r>
      <w:r>
        <w:rPr>
          <w:spacing w:val="-2"/>
        </w:rPr>
        <w:t>券交易所中小企业板上市公司规范运作指引（</w:t>
      </w:r>
      <w:r>
        <w:rPr>
          <w:rFonts w:ascii="宋体" w:hAnsi="宋体" w:cs="宋体" w:eastAsia="宋体" w:hint="default"/>
          <w:spacing w:val="-2"/>
        </w:rPr>
        <w:t>2015</w:t>
      </w:r>
      <w:r>
        <w:rPr>
          <w:spacing w:val="-2"/>
        </w:rPr>
        <w:t>年修订）》所规定的“现金分红金额、送红股金额、转增股本金额固定不</w:t>
      </w:r>
      <w:r>
        <w:rPr>
          <w:spacing w:val="-64"/>
        </w:rPr>
        <w:t> </w:t>
      </w:r>
      <w:r>
        <w:rPr>
          <w:spacing w:val="-64"/>
        </w:rPr>
      </w:r>
      <w:r>
        <w:rPr/>
        <w:t>变”的原则，对上述利润分配预案进行调整。</w:t>
      </w:r>
    </w:p>
    <w:p>
      <w:pPr>
        <w:pStyle w:val="BodyText"/>
        <w:spacing w:line="240" w:lineRule="auto" w:before="59"/>
        <w:ind w:right="0"/>
        <w:jc w:val="left"/>
      </w:pPr>
      <w:r>
        <w:rPr/>
        <w:t>公司近三年（包括本报告期）普通股现金分红情况表</w:t>
      </w:r>
    </w:p>
    <w:p>
      <w:pPr>
        <w:pStyle w:val="BodyText"/>
        <w:spacing w:line="240" w:lineRule="auto" w:before="117"/>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198"/>
        <w:gridCol w:w="1194"/>
        <w:gridCol w:w="1196"/>
        <w:gridCol w:w="1185"/>
        <w:gridCol w:w="1208"/>
        <w:gridCol w:w="1185"/>
        <w:gridCol w:w="1207"/>
        <w:gridCol w:w="1184"/>
      </w:tblGrid>
      <w:tr>
        <w:trPr>
          <w:trHeight w:val="161" w:hRule="exact"/>
        </w:trPr>
        <w:tc>
          <w:tcPr>
            <w:tcW w:w="1198" w:type="dxa"/>
            <w:vMerge w:val="restart"/>
            <w:tcBorders>
              <w:top w:val="single" w:sz="4" w:space="0" w:color="000000"/>
              <w:left w:val="single" w:sz="4" w:space="0" w:color="000000"/>
              <w:right w:val="single" w:sz="4" w:space="0" w:color="000000"/>
            </w:tcBorders>
            <w:shd w:val="clear" w:color="auto" w:fill="D2D2D2"/>
          </w:tcPr>
          <w:p>
            <w:pPr/>
          </w:p>
        </w:tc>
        <w:tc>
          <w:tcPr>
            <w:tcW w:w="1194"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8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8" w:type="dxa"/>
            <w:vMerge w:val="restart"/>
            <w:tcBorders>
              <w:top w:val="single" w:sz="4" w:space="0" w:color="000000"/>
              <w:left w:val="single" w:sz="4" w:space="0" w:color="000000"/>
              <w:right w:val="single" w:sz="4" w:space="0" w:color="000000"/>
            </w:tcBorders>
            <w:shd w:val="clear" w:color="auto" w:fill="D2D2D2"/>
          </w:tcPr>
          <w:p>
            <w:pPr/>
          </w:p>
        </w:tc>
        <w:tc>
          <w:tcPr>
            <w:tcW w:w="118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4" w:space="0" w:color="000000"/>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6" w:lineRule="auto" w:before="76"/>
              <w:ind w:left="53" w:right="39"/>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2" w:right="40"/>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208" w:type="dxa"/>
            <w:vMerge/>
            <w:tcBorders>
              <w:left w:val="single" w:sz="4" w:space="0" w:color="000000"/>
              <w:right w:val="single" w:sz="4" w:space="0" w:color="000000"/>
            </w:tcBorders>
            <w:shd w:val="clear" w:color="auto" w:fill="D2D2D2"/>
          </w:tcPr>
          <w:p>
            <w:pPr/>
          </w:p>
        </w:tc>
        <w:tc>
          <w:tcPr>
            <w:tcW w:w="11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3" w:right="39"/>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3" w:right="50"/>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6"/>
              <w:ind w:left="64" w:right="51"/>
              <w:jc w:val="center"/>
              <w:rPr>
                <w:rFonts w:ascii="宋体" w:hAnsi="宋体" w:cs="宋体" w:eastAsia="宋体" w:hint="default"/>
                <w:sz w:val="18"/>
                <w:szCs w:val="18"/>
              </w:rPr>
            </w:pPr>
            <w:r>
              <w:rPr>
                <w:rFonts w:ascii="宋体" w:hAnsi="宋体" w:cs="宋体" w:eastAsia="宋体" w:hint="default"/>
                <w:sz w:val="18"/>
                <w:szCs w:val="18"/>
              </w:rPr>
              <w:t>（如回购股 份）现金分红 的金额</w:t>
            </w: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4"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6"/>
              <w:ind w:left="424" w:right="141" w:hanging="270"/>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bottom w:val="nil" w:sz="6" w:space="0" w:color="auto"/>
              <w:right w:val="single" w:sz="4" w:space="0" w:color="000000"/>
            </w:tcBorders>
            <w:shd w:val="clear" w:color="auto" w:fill="D2D2D2"/>
          </w:tcPr>
          <w:p>
            <w:pPr/>
          </w:p>
        </w:tc>
        <w:tc>
          <w:tcPr>
            <w:tcW w:w="11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（含税）</w:t>
            </w: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392" w:hRule="exact"/>
        </w:trPr>
        <w:tc>
          <w:tcPr>
            <w:tcW w:w="11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val="restart"/>
            <w:tcBorders>
              <w:top w:val="nil" w:sz="6" w:space="0" w:color="auto"/>
              <w:left w:val="single" w:sz="4" w:space="0" w:color="000000"/>
              <w:right w:val="single" w:sz="4" w:space="0" w:color="000000"/>
            </w:tcBorders>
            <w:shd w:val="clear" w:color="auto" w:fill="D2D2D2"/>
          </w:tcPr>
          <w:p>
            <w:pPr/>
          </w:p>
        </w:tc>
        <w:tc>
          <w:tcPr>
            <w:tcW w:w="119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val="restart"/>
            <w:tcBorders>
              <w:top w:val="nil" w:sz="6" w:space="0" w:color="auto"/>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
        </w:tc>
        <w:tc>
          <w:tcPr>
            <w:tcW w:w="1185" w:type="dxa"/>
            <w:vMerge/>
            <w:tcBorders>
              <w:left w:val="single" w:sz="4" w:space="0" w:color="000000"/>
              <w:bottom w:val="nil" w:sz="6" w:space="0" w:color="auto"/>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bottom w:val="nil" w:sz="6" w:space="0" w:color="auto"/>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61" w:hRule="exact"/>
        </w:trPr>
        <w:tc>
          <w:tcPr>
            <w:tcW w:w="1198" w:type="dxa"/>
            <w:vMerge/>
            <w:tcBorders>
              <w:left w:val="single" w:sz="4" w:space="0" w:color="000000"/>
              <w:bottom w:val="single" w:sz="4" w:space="0" w:color="000000"/>
              <w:right w:val="single" w:sz="4" w:space="0" w:color="000000"/>
            </w:tcBorders>
            <w:shd w:val="clear" w:color="auto" w:fill="D2D2D2"/>
          </w:tcPr>
          <w:p>
            <w:pPr/>
          </w:p>
        </w:tc>
        <w:tc>
          <w:tcPr>
            <w:tcW w:w="1194"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8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8" w:type="dxa"/>
            <w:vMerge/>
            <w:tcBorders>
              <w:left w:val="single" w:sz="4" w:space="0" w:color="000000"/>
              <w:bottom w:val="single" w:sz="4" w:space="0" w:color="000000"/>
              <w:right w:val="single" w:sz="4" w:space="0" w:color="000000"/>
            </w:tcBorders>
            <w:shd w:val="clear" w:color="auto" w:fill="D2D2D2"/>
          </w:tcPr>
          <w:p>
            <w:pPr/>
          </w:p>
        </w:tc>
        <w:tc>
          <w:tcPr>
            <w:tcW w:w="118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61,494,043.20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179,662,312.16</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34.23%</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4,898,948.10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2.73%</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66,392,991.30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36.95%</w:t>
            </w:r>
          </w:p>
        </w:tc>
      </w:tr>
      <w:tr>
        <w:trPr>
          <w:trHeight w:val="402"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61,121,483.40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132,014,114.22</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46.30%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61,121,483.40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46.30%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197"/>
        <w:gridCol w:w="1195"/>
        <w:gridCol w:w="1196"/>
        <w:gridCol w:w="1197"/>
        <w:gridCol w:w="1195"/>
        <w:gridCol w:w="1197"/>
        <w:gridCol w:w="1196"/>
        <w:gridCol w:w="1195"/>
      </w:tblGrid>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40,759,055.60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9" w:right="0"/>
              <w:jc w:val="left"/>
              <w:rPr>
                <w:rFonts w:ascii="Times New Roman" w:hAnsi="Times New Roman" w:cs="Times New Roman" w:eastAsia="Times New Roman" w:hint="default"/>
                <w:sz w:val="18"/>
                <w:szCs w:val="18"/>
              </w:rPr>
            </w:pPr>
            <w:r>
              <w:rPr>
                <w:rFonts w:ascii="Times New Roman"/>
                <w:sz w:val="18"/>
              </w:rPr>
              <w:t>86,282,371.38</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8" w:right="0"/>
              <w:jc w:val="left"/>
              <w:rPr>
                <w:rFonts w:ascii="Times New Roman" w:hAnsi="Times New Roman" w:cs="Times New Roman" w:eastAsia="Times New Roman" w:hint="default"/>
                <w:sz w:val="18"/>
                <w:szCs w:val="18"/>
              </w:rPr>
            </w:pPr>
            <w:r>
              <w:rPr>
                <w:rFonts w:ascii="Times New Roman"/>
                <w:sz w:val="18"/>
              </w:rPr>
              <w:t>47.24%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9" w:right="0"/>
              <w:jc w:val="lef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40,759,055.60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8" w:right="0"/>
              <w:jc w:val="left"/>
              <w:rPr>
                <w:rFonts w:ascii="Times New Roman" w:hAnsi="Times New Roman" w:cs="Times New Roman" w:eastAsia="Times New Roman" w:hint="default"/>
                <w:sz w:val="18"/>
                <w:szCs w:val="18"/>
              </w:rPr>
            </w:pPr>
            <w:r>
              <w:rPr>
                <w:rFonts w:ascii="Times New Roman"/>
                <w:sz w:val="18"/>
              </w:rPr>
              <w:t>47.24%</w:t>
            </w:r>
          </w:p>
        </w:tc>
      </w:tr>
    </w:tbl>
    <w:p>
      <w:pPr>
        <w:pStyle w:val="BodyText"/>
        <w:spacing w:line="240" w:lineRule="auto" w:before="51"/>
        <w:ind w:right="0"/>
        <w:jc w:val="left"/>
      </w:pPr>
      <w:r>
        <w:rPr/>
        <w:t>公司报告期内盈利且母公司可供普通股股东分配利润为正但未提出普通股现金红利分配预案</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23"/>
          <w:szCs w:val="23"/>
        </w:rPr>
      </w:pPr>
    </w:p>
    <w:p>
      <w:pPr>
        <w:pStyle w:val="Heading2"/>
        <w:spacing w:line="240" w:lineRule="auto"/>
        <w:ind w:right="0"/>
        <w:jc w:val="left"/>
        <w:rPr>
          <w:b w:val="0"/>
          <w:bCs w:val="0"/>
        </w:rPr>
      </w:pPr>
      <w:bookmarkStart w:name="二、本报告期利润分配及资本公积金转增股本预案" w:id="65"/>
      <w:bookmarkEnd w:id="65"/>
      <w:r>
        <w:rPr>
          <w:b w:val="0"/>
          <w:bCs w:val="0"/>
        </w:rPr>
      </w:r>
      <w:r>
        <w:rPr/>
        <w:t>二、本报告期利润分配及资本公积金转增股本预案</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784"/>
        <w:gridCol w:w="5784"/>
      </w:tblGrid>
      <w:tr>
        <w:trPr>
          <w:trHeight w:val="403"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614,940,432</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61,494,043.20</w:t>
            </w:r>
          </w:p>
        </w:tc>
      </w:tr>
      <w:tr>
        <w:trPr>
          <w:trHeight w:val="402" w:hRule="exact"/>
        </w:trPr>
        <w:tc>
          <w:tcPr>
            <w:tcW w:w="3784"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2"/>
              <w:ind w:left="22" w:right="-4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5784"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4,898,948.10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0"/>
                <w:sz w:val="18"/>
                <w:szCs w:val="18"/>
              </w:rPr>
              <w:t>）</w:t>
            </w:r>
            <w:r>
              <w:rPr>
                <w:rFonts w:ascii="宋体" w:hAnsi="宋体" w:cs="宋体" w:eastAsia="宋体" w:hint="default"/>
                <w:sz w:val="18"/>
                <w:szCs w:val="18"/>
              </w:rPr>
              <w:t>（元）</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66,392,991.30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165,138,774.50</w:t>
            </w:r>
          </w:p>
        </w:tc>
      </w:tr>
      <w:tr>
        <w:trPr>
          <w:trHeight w:val="714"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0"/>
              <w:jc w:val="left"/>
              <w:rPr>
                <w:rFonts w:ascii="宋体" w:hAnsi="宋体" w:cs="宋体" w:eastAsia="宋体" w:hint="default"/>
                <w:sz w:val="18"/>
                <w:szCs w:val="18"/>
              </w:rPr>
            </w:pPr>
            <w:r>
              <w:rPr>
                <w:rFonts w:ascii="宋体" w:hAnsi="宋体" w:cs="宋体" w:eastAsia="宋体" w:hint="default"/>
                <w:spacing w:val="-2"/>
                <w:sz w:val="18"/>
                <w:szCs w:val="18"/>
              </w:rPr>
              <w:t>现金分红总额（含其他方式）占利润分配总额的</w:t>
            </w:r>
            <w:r>
              <w:rPr>
                <w:rFonts w:ascii="宋体" w:hAnsi="宋体" w:cs="宋体" w:eastAsia="宋体" w:hint="default"/>
                <w:sz w:val="18"/>
                <w:szCs w:val="18"/>
              </w:rPr>
              <w:t> 比例</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r>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3"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pacing w:val="-2"/>
                <w:sz w:val="18"/>
                <w:szCs w:val="18"/>
              </w:rPr>
              <w:t>公司发展阶段不易区分但有重大资金支出安排的，进行利润分配时，现金分红在本次利润分配中所占比例最低应达到</w:t>
            </w:r>
            <w:r>
              <w:rPr>
                <w:rFonts w:ascii="宋体" w:hAnsi="宋体" w:cs="宋体" w:eastAsia="宋体" w:hint="default"/>
                <w:spacing w:val="-15"/>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899"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3"/>
              <w:jc w:val="both"/>
              <w:rPr>
                <w:rFonts w:ascii="宋体" w:hAnsi="宋体" w:cs="宋体" w:eastAsia="宋体" w:hint="default"/>
                <w:sz w:val="18"/>
                <w:szCs w:val="18"/>
              </w:rPr>
            </w:pPr>
            <w:r>
              <w:rPr>
                <w:rFonts w:ascii="宋体" w:hAnsi="宋体" w:cs="宋体" w:eastAsia="宋体" w:hint="default"/>
                <w:sz w:val="18"/>
                <w:szCs w:val="18"/>
              </w:rPr>
              <w:t>经瑞华会计师事务所（特殊普通合伙）审计，</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年度归属于上市公司股东的净利润为</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179,662,312.16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元，母公司净利润 为 </w:t>
            </w:r>
            <w:r>
              <w:rPr>
                <w:rFonts w:ascii="Times New Roman" w:hAnsi="Times New Roman" w:cs="Times New Roman" w:eastAsia="Times New Roman" w:hint="default"/>
                <w:sz w:val="18"/>
                <w:szCs w:val="18"/>
              </w:rPr>
              <w:t>29,227,477.13 </w:t>
            </w:r>
            <w:r>
              <w:rPr>
                <w:rFonts w:ascii="Times New Roman" w:hAnsi="Times New Roman" w:cs="Times New Roman" w:eastAsia="Times New Roman" w:hint="default"/>
                <w:spacing w:val="1"/>
                <w:sz w:val="18"/>
                <w:szCs w:val="18"/>
              </w:rPr>
              <w:t> </w:t>
            </w:r>
            <w:r>
              <w:rPr>
                <w:rFonts w:ascii="宋体" w:hAnsi="宋体" w:cs="宋体" w:eastAsia="宋体" w:hint="default"/>
                <w:spacing w:val="-10"/>
                <w:sz w:val="18"/>
                <w:szCs w:val="18"/>
              </w:rPr>
              <w:t>元。以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年度母公司净利润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29,227,477.13 </w:t>
            </w:r>
            <w:r>
              <w:rPr>
                <w:rFonts w:ascii="宋体" w:hAnsi="宋体" w:cs="宋体" w:eastAsia="宋体" w:hint="default"/>
                <w:spacing w:val="-5"/>
                <w:sz w:val="18"/>
                <w:szCs w:val="18"/>
              </w:rPr>
              <w:t>元为基数，提取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法定公积金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2,922,747.71 </w:t>
            </w:r>
            <w:r>
              <w:rPr>
                <w:rFonts w:ascii="宋体" w:hAnsi="宋体" w:cs="宋体" w:eastAsia="宋体" w:hint="default"/>
                <w:spacing w:val="-5"/>
                <w:sz w:val="18"/>
                <w:szCs w:val="18"/>
              </w:rPr>
              <w:t>元，加期初未</w:t>
            </w:r>
          </w:p>
          <w:p>
            <w:pPr>
              <w:pStyle w:val="TableParagraph"/>
              <w:spacing w:line="300" w:lineRule="auto" w:before="13"/>
              <w:ind w:left="22" w:right="22"/>
              <w:jc w:val="both"/>
              <w:rPr>
                <w:rFonts w:ascii="宋体" w:hAnsi="宋体" w:cs="宋体" w:eastAsia="宋体" w:hint="default"/>
                <w:sz w:val="18"/>
                <w:szCs w:val="18"/>
              </w:rPr>
            </w:pPr>
            <w:r>
              <w:rPr>
                <w:rFonts w:ascii="宋体" w:hAnsi="宋体" w:cs="宋体" w:eastAsia="宋体" w:hint="default"/>
                <w:sz w:val="18"/>
                <w:szCs w:val="18"/>
              </w:rPr>
              <w:t>分配利润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199,955,528.48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元后，减去报告期内分配利润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61,121,483.40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年度可供股东分配的利润为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165,138,774.50 </w:t>
            </w:r>
            <w:r>
              <w:rPr>
                <w:rFonts w:ascii="宋体" w:hAnsi="宋体" w:cs="宋体" w:eastAsia="宋体" w:hint="default"/>
                <w:sz w:val="18"/>
                <w:szCs w:val="18"/>
              </w:rPr>
              <w:t>元。</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年度利润分配预案为：公司拟以未来实施分配方案时股权登记日的总股本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614,940,432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股为基数（扣除公司回购 专用证券账户股份数以及</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1"/>
                <w:sz w:val="18"/>
                <w:szCs w:val="18"/>
              </w:rPr>
              <w:t> </w:t>
            </w:r>
            <w:r>
              <w:rPr>
                <w:rFonts w:ascii="宋体" w:hAnsi="宋体" w:cs="宋体" w:eastAsia="宋体" w:hint="default"/>
                <w:spacing w:val="-4"/>
                <w:sz w:val="18"/>
                <w:szCs w:val="18"/>
              </w:rPr>
              <w:t>年股权激励计划限制性股票回购注销股数）</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向全体股东每</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股派发现金股利人民币</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pacing w:val="-30"/>
                <w:sz w:val="18"/>
                <w:szCs w:val="18"/>
              </w:rPr>
              <w:t>元（含</w:t>
            </w:r>
          </w:p>
          <w:p>
            <w:pPr>
              <w:pStyle w:val="TableParagraph"/>
              <w:spacing w:line="240" w:lineRule="auto" w:before="13"/>
              <w:ind w:left="22" w:right="0"/>
              <w:jc w:val="both"/>
              <w:rPr>
                <w:rFonts w:ascii="宋体" w:hAnsi="宋体" w:cs="宋体" w:eastAsia="宋体" w:hint="default"/>
                <w:sz w:val="18"/>
                <w:szCs w:val="18"/>
              </w:rPr>
            </w:pPr>
            <w:r>
              <w:rPr>
                <w:rFonts w:ascii="宋体" w:hAnsi="宋体" w:cs="宋体" w:eastAsia="宋体" w:hint="default"/>
                <w:sz w:val="18"/>
                <w:szCs w:val="18"/>
              </w:rPr>
              <w:t>税</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上述利润分配预案尚待提交本公司股东大会审议</w:t>
            </w:r>
            <w:r>
              <w:rPr>
                <w:rFonts w:ascii="宋体" w:hAnsi="宋体" w:cs="宋体" w:eastAsia="宋体" w:hint="default"/>
                <w:spacing w:val="-10"/>
                <w:sz w:val="18"/>
                <w:szCs w:val="18"/>
              </w:rPr>
              <w:t>。</w:t>
            </w:r>
            <w:r>
              <w:rPr>
                <w:rFonts w:ascii="宋体" w:hAnsi="宋体" w:cs="宋体" w:eastAsia="宋体" w:hint="default"/>
                <w:sz w:val="18"/>
                <w:szCs w:val="18"/>
              </w:rPr>
              <w:t>在公司实施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年度利润分配方案的股权登记日前</w:t>
            </w:r>
            <w:r>
              <w:rPr>
                <w:rFonts w:ascii="宋体" w:hAnsi="宋体" w:cs="宋体" w:eastAsia="宋体" w:hint="default"/>
                <w:spacing w:val="-10"/>
                <w:sz w:val="18"/>
                <w:szCs w:val="18"/>
              </w:rPr>
              <w:t>，</w:t>
            </w:r>
            <w:r>
              <w:rPr>
                <w:rFonts w:ascii="宋体" w:hAnsi="宋体" w:cs="宋体" w:eastAsia="宋体" w:hint="default"/>
                <w:sz w:val="18"/>
                <w:szCs w:val="18"/>
              </w:rPr>
              <w:t>如果公</w:t>
            </w:r>
            <w:r>
              <w:rPr>
                <w:rFonts w:ascii="宋体" w:hAnsi="宋体" w:cs="宋体" w:eastAsia="宋体" w:hint="default"/>
                <w:spacing w:val="1"/>
                <w:sz w:val="18"/>
                <w:szCs w:val="18"/>
              </w:rPr>
              <w:t>司</w:t>
            </w:r>
            <w:r>
              <w:rPr>
                <w:rFonts w:ascii="宋体" w:hAnsi="宋体" w:cs="宋体" w:eastAsia="宋体" w:hint="default"/>
                <w:sz w:val="18"/>
                <w:szCs w:val="18"/>
              </w:rPr>
              <w:t>回</w:t>
            </w:r>
          </w:p>
          <w:p>
            <w:pPr>
              <w:pStyle w:val="TableParagraph"/>
              <w:spacing w:line="300" w:lineRule="auto" w:before="63"/>
              <w:ind w:left="22" w:right="21"/>
              <w:jc w:val="both"/>
              <w:rPr>
                <w:rFonts w:ascii="宋体" w:hAnsi="宋体" w:cs="宋体" w:eastAsia="宋体" w:hint="default"/>
                <w:sz w:val="18"/>
                <w:szCs w:val="18"/>
              </w:rPr>
            </w:pPr>
            <w:r>
              <w:rPr>
                <w:rFonts w:ascii="宋体" w:hAnsi="宋体" w:cs="宋体" w:eastAsia="宋体" w:hint="default"/>
                <w:sz w:val="18"/>
                <w:szCs w:val="18"/>
              </w:rPr>
              <w:t>购注销</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8.775</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万股</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年限制性股票激励计划授予的限制性股票未能完成或者进行新的回购股份，公司将按照《深圳证券 </w:t>
            </w:r>
            <w:r>
              <w:rPr>
                <w:rFonts w:ascii="宋体" w:hAnsi="宋体" w:cs="宋体" w:eastAsia="宋体" w:hint="default"/>
                <w:spacing w:val="-2"/>
                <w:sz w:val="18"/>
                <w:szCs w:val="18"/>
              </w:rPr>
              <w:t>交易所中小企业板上市公司规范运作指引（</w:t>
            </w:r>
            <w:r>
              <w:rPr>
                <w:rFonts w:ascii="Times New Roman" w:hAnsi="Times New Roman" w:cs="Times New Roman" w:eastAsia="Times New Roman" w:hint="default"/>
                <w:spacing w:val="-2"/>
                <w:sz w:val="18"/>
                <w:szCs w:val="18"/>
              </w:rPr>
              <w:t>2015</w:t>
            </w:r>
            <w:r>
              <w:rPr>
                <w:rFonts w:ascii="Times New Roman" w:hAnsi="Times New Roman" w:cs="Times New Roman" w:eastAsia="Times New Roman" w:hint="default"/>
                <w:spacing w:val="10"/>
                <w:sz w:val="18"/>
                <w:szCs w:val="18"/>
              </w:rPr>
              <w:t> </w:t>
            </w:r>
            <w:r>
              <w:rPr>
                <w:rFonts w:ascii="宋体" w:hAnsi="宋体" w:cs="宋体" w:eastAsia="宋体" w:hint="default"/>
                <w:spacing w:val="-6"/>
                <w:w w:val="100"/>
                <w:sz w:val="18"/>
                <w:szCs w:val="18"/>
              </w:rPr>
              <w:t>年修订）》所规定的</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现金分红金额、送红股金额、转增股本金额固定不变</w:t>
            </w:r>
            <w:r>
              <w:rPr>
                <w:rFonts w:ascii="Times New Roman" w:hAnsi="Times New Roman" w:cs="Times New Roman" w:eastAsia="Times New Roman" w:hint="default"/>
                <w:spacing w:val="-6"/>
                <w:w w:val="100"/>
                <w:sz w:val="18"/>
                <w:szCs w:val="18"/>
              </w:rPr>
              <w:t>”</w:t>
            </w:r>
            <w:r>
              <w:rPr>
                <w:rFonts w:ascii="Times New Roman" w:hAnsi="Times New Roman" w:cs="Times New Roman" w:eastAsia="Times New Roman" w:hint="default"/>
                <w:spacing w:val="-41"/>
                <w:w w:val="100"/>
                <w:sz w:val="18"/>
                <w:szCs w:val="18"/>
              </w:rPr>
              <w:t> </w:t>
            </w:r>
            <w:r>
              <w:rPr>
                <w:rFonts w:ascii="宋体" w:hAnsi="宋体" w:cs="宋体" w:eastAsia="宋体" w:hint="default"/>
                <w:sz w:val="18"/>
                <w:szCs w:val="18"/>
              </w:rPr>
              <w:t>的原则，对上述利润分配预案进行调整。</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三、承诺事项履行情况" w:id="66"/>
      <w:bookmarkEnd w:id="66"/>
      <w:r>
        <w:rPr>
          <w:b w:val="0"/>
          <w:bCs w:val="0"/>
        </w:rPr>
      </w:r>
      <w:r>
        <w:rPr/>
        <w:t>三、承诺事项履行情况</w:t>
      </w:r>
      <w:r>
        <w:rPr>
          <w:b w:val="0"/>
          <w:bCs w:val="0"/>
        </w:rPr>
      </w:r>
    </w:p>
    <w:p>
      <w:pPr>
        <w:spacing w:line="240" w:lineRule="auto" w:before="8"/>
        <w:rPr>
          <w:rFonts w:ascii="宋体" w:hAnsi="宋体" w:cs="宋体" w:eastAsia="宋体" w:hint="default"/>
          <w:b/>
          <w:bCs/>
          <w:sz w:val="24"/>
          <w:szCs w:val="24"/>
        </w:rPr>
      </w:pPr>
    </w:p>
    <w:p>
      <w:pPr>
        <w:pStyle w:val="Heading4"/>
        <w:spacing w:line="259" w:lineRule="auto"/>
        <w:ind w:right="0"/>
        <w:jc w:val="left"/>
        <w:rPr>
          <w:b w:val="0"/>
          <w:bCs w:val="0"/>
        </w:rPr>
      </w:pPr>
      <w:bookmarkStart w:name="1、公司实际控制人、股东、关联方、收购人以及公司等承诺相关方在报告期内履行完毕及" w:id="67"/>
      <w:bookmarkEnd w:id="67"/>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74"/>
        </w:rPr>
        <w:t> </w:t>
      </w:r>
      <w:r>
        <w:rPr>
          <w:spacing w:val="-74"/>
        </w:rPr>
      </w:r>
      <w:r>
        <w:rPr/>
        <w:t>尚未履行完毕的承诺事项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2105"/>
        <w:gridCol w:w="1571"/>
        <w:gridCol w:w="1276"/>
        <w:gridCol w:w="1252"/>
        <w:gridCol w:w="1126"/>
        <w:gridCol w:w="1121"/>
        <w:gridCol w:w="1108"/>
      </w:tblGrid>
      <w:tr>
        <w:trPr>
          <w:trHeight w:val="402" w:hRule="exact"/>
        </w:trPr>
        <w:tc>
          <w:tcPr>
            <w:tcW w:w="21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87" w:right="0"/>
              <w:jc w:val="left"/>
              <w:rPr>
                <w:rFonts w:ascii="宋体" w:hAnsi="宋体" w:cs="宋体" w:eastAsia="宋体" w:hint="default"/>
                <w:sz w:val="18"/>
                <w:szCs w:val="18"/>
              </w:rPr>
            </w:pPr>
            <w:r>
              <w:rPr>
                <w:rFonts w:ascii="宋体" w:hAnsi="宋体" w:cs="宋体" w:eastAsia="宋体" w:hint="default"/>
                <w:sz w:val="18"/>
                <w:szCs w:val="18"/>
              </w:rPr>
              <w:t>承诺事由</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5"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2"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60" w:right="0"/>
              <w:jc w:val="left"/>
              <w:rPr>
                <w:rFonts w:ascii="宋体" w:hAnsi="宋体" w:cs="宋体" w:eastAsia="宋体" w:hint="default"/>
                <w:sz w:val="18"/>
                <w:szCs w:val="18"/>
              </w:rPr>
            </w:pPr>
            <w:r>
              <w:rPr>
                <w:rFonts w:ascii="宋体" w:hAnsi="宋体" w:cs="宋体" w:eastAsia="宋体" w:hint="default"/>
                <w:sz w:val="18"/>
                <w:szCs w:val="18"/>
              </w:rPr>
              <w:t>承诺内容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7"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5"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8"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2" w:hRule="exact"/>
        </w:trPr>
        <w:tc>
          <w:tcPr>
            <w:tcW w:w="21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571" w:type="dxa"/>
            <w:tcBorders>
              <w:top w:val="single" w:sz="4" w:space="0" w:color="000000"/>
              <w:left w:val="single" w:sz="13" w:space="0" w:color="D2D2D2"/>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1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收购报告书或权益变动报</w:t>
            </w:r>
          </w:p>
        </w:tc>
        <w:tc>
          <w:tcPr>
            <w:tcW w:w="1571" w:type="dxa"/>
            <w:tcBorders>
              <w:top w:val="single" w:sz="4" w:space="0" w:color="000000"/>
              <w:left w:val="single" w:sz="13" w:space="0" w:color="D2D2D2"/>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444.639984pt;width:55.85pt;height:318.8pt;mso-position-horizontal-relative:page;mso-position-vertical-relative:page;z-index:-1175104" coordorigin="7353,8893" coordsize="1117,6376">
            <v:shape style="position:absolute;left:7353;top:8893;width:1117;height:6376" coordorigin="7353,8893" coordsize="1117,6376" path="m7353,15269l8470,15269,8470,8893,7353,8893,7353,15269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362"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告书中所作承诺</w:t>
            </w: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13468"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沈永健、周维君</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3"/>
              <w:jc w:val="left"/>
              <w:rPr>
                <w:rFonts w:ascii="宋体" w:hAnsi="宋体" w:cs="宋体" w:eastAsia="宋体" w:hint="default"/>
                <w:sz w:val="18"/>
                <w:szCs w:val="18"/>
              </w:rPr>
            </w:pPr>
            <w:r>
              <w:rPr>
                <w:rFonts w:ascii="宋体" w:hAnsi="宋体" w:cs="宋体" w:eastAsia="宋体" w:hint="default"/>
                <w:spacing w:val="-10"/>
                <w:sz w:val="18"/>
                <w:szCs w:val="18"/>
              </w:rPr>
              <w:t>沈永健、周维君</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承诺自该等股 份于证券登记 结算公司登记 </w:t>
            </w:r>
            <w:r>
              <w:rPr>
                <w:rFonts w:ascii="宋体" w:hAnsi="宋体" w:cs="宋体" w:eastAsia="宋体" w:hint="default"/>
                <w:spacing w:val="-10"/>
                <w:sz w:val="18"/>
                <w:szCs w:val="18"/>
              </w:rPr>
              <w:t>至沈永健、周维</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君名下之日起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 </w:t>
            </w:r>
            <w:r>
              <w:rPr>
                <w:rFonts w:ascii="宋体" w:hAnsi="宋体" w:cs="宋体" w:eastAsia="宋体" w:hint="default"/>
                <w:spacing w:val="-10"/>
                <w:sz w:val="18"/>
                <w:szCs w:val="18"/>
              </w:rPr>
              <w:t>让。上述法定限</w:t>
            </w:r>
          </w:p>
          <w:p>
            <w:pPr>
              <w:pStyle w:val="TableParagraph"/>
              <w:spacing w:line="316" w:lineRule="auto" w:before="20"/>
              <w:ind w:left="22" w:right="-41"/>
              <w:jc w:val="left"/>
              <w:rPr>
                <w:rFonts w:ascii="宋体" w:hAnsi="宋体" w:cs="宋体" w:eastAsia="宋体" w:hint="default"/>
                <w:sz w:val="18"/>
                <w:szCs w:val="18"/>
              </w:rPr>
            </w:pPr>
            <w:r>
              <w:rPr>
                <w:rFonts w:ascii="宋体" w:hAnsi="宋体" w:cs="宋体" w:eastAsia="宋体" w:hint="default"/>
                <w:sz w:val="18"/>
                <w:szCs w:val="18"/>
              </w:rPr>
              <w:t>售期限届满后， </w:t>
            </w:r>
            <w:r>
              <w:rPr>
                <w:rFonts w:ascii="宋体" w:hAnsi="宋体" w:cs="宋体" w:eastAsia="宋体" w:hint="default"/>
                <w:spacing w:val="-10"/>
                <w:sz w:val="18"/>
                <w:szCs w:val="18"/>
              </w:rPr>
              <w:t>沈永健、周维君</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所取得的对价 </w:t>
            </w:r>
            <w:r>
              <w:rPr>
                <w:rFonts w:ascii="宋体" w:hAnsi="宋体" w:cs="宋体" w:eastAsia="宋体" w:hint="default"/>
                <w:spacing w:val="-10"/>
                <w:sz w:val="18"/>
                <w:szCs w:val="18"/>
              </w:rPr>
              <w:t>股份在满足《发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行股份及支付 现金购买资产 </w:t>
            </w:r>
            <w:r>
              <w:rPr>
                <w:rFonts w:ascii="宋体" w:hAnsi="宋体" w:cs="宋体" w:eastAsia="宋体" w:hint="default"/>
                <w:spacing w:val="-10"/>
                <w:sz w:val="18"/>
                <w:szCs w:val="18"/>
              </w:rPr>
              <w:t>协议》及《盈利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预测补偿协议》 约定的以下条 件后分四期解 </w:t>
            </w:r>
            <w:r>
              <w:rPr>
                <w:rFonts w:ascii="宋体" w:hAnsi="宋体" w:cs="宋体" w:eastAsia="宋体" w:hint="default"/>
                <w:spacing w:val="-10"/>
                <w:sz w:val="18"/>
                <w:szCs w:val="18"/>
              </w:rPr>
              <w:t>禁：第一期：沈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永健、周维君因</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本次发行获得 奥拓电子的股 份于证券登记 结算公司登记 </w:t>
            </w:r>
            <w:r>
              <w:rPr>
                <w:rFonts w:ascii="宋体" w:hAnsi="宋体" w:cs="宋体" w:eastAsia="宋体" w:hint="default"/>
                <w:spacing w:val="-10"/>
                <w:sz w:val="18"/>
                <w:szCs w:val="18"/>
              </w:rPr>
              <w:t>至沈永健、周维</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君名下之日起 已满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w:t>
            </w:r>
            <w:r>
              <w:rPr>
                <w:rFonts w:ascii="宋体" w:hAnsi="宋体" w:cs="宋体" w:eastAsia="宋体" w:hint="default"/>
                <w:spacing w:val="-10"/>
                <w:sz w:val="18"/>
                <w:szCs w:val="18"/>
              </w:rPr>
              <w:t>且沈永健、周维</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君各自已履行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 标的公司业绩 补偿承诺之日</w:t>
            </w:r>
          </w:p>
          <w:p>
            <w:pPr>
              <w:pStyle w:val="TableParagraph"/>
              <w:spacing w:line="316" w:lineRule="auto" w:before="19"/>
              <w:ind w:left="22" w:right="-41"/>
              <w:jc w:val="left"/>
              <w:rPr>
                <w:rFonts w:ascii="宋体" w:hAnsi="宋体" w:cs="宋体" w:eastAsia="宋体" w:hint="default"/>
                <w:sz w:val="18"/>
                <w:szCs w:val="18"/>
              </w:rPr>
            </w:pPr>
            <w:r>
              <w:rPr>
                <w:rFonts w:ascii="宋体" w:hAnsi="宋体" w:cs="宋体" w:eastAsia="宋体" w:hint="default"/>
                <w:sz w:val="18"/>
                <w:szCs w:val="18"/>
              </w:rPr>
              <w:t>（以最晚发生 </w:t>
            </w:r>
            <w:r>
              <w:rPr>
                <w:rFonts w:ascii="宋体" w:hAnsi="宋体" w:cs="宋体" w:eastAsia="宋体" w:hint="default"/>
                <w:spacing w:val="-13"/>
                <w:sz w:val="18"/>
                <w:szCs w:val="18"/>
              </w:rPr>
              <w:t>的为准）。沈永</w:t>
            </w:r>
            <w:r>
              <w:rPr>
                <w:rFonts w:ascii="宋体" w:hAnsi="宋体" w:cs="宋体" w:eastAsia="宋体" w:hint="default"/>
                <w:sz w:val="18"/>
                <w:szCs w:val="18"/>
              </w:rPr>
              <w:t> </w:t>
            </w:r>
            <w:r>
              <w:rPr>
                <w:rFonts w:ascii="宋体" w:hAnsi="宋体" w:cs="宋体" w:eastAsia="宋体" w:hint="default"/>
                <w:spacing w:val="-10"/>
                <w:sz w:val="18"/>
                <w:szCs w:val="18"/>
              </w:rPr>
              <w:t>健、周维君各自</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因本次发行获 得奥拓电子的 全部股份的 </w:t>
            </w:r>
            <w:r>
              <w:rPr>
                <w:rFonts w:ascii="Times New Roman" w:hAnsi="Times New Roman" w:cs="Times New Roman" w:eastAsia="Times New Roman" w:hint="default"/>
                <w:spacing w:val="-5"/>
                <w:sz w:val="18"/>
                <w:szCs w:val="18"/>
              </w:rPr>
              <w:t>25%</w:t>
            </w:r>
            <w:r>
              <w:rPr>
                <w:rFonts w:ascii="宋体" w:hAnsi="宋体" w:cs="宋体" w:eastAsia="宋体" w:hint="default"/>
                <w:spacing w:val="-5"/>
                <w:sz w:val="18"/>
                <w:szCs w:val="18"/>
              </w:rPr>
              <w:t>（需减去各</w:t>
            </w:r>
            <w:r>
              <w:rPr>
                <w:rFonts w:ascii="宋体" w:hAnsi="宋体" w:cs="宋体" w:eastAsia="宋体" w:hint="default"/>
                <w:spacing w:val="-85"/>
                <w:sz w:val="18"/>
                <w:szCs w:val="18"/>
              </w:rPr>
              <w:t> </w:t>
            </w:r>
            <w:r>
              <w:rPr>
                <w:rFonts w:ascii="宋体" w:hAnsi="宋体" w:cs="宋体" w:eastAsia="宋体" w:hint="default"/>
                <w:spacing w:val="-10"/>
                <w:sz w:val="18"/>
                <w:szCs w:val="18"/>
              </w:rPr>
              <w:t>自根据《发行股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份及支付现金 购买资产协议》 </w:t>
            </w:r>
            <w:r>
              <w:rPr>
                <w:rFonts w:ascii="宋体" w:hAnsi="宋体" w:cs="宋体" w:eastAsia="宋体" w:hint="default"/>
                <w:spacing w:val="-10"/>
                <w:sz w:val="18"/>
                <w:szCs w:val="18"/>
              </w:rPr>
              <w:t>及《盈利预测补</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6376"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7"/>
                <w:sz w:val="20"/>
                <w:szCs w:val="20"/>
              </w:rPr>
              <w:pict>
                <v:group style="width:55.85pt;height:318.8pt;mso-position-horizontal-relative:char;mso-position-vertical-relative:line" coordorigin="0,0" coordsize="1117,6376">
                  <v:group style="position:absolute;left:0;top:0;width:1117;height:6376" coordorigin="0,0" coordsize="1117,6376">
                    <v:shape style="position:absolute;left:0;top:0;width:1117;height:6376" coordorigin="0,0" coordsize="1117,6376" path="m0,6376l1116,6376,1116,0,0,0,0,6376xe" filled="true" fillcolor="#ffffff" stroked="false">
                      <v:path arrowok="t"/>
                      <v:fill type="solid"/>
                    </v:shape>
                  </v:group>
                </v:group>
              </w:pict>
            </w:r>
            <w:r>
              <w:rPr>
                <w:rFonts w:ascii="Times New Roman" w:hAnsi="Times New Roman" w:cs="Times New Roman" w:eastAsia="Times New Roman" w:hint="default"/>
                <w:position w:val="-127"/>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309" w:lineRule="auto"/>
              <w:ind w:left="22" w:right="143"/>
              <w:jc w:val="both"/>
              <w:rPr>
                <w:rFonts w:ascii="宋体" w:hAnsi="宋体" w:cs="宋体" w:eastAsia="宋体" w:hint="default"/>
                <w:sz w:val="18"/>
                <w:szCs w:val="18"/>
              </w:rPr>
            </w:pPr>
            <w:r>
              <w:rPr>
                <w:rFonts w:ascii="宋体" w:hAnsi="宋体" w:cs="宋体" w:eastAsia="宋体" w:hint="default"/>
                <w:sz w:val="18"/>
                <w:szCs w:val="18"/>
              </w:rPr>
              <w:t>承诺结束日 期：</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72.47998pt;width:55.85pt;height:686.5pt;mso-position-horizontal-relative:page;mso-position-vertical-relative:page;z-index:-1175080" coordorigin="7353,1450" coordsize="1117,13730">
            <v:shape style="position:absolute;left:7353;top:1450;width:1117;height:13730" coordorigin="7353,1450" coordsize="1117,13730" path="m7353,15179l8470,15179,8470,1450,7353,1450,7353,15179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317"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
        </w:tc>
        <w:tc>
          <w:tcPr>
            <w:tcW w:w="1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偿协议》的约定</w:t>
            </w:r>
          </w:p>
        </w:tc>
        <w:tc>
          <w:tcPr>
            <w:tcW w:w="1126" w:type="dxa"/>
            <w:tcBorders>
              <w:top w:val="single" w:sz="4" w:space="0" w:color="000000"/>
              <w:left w:val="single" w:sz="4" w:space="0" w:color="000000"/>
              <w:bottom w:val="nil" w:sz="6" w:space="0" w:color="auto"/>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应补偿的股份</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数）可解除锁</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定；第二期：沈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永健、周维君因</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本次发行获得</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奥拓电子的股</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份于证券登记</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结算公司登记</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至沈永健、周维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君名下之日起</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已满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10"/>
                <w:sz w:val="18"/>
                <w:szCs w:val="18"/>
              </w:rPr>
              <w:t>且沈永健、周维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君各自已履行</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标的公司业绩</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补偿承诺之日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（以最晚发生</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的为准</w:t>
            </w:r>
            <w:r>
              <w:rPr>
                <w:rFonts w:ascii="宋体" w:hAnsi="宋体" w:cs="宋体" w:eastAsia="宋体" w:hint="default"/>
                <w:spacing w:val="-90"/>
                <w:sz w:val="18"/>
                <w:szCs w:val="18"/>
              </w:rPr>
              <w:t>）</w:t>
            </w:r>
            <w:r>
              <w:rPr>
                <w:rFonts w:ascii="宋体" w:hAnsi="宋体" w:cs="宋体" w:eastAsia="宋体" w:hint="default"/>
                <w:sz w:val="18"/>
                <w:szCs w:val="18"/>
              </w:rPr>
              <w:t>。沈永</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健、周维君各自</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因本次发行获</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得奥拓电子的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全部股份的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25%</w:t>
            </w:r>
            <w:r>
              <w:rPr>
                <w:rFonts w:ascii="宋体" w:hAnsi="宋体" w:cs="宋体" w:eastAsia="宋体" w:hint="default"/>
                <w:spacing w:val="-5"/>
                <w:sz w:val="18"/>
                <w:szCs w:val="18"/>
              </w:rPr>
              <w:t>（需减去各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10"/>
                <w:sz w:val="18"/>
                <w:szCs w:val="18"/>
              </w:rPr>
              <w:t>自根据《发行股</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份及支付现金</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购买资产协议</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49" w:right="0"/>
              <w:jc w:val="left"/>
              <w:rPr>
                <w:rFonts w:ascii="宋体" w:hAnsi="宋体" w:cs="宋体" w:eastAsia="宋体" w:hint="default"/>
                <w:sz w:val="18"/>
                <w:szCs w:val="18"/>
              </w:rPr>
            </w:pPr>
            <w:r>
              <w:rPr>
                <w:rFonts w:ascii="宋体" w:hAnsi="宋体" w:cs="宋体" w:eastAsia="宋体" w:hint="default"/>
                <w:sz w:val="18"/>
                <w:szCs w:val="18"/>
              </w:rPr>
              <w:t>》</w:t>
            </w: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及《盈利预测补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偿协议》的约定</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应补偿的股份</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数）可解除锁</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定；第三期：沈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永健、周维君因</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本次发行获得</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奥拓电子的股</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份于证券登记</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结算公司登记</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至沈永健、周维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君名下之日起</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已满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10"/>
                <w:sz w:val="18"/>
                <w:szCs w:val="18"/>
              </w:rPr>
              <w:t>且沈永健、周维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君各自已履行</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年度全部</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标的公司业绩</w:t>
            </w:r>
          </w:p>
        </w:tc>
        <w:tc>
          <w:tcPr>
            <w:tcW w:w="1126" w:type="dxa"/>
            <w:tcBorders>
              <w:top w:val="nil" w:sz="6" w:space="0" w:color="auto"/>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72.47998pt;width:55.85pt;height:686.5pt;mso-position-horizontal-relative:page;mso-position-vertical-relative:page;z-index:-1175056" coordorigin="7353,1450" coordsize="1117,13730">
            <v:shape style="position:absolute;left:7353;top:1450;width:1117;height:13730" coordorigin="7353,1450" coordsize="1117,13730" path="m7353,15179l8470,15179,8470,1450,7353,1450,7353,15179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317"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
        </w:tc>
        <w:tc>
          <w:tcPr>
            <w:tcW w:w="1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补偿承诺之日</w:t>
            </w:r>
          </w:p>
        </w:tc>
        <w:tc>
          <w:tcPr>
            <w:tcW w:w="1126" w:type="dxa"/>
            <w:tcBorders>
              <w:top w:val="single" w:sz="4" w:space="0" w:color="000000"/>
              <w:left w:val="single" w:sz="4" w:space="0" w:color="000000"/>
              <w:bottom w:val="nil" w:sz="6" w:space="0" w:color="auto"/>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（以最晚发生</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的为准</w:t>
            </w:r>
            <w:r>
              <w:rPr>
                <w:rFonts w:ascii="宋体" w:hAnsi="宋体" w:cs="宋体" w:eastAsia="宋体" w:hint="default"/>
                <w:spacing w:val="-90"/>
                <w:sz w:val="18"/>
                <w:szCs w:val="18"/>
              </w:rPr>
              <w:t>）</w:t>
            </w:r>
            <w:r>
              <w:rPr>
                <w:rFonts w:ascii="宋体" w:hAnsi="宋体" w:cs="宋体" w:eastAsia="宋体" w:hint="default"/>
                <w:sz w:val="18"/>
                <w:szCs w:val="18"/>
              </w:rPr>
              <w:t>。沈永</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健、周维君各自</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因本次发行获</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得奥拓电子的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全部股份的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25%</w:t>
            </w:r>
            <w:r>
              <w:rPr>
                <w:rFonts w:ascii="宋体" w:hAnsi="宋体" w:cs="宋体" w:eastAsia="宋体" w:hint="default"/>
                <w:spacing w:val="-5"/>
                <w:sz w:val="18"/>
                <w:szCs w:val="18"/>
              </w:rPr>
              <w:t>（需减去各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10"/>
                <w:sz w:val="18"/>
                <w:szCs w:val="18"/>
              </w:rPr>
              <w:t>自根据《发行股</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份及支付现金</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购买资产协议</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49" w:right="0"/>
              <w:jc w:val="left"/>
              <w:rPr>
                <w:rFonts w:ascii="宋体" w:hAnsi="宋体" w:cs="宋体" w:eastAsia="宋体" w:hint="default"/>
                <w:sz w:val="18"/>
                <w:szCs w:val="18"/>
              </w:rPr>
            </w:pPr>
            <w:r>
              <w:rPr>
                <w:rFonts w:ascii="宋体" w:hAnsi="宋体" w:cs="宋体" w:eastAsia="宋体" w:hint="default"/>
                <w:sz w:val="18"/>
                <w:szCs w:val="18"/>
              </w:rPr>
              <w:t>》</w:t>
            </w: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及《盈利预测补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偿协议》的约定</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应补偿的股份</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数）可解除锁</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定。第四期：沈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永健、周维君因</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本次发行获得</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奥拓电子的股</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份于证券登记</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结算公司登记</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至沈永健、周维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君名下之日起</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已满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10"/>
                <w:sz w:val="18"/>
                <w:szCs w:val="18"/>
              </w:rPr>
              <w:t>且沈永健、周维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君各自已履行</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其相应全部标</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的公司业绩补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偿承诺之日（以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最晚发生的为</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准</w:t>
            </w:r>
            <w:r>
              <w:rPr>
                <w:rFonts w:ascii="宋体" w:hAnsi="宋体" w:cs="宋体" w:eastAsia="宋体" w:hint="default"/>
                <w:spacing w:val="-90"/>
                <w:sz w:val="18"/>
                <w:szCs w:val="18"/>
              </w:rPr>
              <w:t>）</w:t>
            </w:r>
            <w:r>
              <w:rPr>
                <w:rFonts w:ascii="宋体" w:hAnsi="宋体" w:cs="宋体" w:eastAsia="宋体" w:hint="default"/>
                <w:sz w:val="18"/>
                <w:szCs w:val="18"/>
              </w:rPr>
              <w:t>。沈永健、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周维君各自因</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本次发行获得</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奥拓电子的全</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部股份的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（需减去各自</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根据本协议及</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《盈利预测补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偿协议》的约定</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应补偿的股份</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数）可解除锁</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定。上述法定限</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售期限届满之</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日起至对价股</w:t>
            </w:r>
          </w:p>
        </w:tc>
        <w:tc>
          <w:tcPr>
            <w:tcW w:w="1126" w:type="dxa"/>
            <w:tcBorders>
              <w:top w:val="nil" w:sz="6" w:space="0" w:color="auto"/>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475.839996pt;width:55.85pt;height:287.6pt;mso-position-horizontal-relative:page;mso-position-vertical-relative:page;z-index:-1175008" coordorigin="7353,9517" coordsize="1117,5752">
            <v:shape style="position:absolute;left:7353;top:9517;width:1117;height:5752" coordorigin="7353,9517" coordsize="1117,5752" path="m7353,15269l8470,15269,8470,9517,7353,9517,7353,15269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1611"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份最后一期解 禁之日的期间 </w:t>
            </w:r>
            <w:r>
              <w:rPr>
                <w:rFonts w:ascii="宋体" w:hAnsi="宋体" w:cs="宋体" w:eastAsia="宋体" w:hint="default"/>
                <w:spacing w:val="-10"/>
                <w:sz w:val="18"/>
                <w:szCs w:val="18"/>
              </w:rPr>
              <w:t>内，未解禁的对</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价股份不得进 行转让。</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12219"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6" w:lineRule="auto"/>
              <w:ind w:left="23" w:right="21"/>
              <w:jc w:val="left"/>
              <w:rPr>
                <w:rFonts w:ascii="宋体" w:hAnsi="宋体" w:cs="宋体" w:eastAsia="宋体" w:hint="default"/>
                <w:sz w:val="18"/>
                <w:szCs w:val="18"/>
              </w:rPr>
            </w:pPr>
            <w:r>
              <w:rPr>
                <w:rFonts w:ascii="宋体" w:hAnsi="宋体" w:cs="宋体" w:eastAsia="宋体" w:hint="default"/>
                <w:sz w:val="18"/>
                <w:szCs w:val="18"/>
              </w:rPr>
              <w:t>广州中照龙腾资产 管理合伙企业（有 </w:t>
            </w:r>
            <w:r>
              <w:rPr>
                <w:rFonts w:ascii="宋体" w:hAnsi="宋体" w:cs="宋体" w:eastAsia="宋体" w:hint="default"/>
                <w:spacing w:val="-14"/>
                <w:sz w:val="18"/>
                <w:szCs w:val="18"/>
              </w:rPr>
              <w:t>限合伙）、深圳前海</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汉华源投资企业</w:t>
            </w:r>
          </w:p>
          <w:p>
            <w:pPr>
              <w:pStyle w:val="TableParagraph"/>
              <w:spacing w:line="319" w:lineRule="auto" w:before="19"/>
              <w:ind w:left="23" w:right="21"/>
              <w:jc w:val="left"/>
              <w:rPr>
                <w:rFonts w:ascii="宋体" w:hAnsi="宋体" w:cs="宋体" w:eastAsia="宋体" w:hint="default"/>
                <w:sz w:val="18"/>
                <w:szCs w:val="18"/>
              </w:rPr>
            </w:pPr>
            <w:r>
              <w:rPr>
                <w:rFonts w:ascii="宋体" w:hAnsi="宋体" w:cs="宋体" w:eastAsia="宋体" w:hint="default"/>
                <w:spacing w:val="-14"/>
                <w:sz w:val="18"/>
                <w:szCs w:val="18"/>
              </w:rPr>
              <w:t>（有限合伙）、王亚</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伟、罗晓珊</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王亚伟、罗晓 珊、中照龙腾、 汉华源投资承 诺自该等股份 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个月内不转让。 上述限售期限 届满后，王亚 </w:t>
            </w:r>
            <w:r>
              <w:rPr>
                <w:rFonts w:ascii="宋体" w:hAnsi="宋体" w:cs="宋体" w:eastAsia="宋体" w:hint="default"/>
                <w:spacing w:val="-10"/>
                <w:sz w:val="18"/>
                <w:szCs w:val="18"/>
              </w:rPr>
              <w:t>伟、罗晓珊、中</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照龙腾、汉华源</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投资各自所取 得的对价股份 </w:t>
            </w:r>
            <w:r>
              <w:rPr>
                <w:rFonts w:ascii="宋体" w:hAnsi="宋体" w:cs="宋体" w:eastAsia="宋体" w:hint="default"/>
                <w:spacing w:val="-10"/>
                <w:sz w:val="18"/>
                <w:szCs w:val="18"/>
              </w:rPr>
              <w:t>在满足《发行股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份及支付现金 购买资产协议》 </w:t>
            </w:r>
            <w:r>
              <w:rPr>
                <w:rFonts w:ascii="宋体" w:hAnsi="宋体" w:cs="宋体" w:eastAsia="宋体" w:hint="default"/>
                <w:spacing w:val="-10"/>
                <w:sz w:val="18"/>
                <w:szCs w:val="18"/>
              </w:rPr>
              <w:t>及《盈利预测补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偿协议》约定的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以下条件后一 </w:t>
            </w:r>
            <w:r>
              <w:rPr>
                <w:rFonts w:ascii="宋体" w:hAnsi="宋体" w:cs="宋体" w:eastAsia="宋体" w:hint="default"/>
                <w:spacing w:val="-10"/>
                <w:sz w:val="18"/>
                <w:szCs w:val="18"/>
              </w:rPr>
              <w:t>次性解禁。王亚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伟、罗晓珊、中</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照龙腾、汉华源</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投资因本次发 行获得公司的 股份于证券登 记结算公司登 </w:t>
            </w:r>
            <w:r>
              <w:rPr>
                <w:rFonts w:ascii="宋体" w:hAnsi="宋体" w:cs="宋体" w:eastAsia="宋体" w:hint="default"/>
                <w:spacing w:val="-10"/>
                <w:sz w:val="18"/>
                <w:szCs w:val="18"/>
              </w:rPr>
              <w:t>记至王亚伟、罗</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晓珊、中照龙 </w:t>
            </w:r>
            <w:r>
              <w:rPr>
                <w:rFonts w:ascii="宋体" w:hAnsi="宋体" w:cs="宋体" w:eastAsia="宋体" w:hint="default"/>
                <w:spacing w:val="-10"/>
                <w:sz w:val="18"/>
                <w:szCs w:val="18"/>
              </w:rPr>
              <w:t>腾、汉华源投资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名下之日起已</w:t>
            </w:r>
          </w:p>
          <w:p>
            <w:pPr>
              <w:pStyle w:val="TableParagraph"/>
              <w:spacing w:line="316" w:lineRule="auto" w:before="19"/>
              <w:ind w:left="22" w:right="-41"/>
              <w:jc w:val="left"/>
              <w:rPr>
                <w:rFonts w:ascii="Times New Roman" w:hAnsi="Times New Roman" w:cs="Times New Roman" w:eastAsia="Times New Roman" w:hint="default"/>
                <w:sz w:val="18"/>
                <w:szCs w:val="18"/>
              </w:rPr>
            </w:pPr>
            <w:r>
              <w:rPr>
                <w:rFonts w:ascii="宋体" w:hAnsi="宋体" w:cs="宋体" w:eastAsia="宋体" w:hint="default"/>
                <w:sz w:val="18"/>
                <w:szCs w:val="18"/>
              </w:rPr>
              <w:t>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个月；且 王亚伟、罗晓 珊、中照龙腾、 汉华源投资各 自已履行其相 </w:t>
            </w:r>
            <w:r>
              <w:rPr>
                <w:rFonts w:ascii="宋体" w:hAnsi="宋体" w:cs="宋体" w:eastAsia="宋体" w:hint="default"/>
                <w:spacing w:val="-10"/>
                <w:sz w:val="18"/>
                <w:szCs w:val="18"/>
              </w:rPr>
              <w:t>应《发行股份及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支付现金购买 </w:t>
            </w:r>
            <w:r>
              <w:rPr>
                <w:rFonts w:ascii="宋体" w:hAnsi="宋体" w:cs="宋体" w:eastAsia="宋体" w:hint="default"/>
                <w:spacing w:val="-10"/>
                <w:sz w:val="18"/>
                <w:szCs w:val="18"/>
              </w:rPr>
              <w:t>资产协议》约定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pacing w:val="-13"/>
                <w:sz w:val="18"/>
                <w:szCs w:val="18"/>
              </w:rPr>
              <w:t>年度、</w:t>
            </w:r>
            <w:r>
              <w:rPr>
                <w:rFonts w:ascii="Times New Roman" w:hAnsi="Times New Roman" w:cs="Times New Roman" w:eastAsia="Times New Roman" w:hint="default"/>
                <w:spacing w:val="-13"/>
                <w:sz w:val="18"/>
                <w:szCs w:val="18"/>
              </w:rPr>
              <w:t>2017</w:t>
            </w:r>
          </w:p>
          <w:p>
            <w:pPr>
              <w:pStyle w:val="TableParagraph"/>
              <w:spacing w:line="248" w:lineRule="exact"/>
              <w:ind w:left="22" w:right="0"/>
              <w:jc w:val="left"/>
              <w:rPr>
                <w:rFonts w:ascii="宋体" w:hAnsi="宋体" w:cs="宋体" w:eastAsia="宋体" w:hint="default"/>
                <w:sz w:val="18"/>
                <w:szCs w:val="18"/>
              </w:rPr>
            </w:pPr>
            <w:r>
              <w:rPr>
                <w:rFonts w:ascii="宋体" w:hAnsi="宋体" w:cs="宋体" w:eastAsia="宋体" w:hint="default"/>
                <w:sz w:val="18"/>
                <w:szCs w:val="18"/>
              </w:rPr>
              <w:t>年度、</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575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4"/>
                <w:sz w:val="20"/>
                <w:szCs w:val="20"/>
              </w:rPr>
              <w:pict>
                <v:group style="width:55.85pt;height:287.6pt;mso-position-horizontal-relative:char;mso-position-vertical-relative:line" coordorigin="0,0" coordsize="1117,5752">
                  <v:group style="position:absolute;left:0;top:0;width:1117;height:5752" coordorigin="0,0" coordsize="1117,5752">
                    <v:shape style="position:absolute;left:0;top:0;width:1117;height:5752" coordorigin="0,0" coordsize="1117,5752" path="m0,5752l1116,5752,1116,0,0,0,0,5752xe" filled="true" fillcolor="#ffffff" stroked="false">
                      <v:path arrowok="t"/>
                      <v:fill type="solid"/>
                    </v:shape>
                  </v:group>
                </v:group>
              </w:pict>
            </w:r>
            <w:r>
              <w:rPr>
                <w:rFonts w:ascii="Times New Roman" w:hAnsi="Times New Roman" w:cs="Times New Roman" w:eastAsia="Times New Roman" w:hint="default"/>
                <w:position w:val="-114"/>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309" w:lineRule="auto"/>
              <w:ind w:left="22" w:right="143"/>
              <w:jc w:val="both"/>
              <w:rPr>
                <w:rFonts w:ascii="宋体" w:hAnsi="宋体" w:cs="宋体" w:eastAsia="宋体" w:hint="default"/>
                <w:sz w:val="18"/>
                <w:szCs w:val="18"/>
              </w:rPr>
            </w:pPr>
            <w:r>
              <w:rPr>
                <w:rFonts w:ascii="宋体" w:hAnsi="宋体" w:cs="宋体" w:eastAsia="宋体" w:hint="default"/>
                <w:sz w:val="18"/>
                <w:szCs w:val="18"/>
              </w:rPr>
              <w:t>承诺结束日 期：</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43.480011pt;margin-top:449.439972pt;width:80pt;height:139.4pt;mso-position-horizontal-relative:page;mso-position-vertical-relative:page;z-index:-117498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22"/>
                      <w:szCs w:val="22"/>
                    </w:rPr>
                  </w:pPr>
                </w:p>
                <w:p>
                  <w:pPr>
                    <w:pStyle w:val="BodyText"/>
                    <w:spacing w:line="240" w:lineRule="auto"/>
                    <w:ind w:left="0" w:right="0"/>
                    <w:jc w:val="left"/>
                  </w:pPr>
                  <w:r>
                    <w:rPr/>
                    <w:t>（一）</w:t>
                  </w:r>
                </w:p>
              </w:txbxContent>
            </v:textbox>
            <w10:wrap type="none"/>
          </v:shape>
        </w:pict>
      </w:r>
      <w:r>
        <w:rPr/>
        <w:pict>
          <v:group style="position:absolute;margin-left:367.660004pt;margin-top:72.47998pt;width:55.85pt;height:516.35pt;mso-position-horizontal-relative:page;mso-position-vertical-relative:page;z-index:-1174960" coordorigin="7353,1450" coordsize="1117,10327">
            <v:group style="position:absolute;left:7353;top:1450;width:1117;height:7530" coordorigin="7353,1450" coordsize="1117,7530">
              <v:shape style="position:absolute;left:7353;top:1450;width:1117;height:7530" coordorigin="7353,1450" coordsize="1117,7530" path="m7353,8979l8470,8979,8470,1450,7353,1450,7353,8979xe" filled="true" fillcolor="#ffffff" stroked="false">
                <v:path arrowok="t"/>
                <v:fill type="solid"/>
              </v:shape>
            </v:group>
            <v:group style="position:absolute;left:7353;top:8989;width:1117;height:2788" coordorigin="7353,8989" coordsize="1117,2788">
              <v:shape style="position:absolute;left:7353;top:8989;width:1117;height:2788" coordorigin="7353,8989" coordsize="1117,2788" path="m7353,11776l8470,11776,8470,8989,7353,8989,7353,11776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317"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
        </w:tc>
        <w:tc>
          <w:tcPr>
            <w:tcW w:w="1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度千百辉业绩</w:t>
            </w: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3"/>
              <w:ind w:left="-149"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5"/>
                <w:szCs w:val="15"/>
              </w:rPr>
            </w:pPr>
          </w:p>
          <w:p>
            <w:pPr>
              <w:pStyle w:val="TableParagraph"/>
              <w:spacing w:line="240" w:lineRule="auto"/>
              <w:ind w:left="-149" w:right="0"/>
              <w:jc w:val="left"/>
              <w:rPr>
                <w:rFonts w:ascii="宋体" w:hAnsi="宋体" w:cs="宋体" w:eastAsia="宋体" w:hint="default"/>
                <w:sz w:val="18"/>
                <w:szCs w:val="18"/>
              </w:rPr>
            </w:pPr>
            <w:r>
              <w:rPr>
                <w:rFonts w:ascii="宋体" w:hAnsi="宋体" w:cs="宋体" w:eastAsia="宋体" w:hint="default"/>
                <w:sz w:val="18"/>
                <w:szCs w:val="18"/>
              </w:rPr>
              <w:t>，</w:t>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补偿承诺之日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（以最晚发生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的为准</w:t>
            </w:r>
            <w:r>
              <w:rPr>
                <w:rFonts w:ascii="宋体" w:hAnsi="宋体" w:cs="宋体" w:eastAsia="宋体" w:hint="default"/>
                <w:spacing w:val="-90"/>
                <w:sz w:val="18"/>
                <w:szCs w:val="18"/>
              </w:rPr>
              <w:t>）</w:t>
            </w:r>
            <w:r>
              <w:rPr>
                <w:rFonts w:ascii="宋体" w:hAnsi="宋体" w:cs="宋体" w:eastAsia="宋体" w:hint="default"/>
                <w:sz w:val="18"/>
                <w:szCs w:val="18"/>
              </w:rPr>
              <w:t>。王亚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伟、罗晓珊、中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照龙腾、汉华源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投资各自因本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次发行获得公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司的全部股份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（需减去各自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根据《发行股份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及支付现金购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买资产协议》及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《盈利预测补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偿协议》的约定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应补偿的股份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数）可解除锁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定。本次交易完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成后，前述股份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由于公司送股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转增股本等原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因增加的股份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亦应遵守上述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5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约定。</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r>
        <w:trPr>
          <w:trHeight w:val="357" w:hRule="exact"/>
        </w:trPr>
        <w:tc>
          <w:tcPr>
            <w:tcW w:w="2127" w:type="dxa"/>
            <w:vMerge/>
            <w:tcBorders>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nil" w:sz="6" w:space="0" w:color="auto"/>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
        </w:tc>
        <w:tc>
          <w:tcPr>
            <w:tcW w:w="1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10"/>
                <w:sz w:val="18"/>
                <w:szCs w:val="18"/>
              </w:rPr>
              <w:t>根据《盈利预测</w:t>
            </w:r>
          </w:p>
        </w:tc>
        <w:tc>
          <w:tcPr>
            <w:tcW w:w="1126" w:type="dxa"/>
            <w:tcBorders>
              <w:top w:val="single" w:sz="4" w:space="0" w:color="000000"/>
              <w:left w:val="single" w:sz="4" w:space="0" w:color="000000"/>
              <w:bottom w:val="nil" w:sz="6" w:space="0" w:color="auto"/>
              <w:right w:val="single" w:sz="4" w:space="0" w:color="000000"/>
            </w:tcBorders>
          </w:tcPr>
          <w:p>
            <w:pPr/>
          </w:p>
        </w:tc>
        <w:tc>
          <w:tcPr>
            <w:tcW w:w="1121" w:type="dxa"/>
            <w:tcBorders>
              <w:top w:val="single" w:sz="4" w:space="0" w:color="000000"/>
              <w:left w:val="single" w:sz="4" w:space="0" w:color="000000"/>
              <w:bottom w:val="nil" w:sz="6" w:space="0" w:color="auto"/>
              <w:right w:val="single" w:sz="4" w:space="0" w:color="000000"/>
            </w:tcBorders>
          </w:tcPr>
          <w:p>
            <w:pPr/>
          </w:p>
        </w:tc>
        <w:tc>
          <w:tcPr>
            <w:tcW w:w="1108"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补偿协议》作出</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以下承诺：</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盈利承诺</w:t>
            </w:r>
            <w:r>
              <w:rPr>
                <w:rFonts w:ascii="宋体" w:hAnsi="宋体" w:cs="宋体" w:eastAsia="宋体" w:hint="default"/>
                <w:spacing w:val="-46"/>
                <w:sz w:val="18"/>
                <w:szCs w:val="18"/>
              </w:rPr>
              <w:t> </w:t>
            </w:r>
            <w:r>
              <w:rPr>
                <w:rFonts w:ascii="Times New Roman" w:hAnsi="Times New Roman" w:cs="Times New Roman" w:eastAsia="Times New Roman" w:hint="default"/>
                <w:spacing w:val="-14"/>
                <w:sz w:val="18"/>
                <w:szCs w:val="18"/>
              </w:rPr>
              <w:t>1</w:t>
            </w:r>
            <w:r>
              <w:rPr>
                <w:rFonts w:ascii="宋体" w:hAnsi="宋体" w:cs="宋体" w:eastAsia="宋体" w:hint="default"/>
                <w:spacing w:val="-14"/>
                <w:sz w:val="18"/>
                <w:szCs w:val="18"/>
              </w:rPr>
              <w:t>、盈</w:t>
            </w:r>
            <w:r>
              <w:rPr>
                <w:rFonts w:ascii="宋体" w:hAnsi="宋体" w:cs="宋体" w:eastAsia="宋体" w:hint="default"/>
                <w:sz w:val="18"/>
                <w:szCs w:val="18"/>
              </w:rPr>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利承诺期间</w:t>
            </w:r>
            <w:r>
              <w:rPr>
                <w:rFonts w:ascii="Times New Roman" w:hAnsi="Times New Roman" w:cs="Times New Roman" w:eastAsia="Times New Roman" w:hint="default"/>
                <w:sz w:val="18"/>
                <w:szCs w:val="18"/>
              </w:rPr>
              <w:t>-</w:t>
            </w:r>
            <w:r>
              <w:rPr>
                <w:rFonts w:ascii="宋体" w:hAnsi="宋体" w:cs="宋体" w:eastAsia="宋体" w:hint="default"/>
                <w:sz w:val="18"/>
                <w:szCs w:val="18"/>
              </w:rPr>
              <w:t>本</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次交易的盈利</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2501"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316" w:lineRule="auto" w:before="147"/>
              <w:ind w:left="23" w:right="21"/>
              <w:jc w:val="left"/>
              <w:rPr>
                <w:rFonts w:ascii="宋体" w:hAnsi="宋体" w:cs="宋体" w:eastAsia="宋体" w:hint="default"/>
                <w:sz w:val="18"/>
                <w:szCs w:val="18"/>
              </w:rPr>
            </w:pPr>
            <w:r>
              <w:rPr>
                <w:rFonts w:ascii="宋体" w:hAnsi="宋体" w:cs="宋体" w:eastAsia="宋体" w:hint="default"/>
                <w:sz w:val="18"/>
                <w:szCs w:val="18"/>
              </w:rPr>
              <w:t>沈永健、周维君、 广州中照龙腾资产 管理合伙企业（有 </w:t>
            </w:r>
            <w:r>
              <w:rPr>
                <w:rFonts w:ascii="宋体" w:hAnsi="宋体" w:cs="宋体" w:eastAsia="宋体" w:hint="default"/>
                <w:spacing w:val="-14"/>
                <w:sz w:val="18"/>
                <w:szCs w:val="18"/>
              </w:rPr>
              <w:t>限合伙）、深圳前海</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汉华源投资企业</w:t>
            </w:r>
          </w:p>
          <w:p>
            <w:pPr>
              <w:pStyle w:val="TableParagraph"/>
              <w:spacing w:line="319" w:lineRule="auto" w:before="19"/>
              <w:ind w:left="23" w:right="21"/>
              <w:jc w:val="left"/>
              <w:rPr>
                <w:rFonts w:ascii="宋体" w:hAnsi="宋体" w:cs="宋体" w:eastAsia="宋体" w:hint="default"/>
                <w:sz w:val="18"/>
                <w:szCs w:val="18"/>
              </w:rPr>
            </w:pPr>
            <w:r>
              <w:rPr>
                <w:rFonts w:ascii="宋体" w:hAnsi="宋体" w:cs="宋体" w:eastAsia="宋体" w:hint="default"/>
                <w:spacing w:val="-14"/>
                <w:sz w:val="18"/>
                <w:szCs w:val="18"/>
              </w:rPr>
              <w:t>（有限合伙）、王亚</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伟、罗晓珊</w:t>
            </w: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承诺期间为</w:t>
            </w:r>
          </w:p>
          <w:p>
            <w:pPr>
              <w:pStyle w:val="TableParagraph"/>
              <w:spacing w:line="240" w:lineRule="auto" w:before="76"/>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年度</w:t>
            </w:r>
            <w:r>
              <w:rPr>
                <w:rFonts w:ascii="宋体" w:hAnsi="宋体" w:cs="宋体" w:eastAsia="宋体" w:hint="default"/>
                <w:spacing w:val="-90"/>
                <w:sz w:val="18"/>
                <w:szCs w:val="18"/>
              </w:rPr>
              <w:t>、</w:t>
            </w:r>
            <w:r>
              <w:rPr>
                <w:rFonts w:ascii="Times New Roman" w:hAnsi="Times New Roman" w:cs="Times New Roman" w:eastAsia="Times New Roman" w:hint="default"/>
                <w:sz w:val="18"/>
                <w:szCs w:val="18"/>
              </w:rPr>
              <w:t>2017</w:t>
            </w:r>
          </w:p>
          <w:p>
            <w:pPr>
              <w:pStyle w:val="TableParagraph"/>
              <w:spacing w:line="307" w:lineRule="auto" w:before="63"/>
              <w:ind w:left="22" w:right="23"/>
              <w:jc w:val="left"/>
              <w:rPr>
                <w:rFonts w:ascii="宋体" w:hAnsi="宋体" w:cs="宋体" w:eastAsia="宋体" w:hint="default"/>
                <w:sz w:val="18"/>
                <w:szCs w:val="18"/>
              </w:rPr>
            </w:pPr>
            <w:r>
              <w:rPr>
                <w:rFonts w:ascii="宋体" w:hAnsi="宋体" w:cs="宋体" w:eastAsia="宋体" w:hint="default"/>
                <w:sz w:val="18"/>
                <w:szCs w:val="18"/>
              </w:rPr>
              <w:t>年度、</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度及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度。</w:t>
            </w:r>
            <w:r>
              <w:rPr>
                <w:rFonts w:ascii="Times New Roman" w:hAnsi="Times New Roman" w:cs="Times New Roman" w:eastAsia="Times New Roman" w:hint="default"/>
                <w:sz w:val="18"/>
                <w:szCs w:val="18"/>
              </w:rPr>
              <w:t>2</w:t>
            </w:r>
            <w:r>
              <w:rPr>
                <w:rFonts w:ascii="宋体" w:hAnsi="宋体" w:cs="宋体" w:eastAsia="宋体" w:hint="default"/>
                <w:sz w:val="18"/>
                <w:szCs w:val="18"/>
              </w:rPr>
              <w:t>、承诺盈 利数交易对方 </w:t>
            </w:r>
            <w:r>
              <w:rPr>
                <w:rFonts w:ascii="宋体" w:hAnsi="宋体" w:cs="宋体" w:eastAsia="宋体" w:hint="default"/>
                <w:spacing w:val="-10"/>
                <w:sz w:val="18"/>
                <w:szCs w:val="18"/>
              </w:rPr>
              <w:t>承诺，标的公司</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0"/>
              <w:ind w:left="22" w:right="143"/>
              <w:jc w:val="both"/>
              <w:rPr>
                <w:rFonts w:ascii="宋体" w:hAnsi="宋体" w:cs="宋体" w:eastAsia="宋体" w:hint="default"/>
                <w:sz w:val="18"/>
                <w:szCs w:val="18"/>
              </w:rPr>
            </w:pPr>
            <w:r>
              <w:rPr>
                <w:rFonts w:ascii="宋体" w:hAnsi="宋体" w:cs="宋体" w:eastAsia="宋体" w:hint="default"/>
                <w:sz w:val="18"/>
                <w:szCs w:val="18"/>
              </w:rPr>
              <w:t>承诺结束日 期：</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年度</w:t>
            </w:r>
            <w:r>
              <w:rPr>
                <w:rFonts w:ascii="宋体" w:hAnsi="宋体" w:cs="宋体" w:eastAsia="宋体" w:hint="default"/>
                <w:spacing w:val="-90"/>
                <w:sz w:val="18"/>
                <w:szCs w:val="18"/>
              </w:rPr>
              <w:t>、</w:t>
            </w:r>
            <w:r>
              <w:rPr>
                <w:rFonts w:ascii="Times New Roman" w:hAnsi="Times New Roman" w:cs="Times New Roman" w:eastAsia="Times New Roman" w:hint="default"/>
                <w:sz w:val="18"/>
                <w:szCs w:val="18"/>
              </w:rPr>
              <w:t>2018</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年度和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度的扣除非经</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常性损益后的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归属于母公司</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8"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nil" w:sz="6" w:space="0" w:color="auto"/>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所有者的净利</w:t>
            </w:r>
          </w:p>
        </w:tc>
        <w:tc>
          <w:tcPr>
            <w:tcW w:w="1126" w:type="dxa"/>
            <w:tcBorders>
              <w:top w:val="nil" w:sz="6" w:space="0" w:color="auto"/>
              <w:left w:val="single" w:sz="4" w:space="0" w:color="000000"/>
              <w:bottom w:val="single" w:sz="4" w:space="0" w:color="000000"/>
              <w:right w:val="single" w:sz="4" w:space="0" w:color="000000"/>
            </w:tcBorders>
          </w:tcPr>
          <w:p>
            <w:pPr/>
          </w:p>
        </w:tc>
        <w:tc>
          <w:tcPr>
            <w:tcW w:w="1121" w:type="dxa"/>
            <w:tcBorders>
              <w:top w:val="nil" w:sz="6" w:space="0" w:color="auto"/>
              <w:left w:val="single" w:sz="4" w:space="0" w:color="000000"/>
              <w:bottom w:val="single" w:sz="4" w:space="0" w:color="000000"/>
              <w:right w:val="single" w:sz="4" w:space="0" w:color="000000"/>
            </w:tcBorders>
          </w:tcPr>
          <w:p>
            <w:pPr/>
          </w:p>
        </w:tc>
        <w:tc>
          <w:tcPr>
            <w:tcW w:w="1108"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43.480011pt;margin-top:72.47998pt;width:80pt;height:407.7pt;mso-position-horizontal-relative:page;mso-position-vertical-relative:page;z-index:-117493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19"/>
                      <w:szCs w:val="19"/>
                    </w:rPr>
                  </w:pPr>
                </w:p>
                <w:p>
                  <w:pPr>
                    <w:pStyle w:val="BodyText"/>
                    <w:spacing w:line="240" w:lineRule="auto"/>
                    <w:ind w:left="0" w:right="0"/>
                    <w:jc w:val="left"/>
                  </w:pPr>
                  <w:r>
                    <w:rPr/>
                    <w:t>万元、</w:t>
                  </w:r>
                </w:p>
              </w:txbxContent>
            </v:textbox>
            <w10:wrap type="none"/>
          </v:shape>
        </w:pict>
      </w:r>
      <w:r>
        <w:rPr/>
        <w:pict>
          <v:group style="position:absolute;margin-left:367.660004pt;margin-top:72.47998pt;width:55.85pt;height:531.950pt;mso-position-horizontal-relative:page;mso-position-vertical-relative:page;z-index:-1174912" coordorigin="7353,1450" coordsize="1117,10639">
            <v:group style="position:absolute;left:7353;top:1450;width:1117;height:8154" coordorigin="7353,1450" coordsize="1117,8154">
              <v:shape style="position:absolute;left:7353;top:1450;width:1117;height:8154" coordorigin="7353,1450" coordsize="1117,8154" path="m7353,9603l8470,9603,8470,1450,7353,1450,7353,9603xe" filled="true" fillcolor="#ffffff" stroked="false">
                <v:path arrowok="t"/>
                <v:fill type="solid"/>
              </v:shape>
            </v:group>
            <v:group style="position:absolute;left:7353;top:9613;width:1117;height:2476" coordorigin="7353,9613" coordsize="1117,2476">
              <v:shape style="position:absolute;left:7353;top:9613;width:1117;height:2476" coordorigin="7353,9613" coordsize="1117,2476" path="m7353,12088l8470,12088,8470,9613,7353,9613,7353,12088xe" filled="true" fillcolor="#ffffff" stroked="false">
                <v:path arrowok="t"/>
                <v:fill type="solid"/>
              </v:shape>
            </v:group>
            <w10:wrap type="none"/>
          </v:group>
        </w:pict>
      </w:r>
      <w:r>
        <w:rPr/>
        <w:pict>
          <v:group style="position:absolute;margin-left:367.660004pt;margin-top:639.639954pt;width:55.85pt;height:123.8pt;mso-position-horizontal-relative:page;mso-position-vertical-relative:page;z-index:-1174888" coordorigin="7353,12793" coordsize="1117,2476">
            <v:shape style="position:absolute;left:7353;top:12793;width:1117;height:2476" coordorigin="7353,12793" coordsize="1117,2476" path="m7353,15269l8470,15269,8470,12793,7353,12793,7353,15269xe" filled="true" fillcolor="#ffffff" stroked="false">
              <v:path arrowok="t"/>
              <v:fill type="solid"/>
            </v:shape>
            <w10:wrap type="none"/>
          </v:group>
        </w:pict>
      </w:r>
    </w:p>
    <w:p>
      <w:pPr>
        <w:spacing w:line="240" w:lineRule="auto" w:before="10"/>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10"/>
      </w:tblGrid>
      <w:tr>
        <w:trPr>
          <w:trHeight w:val="8163"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10"/>
              <w:ind w:left="22" w:right="47"/>
              <w:jc w:val="both"/>
              <w:rPr>
                <w:rFonts w:ascii="Times New Roman" w:hAnsi="Times New Roman" w:cs="Times New Roman" w:eastAsia="Times New Roman" w:hint="default"/>
                <w:sz w:val="18"/>
                <w:szCs w:val="18"/>
              </w:rPr>
            </w:pPr>
            <w:r>
              <w:rPr>
                <w:rFonts w:ascii="宋体" w:hAnsi="宋体" w:cs="宋体" w:eastAsia="宋体" w:hint="default"/>
                <w:sz w:val="18"/>
                <w:szCs w:val="18"/>
              </w:rPr>
              <w:t>润分别为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 </w:t>
            </w:r>
            <w:r>
              <w:rPr>
                <w:rFonts w:ascii="宋体" w:hAnsi="宋体" w:cs="宋体" w:eastAsia="宋体" w:hint="default"/>
                <w:spacing w:val="-10"/>
                <w:sz w:val="18"/>
                <w:szCs w:val="18"/>
              </w:rPr>
              <w:t>元、</w:t>
            </w:r>
            <w:r>
              <w:rPr>
                <w:rFonts w:ascii="Times New Roman" w:hAnsi="Times New Roman" w:cs="Times New Roman" w:eastAsia="Times New Roman" w:hint="default"/>
                <w:spacing w:val="-10"/>
                <w:sz w:val="18"/>
                <w:szCs w:val="18"/>
              </w:rPr>
              <w:t>3,300</w:t>
            </w:r>
          </w:p>
          <w:p>
            <w:pPr>
              <w:pStyle w:val="TableParagraph"/>
              <w:spacing w:line="314" w:lineRule="auto" w:before="13"/>
              <w:ind w:left="22" w:right="2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3 </w:t>
            </w:r>
            <w:r>
              <w:rPr>
                <w:rFonts w:ascii="宋体" w:hAnsi="宋体" w:cs="宋体" w:eastAsia="宋体" w:hint="default"/>
                <w:sz w:val="18"/>
                <w:szCs w:val="18"/>
              </w:rPr>
              <w:t>实际盈利数在 盈利承诺期间 内每一个会计 </w:t>
            </w:r>
            <w:r>
              <w:rPr>
                <w:rFonts w:ascii="宋体" w:hAnsi="宋体" w:cs="宋体" w:eastAsia="宋体" w:hint="default"/>
                <w:spacing w:val="-10"/>
                <w:sz w:val="18"/>
                <w:szCs w:val="18"/>
              </w:rPr>
              <w:t>年度结束后，奥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拓电子将在次 年会计年度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p>
            <w:pPr>
              <w:pStyle w:val="TableParagraph"/>
              <w:spacing w:line="316" w:lineRule="auto" w:before="1"/>
              <w:ind w:left="22" w:right="23"/>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日之前聘 </w:t>
            </w:r>
            <w:r>
              <w:rPr>
                <w:rFonts w:ascii="宋体" w:hAnsi="宋体" w:cs="宋体" w:eastAsia="宋体" w:hint="default"/>
                <w:spacing w:val="-10"/>
                <w:sz w:val="18"/>
                <w:szCs w:val="18"/>
              </w:rPr>
              <w:t>请具有证券、期</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货业务从业资 格的审计机构 对标的公司当 年实际实现的 扣除非经常性 损益后归属于 母公司所有者 的净利润情况 出具专项审核 意见以确定在 盈利承诺期间 内标的公司各 年度的实际盈 利数。</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149" w:right="0"/>
              <w:jc w:val="left"/>
              <w:rPr>
                <w:rFonts w:ascii="宋体" w:hAnsi="宋体" w:cs="宋体" w:eastAsia="宋体" w:hint="default"/>
                <w:sz w:val="18"/>
                <w:szCs w:val="18"/>
              </w:rPr>
            </w:pPr>
            <w:r>
              <w:rPr>
                <w:rFonts w:ascii="宋体" w:hAnsi="宋体" w:cs="宋体" w:eastAsia="宋体" w:hint="default"/>
                <w:sz w:val="18"/>
                <w:szCs w:val="18"/>
              </w:rPr>
              <w:t>、</w:t>
            </w: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5667"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316" w:lineRule="auto"/>
              <w:ind w:left="23" w:right="21"/>
              <w:jc w:val="left"/>
              <w:rPr>
                <w:rFonts w:ascii="宋体" w:hAnsi="宋体" w:cs="宋体" w:eastAsia="宋体" w:hint="default"/>
                <w:sz w:val="18"/>
                <w:szCs w:val="18"/>
              </w:rPr>
            </w:pPr>
            <w:r>
              <w:rPr>
                <w:rFonts w:ascii="宋体" w:hAnsi="宋体" w:cs="宋体" w:eastAsia="宋体" w:hint="default"/>
                <w:sz w:val="18"/>
                <w:szCs w:val="18"/>
              </w:rPr>
              <w:t>沈永健、周维君、 广州中照龙腾资产 管理合伙企业（有 </w:t>
            </w:r>
            <w:r>
              <w:rPr>
                <w:rFonts w:ascii="宋体" w:hAnsi="宋体" w:cs="宋体" w:eastAsia="宋体" w:hint="default"/>
                <w:spacing w:val="-14"/>
                <w:sz w:val="18"/>
                <w:szCs w:val="18"/>
              </w:rPr>
              <w:t>限合伙）、深圳前海</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汉华源投资企业</w:t>
            </w:r>
          </w:p>
          <w:p>
            <w:pPr>
              <w:pStyle w:val="TableParagraph"/>
              <w:spacing w:line="319" w:lineRule="auto" w:before="19"/>
              <w:ind w:left="23" w:right="21"/>
              <w:jc w:val="left"/>
              <w:rPr>
                <w:rFonts w:ascii="宋体" w:hAnsi="宋体" w:cs="宋体" w:eastAsia="宋体" w:hint="default"/>
                <w:sz w:val="18"/>
                <w:szCs w:val="18"/>
              </w:rPr>
            </w:pPr>
            <w:r>
              <w:rPr>
                <w:rFonts w:ascii="宋体" w:hAnsi="宋体" w:cs="宋体" w:eastAsia="宋体" w:hint="default"/>
                <w:spacing w:val="-14"/>
                <w:sz w:val="18"/>
                <w:szCs w:val="18"/>
              </w:rPr>
              <w:t>（有限合伙）、王亚</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伟、罗晓珊</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pacing w:val="-10"/>
                <w:sz w:val="18"/>
                <w:szCs w:val="18"/>
              </w:rPr>
              <w:t>一、关于避免同</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业竞争的承诺 为了避免与奥 拓电子可能产 生的同业竞争 沈永健、周维 </w:t>
            </w:r>
            <w:r>
              <w:rPr>
                <w:rFonts w:ascii="宋体" w:hAnsi="宋体" w:cs="宋体" w:eastAsia="宋体" w:hint="default"/>
                <w:spacing w:val="-10"/>
                <w:sz w:val="18"/>
                <w:szCs w:val="18"/>
              </w:rPr>
              <w:t>君、王亚伟、罗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晓珊、汉华源投</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资出具了《关于</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避免同业竞争 </w:t>
            </w:r>
            <w:r>
              <w:rPr>
                <w:rFonts w:ascii="宋体" w:hAnsi="宋体" w:cs="宋体" w:eastAsia="宋体" w:hint="default"/>
                <w:spacing w:val="-13"/>
                <w:sz w:val="18"/>
                <w:szCs w:val="18"/>
              </w:rPr>
              <w:t>的承诺函》，具</w:t>
            </w:r>
            <w:r>
              <w:rPr>
                <w:rFonts w:ascii="宋体" w:hAnsi="宋体" w:cs="宋体" w:eastAsia="宋体" w:hint="default"/>
                <w:sz w:val="18"/>
                <w:szCs w:val="18"/>
              </w:rPr>
              <w:t> 体内容如下： </w:t>
            </w: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、截至本承诺</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0"/>
                <w:sz w:val="18"/>
                <w:szCs w:val="18"/>
              </w:rPr>
              <w:t>函出具之日，本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本企业的经 营业务均系通 过千百辉进行 没有在与奥拓</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49"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49" w:right="0"/>
              <w:jc w:val="left"/>
              <w:rPr>
                <w:rFonts w:ascii="宋体" w:hAnsi="宋体" w:cs="宋体" w:eastAsia="宋体" w:hint="default"/>
                <w:sz w:val="18"/>
                <w:szCs w:val="18"/>
              </w:rPr>
            </w:pPr>
            <w:r>
              <w:rPr>
                <w:rFonts w:ascii="宋体" w:hAnsi="宋体" w:cs="宋体" w:eastAsia="宋体" w:hint="default"/>
                <w:sz w:val="18"/>
                <w:szCs w:val="18"/>
              </w:rPr>
              <w:t>，</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43.425995pt;margin-top:72.47998pt;width:80.1pt;height:686.5pt;mso-position-horizontal-relative:page;mso-position-vertical-relative:page;z-index:-117484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pStyle w:val="BodyText"/>
                    <w:spacing w:line="240" w:lineRule="auto" w:before="137"/>
                    <w:ind w:left="0" w:right="0"/>
                    <w:jc w:val="left"/>
                  </w:pPr>
                  <w:r>
                    <w:rPr/>
                    <w:t>投资、</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317"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
        </w:tc>
        <w:tc>
          <w:tcPr>
            <w:tcW w:w="1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电子或千百辉</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存在相同或类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似业务的其他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任何经营实体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中担任任何职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务，没有与千百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辉存在同业竞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争的情形。</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在本人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作为奥拓电子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的股东或董事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期间，本人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企业及本人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企业的关联方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将不拥有、管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理</w:t>
            </w:r>
            <w:r>
              <w:rPr>
                <w:rFonts w:ascii="宋体" w:hAnsi="宋体" w:cs="宋体" w:eastAsia="宋体" w:hint="default"/>
                <w:spacing w:val="-78"/>
                <w:sz w:val="18"/>
                <w:szCs w:val="18"/>
              </w:rPr>
              <w:t>、</w:t>
            </w:r>
            <w:r>
              <w:rPr>
                <w:rFonts w:ascii="宋体" w:hAnsi="宋体" w:cs="宋体" w:eastAsia="宋体" w:hint="default"/>
                <w:sz w:val="18"/>
                <w:szCs w:val="18"/>
              </w:rPr>
              <w:t>控制、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从事其他任何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与奥拓电子及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千百辉从事业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务相同或相近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的任何业务或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项目，亦不参与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拥有、管理、控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制、投资其他任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何与奥拓电子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及千百辉从事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业务相同或相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近的任何业务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或项目，亦不谋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求通过与任何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第三人合资、合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作、联营或采取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租赁经营、承包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经营、委托管理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等方式直接或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间接从事与奥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拓电子及千百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辉构成竞争的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业务。</w:t>
            </w:r>
            <w:r>
              <w:rPr>
                <w:rFonts w:ascii="Times New Roman" w:hAnsi="Times New Roman" w:cs="Times New Roman" w:eastAsia="Times New Roman" w:hint="default"/>
                <w:sz w:val="18"/>
                <w:szCs w:val="18"/>
              </w:rPr>
              <w:t>3</w:t>
            </w:r>
            <w:r>
              <w:rPr>
                <w:rFonts w:ascii="宋体" w:hAnsi="宋体" w:cs="宋体" w:eastAsia="宋体" w:hint="default"/>
                <w:sz w:val="18"/>
                <w:szCs w:val="18"/>
              </w:rPr>
              <w:t>、如本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本企业及本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本企业的关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联方违反上述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承诺的，将立即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停止与奥拓电</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56.459999pt;margin-top:71.759964pt;width:478.95pt;height:688pt;mso-position-horizontal-relative:page;mso-position-vertical-relative:page;z-index:-1174816" coordorigin="1129,1435" coordsize="9579,13760">
            <v:group style="position:absolute;left:1139;top:1450;width:2118;height:13730" coordorigin="1139,1450" coordsize="2118,13730">
              <v:shape style="position:absolute;left:1139;top:1450;width:2118;height:13730" coordorigin="1139,1450" coordsize="2118,13730" path="m1139,15179l3256,15179,3256,1450,1139,1450,1139,15179xe" filled="true" fillcolor="#d2d2d2" stroked="false">
                <v:path arrowok="t"/>
                <v:fill type="solid"/>
              </v:shape>
            </v:group>
            <v:group style="position:absolute;left:1139;top:1445;width:2119;height:2" coordorigin="1139,1445" coordsize="2119,2">
              <v:shape style="position:absolute;left:1139;top:1445;width:2119;height:2" coordorigin="1139,1445" coordsize="2119,0" path="m1139,1445l3257,1445e" filled="false" stroked="true" strokeweight=".48pt" strokecolor="#000000">
                <v:path arrowok="t"/>
              </v:shape>
            </v:group>
            <v:group style="position:absolute;left:3267;top:1445;width:1550;height:2" coordorigin="3267,1445" coordsize="1550,2">
              <v:shape style="position:absolute;left:3267;top:1445;width:1550;height:2" coordorigin="3267,1445" coordsize="1550,0" path="m3267,1445l4816,1445e" filled="false" stroked="true" strokeweight=".48pt" strokecolor="#000000">
                <v:path arrowok="t"/>
              </v:shape>
            </v:group>
            <v:group style="position:absolute;left:4826;top:1445;width:1267;height:2" coordorigin="4826,1445" coordsize="1267,2">
              <v:shape style="position:absolute;left:4826;top:1445;width:1267;height:2" coordorigin="4826,1445" coordsize="1267,0" path="m4826,1445l6092,1445e" filled="false" stroked="true" strokeweight=".48pt" strokecolor="#000000">
                <v:path arrowok="t"/>
              </v:shape>
            </v:group>
            <v:group style="position:absolute;left:7353;top:1450;width:1117;height:13730" coordorigin="7353,1450" coordsize="1117,13730">
              <v:shape style="position:absolute;left:7353;top:1450;width:1117;height:13730" coordorigin="7353,1450" coordsize="1117,13730" path="m7353,15179l8470,15179,8470,1450,7353,1450,7353,15179xe" filled="true" fillcolor="#ffffff" stroked="false">
                <v:path arrowok="t"/>
                <v:fill type="solid"/>
              </v:shape>
            </v:group>
            <v:group style="position:absolute;left:6102;top:1445;width:1242;height:2" coordorigin="6102,1445" coordsize="1242,2">
              <v:shape style="position:absolute;left:6102;top:1445;width:1242;height:2" coordorigin="6102,1445" coordsize="1242,0" path="m6102,1445l7344,1445e" filled="false" stroked="true" strokeweight=".48pt" strokecolor="#000000">
                <v:path arrowok="t"/>
              </v:shape>
            </v:group>
            <v:group style="position:absolute;left:7353;top:1445;width:1117;height:2" coordorigin="7353,1445" coordsize="1117,2">
              <v:shape style="position:absolute;left:7353;top:1445;width:1117;height:2" coordorigin="7353,1445" coordsize="1117,0" path="m7353,1445l8470,1445e" filled="false" stroked="true" strokeweight=".48pt" strokecolor="#000000">
                <v:path arrowok="t"/>
              </v:shape>
            </v:group>
            <v:group style="position:absolute;left:8479;top:1445;width:1112;height:2" coordorigin="8479,1445" coordsize="1112,2">
              <v:shape style="position:absolute;left:8479;top:1445;width:1112;height:2" coordorigin="8479,1445" coordsize="1112,0" path="m8479,1445l9590,1445e" filled="false" stroked="true" strokeweight=".48pt" strokecolor="#000000">
                <v:path arrowok="t"/>
              </v:shape>
            </v:group>
            <v:group style="position:absolute;left:9600;top:1445;width:1098;height:2" coordorigin="9600,1445" coordsize="1098,2">
              <v:shape style="position:absolute;left:9600;top:1445;width:1098;height:2" coordorigin="9600,1445" coordsize="1098,0" path="m9600,1445l10698,1445e" filled="false" stroked="true" strokeweight=".48pt" strokecolor="#000000">
                <v:path arrowok="t"/>
              </v:shape>
            </v:group>
            <v:group style="position:absolute;left:1134;top:1440;width:2;height:13750" coordorigin="1134,1440" coordsize="2,13750">
              <v:shape style="position:absolute;left:1134;top:1440;width:2;height:13750" coordorigin="1134,1440" coordsize="0,13750" path="m1134,1440l1134,15190e" filled="false" stroked="true" strokeweight=".48pt" strokecolor="#000000">
                <v:path arrowok="t"/>
              </v:shape>
            </v:group>
            <v:group style="position:absolute;left:1139;top:15185;width:2119;height:2" coordorigin="1139,15185" coordsize="2119,2">
              <v:shape style="position:absolute;left:1139;top:15185;width:2119;height:2" coordorigin="1139,15185" coordsize="2119,0" path="m1139,15185l3257,15185e" filled="false" stroked="true" strokeweight=".47998pt" strokecolor="#000000">
                <v:path arrowok="t"/>
              </v:shape>
            </v:group>
            <v:group style="position:absolute;left:3262;top:1440;width:2;height:13750" coordorigin="3262,1440" coordsize="2,13750">
              <v:shape style="position:absolute;left:3262;top:1440;width:2;height:13750" coordorigin="3262,1440" coordsize="0,13750" path="m3262,1440l3262,15190e" filled="false" stroked="true" strokeweight=".48pt" strokecolor="#000000">
                <v:path arrowok="t"/>
              </v:shape>
            </v:group>
            <v:group style="position:absolute;left:3267;top:15185;width:1550;height:2" coordorigin="3267,15185" coordsize="1550,2">
              <v:shape style="position:absolute;left:3267;top:15185;width:1550;height:2" coordorigin="3267,15185" coordsize="1550,0" path="m3267,15185l4816,15185e" filled="false" stroked="true" strokeweight=".47998pt" strokecolor="#000000">
                <v:path arrowok="t"/>
              </v:shape>
            </v:group>
            <v:group style="position:absolute;left:4821;top:1440;width:2;height:13750" coordorigin="4821,1440" coordsize="2,13750">
              <v:shape style="position:absolute;left:4821;top:1440;width:2;height:13750" coordorigin="4821,1440" coordsize="0,13750" path="m4821,1440l4821,15190e" filled="false" stroked="true" strokeweight=".48001pt" strokecolor="#000000">
                <v:path arrowok="t"/>
              </v:shape>
            </v:group>
            <v:group style="position:absolute;left:4826;top:15185;width:1267;height:2" coordorigin="4826,15185" coordsize="1267,2">
              <v:shape style="position:absolute;left:4826;top:15185;width:1267;height:2" coordorigin="4826,15185" coordsize="1267,0" path="m4826,15185l6092,15185e" filled="false" stroked="true" strokeweight=".47998pt" strokecolor="#000000">
                <v:path arrowok="t"/>
              </v:shape>
            </v:group>
            <v:group style="position:absolute;left:6097;top:1440;width:2;height:13750" coordorigin="6097,1440" coordsize="2,13750">
              <v:shape style="position:absolute;left:6097;top:1440;width:2;height:13750" coordorigin="6097,1440" coordsize="0,13750" path="m6097,1440l6097,15190e" filled="false" stroked="true" strokeweight=".47998pt" strokecolor="#000000">
                <v:path arrowok="t"/>
              </v:shape>
            </v:group>
            <v:group style="position:absolute;left:6102;top:15185;width:1242;height:2" coordorigin="6102,15185" coordsize="1242,2">
              <v:shape style="position:absolute;left:6102;top:15185;width:1242;height:2" coordorigin="6102,15185" coordsize="1242,0" path="m6102,15185l7344,15185e" filled="false" stroked="true" strokeweight=".47998pt" strokecolor="#000000">
                <v:path arrowok="t"/>
              </v:shape>
            </v:group>
            <v:group style="position:absolute;left:7348;top:1440;width:2;height:13750" coordorigin="7348,1440" coordsize="2,13750">
              <v:shape style="position:absolute;left:7348;top:1440;width:2;height:13750" coordorigin="7348,1440" coordsize="0,13750" path="m7348,1440l7348,15190e" filled="false" stroked="true" strokeweight=".48001pt" strokecolor="#000000">
                <v:path arrowok="t"/>
              </v:shape>
            </v:group>
            <v:group style="position:absolute;left:7353;top:15185;width:1117;height:2" coordorigin="7353,15185" coordsize="1117,2">
              <v:shape style="position:absolute;left:7353;top:15185;width:1117;height:2" coordorigin="7353,15185" coordsize="1117,0" path="m7353,15185l8470,15185e" filled="false" stroked="true" strokeweight=".47998pt" strokecolor="#000000">
                <v:path arrowok="t"/>
              </v:shape>
            </v:group>
            <v:group style="position:absolute;left:8474;top:1440;width:2;height:13750" coordorigin="8474,1440" coordsize="2,13750">
              <v:shape style="position:absolute;left:8474;top:1440;width:2;height:13750" coordorigin="8474,1440" coordsize="0,13750" path="m8474,1440l8474,15190e" filled="false" stroked="true" strokeweight=".48001pt" strokecolor="#000000">
                <v:path arrowok="t"/>
              </v:shape>
            </v:group>
            <v:group style="position:absolute;left:8479;top:15185;width:1112;height:2" coordorigin="8479,15185" coordsize="1112,2">
              <v:shape style="position:absolute;left:8479;top:15185;width:1112;height:2" coordorigin="8479,15185" coordsize="1112,0" path="m8479,15185l9590,15185e" filled="false" stroked="true" strokeweight=".47998pt" strokecolor="#000000">
                <v:path arrowok="t"/>
              </v:shape>
            </v:group>
            <v:group style="position:absolute;left:9595;top:1440;width:2;height:13750" coordorigin="9595,1440" coordsize="2,13750">
              <v:shape style="position:absolute;left:9595;top:1440;width:2;height:13750" coordorigin="9595,1440" coordsize="0,13750" path="m9595,1440l9595,15190e" filled="false" stroked="true" strokeweight=".48001pt" strokecolor="#000000">
                <v:path arrowok="t"/>
              </v:shape>
            </v:group>
            <v:group style="position:absolute;left:9600;top:15185;width:1098;height:2" coordorigin="9600,15185" coordsize="1098,2">
              <v:shape style="position:absolute;left:9600;top:15185;width:1098;height:2" coordorigin="9600,15185" coordsize="1098,0" path="m9600,15185l10698,15185e" filled="false" stroked="true" strokeweight=".47998pt" strokecolor="#000000">
                <v:path arrowok="t"/>
              </v:shape>
            </v:group>
            <v:group style="position:absolute;left:10703;top:1440;width:2;height:13750" coordorigin="10703,1440" coordsize="2,13750">
              <v:shape style="position:absolute;left:10703;top:1440;width:2;height:13750" coordorigin="10703,1440" coordsize="0,13750" path="m10703,1440l10703,15190e" filled="false" stroked="true" strokeweight=".48004pt" strokecolor="#000000">
                <v:path arrowok="t"/>
              </v:shape>
            </v:group>
            <w10:wrap type="none"/>
          </v:group>
        </w:pict>
      </w:r>
    </w:p>
    <w:p>
      <w:pPr>
        <w:spacing w:line="240" w:lineRule="auto" w:before="2"/>
        <w:rPr>
          <w:rFonts w:ascii="Times New Roman" w:hAnsi="Times New Roman" w:cs="Times New Roman" w:eastAsia="Times New Roman" w:hint="default"/>
          <w:sz w:val="14"/>
          <w:szCs w:val="14"/>
        </w:rPr>
      </w:pPr>
    </w:p>
    <w:p>
      <w:pPr>
        <w:pStyle w:val="BodyText"/>
        <w:spacing w:line="314" w:lineRule="auto"/>
        <w:ind w:left="5144" w:right="4502"/>
        <w:jc w:val="left"/>
      </w:pPr>
      <w:r>
        <w:rPr/>
        <w:t>子及千百辉构 成竞争之业务， 并采取必要措 施予以纠正补 救。</w:t>
      </w:r>
      <w:r>
        <w:rPr>
          <w:rFonts w:ascii="Times New Roman" w:hAnsi="Times New Roman" w:cs="Times New Roman" w:eastAsia="Times New Roman" w:hint="default"/>
        </w:rPr>
        <w:t>4</w:t>
      </w:r>
      <w:r>
        <w:rPr/>
        <w:t>、如因本 人</w:t>
      </w:r>
      <w:r>
        <w:rPr>
          <w:rFonts w:ascii="Times New Roman" w:hAnsi="Times New Roman" w:cs="Times New Roman" w:eastAsia="Times New Roman" w:hint="default"/>
        </w:rPr>
        <w:t>/</w:t>
      </w:r>
      <w:r>
        <w:rPr/>
        <w:t>本企业及本 人</w:t>
      </w:r>
      <w:r>
        <w:rPr>
          <w:rFonts w:ascii="Times New Roman" w:hAnsi="Times New Roman" w:cs="Times New Roman" w:eastAsia="Times New Roman" w:hint="default"/>
        </w:rPr>
        <w:t>/</w:t>
      </w:r>
      <w:r>
        <w:rPr/>
        <w:t>本企业的关 联方未履行本 承诺函所作的 承诺而给奥拓 电子造成的一 切损失和后果， 由本人</w:t>
      </w:r>
      <w:r>
        <w:rPr>
          <w:rFonts w:ascii="Times New Roman" w:hAnsi="Times New Roman" w:cs="Times New Roman" w:eastAsia="Times New Roman" w:hint="default"/>
        </w:rPr>
        <w:t>/</w:t>
      </w:r>
      <w:r>
        <w:rPr/>
        <w:t>本企业 承担赔偿责任。 </w:t>
      </w:r>
      <w:r>
        <w:rPr>
          <w:rFonts w:ascii="Times New Roman" w:hAnsi="Times New Roman" w:cs="Times New Roman" w:eastAsia="Times New Roman" w:hint="default"/>
        </w:rPr>
        <w:t>"</w:t>
      </w:r>
      <w:r>
        <w:rPr/>
        <w:t>二、关于减少 和规范关联交 易的承诺为减 少和规范可能 与上市公司发 生的关联交易， 充分保护上市 </w:t>
      </w:r>
      <w:r>
        <w:rPr>
          <w:spacing w:val="-10"/>
        </w:rPr>
        <w:t>公司的利益，沈</w:t>
      </w:r>
      <w:r>
        <w:rPr>
          <w:spacing w:val="-85"/>
        </w:rPr>
        <w:t> </w:t>
      </w:r>
      <w:r>
        <w:rPr>
          <w:spacing w:val="-85"/>
        </w:rPr>
      </w:r>
      <w:r>
        <w:rPr/>
        <w:t>永健、周维君、 王亚伟、罗晓 珊、中照龙腾、 汉华源投资出 具如下承诺： </w:t>
      </w:r>
      <w:r>
        <w:rPr>
          <w:rFonts w:ascii="Times New Roman" w:hAnsi="Times New Roman" w:cs="Times New Roman" w:eastAsia="Times New Roman" w:hint="default"/>
        </w:rPr>
        <w:t>"1</w:t>
      </w:r>
      <w:r>
        <w:rPr/>
        <w:t>、本人</w:t>
      </w:r>
      <w:r>
        <w:rPr>
          <w:rFonts w:ascii="Times New Roman" w:hAnsi="Times New Roman" w:cs="Times New Roman" w:eastAsia="Times New Roman" w:hint="default"/>
        </w:rPr>
        <w:t>/</w:t>
      </w:r>
      <w:r>
        <w:rPr/>
        <w:t>本企 </w:t>
      </w:r>
      <w:r>
        <w:rPr>
          <w:spacing w:val="-10"/>
        </w:rPr>
        <w:t>业将按照《公司</w:t>
      </w:r>
      <w:r>
        <w:rPr>
          <w:spacing w:val="-85"/>
        </w:rPr>
        <w:t> </w:t>
      </w:r>
      <w:r>
        <w:rPr>
          <w:spacing w:val="-85"/>
        </w:rPr>
      </w:r>
      <w:r>
        <w:rPr>
          <w:spacing w:val="-10"/>
        </w:rPr>
        <w:t>法》等法律法规</w:t>
      </w:r>
      <w:r>
        <w:rPr>
          <w:spacing w:val="-85"/>
        </w:rPr>
        <w:t> </w:t>
      </w:r>
      <w:r>
        <w:rPr>
          <w:spacing w:val="-85"/>
        </w:rPr>
      </w:r>
      <w:r>
        <w:rPr/>
        <w:t>以及奥拓电子 </w:t>
      </w:r>
      <w:r>
        <w:rPr>
          <w:spacing w:val="-10"/>
        </w:rPr>
        <w:t>公司章程、千百</w:t>
      </w:r>
      <w:r>
        <w:rPr>
          <w:spacing w:val="-85"/>
        </w:rPr>
        <w:t> </w:t>
      </w:r>
      <w:r>
        <w:rPr>
          <w:spacing w:val="-85"/>
        </w:rPr>
      </w:r>
      <w:r>
        <w:rPr/>
        <w:t>辉章程的有关 规定行使股东 权利；在董事 会、股东大会</w:t>
      </w:r>
      <w:r>
        <w:rPr>
          <w:rFonts w:ascii="Times New Roman" w:hAnsi="Times New Roman" w:cs="Times New Roman" w:eastAsia="Times New Roman" w:hint="default"/>
        </w:rPr>
        <w:t>/ </w:t>
      </w:r>
      <w:r>
        <w:rPr/>
        <w:t>股东会对涉及 本人本企业的 关联交易进行 </w:t>
      </w:r>
      <w:r>
        <w:rPr>
          <w:spacing w:val="-10"/>
        </w:rPr>
        <w:t>表决时，履行回</w:t>
      </w:r>
      <w:r>
        <w:rPr>
          <w:spacing w:val="-85"/>
        </w:rPr>
        <w:t> </w:t>
      </w:r>
      <w:r>
        <w:rPr>
          <w:spacing w:val="-85"/>
        </w:rPr>
      </w:r>
      <w:r>
        <w:rPr/>
        <w:t>避表决的义务。 </w:t>
      </w:r>
      <w:r>
        <w:rPr>
          <w:rFonts w:ascii="Times New Roman" w:hAnsi="Times New Roman" w:cs="Times New Roman" w:eastAsia="Times New Roman" w:hint="default"/>
          <w:spacing w:val="-4"/>
        </w:rPr>
        <w:t>2</w:t>
      </w:r>
      <w:r>
        <w:rPr>
          <w:spacing w:val="-4"/>
        </w:rPr>
        <w:t>、本人</w:t>
      </w:r>
      <w:r>
        <w:rPr>
          <w:rFonts w:ascii="Times New Roman" w:hAnsi="Times New Roman" w:cs="Times New Roman" w:eastAsia="Times New Roman" w:hint="default"/>
          <w:spacing w:val="-4"/>
        </w:rPr>
        <w:t>/</w:t>
      </w:r>
      <w:r>
        <w:rPr>
          <w:spacing w:val="-4"/>
        </w:rPr>
        <w:t>本企业</w:t>
      </w:r>
      <w:r>
        <w:rPr>
          <w:spacing w:val="-84"/>
        </w:rPr>
        <w:t> </w:t>
      </w:r>
      <w:r>
        <w:rPr/>
        <w:t>及本人</w:t>
      </w:r>
      <w:r>
        <w:rPr>
          <w:rFonts w:ascii="Times New Roman" w:hAnsi="Times New Roman" w:cs="Times New Roman" w:eastAsia="Times New Roman" w:hint="default"/>
        </w:rPr>
        <w:t>/</w:t>
      </w:r>
      <w:r>
        <w:rPr/>
        <w:t>本企业 的关联方将杜</w:t>
      </w:r>
    </w:p>
    <w:p>
      <w:pPr>
        <w:spacing w:after="0" w:line="314" w:lineRule="auto"/>
        <w:jc w:val="left"/>
        <w:sectPr>
          <w:pgSz w:w="11910" w:h="16840"/>
          <w:pgMar w:header="747" w:footer="979" w:top="1060" w:bottom="1160" w:left="980" w:right="0"/>
        </w:sectPr>
      </w:pPr>
    </w:p>
    <w:p>
      <w:pPr>
        <w:spacing w:line="240" w:lineRule="auto" w:before="8"/>
        <w:rPr>
          <w:rFonts w:ascii="宋体" w:hAnsi="宋体" w:cs="宋体" w:eastAsia="宋体" w:hint="default"/>
          <w:sz w:val="26"/>
          <w:szCs w:val="26"/>
        </w:rPr>
      </w:pPr>
      <w:r>
        <w:rPr/>
        <w:pict>
          <v:shape style="position:absolute;margin-left:361.480011pt;margin-top:72.47998pt;width:62pt;height:686.5pt;mso-position-horizontal-relative:page;mso-position-vertical-relative:page;z-index:-117479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9"/>
                      <w:szCs w:val="19"/>
                    </w:rPr>
                  </w:pPr>
                </w:p>
                <w:p>
                  <w:pPr>
                    <w:pStyle w:val="BodyText"/>
                    <w:spacing w:line="240" w:lineRule="auto"/>
                    <w:ind w:left="0" w:right="0"/>
                    <w:jc w:val="left"/>
                  </w:pPr>
                  <w:r>
                    <w:rPr/>
                    <w:t>、</w:t>
                  </w:r>
                </w:p>
              </w:txbxContent>
            </v:textbox>
            <w10:wrap type="none"/>
          </v:shape>
        </w:pict>
      </w:r>
      <w:r>
        <w:rPr/>
        <w:pict>
          <v:group style="position:absolute;margin-left:56.459999pt;margin-top:71.759964pt;width:478.95pt;height:688pt;mso-position-horizontal-relative:page;mso-position-vertical-relative:page;z-index:-1174768" coordorigin="1129,1435" coordsize="9579,13760">
            <v:group style="position:absolute;left:1139;top:1450;width:2118;height:13730" coordorigin="1139,1450" coordsize="2118,13730">
              <v:shape style="position:absolute;left:1139;top:1450;width:2118;height:13730" coordorigin="1139,1450" coordsize="2118,13730" path="m1139,15179l3256,15179,3256,1450,1139,1450,1139,15179xe" filled="true" fillcolor="#d2d2d2" stroked="false">
                <v:path arrowok="t"/>
                <v:fill type="solid"/>
              </v:shape>
            </v:group>
            <v:group style="position:absolute;left:1139;top:1445;width:2119;height:2" coordorigin="1139,1445" coordsize="2119,2">
              <v:shape style="position:absolute;left:1139;top:1445;width:2119;height:2" coordorigin="1139,1445" coordsize="2119,0" path="m1139,1445l3257,1445e" filled="false" stroked="true" strokeweight=".48pt" strokecolor="#000000">
                <v:path arrowok="t"/>
              </v:shape>
            </v:group>
            <v:group style="position:absolute;left:3267;top:1445;width:1550;height:2" coordorigin="3267,1445" coordsize="1550,2">
              <v:shape style="position:absolute;left:3267;top:1445;width:1550;height:2" coordorigin="3267,1445" coordsize="1550,0" path="m3267,1445l4816,1445e" filled="false" stroked="true" strokeweight=".48pt" strokecolor="#000000">
                <v:path arrowok="t"/>
              </v:shape>
            </v:group>
            <v:group style="position:absolute;left:4826;top:1445;width:1267;height:2" coordorigin="4826,1445" coordsize="1267,2">
              <v:shape style="position:absolute;left:4826;top:1445;width:1267;height:2" coordorigin="4826,1445" coordsize="1267,0" path="m4826,1445l6092,1445e" filled="false" stroked="true" strokeweight=".48pt" strokecolor="#000000">
                <v:path arrowok="t"/>
              </v:shape>
            </v:group>
            <v:group style="position:absolute;left:7353;top:1450;width:1117;height:13730" coordorigin="7353,1450" coordsize="1117,13730">
              <v:shape style="position:absolute;left:7353;top:1450;width:1117;height:13730" coordorigin="7353,1450" coordsize="1117,13730" path="m7353,15179l8470,15179,8470,1450,7353,1450,7353,15179xe" filled="true" fillcolor="#ffffff" stroked="false">
                <v:path arrowok="t"/>
                <v:fill type="solid"/>
              </v:shape>
            </v:group>
            <v:group style="position:absolute;left:6102;top:1445;width:1242;height:2" coordorigin="6102,1445" coordsize="1242,2">
              <v:shape style="position:absolute;left:6102;top:1445;width:1242;height:2" coordorigin="6102,1445" coordsize="1242,0" path="m6102,1445l7344,1445e" filled="false" stroked="true" strokeweight=".48pt" strokecolor="#000000">
                <v:path arrowok="t"/>
              </v:shape>
            </v:group>
            <v:group style="position:absolute;left:7353;top:1445;width:1117;height:2" coordorigin="7353,1445" coordsize="1117,2">
              <v:shape style="position:absolute;left:7353;top:1445;width:1117;height:2" coordorigin="7353,1445" coordsize="1117,0" path="m7353,1445l8470,1445e" filled="false" stroked="true" strokeweight=".48pt" strokecolor="#000000">
                <v:path arrowok="t"/>
              </v:shape>
            </v:group>
            <v:group style="position:absolute;left:8479;top:1445;width:1112;height:2" coordorigin="8479,1445" coordsize="1112,2">
              <v:shape style="position:absolute;left:8479;top:1445;width:1112;height:2" coordorigin="8479,1445" coordsize="1112,0" path="m8479,1445l9590,1445e" filled="false" stroked="true" strokeweight=".48pt" strokecolor="#000000">
                <v:path arrowok="t"/>
              </v:shape>
            </v:group>
            <v:group style="position:absolute;left:9600;top:1445;width:1098;height:2" coordorigin="9600,1445" coordsize="1098,2">
              <v:shape style="position:absolute;left:9600;top:1445;width:1098;height:2" coordorigin="9600,1445" coordsize="1098,0" path="m9600,1445l10698,1445e" filled="false" stroked="true" strokeweight=".48pt" strokecolor="#000000">
                <v:path arrowok="t"/>
              </v:shape>
            </v:group>
            <v:group style="position:absolute;left:1134;top:1440;width:2;height:13750" coordorigin="1134,1440" coordsize="2,13750">
              <v:shape style="position:absolute;left:1134;top:1440;width:2;height:13750" coordorigin="1134,1440" coordsize="0,13750" path="m1134,1440l1134,15190e" filled="false" stroked="true" strokeweight=".48pt" strokecolor="#000000">
                <v:path arrowok="t"/>
              </v:shape>
            </v:group>
            <v:group style="position:absolute;left:1139;top:15185;width:2119;height:2" coordorigin="1139,15185" coordsize="2119,2">
              <v:shape style="position:absolute;left:1139;top:15185;width:2119;height:2" coordorigin="1139,15185" coordsize="2119,0" path="m1139,15185l3257,15185e" filled="false" stroked="true" strokeweight=".47998pt" strokecolor="#000000">
                <v:path arrowok="t"/>
              </v:shape>
            </v:group>
            <v:group style="position:absolute;left:3262;top:1440;width:2;height:13750" coordorigin="3262,1440" coordsize="2,13750">
              <v:shape style="position:absolute;left:3262;top:1440;width:2;height:13750" coordorigin="3262,1440" coordsize="0,13750" path="m3262,1440l3262,15190e" filled="false" stroked="true" strokeweight=".48pt" strokecolor="#000000">
                <v:path arrowok="t"/>
              </v:shape>
            </v:group>
            <v:group style="position:absolute;left:3267;top:15185;width:1550;height:2" coordorigin="3267,15185" coordsize="1550,2">
              <v:shape style="position:absolute;left:3267;top:15185;width:1550;height:2" coordorigin="3267,15185" coordsize="1550,0" path="m3267,15185l4816,15185e" filled="false" stroked="true" strokeweight=".47998pt" strokecolor="#000000">
                <v:path arrowok="t"/>
              </v:shape>
            </v:group>
            <v:group style="position:absolute;left:4821;top:1440;width:2;height:13750" coordorigin="4821,1440" coordsize="2,13750">
              <v:shape style="position:absolute;left:4821;top:1440;width:2;height:13750" coordorigin="4821,1440" coordsize="0,13750" path="m4821,1440l4821,15190e" filled="false" stroked="true" strokeweight=".48001pt" strokecolor="#000000">
                <v:path arrowok="t"/>
              </v:shape>
            </v:group>
            <v:group style="position:absolute;left:4826;top:15185;width:1267;height:2" coordorigin="4826,15185" coordsize="1267,2">
              <v:shape style="position:absolute;left:4826;top:15185;width:1267;height:2" coordorigin="4826,15185" coordsize="1267,0" path="m4826,15185l6092,15185e" filled="false" stroked="true" strokeweight=".47998pt" strokecolor="#000000">
                <v:path arrowok="t"/>
              </v:shape>
            </v:group>
            <v:group style="position:absolute;left:6097;top:1440;width:2;height:13750" coordorigin="6097,1440" coordsize="2,13750">
              <v:shape style="position:absolute;left:6097;top:1440;width:2;height:13750" coordorigin="6097,1440" coordsize="0,13750" path="m6097,1440l6097,15190e" filled="false" stroked="true" strokeweight=".47998pt" strokecolor="#000000">
                <v:path arrowok="t"/>
              </v:shape>
            </v:group>
            <v:group style="position:absolute;left:6102;top:15185;width:1242;height:2" coordorigin="6102,15185" coordsize="1242,2">
              <v:shape style="position:absolute;left:6102;top:15185;width:1242;height:2" coordorigin="6102,15185" coordsize="1242,0" path="m6102,15185l7344,15185e" filled="false" stroked="true" strokeweight=".47998pt" strokecolor="#000000">
                <v:path arrowok="t"/>
              </v:shape>
            </v:group>
            <v:group style="position:absolute;left:7348;top:1440;width:2;height:13750" coordorigin="7348,1440" coordsize="2,13750">
              <v:shape style="position:absolute;left:7348;top:1440;width:2;height:13750" coordorigin="7348,1440" coordsize="0,13750" path="m7348,1440l7348,15190e" filled="false" stroked="true" strokeweight=".48001pt" strokecolor="#000000">
                <v:path arrowok="t"/>
              </v:shape>
            </v:group>
            <v:group style="position:absolute;left:7353;top:15185;width:1117;height:2" coordorigin="7353,15185" coordsize="1117,2">
              <v:shape style="position:absolute;left:7353;top:15185;width:1117;height:2" coordorigin="7353,15185" coordsize="1117,0" path="m7353,15185l8470,15185e" filled="false" stroked="true" strokeweight=".47998pt" strokecolor="#000000">
                <v:path arrowok="t"/>
              </v:shape>
            </v:group>
            <v:group style="position:absolute;left:8474;top:1440;width:2;height:13750" coordorigin="8474,1440" coordsize="2,13750">
              <v:shape style="position:absolute;left:8474;top:1440;width:2;height:13750" coordorigin="8474,1440" coordsize="0,13750" path="m8474,1440l8474,15190e" filled="false" stroked="true" strokeweight=".48001pt" strokecolor="#000000">
                <v:path arrowok="t"/>
              </v:shape>
            </v:group>
            <v:group style="position:absolute;left:8479;top:15185;width:1112;height:2" coordorigin="8479,15185" coordsize="1112,2">
              <v:shape style="position:absolute;left:8479;top:15185;width:1112;height:2" coordorigin="8479,15185" coordsize="1112,0" path="m8479,15185l9590,15185e" filled="false" stroked="true" strokeweight=".47998pt" strokecolor="#000000">
                <v:path arrowok="t"/>
              </v:shape>
            </v:group>
            <v:group style="position:absolute;left:9595;top:1440;width:2;height:13750" coordorigin="9595,1440" coordsize="2,13750">
              <v:shape style="position:absolute;left:9595;top:1440;width:2;height:13750" coordorigin="9595,1440" coordsize="0,13750" path="m9595,1440l9595,15190e" filled="false" stroked="true" strokeweight=".48001pt" strokecolor="#000000">
                <v:path arrowok="t"/>
              </v:shape>
            </v:group>
            <v:group style="position:absolute;left:9600;top:15185;width:1098;height:2" coordorigin="9600,15185" coordsize="1098,2">
              <v:shape style="position:absolute;left:9600;top:15185;width:1098;height:2" coordorigin="9600,15185" coordsize="1098,0" path="m9600,15185l10698,15185e" filled="false" stroked="true" strokeweight=".47998pt" strokecolor="#000000">
                <v:path arrowok="t"/>
              </v:shape>
            </v:group>
            <v:group style="position:absolute;left:10703;top:1440;width:2;height:13750" coordorigin="10703,1440" coordsize="2,13750">
              <v:shape style="position:absolute;left:10703;top:1440;width:2;height:13750" coordorigin="10703,1440" coordsize="0,13750" path="m10703,1440l10703,15190e" filled="false" stroked="true" strokeweight=".48004pt" strokecolor="#000000">
                <v:path arrowok="t"/>
              </v:shape>
            </v:group>
            <w10:wrap type="none"/>
          </v:group>
        </w:pict>
      </w:r>
    </w:p>
    <w:p>
      <w:pPr>
        <w:pStyle w:val="BodyText"/>
        <w:spacing w:line="314" w:lineRule="auto" w:before="44"/>
        <w:ind w:left="5144" w:right="4502"/>
        <w:jc w:val="left"/>
      </w:pPr>
      <w:r>
        <w:rPr/>
        <w:t>绝一切非法占 用奥拓电子及 千百辉的资金、 资产及其他资 </w:t>
      </w:r>
      <w:r>
        <w:rPr>
          <w:spacing w:val="-10"/>
        </w:rPr>
        <w:t>源的行为，在任</w:t>
      </w:r>
      <w:r>
        <w:rPr>
          <w:spacing w:val="-85"/>
        </w:rPr>
        <w:t> </w:t>
      </w:r>
      <w:r>
        <w:rPr>
          <w:spacing w:val="-85"/>
        </w:rPr>
      </w:r>
      <w:r>
        <w:rPr>
          <w:spacing w:val="-10"/>
        </w:rPr>
        <w:t>何情况下，不要</w:t>
      </w:r>
      <w:r>
        <w:rPr>
          <w:spacing w:val="-85"/>
        </w:rPr>
        <w:t> </w:t>
      </w:r>
      <w:r>
        <w:rPr>
          <w:spacing w:val="-85"/>
        </w:rPr>
      </w:r>
      <w:r>
        <w:rPr/>
        <w:t>求奥拓电子及 千百辉向本人</w:t>
      </w:r>
      <w:r>
        <w:rPr>
          <w:rFonts w:ascii="Times New Roman" w:hAnsi="Times New Roman" w:cs="Times New Roman" w:eastAsia="Times New Roman" w:hint="default"/>
        </w:rPr>
        <w:t>/ </w:t>
      </w:r>
      <w:r>
        <w:rPr/>
        <w:t>本企业及本人</w:t>
      </w:r>
      <w:r>
        <w:rPr>
          <w:rFonts w:ascii="Times New Roman" w:hAnsi="Times New Roman" w:cs="Times New Roman" w:eastAsia="Times New Roman" w:hint="default"/>
        </w:rPr>
        <w:t>/ </w:t>
      </w:r>
      <w:r>
        <w:rPr/>
        <w:t>本企业投资或 控制的其他企 业提供任何形 式的担保。</w:t>
      </w:r>
      <w:r>
        <w:rPr>
          <w:rFonts w:ascii="Times New Roman" w:hAnsi="Times New Roman" w:cs="Times New Roman" w:eastAsia="Times New Roman" w:hint="default"/>
        </w:rPr>
        <w:t>3</w:t>
      </w:r>
      <w:r>
        <w:rPr/>
        <w:t>、 本人</w:t>
      </w:r>
      <w:r>
        <w:rPr>
          <w:rFonts w:ascii="Times New Roman" w:hAnsi="Times New Roman" w:cs="Times New Roman" w:eastAsia="Times New Roman" w:hint="default"/>
        </w:rPr>
        <w:t>/</w:t>
      </w:r>
      <w:r>
        <w:rPr/>
        <w:t>本企业及 本人</w:t>
      </w:r>
      <w:r>
        <w:rPr>
          <w:rFonts w:ascii="Times New Roman" w:hAnsi="Times New Roman" w:cs="Times New Roman" w:eastAsia="Times New Roman" w:hint="default"/>
        </w:rPr>
        <w:t>/</w:t>
      </w:r>
      <w:r>
        <w:rPr/>
        <w:t>本企业的 关联方将尽可 能地避免和减 少与奥拓电子 及千百辉的关 </w:t>
      </w:r>
      <w:r>
        <w:rPr>
          <w:spacing w:val="-10"/>
        </w:rPr>
        <w:t>联交易，对于无</w:t>
      </w:r>
      <w:r>
        <w:rPr>
          <w:spacing w:val="-85"/>
        </w:rPr>
        <w:t> </w:t>
      </w:r>
      <w:r>
        <w:rPr>
          <w:spacing w:val="-85"/>
        </w:rPr>
      </w:r>
      <w:r>
        <w:rPr/>
        <w:t>法避免或者有 合理原因而发 生的关联交易， 将遵循市场公 </w:t>
      </w:r>
      <w:r>
        <w:rPr>
          <w:spacing w:val="-10"/>
        </w:rPr>
        <w:t>正、公平、公开</w:t>
      </w:r>
      <w:r>
        <w:rPr>
          <w:spacing w:val="-86"/>
        </w:rPr>
        <w:t> </w:t>
      </w:r>
      <w:r>
        <w:rPr>
          <w:spacing w:val="-86"/>
        </w:rPr>
      </w:r>
      <w:r>
        <w:rPr>
          <w:spacing w:val="-10"/>
        </w:rPr>
        <w:t>的原则，并依法</w:t>
      </w:r>
      <w:r>
        <w:rPr>
          <w:spacing w:val="-85"/>
        </w:rPr>
        <w:t> </w:t>
      </w:r>
      <w:r>
        <w:rPr>
          <w:spacing w:val="-85"/>
        </w:rPr>
      </w:r>
      <w:r>
        <w:rPr>
          <w:spacing w:val="-10"/>
        </w:rPr>
        <w:t>签订协议，履行</w:t>
      </w:r>
      <w:r>
        <w:rPr>
          <w:spacing w:val="-85"/>
        </w:rPr>
        <w:t> </w:t>
      </w:r>
      <w:r>
        <w:rPr>
          <w:spacing w:val="-85"/>
        </w:rPr>
      </w:r>
      <w:r>
        <w:rPr>
          <w:spacing w:val="-10"/>
        </w:rPr>
        <w:t>合法程序，按照</w:t>
      </w:r>
      <w:r>
        <w:rPr>
          <w:spacing w:val="-85"/>
        </w:rPr>
        <w:t> </w:t>
      </w:r>
      <w:r>
        <w:rPr>
          <w:spacing w:val="-85"/>
        </w:rPr>
      </w:r>
      <w:r>
        <w:rPr/>
        <w:t>奥拓电子公司 </w:t>
      </w:r>
      <w:r>
        <w:rPr>
          <w:spacing w:val="-10"/>
        </w:rPr>
        <w:t>章程、有关法律</w:t>
      </w:r>
      <w:r>
        <w:rPr>
          <w:spacing w:val="-85"/>
        </w:rPr>
        <w:t> </w:t>
      </w:r>
      <w:r>
        <w:rPr>
          <w:spacing w:val="-85"/>
        </w:rPr>
      </w:r>
      <w:r>
        <w:rPr>
          <w:spacing w:val="-10"/>
        </w:rPr>
        <w:t>法规和《上市规</w:t>
      </w:r>
      <w:r>
        <w:rPr>
          <w:spacing w:val="-85"/>
        </w:rPr>
        <w:t> </w:t>
      </w:r>
      <w:r>
        <w:rPr>
          <w:spacing w:val="-85"/>
        </w:rPr>
      </w:r>
      <w:r>
        <w:rPr>
          <w:spacing w:val="-10"/>
        </w:rPr>
        <w:t>则》等有关规定</w:t>
      </w:r>
      <w:r>
        <w:rPr>
          <w:spacing w:val="-85"/>
        </w:rPr>
        <w:t> </w:t>
      </w:r>
      <w:r>
        <w:rPr>
          <w:spacing w:val="-85"/>
        </w:rPr>
      </w:r>
      <w:r>
        <w:rPr/>
        <w:t>履行信息披露 义务和办理有 </w:t>
      </w:r>
      <w:r>
        <w:rPr>
          <w:spacing w:val="-10"/>
        </w:rPr>
        <w:t>关报批程序。</w:t>
      </w:r>
      <w:r>
        <w:rPr>
          <w:rFonts w:ascii="Times New Roman" w:hAnsi="Times New Roman" w:cs="Times New Roman" w:eastAsia="Times New Roman" w:hint="default"/>
          <w:spacing w:val="-10"/>
        </w:rPr>
        <w:t>4</w:t>
      </w:r>
      <w:r>
        <w:rPr>
          <w:rFonts w:ascii="Times New Roman" w:hAnsi="Times New Roman" w:cs="Times New Roman" w:eastAsia="Times New Roman" w:hint="default"/>
          <w:spacing w:val="-40"/>
        </w:rPr>
        <w:t> </w:t>
      </w:r>
      <w:r>
        <w:rPr/>
        <w:t>本人</w:t>
      </w:r>
      <w:r>
        <w:rPr>
          <w:rFonts w:ascii="Times New Roman" w:hAnsi="Times New Roman" w:cs="Times New Roman" w:eastAsia="Times New Roman" w:hint="default"/>
        </w:rPr>
        <w:t>/</w:t>
      </w:r>
      <w:r>
        <w:rPr/>
        <w:t>本企业及 本人</w:t>
      </w:r>
      <w:r>
        <w:rPr>
          <w:rFonts w:ascii="Times New Roman" w:hAnsi="Times New Roman" w:cs="Times New Roman" w:eastAsia="Times New Roman" w:hint="default"/>
        </w:rPr>
        <w:t>/</w:t>
      </w:r>
      <w:r>
        <w:rPr/>
        <w:t>本企业的 关联方保证不 通过关联交易 损害奥拓电子 及其他股东的 合法权益。</w:t>
      </w:r>
      <w:r>
        <w:rPr>
          <w:rFonts w:ascii="Times New Roman" w:hAnsi="Times New Roman" w:cs="Times New Roman" w:eastAsia="Times New Roman" w:hint="default"/>
        </w:rPr>
        <w:t>5</w:t>
      </w:r>
      <w:r>
        <w:rPr/>
        <w:t>、 如因本人</w:t>
      </w:r>
      <w:r>
        <w:rPr>
          <w:rFonts w:ascii="Times New Roman" w:hAnsi="Times New Roman" w:cs="Times New Roman" w:eastAsia="Times New Roman" w:hint="default"/>
        </w:rPr>
        <w:t>/</w:t>
      </w:r>
      <w:r>
        <w:rPr/>
        <w:t>本企 业及本人</w:t>
      </w:r>
      <w:r>
        <w:rPr>
          <w:rFonts w:ascii="Times New Roman" w:hAnsi="Times New Roman" w:cs="Times New Roman" w:eastAsia="Times New Roman" w:hint="default"/>
        </w:rPr>
        <w:t>/</w:t>
      </w:r>
      <w:r>
        <w:rPr/>
        <w:t>本企</w:t>
      </w:r>
    </w:p>
    <w:p>
      <w:pPr>
        <w:spacing w:after="0" w:line="314" w:lineRule="auto"/>
        <w:jc w:val="left"/>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499.23999pt;width:55.85pt;height:264.2pt;mso-position-horizontal-relative:page;mso-position-vertical-relative:page;z-index:-1174744" coordorigin="7353,9985" coordsize="1117,5284">
            <v:shape style="position:absolute;left:7353;top:9985;width:1117;height:5284" coordorigin="7353,9985" coordsize="1117,5284" path="m7353,15269l8470,15269,8470,9985,7353,9985,7353,15269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10"/>
      </w:tblGrid>
      <w:tr>
        <w:trPr>
          <w:trHeight w:val="2547"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both"/>
              <w:rPr>
                <w:rFonts w:ascii="宋体" w:hAnsi="宋体" w:cs="宋体" w:eastAsia="宋体" w:hint="default"/>
                <w:sz w:val="18"/>
                <w:szCs w:val="18"/>
              </w:rPr>
            </w:pPr>
            <w:r>
              <w:rPr>
                <w:rFonts w:ascii="宋体" w:hAnsi="宋体" w:cs="宋体" w:eastAsia="宋体" w:hint="default"/>
                <w:sz w:val="18"/>
                <w:szCs w:val="18"/>
              </w:rPr>
              <w:t>业的关联方未 履行本承诺函 所作的承诺而 给奥拓电子造 成的一切损失 </w:t>
            </w:r>
            <w:r>
              <w:rPr>
                <w:rFonts w:ascii="宋体" w:hAnsi="宋体" w:cs="宋体" w:eastAsia="宋体" w:hint="default"/>
                <w:spacing w:val="-10"/>
                <w:sz w:val="18"/>
                <w:szCs w:val="18"/>
              </w:rPr>
              <w:t>和后果，由本人</w:t>
            </w:r>
          </w:p>
          <w:p>
            <w:pPr>
              <w:pStyle w:val="TableParagraph"/>
              <w:spacing w:line="302" w:lineRule="auto" w:before="19"/>
              <w:ind w:left="22" w:right="86"/>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本企业承担赔 偿责任。</w:t>
            </w:r>
            <w:r>
              <w:rPr>
                <w:rFonts w:ascii="Times New Roman" w:hAnsi="Times New Roman" w:cs="Times New Roman" w:eastAsia="Times New Roman"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1283"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6" w:lineRule="auto"/>
              <w:ind w:left="23" w:right="21"/>
              <w:jc w:val="left"/>
              <w:rPr>
                <w:rFonts w:ascii="宋体" w:hAnsi="宋体" w:cs="宋体" w:eastAsia="宋体" w:hint="default"/>
                <w:sz w:val="18"/>
                <w:szCs w:val="18"/>
              </w:rPr>
            </w:pPr>
            <w:r>
              <w:rPr>
                <w:rFonts w:ascii="宋体" w:hAnsi="宋体" w:cs="宋体" w:eastAsia="宋体" w:hint="default"/>
                <w:sz w:val="18"/>
                <w:szCs w:val="18"/>
              </w:rPr>
              <w:t>沈永健、周维君、 广州中照龙腾资产 管理合伙企业（有 </w:t>
            </w:r>
            <w:r>
              <w:rPr>
                <w:rFonts w:ascii="宋体" w:hAnsi="宋体" w:cs="宋体" w:eastAsia="宋体" w:hint="default"/>
                <w:spacing w:val="-14"/>
                <w:sz w:val="18"/>
                <w:szCs w:val="18"/>
              </w:rPr>
              <w:t>限合伙）、深圳前海</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汉华源投资企业</w:t>
            </w:r>
          </w:p>
          <w:p>
            <w:pPr>
              <w:pStyle w:val="TableParagraph"/>
              <w:spacing w:line="319" w:lineRule="auto" w:before="19"/>
              <w:ind w:left="23" w:right="21"/>
              <w:jc w:val="left"/>
              <w:rPr>
                <w:rFonts w:ascii="宋体" w:hAnsi="宋体" w:cs="宋体" w:eastAsia="宋体" w:hint="default"/>
                <w:sz w:val="18"/>
                <w:szCs w:val="18"/>
              </w:rPr>
            </w:pPr>
            <w:r>
              <w:rPr>
                <w:rFonts w:ascii="宋体" w:hAnsi="宋体" w:cs="宋体" w:eastAsia="宋体" w:hint="default"/>
                <w:spacing w:val="-14"/>
                <w:sz w:val="18"/>
                <w:szCs w:val="18"/>
              </w:rPr>
              <w:t>（有限合伙）、王亚</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伟、罗晓珊</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pacing w:val="-10"/>
                <w:sz w:val="18"/>
                <w:szCs w:val="18"/>
              </w:rPr>
              <w:t>一、关于所提供</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信息真实、准 确、完整的承 诺：</w:t>
            </w:r>
            <w:r>
              <w:rPr>
                <w:rFonts w:ascii="Times New Roman" w:hAnsi="Times New Roman" w:cs="Times New Roman" w:eastAsia="Times New Roman" w:hint="default"/>
                <w:sz w:val="18"/>
                <w:szCs w:val="18"/>
              </w:rPr>
              <w:t>"1</w:t>
            </w:r>
            <w:r>
              <w:rPr>
                <w:rFonts w:ascii="宋体" w:hAnsi="宋体" w:cs="宋体" w:eastAsia="宋体" w:hint="default"/>
                <w:sz w:val="18"/>
                <w:szCs w:val="18"/>
              </w:rPr>
              <w:t>、本人</w:t>
            </w:r>
            <w:r>
              <w:rPr>
                <w:rFonts w:ascii="Times New Roman" w:hAnsi="Times New Roman" w:cs="Times New Roman" w:eastAsia="Times New Roman" w:hint="default"/>
                <w:sz w:val="18"/>
                <w:szCs w:val="18"/>
              </w:rPr>
              <w:t>/ </w:t>
            </w:r>
            <w:r>
              <w:rPr>
                <w:rFonts w:ascii="宋体" w:hAnsi="宋体" w:cs="宋体" w:eastAsia="宋体" w:hint="default"/>
                <w:sz w:val="18"/>
                <w:szCs w:val="18"/>
              </w:rPr>
              <w:t>本企业保证为 本次交易所提 供信息的真实 </w:t>
            </w:r>
            <w:r>
              <w:rPr>
                <w:rFonts w:ascii="宋体" w:hAnsi="宋体" w:cs="宋体" w:eastAsia="宋体" w:hint="default"/>
                <w:spacing w:val="-10"/>
                <w:sz w:val="18"/>
                <w:szCs w:val="18"/>
              </w:rPr>
              <w:t>性、准确性和完</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整性，保证不存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在虚假记载、误</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导性陈述或者 </w:t>
            </w:r>
            <w:r>
              <w:rPr>
                <w:rFonts w:ascii="宋体" w:hAnsi="宋体" w:cs="宋体" w:eastAsia="宋体" w:hint="default"/>
                <w:spacing w:val="-10"/>
                <w:sz w:val="18"/>
                <w:szCs w:val="18"/>
              </w:rPr>
              <w:t>重大遗漏，并声</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明承担个别和 连带的法律责 </w:t>
            </w:r>
            <w:r>
              <w:rPr>
                <w:rFonts w:ascii="宋体" w:hAnsi="宋体" w:cs="宋体" w:eastAsia="宋体" w:hint="default"/>
                <w:spacing w:val="-10"/>
                <w:sz w:val="18"/>
                <w:szCs w:val="18"/>
              </w:rPr>
              <w:t>任；同时，本人</w:t>
            </w:r>
          </w:p>
          <w:p>
            <w:pPr>
              <w:pStyle w:val="TableParagraph"/>
              <w:spacing w:line="316" w:lineRule="auto" w:before="19"/>
              <w:ind w:left="22" w:right="-41"/>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本企业不存在 泄漏本次重大 资产重组内幕 信息以及利用 本次重大资产 重组信息进行 内幕交易的情 形。</w:t>
            </w:r>
            <w:r>
              <w:rPr>
                <w:rFonts w:ascii="Times New Roman" w:hAnsi="Times New Roman" w:cs="Times New Roman" w:eastAsia="Times New Roman" w:hint="default"/>
                <w:sz w:val="18"/>
                <w:szCs w:val="18"/>
              </w:rPr>
              <w:t>2</w:t>
            </w:r>
            <w:r>
              <w:rPr>
                <w:rFonts w:ascii="宋体" w:hAnsi="宋体" w:cs="宋体" w:eastAsia="宋体" w:hint="default"/>
                <w:sz w:val="18"/>
                <w:szCs w:val="18"/>
              </w:rPr>
              <w:t>、本人</w:t>
            </w:r>
            <w:r>
              <w:rPr>
                <w:rFonts w:ascii="Times New Roman" w:hAnsi="Times New Roman" w:cs="Times New Roman" w:eastAsia="Times New Roman" w:hint="default"/>
                <w:sz w:val="18"/>
                <w:szCs w:val="18"/>
              </w:rPr>
              <w:t>/ </w:t>
            </w:r>
            <w:r>
              <w:rPr>
                <w:rFonts w:ascii="宋体" w:hAnsi="宋体" w:cs="宋体" w:eastAsia="宋体" w:hint="default"/>
                <w:sz w:val="18"/>
                <w:szCs w:val="18"/>
              </w:rPr>
              <w:t>本企业保证向 参与本次交易 的各中介机构 所提供的资料 均为真实、准 </w:t>
            </w:r>
            <w:r>
              <w:rPr>
                <w:rFonts w:ascii="宋体" w:hAnsi="宋体" w:cs="宋体" w:eastAsia="宋体" w:hint="default"/>
                <w:spacing w:val="-10"/>
                <w:sz w:val="18"/>
                <w:szCs w:val="18"/>
              </w:rPr>
              <w:t>确、完整的原始</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书面资料或副 </w:t>
            </w:r>
            <w:r>
              <w:rPr>
                <w:rFonts w:ascii="宋体" w:hAnsi="宋体" w:cs="宋体" w:eastAsia="宋体" w:hint="default"/>
                <w:spacing w:val="-10"/>
                <w:sz w:val="18"/>
                <w:szCs w:val="18"/>
              </w:rPr>
              <w:t>本资料，资料副</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本或复印件与 其原始资料或 </w:t>
            </w:r>
            <w:r>
              <w:rPr>
                <w:rFonts w:ascii="宋体" w:hAnsi="宋体" w:cs="宋体" w:eastAsia="宋体" w:hint="default"/>
                <w:spacing w:val="-10"/>
                <w:sz w:val="18"/>
                <w:szCs w:val="18"/>
              </w:rPr>
              <w:t>原件一致；所有</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文件的签名、印</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章均是真实的，</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56.459999pt;margin-top:71.759964pt;width:478.95pt;height:688pt;mso-position-horizontal-relative:page;mso-position-vertical-relative:page;z-index:-1174720" coordorigin="1129,1435" coordsize="9579,13760">
            <v:group style="position:absolute;left:1139;top:1450;width:2118;height:13730" coordorigin="1139,1450" coordsize="2118,13730">
              <v:shape style="position:absolute;left:1139;top:1450;width:2118;height:13730" coordorigin="1139,1450" coordsize="2118,13730" path="m1139,15179l3256,15179,3256,1450,1139,1450,1139,15179xe" filled="true" fillcolor="#d2d2d2" stroked="false">
                <v:path arrowok="t"/>
                <v:fill type="solid"/>
              </v:shape>
            </v:group>
            <v:group style="position:absolute;left:1139;top:1445;width:2119;height:2" coordorigin="1139,1445" coordsize="2119,2">
              <v:shape style="position:absolute;left:1139;top:1445;width:2119;height:2" coordorigin="1139,1445" coordsize="2119,0" path="m1139,1445l3257,1445e" filled="false" stroked="true" strokeweight=".48pt" strokecolor="#000000">
                <v:path arrowok="t"/>
              </v:shape>
            </v:group>
            <v:group style="position:absolute;left:3267;top:1445;width:1550;height:2" coordorigin="3267,1445" coordsize="1550,2">
              <v:shape style="position:absolute;left:3267;top:1445;width:1550;height:2" coordorigin="3267,1445" coordsize="1550,0" path="m3267,1445l4816,1445e" filled="false" stroked="true" strokeweight=".48pt" strokecolor="#000000">
                <v:path arrowok="t"/>
              </v:shape>
            </v:group>
            <v:group style="position:absolute;left:4826;top:1445;width:1267;height:2" coordorigin="4826,1445" coordsize="1267,2">
              <v:shape style="position:absolute;left:4826;top:1445;width:1267;height:2" coordorigin="4826,1445" coordsize="1267,0" path="m4826,1445l6092,1445e" filled="false" stroked="true" strokeweight=".48pt" strokecolor="#000000">
                <v:path arrowok="t"/>
              </v:shape>
            </v:group>
            <v:group style="position:absolute;left:7353;top:1450;width:1117;height:13730" coordorigin="7353,1450" coordsize="1117,13730">
              <v:shape style="position:absolute;left:7353;top:1450;width:1117;height:13730" coordorigin="7353,1450" coordsize="1117,13730" path="m7353,15179l8470,15179,8470,1450,7353,1450,7353,15179xe" filled="true" fillcolor="#ffffff" stroked="false">
                <v:path arrowok="t"/>
                <v:fill type="solid"/>
              </v:shape>
            </v:group>
            <v:group style="position:absolute;left:6102;top:1445;width:1242;height:2" coordorigin="6102,1445" coordsize="1242,2">
              <v:shape style="position:absolute;left:6102;top:1445;width:1242;height:2" coordorigin="6102,1445" coordsize="1242,0" path="m6102,1445l7344,1445e" filled="false" stroked="true" strokeweight=".48pt" strokecolor="#000000">
                <v:path arrowok="t"/>
              </v:shape>
            </v:group>
            <v:group style="position:absolute;left:7353;top:1445;width:1117;height:2" coordorigin="7353,1445" coordsize="1117,2">
              <v:shape style="position:absolute;left:7353;top:1445;width:1117;height:2" coordorigin="7353,1445" coordsize="1117,0" path="m7353,1445l8470,1445e" filled="false" stroked="true" strokeweight=".48pt" strokecolor="#000000">
                <v:path arrowok="t"/>
              </v:shape>
            </v:group>
            <v:group style="position:absolute;left:8479;top:1445;width:1112;height:2" coordorigin="8479,1445" coordsize="1112,2">
              <v:shape style="position:absolute;left:8479;top:1445;width:1112;height:2" coordorigin="8479,1445" coordsize="1112,0" path="m8479,1445l9590,1445e" filled="false" stroked="true" strokeweight=".48pt" strokecolor="#000000">
                <v:path arrowok="t"/>
              </v:shape>
            </v:group>
            <v:group style="position:absolute;left:9600;top:1445;width:1098;height:2" coordorigin="9600,1445" coordsize="1098,2">
              <v:shape style="position:absolute;left:9600;top:1445;width:1098;height:2" coordorigin="9600,1445" coordsize="1098,0" path="m9600,1445l10698,1445e" filled="false" stroked="true" strokeweight=".48pt" strokecolor="#000000">
                <v:path arrowok="t"/>
              </v:shape>
            </v:group>
            <v:group style="position:absolute;left:1134;top:1440;width:2;height:13750" coordorigin="1134,1440" coordsize="2,13750">
              <v:shape style="position:absolute;left:1134;top:1440;width:2;height:13750" coordorigin="1134,1440" coordsize="0,13750" path="m1134,1440l1134,15190e" filled="false" stroked="true" strokeweight=".48pt" strokecolor="#000000">
                <v:path arrowok="t"/>
              </v:shape>
            </v:group>
            <v:group style="position:absolute;left:1139;top:15185;width:2119;height:2" coordorigin="1139,15185" coordsize="2119,2">
              <v:shape style="position:absolute;left:1139;top:15185;width:2119;height:2" coordorigin="1139,15185" coordsize="2119,0" path="m1139,15185l3257,15185e" filled="false" stroked="true" strokeweight=".47998pt" strokecolor="#000000">
                <v:path arrowok="t"/>
              </v:shape>
            </v:group>
            <v:group style="position:absolute;left:3262;top:1440;width:2;height:13750" coordorigin="3262,1440" coordsize="2,13750">
              <v:shape style="position:absolute;left:3262;top:1440;width:2;height:13750" coordorigin="3262,1440" coordsize="0,13750" path="m3262,1440l3262,15190e" filled="false" stroked="true" strokeweight=".48pt" strokecolor="#000000">
                <v:path arrowok="t"/>
              </v:shape>
            </v:group>
            <v:group style="position:absolute;left:3267;top:15185;width:1550;height:2" coordorigin="3267,15185" coordsize="1550,2">
              <v:shape style="position:absolute;left:3267;top:15185;width:1550;height:2" coordorigin="3267,15185" coordsize="1550,0" path="m3267,15185l4816,15185e" filled="false" stroked="true" strokeweight=".47998pt" strokecolor="#000000">
                <v:path arrowok="t"/>
              </v:shape>
            </v:group>
            <v:group style="position:absolute;left:4821;top:1440;width:2;height:13750" coordorigin="4821,1440" coordsize="2,13750">
              <v:shape style="position:absolute;left:4821;top:1440;width:2;height:13750" coordorigin="4821,1440" coordsize="0,13750" path="m4821,1440l4821,15190e" filled="false" stroked="true" strokeweight=".48001pt" strokecolor="#000000">
                <v:path arrowok="t"/>
              </v:shape>
            </v:group>
            <v:group style="position:absolute;left:4826;top:15185;width:1267;height:2" coordorigin="4826,15185" coordsize="1267,2">
              <v:shape style="position:absolute;left:4826;top:15185;width:1267;height:2" coordorigin="4826,15185" coordsize="1267,0" path="m4826,15185l6092,15185e" filled="false" stroked="true" strokeweight=".47998pt" strokecolor="#000000">
                <v:path arrowok="t"/>
              </v:shape>
            </v:group>
            <v:group style="position:absolute;left:6097;top:1440;width:2;height:13750" coordorigin="6097,1440" coordsize="2,13750">
              <v:shape style="position:absolute;left:6097;top:1440;width:2;height:13750" coordorigin="6097,1440" coordsize="0,13750" path="m6097,1440l6097,15190e" filled="false" stroked="true" strokeweight=".47998pt" strokecolor="#000000">
                <v:path arrowok="t"/>
              </v:shape>
            </v:group>
            <v:group style="position:absolute;left:6102;top:15185;width:1242;height:2" coordorigin="6102,15185" coordsize="1242,2">
              <v:shape style="position:absolute;left:6102;top:15185;width:1242;height:2" coordorigin="6102,15185" coordsize="1242,0" path="m6102,15185l7344,15185e" filled="false" stroked="true" strokeweight=".47998pt" strokecolor="#000000">
                <v:path arrowok="t"/>
              </v:shape>
            </v:group>
            <v:group style="position:absolute;left:7348;top:1440;width:2;height:13750" coordorigin="7348,1440" coordsize="2,13750">
              <v:shape style="position:absolute;left:7348;top:1440;width:2;height:13750" coordorigin="7348,1440" coordsize="0,13750" path="m7348,1440l7348,15190e" filled="false" stroked="true" strokeweight=".48001pt" strokecolor="#000000">
                <v:path arrowok="t"/>
              </v:shape>
            </v:group>
            <v:group style="position:absolute;left:7353;top:15185;width:1117;height:2" coordorigin="7353,15185" coordsize="1117,2">
              <v:shape style="position:absolute;left:7353;top:15185;width:1117;height:2" coordorigin="7353,15185" coordsize="1117,0" path="m7353,15185l8470,15185e" filled="false" stroked="true" strokeweight=".47998pt" strokecolor="#000000">
                <v:path arrowok="t"/>
              </v:shape>
            </v:group>
            <v:group style="position:absolute;left:8474;top:1440;width:2;height:13750" coordorigin="8474,1440" coordsize="2,13750">
              <v:shape style="position:absolute;left:8474;top:1440;width:2;height:13750" coordorigin="8474,1440" coordsize="0,13750" path="m8474,1440l8474,15190e" filled="false" stroked="true" strokeweight=".48001pt" strokecolor="#000000">
                <v:path arrowok="t"/>
              </v:shape>
            </v:group>
            <v:group style="position:absolute;left:8479;top:15185;width:1112;height:2" coordorigin="8479,15185" coordsize="1112,2">
              <v:shape style="position:absolute;left:8479;top:15185;width:1112;height:2" coordorigin="8479,15185" coordsize="1112,0" path="m8479,15185l9590,15185e" filled="false" stroked="true" strokeweight=".47998pt" strokecolor="#000000">
                <v:path arrowok="t"/>
              </v:shape>
            </v:group>
            <v:group style="position:absolute;left:9595;top:1440;width:2;height:13750" coordorigin="9595,1440" coordsize="2,13750">
              <v:shape style="position:absolute;left:9595;top:1440;width:2;height:13750" coordorigin="9595,1440" coordsize="0,13750" path="m9595,1440l9595,15190e" filled="false" stroked="true" strokeweight=".48001pt" strokecolor="#000000">
                <v:path arrowok="t"/>
              </v:shape>
            </v:group>
            <v:group style="position:absolute;left:9600;top:15185;width:1098;height:2" coordorigin="9600,15185" coordsize="1098,2">
              <v:shape style="position:absolute;left:9600;top:15185;width:1098;height:2" coordorigin="9600,15185" coordsize="1098,0" path="m9600,15185l10698,15185e" filled="false" stroked="true" strokeweight=".47998pt" strokecolor="#000000">
                <v:path arrowok="t"/>
              </v:shape>
            </v:group>
            <v:group style="position:absolute;left:10703;top:1440;width:2;height:13750" coordorigin="10703,1440" coordsize="2,13750">
              <v:shape style="position:absolute;left:10703;top:1440;width:2;height:13750" coordorigin="10703,1440" coordsize="0,13750" path="m10703,1440l10703,15190e" filled="false" stroked="true" strokeweight=".48004pt" strokecolor="#000000">
                <v:path arrowok="t"/>
              </v:shape>
            </v:group>
            <w10:wrap type="none"/>
          </v:group>
        </w:pict>
      </w:r>
    </w:p>
    <w:p>
      <w:pPr>
        <w:spacing w:line="240" w:lineRule="auto" w:before="2"/>
        <w:rPr>
          <w:rFonts w:ascii="Times New Roman" w:hAnsi="Times New Roman" w:cs="Times New Roman" w:eastAsia="Times New Roman" w:hint="default"/>
          <w:sz w:val="14"/>
          <w:szCs w:val="14"/>
        </w:rPr>
      </w:pPr>
    </w:p>
    <w:p>
      <w:pPr>
        <w:pStyle w:val="BodyText"/>
        <w:spacing w:line="314" w:lineRule="auto"/>
        <w:ind w:left="5144" w:right="4502"/>
        <w:jc w:val="left"/>
      </w:pPr>
      <w:r>
        <w:rPr/>
        <w:t>不存在任何虚 </w:t>
      </w:r>
      <w:r>
        <w:rPr>
          <w:spacing w:val="-10"/>
        </w:rPr>
        <w:t>假记载、误导性</w:t>
      </w:r>
      <w:r>
        <w:rPr>
          <w:spacing w:val="-85"/>
        </w:rPr>
        <w:t> </w:t>
      </w:r>
      <w:r>
        <w:rPr>
          <w:spacing w:val="-85"/>
        </w:rPr>
      </w:r>
      <w:r>
        <w:rPr/>
        <w:t>陈述或者重大 </w:t>
      </w:r>
      <w:r>
        <w:rPr>
          <w:spacing w:val="-4"/>
        </w:rPr>
        <w:t>遗漏；</w:t>
      </w:r>
      <w:r>
        <w:rPr>
          <w:rFonts w:ascii="Times New Roman" w:hAnsi="Times New Roman" w:cs="Times New Roman" w:eastAsia="Times New Roman" w:hint="default"/>
          <w:spacing w:val="-4"/>
        </w:rPr>
        <w:t>3</w:t>
      </w:r>
      <w:r>
        <w:rPr>
          <w:spacing w:val="-4"/>
        </w:rPr>
        <w:t>、本人</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38"/>
        </w:rPr>
        <w:t> </w:t>
      </w:r>
      <w:r>
        <w:rPr/>
        <w:t>本企业保证为 本次交易所出 具的说明及确 </w:t>
      </w:r>
      <w:r>
        <w:rPr>
          <w:spacing w:val="-10"/>
        </w:rPr>
        <w:t>认均为真实、准</w:t>
      </w:r>
      <w:r>
        <w:rPr>
          <w:spacing w:val="-85"/>
        </w:rPr>
        <w:t> </w:t>
      </w:r>
      <w:r>
        <w:rPr>
          <w:spacing w:val="-85"/>
        </w:rPr>
      </w:r>
      <w:r>
        <w:rPr>
          <w:spacing w:val="-10"/>
        </w:rPr>
        <w:t>确和完整的，不</w:t>
      </w:r>
      <w:r>
        <w:rPr>
          <w:spacing w:val="-85"/>
        </w:rPr>
        <w:t> </w:t>
      </w:r>
      <w:r>
        <w:rPr>
          <w:spacing w:val="-85"/>
        </w:rPr>
      </w:r>
      <w:r>
        <w:rPr/>
        <w:t>存在任何虚假 </w:t>
      </w:r>
      <w:r>
        <w:rPr>
          <w:spacing w:val="-10"/>
        </w:rPr>
        <w:t>记载、误导性陈</w:t>
      </w:r>
      <w:r>
        <w:rPr>
          <w:spacing w:val="-85"/>
        </w:rPr>
        <w:t> </w:t>
      </w:r>
      <w:r>
        <w:rPr>
          <w:spacing w:val="-85"/>
        </w:rPr>
      </w:r>
      <w:r>
        <w:rPr/>
        <w:t>述或者重大遗 漏；</w:t>
      </w:r>
      <w:r>
        <w:rPr>
          <w:rFonts w:ascii="Times New Roman" w:hAnsi="Times New Roman" w:cs="Times New Roman" w:eastAsia="Times New Roman" w:hint="default"/>
        </w:rPr>
        <w:t>4</w:t>
      </w:r>
      <w:r>
        <w:rPr/>
        <w:t>、本人</w:t>
      </w:r>
      <w:r>
        <w:rPr>
          <w:rFonts w:ascii="Times New Roman" w:hAnsi="Times New Roman" w:cs="Times New Roman" w:eastAsia="Times New Roman" w:hint="default"/>
        </w:rPr>
        <w:t>/ </w:t>
      </w:r>
      <w:r>
        <w:rPr>
          <w:spacing w:val="-10"/>
        </w:rPr>
        <w:t>本企业承诺，如</w:t>
      </w:r>
      <w:r>
        <w:rPr>
          <w:spacing w:val="-85"/>
        </w:rPr>
        <w:t> </w:t>
      </w:r>
      <w:r>
        <w:rPr>
          <w:spacing w:val="-85"/>
        </w:rPr>
      </w:r>
      <w:r>
        <w:rPr/>
        <w:t>违反上述保证， 将依法承担全 部责任。</w:t>
      </w:r>
      <w:r>
        <w:rPr>
          <w:rFonts w:ascii="Times New Roman" w:hAnsi="Times New Roman" w:cs="Times New Roman" w:eastAsia="Times New Roman" w:hint="default"/>
        </w:rPr>
        <w:t>"</w:t>
      </w:r>
      <w:r>
        <w:rPr/>
        <w:t>二、 关于拟出售资 产之权属状况 </w:t>
      </w:r>
      <w:r>
        <w:rPr>
          <w:spacing w:val="-10"/>
        </w:rPr>
        <w:t>的承诺：</w:t>
      </w:r>
      <w:r>
        <w:rPr>
          <w:rFonts w:ascii="Times New Roman" w:hAnsi="Times New Roman" w:cs="Times New Roman" w:eastAsia="Times New Roman" w:hint="default"/>
          <w:spacing w:val="-10"/>
        </w:rPr>
        <w:t>"1</w:t>
      </w:r>
      <w:r>
        <w:rPr>
          <w:spacing w:val="-10"/>
        </w:rPr>
        <w:t>、本</w:t>
      </w:r>
      <w:r>
        <w:rPr>
          <w:spacing w:val="-83"/>
        </w:rPr>
        <w:t> </w:t>
      </w:r>
      <w:r>
        <w:rPr/>
        <w:t>人</w:t>
      </w:r>
      <w:r>
        <w:rPr>
          <w:rFonts w:ascii="Times New Roman" w:hAnsi="Times New Roman" w:cs="Times New Roman" w:eastAsia="Times New Roman" w:hint="default"/>
        </w:rPr>
        <w:t>/</w:t>
      </w:r>
      <w:r>
        <w:rPr/>
        <w:t>本企业系深 圳市千百辉照 明工程有限公 司（以下简称</w:t>
      </w:r>
      <w:r>
        <w:rPr>
          <w:rFonts w:ascii="Times New Roman" w:hAnsi="Times New Roman" w:cs="Times New Roman" w:eastAsia="Times New Roman" w:hint="default"/>
        </w:rPr>
        <w:t>"</w:t>
      </w:r>
      <w:r>
        <w:rPr>
          <w:rFonts w:ascii="Times New Roman" w:hAnsi="Times New Roman" w:cs="Times New Roman" w:eastAsia="Times New Roman" w:hint="default"/>
          <w:w w:val="99"/>
        </w:rPr>
        <w:t> </w:t>
      </w:r>
      <w:r>
        <w:rPr/>
        <w:t>千百辉</w:t>
      </w:r>
      <w:r>
        <w:rPr>
          <w:rFonts w:ascii="Times New Roman" w:hAnsi="Times New Roman" w:cs="Times New Roman" w:eastAsia="Times New Roman" w:hint="default"/>
        </w:rPr>
        <w:t>"</w:t>
      </w:r>
      <w:r>
        <w:rPr/>
        <w:t>）的股 东，本人</w:t>
      </w:r>
      <w:r>
        <w:rPr>
          <w:rFonts w:ascii="Times New Roman" w:hAnsi="Times New Roman" w:cs="Times New Roman" w:eastAsia="Times New Roman" w:hint="default"/>
        </w:rPr>
        <w:t>/</w:t>
      </w:r>
      <w:r>
        <w:rPr/>
        <w:t>本企 业持有的千百 辉的股权权属 </w:t>
      </w:r>
      <w:r>
        <w:rPr>
          <w:spacing w:val="-10"/>
        </w:rPr>
        <w:t>清晰，不存在权</w:t>
      </w:r>
      <w:r>
        <w:rPr>
          <w:spacing w:val="-85"/>
        </w:rPr>
        <w:t> </w:t>
      </w:r>
      <w:r>
        <w:rPr>
          <w:spacing w:val="-85"/>
        </w:rPr>
      </w:r>
      <w:r>
        <w:rPr/>
        <w:t>属争议或潜在 </w:t>
      </w:r>
      <w:r>
        <w:rPr>
          <w:spacing w:val="-10"/>
        </w:rPr>
        <w:t>纠纷，不存在国</w:t>
      </w:r>
      <w:r>
        <w:rPr>
          <w:spacing w:val="-85"/>
        </w:rPr>
        <w:t> </w:t>
      </w:r>
      <w:r>
        <w:rPr>
          <w:spacing w:val="-85"/>
        </w:rPr>
      </w:r>
      <w:r>
        <w:rPr/>
        <w:t>家法律、法规、 规章及规范性 文件规定不适 宜担任股东的 </w:t>
      </w:r>
      <w:r>
        <w:rPr>
          <w:spacing w:val="-4"/>
        </w:rPr>
        <w:t>情形。</w:t>
      </w:r>
      <w:r>
        <w:rPr>
          <w:rFonts w:ascii="Times New Roman" w:hAnsi="Times New Roman" w:cs="Times New Roman" w:eastAsia="Times New Roman" w:hint="default"/>
          <w:spacing w:val="-4"/>
        </w:rPr>
        <w:t>2</w:t>
      </w:r>
      <w:r>
        <w:rPr>
          <w:spacing w:val="-4"/>
        </w:rPr>
        <w:t>、本人</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38"/>
        </w:rPr>
        <w:t> </w:t>
      </w:r>
      <w:r>
        <w:rPr/>
        <w:t>本企业用于出 资或增资的资 </w:t>
      </w:r>
      <w:r>
        <w:rPr>
          <w:spacing w:val="-10"/>
        </w:rPr>
        <w:t>金来源合法，以</w:t>
      </w:r>
      <w:r>
        <w:rPr>
          <w:spacing w:val="-85"/>
        </w:rPr>
        <w:t> </w:t>
      </w:r>
      <w:r>
        <w:rPr>
          <w:spacing w:val="-85"/>
        </w:rPr>
      </w:r>
      <w:r>
        <w:rPr/>
        <w:t>实物、知识产 </w:t>
      </w:r>
      <w:r>
        <w:rPr>
          <w:spacing w:val="-10"/>
        </w:rPr>
        <w:t>权、土地使用权</w:t>
      </w:r>
      <w:r>
        <w:rPr>
          <w:spacing w:val="-85"/>
        </w:rPr>
        <w:t> </w:t>
      </w:r>
      <w:r>
        <w:rPr>
          <w:spacing w:val="-85"/>
        </w:rPr>
      </w:r>
      <w:r>
        <w:rPr/>
        <w:t>等非货币财产 </w:t>
      </w:r>
      <w:r>
        <w:rPr>
          <w:spacing w:val="-10"/>
        </w:rPr>
        <w:t>出资的，已评估</w:t>
      </w:r>
      <w:r>
        <w:rPr>
          <w:spacing w:val="-85"/>
        </w:rPr>
        <w:t> </w:t>
      </w:r>
      <w:r>
        <w:rPr>
          <w:spacing w:val="-85"/>
        </w:rPr>
      </w:r>
      <w:r>
        <w:rPr>
          <w:spacing w:val="-10"/>
        </w:rPr>
        <w:t>作价，办理完毕</w:t>
      </w:r>
    </w:p>
    <w:p>
      <w:pPr>
        <w:spacing w:after="0" w:line="314" w:lineRule="auto"/>
        <w:jc w:val="left"/>
        <w:sectPr>
          <w:pgSz w:w="11910" w:h="16840"/>
          <w:pgMar w:header="747" w:footer="979" w:top="1060" w:bottom="1160" w:left="980" w:right="0"/>
        </w:sectPr>
      </w:pPr>
    </w:p>
    <w:p>
      <w:pPr>
        <w:spacing w:line="240" w:lineRule="auto" w:before="8"/>
        <w:rPr>
          <w:rFonts w:ascii="宋体" w:hAnsi="宋体" w:cs="宋体" w:eastAsia="宋体" w:hint="default"/>
          <w:sz w:val="26"/>
          <w:szCs w:val="26"/>
        </w:rPr>
      </w:pPr>
      <w:r>
        <w:rPr/>
        <w:pict>
          <v:shape style="position:absolute;margin-left:361.480011pt;margin-top:72.47998pt;width:62pt;height:686.5pt;mso-position-horizontal-relative:page;mso-position-vertical-relative:page;z-index:-117469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21"/>
                    <w:ind w:left="0" w:right="0"/>
                    <w:jc w:val="left"/>
                  </w:pP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6"/>
                      <w:szCs w:val="16"/>
                    </w:rPr>
                  </w:pPr>
                </w:p>
                <w:p>
                  <w:pPr>
                    <w:pStyle w:val="BodyText"/>
                    <w:spacing w:line="240" w:lineRule="auto"/>
                    <w:ind w:left="0" w:right="0"/>
                    <w:jc w:val="left"/>
                  </w:pPr>
                  <w:r>
                    <w:rPr/>
                    <w:t>、</w:t>
                  </w:r>
                </w:p>
              </w:txbxContent>
            </v:textbox>
            <w10:wrap type="none"/>
          </v:shape>
        </w:pict>
      </w:r>
      <w:r>
        <w:rPr/>
        <w:pict>
          <v:group style="position:absolute;margin-left:56.459999pt;margin-top:71.759964pt;width:478.95pt;height:688pt;mso-position-horizontal-relative:page;mso-position-vertical-relative:page;z-index:-1174672" coordorigin="1129,1435" coordsize="9579,13760">
            <v:group style="position:absolute;left:1139;top:1450;width:2118;height:13730" coordorigin="1139,1450" coordsize="2118,13730">
              <v:shape style="position:absolute;left:1139;top:1450;width:2118;height:13730" coordorigin="1139,1450" coordsize="2118,13730" path="m1139,15179l3256,15179,3256,1450,1139,1450,1139,15179xe" filled="true" fillcolor="#d2d2d2" stroked="false">
                <v:path arrowok="t"/>
                <v:fill type="solid"/>
              </v:shape>
            </v:group>
            <v:group style="position:absolute;left:1139;top:1445;width:2119;height:2" coordorigin="1139,1445" coordsize="2119,2">
              <v:shape style="position:absolute;left:1139;top:1445;width:2119;height:2" coordorigin="1139,1445" coordsize="2119,0" path="m1139,1445l3257,1445e" filled="false" stroked="true" strokeweight=".48pt" strokecolor="#000000">
                <v:path arrowok="t"/>
              </v:shape>
            </v:group>
            <v:group style="position:absolute;left:3267;top:1445;width:1550;height:2" coordorigin="3267,1445" coordsize="1550,2">
              <v:shape style="position:absolute;left:3267;top:1445;width:1550;height:2" coordorigin="3267,1445" coordsize="1550,0" path="m3267,1445l4816,1445e" filled="false" stroked="true" strokeweight=".48pt" strokecolor="#000000">
                <v:path arrowok="t"/>
              </v:shape>
            </v:group>
            <v:group style="position:absolute;left:4826;top:1445;width:1267;height:2" coordorigin="4826,1445" coordsize="1267,2">
              <v:shape style="position:absolute;left:4826;top:1445;width:1267;height:2" coordorigin="4826,1445" coordsize="1267,0" path="m4826,1445l6092,1445e" filled="false" stroked="true" strokeweight=".48pt" strokecolor="#000000">
                <v:path arrowok="t"/>
              </v:shape>
            </v:group>
            <v:group style="position:absolute;left:7353;top:1450;width:1117;height:13730" coordorigin="7353,1450" coordsize="1117,13730">
              <v:shape style="position:absolute;left:7353;top:1450;width:1117;height:13730" coordorigin="7353,1450" coordsize="1117,13730" path="m7353,15179l8470,15179,8470,1450,7353,1450,7353,15179xe" filled="true" fillcolor="#ffffff" stroked="false">
                <v:path arrowok="t"/>
                <v:fill type="solid"/>
              </v:shape>
            </v:group>
            <v:group style="position:absolute;left:6102;top:1445;width:1242;height:2" coordorigin="6102,1445" coordsize="1242,2">
              <v:shape style="position:absolute;left:6102;top:1445;width:1242;height:2" coordorigin="6102,1445" coordsize="1242,0" path="m6102,1445l7344,1445e" filled="false" stroked="true" strokeweight=".48pt" strokecolor="#000000">
                <v:path arrowok="t"/>
              </v:shape>
            </v:group>
            <v:group style="position:absolute;left:7353;top:1445;width:1117;height:2" coordorigin="7353,1445" coordsize="1117,2">
              <v:shape style="position:absolute;left:7353;top:1445;width:1117;height:2" coordorigin="7353,1445" coordsize="1117,0" path="m7353,1445l8470,1445e" filled="false" stroked="true" strokeweight=".48pt" strokecolor="#000000">
                <v:path arrowok="t"/>
              </v:shape>
            </v:group>
            <v:group style="position:absolute;left:8479;top:1445;width:1112;height:2" coordorigin="8479,1445" coordsize="1112,2">
              <v:shape style="position:absolute;left:8479;top:1445;width:1112;height:2" coordorigin="8479,1445" coordsize="1112,0" path="m8479,1445l9590,1445e" filled="false" stroked="true" strokeweight=".48pt" strokecolor="#000000">
                <v:path arrowok="t"/>
              </v:shape>
            </v:group>
            <v:group style="position:absolute;left:9600;top:1445;width:1098;height:2" coordorigin="9600,1445" coordsize="1098,2">
              <v:shape style="position:absolute;left:9600;top:1445;width:1098;height:2" coordorigin="9600,1445" coordsize="1098,0" path="m9600,1445l10698,1445e" filled="false" stroked="true" strokeweight=".48pt" strokecolor="#000000">
                <v:path arrowok="t"/>
              </v:shape>
            </v:group>
            <v:group style="position:absolute;left:1134;top:1440;width:2;height:13750" coordorigin="1134,1440" coordsize="2,13750">
              <v:shape style="position:absolute;left:1134;top:1440;width:2;height:13750" coordorigin="1134,1440" coordsize="0,13750" path="m1134,1440l1134,15190e" filled="false" stroked="true" strokeweight=".48pt" strokecolor="#000000">
                <v:path arrowok="t"/>
              </v:shape>
            </v:group>
            <v:group style="position:absolute;left:1139;top:15185;width:2119;height:2" coordorigin="1139,15185" coordsize="2119,2">
              <v:shape style="position:absolute;left:1139;top:15185;width:2119;height:2" coordorigin="1139,15185" coordsize="2119,0" path="m1139,15185l3257,15185e" filled="false" stroked="true" strokeweight=".47998pt" strokecolor="#000000">
                <v:path arrowok="t"/>
              </v:shape>
            </v:group>
            <v:group style="position:absolute;left:3262;top:1440;width:2;height:13750" coordorigin="3262,1440" coordsize="2,13750">
              <v:shape style="position:absolute;left:3262;top:1440;width:2;height:13750" coordorigin="3262,1440" coordsize="0,13750" path="m3262,1440l3262,15190e" filled="false" stroked="true" strokeweight=".48pt" strokecolor="#000000">
                <v:path arrowok="t"/>
              </v:shape>
            </v:group>
            <v:group style="position:absolute;left:3267;top:15185;width:1550;height:2" coordorigin="3267,15185" coordsize="1550,2">
              <v:shape style="position:absolute;left:3267;top:15185;width:1550;height:2" coordorigin="3267,15185" coordsize="1550,0" path="m3267,15185l4816,15185e" filled="false" stroked="true" strokeweight=".47998pt" strokecolor="#000000">
                <v:path arrowok="t"/>
              </v:shape>
            </v:group>
            <v:group style="position:absolute;left:4821;top:1440;width:2;height:13750" coordorigin="4821,1440" coordsize="2,13750">
              <v:shape style="position:absolute;left:4821;top:1440;width:2;height:13750" coordorigin="4821,1440" coordsize="0,13750" path="m4821,1440l4821,15190e" filled="false" stroked="true" strokeweight=".48001pt" strokecolor="#000000">
                <v:path arrowok="t"/>
              </v:shape>
            </v:group>
            <v:group style="position:absolute;left:4826;top:15185;width:1267;height:2" coordorigin="4826,15185" coordsize="1267,2">
              <v:shape style="position:absolute;left:4826;top:15185;width:1267;height:2" coordorigin="4826,15185" coordsize="1267,0" path="m4826,15185l6092,15185e" filled="false" stroked="true" strokeweight=".47998pt" strokecolor="#000000">
                <v:path arrowok="t"/>
              </v:shape>
            </v:group>
            <v:group style="position:absolute;left:6097;top:1440;width:2;height:13750" coordorigin="6097,1440" coordsize="2,13750">
              <v:shape style="position:absolute;left:6097;top:1440;width:2;height:13750" coordorigin="6097,1440" coordsize="0,13750" path="m6097,1440l6097,15190e" filled="false" stroked="true" strokeweight=".47998pt" strokecolor="#000000">
                <v:path arrowok="t"/>
              </v:shape>
            </v:group>
            <v:group style="position:absolute;left:6102;top:15185;width:1242;height:2" coordorigin="6102,15185" coordsize="1242,2">
              <v:shape style="position:absolute;left:6102;top:15185;width:1242;height:2" coordorigin="6102,15185" coordsize="1242,0" path="m6102,15185l7344,15185e" filled="false" stroked="true" strokeweight=".47998pt" strokecolor="#000000">
                <v:path arrowok="t"/>
              </v:shape>
            </v:group>
            <v:group style="position:absolute;left:7348;top:1440;width:2;height:13750" coordorigin="7348,1440" coordsize="2,13750">
              <v:shape style="position:absolute;left:7348;top:1440;width:2;height:13750" coordorigin="7348,1440" coordsize="0,13750" path="m7348,1440l7348,15190e" filled="false" stroked="true" strokeweight=".48001pt" strokecolor="#000000">
                <v:path arrowok="t"/>
              </v:shape>
            </v:group>
            <v:group style="position:absolute;left:7353;top:15185;width:1117;height:2" coordorigin="7353,15185" coordsize="1117,2">
              <v:shape style="position:absolute;left:7353;top:15185;width:1117;height:2" coordorigin="7353,15185" coordsize="1117,0" path="m7353,15185l8470,15185e" filled="false" stroked="true" strokeweight=".47998pt" strokecolor="#000000">
                <v:path arrowok="t"/>
              </v:shape>
            </v:group>
            <v:group style="position:absolute;left:8474;top:1440;width:2;height:13750" coordorigin="8474,1440" coordsize="2,13750">
              <v:shape style="position:absolute;left:8474;top:1440;width:2;height:13750" coordorigin="8474,1440" coordsize="0,13750" path="m8474,1440l8474,15190e" filled="false" stroked="true" strokeweight=".48001pt" strokecolor="#000000">
                <v:path arrowok="t"/>
              </v:shape>
            </v:group>
            <v:group style="position:absolute;left:8479;top:15185;width:1112;height:2" coordorigin="8479,15185" coordsize="1112,2">
              <v:shape style="position:absolute;left:8479;top:15185;width:1112;height:2" coordorigin="8479,15185" coordsize="1112,0" path="m8479,15185l9590,15185e" filled="false" stroked="true" strokeweight=".47998pt" strokecolor="#000000">
                <v:path arrowok="t"/>
              </v:shape>
            </v:group>
            <v:group style="position:absolute;left:9595;top:1440;width:2;height:13750" coordorigin="9595,1440" coordsize="2,13750">
              <v:shape style="position:absolute;left:9595;top:1440;width:2;height:13750" coordorigin="9595,1440" coordsize="0,13750" path="m9595,1440l9595,15190e" filled="false" stroked="true" strokeweight=".48001pt" strokecolor="#000000">
                <v:path arrowok="t"/>
              </v:shape>
            </v:group>
            <v:group style="position:absolute;left:9600;top:15185;width:1098;height:2" coordorigin="9600,15185" coordsize="1098,2">
              <v:shape style="position:absolute;left:9600;top:15185;width:1098;height:2" coordorigin="9600,15185" coordsize="1098,0" path="m9600,15185l10698,15185e" filled="false" stroked="true" strokeweight=".47998pt" strokecolor="#000000">
                <v:path arrowok="t"/>
              </v:shape>
            </v:group>
            <v:group style="position:absolute;left:10703;top:1440;width:2;height:13750" coordorigin="10703,1440" coordsize="2,13750">
              <v:shape style="position:absolute;left:10703;top:1440;width:2;height:13750" coordorigin="10703,1440" coordsize="0,13750" path="m10703,1440l10703,15190e" filled="false" stroked="true" strokeweight=".48004pt" strokecolor="#000000">
                <v:path arrowok="t"/>
              </v:shape>
            </v:group>
            <w10:wrap type="none"/>
          </v:group>
        </w:pict>
      </w:r>
    </w:p>
    <w:p>
      <w:pPr>
        <w:pStyle w:val="BodyText"/>
        <w:spacing w:line="314" w:lineRule="auto" w:before="44"/>
        <w:ind w:left="5144" w:right="4502"/>
        <w:jc w:val="left"/>
      </w:pPr>
      <w:r>
        <w:rPr/>
        <w:t>财产权转移手 续。</w:t>
      </w:r>
      <w:r>
        <w:rPr>
          <w:rFonts w:ascii="Times New Roman" w:hAnsi="Times New Roman" w:cs="Times New Roman" w:eastAsia="Times New Roman" w:hint="default"/>
        </w:rPr>
        <w:t>3</w:t>
      </w:r>
      <w:r>
        <w:rPr/>
        <w:t>、历次股 权转让行为是 本人</w:t>
      </w:r>
      <w:r>
        <w:rPr>
          <w:rFonts w:ascii="Times New Roman" w:hAnsi="Times New Roman" w:cs="Times New Roman" w:eastAsia="Times New Roman" w:hint="default"/>
        </w:rPr>
        <w:t>/</w:t>
      </w:r>
      <w:r>
        <w:rPr/>
        <w:t>本企业自 愿做出的真实 </w:t>
      </w:r>
      <w:r>
        <w:rPr>
          <w:spacing w:val="-10"/>
        </w:rPr>
        <w:t>意思表示，历次</w:t>
      </w:r>
      <w:r>
        <w:rPr>
          <w:spacing w:val="-85"/>
        </w:rPr>
        <w:t> </w:t>
      </w:r>
      <w:r>
        <w:rPr>
          <w:spacing w:val="-85"/>
        </w:rPr>
      </w:r>
      <w:r>
        <w:rPr/>
        <w:t>股权转让行为 </w:t>
      </w:r>
      <w:r>
        <w:rPr>
          <w:spacing w:val="-10"/>
        </w:rPr>
        <w:t>真实、合法、有</w:t>
      </w:r>
      <w:r>
        <w:rPr>
          <w:spacing w:val="-86"/>
        </w:rPr>
        <w:t> </w:t>
      </w:r>
      <w:r>
        <w:rPr>
          <w:spacing w:val="-86"/>
        </w:rPr>
      </w:r>
      <w:r>
        <w:rPr>
          <w:spacing w:val="-10"/>
        </w:rPr>
        <w:t>效，已足额支付</w:t>
      </w:r>
      <w:r>
        <w:rPr>
          <w:spacing w:val="-85"/>
        </w:rPr>
        <w:t> </w:t>
      </w:r>
      <w:r>
        <w:rPr>
          <w:spacing w:val="-85"/>
        </w:rPr>
      </w:r>
      <w:r>
        <w:rPr/>
        <w:t>相关股权转让 </w:t>
      </w:r>
      <w:r>
        <w:rPr>
          <w:spacing w:val="-10"/>
        </w:rPr>
        <w:t>价款，不存在任</w:t>
      </w:r>
      <w:r>
        <w:rPr>
          <w:spacing w:val="-85"/>
        </w:rPr>
        <w:t> </w:t>
      </w:r>
      <w:r>
        <w:rPr>
          <w:spacing w:val="-85"/>
        </w:rPr>
      </w:r>
      <w:r>
        <w:rPr/>
        <w:t>何纠纷及纠纷 </w:t>
      </w:r>
      <w:r>
        <w:rPr>
          <w:spacing w:val="-4"/>
        </w:rPr>
        <w:t>隐患。</w:t>
      </w:r>
      <w:r>
        <w:rPr>
          <w:rFonts w:ascii="Times New Roman" w:hAnsi="Times New Roman" w:cs="Times New Roman" w:eastAsia="Times New Roman" w:hint="default"/>
          <w:spacing w:val="-4"/>
        </w:rPr>
        <w:t>4</w:t>
      </w:r>
      <w:r>
        <w:rPr>
          <w:spacing w:val="-4"/>
        </w:rPr>
        <w:t>、本人</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38"/>
        </w:rPr>
        <w:t> </w:t>
      </w:r>
      <w:r>
        <w:rPr/>
        <w:t>本企业所持有 的千百辉股权 为本人</w:t>
      </w:r>
      <w:r>
        <w:rPr>
          <w:rFonts w:ascii="Times New Roman" w:hAnsi="Times New Roman" w:cs="Times New Roman" w:eastAsia="Times New Roman" w:hint="default"/>
        </w:rPr>
        <w:t>/</w:t>
      </w:r>
      <w:r>
        <w:rPr/>
        <w:t>本企业 </w:t>
      </w:r>
      <w:r>
        <w:rPr>
          <w:spacing w:val="-10"/>
        </w:rPr>
        <w:t>真实持有，与其</w:t>
      </w:r>
      <w:r>
        <w:rPr>
          <w:spacing w:val="-85"/>
        </w:rPr>
        <w:t> </w:t>
      </w:r>
      <w:r>
        <w:rPr>
          <w:spacing w:val="-85"/>
        </w:rPr>
      </w:r>
      <w:r>
        <w:rPr/>
        <w:t>他股东及任何 第三方之间不 存在任何委托 </w:t>
      </w:r>
      <w:r>
        <w:rPr>
          <w:spacing w:val="-10"/>
        </w:rPr>
        <w:t>持股、信托持股</w:t>
      </w:r>
      <w:r>
        <w:rPr>
          <w:spacing w:val="-85"/>
        </w:rPr>
        <w:t> </w:t>
      </w:r>
      <w:r>
        <w:rPr>
          <w:spacing w:val="-85"/>
        </w:rPr>
      </w:r>
      <w:r>
        <w:rPr/>
        <w:t>或其他利益安 </w:t>
      </w:r>
      <w:r>
        <w:rPr>
          <w:spacing w:val="-10"/>
        </w:rPr>
        <w:t>排，不存在纠纷</w:t>
      </w:r>
      <w:r>
        <w:rPr>
          <w:spacing w:val="-85"/>
        </w:rPr>
        <w:t> </w:t>
      </w:r>
      <w:r>
        <w:rPr>
          <w:spacing w:val="-85"/>
        </w:rPr>
      </w:r>
      <w:r>
        <w:rPr>
          <w:spacing w:val="-10"/>
        </w:rPr>
        <w:t>或潜在纠纷。</w:t>
      </w:r>
      <w:r>
        <w:rPr>
          <w:rFonts w:ascii="Times New Roman" w:hAnsi="Times New Roman" w:cs="Times New Roman" w:eastAsia="Times New Roman" w:hint="default"/>
          <w:spacing w:val="-10"/>
        </w:rPr>
        <w:t>5</w:t>
      </w:r>
      <w:r>
        <w:rPr>
          <w:rFonts w:ascii="Times New Roman" w:hAnsi="Times New Roman" w:cs="Times New Roman" w:eastAsia="Times New Roman" w:hint="default"/>
          <w:spacing w:val="-40"/>
        </w:rPr>
        <w:t> </w:t>
      </w:r>
      <w:r>
        <w:rPr/>
        <w:t>本人</w:t>
      </w:r>
      <w:r>
        <w:rPr>
          <w:rFonts w:ascii="Times New Roman" w:hAnsi="Times New Roman" w:cs="Times New Roman" w:eastAsia="Times New Roman" w:hint="default"/>
        </w:rPr>
        <w:t>/</w:t>
      </w:r>
      <w:r>
        <w:rPr/>
        <w:t>本企业持 有的千百辉股 权均未设置质 </w:t>
      </w:r>
      <w:r>
        <w:rPr>
          <w:spacing w:val="-10"/>
        </w:rPr>
        <w:t>押，亦未设置任</w:t>
      </w:r>
      <w:r>
        <w:rPr>
          <w:spacing w:val="-85"/>
        </w:rPr>
        <w:t> </w:t>
      </w:r>
      <w:r>
        <w:rPr>
          <w:spacing w:val="-85"/>
        </w:rPr>
      </w:r>
      <w:r>
        <w:rPr/>
        <w:t>何第三方权益， 未对该等股权 所含的投票权、 收益权做任何 </w:t>
      </w:r>
      <w:r>
        <w:rPr>
          <w:spacing w:val="-10"/>
        </w:rPr>
        <w:t>限制性安排。</w:t>
      </w:r>
      <w:r>
        <w:rPr>
          <w:rFonts w:ascii="Times New Roman" w:hAnsi="Times New Roman" w:cs="Times New Roman" w:eastAsia="Times New Roman" w:hint="default"/>
          <w:spacing w:val="-10"/>
        </w:rPr>
        <w:t>6</w:t>
      </w:r>
      <w:r>
        <w:rPr>
          <w:rFonts w:ascii="Times New Roman" w:hAnsi="Times New Roman" w:cs="Times New Roman" w:eastAsia="Times New Roman" w:hint="default"/>
          <w:spacing w:val="-40"/>
        </w:rPr>
        <w:t> </w:t>
      </w:r>
      <w:r>
        <w:rPr/>
        <w:t>本人</w:t>
      </w:r>
      <w:r>
        <w:rPr>
          <w:rFonts w:ascii="Times New Roman" w:hAnsi="Times New Roman" w:cs="Times New Roman" w:eastAsia="Times New Roman" w:hint="default"/>
        </w:rPr>
        <w:t>/</w:t>
      </w:r>
      <w:r>
        <w:rPr/>
        <w:t>本企业持 有的千百辉股 权均不存在被 </w:t>
      </w:r>
      <w:r>
        <w:rPr>
          <w:spacing w:val="-10"/>
        </w:rPr>
        <w:t>司法冻结、查封</w:t>
      </w:r>
      <w:r>
        <w:rPr>
          <w:spacing w:val="-85"/>
        </w:rPr>
        <w:t> </w:t>
      </w:r>
      <w:r>
        <w:rPr>
          <w:spacing w:val="-85"/>
        </w:rPr>
      </w:r>
      <w:r>
        <w:rPr/>
        <w:t>等权利受限情 形。</w:t>
      </w:r>
      <w:r>
        <w:rPr>
          <w:rFonts w:ascii="Times New Roman" w:hAnsi="Times New Roman" w:cs="Times New Roman" w:eastAsia="Times New Roman" w:hint="default"/>
        </w:rPr>
        <w:t>"</w:t>
      </w:r>
      <w:r>
        <w:rPr/>
        <w:t>三、关于 保障上市公司 独立性的承诺： </w:t>
      </w:r>
      <w:r>
        <w:rPr>
          <w:rFonts w:ascii="Times New Roman" w:hAnsi="Times New Roman" w:cs="Times New Roman" w:eastAsia="Times New Roman" w:hint="default"/>
        </w:rPr>
        <w:t>"1</w:t>
      </w:r>
      <w:r>
        <w:rPr/>
        <w:t>、本人</w:t>
      </w:r>
      <w:r>
        <w:rPr>
          <w:rFonts w:ascii="Times New Roman" w:hAnsi="Times New Roman" w:cs="Times New Roman" w:eastAsia="Times New Roman" w:hint="default"/>
        </w:rPr>
        <w:t>/</w:t>
      </w:r>
      <w:r>
        <w:rPr/>
        <w:t>本企 业保证为本次 交易承诺在本</w:t>
      </w:r>
    </w:p>
    <w:p>
      <w:pPr>
        <w:spacing w:after="0" w:line="314" w:lineRule="auto"/>
        <w:jc w:val="left"/>
        <w:sectPr>
          <w:pgSz w:w="11910" w:h="16840"/>
          <w:pgMar w:header="747" w:footer="979" w:top="1060" w:bottom="1160" w:left="980" w:right="0"/>
        </w:sectPr>
      </w:pPr>
    </w:p>
    <w:p>
      <w:pPr>
        <w:spacing w:line="240" w:lineRule="auto" w:before="8"/>
        <w:rPr>
          <w:rFonts w:ascii="宋体" w:hAnsi="宋体" w:cs="宋体" w:eastAsia="宋体" w:hint="default"/>
          <w:sz w:val="26"/>
          <w:szCs w:val="26"/>
        </w:rPr>
      </w:pPr>
      <w:r>
        <w:rPr/>
        <w:pict>
          <v:group style="position:absolute;margin-left:56.459999pt;margin-top:71.759964pt;width:478.95pt;height:688pt;mso-position-horizontal-relative:page;mso-position-vertical-relative:page;z-index:-1174648" coordorigin="1129,1435" coordsize="9579,13760">
            <v:group style="position:absolute;left:1139;top:1450;width:2118;height:13730" coordorigin="1139,1450" coordsize="2118,13730">
              <v:shape style="position:absolute;left:1139;top:1450;width:2118;height:13730" coordorigin="1139,1450" coordsize="2118,13730" path="m1139,15179l3256,15179,3256,1450,1139,1450,1139,15179xe" filled="true" fillcolor="#d2d2d2" stroked="false">
                <v:path arrowok="t"/>
                <v:fill type="solid"/>
              </v:shape>
            </v:group>
            <v:group style="position:absolute;left:1139;top:1445;width:2119;height:2" coordorigin="1139,1445" coordsize="2119,2">
              <v:shape style="position:absolute;left:1139;top:1445;width:2119;height:2" coordorigin="1139,1445" coordsize="2119,0" path="m1139,1445l3257,1445e" filled="false" stroked="true" strokeweight=".48pt" strokecolor="#000000">
                <v:path arrowok="t"/>
              </v:shape>
            </v:group>
            <v:group style="position:absolute;left:3267;top:1445;width:1550;height:2" coordorigin="3267,1445" coordsize="1550,2">
              <v:shape style="position:absolute;left:3267;top:1445;width:1550;height:2" coordorigin="3267,1445" coordsize="1550,0" path="m3267,1445l4816,1445e" filled="false" stroked="true" strokeweight=".48pt" strokecolor="#000000">
                <v:path arrowok="t"/>
              </v:shape>
            </v:group>
            <v:group style="position:absolute;left:4826;top:1445;width:1267;height:2" coordorigin="4826,1445" coordsize="1267,2">
              <v:shape style="position:absolute;left:4826;top:1445;width:1267;height:2" coordorigin="4826,1445" coordsize="1267,0" path="m4826,1445l6092,1445e" filled="false" stroked="true" strokeweight=".48pt" strokecolor="#000000">
                <v:path arrowok="t"/>
              </v:shape>
            </v:group>
            <v:group style="position:absolute;left:7353;top:1450;width:1117;height:13730" coordorigin="7353,1450" coordsize="1117,13730">
              <v:shape style="position:absolute;left:7353;top:1450;width:1117;height:13730" coordorigin="7353,1450" coordsize="1117,13730" path="m7353,15179l8470,15179,8470,1450,7353,1450,7353,15179xe" filled="true" fillcolor="#ffffff" stroked="false">
                <v:path arrowok="t"/>
                <v:fill type="solid"/>
              </v:shape>
            </v:group>
            <v:group style="position:absolute;left:6102;top:1445;width:1242;height:2" coordorigin="6102,1445" coordsize="1242,2">
              <v:shape style="position:absolute;left:6102;top:1445;width:1242;height:2" coordorigin="6102,1445" coordsize="1242,0" path="m6102,1445l7344,1445e" filled="false" stroked="true" strokeweight=".48pt" strokecolor="#000000">
                <v:path arrowok="t"/>
              </v:shape>
            </v:group>
            <v:group style="position:absolute;left:7353;top:1445;width:1117;height:2" coordorigin="7353,1445" coordsize="1117,2">
              <v:shape style="position:absolute;left:7353;top:1445;width:1117;height:2" coordorigin="7353,1445" coordsize="1117,0" path="m7353,1445l8470,1445e" filled="false" stroked="true" strokeweight=".48pt" strokecolor="#000000">
                <v:path arrowok="t"/>
              </v:shape>
            </v:group>
            <v:group style="position:absolute;left:8479;top:1445;width:1112;height:2" coordorigin="8479,1445" coordsize="1112,2">
              <v:shape style="position:absolute;left:8479;top:1445;width:1112;height:2" coordorigin="8479,1445" coordsize="1112,0" path="m8479,1445l9590,1445e" filled="false" stroked="true" strokeweight=".48pt" strokecolor="#000000">
                <v:path arrowok="t"/>
              </v:shape>
            </v:group>
            <v:group style="position:absolute;left:9600;top:1445;width:1098;height:2" coordorigin="9600,1445" coordsize="1098,2">
              <v:shape style="position:absolute;left:9600;top:1445;width:1098;height:2" coordorigin="9600,1445" coordsize="1098,0" path="m9600,1445l10698,1445e" filled="false" stroked="true" strokeweight=".48pt" strokecolor="#000000">
                <v:path arrowok="t"/>
              </v:shape>
            </v:group>
            <v:group style="position:absolute;left:1134;top:1440;width:2;height:13750" coordorigin="1134,1440" coordsize="2,13750">
              <v:shape style="position:absolute;left:1134;top:1440;width:2;height:13750" coordorigin="1134,1440" coordsize="0,13750" path="m1134,1440l1134,15190e" filled="false" stroked="true" strokeweight=".48pt" strokecolor="#000000">
                <v:path arrowok="t"/>
              </v:shape>
            </v:group>
            <v:group style="position:absolute;left:1139;top:15185;width:2119;height:2" coordorigin="1139,15185" coordsize="2119,2">
              <v:shape style="position:absolute;left:1139;top:15185;width:2119;height:2" coordorigin="1139,15185" coordsize="2119,0" path="m1139,15185l3257,15185e" filled="false" stroked="true" strokeweight=".47998pt" strokecolor="#000000">
                <v:path arrowok="t"/>
              </v:shape>
            </v:group>
            <v:group style="position:absolute;left:3262;top:1440;width:2;height:13750" coordorigin="3262,1440" coordsize="2,13750">
              <v:shape style="position:absolute;left:3262;top:1440;width:2;height:13750" coordorigin="3262,1440" coordsize="0,13750" path="m3262,1440l3262,15190e" filled="false" stroked="true" strokeweight=".48pt" strokecolor="#000000">
                <v:path arrowok="t"/>
              </v:shape>
            </v:group>
            <v:group style="position:absolute;left:3267;top:15185;width:1550;height:2" coordorigin="3267,15185" coordsize="1550,2">
              <v:shape style="position:absolute;left:3267;top:15185;width:1550;height:2" coordorigin="3267,15185" coordsize="1550,0" path="m3267,15185l4816,15185e" filled="false" stroked="true" strokeweight=".47998pt" strokecolor="#000000">
                <v:path arrowok="t"/>
              </v:shape>
            </v:group>
            <v:group style="position:absolute;left:4821;top:1440;width:2;height:13750" coordorigin="4821,1440" coordsize="2,13750">
              <v:shape style="position:absolute;left:4821;top:1440;width:2;height:13750" coordorigin="4821,1440" coordsize="0,13750" path="m4821,1440l4821,15190e" filled="false" stroked="true" strokeweight=".48001pt" strokecolor="#000000">
                <v:path arrowok="t"/>
              </v:shape>
            </v:group>
            <v:group style="position:absolute;left:4826;top:15185;width:1267;height:2" coordorigin="4826,15185" coordsize="1267,2">
              <v:shape style="position:absolute;left:4826;top:15185;width:1267;height:2" coordorigin="4826,15185" coordsize="1267,0" path="m4826,15185l6092,15185e" filled="false" stroked="true" strokeweight=".47998pt" strokecolor="#000000">
                <v:path arrowok="t"/>
              </v:shape>
            </v:group>
            <v:group style="position:absolute;left:6097;top:1440;width:2;height:13750" coordorigin="6097,1440" coordsize="2,13750">
              <v:shape style="position:absolute;left:6097;top:1440;width:2;height:13750" coordorigin="6097,1440" coordsize="0,13750" path="m6097,1440l6097,15190e" filled="false" stroked="true" strokeweight=".47998pt" strokecolor="#000000">
                <v:path arrowok="t"/>
              </v:shape>
            </v:group>
            <v:group style="position:absolute;left:6102;top:15185;width:1242;height:2" coordorigin="6102,15185" coordsize="1242,2">
              <v:shape style="position:absolute;left:6102;top:15185;width:1242;height:2" coordorigin="6102,15185" coordsize="1242,0" path="m6102,15185l7344,15185e" filled="false" stroked="true" strokeweight=".47998pt" strokecolor="#000000">
                <v:path arrowok="t"/>
              </v:shape>
            </v:group>
            <v:group style="position:absolute;left:7348;top:1440;width:2;height:13750" coordorigin="7348,1440" coordsize="2,13750">
              <v:shape style="position:absolute;left:7348;top:1440;width:2;height:13750" coordorigin="7348,1440" coordsize="0,13750" path="m7348,1440l7348,15190e" filled="false" stroked="true" strokeweight=".48001pt" strokecolor="#000000">
                <v:path arrowok="t"/>
              </v:shape>
            </v:group>
            <v:group style="position:absolute;left:7353;top:15185;width:1117;height:2" coordorigin="7353,15185" coordsize="1117,2">
              <v:shape style="position:absolute;left:7353;top:15185;width:1117;height:2" coordorigin="7353,15185" coordsize="1117,0" path="m7353,15185l8470,15185e" filled="false" stroked="true" strokeweight=".47998pt" strokecolor="#000000">
                <v:path arrowok="t"/>
              </v:shape>
            </v:group>
            <v:group style="position:absolute;left:8474;top:1440;width:2;height:13750" coordorigin="8474,1440" coordsize="2,13750">
              <v:shape style="position:absolute;left:8474;top:1440;width:2;height:13750" coordorigin="8474,1440" coordsize="0,13750" path="m8474,1440l8474,15190e" filled="false" stroked="true" strokeweight=".48001pt" strokecolor="#000000">
                <v:path arrowok="t"/>
              </v:shape>
            </v:group>
            <v:group style="position:absolute;left:8479;top:15185;width:1112;height:2" coordorigin="8479,15185" coordsize="1112,2">
              <v:shape style="position:absolute;left:8479;top:15185;width:1112;height:2" coordorigin="8479,15185" coordsize="1112,0" path="m8479,15185l9590,15185e" filled="false" stroked="true" strokeweight=".47998pt" strokecolor="#000000">
                <v:path arrowok="t"/>
              </v:shape>
            </v:group>
            <v:group style="position:absolute;left:9595;top:1440;width:2;height:13750" coordorigin="9595,1440" coordsize="2,13750">
              <v:shape style="position:absolute;left:9595;top:1440;width:2;height:13750" coordorigin="9595,1440" coordsize="0,13750" path="m9595,1440l9595,15190e" filled="false" stroked="true" strokeweight=".48001pt" strokecolor="#000000">
                <v:path arrowok="t"/>
              </v:shape>
            </v:group>
            <v:group style="position:absolute;left:9600;top:15185;width:1098;height:2" coordorigin="9600,15185" coordsize="1098,2">
              <v:shape style="position:absolute;left:9600;top:15185;width:1098;height:2" coordorigin="9600,15185" coordsize="1098,0" path="m9600,15185l10698,15185e" filled="false" stroked="true" strokeweight=".47998pt" strokecolor="#000000">
                <v:path arrowok="t"/>
              </v:shape>
            </v:group>
            <v:group style="position:absolute;left:10703;top:1440;width:2;height:13750" coordorigin="10703,1440" coordsize="2,13750">
              <v:shape style="position:absolute;left:10703;top:1440;width:2;height:13750" coordorigin="10703,1440" coordsize="0,13750" path="m10703,1440l10703,15190e" filled="false" stroked="true" strokeweight=".48004pt" strokecolor="#000000">
                <v:path arrowok="t"/>
              </v:shape>
            </v:group>
            <w10:wrap type="none"/>
          </v:group>
        </w:pict>
      </w:r>
    </w:p>
    <w:p>
      <w:pPr>
        <w:pStyle w:val="BodyText"/>
        <w:spacing w:line="316" w:lineRule="auto" w:before="44"/>
        <w:ind w:left="5144" w:right="4502"/>
        <w:jc w:val="left"/>
      </w:pPr>
      <w:r>
        <w:rPr/>
        <w:t>次交易完成后， 遵守相关法律、 </w:t>
      </w:r>
      <w:r>
        <w:rPr>
          <w:spacing w:val="-10"/>
        </w:rPr>
        <w:t>法规、规章、其</w:t>
      </w:r>
      <w:r>
        <w:rPr>
          <w:spacing w:val="-86"/>
        </w:rPr>
        <w:t> </w:t>
      </w:r>
      <w:r>
        <w:rPr>
          <w:spacing w:val="-86"/>
        </w:rPr>
      </w:r>
      <w:r>
        <w:rPr/>
        <w:t>他规范性文件 及公司章程的 </w:t>
      </w:r>
      <w:r>
        <w:rPr>
          <w:spacing w:val="-10"/>
        </w:rPr>
        <w:t>规定，依法行使</w:t>
      </w:r>
      <w:r>
        <w:rPr>
          <w:spacing w:val="-85"/>
        </w:rPr>
        <w:t> </w:t>
      </w:r>
      <w:r>
        <w:rPr>
          <w:spacing w:val="-85"/>
        </w:rPr>
      </w:r>
      <w:r>
        <w:rPr>
          <w:spacing w:val="-10"/>
        </w:rPr>
        <w:t>股东权利，不利</w:t>
      </w:r>
      <w:r>
        <w:rPr>
          <w:spacing w:val="-85"/>
        </w:rPr>
        <w:t> </w:t>
      </w:r>
      <w:r>
        <w:rPr>
          <w:spacing w:val="-85"/>
        </w:rPr>
      </w:r>
      <w:r>
        <w:rPr/>
        <w:t>用其身份影响 奥拓电子的独 </w:t>
      </w:r>
      <w:r>
        <w:rPr>
          <w:spacing w:val="-10"/>
        </w:rPr>
        <w:t>立性，保持奥拓</w:t>
      </w:r>
      <w:r>
        <w:rPr>
          <w:spacing w:val="-85"/>
        </w:rPr>
        <w:t> </w:t>
      </w:r>
      <w:r>
        <w:rPr>
          <w:spacing w:val="-85"/>
        </w:rPr>
      </w:r>
      <w:r>
        <w:rPr>
          <w:spacing w:val="-10"/>
        </w:rPr>
        <w:t>电子在资产、人</w:t>
      </w:r>
      <w:r>
        <w:rPr>
          <w:spacing w:val="-85"/>
        </w:rPr>
        <w:t> </w:t>
      </w:r>
      <w:r>
        <w:rPr>
          <w:spacing w:val="-85"/>
        </w:rPr>
      </w:r>
      <w:r>
        <w:rPr>
          <w:spacing w:val="-10"/>
        </w:rPr>
        <w:t>员、财务、机构</w:t>
      </w:r>
      <w:r>
        <w:rPr>
          <w:spacing w:val="-86"/>
        </w:rPr>
        <w:t> </w:t>
      </w:r>
      <w:r>
        <w:rPr>
          <w:spacing w:val="-86"/>
        </w:rPr>
      </w:r>
      <w:r>
        <w:rPr/>
        <w:t>和业务方面的 完整性和独立 性。</w:t>
      </w:r>
      <w:r>
        <w:rPr>
          <w:rFonts w:ascii="Times New Roman" w:hAnsi="Times New Roman" w:cs="Times New Roman" w:eastAsia="Times New Roman" w:hint="default"/>
        </w:rPr>
        <w:t>2</w:t>
      </w:r>
      <w:r>
        <w:rPr/>
        <w:t>、本人</w:t>
      </w:r>
      <w:r>
        <w:rPr>
          <w:rFonts w:ascii="Times New Roman" w:hAnsi="Times New Roman" w:cs="Times New Roman" w:eastAsia="Times New Roman" w:hint="default"/>
        </w:rPr>
        <w:t>/ </w:t>
      </w:r>
      <w:r>
        <w:rPr>
          <w:spacing w:val="-10"/>
        </w:rPr>
        <w:t>本企业承诺，如</w:t>
      </w:r>
      <w:r>
        <w:rPr>
          <w:spacing w:val="-85"/>
        </w:rPr>
        <w:t> </w:t>
      </w:r>
      <w:r>
        <w:rPr>
          <w:spacing w:val="-85"/>
        </w:rPr>
      </w:r>
      <w:r>
        <w:rPr/>
        <w:t>违反上述保证 </w:t>
      </w:r>
      <w:r>
        <w:rPr>
          <w:spacing w:val="-10"/>
        </w:rPr>
        <w:t>和承诺，将依法</w:t>
      </w:r>
      <w:r>
        <w:rPr>
          <w:spacing w:val="-85"/>
        </w:rPr>
        <w:t> </w:t>
      </w:r>
      <w:r>
        <w:rPr>
          <w:spacing w:val="-85"/>
        </w:rPr>
      </w:r>
      <w:r>
        <w:rPr/>
        <w:t>承担全部责任。 </w:t>
      </w:r>
      <w:r>
        <w:rPr>
          <w:rFonts w:ascii="Times New Roman" w:hAnsi="Times New Roman" w:cs="Times New Roman" w:eastAsia="Times New Roman" w:hint="default"/>
        </w:rPr>
        <w:t>"</w:t>
      </w:r>
      <w:r>
        <w:rPr/>
        <w:t>四、关于交易 对方无相关情 形的承诺函： </w:t>
      </w:r>
      <w:r>
        <w:rPr>
          <w:rFonts w:ascii="Times New Roman" w:hAnsi="Times New Roman" w:cs="Times New Roman" w:eastAsia="Times New Roman" w:hint="default"/>
        </w:rPr>
        <w:t>"1</w:t>
      </w:r>
      <w:r>
        <w:rPr/>
        <w:t>、本次交易 </w:t>
      </w:r>
      <w:r>
        <w:rPr>
          <w:spacing w:val="-10"/>
        </w:rPr>
        <w:t>前，千百辉及股</w:t>
      </w:r>
      <w:r>
        <w:rPr>
          <w:spacing w:val="-85"/>
        </w:rPr>
        <w:t> </w:t>
      </w:r>
      <w:r>
        <w:rPr>
          <w:spacing w:val="-85"/>
        </w:rPr>
      </w:r>
      <w:r>
        <w:rPr/>
        <w:t>东、千百辉董 </w:t>
      </w:r>
      <w:r>
        <w:rPr>
          <w:spacing w:val="-10"/>
        </w:rPr>
        <w:t>事、监事及高级</w:t>
      </w:r>
      <w:r>
        <w:rPr>
          <w:spacing w:val="-85"/>
        </w:rPr>
        <w:t> </w:t>
      </w:r>
      <w:r>
        <w:rPr>
          <w:spacing w:val="-85"/>
        </w:rPr>
      </w:r>
      <w:r>
        <w:rPr/>
        <w:t>管理人员以及 千百辉控制的 其他企业与奥 拓电子及本次 交易的各中介 机构不存在关 联关系；</w:t>
      </w:r>
      <w:r>
        <w:rPr>
          <w:rFonts w:ascii="Times New Roman" w:hAnsi="Times New Roman" w:cs="Times New Roman" w:eastAsia="Times New Roman" w:hint="default"/>
        </w:rPr>
        <w:t>2</w:t>
      </w:r>
      <w:r>
        <w:rPr/>
        <w:t>、自 出具本承诺函 之日起的最近 </w:t>
      </w:r>
      <w:r>
        <w:rPr>
          <w:spacing w:val="-10"/>
        </w:rPr>
        <w:t>五年，千百辉及</w:t>
      </w:r>
      <w:r>
        <w:rPr>
          <w:spacing w:val="-85"/>
        </w:rPr>
        <w:t> </w:t>
      </w:r>
      <w:r>
        <w:rPr>
          <w:spacing w:val="-85"/>
        </w:rPr>
      </w:r>
      <w:r>
        <w:rPr>
          <w:spacing w:val="-10"/>
        </w:rPr>
        <w:t>股东、千百辉董</w:t>
      </w:r>
      <w:r>
        <w:rPr>
          <w:spacing w:val="-85"/>
        </w:rPr>
        <w:t> </w:t>
      </w:r>
      <w:r>
        <w:rPr>
          <w:spacing w:val="-85"/>
        </w:rPr>
      </w:r>
      <w:r>
        <w:rPr>
          <w:spacing w:val="-10"/>
        </w:rPr>
        <w:t>事、监事及高级</w:t>
      </w:r>
      <w:r>
        <w:rPr>
          <w:spacing w:val="-85"/>
        </w:rPr>
        <w:t> </w:t>
      </w:r>
      <w:r>
        <w:rPr>
          <w:spacing w:val="-85"/>
        </w:rPr>
      </w:r>
      <w:r>
        <w:rPr/>
        <w:t>管理人员未受 </w:t>
      </w:r>
      <w:r>
        <w:rPr>
          <w:spacing w:val="-10"/>
        </w:rPr>
        <w:t>到行政处罚（与</w:t>
      </w:r>
      <w:r>
        <w:rPr>
          <w:spacing w:val="-85"/>
        </w:rPr>
        <w:t> </w:t>
      </w:r>
      <w:r>
        <w:rPr>
          <w:spacing w:val="-85"/>
        </w:rPr>
      </w:r>
      <w:r>
        <w:rPr/>
        <w:t>证券市场明显 </w:t>
      </w:r>
      <w:r>
        <w:rPr>
          <w:spacing w:val="-13"/>
        </w:rPr>
        <w:t>无关的除外）、</w:t>
      </w:r>
      <w:r>
        <w:rPr/>
        <w:t> </w:t>
      </w:r>
      <w:r>
        <w:rPr>
          <w:spacing w:val="-10"/>
        </w:rPr>
        <w:t>刑事处罚，亦未</w:t>
      </w:r>
      <w:r>
        <w:rPr>
          <w:spacing w:val="-85"/>
        </w:rPr>
        <w:t> </w:t>
      </w:r>
      <w:r>
        <w:rPr>
          <w:spacing w:val="-85"/>
        </w:rPr>
      </w:r>
      <w:r>
        <w:rPr/>
        <w:t>涉及重大的未</w:t>
      </w:r>
    </w:p>
    <w:p>
      <w:pPr>
        <w:spacing w:after="0" w:line="316" w:lineRule="auto"/>
        <w:jc w:val="left"/>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72.47998pt;width:55.85pt;height:688.5pt;mso-position-horizontal-relative:page;mso-position-vertical-relative:page;z-index:-1174624" coordorigin="7353,1450" coordsize="1117,13770">
            <v:shape style="position:absolute;left:7353;top:1450;width:1117;height:13770" coordorigin="7353,1450" coordsize="1117,13770" path="m7353,15220l8470,15220,8470,1450,7353,1450,7353,15220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317"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
        </w:tc>
        <w:tc>
          <w:tcPr>
            <w:tcW w:w="1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决诉讼或者仲</w:t>
            </w:r>
          </w:p>
        </w:tc>
        <w:tc>
          <w:tcPr>
            <w:tcW w:w="1126" w:type="dxa"/>
            <w:tcBorders>
              <w:top w:val="single" w:sz="4" w:space="0" w:color="000000"/>
              <w:left w:val="single" w:sz="4" w:space="0" w:color="000000"/>
              <w:bottom w:val="nil" w:sz="6" w:space="0" w:color="auto"/>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裁；</w:t>
            </w:r>
            <w:r>
              <w:rPr>
                <w:rFonts w:ascii="Times New Roman" w:hAnsi="Times New Roman" w:cs="Times New Roman" w:eastAsia="Times New Roman" w:hint="default"/>
                <w:sz w:val="18"/>
                <w:szCs w:val="18"/>
              </w:rPr>
              <w:t>3</w:t>
            </w:r>
            <w:r>
              <w:rPr>
                <w:rFonts w:ascii="宋体" w:hAnsi="宋体" w:cs="宋体" w:eastAsia="宋体" w:hint="default"/>
                <w:sz w:val="18"/>
                <w:szCs w:val="18"/>
              </w:rPr>
              <w:t>、千百辉</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10"/>
                <w:sz w:val="18"/>
                <w:szCs w:val="18"/>
              </w:rPr>
              <w:t>及股东、千百辉</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董事、监事及高</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级管理人员以</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及千百辉控制</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的其他企业不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存在因涉嫌重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大资产重组相</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关的内幕交易</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被立案调查或</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者立案侦查，最</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近五年不存在</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被中国证监会</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作出行政处罚</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或者司法机关</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依法追究刑事</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责任的情况，不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存在《关于加强</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与上市公司重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大资产重组相</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关股票异常交</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易监管的暂行</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规定》第十三条</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规定中不得参</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与任何上市公</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司重大资产重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组情形；</w:t>
            </w:r>
            <w:r>
              <w:rPr>
                <w:rFonts w:ascii="Times New Roman" w:hAnsi="Times New Roman" w:cs="Times New Roman" w:eastAsia="Times New Roman" w:hint="default"/>
                <w:sz w:val="18"/>
                <w:szCs w:val="18"/>
              </w:rPr>
              <w:t>4</w:t>
            </w:r>
            <w:r>
              <w:rPr>
                <w:rFonts w:ascii="宋体" w:hAnsi="宋体" w:cs="宋体" w:eastAsia="宋体" w:hint="default"/>
                <w:sz w:val="18"/>
                <w:szCs w:val="18"/>
              </w:rPr>
              <w:t>、千</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10"/>
                <w:sz w:val="18"/>
                <w:szCs w:val="18"/>
              </w:rPr>
              <w:t>百辉及股东、千</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百辉董事、监事</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及高级管理人</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员最近五年不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存在未偿还大</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额债务、未履行</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承诺、被中国证</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监会采取行政</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监管措施或受</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到证券交易所</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纪律处分的情</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形；</w:t>
            </w:r>
            <w:r>
              <w:rPr>
                <w:rFonts w:ascii="Times New Roman" w:hAnsi="Times New Roman" w:cs="Times New Roman" w:eastAsia="Times New Roman" w:hint="default"/>
                <w:sz w:val="18"/>
                <w:szCs w:val="18"/>
              </w:rPr>
              <w:t>5</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10"/>
                <w:sz w:val="18"/>
                <w:szCs w:val="18"/>
              </w:rPr>
              <w:t>本企业承诺，如</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违反上述保证</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49" w:right="0"/>
              <w:jc w:val="left"/>
              <w:rPr>
                <w:rFonts w:ascii="宋体" w:hAnsi="宋体" w:cs="宋体" w:eastAsia="宋体" w:hint="default"/>
                <w:sz w:val="18"/>
                <w:szCs w:val="18"/>
              </w:rPr>
            </w:pPr>
            <w:r>
              <w:rPr>
                <w:rFonts w:ascii="宋体" w:hAnsi="宋体" w:cs="宋体" w:eastAsia="宋体" w:hint="default"/>
                <w:sz w:val="18"/>
                <w:szCs w:val="18"/>
              </w:rPr>
              <w:t>，</w:t>
            </w: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127" w:type="dxa"/>
            <w:vMerge/>
            <w:tcBorders>
              <w:left w:val="single" w:sz="4" w:space="0" w:color="000000"/>
              <w:right w:val="single" w:sz="4" w:space="0" w:color="000000"/>
            </w:tcBorders>
            <w:shd w:val="clear" w:color="auto" w:fill="D2D2D2"/>
          </w:tcPr>
          <w:p>
            <w:pPr/>
          </w:p>
        </w:tc>
        <w:tc>
          <w:tcPr>
            <w:tcW w:w="1559"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将依法承担全</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57"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部责任。</w:t>
            </w:r>
            <w:r>
              <w:rPr>
                <w:rFonts w:ascii="Times New Roman" w:hAnsi="Times New Roman" w:cs="Times New Roman" w:eastAsia="Times New Roman" w:hint="default"/>
                <w:sz w:val="18"/>
                <w:szCs w:val="18"/>
              </w:rPr>
              <w:t>"</w:t>
            </w:r>
          </w:p>
        </w:tc>
        <w:tc>
          <w:tcPr>
            <w:tcW w:w="1126" w:type="dxa"/>
            <w:tcBorders>
              <w:top w:val="nil" w:sz="6" w:space="0" w:color="auto"/>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333.919983pt;width:55.85pt;height:226.25pt;mso-position-horizontal-relative:page;mso-position-vertical-relative:page;z-index:-1174576" coordorigin="7353,6678" coordsize="1117,4525">
            <v:shape style="position:absolute;left:7353;top:6678;width:1117;height:4525" coordorigin="7353,6678" coordsize="1117,4525" path="m7353,11203l8470,11203,8470,6678,7353,6678,7353,11203xe" filled="true" fillcolor="#ffffff" stroked="false">
              <v:path arrowok="t"/>
              <v:fill type="solid"/>
            </v:shape>
            <w10:wrap type="none"/>
          </v:group>
        </w:pict>
      </w:r>
      <w:r>
        <w:rPr/>
        <w:pict>
          <v:group style="position:absolute;margin-left:367.660004pt;margin-top:680.619995pt;width:55.85pt;height:84.9pt;mso-position-horizontal-relative:page;mso-position-vertical-relative:page;z-index:-1174552" coordorigin="7353,13612" coordsize="1117,1698">
            <v:shape style="position:absolute;left:7353;top:13612;width:1117;height:1698" coordorigin="7353,13612" coordsize="1117,1698" path="m7353,15310l8470,15310,8470,13612,7353,13612,7353,15310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9763" w:hRule="exact"/>
        </w:trPr>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319" w:lineRule="auto"/>
              <w:ind w:left="22" w:right="114"/>
              <w:jc w:val="left"/>
              <w:rPr>
                <w:rFonts w:ascii="宋体" w:hAnsi="宋体" w:cs="宋体" w:eastAsia="宋体" w:hint="default"/>
                <w:sz w:val="18"/>
                <w:szCs w:val="18"/>
              </w:rPr>
            </w:pPr>
            <w:r>
              <w:rPr>
                <w:rFonts w:ascii="宋体" w:hAnsi="宋体" w:cs="宋体" w:eastAsia="宋体" w:hint="default"/>
                <w:sz w:val="18"/>
                <w:szCs w:val="18"/>
              </w:rPr>
              <w:t>首次公开发行或再融资时 所作承诺</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319" w:lineRule="auto"/>
              <w:ind w:left="23" w:right="84"/>
              <w:jc w:val="both"/>
              <w:rPr>
                <w:rFonts w:ascii="宋体" w:hAnsi="宋体" w:cs="宋体" w:eastAsia="宋体" w:hint="default"/>
                <w:sz w:val="18"/>
                <w:szCs w:val="18"/>
              </w:rPr>
            </w:pPr>
            <w:r>
              <w:rPr>
                <w:rFonts w:ascii="宋体" w:hAnsi="宋体" w:cs="宋体" w:eastAsia="宋体" w:hint="default"/>
                <w:sz w:val="18"/>
                <w:szCs w:val="18"/>
              </w:rPr>
              <w:t>发行人的控股股东 及实际控制人、董 事吴涵渠</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自发行人股票 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pacing w:val="-10"/>
                <w:sz w:val="18"/>
                <w:szCs w:val="18"/>
              </w:rPr>
              <w:t>个月内，不转让</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或者委托他人 管理本人持有 的发行人公开 发行股票前已 </w:t>
            </w:r>
            <w:r>
              <w:rPr>
                <w:rFonts w:ascii="宋体" w:hAnsi="宋体" w:cs="宋体" w:eastAsia="宋体" w:hint="default"/>
                <w:spacing w:val="-10"/>
                <w:sz w:val="18"/>
                <w:szCs w:val="18"/>
              </w:rPr>
              <w:t>发行的股份，也</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不由发行人回 购本人持有的 发行人公开发 行股票前已发 </w:t>
            </w:r>
            <w:r>
              <w:rPr>
                <w:rFonts w:ascii="宋体" w:hAnsi="宋体" w:cs="宋体" w:eastAsia="宋体" w:hint="default"/>
                <w:spacing w:val="-10"/>
                <w:sz w:val="18"/>
                <w:szCs w:val="18"/>
              </w:rPr>
              <w:t>行的股份。上述</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锁定期届满后， 在本人任职期 </w:t>
            </w:r>
            <w:r>
              <w:rPr>
                <w:rFonts w:ascii="宋体" w:hAnsi="宋体" w:cs="宋体" w:eastAsia="宋体" w:hint="default"/>
                <w:spacing w:val="-10"/>
                <w:sz w:val="18"/>
                <w:szCs w:val="18"/>
              </w:rPr>
              <w:t>间，每年转让的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股份不超过本 人持有股份总 数的</w:t>
            </w:r>
            <w:r>
              <w:rPr>
                <w:rFonts w:ascii="宋体" w:hAnsi="宋体" w:cs="宋体" w:eastAsia="宋体" w:hint="default"/>
                <w:spacing w:val="-45"/>
                <w:sz w:val="18"/>
                <w:szCs w:val="18"/>
              </w:rPr>
              <w:t> </w:t>
            </w:r>
            <w:r>
              <w:rPr>
                <w:rFonts w:ascii="Times New Roman" w:hAnsi="Times New Roman" w:cs="Times New Roman" w:eastAsia="Times New Roman" w:hint="default"/>
                <w:spacing w:val="-14"/>
                <w:sz w:val="18"/>
                <w:szCs w:val="18"/>
              </w:rPr>
              <w:t>25%</w:t>
            </w:r>
            <w:r>
              <w:rPr>
                <w:rFonts w:ascii="宋体" w:hAnsi="宋体" w:cs="宋体" w:eastAsia="宋体" w:hint="default"/>
                <w:spacing w:val="-14"/>
                <w:sz w:val="18"/>
                <w:szCs w:val="18"/>
              </w:rPr>
              <w:t>，且在</w:t>
            </w:r>
            <w:r>
              <w:rPr>
                <w:rFonts w:ascii="宋体" w:hAnsi="宋体" w:cs="宋体" w:eastAsia="宋体" w:hint="default"/>
                <w:sz w:val="18"/>
                <w:szCs w:val="18"/>
              </w:rPr>
              <w:t> 离职后半年内， 不转让本人所 </w:t>
            </w:r>
            <w:r>
              <w:rPr>
                <w:rFonts w:ascii="宋体" w:hAnsi="宋体" w:cs="宋体" w:eastAsia="宋体" w:hint="default"/>
                <w:spacing w:val="-10"/>
                <w:sz w:val="18"/>
                <w:szCs w:val="18"/>
              </w:rPr>
              <w:t>持有的股份；在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申报离职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w:t>
            </w:r>
          </w:p>
          <w:p>
            <w:pPr>
              <w:pStyle w:val="TableParagraph"/>
              <w:spacing w:line="314" w:lineRule="auto"/>
              <w:ind w:left="22" w:right="48"/>
              <w:jc w:val="left"/>
              <w:rPr>
                <w:rFonts w:ascii="宋体" w:hAnsi="宋体" w:cs="宋体" w:eastAsia="宋体" w:hint="default"/>
                <w:sz w:val="18"/>
                <w:szCs w:val="18"/>
              </w:rPr>
            </w:pPr>
            <w:r>
              <w:rPr>
                <w:rFonts w:ascii="宋体" w:hAnsi="宋体" w:cs="宋体" w:eastAsia="宋体" w:hint="default"/>
                <w:sz w:val="18"/>
                <w:szCs w:val="18"/>
              </w:rPr>
              <w:t>月后的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内通过证券交 易所挂牌交易 出售公司股票 的数量占本人 所持有公司股 票总数的比例 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45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9"/>
                <w:sz w:val="20"/>
                <w:szCs w:val="20"/>
              </w:rPr>
              <w:pict>
                <v:group style="width:55.85pt;height:226.25pt;mso-position-horizontal-relative:char;mso-position-vertical-relative:line" coordorigin="0,0" coordsize="1117,4525">
                  <v:group style="position:absolute;left:0;top:0;width:1117;height:4525" coordorigin="0,0" coordsize="1117,4525">
                    <v:shape style="position:absolute;left:0;top:0;width:1117;height:4525" coordorigin="0,0" coordsize="1117,4525" path="m0,4524l1116,4524,1116,0,0,0,0,4524xe" filled="true" fillcolor="#ffffff" stroked="false">
                      <v:path arrowok="t"/>
                      <v:fill type="solid"/>
                    </v:shape>
                  </v:group>
                </v:group>
              </w:pict>
            </w:r>
            <w:r>
              <w:rPr>
                <w:rFonts w:ascii="Times New Roman" w:hAnsi="Times New Roman" w:cs="Times New Roman" w:eastAsia="Times New Roman" w:hint="default"/>
                <w:position w:val="-89"/>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107"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312" w:lineRule="auto"/>
              <w:ind w:left="23" w:right="24"/>
              <w:jc w:val="left"/>
              <w:rPr>
                <w:rFonts w:ascii="宋体" w:hAnsi="宋体" w:cs="宋体" w:eastAsia="宋体" w:hint="default"/>
                <w:sz w:val="18"/>
                <w:szCs w:val="18"/>
              </w:rPr>
            </w:pPr>
            <w:r>
              <w:rPr>
                <w:rFonts w:ascii="宋体" w:hAnsi="宋体" w:cs="宋体" w:eastAsia="宋体" w:hint="default"/>
                <w:sz w:val="18"/>
                <w:szCs w:val="18"/>
              </w:rPr>
              <w:t>发行时持有公司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以上股份的股东 同时是公司监事黄 斌</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自发行人股票 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pacing w:val="-10"/>
                <w:sz w:val="18"/>
                <w:szCs w:val="18"/>
              </w:rPr>
              <w:t>个月内，不转让</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本人持有的发 行人公开发行 股票前已发行 </w:t>
            </w:r>
            <w:r>
              <w:rPr>
                <w:rFonts w:ascii="宋体" w:hAnsi="宋体" w:cs="宋体" w:eastAsia="宋体" w:hint="default"/>
                <w:spacing w:val="-10"/>
                <w:sz w:val="18"/>
                <w:szCs w:val="18"/>
              </w:rPr>
              <w:t>的股份；上述锁</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定期届满后，在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本人任职期间， 每年转让的股 份不超过本人 持有股份总数</w:t>
            </w:r>
          </w:p>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pacing w:val="-81"/>
                <w:sz w:val="18"/>
                <w:szCs w:val="18"/>
              </w:rPr>
              <w:t>，</w:t>
            </w:r>
            <w:r>
              <w:rPr>
                <w:rFonts w:ascii="宋体" w:hAnsi="宋体" w:cs="宋体" w:eastAsia="宋体" w:hint="default"/>
                <w:sz w:val="18"/>
                <w:szCs w:val="18"/>
              </w:rPr>
              <w:t>且在离</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530.440002pt;width:55.85pt;height:233pt;mso-position-horizontal-relative:page;mso-position-vertical-relative:page;z-index:-1174504" coordorigin="7353,10609" coordsize="1117,4660">
            <v:shape style="position:absolute;left:7353;top:10609;width:1117;height:4660" coordorigin="7353,10609" coordsize="1117,4660" path="m7353,15269l8470,15269,8470,10609,7353,10609,7353,15269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10"/>
      </w:tblGrid>
      <w:tr>
        <w:trPr>
          <w:trHeight w:val="3795"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left"/>
              <w:rPr>
                <w:rFonts w:ascii="宋体" w:hAnsi="宋体" w:cs="宋体" w:eastAsia="宋体" w:hint="default"/>
                <w:sz w:val="18"/>
                <w:szCs w:val="18"/>
              </w:rPr>
            </w:pPr>
            <w:r>
              <w:rPr>
                <w:rFonts w:ascii="宋体" w:hAnsi="宋体" w:cs="宋体" w:eastAsia="宋体" w:hint="default"/>
                <w:spacing w:val="-10"/>
                <w:sz w:val="18"/>
                <w:szCs w:val="18"/>
              </w:rPr>
              <w:t>职后半年内，不</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转让本人所持 </w:t>
            </w:r>
            <w:r>
              <w:rPr>
                <w:rFonts w:ascii="宋体" w:hAnsi="宋体" w:cs="宋体" w:eastAsia="宋体" w:hint="default"/>
                <w:spacing w:val="-10"/>
                <w:sz w:val="18"/>
                <w:szCs w:val="18"/>
              </w:rPr>
              <w:t>有的股份；在申</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报离职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p>
            <w:pPr>
              <w:pStyle w:val="TableParagraph"/>
              <w:spacing w:line="314" w:lineRule="auto"/>
              <w:ind w:left="22" w:right="48"/>
              <w:jc w:val="left"/>
              <w:rPr>
                <w:rFonts w:ascii="宋体" w:hAnsi="宋体" w:cs="宋体" w:eastAsia="宋体" w:hint="default"/>
                <w:sz w:val="18"/>
                <w:szCs w:val="18"/>
              </w:rPr>
            </w:pPr>
            <w:r>
              <w:rPr>
                <w:rFonts w:ascii="宋体" w:hAnsi="宋体" w:cs="宋体" w:eastAsia="宋体" w:hint="default"/>
                <w:sz w:val="18"/>
                <w:szCs w:val="18"/>
              </w:rPr>
              <w:t>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 通过证券交易 所挂牌交易出 售公司股票的 数量占本人所 持有公司股票 总数的比例不 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0035"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9" w:lineRule="auto"/>
              <w:ind w:left="23" w:right="84"/>
              <w:jc w:val="both"/>
              <w:rPr>
                <w:rFonts w:ascii="宋体" w:hAnsi="宋体" w:cs="宋体" w:eastAsia="宋体" w:hint="default"/>
                <w:sz w:val="18"/>
                <w:szCs w:val="18"/>
              </w:rPr>
            </w:pPr>
            <w:r>
              <w:rPr>
                <w:rFonts w:ascii="宋体" w:hAnsi="宋体" w:cs="宋体" w:eastAsia="宋体" w:hint="default"/>
                <w:sz w:val="18"/>
                <w:szCs w:val="18"/>
              </w:rPr>
              <w:t>发行人的控股股东 及实际控制人吴涵 渠</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、本人及本人 控制的企业均 未直接或间接 经营任何与奥 拓电子及其子 公司经营的业 务构成竞争或 可能构成竞争 </w:t>
            </w:r>
            <w:r>
              <w:rPr>
                <w:rFonts w:ascii="宋体" w:hAnsi="宋体" w:cs="宋体" w:eastAsia="宋体" w:hint="default"/>
                <w:spacing w:val="-10"/>
                <w:sz w:val="18"/>
                <w:szCs w:val="18"/>
              </w:rPr>
              <w:t>的业务，也未参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与投资任何与 奥拓电子及其 子公司经营的 业务构成竞争 或可能构成竞 争的其他企业。 </w:t>
            </w:r>
            <w:r>
              <w:rPr>
                <w:rFonts w:ascii="Times New Roman" w:hAnsi="Times New Roman" w:cs="Times New Roman" w:eastAsia="Times New Roman" w:hint="default"/>
                <w:sz w:val="18"/>
                <w:szCs w:val="18"/>
              </w:rPr>
              <w:t>2</w:t>
            </w:r>
            <w:r>
              <w:rPr>
                <w:rFonts w:ascii="宋体" w:hAnsi="宋体" w:cs="宋体" w:eastAsia="宋体" w:hint="default"/>
                <w:sz w:val="18"/>
                <w:szCs w:val="18"/>
              </w:rPr>
              <w:t>、本人及本人 控制的企业将 不直接或间接 经营任何与奥 拓电子及其子 公司经营的业 务构成竞争或 可能构成竞争 </w:t>
            </w:r>
            <w:r>
              <w:rPr>
                <w:rFonts w:ascii="宋体" w:hAnsi="宋体" w:cs="宋体" w:eastAsia="宋体" w:hint="default"/>
                <w:spacing w:val="-10"/>
                <w:sz w:val="18"/>
                <w:szCs w:val="18"/>
              </w:rPr>
              <w:t>的业务，也不参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与投资任何与 奥拓电子及其 子公司经营的 业务构成竞争 或可能构成竞 争的其他企业。 </w:t>
            </w:r>
            <w:r>
              <w:rPr>
                <w:rFonts w:ascii="Times New Roman" w:hAnsi="Times New Roman" w:cs="Times New Roman" w:eastAsia="Times New Roman" w:hint="default"/>
                <w:sz w:val="18"/>
                <w:szCs w:val="18"/>
              </w:rPr>
              <w:t>3</w:t>
            </w:r>
            <w:r>
              <w:rPr>
                <w:rFonts w:ascii="宋体" w:hAnsi="宋体" w:cs="宋体" w:eastAsia="宋体" w:hint="default"/>
                <w:sz w:val="18"/>
                <w:szCs w:val="18"/>
              </w:rPr>
              <w:t>、若本人及本 人控制的企业</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466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2"/>
                <w:sz w:val="20"/>
                <w:szCs w:val="20"/>
              </w:rPr>
              <w:pict>
                <v:group style="width:55.85pt;height:233pt;mso-position-horizontal-relative:char;mso-position-vertical-relative:line" coordorigin="0,0" coordsize="1117,4660">
                  <v:group style="position:absolute;left:0;top:0;width:1117;height:4660" coordorigin="0,0" coordsize="1117,4660">
                    <v:shape style="position:absolute;left:0;top:0;width:1117;height:4660" coordorigin="0,0" coordsize="1117,4660" path="m0,4660l1116,4660,1116,0,0,0,0,4660xe" filled="true" fillcolor="#ffffff" stroked="false">
                      <v:path arrowok="t"/>
                      <v:fill type="solid"/>
                    </v:shape>
                  </v:group>
                </v:group>
              </w:pict>
            </w:r>
            <w:r>
              <w:rPr>
                <w:rFonts w:ascii="Times New Roman" w:hAnsi="Times New Roman" w:cs="Times New Roman" w:eastAsia="Times New Roman" w:hint="default"/>
                <w:position w:val="-92"/>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10"/>
      </w:tblGrid>
      <w:tr>
        <w:trPr>
          <w:trHeight w:val="11595"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41"/>
              <w:jc w:val="left"/>
              <w:rPr>
                <w:rFonts w:ascii="宋体" w:hAnsi="宋体" w:cs="宋体" w:eastAsia="宋体" w:hint="default"/>
                <w:sz w:val="18"/>
                <w:szCs w:val="18"/>
              </w:rPr>
            </w:pPr>
            <w:r>
              <w:rPr>
                <w:rFonts w:ascii="宋体" w:hAnsi="宋体" w:cs="宋体" w:eastAsia="宋体" w:hint="default"/>
                <w:sz w:val="18"/>
                <w:szCs w:val="18"/>
              </w:rPr>
              <w:t>进一步拓展业 </w:t>
            </w:r>
            <w:r>
              <w:rPr>
                <w:rFonts w:ascii="宋体" w:hAnsi="宋体" w:cs="宋体" w:eastAsia="宋体" w:hint="default"/>
                <w:spacing w:val="-10"/>
                <w:sz w:val="18"/>
                <w:szCs w:val="18"/>
              </w:rPr>
              <w:t>务范围，本人及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本人控制的企 业将不与奥拓 电子及其子公 司拓展后的业 </w:t>
            </w:r>
            <w:r>
              <w:rPr>
                <w:rFonts w:ascii="宋体" w:hAnsi="宋体" w:cs="宋体" w:eastAsia="宋体" w:hint="default"/>
                <w:spacing w:val="-10"/>
                <w:sz w:val="18"/>
                <w:szCs w:val="18"/>
              </w:rPr>
              <w:t>务相竞争；若与</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奥拓电子及其 子公司拓展后 的业务产生竞 </w:t>
            </w:r>
            <w:r>
              <w:rPr>
                <w:rFonts w:ascii="宋体" w:hAnsi="宋体" w:cs="宋体" w:eastAsia="宋体" w:hint="default"/>
                <w:spacing w:val="-10"/>
                <w:sz w:val="18"/>
                <w:szCs w:val="18"/>
              </w:rPr>
              <w:t>争，则本人及本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人控制的企业 将以停止经营 相竞争的业务 </w:t>
            </w:r>
            <w:r>
              <w:rPr>
                <w:rFonts w:ascii="宋体" w:hAnsi="宋体" w:cs="宋体" w:eastAsia="宋体" w:hint="default"/>
                <w:spacing w:val="-10"/>
                <w:sz w:val="18"/>
                <w:szCs w:val="18"/>
              </w:rPr>
              <w:t>的方式，或者将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相竞争的业务 纳入到奥拓电 子经营的方式， 或者将相竞争 的业务转让给 无关联关系的 第三方的方式 避免同业竞争。 </w:t>
            </w:r>
            <w:r>
              <w:rPr>
                <w:rFonts w:ascii="Times New Roman" w:hAnsi="Times New Roman" w:cs="Times New Roman" w:eastAsia="Times New Roman" w:hint="default"/>
                <w:sz w:val="18"/>
                <w:szCs w:val="18"/>
              </w:rPr>
              <w:t>4</w:t>
            </w:r>
            <w:r>
              <w:rPr>
                <w:rFonts w:ascii="宋体" w:hAnsi="宋体" w:cs="宋体" w:eastAsia="宋体" w:hint="default"/>
                <w:sz w:val="18"/>
                <w:szCs w:val="18"/>
              </w:rPr>
              <w:t>、在本人及本 人控制的企业 与奥拓电子存 在关联关系期 </w:t>
            </w:r>
            <w:r>
              <w:rPr>
                <w:rFonts w:ascii="宋体" w:hAnsi="宋体" w:cs="宋体" w:eastAsia="宋体" w:hint="default"/>
                <w:spacing w:val="-10"/>
                <w:sz w:val="18"/>
                <w:szCs w:val="18"/>
              </w:rPr>
              <w:t>间，本承诺函为</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有效之承诺。如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上述承诺被证 明是不真实的 或未被遵守</w:t>
            </w:r>
            <w:r>
              <w:rPr>
                <w:rFonts w:ascii="Times New Roman" w:hAnsi="Times New Roman" w:cs="Times New Roman" w:eastAsia="Times New Roman" w:hint="default"/>
                <w:sz w:val="18"/>
                <w:szCs w:val="18"/>
              </w:rPr>
              <w:t>,</w:t>
            </w:r>
            <w:r>
              <w:rPr>
                <w:rFonts w:ascii="宋体" w:hAnsi="宋体" w:cs="宋体" w:eastAsia="宋体" w:hint="default"/>
                <w:sz w:val="18"/>
                <w:szCs w:val="18"/>
              </w:rPr>
              <w:t>本 人将向奥拓电 子赔偿一切直 接和间接损失， 并承担相应的 法律责任。</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11585"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31"/>
                <w:sz w:val="20"/>
                <w:szCs w:val="20"/>
              </w:rPr>
              <w:pict>
                <v:group style="width:55.85pt;height:579.3pt;mso-position-horizontal-relative:char;mso-position-vertical-relative:line" coordorigin="0,0" coordsize="1117,11586">
                  <v:group style="position:absolute;left:0;top:0;width:1117;height:11586" coordorigin="0,0" coordsize="1117,11586">
                    <v:shape style="position:absolute;left:0;top:0;width:1117;height:11586" coordorigin="0,0" coordsize="1117,11586" path="m0,11586l1116,11586,1116,0,0,0,0,11586xe" filled="true" fillcolor="#ffffff" stroked="false">
                      <v:path arrowok="t"/>
                      <v:fill type="solid"/>
                    </v:shape>
                  </v:group>
                </v:group>
              </w:pict>
            </w:r>
            <w:r>
              <w:rPr>
                <w:rFonts w:ascii="Times New Roman" w:hAnsi="Times New Roman" w:cs="Times New Roman" w:eastAsia="Times New Roman" w:hint="default"/>
                <w:position w:val="-231"/>
                <w:sz w:val="20"/>
                <w:szCs w:val="20"/>
              </w:rPr>
            </w: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2235"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4"/>
              <w:jc w:val="left"/>
              <w:rPr>
                <w:rFonts w:ascii="宋体" w:hAnsi="宋体" w:cs="宋体" w:eastAsia="宋体" w:hint="default"/>
                <w:sz w:val="18"/>
                <w:szCs w:val="18"/>
              </w:rPr>
            </w:pPr>
            <w:r>
              <w:rPr>
                <w:rFonts w:ascii="宋体" w:hAnsi="宋体" w:cs="宋体" w:eastAsia="宋体" w:hint="default"/>
                <w:sz w:val="18"/>
                <w:szCs w:val="18"/>
              </w:rPr>
              <w:t>除控股股东之外的 发起人持有公司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以上股份股东： 黄斌、中检集团南 方电子产品测试</w:t>
            </w:r>
          </w:p>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（深圳）有限公司</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（原名：深圳电子</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、本人及本人 控制的企业均 未直接或间接 经营任何与奥 拓电子及其子 公司经营的业 务构成竞争或</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13740"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21"/>
              <w:jc w:val="left"/>
              <w:rPr>
                <w:rFonts w:ascii="宋体" w:hAnsi="宋体" w:cs="宋体" w:eastAsia="宋体" w:hint="default"/>
                <w:sz w:val="18"/>
                <w:szCs w:val="18"/>
              </w:rPr>
            </w:pPr>
            <w:r>
              <w:rPr>
                <w:rFonts w:ascii="宋体" w:hAnsi="宋体" w:cs="宋体" w:eastAsia="宋体" w:hint="default"/>
                <w:sz w:val="18"/>
                <w:szCs w:val="18"/>
              </w:rPr>
              <w:t>产品质量检测中 </w:t>
            </w:r>
            <w:r>
              <w:rPr>
                <w:rFonts w:ascii="宋体" w:hAnsi="宋体" w:cs="宋体" w:eastAsia="宋体" w:hint="default"/>
                <w:spacing w:val="-14"/>
                <w:sz w:val="18"/>
                <w:szCs w:val="18"/>
              </w:rPr>
              <w:t>心）、深圳市国成科</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技投资有限公司</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41"/>
              <w:jc w:val="left"/>
              <w:rPr>
                <w:rFonts w:ascii="宋体" w:hAnsi="宋体" w:cs="宋体" w:eastAsia="宋体" w:hint="default"/>
                <w:sz w:val="18"/>
                <w:szCs w:val="18"/>
              </w:rPr>
            </w:pPr>
            <w:r>
              <w:rPr>
                <w:rFonts w:ascii="宋体" w:hAnsi="宋体" w:cs="宋体" w:eastAsia="宋体" w:hint="default"/>
                <w:sz w:val="18"/>
                <w:szCs w:val="18"/>
              </w:rPr>
              <w:t>可能构成竞争 </w:t>
            </w:r>
            <w:r>
              <w:rPr>
                <w:rFonts w:ascii="宋体" w:hAnsi="宋体" w:cs="宋体" w:eastAsia="宋体" w:hint="default"/>
                <w:spacing w:val="-10"/>
                <w:sz w:val="18"/>
                <w:szCs w:val="18"/>
              </w:rPr>
              <w:t>的业务，也未参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与投资任何与 奥拓电子及其 子公司经营的 业务构成竞争 或可能构成竞 争的其他企业。 </w:t>
            </w:r>
            <w:r>
              <w:rPr>
                <w:rFonts w:ascii="Times New Roman" w:hAnsi="Times New Roman" w:cs="Times New Roman" w:eastAsia="Times New Roman" w:hint="default"/>
                <w:sz w:val="18"/>
                <w:szCs w:val="18"/>
              </w:rPr>
              <w:t>2</w:t>
            </w:r>
            <w:r>
              <w:rPr>
                <w:rFonts w:ascii="宋体" w:hAnsi="宋体" w:cs="宋体" w:eastAsia="宋体" w:hint="default"/>
                <w:sz w:val="18"/>
                <w:szCs w:val="18"/>
              </w:rPr>
              <w:t>、本人及本人 控制的企业将 不直接或间接 经营任何与奥 拓电子及其子 公司经营的业 务构成竞争或 可能构成竞争 </w:t>
            </w:r>
            <w:r>
              <w:rPr>
                <w:rFonts w:ascii="宋体" w:hAnsi="宋体" w:cs="宋体" w:eastAsia="宋体" w:hint="default"/>
                <w:spacing w:val="-10"/>
                <w:sz w:val="18"/>
                <w:szCs w:val="18"/>
              </w:rPr>
              <w:t>的业务，也不参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与投资任何与 奥拓电子及其 子公司经营的 业务构成竞争 或可能构成竞 争的其他企业。 </w:t>
            </w:r>
            <w:r>
              <w:rPr>
                <w:rFonts w:ascii="Times New Roman" w:hAnsi="Times New Roman" w:cs="Times New Roman" w:eastAsia="Times New Roman" w:hint="default"/>
                <w:sz w:val="18"/>
                <w:szCs w:val="18"/>
              </w:rPr>
              <w:t>3</w:t>
            </w:r>
            <w:r>
              <w:rPr>
                <w:rFonts w:ascii="宋体" w:hAnsi="宋体" w:cs="宋体" w:eastAsia="宋体" w:hint="default"/>
                <w:sz w:val="18"/>
                <w:szCs w:val="18"/>
              </w:rPr>
              <w:t>、若本人及本 人控制的企业 进一步拓展业 </w:t>
            </w:r>
            <w:r>
              <w:rPr>
                <w:rFonts w:ascii="宋体" w:hAnsi="宋体" w:cs="宋体" w:eastAsia="宋体" w:hint="default"/>
                <w:spacing w:val="-10"/>
                <w:sz w:val="18"/>
                <w:szCs w:val="18"/>
              </w:rPr>
              <w:t>务范围，本人及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本人控制的企 业将不与奥拓 电子及其子公 司拓展后的业 </w:t>
            </w:r>
            <w:r>
              <w:rPr>
                <w:rFonts w:ascii="宋体" w:hAnsi="宋体" w:cs="宋体" w:eastAsia="宋体" w:hint="default"/>
                <w:spacing w:val="-10"/>
                <w:sz w:val="18"/>
                <w:szCs w:val="18"/>
              </w:rPr>
              <w:t>务相竞争；若与</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奥拓电子及其 子公司拓展后 的业务产生竞 </w:t>
            </w:r>
            <w:r>
              <w:rPr>
                <w:rFonts w:ascii="宋体" w:hAnsi="宋体" w:cs="宋体" w:eastAsia="宋体" w:hint="default"/>
                <w:spacing w:val="-10"/>
                <w:sz w:val="18"/>
                <w:szCs w:val="18"/>
              </w:rPr>
              <w:t>争，则本人及本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人控制的企业 将以停止经营 相竞争的业务 </w:t>
            </w:r>
            <w:r>
              <w:rPr>
                <w:rFonts w:ascii="宋体" w:hAnsi="宋体" w:cs="宋体" w:eastAsia="宋体" w:hint="default"/>
                <w:spacing w:val="-10"/>
                <w:sz w:val="18"/>
                <w:szCs w:val="18"/>
              </w:rPr>
              <w:t>的方式，或者将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相竞争的业务 纳入到奥拓电 子经营的方式， 或者将相竞争</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72.47998pt;width:55.85pt;height:423.8pt;mso-position-horizontal-relative:page;mso-position-vertical-relative:page;z-index:-1174432" coordorigin="7353,1450" coordsize="1117,8476">
            <v:group style="position:absolute;left:7353;top:1450;width:1117;height:5658" coordorigin="7353,1450" coordsize="1117,5658">
              <v:shape style="position:absolute;left:7353;top:1450;width:1117;height:5658" coordorigin="7353,1450" coordsize="1117,5658" path="m7353,7107l8470,7107,8470,1450,7353,1450,7353,7107xe" filled="true" fillcolor="#ffffff" stroked="false">
                <v:path arrowok="t"/>
                <v:fill type="solid"/>
              </v:shape>
            </v:group>
            <v:group style="position:absolute;left:7353;top:7116;width:1117;height:2809" coordorigin="7353,7116" coordsize="1117,2809">
              <v:shape style="position:absolute;left:7353;top:7116;width:1117;height:2809" coordorigin="7353,7116" coordsize="1117,2809" path="m7353,9925l8470,9925,8470,7116,7353,7116,7353,9925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10"/>
      </w:tblGrid>
      <w:tr>
        <w:trPr>
          <w:trHeight w:val="5667"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41"/>
              <w:jc w:val="left"/>
              <w:rPr>
                <w:rFonts w:ascii="宋体" w:hAnsi="宋体" w:cs="宋体" w:eastAsia="宋体" w:hint="default"/>
                <w:sz w:val="18"/>
                <w:szCs w:val="18"/>
              </w:rPr>
            </w:pPr>
            <w:r>
              <w:rPr>
                <w:rFonts w:ascii="宋体" w:hAnsi="宋体" w:cs="宋体" w:eastAsia="宋体" w:hint="default"/>
                <w:sz w:val="18"/>
                <w:szCs w:val="18"/>
              </w:rPr>
              <w:t>的业务转让给 无关联关系的 第三方的方式 避免同业竞争。 </w:t>
            </w:r>
            <w:r>
              <w:rPr>
                <w:rFonts w:ascii="Times New Roman" w:hAnsi="Times New Roman" w:cs="Times New Roman" w:eastAsia="Times New Roman" w:hint="default"/>
                <w:sz w:val="18"/>
                <w:szCs w:val="18"/>
              </w:rPr>
              <w:t>4</w:t>
            </w:r>
            <w:r>
              <w:rPr>
                <w:rFonts w:ascii="宋体" w:hAnsi="宋体" w:cs="宋体" w:eastAsia="宋体" w:hint="default"/>
                <w:sz w:val="18"/>
                <w:szCs w:val="18"/>
              </w:rPr>
              <w:t>、在本人及本 人控制的企业 与奥拓电子存 在关联关系期 </w:t>
            </w:r>
            <w:r>
              <w:rPr>
                <w:rFonts w:ascii="宋体" w:hAnsi="宋体" w:cs="宋体" w:eastAsia="宋体" w:hint="default"/>
                <w:spacing w:val="-10"/>
                <w:sz w:val="18"/>
                <w:szCs w:val="18"/>
              </w:rPr>
              <w:t>间，本承诺函为</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有效之承诺。如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上述承诺被证 明是不真实的 或未被遵守</w:t>
            </w:r>
            <w:r>
              <w:rPr>
                <w:rFonts w:ascii="Times New Roman" w:hAnsi="Times New Roman" w:cs="Times New Roman" w:eastAsia="Times New Roman" w:hint="default"/>
                <w:sz w:val="18"/>
                <w:szCs w:val="18"/>
              </w:rPr>
              <w:t>,</w:t>
            </w:r>
            <w:r>
              <w:rPr>
                <w:rFonts w:ascii="宋体" w:hAnsi="宋体" w:cs="宋体" w:eastAsia="宋体" w:hint="default"/>
                <w:sz w:val="18"/>
                <w:szCs w:val="18"/>
              </w:rPr>
              <w:t>本 人将向奥拓电 子赔偿一切直 接和间接损失， 并承担相应的 法律责任。</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6330" w:hRule="exact"/>
        </w:trPr>
        <w:tc>
          <w:tcPr>
            <w:tcW w:w="2127" w:type="dxa"/>
            <w:vMerge/>
            <w:tcBorders>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316" w:lineRule="auto"/>
              <w:ind w:left="23" w:right="84"/>
              <w:jc w:val="both"/>
              <w:rPr>
                <w:rFonts w:ascii="宋体" w:hAnsi="宋体" w:cs="宋体" w:eastAsia="宋体" w:hint="default"/>
                <w:sz w:val="18"/>
                <w:szCs w:val="18"/>
              </w:rPr>
            </w:pPr>
            <w:r>
              <w:rPr>
                <w:rFonts w:ascii="宋体" w:hAnsi="宋体" w:cs="宋体" w:eastAsia="宋体" w:hint="default"/>
                <w:sz w:val="18"/>
                <w:szCs w:val="18"/>
              </w:rPr>
              <w:t>发行人的控股股东 及实际控制人吴涵 渠</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本人及本人所 控制的企业将 </w:t>
            </w:r>
            <w:r>
              <w:rPr>
                <w:rFonts w:ascii="宋体" w:hAnsi="宋体" w:cs="宋体" w:eastAsia="宋体" w:hint="default"/>
                <w:spacing w:val="-10"/>
                <w:sz w:val="18"/>
                <w:szCs w:val="18"/>
              </w:rPr>
              <w:t>尽量避免、减少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与发行人及其 子公司发生关 </w:t>
            </w:r>
            <w:r>
              <w:rPr>
                <w:rFonts w:ascii="宋体" w:hAnsi="宋体" w:cs="宋体" w:eastAsia="宋体" w:hint="default"/>
                <w:spacing w:val="-10"/>
                <w:sz w:val="18"/>
                <w:szCs w:val="18"/>
              </w:rPr>
              <w:t>联交易。如关联</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交易无法避免， 本人及本人所 控制的企业将 严格遵守中国 证监会和发行 人及其子公司 </w:t>
            </w:r>
            <w:r>
              <w:rPr>
                <w:rFonts w:ascii="宋体" w:hAnsi="宋体" w:cs="宋体" w:eastAsia="宋体" w:hint="default"/>
                <w:spacing w:val="-10"/>
                <w:sz w:val="18"/>
                <w:szCs w:val="18"/>
              </w:rPr>
              <w:t>章程的规定，按</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照通常的商业 准则确定交易 价格及其他交 </w:t>
            </w:r>
            <w:r>
              <w:rPr>
                <w:rFonts w:ascii="宋体" w:hAnsi="宋体" w:cs="宋体" w:eastAsia="宋体" w:hint="default"/>
                <w:spacing w:val="-10"/>
                <w:sz w:val="18"/>
                <w:szCs w:val="18"/>
              </w:rPr>
              <w:t>易条件，并按照</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关联交易公允 决策的程序履 行批准手续。</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1923"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84"/>
              <w:jc w:val="both"/>
              <w:rPr>
                <w:rFonts w:ascii="宋体" w:hAnsi="宋体" w:cs="宋体" w:eastAsia="宋体" w:hint="default"/>
                <w:sz w:val="18"/>
                <w:szCs w:val="18"/>
              </w:rPr>
            </w:pPr>
            <w:r>
              <w:rPr>
                <w:rFonts w:ascii="宋体" w:hAnsi="宋体" w:cs="宋体" w:eastAsia="宋体" w:hint="default"/>
                <w:sz w:val="18"/>
                <w:szCs w:val="18"/>
              </w:rPr>
              <w:t>吴涵渠、深圳市国 成科技投资有限公 司、黄斌、中检集 团南方电子产品测 试（深圳）有限公 司（原名：深圳电</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7"/>
              <w:jc w:val="both"/>
              <w:rPr>
                <w:rFonts w:ascii="宋体" w:hAnsi="宋体" w:cs="宋体" w:eastAsia="宋体" w:hint="default"/>
                <w:sz w:val="18"/>
                <w:szCs w:val="18"/>
              </w:rPr>
            </w:pPr>
            <w:r>
              <w:rPr>
                <w:rFonts w:ascii="宋体" w:hAnsi="宋体" w:cs="宋体" w:eastAsia="宋体" w:hint="default"/>
                <w:sz w:val="18"/>
                <w:szCs w:val="18"/>
              </w:rPr>
              <w:t>如公司及其子 公司因以提供 免费住房或住 房补贴方式代 替缴存部分职 工的住房公积</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72.47998pt;width:55.85pt;height:369.2pt;mso-position-horizontal-relative:page;mso-position-vertical-relative:page;z-index:-1174408" coordorigin="7353,1450" coordsize="1117,7384">
            <v:group style="position:absolute;left:7353;top:1450;width:1117;height:3786" coordorigin="7353,1450" coordsize="1117,3786">
              <v:shape style="position:absolute;left:7353;top:1450;width:1117;height:3786" coordorigin="7353,1450" coordsize="1117,3786" path="m7353,5235l8470,5235,8470,1450,7353,1450,7353,5235xe" filled="true" fillcolor="#ffffff" stroked="false">
                <v:path arrowok="t"/>
                <v:fill type="solid"/>
              </v:shape>
            </v:group>
            <v:group style="position:absolute;left:7353;top:5244;width:1117;height:3589" coordorigin="7353,5244" coordsize="1117,3589">
              <v:shape style="position:absolute;left:7353;top:5244;width:1117;height:3589" coordorigin="7353,5244" coordsize="1117,3589" path="m7353,8833l8470,8833,8470,5244,7353,5244,7353,8833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3795"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84"/>
              <w:jc w:val="left"/>
              <w:rPr>
                <w:rFonts w:ascii="宋体" w:hAnsi="宋体" w:cs="宋体" w:eastAsia="宋体" w:hint="default"/>
                <w:sz w:val="18"/>
                <w:szCs w:val="18"/>
              </w:rPr>
            </w:pPr>
            <w:r>
              <w:rPr>
                <w:rFonts w:ascii="宋体" w:hAnsi="宋体" w:cs="宋体" w:eastAsia="宋体" w:hint="default"/>
                <w:sz w:val="18"/>
                <w:szCs w:val="18"/>
              </w:rPr>
              <w:t>子产品质量检测中 心）</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41"/>
              <w:jc w:val="left"/>
              <w:rPr>
                <w:rFonts w:ascii="宋体" w:hAnsi="宋体" w:cs="宋体" w:eastAsia="宋体" w:hint="default"/>
                <w:sz w:val="18"/>
                <w:szCs w:val="18"/>
              </w:rPr>
            </w:pPr>
            <w:r>
              <w:rPr>
                <w:rFonts w:ascii="宋体" w:hAnsi="宋体" w:cs="宋体" w:eastAsia="宋体" w:hint="default"/>
                <w:sz w:val="18"/>
                <w:szCs w:val="18"/>
              </w:rPr>
              <w:t>金而遭受的任 </w:t>
            </w:r>
            <w:r>
              <w:rPr>
                <w:rFonts w:ascii="宋体" w:hAnsi="宋体" w:cs="宋体" w:eastAsia="宋体" w:hint="default"/>
                <w:spacing w:val="-10"/>
                <w:sz w:val="18"/>
                <w:szCs w:val="18"/>
              </w:rPr>
              <w:t>何经济处罚，或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有关政府部门 要求公司及其 子公司为员工 补缴住房公积 金而发生额外 支出，则本人</w:t>
            </w:r>
            <w:r>
              <w:rPr>
                <w:rFonts w:ascii="Times New Roman" w:hAnsi="Times New Roman" w:cs="Times New Roman" w:eastAsia="Times New Roman" w:hint="default"/>
                <w:sz w:val="18"/>
                <w:szCs w:val="18"/>
              </w:rPr>
              <w:t>/ </w:t>
            </w:r>
            <w:r>
              <w:rPr>
                <w:rFonts w:ascii="宋体" w:hAnsi="宋体" w:cs="宋体" w:eastAsia="宋体" w:hint="default"/>
                <w:sz w:val="18"/>
                <w:szCs w:val="18"/>
              </w:rPr>
              <w:t>本公司愿承担 该等经济处罚、 额外支出及相 应责任。</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7890"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21"/>
              <w:ind w:left="23" w:right="84"/>
              <w:jc w:val="left"/>
              <w:rPr>
                <w:rFonts w:ascii="宋体" w:hAnsi="宋体" w:cs="宋体" w:eastAsia="宋体" w:hint="default"/>
                <w:sz w:val="18"/>
                <w:szCs w:val="18"/>
              </w:rPr>
            </w:pPr>
            <w:r>
              <w:rPr>
                <w:rFonts w:ascii="宋体" w:hAnsi="宋体" w:cs="宋体" w:eastAsia="宋体" w:hint="default"/>
                <w:sz w:val="18"/>
                <w:szCs w:val="18"/>
              </w:rPr>
              <w:t>深圳市奥拓电子股 份有限公司</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为拓宽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器 件的供应渠道， 提高成本优势， 降低供应链风 </w:t>
            </w:r>
            <w:r>
              <w:rPr>
                <w:rFonts w:ascii="宋体" w:hAnsi="宋体" w:cs="宋体" w:eastAsia="宋体" w:hint="default"/>
                <w:spacing w:val="-10"/>
                <w:sz w:val="18"/>
                <w:szCs w:val="18"/>
              </w:rPr>
              <w:t>险，深圳市奥拓</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电子股份有限 公司（下称</w:t>
            </w:r>
            <w:r>
              <w:rPr>
                <w:rFonts w:ascii="Times New Roman" w:hAnsi="Times New Roman" w:cs="Times New Roman" w:eastAsia="Times New Roman" w:hint="default"/>
                <w:sz w:val="18"/>
                <w:szCs w:val="18"/>
              </w:rPr>
              <w:t>"</w:t>
            </w:r>
            <w:r>
              <w:rPr>
                <w:rFonts w:ascii="宋体" w:hAnsi="宋体" w:cs="宋体" w:eastAsia="宋体" w:hint="default"/>
                <w:sz w:val="18"/>
                <w:szCs w:val="18"/>
              </w:rPr>
              <w:t>奥 拓电子</w:t>
            </w:r>
            <w:r>
              <w:rPr>
                <w:rFonts w:ascii="Times New Roman" w:hAnsi="Times New Roman" w:cs="Times New Roman" w:eastAsia="Times New Roman" w:hint="default"/>
                <w:sz w:val="18"/>
                <w:szCs w:val="18"/>
              </w:rPr>
              <w:t>"</w:t>
            </w:r>
            <w:r>
              <w:rPr>
                <w:rFonts w:ascii="宋体" w:hAnsi="宋体" w:cs="宋体" w:eastAsia="宋体" w:hint="default"/>
                <w:sz w:val="18"/>
                <w:szCs w:val="18"/>
              </w:rPr>
              <w:t>）就与 深圳市奥伦德 科技股份有限 公司及其控股 子公司（下称</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奥伦德股份</w:t>
            </w:r>
            <w:r>
              <w:rPr>
                <w:rFonts w:ascii="Times New Roman" w:hAnsi="Times New Roman" w:cs="Times New Roman" w:eastAsia="Times New Roman" w:hint="default"/>
                <w:sz w:val="18"/>
                <w:szCs w:val="18"/>
              </w:rPr>
              <w:t>"</w:t>
            </w:r>
            <w:r>
              <w:rPr>
                <w:rFonts w:ascii="宋体" w:hAnsi="宋体" w:cs="宋体" w:eastAsia="宋体" w:hint="default"/>
                <w:sz w:val="18"/>
                <w:szCs w:val="18"/>
              </w:rPr>
              <w:t>） 的关联交易问 </w:t>
            </w:r>
            <w:r>
              <w:rPr>
                <w:rFonts w:ascii="宋体" w:hAnsi="宋体" w:cs="宋体" w:eastAsia="宋体" w:hint="default"/>
                <w:spacing w:val="-10"/>
                <w:sz w:val="18"/>
                <w:szCs w:val="18"/>
              </w:rPr>
              <w:t>题承诺如下：自</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本承诺函出具 </w:t>
            </w:r>
            <w:r>
              <w:rPr>
                <w:rFonts w:ascii="宋体" w:hAnsi="宋体" w:cs="宋体" w:eastAsia="宋体" w:hint="default"/>
                <w:spacing w:val="-10"/>
                <w:sz w:val="18"/>
                <w:szCs w:val="18"/>
              </w:rPr>
              <w:t>之日起，每年奥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拓电子与奥伦 德股份发生</w:t>
            </w:r>
          </w:p>
          <w:p>
            <w:pPr>
              <w:pStyle w:val="TableParagraph"/>
              <w:spacing w:line="312" w:lineRule="auto" w:before="22"/>
              <w:ind w:left="22" w:right="102"/>
              <w:jc w:val="both"/>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器件的关</w:t>
            </w:r>
            <w:r>
              <w:rPr>
                <w:rFonts w:ascii="宋体" w:hAnsi="宋体" w:cs="宋体" w:eastAsia="宋体" w:hint="default"/>
                <w:w w:val="99"/>
                <w:sz w:val="18"/>
                <w:szCs w:val="18"/>
              </w:rPr>
              <w:t> </w:t>
            </w:r>
            <w:r>
              <w:rPr>
                <w:rFonts w:ascii="宋体" w:hAnsi="宋体" w:cs="宋体" w:eastAsia="宋体" w:hint="default"/>
                <w:sz w:val="18"/>
                <w:szCs w:val="18"/>
              </w:rPr>
              <w:t>联交易金额占</w:t>
            </w:r>
            <w:r>
              <w:rPr>
                <w:rFonts w:ascii="宋体" w:hAnsi="宋体" w:cs="宋体" w:eastAsia="宋体" w:hint="default"/>
                <w:w w:val="99"/>
                <w:sz w:val="18"/>
                <w:szCs w:val="18"/>
              </w:rPr>
              <w:t> </w:t>
            </w:r>
            <w:r>
              <w:rPr>
                <w:rFonts w:ascii="宋体" w:hAnsi="宋体" w:cs="宋体" w:eastAsia="宋体" w:hint="default"/>
                <w:sz w:val="18"/>
                <w:szCs w:val="18"/>
              </w:rPr>
              <w:t>奥拓电子当年</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器件交易</w:t>
            </w:r>
            <w:r>
              <w:rPr>
                <w:rFonts w:ascii="宋体" w:hAnsi="宋体" w:cs="宋体" w:eastAsia="宋体" w:hint="default"/>
                <w:w w:val="99"/>
                <w:sz w:val="18"/>
                <w:szCs w:val="18"/>
              </w:rPr>
              <w:t> </w:t>
            </w:r>
            <w:r>
              <w:rPr>
                <w:rFonts w:ascii="宋体" w:hAnsi="宋体" w:cs="宋体" w:eastAsia="宋体" w:hint="default"/>
                <w:sz w:val="18"/>
                <w:szCs w:val="18"/>
              </w:rPr>
              <w:t>金额的比例不</w:t>
            </w:r>
            <w:r>
              <w:rPr>
                <w:rFonts w:ascii="宋体" w:hAnsi="宋体" w:cs="宋体" w:eastAsia="宋体" w:hint="default"/>
                <w:w w:val="99"/>
                <w:sz w:val="18"/>
                <w:szCs w:val="18"/>
              </w:rPr>
              <w:t> </w:t>
            </w:r>
            <w:r>
              <w:rPr>
                <w:rFonts w:ascii="宋体" w:hAnsi="宋体" w:cs="宋体" w:eastAsia="宋体" w:hint="default"/>
                <w:sz w:val="18"/>
                <w:szCs w:val="18"/>
              </w:rPr>
              <w:t>超过</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2235"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319" w:lineRule="auto"/>
              <w:ind w:left="23" w:right="84"/>
              <w:jc w:val="left"/>
              <w:rPr>
                <w:rFonts w:ascii="宋体" w:hAnsi="宋体" w:cs="宋体" w:eastAsia="宋体" w:hint="default"/>
                <w:sz w:val="18"/>
                <w:szCs w:val="18"/>
              </w:rPr>
            </w:pPr>
            <w:r>
              <w:rPr>
                <w:rFonts w:ascii="宋体" w:hAnsi="宋体" w:cs="宋体" w:eastAsia="宋体" w:hint="default"/>
                <w:sz w:val="18"/>
                <w:szCs w:val="18"/>
              </w:rPr>
              <w:t>深圳市奥拓电子股 份有限公司</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92"/>
              <w:jc w:val="both"/>
              <w:rPr>
                <w:rFonts w:ascii="宋体" w:hAnsi="宋体" w:cs="宋体" w:eastAsia="宋体" w:hint="default"/>
                <w:sz w:val="18"/>
                <w:szCs w:val="18"/>
              </w:rPr>
            </w:pPr>
            <w:r>
              <w:rPr>
                <w:rFonts w:ascii="宋体" w:hAnsi="宋体" w:cs="宋体" w:eastAsia="宋体" w:hint="default"/>
                <w:sz w:val="18"/>
                <w:szCs w:val="18"/>
              </w:rPr>
              <w:t>公司承诺不为 激励对象依据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年限制性 股票激励计划 获取有关限制 性股票提供贷 款以及其他任</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312" w:lineRule="auto"/>
              <w:ind w:left="22" w:right="143"/>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 计划有效期 内</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367.660004pt;margin-top:219.439987pt;width:55.85pt;height:62.4pt;mso-position-horizontal-relative:page;mso-position-vertical-relative:page;z-index:-1174336" coordorigin="7353,4389" coordsize="1117,1248">
            <v:shape style="position:absolute;left:7353;top:4389;width:1117;height:1248" coordorigin="7353,4389" coordsize="1117,1248" path="m7353,5637l8470,5637,8470,4389,7353,4389,7353,5637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127"/>
        <w:gridCol w:w="1559"/>
        <w:gridCol w:w="1276"/>
        <w:gridCol w:w="1252"/>
        <w:gridCol w:w="1126"/>
        <w:gridCol w:w="1121"/>
        <w:gridCol w:w="1108"/>
      </w:tblGrid>
      <w:tr>
        <w:trPr>
          <w:trHeight w:val="986" w:hRule="exact"/>
        </w:trPr>
        <w:tc>
          <w:tcPr>
            <w:tcW w:w="2127" w:type="dxa"/>
            <w:vMerge w:val="restart"/>
            <w:tcBorders>
              <w:top w:val="single" w:sz="4" w:space="0" w:color="000000"/>
              <w:left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41"/>
              <w:jc w:val="left"/>
              <w:rPr>
                <w:rFonts w:ascii="宋体" w:hAnsi="宋体" w:cs="宋体" w:eastAsia="宋体" w:hint="default"/>
                <w:sz w:val="18"/>
                <w:szCs w:val="18"/>
              </w:rPr>
            </w:pPr>
            <w:r>
              <w:rPr>
                <w:rFonts w:ascii="宋体" w:hAnsi="宋体" w:cs="宋体" w:eastAsia="宋体" w:hint="default"/>
                <w:sz w:val="18"/>
                <w:szCs w:val="18"/>
              </w:rPr>
              <w:t>何形式的财务 </w:t>
            </w:r>
            <w:r>
              <w:rPr>
                <w:rFonts w:ascii="宋体" w:hAnsi="宋体" w:cs="宋体" w:eastAsia="宋体" w:hint="default"/>
                <w:spacing w:val="-10"/>
                <w:sz w:val="18"/>
                <w:szCs w:val="18"/>
              </w:rPr>
              <w:t>资助，包括为其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贷款提供担保。</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976"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9"/>
                <w:sz w:val="20"/>
                <w:szCs w:val="20"/>
              </w:rPr>
              <w:pict>
                <v:group style="width:55.85pt;height:48.85pt;mso-position-horizontal-relative:char;mso-position-vertical-relative:line" coordorigin="0,0" coordsize="1117,977">
                  <v:group style="position:absolute;left:0;top:0;width:1117;height:977" coordorigin="0,0" coordsize="1117,977">
                    <v:shape style="position:absolute;left:0;top:0;width:1117;height:977" coordorigin="0,0" coordsize="1117,977" path="m0,977l1116,977,1116,0,0,0,0,977xe" filled="true" fillcolor="#ffffff" stroked="false">
                      <v:path arrowok="t"/>
                      <v:fill type="solid"/>
                    </v:shape>
                  </v:group>
                </v:group>
              </w:pict>
            </w:r>
            <w:r>
              <w:rPr>
                <w:rFonts w:ascii="Times New Roman" w:hAnsi="Times New Roman" w:cs="Times New Roman" w:eastAsia="Times New Roman" w:hint="default"/>
                <w:position w:val="-19"/>
                <w:sz w:val="20"/>
                <w:szCs w:val="20"/>
              </w:rPr>
            </w: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3210"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316" w:lineRule="auto"/>
              <w:ind w:left="23" w:right="84"/>
              <w:jc w:val="left"/>
              <w:rPr>
                <w:rFonts w:ascii="宋体" w:hAnsi="宋体" w:cs="宋体" w:eastAsia="宋体" w:hint="default"/>
                <w:sz w:val="18"/>
                <w:szCs w:val="18"/>
              </w:rPr>
            </w:pPr>
            <w:r>
              <w:rPr>
                <w:rFonts w:ascii="宋体" w:hAnsi="宋体" w:cs="宋体" w:eastAsia="宋体" w:hint="default"/>
                <w:sz w:val="18"/>
                <w:szCs w:val="18"/>
              </w:rPr>
              <w:t>深圳市奥拓电子股 份有限公司</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公司承诺不为 激励对象依据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年限制性 股票激励计划 获取有关限制 性股票提供贷 款以及其他任 何形式的财务 </w:t>
            </w:r>
            <w:r>
              <w:rPr>
                <w:rFonts w:ascii="宋体" w:hAnsi="宋体" w:cs="宋体" w:eastAsia="宋体" w:hint="default"/>
                <w:spacing w:val="-10"/>
                <w:sz w:val="18"/>
                <w:szCs w:val="18"/>
              </w:rPr>
              <w:t>资助，包括为其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贷款提供担保。</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60"/>
              <w:ind w:left="22" w:right="143"/>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 计划有效期 内</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714"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14"/>
              <w:jc w:val="left"/>
              <w:rPr>
                <w:rFonts w:ascii="宋体" w:hAnsi="宋体" w:cs="宋体" w:eastAsia="宋体" w:hint="default"/>
                <w:sz w:val="18"/>
                <w:szCs w:val="18"/>
              </w:rPr>
            </w:pPr>
            <w:r>
              <w:rPr>
                <w:rFonts w:ascii="宋体" w:hAnsi="宋体" w:cs="宋体" w:eastAsia="宋体" w:hint="default"/>
                <w:sz w:val="18"/>
                <w:szCs w:val="18"/>
              </w:rPr>
              <w:t>其他对公司中小股东所作 承诺</w:t>
            </w: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744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338"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5"/>
              <w:ind w:left="22" w:right="114"/>
              <w:jc w:val="both"/>
              <w:rPr>
                <w:rFonts w:ascii="宋体" w:hAnsi="宋体" w:cs="宋体" w:eastAsia="宋体" w:hint="default"/>
                <w:sz w:val="18"/>
                <w:szCs w:val="18"/>
              </w:rPr>
            </w:pPr>
            <w:r>
              <w:rPr>
                <w:rFonts w:ascii="宋体" w:hAnsi="宋体" w:cs="宋体" w:eastAsia="宋体" w:hint="default"/>
                <w:sz w:val="18"/>
                <w:szCs w:val="18"/>
              </w:rPr>
              <w:t>应当详细说明未完成履行 的具体原因及下一步的工 作计划</w:t>
            </w:r>
          </w:p>
        </w:tc>
        <w:tc>
          <w:tcPr>
            <w:tcW w:w="155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276" w:type="dxa"/>
            <w:tcBorders>
              <w:top w:val="single" w:sz="4" w:space="0" w:color="000000"/>
              <w:left w:val="nil" w:sz="6" w:space="0" w:color="auto"/>
              <w:bottom w:val="single" w:sz="4" w:space="0" w:color="000000"/>
              <w:right w:val="nil" w:sz="6" w:space="0" w:color="auto"/>
            </w:tcBorders>
          </w:tcPr>
          <w:p>
            <w:pPr/>
          </w:p>
        </w:tc>
        <w:tc>
          <w:tcPr>
            <w:tcW w:w="1252" w:type="dxa"/>
            <w:tcBorders>
              <w:top w:val="single" w:sz="4" w:space="0" w:color="000000"/>
              <w:left w:val="nil" w:sz="6" w:space="0" w:color="auto"/>
              <w:bottom w:val="single" w:sz="4" w:space="0" w:color="000000"/>
              <w:right w:val="nil" w:sz="6" w:space="0" w:color="auto"/>
            </w:tcBorders>
          </w:tcPr>
          <w:p>
            <w:pPr/>
          </w:p>
        </w:tc>
        <w:tc>
          <w:tcPr>
            <w:tcW w:w="1126" w:type="dxa"/>
            <w:tcBorders>
              <w:top w:val="single" w:sz="4" w:space="0" w:color="000000"/>
              <w:left w:val="nil" w:sz="6" w:space="0" w:color="auto"/>
              <w:bottom w:val="single" w:sz="4" w:space="0" w:color="000000"/>
              <w:right w:val="nil" w:sz="6" w:space="0" w:color="auto"/>
            </w:tcBorders>
          </w:tcPr>
          <w:p>
            <w:pPr/>
          </w:p>
        </w:tc>
        <w:tc>
          <w:tcPr>
            <w:tcW w:w="1121" w:type="dxa"/>
            <w:tcBorders>
              <w:top w:val="single" w:sz="4" w:space="0" w:color="000000"/>
              <w:left w:val="nil" w:sz="6" w:space="0" w:color="auto"/>
              <w:bottom w:val="single" w:sz="4" w:space="0" w:color="000000"/>
              <w:right w:val="nil" w:sz="6" w:space="0" w:color="auto"/>
            </w:tcBorders>
          </w:tcPr>
          <w:p>
            <w:pPr/>
          </w:p>
        </w:tc>
        <w:tc>
          <w:tcPr>
            <w:tcW w:w="1108" w:type="dxa"/>
            <w:tcBorders>
              <w:top w:val="single" w:sz="4" w:space="0" w:color="000000"/>
              <w:left w:val="nil" w:sz="6" w:space="0" w:color="auto"/>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pStyle w:val="Heading4"/>
        <w:spacing w:line="259" w:lineRule="auto" w:before="35"/>
        <w:ind w:right="0"/>
        <w:jc w:val="left"/>
        <w:rPr>
          <w:b w:val="0"/>
          <w:bCs w:val="0"/>
        </w:rPr>
      </w:pPr>
      <w:r>
        <w:rPr/>
        <w:pict>
          <v:shape style="position:absolute;margin-left:58.080002pt;margin-top:-79.486343pt;width:476.8pt;height:23.4pt;mso-position-horizontal-relative:page;mso-position-vertical-relative:paragraph;z-index:-1174360" type="#_x0000_t202" filled="false" stroked="false">
            <v:textbox inset="0,0,0,0">
              <w:txbxContent>
                <w:p>
                  <w:pPr>
                    <w:pStyle w:val="BodyText"/>
                    <w:spacing w:line="240" w:lineRule="auto" w:before="51"/>
                    <w:ind w:left="0" w:right="0"/>
                    <w:jc w:val="left"/>
                  </w:pPr>
                  <w:r>
                    <w:rPr/>
                    <w:t>如承诺超期未履行完毕的，</w:t>
                  </w:r>
                </w:p>
              </w:txbxContent>
            </v:textbox>
            <w10:wrap type="none"/>
          </v:shape>
        </w:pict>
      </w:r>
      <w:r>
        <w:rPr/>
        <w:pict>
          <v:group style="position:absolute;margin-left:163.339996pt;margin-top:-79.486343pt;width:371.5pt;height:23.4pt;mso-position-horizontal-relative:page;mso-position-vertical-relative:paragraph;z-index:-1174312" coordorigin="3267,-1590" coordsize="7430,468">
            <v:shape style="position:absolute;left:3267;top:-1590;width:7430;height:468" coordorigin="3267,-1590" coordsize="7430,468" path="m3267,-1122l10697,-1122,10697,-1590,3267,-1590,3267,-1122xe" filled="true" fillcolor="#ffffff" stroked="false">
              <v:path arrowok="t"/>
              <v:fill type="solid"/>
            </v:shape>
            <w10:wrap type="none"/>
          </v:group>
        </w:pict>
      </w:r>
      <w:bookmarkStart w:name="2、公司资产或项目存在盈利预测，且报告期仍处在盈利预测期间，公司就资产或项目达到" w:id="68"/>
      <w:bookmarkEnd w:id="68"/>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306"/>
        <w:gridCol w:w="1178"/>
        <w:gridCol w:w="1181"/>
        <w:gridCol w:w="1181"/>
        <w:gridCol w:w="1180"/>
        <w:gridCol w:w="1180"/>
        <w:gridCol w:w="1182"/>
        <w:gridCol w:w="1178"/>
      </w:tblGrid>
      <w:tr>
        <w:trPr>
          <w:trHeight w:val="71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96" w:right="107" w:hanging="90"/>
              <w:jc w:val="left"/>
              <w:rPr>
                <w:rFonts w:ascii="宋体" w:hAnsi="宋体" w:cs="宋体" w:eastAsia="宋体" w:hint="default"/>
                <w:sz w:val="18"/>
                <w:szCs w:val="18"/>
              </w:rPr>
            </w:pPr>
            <w:r>
              <w:rPr>
                <w:rFonts w:ascii="宋体" w:hAnsi="宋体" w:cs="宋体" w:eastAsia="宋体" w:hint="default"/>
                <w:sz w:val="18"/>
                <w:szCs w:val="18"/>
              </w:rPr>
              <w:t>盈利预测资产 或项目名称</w:t>
            </w:r>
          </w:p>
        </w:tc>
        <w:tc>
          <w:tcPr>
            <w:tcW w:w="1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sz w:val="18"/>
                <w:szCs w:val="18"/>
              </w:rPr>
              <w:t>预测起始时间</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预测终止时间</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当期预测业绩</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（万元）</w:t>
            </w:r>
          </w:p>
        </w:tc>
        <w:tc>
          <w:tcPr>
            <w:tcW w:w="1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当期实际业绩</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（万元）</w:t>
            </w:r>
          </w:p>
        </w:tc>
        <w:tc>
          <w:tcPr>
            <w:tcW w:w="1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4" w:right="45"/>
              <w:jc w:val="left"/>
              <w:rPr>
                <w:rFonts w:ascii="宋体" w:hAnsi="宋体" w:cs="宋体" w:eastAsia="宋体" w:hint="default"/>
                <w:sz w:val="18"/>
                <w:szCs w:val="18"/>
              </w:rPr>
            </w:pPr>
            <w:r>
              <w:rPr>
                <w:rFonts w:ascii="宋体" w:hAnsi="宋体" w:cs="宋体" w:eastAsia="宋体" w:hint="default"/>
                <w:sz w:val="18"/>
                <w:szCs w:val="18"/>
              </w:rPr>
              <w:t>未达预测的原 因（如适用）</w:t>
            </w:r>
          </w:p>
        </w:tc>
        <w:tc>
          <w:tcPr>
            <w:tcW w:w="1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95" w:right="44" w:hanging="450"/>
              <w:jc w:val="left"/>
              <w:rPr>
                <w:rFonts w:ascii="宋体" w:hAnsi="宋体" w:cs="宋体" w:eastAsia="宋体" w:hint="default"/>
                <w:sz w:val="18"/>
                <w:szCs w:val="18"/>
              </w:rPr>
            </w:pPr>
            <w:r>
              <w:rPr>
                <w:rFonts w:ascii="宋体" w:hAnsi="宋体" w:cs="宋体" w:eastAsia="宋体" w:hint="default"/>
                <w:sz w:val="18"/>
                <w:szCs w:val="18"/>
              </w:rPr>
              <w:t>原预测披露日 期</w:t>
            </w:r>
          </w:p>
        </w:tc>
        <w:tc>
          <w:tcPr>
            <w:tcW w:w="1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93" w:right="43" w:hanging="450"/>
              <w:jc w:val="left"/>
              <w:rPr>
                <w:rFonts w:ascii="宋体" w:hAnsi="宋体" w:cs="宋体" w:eastAsia="宋体" w:hint="default"/>
                <w:sz w:val="18"/>
                <w:szCs w:val="18"/>
              </w:rPr>
            </w:pPr>
            <w:r>
              <w:rPr>
                <w:rFonts w:ascii="宋体" w:hAnsi="宋体" w:cs="宋体" w:eastAsia="宋体" w:hint="default"/>
                <w:sz w:val="18"/>
                <w:szCs w:val="18"/>
              </w:rPr>
              <w:t>原预测披露索 引</w:t>
            </w:r>
          </w:p>
        </w:tc>
      </w:tr>
      <w:tr>
        <w:trPr>
          <w:trHeight w:val="3523" w:hRule="exact"/>
        </w:trPr>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3"/>
              <w:ind w:left="22" w:right="191"/>
              <w:jc w:val="both"/>
              <w:rPr>
                <w:rFonts w:ascii="宋体" w:hAnsi="宋体" w:cs="宋体" w:eastAsia="宋体" w:hint="default"/>
                <w:sz w:val="18"/>
                <w:szCs w:val="18"/>
              </w:rPr>
            </w:pPr>
            <w:r>
              <w:rPr>
                <w:rFonts w:ascii="宋体" w:hAnsi="宋体" w:cs="宋体" w:eastAsia="宋体" w:hint="default"/>
                <w:sz w:val="18"/>
                <w:szCs w:val="18"/>
              </w:rPr>
              <w:t>深圳市千百辉 照明工程有限 公司</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524" w:right="0"/>
              <w:jc w:val="left"/>
              <w:rPr>
                <w:rFonts w:ascii="Times New Roman" w:hAnsi="Times New Roman" w:cs="Times New Roman" w:eastAsia="Times New Roman" w:hint="default"/>
                <w:sz w:val="18"/>
                <w:szCs w:val="18"/>
              </w:rPr>
            </w:pPr>
            <w:r>
              <w:rPr>
                <w:rFonts w:ascii="Times New Roman"/>
                <w:sz w:val="18"/>
              </w:rPr>
              <w:t>3,211.13</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517" w:right="0"/>
              <w:jc w:val="left"/>
              <w:rPr>
                <w:rFonts w:ascii="Times New Roman" w:hAnsi="Times New Roman" w:cs="Times New Roman" w:eastAsia="Times New Roman" w:hint="default"/>
                <w:sz w:val="18"/>
                <w:szCs w:val="18"/>
              </w:rPr>
            </w:pPr>
            <w:r>
              <w:rPr>
                <w:rFonts w:ascii="Times New Roman"/>
                <w:sz w:val="18"/>
              </w:rPr>
              <w:t>9,636.39</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both"/>
              <w:rPr>
                <w:rFonts w:ascii="宋体" w:hAnsi="宋体" w:cs="宋体" w:eastAsia="宋体" w:hint="default"/>
                <w:sz w:val="18"/>
                <w:szCs w:val="18"/>
              </w:rPr>
            </w:pPr>
            <w:r>
              <w:rPr>
                <w:rFonts w:ascii="宋体" w:hAnsi="宋体" w:cs="宋体" w:eastAsia="宋体" w:hint="default"/>
                <w:sz w:val="18"/>
                <w:szCs w:val="18"/>
              </w:rPr>
              <w:t>详见公司于</w:t>
            </w:r>
          </w:p>
          <w:p>
            <w:pPr>
              <w:pStyle w:val="TableParagraph"/>
              <w:spacing w:line="240" w:lineRule="auto" w:before="75"/>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14</w:t>
            </w:r>
          </w:p>
          <w:p>
            <w:pPr>
              <w:pStyle w:val="TableParagraph"/>
              <w:spacing w:line="316" w:lineRule="auto" w:before="63"/>
              <w:ind w:left="22" w:right="65"/>
              <w:jc w:val="both"/>
              <w:rPr>
                <w:rFonts w:ascii="宋体" w:hAnsi="宋体" w:cs="宋体" w:eastAsia="宋体" w:hint="default"/>
                <w:sz w:val="18"/>
                <w:szCs w:val="18"/>
              </w:rPr>
            </w:pPr>
            <w:r>
              <w:rPr>
                <w:rFonts w:ascii="宋体" w:hAnsi="宋体" w:cs="宋体" w:eastAsia="宋体" w:hint="default"/>
                <w:sz w:val="18"/>
                <w:szCs w:val="18"/>
              </w:rPr>
              <w:t>日在巨潮资讯 网上披露的</w:t>
            </w:r>
          </w:p>
          <w:p>
            <w:pPr>
              <w:pStyle w:val="TableParagraph"/>
              <w:spacing w:line="319" w:lineRule="auto" w:before="19"/>
              <w:ind w:left="22" w:right="65"/>
              <w:jc w:val="both"/>
              <w:rPr>
                <w:rFonts w:ascii="宋体" w:hAnsi="宋体" w:cs="宋体" w:eastAsia="宋体" w:hint="default"/>
                <w:sz w:val="18"/>
                <w:szCs w:val="18"/>
              </w:rPr>
            </w:pPr>
            <w:r>
              <w:rPr>
                <w:rFonts w:ascii="宋体" w:hAnsi="宋体" w:cs="宋体" w:eastAsia="宋体" w:hint="default"/>
                <w:sz w:val="18"/>
                <w:szCs w:val="18"/>
              </w:rPr>
              <w:t>《深圳市奥拓 电子股份有限 公司发行股份 及支付现金购 买资产并募集 配套资金报告 </w:t>
            </w:r>
            <w:r>
              <w:rPr>
                <w:rFonts w:ascii="宋体" w:hAnsi="宋体" w:cs="宋体" w:eastAsia="宋体" w:hint="default"/>
                <w:spacing w:val="-15"/>
                <w:sz w:val="18"/>
                <w:szCs w:val="18"/>
              </w:rPr>
              <w:t>书（草案）》</w:t>
            </w:r>
          </w:p>
        </w:tc>
      </w:tr>
    </w:tbl>
    <w:p>
      <w:pPr>
        <w:pStyle w:val="BodyText"/>
        <w:spacing w:line="240" w:lineRule="auto" w:before="51"/>
        <w:ind w:right="0"/>
        <w:jc w:val="left"/>
      </w:pPr>
      <w:r>
        <w:rPr/>
        <w:t>公司股东、交易对手方在报告年度经营业绩做出的承诺情况</w:t>
      </w:r>
    </w:p>
    <w:p>
      <w:pPr>
        <w:pStyle w:val="BodyText"/>
        <w:spacing w:line="338" w:lineRule="auto" w:before="116"/>
        <w:ind w:left="514" w:right="1118"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根据公司与千百辉全体原股东签署的《发行股份及支付现金购买资产协议》和《盈利预测补偿协议》，千百辉全体原股</w:t>
      </w:r>
    </w:p>
    <w:p>
      <w:pPr>
        <w:pStyle w:val="BodyText"/>
        <w:spacing w:line="240" w:lineRule="auto" w:before="2"/>
        <w:ind w:right="0"/>
        <w:jc w:val="left"/>
      </w:pPr>
      <w:r>
        <w:rPr/>
        <w:t>东承诺千百辉在</w:t>
      </w:r>
      <w:r>
        <w:rPr>
          <w:rFonts w:ascii="Times New Roman" w:hAnsi="Times New Roman" w:cs="Times New Roman" w:eastAsia="Times New Roman" w:hint="default"/>
        </w:rPr>
        <w:t>2016</w:t>
      </w:r>
      <w:r>
        <w:rPr/>
        <w:t>年度、</w:t>
      </w:r>
      <w:r>
        <w:rPr>
          <w:rFonts w:ascii="Times New Roman" w:hAnsi="Times New Roman" w:cs="Times New Roman" w:eastAsia="Times New Roman" w:hint="default"/>
        </w:rPr>
        <w:t>2017</w:t>
      </w:r>
      <w:r>
        <w:rPr/>
        <w:t>年度、</w:t>
      </w:r>
      <w:r>
        <w:rPr>
          <w:rFonts w:ascii="Times New Roman" w:hAnsi="Times New Roman" w:cs="Times New Roman" w:eastAsia="Times New Roman" w:hint="default"/>
        </w:rPr>
        <w:t>2018</w:t>
      </w:r>
      <w:r>
        <w:rPr/>
        <w:t>年度和</w:t>
      </w:r>
      <w:r>
        <w:rPr>
          <w:rFonts w:ascii="Times New Roman" w:hAnsi="Times New Roman" w:cs="Times New Roman" w:eastAsia="Times New Roman" w:hint="default"/>
        </w:rPr>
        <w:t>2019</w:t>
      </w:r>
      <w:r>
        <w:rPr/>
        <w:t>年度实现的扣除非经常性损益后的归属于母公司所有者的净利润分别</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0"/>
        <w:jc w:val="left"/>
      </w:pPr>
      <w:r>
        <w:rPr>
          <w:spacing w:val="-2"/>
        </w:rPr>
        <w:t>为</w:t>
      </w:r>
      <w:r>
        <w:rPr>
          <w:rFonts w:ascii="Times New Roman" w:hAnsi="Times New Roman" w:cs="Times New Roman" w:eastAsia="Times New Roman" w:hint="default"/>
          <w:spacing w:val="-2"/>
        </w:rPr>
        <w:t>2,300</w:t>
      </w:r>
      <w:r>
        <w:rPr>
          <w:spacing w:val="-2"/>
        </w:rPr>
        <w:t>万元、</w:t>
      </w:r>
      <w:r>
        <w:rPr>
          <w:rFonts w:ascii="Times New Roman" w:hAnsi="Times New Roman" w:cs="Times New Roman" w:eastAsia="Times New Roman" w:hint="default"/>
          <w:spacing w:val="-2"/>
        </w:rPr>
        <w:t>2,800</w:t>
      </w:r>
      <w:r>
        <w:rPr>
          <w:spacing w:val="-2"/>
        </w:rPr>
        <w:t>万元、</w:t>
      </w:r>
      <w:r>
        <w:rPr>
          <w:rFonts w:ascii="Times New Roman" w:hAnsi="Times New Roman" w:cs="Times New Roman" w:eastAsia="Times New Roman" w:hint="default"/>
          <w:spacing w:val="-2"/>
        </w:rPr>
        <w:t>3,300</w:t>
      </w:r>
      <w:r>
        <w:rPr>
          <w:spacing w:val="-2"/>
        </w:rPr>
        <w:t>万元、</w:t>
      </w:r>
      <w:r>
        <w:rPr>
          <w:rFonts w:ascii="Times New Roman" w:hAnsi="Times New Roman" w:cs="Times New Roman" w:eastAsia="Times New Roman" w:hint="default"/>
          <w:spacing w:val="-2"/>
        </w:rPr>
        <w:t>3,900</w:t>
      </w:r>
      <w:r>
        <w:rPr>
          <w:spacing w:val="-2"/>
        </w:rPr>
        <w:t>万元。经审计，千百辉</w:t>
      </w:r>
      <w:r>
        <w:rPr>
          <w:rFonts w:ascii="Times New Roman" w:hAnsi="Times New Roman" w:cs="Times New Roman" w:eastAsia="Times New Roman" w:hint="default"/>
          <w:spacing w:val="-2"/>
        </w:rPr>
        <w:t>2018</w:t>
      </w:r>
      <w:r>
        <w:rPr>
          <w:spacing w:val="-2"/>
        </w:rPr>
        <w:t>年度扣除非经常性损益后归属于母公司所有者股东的</w:t>
      </w:r>
      <w:r>
        <w:rPr>
          <w:spacing w:val="-42"/>
        </w:rPr>
        <w:t> </w:t>
      </w:r>
      <w:r>
        <w:rPr/>
        <w:t>净利润金额为</w:t>
      </w:r>
      <w:r>
        <w:rPr>
          <w:rFonts w:ascii="Times New Roman" w:hAnsi="Times New Roman" w:cs="Times New Roman" w:eastAsia="Times New Roman" w:hint="default"/>
        </w:rPr>
        <w:t>9,506.53</w:t>
      </w:r>
      <w:r>
        <w:rPr/>
        <w:t>万元。</w:t>
      </w:r>
    </w:p>
    <w:p>
      <w:pPr>
        <w:pStyle w:val="BodyText"/>
        <w:spacing w:line="357" w:lineRule="auto" w:before="53"/>
        <w:ind w:left="514" w:right="0" w:hanging="360"/>
        <w:jc w:val="left"/>
      </w:pPr>
      <w:r>
        <w:rPr/>
        <w:t>业绩承诺的完成情况及其对商誉减值测试的影响 </w:t>
      </w:r>
      <w:r>
        <w:rPr>
          <w:spacing w:val="-2"/>
        </w:rPr>
        <w:t>根据《深圳市奥拓电子股份有限公司与深圳市千百辉照明工程有限公司股东之关于发行股份及支付现金购买资产的盈利</w:t>
      </w:r>
    </w:p>
    <w:p>
      <w:pPr>
        <w:pStyle w:val="BodyText"/>
        <w:spacing w:line="238" w:lineRule="exact"/>
        <w:ind w:right="0"/>
        <w:jc w:val="left"/>
      </w:pPr>
      <w:r>
        <w:rPr/>
        <w:t>预测补偿协议》中有关业绩承诺的规定，千百辉完成了</w:t>
      </w:r>
      <w:r>
        <w:rPr>
          <w:spacing w:val="-43"/>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年度承诺利润。本公司将深圳市千百辉照明工程有限公司认定</w:t>
      </w:r>
    </w:p>
    <w:p>
      <w:pPr>
        <w:pStyle w:val="BodyText"/>
        <w:spacing w:line="240" w:lineRule="auto" w:before="63"/>
        <w:ind w:right="0"/>
        <w:jc w:val="left"/>
      </w:pPr>
      <w:r>
        <w:rPr/>
        <w:t>一个资产组。公司年末对商誉进行了减值测试，经测试资产组的账面余额小于资产组估计的可收回金额，不存在减值迹象。</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四、控股股东及其关联方对上市公司的非经营性占用资金情况" w:id="69"/>
      <w:bookmarkEnd w:id="69"/>
      <w:r>
        <w:rPr>
          <w:b w:val="0"/>
          <w:bCs w:val="0"/>
        </w:rPr>
      </w:r>
      <w:r>
        <w:rPr/>
        <w:t>四、控股股东及其关联方对上市公司的非经营性占用资金情况</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49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公司报告期不存在控股股东及其关联方对上市公司的非经营性占用资金。</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bookmarkStart w:name="五、董事会、监事会、独立董事（如有）对会计师事务所本报告期“非标准审计报告”的说" w:id="70"/>
      <w:bookmarkEnd w:id="70"/>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5"/>
          <w:szCs w:val="25"/>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六、与上年度财务报告相比，会计政策、会计估计和核算方法发生变化的情况说明" w:id="71"/>
      <w:bookmarkEnd w:id="71"/>
      <w:r>
        <w:rPr>
          <w:b w:val="0"/>
          <w:bCs w:val="0"/>
        </w:rPr>
      </w:r>
      <w:r>
        <w:rPr/>
        <w:t>六、与上年度财务报告相比，会计政策、会计估计和核算方法发生变化的情况说明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12" w:lineRule="auto" w:before="102"/>
        <w:ind w:right="1043" w:firstLine="36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日，财政部颁布《关于修订印发</w:t>
      </w:r>
      <w:r>
        <w:rPr>
          <w:rFonts w:ascii="Times New Roman" w:hAnsi="Times New Roman" w:cs="Times New Roman" w:eastAsia="Times New Roman" w:hint="default"/>
        </w:rPr>
        <w:t>2018</w:t>
      </w:r>
      <w:r>
        <w:rPr/>
        <w:t>年度一般企业财务报表格式的通知》（财会</w:t>
      </w:r>
      <w:r>
        <w:rPr>
          <w:rFonts w:ascii="Times New Roman" w:hAnsi="Times New Roman" w:cs="Times New Roman" w:eastAsia="Times New Roman" w:hint="default"/>
        </w:rPr>
        <w:t>[2018]15</w:t>
      </w:r>
      <w:r>
        <w:rPr/>
        <w:t>号），由于上 </w:t>
      </w:r>
      <w:r>
        <w:rPr>
          <w:spacing w:val="-2"/>
        </w:rPr>
        <w:t>述会计准则的颁布及修订，</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18</w:t>
      </w:r>
      <w:r>
        <w:rPr>
          <w:spacing w:val="-2"/>
        </w:rPr>
        <w:t>日召开第三届董事会第三十四次会议，审议通过《关于会计政策变更的议案》，公</w:t>
      </w:r>
      <w:r>
        <w:rPr>
          <w:spacing w:val="-59"/>
        </w:rPr>
        <w:t> </w:t>
      </w:r>
      <w:r>
        <w:rPr>
          <w:spacing w:val="-59"/>
        </w:rPr>
      </w:r>
      <w:r>
        <w:rPr>
          <w:spacing w:val="-4"/>
        </w:rPr>
        <w:t>司对会计政策相关内容进行调整。公司根据上述规定调整财务报表的列报格式，并对可比会计期间的比较数据相应进行调整。</w:t>
      </w:r>
      <w:r>
        <w:rPr>
          <w:spacing w:val="-44"/>
        </w:rPr>
        <w:t> </w:t>
      </w:r>
      <w:r>
        <w:rPr>
          <w:spacing w:val="-44"/>
        </w:rPr>
      </w:r>
      <w:r>
        <w:rPr>
          <w:spacing w:val="-9"/>
        </w:rPr>
        <w:t>具体内容详见公司于</w:t>
      </w:r>
      <w:r>
        <w:rPr>
          <w:rFonts w:ascii="宋体" w:hAnsi="宋体" w:cs="宋体" w:eastAsia="宋体" w:hint="default"/>
          <w:spacing w:val="-9"/>
        </w:rPr>
        <w:t>2018</w:t>
      </w:r>
      <w:r>
        <w:rPr>
          <w:spacing w:val="-9"/>
        </w:rPr>
        <w:t>年</w:t>
      </w:r>
      <w:r>
        <w:rPr>
          <w:rFonts w:ascii="宋体" w:hAnsi="宋体" w:cs="宋体" w:eastAsia="宋体" w:hint="default"/>
          <w:spacing w:val="-9"/>
        </w:rPr>
        <w:t>12</w:t>
      </w:r>
      <w:r>
        <w:rPr>
          <w:spacing w:val="-9"/>
        </w:rPr>
        <w:t>月</w:t>
      </w:r>
      <w:r>
        <w:rPr>
          <w:rFonts w:ascii="宋体" w:hAnsi="宋体" w:cs="宋体" w:eastAsia="宋体" w:hint="default"/>
          <w:spacing w:val="-9"/>
        </w:rPr>
        <w:t>19</w:t>
      </w:r>
      <w:r>
        <w:rPr>
          <w:spacing w:val="-9"/>
        </w:rPr>
        <w:t>日在巨潮资讯网上披露的《奥拓电子：关于会计政策变更的公告》（公告编号：</w:t>
      </w:r>
      <w:r>
        <w:rPr>
          <w:rFonts w:ascii="宋体" w:hAnsi="宋体" w:cs="宋体" w:eastAsia="宋体" w:hint="default"/>
          <w:spacing w:val="-9"/>
        </w:rPr>
        <w:t>2018-109</w:t>
      </w:r>
      <w:r>
        <w:rPr>
          <w:spacing w:val="-9"/>
        </w:rPr>
        <w:t>）。</w:t>
      </w:r>
      <w:r>
        <w:rPr/>
      </w:r>
    </w:p>
    <w:p>
      <w:pPr>
        <w:pStyle w:val="BodyText"/>
        <w:spacing w:line="302" w:lineRule="auto" w:before="22"/>
        <w:ind w:right="1129" w:firstLine="36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18</w:t>
      </w:r>
      <w:r>
        <w:rPr/>
        <w:t>日公司召开了第三届董事会第三十四次会议，审议通过了《关于会计估计变更的议案》，对公司应收 </w:t>
      </w:r>
      <w:r>
        <w:rPr>
          <w:spacing w:val="-2"/>
        </w:rPr>
        <w:t>款项账龄组合的部分会计估计变更以及合并报表范围内关联方之间形成的应收款项会计估计变更，具体内容详见公司于</w:t>
      </w:r>
      <w:r>
        <w:rPr>
          <w:rFonts w:ascii="Times New Roman" w:hAnsi="Times New Roman" w:cs="Times New Roman" w:eastAsia="Times New Roman" w:hint="default"/>
          <w:spacing w:val="-2"/>
        </w:rPr>
        <w:t>2018</w:t>
      </w:r>
      <w:r>
        <w:rPr>
          <w:rFonts w:ascii="Times New Roman" w:hAnsi="Times New Roman" w:cs="Times New Roman" w:eastAsia="Times New Roman" w:hint="default"/>
          <w:spacing w:val="-14"/>
        </w:rPr>
        <w:t> </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19</w:t>
      </w:r>
      <w:r>
        <w:rPr>
          <w:spacing w:val="-1"/>
        </w:rPr>
        <w:t>日在巨潮资讯网上披露的《奥拓电子：关于会计估计变更的公告》（公告编号：</w:t>
      </w:r>
      <w:r>
        <w:rPr>
          <w:rFonts w:ascii="Times New Roman" w:hAnsi="Times New Roman" w:cs="Times New Roman" w:eastAsia="Times New Roman" w:hint="default"/>
          <w:spacing w:val="-1"/>
        </w:rPr>
        <w:t>2018-108</w:t>
      </w:r>
      <w:r>
        <w:rPr>
          <w:spacing w:val="-1"/>
        </w:rPr>
        <w:t>）。本次会计估计变更自</w:t>
      </w:r>
      <w:r>
        <w:rPr>
          <w:spacing w:val="-84"/>
        </w:rPr>
        <w:t> </w:t>
      </w:r>
      <w:r>
        <w:rPr>
          <w:spacing w:val="-84"/>
        </w:rPr>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w:t>
      </w:r>
      <w:r>
        <w:rPr/>
        <w:t>日开始执行，且本次会计估计变更采用未来适用法进行会计处理，无需追溯调整，不涉及公司业务范围变化， </w:t>
      </w:r>
      <w:r>
        <w:rPr>
          <w:spacing w:val="-2"/>
        </w:rPr>
        <w:t>对公司以前各年度财务状况和经营成果不产生影响。同时，瑞华会计师事务所（特殊普通合伙）关于公司本次会计估计变更</w:t>
      </w:r>
      <w:r>
        <w:rPr>
          <w:spacing w:val="-66"/>
        </w:rPr>
        <w:t> </w:t>
      </w:r>
      <w:r>
        <w:rPr>
          <w:spacing w:val="-66"/>
        </w:rPr>
      </w:r>
      <w:r>
        <w:rPr/>
        <w:t>的合理合规性发表了意见，具体内容详见公司于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15</w:t>
      </w:r>
      <w:r>
        <w:rPr/>
        <w:t>日在巨潮资讯网上披露的《奥拓电子：关于深圳证券交易所问 询函回复的公告》（公告编号：</w:t>
      </w:r>
      <w:r>
        <w:rPr>
          <w:rFonts w:ascii="Times New Roman" w:hAnsi="Times New Roman" w:cs="Times New Roman" w:eastAsia="Times New Roman" w:hint="default"/>
        </w:rPr>
        <w:t>2019-009</w:t>
      </w:r>
      <w:r>
        <w:rPr/>
        <w:t>）</w:t>
      </w:r>
      <w:r>
        <w:rPr>
          <w:spacing w:val="-17"/>
        </w:rPr>
        <w:t> </w:t>
      </w:r>
      <w:r>
        <w:rPr/>
        <w:t>。</w:t>
      </w:r>
    </w:p>
    <w:p>
      <w:pPr>
        <w:spacing w:line="240" w:lineRule="auto" w:before="2"/>
        <w:rPr>
          <w:rFonts w:ascii="宋体" w:hAnsi="宋体" w:cs="宋体" w:eastAsia="宋体" w:hint="default"/>
          <w:sz w:val="20"/>
          <w:szCs w:val="20"/>
        </w:rPr>
      </w:pPr>
    </w:p>
    <w:p>
      <w:pPr>
        <w:pStyle w:val="Heading2"/>
        <w:spacing w:line="240" w:lineRule="auto"/>
        <w:ind w:right="0"/>
        <w:jc w:val="left"/>
        <w:rPr>
          <w:b w:val="0"/>
          <w:bCs w:val="0"/>
        </w:rPr>
      </w:pPr>
      <w:bookmarkStart w:name="七、报告期内发生重大会计差错更正需追溯重述的情况说明" w:id="72"/>
      <w:bookmarkEnd w:id="72"/>
      <w:r>
        <w:rPr>
          <w:b w:val="0"/>
          <w:bCs w:val="0"/>
        </w:rPr>
      </w:r>
      <w:r>
        <w:rPr/>
        <w:t>七、报告期内发生重大会计差错更正需追溯重述的情况说明</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6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公司报告期无重大会计差错更正需追溯重述的情况。</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bookmarkStart w:name="八、与上年度财务报告相比，合并报表范围发生变化的情况说明" w:id="73"/>
      <w:bookmarkEnd w:id="73"/>
      <w:r>
        <w:rPr>
          <w:b w:val="0"/>
          <w:bCs w:val="0"/>
        </w:rPr>
      </w:r>
      <w:r>
        <w:rPr/>
        <w:t>八、与上年度财务报告相比，合并报表范围发生变化的情况说明</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46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月设立全资子公司武汉市奥拓智能科技有限公司，纳入合并范围。</w:t>
      </w:r>
    </w:p>
    <w:p>
      <w:pPr>
        <w:spacing w:after="0" w:line="338" w:lineRule="auto"/>
        <w:jc w:val="left"/>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九、聘任、解聘会计师事务所情况" w:id="74"/>
      <w:bookmarkEnd w:id="74"/>
      <w:r>
        <w:rPr>
          <w:b w:val="0"/>
          <w:bCs w:val="0"/>
        </w:rPr>
      </w:r>
      <w:r>
        <w:rPr/>
        <w:t>九、聘任、解聘会计师事务所情况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现聘任的会计师事务所</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92"/>
        <w:gridCol w:w="4777"/>
      </w:tblGrid>
      <w:tr>
        <w:trPr>
          <w:trHeight w:val="403"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管盛春、张丽</w:t>
            </w:r>
          </w:p>
        </w:tc>
      </w:tr>
      <w:tr>
        <w:trPr>
          <w:trHeight w:val="403"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p>
        </w:tc>
      </w:tr>
    </w:tbl>
    <w:p>
      <w:pPr>
        <w:pStyle w:val="BodyText"/>
        <w:spacing w:line="240" w:lineRule="auto" w:before="51"/>
        <w:ind w:right="0"/>
        <w:jc w:val="left"/>
      </w:pPr>
      <w:r>
        <w:rPr/>
        <w:t>当期是否改聘会计师事务所</w:t>
      </w:r>
    </w:p>
    <w:p>
      <w:pPr>
        <w:pStyle w:val="BodyText"/>
        <w:spacing w:line="340" w:lineRule="auto" w:before="116"/>
        <w:ind w:right="625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聘请内部控制审计会计师事务所、财务顾问或保荐人情况</w:t>
      </w:r>
    </w:p>
    <w:p>
      <w:pPr>
        <w:pStyle w:val="BodyText"/>
        <w:spacing w:line="338" w:lineRule="auto" w:before="40"/>
        <w:ind w:right="35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本年度，公司聘请了瑞华会计师事务所（特殊普通合伙）作为内部控制审计会计师事务所。</w:t>
      </w:r>
    </w:p>
    <w:p>
      <w:pPr>
        <w:spacing w:line="240" w:lineRule="auto" w:before="7"/>
        <w:rPr>
          <w:rFonts w:ascii="宋体" w:hAnsi="宋体" w:cs="宋体" w:eastAsia="宋体" w:hint="default"/>
          <w:sz w:val="19"/>
          <w:szCs w:val="19"/>
        </w:rPr>
      </w:pPr>
    </w:p>
    <w:p>
      <w:pPr>
        <w:pStyle w:val="Heading2"/>
        <w:spacing w:line="240" w:lineRule="auto"/>
        <w:ind w:right="0"/>
        <w:jc w:val="left"/>
        <w:rPr>
          <w:b w:val="0"/>
          <w:bCs w:val="0"/>
        </w:rPr>
      </w:pPr>
      <w:bookmarkStart w:name="十、年度报告披露后面临暂停上市和终止上市情况" w:id="75"/>
      <w:bookmarkEnd w:id="75"/>
      <w:r>
        <w:rPr>
          <w:b w:val="0"/>
          <w:bCs w:val="0"/>
        </w:rPr>
      </w:r>
      <w:r>
        <w:rPr/>
        <w:t>十、年度报告披露后面临暂停上市和终止上市情况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十一、破产重整相关事项" w:id="76"/>
      <w:bookmarkEnd w:id="76"/>
      <w:r>
        <w:rPr>
          <w:b w:val="0"/>
          <w:bCs w:val="0"/>
        </w:rPr>
      </w:r>
      <w:r>
        <w:rPr/>
        <w:t>十一、破产重整相关事项</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6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公司报告期未发生破产重整相关事项。</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bookmarkStart w:name="十二、重大诉讼、仲裁事项" w:id="77"/>
      <w:bookmarkEnd w:id="77"/>
      <w:r>
        <w:rPr>
          <w:b w:val="0"/>
          <w:bCs w:val="0"/>
        </w:rPr>
      </w:r>
      <w:r>
        <w:rPr/>
        <w:t>十二、重大诉讼、仲裁事项</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6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本报告期公司无重大诉讼、仲裁事项。</w:t>
      </w:r>
    </w:p>
    <w:p>
      <w:pPr>
        <w:spacing w:line="240" w:lineRule="auto" w:before="6"/>
        <w:rPr>
          <w:rFonts w:ascii="宋体" w:hAnsi="宋体" w:cs="宋体" w:eastAsia="宋体" w:hint="default"/>
          <w:sz w:val="19"/>
          <w:szCs w:val="19"/>
        </w:rPr>
      </w:pPr>
    </w:p>
    <w:p>
      <w:pPr>
        <w:pStyle w:val="Heading2"/>
        <w:spacing w:line="240" w:lineRule="auto"/>
        <w:ind w:right="0"/>
        <w:jc w:val="left"/>
        <w:rPr>
          <w:b w:val="0"/>
          <w:bCs w:val="0"/>
        </w:rPr>
      </w:pPr>
      <w:bookmarkStart w:name="十三、处罚及整改情况" w:id="78"/>
      <w:bookmarkEnd w:id="78"/>
      <w:r>
        <w:rPr>
          <w:b w:val="0"/>
          <w:bCs w:val="0"/>
        </w:rPr>
      </w:r>
      <w:r>
        <w:rPr/>
        <w:t>十三、处罚及整改情况</w:t>
      </w:r>
      <w:r>
        <w:rPr>
          <w:b w:val="0"/>
          <w:bCs w:val="0"/>
        </w:rPr>
      </w:r>
    </w:p>
    <w:p>
      <w:pPr>
        <w:spacing w:line="240" w:lineRule="auto" w:before="7"/>
        <w:rPr>
          <w:rFonts w:ascii="宋体" w:hAnsi="宋体" w:cs="宋体" w:eastAsia="宋体" w:hint="default"/>
          <w:b/>
          <w:bCs/>
          <w:sz w:val="26"/>
          <w:szCs w:val="26"/>
        </w:rPr>
      </w:pPr>
    </w:p>
    <w:p>
      <w:pPr>
        <w:pStyle w:val="BodyText"/>
        <w:spacing w:line="340" w:lineRule="auto"/>
        <w:ind w:right="787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公司报告期不存在处罚及整改情况。</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十四、公司及其控股股东、实际控制人的诚信状况" w:id="79"/>
      <w:bookmarkEnd w:id="79"/>
      <w:r>
        <w:rPr>
          <w:b w:val="0"/>
          <w:bCs w:val="0"/>
        </w:rPr>
      </w:r>
      <w:r>
        <w:rPr/>
        <w:t>十四、公司及其控股股东、实际控制人的诚信状况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17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报告期内，公司及其控股股东、实际控制人不存在未履行法院生效判决、所负数额较大的债务到期未清偿等情况。</w:t>
      </w:r>
    </w:p>
    <w:p>
      <w:pPr>
        <w:spacing w:line="240" w:lineRule="auto" w:before="7"/>
        <w:rPr>
          <w:rFonts w:ascii="宋体" w:hAnsi="宋体" w:cs="宋体" w:eastAsia="宋体" w:hint="default"/>
          <w:sz w:val="19"/>
          <w:szCs w:val="19"/>
        </w:rPr>
      </w:pPr>
    </w:p>
    <w:p>
      <w:pPr>
        <w:pStyle w:val="Heading2"/>
        <w:spacing w:line="240" w:lineRule="auto"/>
        <w:ind w:right="0"/>
        <w:jc w:val="left"/>
        <w:rPr>
          <w:b w:val="0"/>
          <w:bCs w:val="0"/>
        </w:rPr>
      </w:pPr>
      <w:bookmarkStart w:name="十五、公司股权激励计划、员工持股计划或其他员工激励措施的实施情况" w:id="80"/>
      <w:bookmarkEnd w:id="80"/>
      <w:r>
        <w:rPr>
          <w:b w:val="0"/>
          <w:bCs w:val="0"/>
        </w:rPr>
      </w:r>
      <w:r>
        <w:rPr/>
        <w:t>十五、公司股权激励计划、员工持股计划或其他员工激励措施的实施情况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514" w:right="0"/>
        <w:jc w:val="left"/>
      </w:pPr>
      <w:r>
        <w:rPr>
          <w:rFonts w:ascii="Times New Roman" w:hAnsi="Times New Roman" w:cs="Times New Roman" w:eastAsia="Times New Roman" w:hint="default"/>
        </w:rPr>
        <w:t>1</w:t>
      </w:r>
      <w:r>
        <w:rPr/>
        <w:t>、报告期内，公司完成</w:t>
      </w:r>
      <w:r>
        <w:rPr>
          <w:rFonts w:ascii="Times New Roman" w:hAnsi="Times New Roman" w:cs="Times New Roman" w:eastAsia="Times New Roman" w:hint="default"/>
        </w:rPr>
        <w:t>2016</w:t>
      </w:r>
      <w:r>
        <w:rPr/>
        <w:t>年限制性股票激励计划暂缓授予部分第一期解锁、部分限制股票回购注销和</w:t>
      </w:r>
      <w:r>
        <w:rPr>
          <w:rFonts w:ascii="Times New Roman" w:hAnsi="Times New Roman" w:cs="Times New Roman" w:eastAsia="Times New Roman" w:hint="default"/>
        </w:rPr>
        <w:t>2016</w:t>
      </w:r>
      <w:r>
        <w:rPr/>
        <w:t>年限制性</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股票激励计划第二期解锁事项。</w:t>
      </w:r>
    </w:p>
    <w:p>
      <w:pPr>
        <w:pStyle w:val="BodyText"/>
        <w:spacing w:line="300" w:lineRule="auto" w:before="76"/>
        <w:ind w:right="1130" w:firstLine="36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29</w:t>
      </w:r>
      <w:r>
        <w:rPr/>
        <w:t>日，公司召开第三届董事会第二十四次会议和第三届监事会第十七次会议，审议通过了《关于公司限制性 </w:t>
      </w:r>
      <w:r>
        <w:rPr>
          <w:spacing w:val="-2"/>
        </w:rPr>
        <w:t>股票激励计划暂缓授予部分第一个解锁期可解锁的议案》，监事会对公司</w:t>
      </w:r>
      <w:r>
        <w:rPr>
          <w:rFonts w:ascii="Times New Roman" w:hAnsi="Times New Roman" w:cs="Times New Roman" w:eastAsia="Times New Roman" w:hint="default"/>
          <w:spacing w:val="-2"/>
        </w:rPr>
        <w:t>2016</w:t>
      </w:r>
      <w:r>
        <w:rPr>
          <w:spacing w:val="-2"/>
        </w:rPr>
        <w:t>年股权激励计划暂缓授予部分第一个解锁期解</w:t>
      </w:r>
      <w:r>
        <w:rPr>
          <w:spacing w:val="-60"/>
        </w:rPr>
        <w:t> </w:t>
      </w:r>
      <w:r>
        <w:rPr>
          <w:spacing w:val="-2"/>
        </w:rPr>
        <w:t>锁条件及激励对象名单进行了核实，公司独立董事对此发表了同意的独立意见。</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w:t>
      </w:r>
      <w:r>
        <w:rPr>
          <w:spacing w:val="-2"/>
        </w:rPr>
        <w:t>日，公司披露了《关于公司限制</w:t>
      </w:r>
      <w:r>
        <w:rPr>
          <w:spacing w:val="-59"/>
        </w:rPr>
        <w:t> </w:t>
      </w:r>
      <w:r>
        <w:rPr>
          <w:spacing w:val="-59"/>
        </w:rPr>
      </w:r>
      <w:r>
        <w:rPr/>
        <w:t>性股票激励计划暂缓授予部分上市流通提示性公告》（公告编号：</w:t>
      </w:r>
      <w:r>
        <w:rPr>
          <w:rFonts w:ascii="Times New Roman" w:hAnsi="Times New Roman" w:cs="Times New Roman" w:eastAsia="Times New Roman" w:hint="default"/>
        </w:rPr>
        <w:t>2018-042</w:t>
      </w:r>
      <w:r>
        <w:rPr/>
        <w:t>）。</w:t>
      </w:r>
    </w:p>
    <w:p>
      <w:pPr>
        <w:pStyle w:val="BodyText"/>
        <w:spacing w:line="300" w:lineRule="auto" w:before="13"/>
        <w:ind w:right="1131" w:firstLine="362"/>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w:t>
      </w:r>
      <w:r>
        <w:rPr>
          <w:spacing w:val="-2"/>
        </w:rPr>
        <w:t>日，公司召开第三届董事会第二十五次会议和第三届监事会第十八次会议，审议通过了《关于回购注销部分</w:t>
      </w:r>
      <w:r>
        <w:rPr/>
        <w:t> </w:t>
      </w:r>
      <w:r>
        <w:rPr>
          <w:spacing w:val="-2"/>
        </w:rPr>
        <w:t>限制性股票的议案》，根据本激励计划的相关规定及公司</w:t>
      </w:r>
      <w:r>
        <w:rPr>
          <w:rFonts w:ascii="Times New Roman" w:hAnsi="Times New Roman" w:cs="Times New Roman" w:eastAsia="Times New Roman" w:hint="default"/>
          <w:spacing w:val="-2"/>
        </w:rPr>
        <w:t>2016</w:t>
      </w:r>
      <w:r>
        <w:rPr>
          <w:spacing w:val="-2"/>
        </w:rPr>
        <w:t>年第二次临时股东大会对董事会的授权，公司董事会同意对</w:t>
      </w:r>
      <w:r>
        <w:rPr>
          <w:rFonts w:ascii="Times New Roman" w:hAnsi="Times New Roman" w:cs="Times New Roman" w:eastAsia="Times New Roman" w:hint="default"/>
          <w:spacing w:val="-2"/>
        </w:rPr>
        <w:t>13</w:t>
      </w:r>
      <w:r>
        <w:rPr>
          <w:rFonts w:ascii="Times New Roman" w:hAnsi="Times New Roman" w:cs="Times New Roman" w:eastAsia="Times New Roman" w:hint="default"/>
          <w:spacing w:val="-15"/>
        </w:rPr>
        <w:t> </w:t>
      </w:r>
      <w:r>
        <w:rPr/>
        <w:t>名离职的激励对象持有的已获授但尚未解除限售的</w:t>
      </w:r>
      <w:r>
        <w:rPr>
          <w:rFonts w:ascii="Times New Roman" w:hAnsi="Times New Roman" w:cs="Times New Roman" w:eastAsia="Times New Roman" w:hint="default"/>
        </w:rPr>
        <w:t>17.10</w:t>
      </w:r>
      <w:r>
        <w:rPr/>
        <w:t>万股（除权后）限制性股票进行回购注销处理。监事会对本次回购 注销部分限制性股票相关事项进行了核实并发表核查意见，公司独立董事、律师对该事项发表了意见。</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29</w:t>
      </w:r>
      <w:r>
        <w:rPr/>
        <w:t>日，公 司披露了《关于部分限制性股票回购注销完成的公告》（公告编号：</w:t>
      </w:r>
      <w:r>
        <w:rPr>
          <w:rFonts w:ascii="Times New Roman" w:hAnsi="Times New Roman" w:cs="Times New Roman" w:eastAsia="Times New Roman" w:hint="default"/>
        </w:rPr>
        <w:t>2018-055</w:t>
      </w:r>
      <w:r>
        <w:rPr/>
        <w:t>）。</w:t>
      </w:r>
    </w:p>
    <w:p>
      <w:pPr>
        <w:pStyle w:val="BodyText"/>
        <w:spacing w:line="300" w:lineRule="auto" w:before="53"/>
        <w:ind w:right="1129" w:firstLine="362"/>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26</w:t>
      </w:r>
      <w:r>
        <w:rPr/>
        <w:t>日，公司召开第三届董事会第二十六次会议和第三届监事会第十九次会议，审议通过了《关于公司</w:t>
      </w:r>
      <w:r>
        <w:rPr>
          <w:rFonts w:ascii="Times New Roman" w:hAnsi="Times New Roman" w:cs="Times New Roman" w:eastAsia="Times New Roman" w:hint="default"/>
        </w:rPr>
        <w:t>2016</w:t>
      </w:r>
      <w:r>
        <w:rPr/>
        <w:t>年 </w:t>
      </w:r>
      <w:r>
        <w:rPr>
          <w:spacing w:val="-2"/>
        </w:rPr>
        <w:t>限制性股票激励计划第二个解锁期可解锁的议案》，监事会对公司</w:t>
      </w:r>
      <w:r>
        <w:rPr>
          <w:rFonts w:ascii="Times New Roman" w:hAnsi="Times New Roman" w:cs="Times New Roman" w:eastAsia="Times New Roman" w:hint="default"/>
          <w:spacing w:val="-2"/>
        </w:rPr>
        <w:t>2016</w:t>
      </w:r>
      <w:r>
        <w:rPr>
          <w:spacing w:val="-2"/>
        </w:rPr>
        <w:t>年股权激励计划首次授予第二个解锁期解锁条件及激</w:t>
      </w:r>
      <w:r>
        <w:rPr>
          <w:spacing w:val="-60"/>
        </w:rPr>
        <w:t> </w:t>
      </w:r>
      <w:r>
        <w:rPr>
          <w:spacing w:val="-1"/>
        </w:rPr>
        <w:t>励对象名单进行了核实，公司独立董事对此发表了同意的独立意见。</w:t>
      </w:r>
      <w:r>
        <w:rPr/>
        <w:t> </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23</w:t>
      </w:r>
      <w:r>
        <w:rPr>
          <w:spacing w:val="-2"/>
        </w:rPr>
        <w:t>日，公司披露了《关于公司</w:t>
      </w:r>
      <w:r>
        <w:rPr>
          <w:rFonts w:ascii="Times New Roman" w:hAnsi="Times New Roman" w:cs="Times New Roman" w:eastAsia="Times New Roman" w:hint="default"/>
          <w:spacing w:val="-2"/>
        </w:rPr>
        <w:t>2016</w:t>
      </w:r>
      <w:r>
        <w:rPr>
          <w:spacing w:val="-2"/>
        </w:rPr>
        <w:t>年限制性</w:t>
      </w:r>
      <w:r>
        <w:rPr>
          <w:spacing w:val="-86"/>
        </w:rPr>
        <w:t> </w:t>
      </w:r>
      <w:r>
        <w:rPr/>
        <w:t>股票激励计划第二个解锁期限制性股票上市流通的提示性公告》（公告编号：</w:t>
      </w:r>
      <w:r>
        <w:rPr>
          <w:rFonts w:ascii="Times New Roman" w:hAnsi="Times New Roman" w:cs="Times New Roman" w:eastAsia="Times New Roman" w:hint="default"/>
        </w:rPr>
        <w:t>2018-053</w:t>
      </w:r>
      <w:r>
        <w:rPr/>
        <w:t>）。</w:t>
      </w:r>
    </w:p>
    <w:p>
      <w:pPr>
        <w:pStyle w:val="BodyText"/>
        <w:spacing w:line="240" w:lineRule="auto" w:before="52"/>
        <w:ind w:left="514" w:right="0"/>
        <w:jc w:val="left"/>
      </w:pPr>
      <w:r>
        <w:rPr>
          <w:rFonts w:ascii="Times New Roman" w:hAnsi="Times New Roman" w:cs="Times New Roman" w:eastAsia="Times New Roman" w:hint="default"/>
        </w:rPr>
        <w:t>2</w:t>
      </w:r>
      <w:r>
        <w:rPr/>
        <w:t>、报告期内，公司完成</w:t>
      </w:r>
      <w:r>
        <w:rPr>
          <w:rFonts w:ascii="Times New Roman" w:hAnsi="Times New Roman" w:cs="Times New Roman" w:eastAsia="Times New Roman" w:hint="default"/>
        </w:rPr>
        <w:t>2017</w:t>
      </w:r>
      <w:r>
        <w:rPr/>
        <w:t>年股权激励计划激励对象预留授予股票期权登记完成事项及部分股票期权注销完成事项。</w:t>
      </w:r>
    </w:p>
    <w:p>
      <w:pPr>
        <w:pStyle w:val="BodyText"/>
        <w:spacing w:line="307" w:lineRule="auto" w:before="63"/>
        <w:ind w:right="1130" w:firstLine="360"/>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3</w:t>
      </w:r>
      <w:r>
        <w:rPr>
          <w:spacing w:val="-2"/>
        </w:rPr>
        <w:t>日，公司第三届董事会第二十七次会议和第三届监事会第二十次会议审议通过了《关于向激励对象授予</w:t>
      </w:r>
      <w:r>
        <w:rPr>
          <w:rFonts w:ascii="Times New Roman" w:hAnsi="Times New Roman" w:cs="Times New Roman" w:eastAsia="Times New Roman" w:hint="default"/>
          <w:spacing w:val="-2"/>
        </w:rPr>
        <w:t>2017</w:t>
      </w:r>
      <w:r>
        <w:rPr>
          <w:rFonts w:ascii="Times New Roman" w:hAnsi="Times New Roman" w:cs="Times New Roman" w:eastAsia="Times New Roman" w:hint="default"/>
        </w:rPr>
        <w:t> </w:t>
      </w:r>
      <w:r>
        <w:rPr>
          <w:spacing w:val="-2"/>
        </w:rPr>
        <w:t>年股票期权激励计划预留股票期权的议案》。公司监事会及独立董事分别对激励对象获授权益的条件是否成就发表了明确意</w:t>
      </w:r>
      <w:r>
        <w:rPr>
          <w:spacing w:val="-64"/>
        </w:rPr>
        <w:t> </w:t>
      </w:r>
      <w:r>
        <w:rPr>
          <w:spacing w:val="-64"/>
        </w:rPr>
      </w:r>
      <w:r>
        <w:rPr>
          <w:spacing w:val="-3"/>
        </w:rPr>
        <w:t>见，监事会对授权日激励对象名单进行了核实并发表了核查意见，公司聘请的律师出具了相关法律意见书。</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12</w:t>
      </w:r>
      <w:r>
        <w:rPr>
          <w:spacing w:val="-3"/>
        </w:rPr>
        <w:t>日，</w:t>
      </w:r>
      <w:r>
        <w:rPr/>
        <w:t> 公司披露了《关于向激励对象授予</w:t>
      </w:r>
      <w:r>
        <w:rPr>
          <w:rFonts w:ascii="Times New Roman" w:hAnsi="Times New Roman" w:cs="Times New Roman" w:eastAsia="Times New Roman" w:hint="default"/>
        </w:rPr>
        <w:t>2017</w:t>
      </w:r>
      <w:r>
        <w:rPr/>
        <w:t>年股票期权激励计划预留股票期权登记完成的公告》（公告编号：</w:t>
      </w:r>
      <w:r>
        <w:rPr>
          <w:rFonts w:ascii="Times New Roman" w:hAnsi="Times New Roman" w:cs="Times New Roman" w:eastAsia="Times New Roman" w:hint="default"/>
        </w:rPr>
        <w:t>2018-061</w:t>
      </w:r>
      <w:r>
        <w:rPr/>
        <w:t>）。</w:t>
      </w:r>
    </w:p>
    <w:p>
      <w:pPr>
        <w:pStyle w:val="BodyText"/>
        <w:spacing w:line="300" w:lineRule="auto" w:before="7"/>
        <w:ind w:right="1130" w:firstLine="36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26</w:t>
      </w:r>
      <w:r>
        <w:rPr/>
        <w:t>日，公司分别召开第三届董事会第二十六次会议和第三届监</w:t>
      </w:r>
      <w:r>
        <w:rPr>
          <w:spacing w:val="-24"/>
        </w:rPr>
        <w:t> </w:t>
      </w:r>
      <w:r>
        <w:rPr>
          <w:spacing w:val="-3"/>
        </w:rPr>
        <w:t>事会第十九次会议，审议通过了《关于公司注</w:t>
      </w:r>
      <w:r>
        <w:rPr/>
        <w:t> 销</w:t>
      </w:r>
      <w:r>
        <w:rPr>
          <w:rFonts w:ascii="Times New Roman" w:hAnsi="Times New Roman" w:cs="Times New Roman" w:eastAsia="Times New Roman" w:hint="default"/>
        </w:rPr>
        <w:t>2017</w:t>
      </w:r>
      <w:r>
        <w:rPr/>
        <w:t>年股票期权激励计划部分股票期权的议案》。原激励对象姜泽星、梁玉玺、刘洪兵、任晓锋、王琨、魏寅、</w:t>
      </w:r>
      <w:r>
        <w:rPr>
          <w:spacing w:val="-16"/>
        </w:rPr>
        <w:t> </w:t>
      </w:r>
      <w:r>
        <w:rPr/>
        <w:t>杨露、</w:t>
      </w:r>
      <w:r>
        <w:rPr/>
        <w:t> 郑刚及周全因个人原因离职已不符合激励条件，同意注销其已获授的全部股票期权共计</w:t>
      </w:r>
      <w:r>
        <w:rPr>
          <w:rFonts w:ascii="Times New Roman" w:hAnsi="Times New Roman" w:cs="Times New Roman" w:eastAsia="Times New Roman" w:hint="default"/>
        </w:rPr>
        <w:t>144,500</w:t>
      </w:r>
      <w:r>
        <w:rPr/>
        <w:t>份。由于公司股票期权第一 </w:t>
      </w:r>
      <w:r>
        <w:rPr>
          <w:spacing w:val="-3"/>
        </w:rPr>
        <w:t>个行权期行权条件中的公司业绩考核条件未达成，所以根据《公司</w:t>
      </w:r>
      <w:r>
        <w:rPr>
          <w:rFonts w:ascii="Times New Roman" w:hAnsi="Times New Roman" w:cs="Times New Roman" w:eastAsia="Times New Roman" w:hint="default"/>
          <w:spacing w:val="-3"/>
        </w:rPr>
        <w:t>2017</w:t>
      </w:r>
      <w:r>
        <w:rPr>
          <w:spacing w:val="-3"/>
        </w:rPr>
        <w:t>年股票期权激励计划（草案）》的规定，注销其他</w:t>
      </w:r>
      <w:r>
        <w:rPr>
          <w:rFonts w:ascii="Times New Roman" w:hAnsi="Times New Roman" w:cs="Times New Roman" w:eastAsia="Times New Roman" w:hint="default"/>
          <w:spacing w:val="-3"/>
        </w:rPr>
        <w:t>161</w:t>
      </w:r>
      <w:r>
        <w:rPr>
          <w:rFonts w:ascii="Times New Roman" w:hAnsi="Times New Roman" w:cs="Times New Roman" w:eastAsia="Times New Roman" w:hint="default"/>
        </w:rPr>
        <w:t> </w:t>
      </w:r>
      <w:r>
        <w:rPr>
          <w:spacing w:val="-1"/>
        </w:rPr>
        <w:t>名激励对象已获授但未达到第一期行权条件的股票期权共计</w:t>
      </w:r>
      <w:r>
        <w:rPr>
          <w:rFonts w:ascii="Times New Roman" w:hAnsi="Times New Roman" w:cs="Times New Roman" w:eastAsia="Times New Roman" w:hint="default"/>
          <w:spacing w:val="-1"/>
        </w:rPr>
        <w:t>484,400</w:t>
      </w:r>
      <w:r>
        <w:rPr>
          <w:spacing w:val="-1"/>
        </w:rPr>
        <w:t>份。</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12</w:t>
      </w:r>
      <w:r>
        <w:rPr>
          <w:spacing w:val="-1"/>
        </w:rPr>
        <w:t>日，公司披露了《关于公司</w:t>
      </w:r>
      <w:r>
        <w:rPr>
          <w:rFonts w:ascii="Times New Roman" w:hAnsi="Times New Roman" w:cs="Times New Roman" w:eastAsia="Times New Roman" w:hint="default"/>
          <w:spacing w:val="-1"/>
        </w:rPr>
        <w:t>2017</w:t>
      </w:r>
      <w:r>
        <w:rPr>
          <w:spacing w:val="-1"/>
        </w:rPr>
        <w:t>年股票</w:t>
      </w:r>
      <w:r>
        <w:rPr>
          <w:spacing w:val="-67"/>
        </w:rPr>
        <w:t> </w:t>
      </w:r>
      <w:r>
        <w:rPr/>
        <w:t>期权激励计划部分股票期权注销完成的公告》。</w:t>
      </w:r>
    </w:p>
    <w:p>
      <w:pPr>
        <w:pStyle w:val="BodyText"/>
        <w:spacing w:line="240" w:lineRule="auto" w:before="31"/>
        <w:ind w:left="527" w:right="0"/>
        <w:jc w:val="left"/>
      </w:pPr>
      <w:r>
        <w:rPr>
          <w:rFonts w:ascii="Times New Roman" w:hAnsi="Times New Roman" w:cs="Times New Roman" w:eastAsia="Times New Roman" w:hint="default"/>
        </w:rPr>
        <w:t>3</w:t>
      </w:r>
      <w:r>
        <w:rPr/>
        <w:t>、报告期内，公司完成实施</w:t>
      </w:r>
      <w:r>
        <w:rPr>
          <w:rFonts w:ascii="Times New Roman" w:hAnsi="Times New Roman" w:cs="Times New Roman" w:eastAsia="Times New Roman" w:hint="default"/>
        </w:rPr>
        <w:t>2018</w:t>
      </w:r>
      <w:r>
        <w:rPr/>
        <w:t>年限制性股票激励计划以及首次限制性股票授予登记事项。</w:t>
      </w:r>
    </w:p>
    <w:p>
      <w:pPr>
        <w:pStyle w:val="BodyText"/>
        <w:spacing w:line="304" w:lineRule="auto" w:before="63"/>
        <w:ind w:right="1132" w:firstLine="373"/>
        <w:jc w:val="both"/>
      </w:pP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9</w:t>
      </w:r>
      <w:r>
        <w:rPr>
          <w:spacing w:val="-1"/>
        </w:rPr>
        <w:t>月</w:t>
      </w:r>
      <w:r>
        <w:rPr>
          <w:rFonts w:ascii="Times New Roman" w:hAnsi="Times New Roman" w:cs="Times New Roman" w:eastAsia="Times New Roman" w:hint="default"/>
          <w:spacing w:val="-1"/>
        </w:rPr>
        <w:t>30</w:t>
      </w:r>
      <w:r>
        <w:rPr>
          <w:spacing w:val="-1"/>
        </w:rPr>
        <w:t>日，公司第三届董事会第三十次会议审议通过了《关于公司</w:t>
      </w:r>
      <w:r>
        <w:rPr>
          <w:rFonts w:ascii="Times New Roman" w:hAnsi="Times New Roman" w:cs="Times New Roman" w:eastAsia="Times New Roman" w:hint="default"/>
          <w:spacing w:val="-1"/>
        </w:rPr>
        <w:t>2018</w:t>
      </w:r>
      <w:r>
        <w:rPr>
          <w:spacing w:val="-1"/>
        </w:rPr>
        <w:t>年限制性股票激励计划（草案）及其摘要</w:t>
      </w:r>
      <w:r>
        <w:rPr/>
        <w:t> 的议案》、《关于公司</w:t>
      </w:r>
      <w:r>
        <w:rPr>
          <w:rFonts w:ascii="Times New Roman" w:hAnsi="Times New Roman" w:cs="Times New Roman" w:eastAsia="Times New Roman" w:hint="default"/>
        </w:rPr>
        <w:t>2018</w:t>
      </w:r>
      <w:r>
        <w:rPr/>
        <w:t>年限制性股票激励计划实施考核管理办法的议案》和《关于提请股东大会授予董事会办理</w:t>
      </w:r>
      <w:r>
        <w:rPr>
          <w:spacing w:val="-16"/>
        </w:rPr>
        <w:t> </w:t>
      </w:r>
      <w:r>
        <w:rPr>
          <w:rFonts w:ascii="Times New Roman" w:hAnsi="Times New Roman" w:cs="Times New Roman" w:eastAsia="Times New Roman" w:hint="default"/>
        </w:rPr>
        <w:t>2018 </w:t>
      </w:r>
      <w:r>
        <w:rPr>
          <w:spacing w:val="-2"/>
        </w:rPr>
        <w:t>年限制性股票激励计划相关事宜的议案》。公司独立董事对此发表了独立意见，律师出具了相应法律意见书。同日，公司召</w:t>
      </w:r>
      <w:r>
        <w:rPr>
          <w:spacing w:val="-66"/>
        </w:rPr>
        <w:t> </w:t>
      </w:r>
      <w:r>
        <w:rPr>
          <w:spacing w:val="-66"/>
        </w:rPr>
      </w:r>
      <w:r>
        <w:rPr>
          <w:spacing w:val="-2"/>
        </w:rPr>
        <w:t>开第三届监事会第二十三次会议，审议通过了《关于公司</w:t>
      </w:r>
      <w:r>
        <w:rPr>
          <w:rFonts w:ascii="Times New Roman" w:hAnsi="Times New Roman" w:cs="Times New Roman" w:eastAsia="Times New Roman" w:hint="default"/>
          <w:spacing w:val="-2"/>
        </w:rPr>
        <w:t>2018</w:t>
      </w:r>
      <w:r>
        <w:rPr>
          <w:spacing w:val="-2"/>
        </w:rPr>
        <w:t>年限制性股票激励计划（草案）及其摘要的议案》、《关于公</w:t>
      </w:r>
      <w:r>
        <w:rPr>
          <w:spacing w:val="-67"/>
        </w:rPr>
        <w:t> </w:t>
      </w:r>
      <w:r>
        <w:rPr>
          <w:spacing w:val="-67"/>
        </w:rPr>
      </w:r>
      <w:r>
        <w:rPr/>
        <w:t>司</w:t>
      </w:r>
      <w:r>
        <w:rPr>
          <w:rFonts w:ascii="Times New Roman" w:hAnsi="Times New Roman" w:cs="Times New Roman" w:eastAsia="Times New Roman" w:hint="default"/>
        </w:rPr>
        <w:t>2018</w:t>
      </w:r>
      <w:r>
        <w:rPr/>
        <w:t>年限制性股票激励计划实施考核办法的议案》。</w:t>
      </w:r>
    </w:p>
    <w:p>
      <w:pPr>
        <w:pStyle w:val="BodyText"/>
        <w:spacing w:line="300" w:lineRule="auto" w:before="9"/>
        <w:ind w:right="1030" w:firstLine="362"/>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24</w:t>
      </w:r>
      <w:r>
        <w:rPr/>
        <w:t>日，公司召开</w:t>
      </w:r>
      <w:r>
        <w:rPr>
          <w:rFonts w:ascii="Times New Roman" w:hAnsi="Times New Roman" w:cs="Times New Roman" w:eastAsia="Times New Roman" w:hint="default"/>
        </w:rPr>
        <w:t>2018</w:t>
      </w:r>
      <w:r>
        <w:rPr/>
        <w:t>年度第二次临时股东大会，审议通过了《关于公司</w:t>
      </w:r>
      <w:r>
        <w:rPr>
          <w:rFonts w:ascii="Times New Roman" w:hAnsi="Times New Roman" w:cs="Times New Roman" w:eastAsia="Times New Roman" w:hint="default"/>
        </w:rPr>
        <w:t>2018</w:t>
      </w:r>
      <w:r>
        <w:rPr/>
        <w:t>年限制性股票激励计划（草案） </w:t>
      </w:r>
      <w:r>
        <w:rPr>
          <w:spacing w:val="-2"/>
        </w:rPr>
        <w:t>及其摘要的议案》、《关于公司</w:t>
      </w:r>
      <w:r>
        <w:rPr>
          <w:rFonts w:ascii="Times New Roman" w:hAnsi="Times New Roman" w:cs="Times New Roman" w:eastAsia="Times New Roman" w:hint="default"/>
          <w:spacing w:val="-2"/>
        </w:rPr>
        <w:t>2018</w:t>
      </w:r>
      <w:r>
        <w:rPr>
          <w:spacing w:val="-2"/>
        </w:rPr>
        <w:t>年限制性股票激励计划实施考核管理办法的议案》和《关于提请股东大会授予董事会办</w:t>
      </w:r>
      <w:r>
        <w:rPr>
          <w:spacing w:val="-61"/>
        </w:rPr>
        <w:t> </w:t>
      </w:r>
      <w:r>
        <w:rPr>
          <w:spacing w:val="-61"/>
        </w:rPr>
      </w:r>
      <w:r>
        <w:rPr/>
        <w:t>理</w:t>
      </w:r>
      <w:r>
        <w:rPr>
          <w:rFonts w:ascii="Times New Roman" w:hAnsi="Times New Roman" w:cs="Times New Roman" w:eastAsia="Times New Roman" w:hint="default"/>
        </w:rPr>
        <w:t>2018</w:t>
      </w:r>
      <w:r>
        <w:rPr/>
        <w:t>年限制性股票激励计划有关事宜的议案》，律师出具了相应法律意见书。</w:t>
      </w:r>
    </w:p>
    <w:p>
      <w:pPr>
        <w:pStyle w:val="BodyText"/>
        <w:spacing w:line="300" w:lineRule="auto" w:before="13"/>
        <w:ind w:right="1032" w:firstLine="362"/>
        <w:jc w:val="left"/>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31</w:t>
      </w:r>
      <w:r>
        <w:rPr>
          <w:spacing w:val="-2"/>
        </w:rPr>
        <w:t>日，公司第三届董事会第三十二次会议和第三届监事会第二十五次会议审议通过了《关于调整</w:t>
      </w:r>
      <w:r>
        <w:rPr>
          <w:rFonts w:ascii="Times New Roman" w:hAnsi="Times New Roman" w:cs="Times New Roman" w:eastAsia="Times New Roman" w:hint="default"/>
          <w:spacing w:val="-2"/>
        </w:rPr>
        <w:t>2018</w:t>
      </w:r>
      <w:r>
        <w:rPr>
          <w:spacing w:val="-2"/>
        </w:rPr>
        <w:t>年股权</w:t>
      </w:r>
      <w:r>
        <w:rPr/>
        <w:t> </w:t>
      </w:r>
      <w:r>
        <w:rPr>
          <w:spacing w:val="-2"/>
        </w:rPr>
        <w:t>激励计划授予对象数量的议案》、《关于向激励对象授予限制性股票的议案》。调整后，公司</w:t>
      </w:r>
      <w:r>
        <w:rPr>
          <w:rFonts w:ascii="Times New Roman" w:hAnsi="Times New Roman" w:cs="Times New Roman" w:eastAsia="Times New Roman" w:hint="default"/>
          <w:spacing w:val="-2"/>
        </w:rPr>
        <w:t>2018</w:t>
      </w:r>
      <w:r>
        <w:rPr>
          <w:spacing w:val="-2"/>
        </w:rPr>
        <w:t>年限制性股票激励计划首</w:t>
      </w:r>
      <w:r>
        <w:rPr>
          <w:spacing w:val="-64"/>
        </w:rPr>
        <w:t> </w:t>
      </w:r>
      <w:r>
        <w:rPr/>
        <w:t>次授予的激励对象由</w:t>
      </w:r>
      <w:r>
        <w:rPr>
          <w:rFonts w:ascii="Times New Roman" w:hAnsi="Times New Roman" w:cs="Times New Roman" w:eastAsia="Times New Roman" w:hint="default"/>
        </w:rPr>
        <w:t>175</w:t>
      </w:r>
      <w:r>
        <w:rPr/>
        <w:t>人调整为</w:t>
      </w:r>
      <w:r>
        <w:rPr>
          <w:rFonts w:ascii="Times New Roman" w:hAnsi="Times New Roman" w:cs="Times New Roman" w:eastAsia="Times New Roman" w:hint="default"/>
        </w:rPr>
        <w:t>158</w:t>
      </w:r>
      <w:r>
        <w:rPr/>
        <w:t>人，公司监事会及独立董事分别对激励对象获授予益的条件是否成就发表了明确意见，</w:t>
      </w:r>
      <w:r>
        <w:rPr>
          <w:spacing w:val="-85"/>
        </w:rPr>
        <w:t> </w:t>
      </w:r>
      <w:r>
        <w:rPr>
          <w:spacing w:val="-85"/>
        </w:rPr>
      </w:r>
      <w:r>
        <w:rPr/>
        <w:t>监事会对激励对象名单进行了核实并发表了核查意见，公司聘请的律师出具了相关法律意见书。</w:t>
      </w:r>
    </w:p>
    <w:p>
      <w:pPr>
        <w:pStyle w:val="BodyText"/>
        <w:spacing w:line="300" w:lineRule="auto" w:before="31"/>
        <w:ind w:right="1130" w:firstLine="362"/>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16</w:t>
      </w:r>
      <w:r>
        <w:rPr>
          <w:spacing w:val="-2"/>
        </w:rPr>
        <w:t>日，公司第三届董事会第三十三次会议和第三届监事会第二十六次会议审议通过了《关于调整</w:t>
      </w:r>
      <w:r>
        <w:rPr>
          <w:rFonts w:ascii="Times New Roman" w:hAnsi="Times New Roman" w:cs="Times New Roman" w:eastAsia="Times New Roman" w:hint="default"/>
          <w:spacing w:val="-2"/>
        </w:rPr>
        <w:t>2018</w:t>
      </w:r>
      <w:r>
        <w:rPr>
          <w:spacing w:val="-2"/>
        </w:rPr>
        <w:t>年股权</w:t>
      </w:r>
      <w:r>
        <w:rPr/>
        <w:t> </w:t>
      </w:r>
      <w:r>
        <w:rPr>
          <w:spacing w:val="-2"/>
        </w:rPr>
        <w:t>激励计划授予对象数量的议案》。调整后，公司</w:t>
      </w:r>
      <w:r>
        <w:rPr>
          <w:rFonts w:ascii="Times New Roman" w:hAnsi="Times New Roman" w:cs="Times New Roman" w:eastAsia="Times New Roman" w:hint="default"/>
          <w:spacing w:val="-2"/>
        </w:rPr>
        <w:t>2018</w:t>
      </w:r>
      <w:r>
        <w:rPr>
          <w:spacing w:val="-2"/>
        </w:rPr>
        <w:t>年限制性股票激励计划首次授予的激励对象由</w:t>
      </w:r>
      <w:r>
        <w:rPr>
          <w:rFonts w:ascii="Times New Roman" w:hAnsi="Times New Roman" w:cs="Times New Roman" w:eastAsia="Times New Roman" w:hint="default"/>
          <w:spacing w:val="-2"/>
        </w:rPr>
        <w:t>158</w:t>
      </w:r>
      <w:r>
        <w:rPr>
          <w:spacing w:val="-2"/>
        </w:rPr>
        <w:t>人调整为</w:t>
      </w:r>
      <w:r>
        <w:rPr>
          <w:rFonts w:ascii="Times New Roman" w:hAnsi="Times New Roman" w:cs="Times New Roman" w:eastAsia="Times New Roman" w:hint="default"/>
          <w:spacing w:val="-2"/>
        </w:rPr>
        <w:t>147</w:t>
      </w:r>
      <w:r>
        <w:rPr>
          <w:spacing w:val="-2"/>
        </w:rPr>
        <w:t>人，监事</w:t>
      </w:r>
      <w:r>
        <w:rPr>
          <w:spacing w:val="-56"/>
        </w:rPr>
        <w:t> </w:t>
      </w:r>
      <w:r>
        <w:rPr>
          <w:spacing w:val="-56"/>
        </w:rPr>
      </w:r>
      <w:r>
        <w:rPr>
          <w:spacing w:val="-5"/>
        </w:rPr>
        <w:t>会对激励对象名单进行了核实并发表了核查意见，公司聘请的律师出具了相关法律意见书。</w:t>
      </w:r>
      <w:r>
        <w:rPr>
          <w:rFonts w:ascii="Times New Roman" w:hAnsi="Times New Roman" w:cs="Times New Roman" w:eastAsia="Times New Roman" w:hint="default"/>
          <w:spacing w:val="-5"/>
        </w:rPr>
        <w:t>2018</w:t>
      </w:r>
      <w:r>
        <w:rPr>
          <w:spacing w:val="-5"/>
        </w:rPr>
        <w:t>年</w:t>
      </w:r>
      <w:r>
        <w:rPr>
          <w:rFonts w:ascii="Times New Roman" w:hAnsi="Times New Roman" w:cs="Times New Roman" w:eastAsia="Times New Roman" w:hint="default"/>
          <w:spacing w:val="-5"/>
        </w:rPr>
        <w:t>12</w:t>
      </w:r>
      <w:r>
        <w:rPr>
          <w:spacing w:val="-5"/>
        </w:rPr>
        <w:t>月</w:t>
      </w:r>
      <w:r>
        <w:rPr>
          <w:rFonts w:ascii="Times New Roman" w:hAnsi="Times New Roman" w:cs="Times New Roman" w:eastAsia="Times New Roman" w:hint="default"/>
          <w:spacing w:val="-5"/>
        </w:rPr>
        <w:t>03</w:t>
      </w:r>
      <w:r>
        <w:rPr>
          <w:spacing w:val="-5"/>
        </w:rPr>
        <w:t>日，公司披露了《关</w:t>
      </w:r>
      <w:r>
        <w:rPr>
          <w:spacing w:val="-60"/>
        </w:rPr>
        <w:t> </w:t>
      </w:r>
      <w:r>
        <w:rPr>
          <w:spacing w:val="-60"/>
        </w:rPr>
      </w:r>
      <w:r>
        <w:rPr>
          <w:spacing w:val="-1"/>
        </w:rPr>
        <w:t>于</w:t>
      </w:r>
      <w:r>
        <w:rPr>
          <w:rFonts w:ascii="Times New Roman" w:hAnsi="Times New Roman" w:cs="Times New Roman" w:eastAsia="Times New Roman" w:hint="default"/>
          <w:spacing w:val="-1"/>
        </w:rPr>
        <w:t>2018</w:t>
      </w:r>
      <w:r>
        <w:rPr>
          <w:spacing w:val="-1"/>
        </w:rPr>
        <w:t>年限制性股票激励计划激励对象首次授予登记完成的公告》（公告编号：</w:t>
      </w:r>
      <w:r>
        <w:rPr>
          <w:rFonts w:ascii="Times New Roman" w:hAnsi="Times New Roman" w:cs="Times New Roman" w:eastAsia="Times New Roman" w:hint="default"/>
          <w:spacing w:val="-1"/>
        </w:rPr>
        <w:t>2018-100</w:t>
      </w:r>
      <w:r>
        <w:rPr>
          <w:spacing w:val="-1"/>
        </w:rPr>
        <w:t>），至此，公司已完成</w:t>
      </w:r>
      <w:r>
        <w:rPr>
          <w:rFonts w:ascii="Times New Roman" w:hAnsi="Times New Roman" w:cs="Times New Roman" w:eastAsia="Times New Roman" w:hint="default"/>
          <w:spacing w:val="-1"/>
        </w:rPr>
        <w:t>2018</w:t>
      </w:r>
      <w:r>
        <w:rPr>
          <w:spacing w:val="-1"/>
        </w:rPr>
        <w:t>年限制</w:t>
      </w:r>
      <w:r>
        <w:rPr>
          <w:spacing w:val="-83"/>
        </w:rPr>
        <w:t> </w:t>
      </w:r>
      <w:r>
        <w:rPr/>
        <w:t>性股票激励计划首次授予登记工作。</w:t>
      </w:r>
    </w:p>
    <w:p>
      <w:pPr>
        <w:pStyle w:val="BodyText"/>
        <w:spacing w:line="240" w:lineRule="auto" w:before="72"/>
        <w:ind w:left="514" w:right="0"/>
        <w:jc w:val="left"/>
      </w:pPr>
      <w:r>
        <w:rPr>
          <w:rFonts w:ascii="Times New Roman" w:hAnsi="Times New Roman" w:cs="Times New Roman" w:eastAsia="Times New Roman" w:hint="default"/>
        </w:rPr>
        <w:t>4</w:t>
      </w:r>
      <w:r>
        <w:rPr/>
        <w:t>、报告期内，基于对公司未来发展前景的信心和基本面的判断，公司管理层在综合考虑公司近期股票二级市场表现，</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1132"/>
        <w:jc w:val="both"/>
      </w:pPr>
      <w:r>
        <w:rPr>
          <w:spacing w:val="-2"/>
        </w:rPr>
        <w:t>结合公司经营情况、财务状况以及未来的盈利能力和发展前景，为维护广大投资者的利益，增强投资者信心，公司根据《公</w:t>
      </w:r>
      <w:r>
        <w:rPr>
          <w:spacing w:val="-66"/>
        </w:rPr>
        <w:t> </w:t>
      </w:r>
      <w:r>
        <w:rPr>
          <w:spacing w:val="-66"/>
        </w:rPr>
      </w:r>
      <w:r>
        <w:rPr>
          <w:spacing w:val="-2"/>
        </w:rPr>
        <w:t>司法》、《证券法》、《上市公司回购社会公众股份管理办法（试行）》等法律法规及《公司章程》规定，回购部分公司股</w:t>
      </w:r>
      <w:r>
        <w:rPr>
          <w:spacing w:val="-72"/>
        </w:rPr>
        <w:t> </w:t>
      </w:r>
      <w:r>
        <w:rPr>
          <w:spacing w:val="-72"/>
        </w:rPr>
      </w:r>
      <w:r>
        <w:rPr>
          <w:spacing w:val="-2"/>
        </w:rPr>
        <w:t>份，以推进公司股票市场价格与内在价值相匹配。公司本次回购股份将用于公司股权激励计划、员工持股计划或依法注销减</w:t>
      </w:r>
      <w:r>
        <w:rPr>
          <w:spacing w:val="-66"/>
        </w:rPr>
        <w:t> </w:t>
      </w:r>
      <w:r>
        <w:rPr>
          <w:spacing w:val="-66"/>
        </w:rPr>
      </w:r>
      <w:r>
        <w:rPr>
          <w:spacing w:val="-2"/>
        </w:rPr>
        <w:t>少注册资本等，若公司未能实施股权激励计划或员工持股计划，则公司回购的股份将依法予以注销。具体用途授权董事会依</w:t>
      </w:r>
      <w:r>
        <w:rPr>
          <w:spacing w:val="-66"/>
        </w:rPr>
        <w:t> </w:t>
      </w:r>
      <w:r>
        <w:rPr>
          <w:spacing w:val="-66"/>
        </w:rPr>
      </w:r>
      <w:r>
        <w:rPr/>
        <w:t>据有关法律法规决定。《关于筹划员工持股计划的提示性公告》于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25</w:t>
      </w:r>
      <w:r>
        <w:rPr/>
        <w:t>日刊登在指定信息披露网站巨潮资讯</w:t>
      </w:r>
    </w:p>
    <w:p>
      <w:pPr>
        <w:pStyle w:val="BodyText"/>
        <w:spacing w:line="247" w:lineRule="exact"/>
        <w:ind w:right="0"/>
        <w:jc w:val="both"/>
      </w:pPr>
      <w:r>
        <w:rPr/>
        <w:t>（</w:t>
      </w:r>
      <w:hyperlink r:id="rId12">
        <w:r>
          <w:rPr>
            <w:rFonts w:ascii="Times New Roman" w:hAnsi="Times New Roman" w:cs="Times New Roman" w:eastAsia="Times New Roman" w:hint="default"/>
          </w:rPr>
          <w:t>www.cninfo.com.cn</w:t>
        </w:r>
      </w:hyperlink>
      <w:r>
        <w:rPr/>
        <w:t>）。后续公司将继续推进员工持股计划的相关事宜。</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0"/>
          <w:szCs w:val="10"/>
        </w:rPr>
      </w:pPr>
    </w:p>
    <w:tbl>
      <w:tblPr>
        <w:tblW w:w="0" w:type="auto"/>
        <w:jc w:val="left"/>
        <w:tblInd w:w="146" w:type="dxa"/>
        <w:tblLayout w:type="fixed"/>
        <w:tblCellMar>
          <w:top w:w="0" w:type="dxa"/>
          <w:left w:w="0" w:type="dxa"/>
          <w:bottom w:w="0" w:type="dxa"/>
          <w:right w:w="0" w:type="dxa"/>
        </w:tblCellMar>
        <w:tblLook w:val="01E0"/>
      </w:tblPr>
      <w:tblGrid>
        <w:gridCol w:w="1880"/>
        <w:gridCol w:w="2871"/>
        <w:gridCol w:w="4820"/>
      </w:tblGrid>
      <w:tr>
        <w:trPr>
          <w:trHeight w:val="347" w:hRule="exact"/>
        </w:trPr>
        <w:tc>
          <w:tcPr>
            <w:tcW w:w="188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71" w:lineRule="exact"/>
              <w:ind w:left="511" w:right="0"/>
              <w:jc w:val="left"/>
              <w:rPr>
                <w:rFonts w:ascii="宋体" w:hAnsi="宋体" w:cs="宋体" w:eastAsia="宋体" w:hint="default"/>
                <w:sz w:val="21"/>
                <w:szCs w:val="21"/>
              </w:rPr>
            </w:pPr>
            <w:r>
              <w:rPr>
                <w:rFonts w:ascii="宋体" w:hAnsi="宋体" w:cs="宋体" w:eastAsia="宋体" w:hint="default"/>
                <w:sz w:val="21"/>
                <w:szCs w:val="21"/>
              </w:rPr>
              <w:t>披露时间</w:t>
            </w:r>
          </w:p>
        </w:tc>
        <w:tc>
          <w:tcPr>
            <w:tcW w:w="287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71" w:lineRule="exact"/>
              <w:ind w:left="587" w:right="0"/>
              <w:jc w:val="left"/>
              <w:rPr>
                <w:rFonts w:ascii="宋体" w:hAnsi="宋体" w:cs="宋体" w:eastAsia="宋体" w:hint="default"/>
                <w:sz w:val="21"/>
                <w:szCs w:val="21"/>
              </w:rPr>
            </w:pPr>
            <w:r>
              <w:rPr>
                <w:rFonts w:ascii="宋体" w:hAnsi="宋体" w:cs="宋体" w:eastAsia="宋体" w:hint="default"/>
                <w:sz w:val="21"/>
                <w:szCs w:val="21"/>
              </w:rPr>
              <w:t>信息披露网站名称</w:t>
            </w:r>
          </w:p>
        </w:tc>
        <w:tc>
          <w:tcPr>
            <w:tcW w:w="482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公告名称</w:t>
            </w:r>
          </w:p>
        </w:tc>
      </w:tr>
      <w:tr>
        <w:trPr>
          <w:trHeight w:val="660"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1682" w:right="0" w:hanging="1679"/>
              <w:jc w:val="left"/>
              <w:rPr>
                <w:rFonts w:ascii="宋体" w:hAnsi="宋体" w:cs="宋体" w:eastAsia="宋体" w:hint="default"/>
                <w:sz w:val="18"/>
                <w:szCs w:val="18"/>
              </w:rPr>
            </w:pPr>
            <w:r>
              <w:rPr>
                <w:rFonts w:ascii="宋体" w:hAnsi="宋体" w:cs="宋体" w:eastAsia="宋体" w:hint="default"/>
                <w:spacing w:val="-3"/>
                <w:sz w:val="18"/>
                <w:szCs w:val="18"/>
              </w:rPr>
              <w:t>《奥拓电子：关于向暂缓授予的激励对象授予限制性股票授予</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登记完成的公告》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1682" w:right="0" w:hanging="1679"/>
              <w:jc w:val="left"/>
              <w:rPr>
                <w:rFonts w:ascii="宋体" w:hAnsi="宋体" w:cs="宋体" w:eastAsia="宋体" w:hint="default"/>
                <w:sz w:val="18"/>
                <w:szCs w:val="18"/>
              </w:rPr>
            </w:pPr>
            <w:r>
              <w:rPr>
                <w:rFonts w:ascii="宋体" w:hAnsi="宋体" w:cs="宋体" w:eastAsia="宋体" w:hint="default"/>
                <w:spacing w:val="-3"/>
                <w:sz w:val="18"/>
                <w:szCs w:val="18"/>
              </w:rPr>
              <w:t>《奥拓电子：关于公司</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年股票期权激励计划部分股票期权</w:t>
            </w:r>
            <w:r>
              <w:rPr>
                <w:rFonts w:ascii="宋体" w:hAnsi="宋体" w:cs="宋体" w:eastAsia="宋体" w:hint="default"/>
                <w:spacing w:val="-65"/>
                <w:sz w:val="18"/>
                <w:szCs w:val="18"/>
              </w:rPr>
              <w:t> </w:t>
            </w:r>
            <w:r>
              <w:rPr>
                <w:rFonts w:ascii="宋体" w:hAnsi="宋体" w:cs="宋体" w:eastAsia="宋体" w:hint="default"/>
                <w:sz w:val="18"/>
                <w:szCs w:val="18"/>
              </w:rPr>
              <w:t>注销完成的公告》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872" w:right="0" w:hanging="869"/>
              <w:jc w:val="left"/>
              <w:rPr>
                <w:rFonts w:ascii="宋体" w:hAnsi="宋体" w:cs="宋体" w:eastAsia="宋体" w:hint="default"/>
                <w:sz w:val="18"/>
                <w:szCs w:val="18"/>
              </w:rPr>
            </w:pPr>
            <w:r>
              <w:rPr>
                <w:rFonts w:ascii="宋体" w:hAnsi="宋体" w:cs="宋体" w:eastAsia="宋体" w:hint="default"/>
                <w:spacing w:val="-3"/>
                <w:sz w:val="18"/>
                <w:szCs w:val="18"/>
              </w:rPr>
              <w:t>《奥拓电子：关于公司</w:t>
            </w:r>
            <w:r>
              <w:rPr>
                <w:rFonts w:ascii="Times New Roman" w:hAnsi="Times New Roman" w:cs="Times New Roman" w:eastAsia="Times New Roman" w:hint="default"/>
                <w:spacing w:val="-3"/>
                <w:sz w:val="18"/>
                <w:szCs w:val="18"/>
              </w:rPr>
              <w:t>2016</w:t>
            </w:r>
            <w:r>
              <w:rPr>
                <w:rFonts w:ascii="宋体" w:hAnsi="宋体" w:cs="宋体" w:eastAsia="宋体" w:hint="default"/>
                <w:spacing w:val="-3"/>
                <w:sz w:val="18"/>
                <w:szCs w:val="18"/>
              </w:rPr>
              <w:t>年限制性股票激励计划第二个解锁</w:t>
            </w:r>
            <w:r>
              <w:rPr>
                <w:rFonts w:ascii="宋体" w:hAnsi="宋体" w:cs="宋体" w:eastAsia="宋体" w:hint="default"/>
                <w:spacing w:val="-65"/>
                <w:sz w:val="18"/>
                <w:szCs w:val="18"/>
              </w:rPr>
              <w:t> </w:t>
            </w:r>
            <w:r>
              <w:rPr>
                <w:rFonts w:ascii="宋体" w:hAnsi="宋体" w:cs="宋体" w:eastAsia="宋体" w:hint="default"/>
                <w:sz w:val="18"/>
                <w:szCs w:val="18"/>
              </w:rPr>
              <w:t>期限制性股票上市流通的提示性公告》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《奥拓电子：关于筹划员工持股计划的提示性公告》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《奥拓电子：关于部分限制性股票回购注销完成的公告》</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4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1232" w:right="0" w:hanging="1229"/>
              <w:jc w:val="left"/>
              <w:rPr>
                <w:rFonts w:ascii="宋体" w:hAnsi="宋体" w:cs="宋体" w:eastAsia="宋体" w:hint="default"/>
                <w:sz w:val="18"/>
                <w:szCs w:val="18"/>
              </w:rPr>
            </w:pPr>
            <w:r>
              <w:rPr>
                <w:rFonts w:ascii="宋体" w:hAnsi="宋体" w:cs="宋体" w:eastAsia="宋体" w:hint="default"/>
                <w:spacing w:val="-3"/>
                <w:sz w:val="18"/>
                <w:szCs w:val="18"/>
              </w:rPr>
              <w:t>《奥拓电子：关于向激励对象授予</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年股票期权激励计划预</w:t>
            </w:r>
            <w:r>
              <w:rPr>
                <w:rFonts w:ascii="宋体" w:hAnsi="宋体" w:cs="宋体" w:eastAsia="宋体" w:hint="default"/>
                <w:spacing w:val="-65"/>
                <w:sz w:val="18"/>
                <w:szCs w:val="18"/>
              </w:rPr>
              <w:t> </w:t>
            </w:r>
            <w:r>
              <w:rPr>
                <w:rFonts w:ascii="宋体" w:hAnsi="宋体" w:cs="宋体" w:eastAsia="宋体" w:hint="default"/>
                <w:sz w:val="18"/>
                <w:szCs w:val="18"/>
              </w:rPr>
              <w:t>留股票期权登记完成的公告》</w:t>
            </w:r>
          </w:p>
        </w:tc>
      </w:tr>
      <w:tr>
        <w:trPr>
          <w:trHeight w:val="1284"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4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8</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3" w:right="0" w:hanging="2"/>
              <w:jc w:val="center"/>
              <w:rPr>
                <w:rFonts w:ascii="宋体" w:hAnsi="宋体" w:cs="宋体" w:eastAsia="宋体" w:hint="default"/>
                <w:sz w:val="18"/>
                <w:szCs w:val="18"/>
              </w:rPr>
            </w:pPr>
            <w:r>
              <w:rPr>
                <w:rFonts w:ascii="宋体" w:hAnsi="宋体" w:cs="宋体" w:eastAsia="宋体" w:hint="default"/>
                <w:spacing w:val="-3"/>
                <w:sz w:val="18"/>
                <w:szCs w:val="18"/>
              </w:rPr>
              <w:t>《奥拓电子：</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年限制性股票激励计划（草案）》、《奥拓</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电子：</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年限制性股票激励计划（草案）摘要》、《奥拓电</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子：</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年限制性股票激励计划实施考核管理办法》、《</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年限制性股票激励计划首次授予激励对象名单》</w:t>
            </w:r>
          </w:p>
        </w:tc>
      </w:tr>
      <w:tr>
        <w:trPr>
          <w:trHeight w:val="659"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332" w:right="0" w:hanging="329"/>
              <w:jc w:val="left"/>
              <w:rPr>
                <w:rFonts w:ascii="宋体" w:hAnsi="宋体" w:cs="宋体" w:eastAsia="宋体" w:hint="default"/>
                <w:sz w:val="18"/>
                <w:szCs w:val="18"/>
              </w:rPr>
            </w:pPr>
            <w:r>
              <w:rPr>
                <w:rFonts w:ascii="宋体" w:hAnsi="宋体" w:cs="宋体" w:eastAsia="宋体" w:hint="default"/>
                <w:spacing w:val="-3"/>
                <w:sz w:val="18"/>
                <w:szCs w:val="18"/>
              </w:rPr>
              <w:t>《奥拓电子：</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年度第二次临时股东大会决议公告》、《奥</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拓电子：</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年度第二次临时股东大会法律意见书》</w:t>
            </w:r>
          </w:p>
        </w:tc>
      </w:tr>
      <w:tr>
        <w:trPr>
          <w:trHeight w:val="1283"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02</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3" w:right="0"/>
              <w:jc w:val="both"/>
              <w:rPr>
                <w:rFonts w:ascii="宋体" w:hAnsi="宋体" w:cs="宋体" w:eastAsia="宋体" w:hint="default"/>
                <w:sz w:val="18"/>
                <w:szCs w:val="18"/>
              </w:rPr>
            </w:pPr>
            <w:r>
              <w:rPr>
                <w:rFonts w:ascii="宋体" w:hAnsi="宋体" w:cs="宋体" w:eastAsia="宋体" w:hint="default"/>
                <w:spacing w:val="-3"/>
                <w:sz w:val="18"/>
                <w:szCs w:val="18"/>
              </w:rPr>
              <w:t>《奥拓电子：关于向</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年限制性股票激励计划激励对象首次</w:t>
            </w:r>
            <w:r>
              <w:rPr>
                <w:rFonts w:ascii="宋体" w:hAnsi="宋体" w:cs="宋体" w:eastAsia="宋体" w:hint="default"/>
                <w:spacing w:val="-65"/>
                <w:sz w:val="18"/>
                <w:szCs w:val="18"/>
              </w:rPr>
              <w:t> </w:t>
            </w:r>
            <w:r>
              <w:rPr>
                <w:rFonts w:ascii="宋体" w:hAnsi="宋体" w:cs="宋体" w:eastAsia="宋体" w:hint="default"/>
                <w:spacing w:val="-3"/>
                <w:sz w:val="18"/>
                <w:szCs w:val="18"/>
              </w:rPr>
              <w:t>授予限制性股票的公告》、《奥拓电子：关于调整</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年限制</w:t>
            </w:r>
            <w:r>
              <w:rPr>
                <w:rFonts w:ascii="宋体" w:hAnsi="宋体" w:cs="宋体" w:eastAsia="宋体" w:hint="default"/>
                <w:spacing w:val="-66"/>
                <w:sz w:val="18"/>
                <w:szCs w:val="18"/>
              </w:rPr>
              <w:t> </w:t>
            </w:r>
            <w:r>
              <w:rPr>
                <w:rFonts w:ascii="宋体" w:hAnsi="宋体" w:cs="宋体" w:eastAsia="宋体" w:hint="default"/>
                <w:sz w:val="18"/>
                <w:szCs w:val="18"/>
              </w:rPr>
              <w:t>性股票激励计划授予对象数量的公告》、《奥拓电子：</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年限制性股票激励计划首次授予激励对象名单（调整后）》</w:t>
            </w:r>
          </w:p>
        </w:tc>
      </w:tr>
      <w:tr>
        <w:trPr>
          <w:trHeight w:val="971"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19</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3" w:right="0" w:hanging="1"/>
              <w:jc w:val="center"/>
              <w:rPr>
                <w:rFonts w:ascii="宋体" w:hAnsi="宋体" w:cs="宋体" w:eastAsia="宋体" w:hint="default"/>
                <w:sz w:val="18"/>
                <w:szCs w:val="18"/>
              </w:rPr>
            </w:pPr>
            <w:r>
              <w:rPr>
                <w:rFonts w:ascii="宋体" w:hAnsi="宋体" w:cs="宋体" w:eastAsia="宋体" w:hint="default"/>
                <w:spacing w:val="-3"/>
                <w:sz w:val="18"/>
                <w:szCs w:val="18"/>
              </w:rPr>
              <w:t>《奥拓电子：关于调整</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年限制性股票激励计划授予对象数</w:t>
            </w:r>
            <w:r>
              <w:rPr>
                <w:rFonts w:ascii="宋体" w:hAnsi="宋体" w:cs="宋体" w:eastAsia="宋体" w:hint="default"/>
                <w:spacing w:val="-75"/>
                <w:sz w:val="18"/>
                <w:szCs w:val="18"/>
              </w:rPr>
              <w:t> </w:t>
            </w:r>
            <w:r>
              <w:rPr>
                <w:rFonts w:ascii="宋体" w:hAnsi="宋体" w:cs="宋体" w:eastAsia="宋体" w:hint="default"/>
                <w:spacing w:val="-3"/>
                <w:sz w:val="18"/>
                <w:szCs w:val="18"/>
              </w:rPr>
              <w:t>量的公告》、《奥拓电子：</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年限制性股票激励计划首次授</w:t>
            </w:r>
            <w:r>
              <w:rPr>
                <w:rFonts w:ascii="宋体" w:hAnsi="宋体" w:cs="宋体" w:eastAsia="宋体" w:hint="default"/>
                <w:spacing w:val="-77"/>
                <w:sz w:val="18"/>
                <w:szCs w:val="18"/>
              </w:rPr>
              <w:t> </w:t>
            </w:r>
            <w:r>
              <w:rPr>
                <w:rFonts w:ascii="宋体" w:hAnsi="宋体" w:cs="宋体" w:eastAsia="宋体" w:hint="default"/>
                <w:sz w:val="18"/>
                <w:szCs w:val="18"/>
              </w:rPr>
              <w:t>予激励对象名单（调整后）》</w:t>
            </w:r>
          </w:p>
        </w:tc>
      </w:tr>
      <w:tr>
        <w:trPr>
          <w:trHeight w:val="660" w:hRule="exact"/>
        </w:trPr>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03</w:t>
            </w:r>
            <w:r>
              <w:rPr>
                <w:rFonts w:ascii="宋体" w:hAnsi="宋体" w:cs="宋体" w:eastAsia="宋体" w:hint="default"/>
                <w:sz w:val="18"/>
                <w:szCs w:val="18"/>
              </w:rPr>
              <w:t>日</w:t>
            </w:r>
          </w:p>
        </w:tc>
        <w:tc>
          <w:tcPr>
            <w:tcW w:w="28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1592" w:right="0" w:hanging="1589"/>
              <w:jc w:val="left"/>
              <w:rPr>
                <w:rFonts w:ascii="宋体" w:hAnsi="宋体" w:cs="宋体" w:eastAsia="宋体" w:hint="default"/>
                <w:sz w:val="18"/>
                <w:szCs w:val="18"/>
              </w:rPr>
            </w:pPr>
            <w:r>
              <w:rPr>
                <w:rFonts w:ascii="宋体" w:hAnsi="宋体" w:cs="宋体" w:eastAsia="宋体" w:hint="default"/>
                <w:spacing w:val="-3"/>
                <w:sz w:val="18"/>
                <w:szCs w:val="18"/>
              </w:rPr>
              <w:t>《奥拓电子：关于</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年限制性股票激励计划激励对象首次授</w:t>
            </w:r>
            <w:r>
              <w:rPr>
                <w:rFonts w:ascii="宋体" w:hAnsi="宋体" w:cs="宋体" w:eastAsia="宋体" w:hint="default"/>
                <w:spacing w:val="-65"/>
                <w:sz w:val="18"/>
                <w:szCs w:val="18"/>
              </w:rPr>
              <w:t> </w:t>
            </w:r>
            <w:r>
              <w:rPr>
                <w:rFonts w:ascii="宋体" w:hAnsi="宋体" w:cs="宋体" w:eastAsia="宋体" w:hint="default"/>
                <w:sz w:val="18"/>
                <w:szCs w:val="18"/>
              </w:rPr>
              <w:t>予登记完成的公告》</w:t>
            </w:r>
          </w:p>
        </w:tc>
      </w:tr>
    </w:tbl>
    <w:p>
      <w:pPr>
        <w:spacing w:after="0" w:line="30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十六、重大关联交易" w:id="81"/>
      <w:bookmarkEnd w:id="81"/>
      <w:r>
        <w:rPr>
          <w:b w:val="0"/>
          <w:bCs w:val="0"/>
        </w:rPr>
      </w:r>
      <w:r>
        <w:rPr/>
        <w:t>十六、重大关联交易</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与日常经营相关的关联交易" w:id="82"/>
      <w:bookmarkEnd w:id="82"/>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公司报告期未发生与日常经营相关的关联交易。</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bookmarkStart w:name="2、资产或股权收购、出售发生的关联交易" w:id="83"/>
      <w:bookmarkEnd w:id="83"/>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64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公司报告期未发生资产或股权收购、出售的关联交易。</w:t>
      </w:r>
    </w:p>
    <w:p>
      <w:pPr>
        <w:spacing w:line="240" w:lineRule="auto" w:before="1"/>
        <w:rPr>
          <w:rFonts w:ascii="宋体" w:hAnsi="宋体" w:cs="宋体" w:eastAsia="宋体" w:hint="default"/>
          <w:sz w:val="21"/>
          <w:szCs w:val="21"/>
        </w:rPr>
      </w:pPr>
    </w:p>
    <w:p>
      <w:pPr>
        <w:pStyle w:val="Heading4"/>
        <w:spacing w:line="240" w:lineRule="auto"/>
        <w:ind w:right="0"/>
        <w:jc w:val="left"/>
        <w:rPr>
          <w:b w:val="0"/>
          <w:bCs w:val="0"/>
        </w:rPr>
      </w:pPr>
      <w:bookmarkStart w:name="3、共同对外投资的关联交易" w:id="84"/>
      <w:bookmarkEnd w:id="84"/>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1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公司报告期未发生共同对外投资的关联交易。</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bookmarkStart w:name="4、关联债权债务往来" w:id="85"/>
      <w:bookmarkEnd w:id="85"/>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76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公司报告期不存在关联债权债务往来。</w:t>
      </w:r>
    </w:p>
    <w:p>
      <w:pPr>
        <w:spacing w:line="240" w:lineRule="auto" w:before="13"/>
        <w:rPr>
          <w:rFonts w:ascii="宋体" w:hAnsi="宋体" w:cs="宋体" w:eastAsia="宋体" w:hint="default"/>
          <w:sz w:val="20"/>
          <w:szCs w:val="20"/>
        </w:rPr>
      </w:pPr>
    </w:p>
    <w:p>
      <w:pPr>
        <w:pStyle w:val="Heading4"/>
        <w:spacing w:line="240" w:lineRule="auto"/>
        <w:ind w:right="0"/>
        <w:jc w:val="left"/>
        <w:rPr>
          <w:b w:val="0"/>
          <w:bCs w:val="0"/>
        </w:rPr>
      </w:pPr>
      <w:bookmarkStart w:name="5、其他重大关联交易" w:id="86"/>
      <w:bookmarkEnd w:id="86"/>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80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公司报告期无其他重大关联交易。</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bookmarkStart w:name="十七、重大合同及其履行情况" w:id="87"/>
      <w:bookmarkEnd w:id="87"/>
      <w:r>
        <w:rPr>
          <w:b w:val="0"/>
          <w:bCs w:val="0"/>
        </w:rPr>
      </w:r>
      <w:r>
        <w:rPr/>
        <w:t>十七、重大合同及其履行情况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托管、承包、租赁事项情况" w:id="88"/>
      <w:bookmarkEnd w:id="88"/>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托管情况" w:id="89"/>
      <w:bookmarkEnd w:id="89"/>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84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公司报告期不存在托管情况。</w:t>
      </w:r>
    </w:p>
    <w:p>
      <w:pPr>
        <w:spacing w:line="240" w:lineRule="auto" w:before="12"/>
        <w:rPr>
          <w:rFonts w:ascii="宋体" w:hAnsi="宋体" w:cs="宋体" w:eastAsia="宋体" w:hint="default"/>
          <w:sz w:val="20"/>
          <w:szCs w:val="20"/>
        </w:rPr>
      </w:pPr>
    </w:p>
    <w:p>
      <w:pPr>
        <w:pStyle w:val="Heading4"/>
        <w:spacing w:line="240" w:lineRule="auto"/>
        <w:ind w:right="0"/>
        <w:jc w:val="left"/>
        <w:rPr>
          <w:b w:val="0"/>
          <w:bCs w:val="0"/>
        </w:rPr>
      </w:pPr>
      <w:bookmarkStart w:name="（2）承包情况" w:id="90"/>
      <w:bookmarkEnd w:id="90"/>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84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公司报告期不存在承包情况。</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bookmarkStart w:name="（3）租赁情况" w:id="91"/>
      <w:bookmarkEnd w:id="91"/>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公司报告期不存在租赁情况。</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重大担保" w:id="92"/>
      <w:bookmarkEnd w:id="92"/>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1）担保情况" w:id="93"/>
      <w:bookmarkEnd w:id="93"/>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26"/>
        <w:gridCol w:w="924"/>
        <w:gridCol w:w="1296"/>
        <w:gridCol w:w="1063"/>
        <w:gridCol w:w="1034"/>
        <w:gridCol w:w="1049"/>
        <w:gridCol w:w="792"/>
        <w:gridCol w:w="780"/>
      </w:tblGrid>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31"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9"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46"/>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6" w:right="9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6"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51"/>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8"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惠州市奥拓电子科技 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3</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惠州市奥拓电子科技 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深圳市千百辉照明工 程有限公司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962"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 w:right="54"/>
              <w:jc w:val="left"/>
              <w:rPr>
                <w:rFonts w:ascii="宋体" w:hAnsi="宋体" w:cs="宋体" w:eastAsia="宋体" w:hint="default"/>
                <w:sz w:val="18"/>
                <w:szCs w:val="18"/>
              </w:rPr>
            </w:pPr>
            <w:r>
              <w:rPr>
                <w:rFonts w:ascii="宋体" w:hAnsi="宋体" w:cs="宋体" w:eastAsia="宋体" w:hint="default"/>
                <w:sz w:val="18"/>
                <w:szCs w:val="18"/>
              </w:rPr>
              <w:t>深圳市千百辉照明工 程有限公司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590.02</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413.01</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4"/>
              <w:jc w:val="both"/>
              <w:rPr>
                <w:rFonts w:ascii="宋体" w:hAnsi="宋体" w:cs="宋体" w:eastAsia="宋体" w:hint="default"/>
                <w:sz w:val="18"/>
                <w:szCs w:val="18"/>
              </w:rPr>
            </w:pPr>
            <w:r>
              <w:rPr>
                <w:rFonts w:ascii="宋体" w:hAnsi="宋体" w:cs="宋体" w:eastAsia="宋体" w:hint="default"/>
                <w:sz w:val="18"/>
                <w:szCs w:val="18"/>
              </w:rPr>
              <w:t>保证期间自 银行出具保 函之日起至 银行在保函 项下责任解 除之日止</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深圳市千百辉照明工 程有限公司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深圳市千百辉照明工 程有限公司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惠州市奥拓电子科技 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深圳市千百辉照明工 程有限公司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9"/>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6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81"/>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68" w:right="0"/>
              <w:jc w:val="left"/>
              <w:rPr>
                <w:rFonts w:ascii="Times New Roman" w:hAnsi="Times New Roman" w:cs="Times New Roman" w:eastAsia="Times New Roman" w:hint="default"/>
                <w:sz w:val="18"/>
                <w:szCs w:val="18"/>
              </w:rPr>
            </w:pPr>
            <w:r>
              <w:rPr>
                <w:rFonts w:ascii="Times New Roman"/>
                <w:sz w:val="18"/>
              </w:rPr>
              <w:t>35,590.02</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83"/>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19,913.01</w:t>
            </w:r>
          </w:p>
        </w:tc>
      </w:tr>
      <w:tr>
        <w:trPr>
          <w:trHeight w:val="403" w:hRule="exact"/>
        </w:trPr>
        <w:tc>
          <w:tcPr>
            <w:tcW w:w="26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w:t>
            </w:r>
          </w:p>
        </w:tc>
        <w:tc>
          <w:tcPr>
            <w:tcW w:w="22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68" w:right="0"/>
              <w:jc w:val="left"/>
              <w:rPr>
                <w:rFonts w:ascii="Times New Roman" w:hAnsi="Times New Roman" w:cs="Times New Roman" w:eastAsia="Times New Roman" w:hint="default"/>
                <w:sz w:val="18"/>
                <w:szCs w:val="18"/>
              </w:rPr>
            </w:pPr>
            <w:r>
              <w:rPr>
                <w:rFonts w:ascii="Times New Roman"/>
                <w:sz w:val="18"/>
              </w:rPr>
              <w:t>50,090.02</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报告期末对子公司实际担</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8,913.01</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709"/>
        <w:gridCol w:w="898"/>
        <w:gridCol w:w="924"/>
        <w:gridCol w:w="1316"/>
        <w:gridCol w:w="1029"/>
        <w:gridCol w:w="1058"/>
        <w:gridCol w:w="1065"/>
        <w:gridCol w:w="775"/>
        <w:gridCol w:w="790"/>
      </w:tblGrid>
      <w:tr>
        <w:trPr>
          <w:trHeight w:val="367" w:hRule="exact"/>
        </w:trPr>
        <w:tc>
          <w:tcPr>
            <w:tcW w:w="260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40" w:type="dxa"/>
            <w:gridSpan w:val="2"/>
            <w:tcBorders>
              <w:top w:val="single" w:sz="4" w:space="0" w:color="000000"/>
              <w:left w:val="single" w:sz="13" w:space="0" w:color="D2D2D2"/>
              <w:bottom w:val="single" w:sz="4" w:space="0" w:color="000000"/>
              <w:right w:val="single" w:sz="9" w:space="0" w:color="D2D2D2"/>
            </w:tcBorders>
          </w:tcPr>
          <w:p>
            <w:pPr/>
          </w:p>
        </w:tc>
        <w:tc>
          <w:tcPr>
            <w:tcW w:w="20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0" w:right="0"/>
              <w:jc w:val="left"/>
              <w:rPr>
                <w:rFonts w:ascii="宋体" w:hAnsi="宋体" w:cs="宋体" w:eastAsia="宋体" w:hint="default"/>
                <w:sz w:val="18"/>
                <w:szCs w:val="18"/>
              </w:rPr>
            </w:pPr>
            <w:r>
              <w:rPr>
                <w:rFonts w:ascii="宋体" w:hAnsi="宋体" w:cs="宋体" w:eastAsia="宋体" w:hint="default"/>
                <w:sz w:val="18"/>
                <w:szCs w:val="18"/>
              </w:rPr>
              <w:t>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
        </w:tc>
      </w:tr>
      <w:tr>
        <w:trPr>
          <w:trHeight w:val="392" w:hRule="exact"/>
        </w:trPr>
        <w:tc>
          <w:tcPr>
            <w:tcW w:w="9563"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2"/>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6" w:hRule="exact"/>
        </w:trPr>
        <w:tc>
          <w:tcPr>
            <w:tcW w:w="1709" w:type="dxa"/>
            <w:vMerge w:val="restart"/>
            <w:tcBorders>
              <w:top w:val="single" w:sz="4" w:space="0" w:color="000000"/>
              <w:left w:val="single" w:sz="4" w:space="0" w:color="000000"/>
              <w:right w:val="single" w:sz="4" w:space="0" w:color="000000"/>
            </w:tcBorders>
            <w:shd w:val="clear" w:color="auto" w:fill="D2D2D2"/>
          </w:tcPr>
          <w:p>
            <w:pPr/>
          </w:p>
        </w:tc>
        <w:tc>
          <w:tcPr>
            <w:tcW w:w="8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81" w:right="8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vMerge w:val="restart"/>
            <w:tcBorders>
              <w:top w:val="single" w:sz="4" w:space="0" w:color="000000"/>
              <w:left w:val="single" w:sz="4" w:space="0" w:color="000000"/>
              <w:right w:val="single" w:sz="4" w:space="0" w:color="000000"/>
            </w:tcBorders>
            <w:shd w:val="clear" w:color="auto" w:fill="D2D2D2"/>
          </w:tcPr>
          <w:p>
            <w:pPr/>
          </w:p>
        </w:tc>
        <w:tc>
          <w:tcPr>
            <w:tcW w:w="1316" w:type="dxa"/>
            <w:vMerge w:val="restart"/>
            <w:tcBorders>
              <w:top w:val="single" w:sz="4" w:space="0" w:color="000000"/>
              <w:left w:val="single" w:sz="4" w:space="0" w:color="000000"/>
              <w:right w:val="single" w:sz="4" w:space="0" w:color="000000"/>
            </w:tcBorders>
            <w:shd w:val="clear" w:color="auto" w:fill="D2D2D2"/>
          </w:tcPr>
          <w:p>
            <w:pPr/>
          </w:p>
        </w:tc>
        <w:tc>
          <w:tcPr>
            <w:tcW w:w="102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58" w:type="dxa"/>
            <w:vMerge w:val="restart"/>
            <w:tcBorders>
              <w:top w:val="single" w:sz="4" w:space="0" w:color="000000"/>
              <w:left w:val="single" w:sz="4" w:space="0" w:color="000000"/>
              <w:right w:val="single" w:sz="4" w:space="0" w:color="000000"/>
            </w:tcBorders>
            <w:shd w:val="clear" w:color="auto" w:fill="D2D2D2"/>
          </w:tcPr>
          <w:p>
            <w:pPr/>
          </w:p>
        </w:tc>
        <w:tc>
          <w:tcPr>
            <w:tcW w:w="1065" w:type="dxa"/>
            <w:vMerge w:val="restart"/>
            <w:tcBorders>
              <w:top w:val="single" w:sz="4" w:space="0" w:color="000000"/>
              <w:left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09" w:type="dxa"/>
            <w:vMerge/>
            <w:tcBorders>
              <w:left w:val="single" w:sz="4" w:space="0" w:color="000000"/>
              <w:bottom w:val="nil" w:sz="6" w:space="0" w:color="auto"/>
              <w:right w:val="single" w:sz="4" w:space="0" w:color="000000"/>
            </w:tcBorders>
            <w:shd w:val="clear" w:color="auto" w:fill="D2D2D2"/>
          </w:tcPr>
          <w:p>
            <w:pPr/>
          </w:p>
        </w:tc>
        <w:tc>
          <w:tcPr>
            <w:tcW w:w="898" w:type="dxa"/>
            <w:vMerge/>
            <w:tcBorders>
              <w:left w:val="single" w:sz="4" w:space="0" w:color="000000"/>
              <w:right w:val="single" w:sz="4" w:space="0" w:color="000000"/>
            </w:tcBorders>
            <w:shd w:val="clear" w:color="auto" w:fill="D2D2D2"/>
          </w:tcPr>
          <w:p>
            <w:pPr/>
          </w:p>
        </w:tc>
        <w:tc>
          <w:tcPr>
            <w:tcW w:w="924" w:type="dxa"/>
            <w:vMerge/>
            <w:tcBorders>
              <w:left w:val="single" w:sz="4" w:space="0" w:color="000000"/>
              <w:bottom w:val="nil" w:sz="6" w:space="0" w:color="auto"/>
              <w:right w:val="single" w:sz="4" w:space="0" w:color="000000"/>
            </w:tcBorders>
            <w:shd w:val="clear" w:color="auto" w:fill="D2D2D2"/>
          </w:tcPr>
          <w:p>
            <w:pPr/>
          </w:p>
        </w:tc>
        <w:tc>
          <w:tcPr>
            <w:tcW w:w="1316" w:type="dxa"/>
            <w:vMerge/>
            <w:tcBorders>
              <w:left w:val="single" w:sz="4" w:space="0" w:color="000000"/>
              <w:bottom w:val="nil" w:sz="6" w:space="0" w:color="auto"/>
              <w:right w:val="single" w:sz="4" w:space="0" w:color="000000"/>
            </w:tcBorders>
            <w:shd w:val="clear" w:color="auto" w:fill="D2D2D2"/>
          </w:tcPr>
          <w:p>
            <w:pPr/>
          </w:p>
        </w:tc>
        <w:tc>
          <w:tcPr>
            <w:tcW w:w="102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423" w:right="54"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58" w:type="dxa"/>
            <w:vMerge/>
            <w:tcBorders>
              <w:left w:val="single" w:sz="4" w:space="0" w:color="000000"/>
              <w:bottom w:val="nil" w:sz="6" w:space="0" w:color="auto"/>
              <w:right w:val="single" w:sz="4" w:space="0" w:color="000000"/>
            </w:tcBorders>
            <w:shd w:val="clear" w:color="auto" w:fill="D2D2D2"/>
          </w:tcPr>
          <w:p>
            <w:pPr/>
          </w:p>
        </w:tc>
        <w:tc>
          <w:tcPr>
            <w:tcW w:w="1065" w:type="dxa"/>
            <w:vMerge/>
            <w:tcBorders>
              <w:left w:val="single" w:sz="4" w:space="0" w:color="000000"/>
              <w:bottom w:val="nil" w:sz="6" w:space="0" w:color="auto"/>
              <w:right w:val="single" w:sz="4" w:space="0" w:color="000000"/>
            </w:tcBorders>
            <w:shd w:val="clear" w:color="auto" w:fill="D2D2D2"/>
          </w:tcPr>
          <w:p>
            <w:pPr/>
          </w:p>
        </w:tc>
        <w:tc>
          <w:tcPr>
            <w:tcW w:w="77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96"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8"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3" w:hRule="exact"/>
        </w:trPr>
        <w:tc>
          <w:tcPr>
            <w:tcW w:w="17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97"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898" w:type="dxa"/>
            <w:vMerge/>
            <w:tcBorders>
              <w:left w:val="single" w:sz="4" w:space="0" w:color="000000"/>
              <w:right w:val="single" w:sz="4" w:space="0" w:color="000000"/>
            </w:tcBorders>
            <w:shd w:val="clear" w:color="auto" w:fill="D2D2D2"/>
          </w:tcPr>
          <w:p>
            <w:pPr/>
          </w:p>
        </w:tc>
        <w:tc>
          <w:tcPr>
            <w:tcW w:w="9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1"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29" w:type="dxa"/>
            <w:vMerge/>
            <w:tcBorders>
              <w:left w:val="single" w:sz="4" w:space="0" w:color="000000"/>
              <w:right w:val="single" w:sz="4" w:space="0" w:color="000000"/>
            </w:tcBorders>
            <w:shd w:val="clear" w:color="auto" w:fill="D2D2D2"/>
          </w:tcPr>
          <w:p>
            <w:pPr/>
          </w:p>
        </w:tc>
        <w:tc>
          <w:tcPr>
            <w:tcW w:w="10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73"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55"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75" w:type="dxa"/>
            <w:vMerge/>
            <w:tcBorders>
              <w:left w:val="single" w:sz="4" w:space="0" w:color="000000"/>
              <w:right w:val="single" w:sz="4" w:space="0" w:color="000000"/>
            </w:tcBorders>
            <w:shd w:val="clear" w:color="auto" w:fill="D2D2D2"/>
          </w:tcPr>
          <w:p>
            <w:pPr/>
          </w:p>
        </w:tc>
        <w:tc>
          <w:tcPr>
            <w:tcW w:w="790" w:type="dxa"/>
            <w:vMerge/>
            <w:tcBorders>
              <w:left w:val="single" w:sz="4" w:space="0" w:color="000000"/>
              <w:right w:val="single" w:sz="4" w:space="0" w:color="000000"/>
            </w:tcBorders>
            <w:shd w:val="clear" w:color="auto" w:fill="D2D2D2"/>
          </w:tcPr>
          <w:p>
            <w:pPr/>
          </w:p>
        </w:tc>
      </w:tr>
      <w:tr>
        <w:trPr>
          <w:trHeight w:val="156" w:hRule="exact"/>
        </w:trPr>
        <w:tc>
          <w:tcPr>
            <w:tcW w:w="1709" w:type="dxa"/>
            <w:vMerge w:val="restart"/>
            <w:tcBorders>
              <w:top w:val="nil" w:sz="6" w:space="0" w:color="auto"/>
              <w:left w:val="single" w:sz="4" w:space="0" w:color="000000"/>
              <w:right w:val="single" w:sz="4" w:space="0" w:color="000000"/>
            </w:tcBorders>
            <w:shd w:val="clear" w:color="auto" w:fill="D2D2D2"/>
          </w:tcPr>
          <w:p>
            <w:pPr/>
          </w:p>
        </w:tc>
        <w:tc>
          <w:tcPr>
            <w:tcW w:w="898" w:type="dxa"/>
            <w:vMerge/>
            <w:tcBorders>
              <w:left w:val="single" w:sz="4" w:space="0" w:color="000000"/>
              <w:right w:val="single" w:sz="4" w:space="0" w:color="000000"/>
            </w:tcBorders>
            <w:shd w:val="clear" w:color="auto" w:fill="D2D2D2"/>
          </w:tcPr>
          <w:p>
            <w:pPr/>
          </w:p>
        </w:tc>
        <w:tc>
          <w:tcPr>
            <w:tcW w:w="924" w:type="dxa"/>
            <w:vMerge w:val="restart"/>
            <w:tcBorders>
              <w:top w:val="nil" w:sz="6" w:space="0" w:color="auto"/>
              <w:left w:val="single" w:sz="4" w:space="0" w:color="000000"/>
              <w:right w:val="single" w:sz="4" w:space="0" w:color="000000"/>
            </w:tcBorders>
            <w:shd w:val="clear" w:color="auto" w:fill="D2D2D2"/>
          </w:tcPr>
          <w:p>
            <w:pPr/>
          </w:p>
        </w:tc>
        <w:tc>
          <w:tcPr>
            <w:tcW w:w="1316" w:type="dxa"/>
            <w:vMerge w:val="restart"/>
            <w:tcBorders>
              <w:top w:val="nil" w:sz="6" w:space="0" w:color="auto"/>
              <w:left w:val="single" w:sz="4" w:space="0" w:color="000000"/>
              <w:right w:val="single" w:sz="4" w:space="0" w:color="000000"/>
            </w:tcBorders>
            <w:shd w:val="clear" w:color="auto" w:fill="D2D2D2"/>
          </w:tcPr>
          <w:p>
            <w:pPr/>
          </w:p>
        </w:tc>
        <w:tc>
          <w:tcPr>
            <w:tcW w:w="1029" w:type="dxa"/>
            <w:vMerge/>
            <w:tcBorders>
              <w:left w:val="single" w:sz="4" w:space="0" w:color="000000"/>
              <w:bottom w:val="nil" w:sz="6" w:space="0" w:color="auto"/>
              <w:right w:val="single" w:sz="4" w:space="0" w:color="000000"/>
            </w:tcBorders>
            <w:shd w:val="clear" w:color="auto" w:fill="D2D2D2"/>
          </w:tcPr>
          <w:p>
            <w:pPr/>
          </w:p>
        </w:tc>
        <w:tc>
          <w:tcPr>
            <w:tcW w:w="1058" w:type="dxa"/>
            <w:vMerge w:val="restart"/>
            <w:tcBorders>
              <w:top w:val="nil" w:sz="6" w:space="0" w:color="auto"/>
              <w:left w:val="single" w:sz="4" w:space="0" w:color="000000"/>
              <w:right w:val="single" w:sz="4" w:space="0" w:color="000000"/>
            </w:tcBorders>
            <w:shd w:val="clear" w:color="auto" w:fill="D2D2D2"/>
          </w:tcPr>
          <w:p>
            <w:pPr/>
          </w:p>
        </w:tc>
        <w:tc>
          <w:tcPr>
            <w:tcW w:w="1065" w:type="dxa"/>
            <w:vMerge w:val="restart"/>
            <w:tcBorders>
              <w:top w:val="nil" w:sz="6" w:space="0" w:color="auto"/>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r>
      <w:tr>
        <w:trPr>
          <w:trHeight w:val="166" w:hRule="exact"/>
        </w:trPr>
        <w:tc>
          <w:tcPr>
            <w:tcW w:w="1709" w:type="dxa"/>
            <w:vMerge/>
            <w:tcBorders>
              <w:left w:val="single" w:sz="4" w:space="0" w:color="000000"/>
              <w:bottom w:val="single" w:sz="4" w:space="0" w:color="000000"/>
              <w:right w:val="single" w:sz="4" w:space="0" w:color="000000"/>
            </w:tcBorders>
            <w:shd w:val="clear" w:color="auto" w:fill="D2D2D2"/>
          </w:tcPr>
          <w:p>
            <w:pPr/>
          </w:p>
        </w:tc>
        <w:tc>
          <w:tcPr>
            <w:tcW w:w="898" w:type="dxa"/>
            <w:vMerge/>
            <w:tcBorders>
              <w:left w:val="single" w:sz="4" w:space="0" w:color="000000"/>
              <w:bottom w:val="single" w:sz="4" w:space="0" w:color="000000"/>
              <w:right w:val="single" w:sz="4" w:space="0" w:color="000000"/>
            </w:tcBorders>
            <w:shd w:val="clear" w:color="auto" w:fill="D2D2D2"/>
          </w:tcPr>
          <w:p>
            <w:pPr/>
          </w:p>
        </w:tc>
        <w:tc>
          <w:tcPr>
            <w:tcW w:w="924" w:type="dxa"/>
            <w:vMerge/>
            <w:tcBorders>
              <w:left w:val="single" w:sz="4" w:space="0" w:color="000000"/>
              <w:bottom w:val="single" w:sz="4" w:space="0" w:color="000000"/>
              <w:right w:val="single" w:sz="4" w:space="0" w:color="000000"/>
            </w:tcBorders>
            <w:shd w:val="clear" w:color="auto" w:fill="D2D2D2"/>
          </w:tcPr>
          <w:p>
            <w:pPr/>
          </w:p>
        </w:tc>
        <w:tc>
          <w:tcPr>
            <w:tcW w:w="1316" w:type="dxa"/>
            <w:vMerge/>
            <w:tcBorders>
              <w:left w:val="single" w:sz="4" w:space="0" w:color="000000"/>
              <w:bottom w:val="single" w:sz="4" w:space="0" w:color="000000"/>
              <w:right w:val="single" w:sz="4" w:space="0" w:color="000000"/>
            </w:tcBorders>
            <w:shd w:val="clear" w:color="auto" w:fill="D2D2D2"/>
          </w:tcPr>
          <w:p>
            <w:pPr/>
          </w:p>
        </w:tc>
        <w:tc>
          <w:tcPr>
            <w:tcW w:w="102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58" w:type="dxa"/>
            <w:vMerge/>
            <w:tcBorders>
              <w:left w:val="single" w:sz="4" w:space="0" w:color="000000"/>
              <w:bottom w:val="single" w:sz="4" w:space="0" w:color="000000"/>
              <w:right w:val="single" w:sz="4" w:space="0" w:color="000000"/>
            </w:tcBorders>
            <w:shd w:val="clear" w:color="auto" w:fill="D2D2D2"/>
          </w:tcPr>
          <w:p>
            <w:pPr/>
          </w:p>
        </w:tc>
        <w:tc>
          <w:tcPr>
            <w:tcW w:w="1065"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2" w:hRule="exact"/>
        </w:trPr>
        <w:tc>
          <w:tcPr>
            <w:tcW w:w="9563"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0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1"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40"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473" w:right="0"/>
              <w:jc w:val="left"/>
              <w:rPr>
                <w:rFonts w:ascii="Times New Roman" w:hAnsi="Times New Roman" w:cs="Times New Roman" w:eastAsia="Times New Roman" w:hint="default"/>
                <w:sz w:val="18"/>
                <w:szCs w:val="18"/>
              </w:rPr>
            </w:pPr>
            <w:r>
              <w:rPr>
                <w:rFonts w:ascii="Times New Roman"/>
                <w:sz w:val="18"/>
              </w:rPr>
              <w:t>35,590.02</w:t>
            </w:r>
          </w:p>
        </w:tc>
        <w:tc>
          <w:tcPr>
            <w:tcW w:w="20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20" w:right="75"/>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19,913.01</w:t>
            </w:r>
          </w:p>
        </w:tc>
      </w:tr>
      <w:tr>
        <w:trPr>
          <w:trHeight w:val="714" w:hRule="exact"/>
        </w:trPr>
        <w:tc>
          <w:tcPr>
            <w:tcW w:w="260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40"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73" w:right="0"/>
              <w:jc w:val="left"/>
              <w:rPr>
                <w:rFonts w:ascii="Times New Roman" w:hAnsi="Times New Roman" w:cs="Times New Roman" w:eastAsia="Times New Roman" w:hint="default"/>
                <w:sz w:val="18"/>
                <w:szCs w:val="18"/>
              </w:rPr>
            </w:pPr>
            <w:r>
              <w:rPr>
                <w:rFonts w:ascii="Times New Roman"/>
                <w:sz w:val="18"/>
              </w:rPr>
              <w:t>50,090.02</w:t>
            </w:r>
          </w:p>
        </w:tc>
        <w:tc>
          <w:tcPr>
            <w:tcW w:w="20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0" w:right="75"/>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8,913.01</w:t>
            </w:r>
          </w:p>
        </w:tc>
      </w:tr>
      <w:tr>
        <w:trPr>
          <w:trHeight w:val="407" w:hRule="exact"/>
        </w:trPr>
        <w:tc>
          <w:tcPr>
            <w:tcW w:w="484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7.02%</w:t>
            </w:r>
          </w:p>
        </w:tc>
      </w:tr>
      <w:tr>
        <w:trPr>
          <w:trHeight w:val="392" w:hRule="exact"/>
        </w:trPr>
        <w:tc>
          <w:tcPr>
            <w:tcW w:w="9563"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84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1"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4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129"/>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 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4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4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4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25"/>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对未到期担保，报告期内已发生担保责任或可能承担连带清偿</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责任的情况说明（如有）</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484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8"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360" w:lineRule="auto" w:before="51"/>
        <w:ind w:right="8052"/>
        <w:jc w:val="left"/>
      </w:pPr>
      <w:r>
        <w:rPr/>
        <w:t>采用复合方式担保的具体情况说明 不适用</w:t>
      </w:r>
    </w:p>
    <w:p>
      <w:pPr>
        <w:spacing w:line="240" w:lineRule="auto" w:before="11"/>
        <w:rPr>
          <w:rFonts w:ascii="宋体" w:hAnsi="宋体" w:cs="宋体" w:eastAsia="宋体" w:hint="default"/>
          <w:sz w:val="19"/>
          <w:szCs w:val="19"/>
        </w:rPr>
      </w:pPr>
    </w:p>
    <w:p>
      <w:pPr>
        <w:pStyle w:val="Heading4"/>
        <w:spacing w:line="240" w:lineRule="auto"/>
        <w:ind w:right="0"/>
        <w:jc w:val="left"/>
        <w:rPr>
          <w:b w:val="0"/>
          <w:bCs w:val="0"/>
        </w:rPr>
      </w:pPr>
      <w:bookmarkStart w:name="（2）违规对外担保情况" w:id="94"/>
      <w:bookmarkEnd w:id="94"/>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公司报告期无违规对外担保情况。</w:t>
      </w:r>
    </w:p>
    <w:p>
      <w:pPr>
        <w:spacing w:line="240" w:lineRule="auto" w:before="1"/>
        <w:rPr>
          <w:rFonts w:ascii="宋体" w:hAnsi="宋体" w:cs="宋体" w:eastAsia="宋体" w:hint="default"/>
          <w:sz w:val="21"/>
          <w:szCs w:val="21"/>
        </w:rPr>
      </w:pPr>
    </w:p>
    <w:p>
      <w:pPr>
        <w:pStyle w:val="Heading4"/>
        <w:spacing w:line="240" w:lineRule="auto"/>
        <w:ind w:right="0"/>
        <w:jc w:val="left"/>
        <w:rPr>
          <w:b w:val="0"/>
          <w:bCs w:val="0"/>
        </w:rPr>
      </w:pPr>
      <w:bookmarkStart w:name="3、委托他人进行现金资产管理情况" w:id="95"/>
      <w:bookmarkEnd w:id="95"/>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委托理财情况" w:id="96"/>
      <w:bookmarkEnd w:id="96"/>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40"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单位：万元</w:t>
      </w:r>
    </w:p>
    <w:p>
      <w:pPr>
        <w:spacing w:after="0" w:line="240" w:lineRule="auto"/>
        <w:jc w:val="left"/>
        <w:sectPr>
          <w:type w:val="continuous"/>
          <w:pgSz w:w="11910" w:h="16840"/>
          <w:pgMar w:top="1060" w:bottom="1160" w:left="980" w:right="0"/>
          <w:cols w:num="2" w:equalWidth="0">
            <w:col w:w="1955" w:space="6785"/>
            <w:col w:w="219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69"/>
        <w:gridCol w:w="1962"/>
        <w:gridCol w:w="1981"/>
        <w:gridCol w:w="1908"/>
        <w:gridCol w:w="1848"/>
      </w:tblGrid>
      <w:tr>
        <w:trPr>
          <w:trHeight w:val="402" w:hRule="exact"/>
        </w:trPr>
        <w:tc>
          <w:tcPr>
            <w:tcW w:w="1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10,160.60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10,160.60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5,150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5,150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15,310.60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15,310.60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单项金额重大或安全性较低、流动性较差、不保本的高风险委托理财具体情况</w:t>
      </w:r>
    </w:p>
    <w:p>
      <w:pPr>
        <w:pStyle w:val="BodyText"/>
        <w:spacing w:line="340" w:lineRule="auto" w:before="116"/>
        <w:ind w:right="57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委托理财出现预期无法收回本金或存在其他可能导致减值的情形</w:t>
      </w:r>
    </w:p>
    <w:p>
      <w:pPr>
        <w:pStyle w:val="BodyText"/>
        <w:spacing w:line="240" w:lineRule="auto" w:before="40"/>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2）委托贷款情况" w:id="97"/>
      <w:bookmarkEnd w:id="97"/>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84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公司报告期不存在委托贷款。</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bookmarkStart w:name="4、其他重大合同" w:id="98"/>
      <w:bookmarkEnd w:id="98"/>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80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公司报告期不存在其他重大合同。</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十八、社会责任情况" w:id="99"/>
      <w:bookmarkEnd w:id="99"/>
      <w:r>
        <w:rPr>
          <w:b w:val="0"/>
          <w:bCs w:val="0"/>
        </w:rPr>
      </w:r>
      <w:r>
        <w:rPr/>
        <w:t>十八、社会责任情况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履行社会责任情况" w:id="100"/>
      <w:bookmarkEnd w:id="100"/>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0" w:firstLine="360"/>
        <w:jc w:val="left"/>
      </w:pPr>
      <w:r>
        <w:rPr>
          <w:spacing w:val="-2"/>
        </w:rPr>
        <w:t>报告期内公司重视并积极履行社会责任，依据自身实际情况，在股东、债权人权益保护、职工权益保护、环境保护等方</w:t>
      </w:r>
      <w:r>
        <w:rPr/>
        <w:t> 面承担了相应的社会责任，促进了公司和区域经济和谐发展。</w:t>
      </w:r>
    </w:p>
    <w:p>
      <w:pPr>
        <w:pStyle w:val="BodyText"/>
        <w:spacing w:line="309" w:lineRule="auto" w:before="19"/>
        <w:ind w:right="1133" w:firstLine="360"/>
        <w:jc w:val="both"/>
      </w:pPr>
      <w:r>
        <w:rPr>
          <w:rFonts w:ascii="Times New Roman" w:hAnsi="Times New Roman" w:cs="Times New Roman" w:eastAsia="Times New Roman" w:hint="default"/>
        </w:rPr>
        <w:t>1</w:t>
      </w:r>
      <w:r>
        <w:rPr/>
        <w:t>、股东和债权人的权益保护。公司依据《公司法》、《证券法》等法律规定，不断完善公司治理，建立了以《公司章 </w:t>
      </w:r>
      <w:r>
        <w:rPr>
          <w:spacing w:val="-2"/>
        </w:rPr>
        <w:t>程》为基础的内控体系，形成了以股东大会、董事会、监事会及管理层为主体结构的决策与经营体系，切实保障全体股东和</w:t>
      </w:r>
      <w:r>
        <w:rPr>
          <w:spacing w:val="-66"/>
        </w:rPr>
        <w:t> </w:t>
      </w:r>
      <w:r>
        <w:rPr>
          <w:spacing w:val="-66"/>
        </w:rPr>
      </w:r>
      <w:r>
        <w:rPr/>
        <w:t>债权人的合法权益。</w:t>
      </w:r>
    </w:p>
    <w:p>
      <w:pPr>
        <w:pStyle w:val="BodyText"/>
        <w:spacing w:line="240" w:lineRule="auto" w:before="24"/>
        <w:ind w:left="514" w:right="0"/>
        <w:jc w:val="left"/>
      </w:pPr>
      <w:r>
        <w:rPr>
          <w:rFonts w:ascii="Times New Roman" w:hAnsi="Times New Roman" w:cs="Times New Roman" w:eastAsia="Times New Roman" w:hint="default"/>
        </w:rPr>
        <w:t>2</w:t>
      </w:r>
      <w:r>
        <w:rPr/>
        <w:t>、职工的权益保护。员工是公司最核心的宝贵财产。公司以人为本，把人才战略作为企业发展的重点，公司严格遵守</w:t>
      </w:r>
    </w:p>
    <w:p>
      <w:pPr>
        <w:pStyle w:val="BodyText"/>
        <w:spacing w:line="312" w:lineRule="auto" w:before="63"/>
        <w:ind w:left="0" w:right="1131"/>
        <w:jc w:val="right"/>
      </w:pPr>
      <w:r>
        <w:rPr>
          <w:spacing w:val="-2"/>
        </w:rPr>
        <w:t>《劳动法》、《劳动合同法》、《妇女权益保护法》等相关法律法规，尊重和维护员工的个人权益，切实关注员工健康，安</w:t>
      </w:r>
      <w:r>
        <w:rPr>
          <w:spacing w:val="-81"/>
        </w:rPr>
        <w:t> </w:t>
      </w:r>
      <w:r>
        <w:rPr>
          <w:spacing w:val="-81"/>
        </w:rPr>
      </w:r>
      <w:r>
        <w:rPr>
          <w:spacing w:val="-5"/>
        </w:rPr>
        <w:t>全和满意度，重视人才培养，实现员工与企业的共同成长，不断将企业的发展成果惠及全体员工，构建和谐稳定的劳资关系。</w:t>
      </w:r>
      <w:r>
        <w:rPr/>
        <w:t> </w:t>
      </w:r>
      <w:r>
        <w:rPr>
          <w:rFonts w:ascii="Times New Roman" w:hAnsi="Times New Roman" w:cs="Times New Roman" w:eastAsia="Times New Roman" w:hint="default"/>
        </w:rPr>
        <w:t>3</w:t>
      </w:r>
      <w:r>
        <w:rPr/>
        <w:t>、供应商、客户和消费者权益保护。公司按照诚实守信、互惠互利、合法合规的交易原则，与供应商和经销商保持了 </w:t>
      </w:r>
      <w:r>
        <w:rPr>
          <w:spacing w:val="-2"/>
        </w:rPr>
        <w:t>良好的合作关系；秉承</w:t>
      </w:r>
      <w:r>
        <w:rPr>
          <w:rFonts w:ascii="Times New Roman" w:hAnsi="Times New Roman" w:cs="Times New Roman" w:eastAsia="Times New Roman" w:hint="default"/>
          <w:spacing w:val="-2"/>
        </w:rPr>
        <w:t>“</w:t>
      </w:r>
      <w:r>
        <w:rPr>
          <w:spacing w:val="-2"/>
        </w:rPr>
        <w:t>尽善尽美、创造精品、服务客户</w:t>
      </w:r>
      <w:r>
        <w:rPr>
          <w:rFonts w:ascii="Times New Roman" w:hAnsi="Times New Roman" w:cs="Times New Roman" w:eastAsia="Times New Roman" w:hint="default"/>
          <w:spacing w:val="-2"/>
        </w:rPr>
        <w:t>”</w:t>
      </w:r>
      <w:r>
        <w:rPr>
          <w:spacing w:val="-2"/>
        </w:rPr>
        <w:t>的经营理念，通过科学分析市场和专业技术服务为顾客提供最佳的</w:t>
      </w:r>
    </w:p>
    <w:p>
      <w:pPr>
        <w:pStyle w:val="BodyText"/>
        <w:spacing w:line="240" w:lineRule="auto" w:before="3"/>
        <w:ind w:right="0"/>
        <w:jc w:val="left"/>
      </w:pPr>
      <w:r>
        <w:rPr/>
        <w:t>解决方案，真正为客户和消费者提供优质的产品和服务。</w:t>
      </w:r>
    </w:p>
    <w:p>
      <w:pPr>
        <w:pStyle w:val="BodyText"/>
        <w:spacing w:line="300" w:lineRule="auto" w:before="76"/>
        <w:ind w:right="1122" w:firstLine="360"/>
        <w:jc w:val="left"/>
      </w:pPr>
      <w:r>
        <w:rPr>
          <w:rFonts w:ascii="Times New Roman" w:hAnsi="Times New Roman" w:cs="Times New Roman" w:eastAsia="Times New Roman" w:hint="default"/>
        </w:rPr>
        <w:t>4</w:t>
      </w:r>
      <w:r>
        <w:rPr/>
        <w:t>、环境保护与可持续发展。多年来公司坚持推进节能减排，节能环保从个人、从日常做起。根据生产特点，公司建立 了环境保护管理体系，委派专人负责。公司已获得</w:t>
      </w:r>
      <w:r>
        <w:rPr>
          <w:rFonts w:ascii="Times New Roman" w:hAnsi="Times New Roman" w:cs="Times New Roman" w:eastAsia="Times New Roman" w:hint="default"/>
        </w:rPr>
        <w:t>ISO14001</w:t>
      </w:r>
      <w:r>
        <w:rPr/>
        <w:t>环境管理体系认证。同时，将环保理念贯穿到员工的日常工作 和生活中，督促和培养员工树立节约用电、用水、减少纸张使用等节能低碳的意识生活方式。</w:t>
      </w:r>
    </w:p>
    <w:p>
      <w:pPr>
        <w:pStyle w:val="BodyText"/>
        <w:spacing w:line="300" w:lineRule="auto" w:before="31"/>
        <w:ind w:right="1122" w:firstLine="360"/>
        <w:jc w:val="left"/>
      </w:pPr>
      <w:r>
        <w:rPr>
          <w:rFonts w:ascii="Times New Roman" w:hAnsi="Times New Roman" w:cs="Times New Roman" w:eastAsia="Times New Roman" w:hint="default"/>
        </w:rPr>
        <w:t>5</w:t>
      </w:r>
      <w:r>
        <w:rPr/>
        <w:t>、公共关系。公司在生产经营活动中遵循自愿、公平、诚实信用的原则，遵守社会公德、商业道德，主动接受政府部 门和监管机关的监督和检查，高度重视社会公众及新闻媒体对公司的评论。</w:t>
      </w:r>
    </w:p>
    <w:p>
      <w:pPr>
        <w:spacing w:line="240" w:lineRule="auto" w:before="6"/>
        <w:rPr>
          <w:rFonts w:ascii="宋体" w:hAnsi="宋体" w:cs="宋体" w:eastAsia="宋体" w:hint="default"/>
          <w:sz w:val="23"/>
          <w:szCs w:val="23"/>
        </w:rPr>
      </w:pPr>
    </w:p>
    <w:p>
      <w:pPr>
        <w:pStyle w:val="Heading4"/>
        <w:spacing w:line="240" w:lineRule="auto"/>
        <w:ind w:right="0"/>
        <w:jc w:val="left"/>
        <w:rPr>
          <w:b w:val="0"/>
          <w:bCs w:val="0"/>
        </w:rPr>
      </w:pPr>
      <w:bookmarkStart w:name="2、履行精准扶贫社会责任情况" w:id="101"/>
      <w:bookmarkEnd w:id="101"/>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精准扶贫规划" w:id="102"/>
      <w:bookmarkEnd w:id="102"/>
      <w:r>
        <w:rPr>
          <w:b w:val="0"/>
          <w:bCs w:val="0"/>
        </w:rPr>
      </w:r>
      <w:r>
        <w:rPr/>
        <w:t>（</w:t>
      </w:r>
      <w:r>
        <w:rPr>
          <w:rFonts w:ascii="Times New Roman" w:hAnsi="Times New Roman" w:cs="Times New Roman" w:eastAsia="Times New Roman" w:hint="default"/>
        </w:rPr>
        <w:t>1</w:t>
      </w:r>
      <w:r>
        <w:rPr/>
        <w:t>）精准扶贫规划</w:t>
      </w:r>
      <w:r>
        <w:rPr>
          <w:b w:val="0"/>
          <w:bCs w:val="0"/>
        </w:rPr>
      </w:r>
    </w:p>
    <w:p>
      <w:pPr>
        <w:spacing w:line="240" w:lineRule="auto" w:before="7"/>
        <w:rPr>
          <w:rFonts w:ascii="宋体" w:hAnsi="宋体" w:cs="宋体" w:eastAsia="宋体" w:hint="default"/>
          <w:b/>
          <w:bCs/>
          <w:sz w:val="26"/>
          <w:szCs w:val="26"/>
        </w:rPr>
      </w:pPr>
    </w:p>
    <w:p>
      <w:pPr>
        <w:pStyle w:val="BodyText"/>
        <w:spacing w:line="312" w:lineRule="auto"/>
        <w:ind w:right="0" w:firstLine="360"/>
        <w:jc w:val="left"/>
      </w:pPr>
      <w:r>
        <w:rPr>
          <w:rFonts w:ascii="Times New Roman" w:hAnsi="Times New Roman" w:cs="Times New Roman" w:eastAsia="Times New Roman" w:hint="default"/>
          <w:spacing w:val="-5"/>
        </w:rPr>
        <w:t>2018</w:t>
      </w:r>
      <w:r>
        <w:rPr>
          <w:spacing w:val="-5"/>
        </w:rPr>
        <w:t>年</w:t>
      </w:r>
      <w:r>
        <w:rPr>
          <w:rFonts w:ascii="Times New Roman" w:hAnsi="Times New Roman" w:cs="Times New Roman" w:eastAsia="Times New Roman" w:hint="default"/>
          <w:spacing w:val="-5"/>
        </w:rPr>
        <w:t>9</w:t>
      </w:r>
      <w:r>
        <w:rPr>
          <w:spacing w:val="-5"/>
        </w:rPr>
        <w:t>月</w:t>
      </w:r>
      <w:r>
        <w:rPr>
          <w:rFonts w:ascii="Times New Roman" w:hAnsi="Times New Roman" w:cs="Times New Roman" w:eastAsia="Times New Roman" w:hint="default"/>
          <w:spacing w:val="-5"/>
        </w:rPr>
        <w:t>30</w:t>
      </w:r>
      <w:r>
        <w:rPr>
          <w:spacing w:val="-5"/>
        </w:rPr>
        <w:t>日，公司第三届董事会第三十次会议审议通过了《关于拟设立深圳市奥之爱公益基金会暨关联交易的议案》，</w:t>
      </w:r>
      <w:r>
        <w:rPr/>
        <w:t> </w:t>
      </w:r>
      <w:r>
        <w:rPr>
          <w:spacing w:val="-4"/>
        </w:rPr>
        <w:t>同意公司拟设立深圳市奥之爱公益基金会，用于关爱和扶持弱势群体，扶持和资助贫困地区弱势群体接受职业培训指导服务；</w:t>
      </w:r>
      <w:r>
        <w:rPr>
          <w:spacing w:val="-44"/>
        </w:rPr>
        <w:t> </w:t>
      </w:r>
      <w:r>
        <w:rPr>
          <w:spacing w:val="-44"/>
        </w:rPr>
      </w:r>
      <w:r>
        <w:rPr>
          <w:spacing w:val="-2"/>
        </w:rPr>
        <w:t>资助扶贫项目，致力于改善贫困地区人群的生活条件。帮助贫困地区的学校兴建改造篮球场、羽毛球场馆运动设施；对困难</w:t>
      </w:r>
      <w:r>
        <w:rPr>
          <w:spacing w:val="-66"/>
        </w:rPr>
        <w:t> </w:t>
      </w:r>
      <w:r>
        <w:rPr>
          <w:spacing w:val="-66"/>
        </w:rPr>
      </w:r>
      <w:r>
        <w:rPr/>
        <w:t>的学生进行资助。截至目前，公司正在积极推进基金会的成立事宜。</w:t>
      </w:r>
    </w:p>
    <w:p>
      <w:pPr>
        <w:spacing w:after="0" w:line="312"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3、环境保护相关的情况" w:id="103"/>
      <w:bookmarkEnd w:id="103"/>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5712"/>
        <w:jc w:val="left"/>
      </w:pPr>
      <w:r>
        <w:rPr/>
        <w:t>上市公司及其子公司是否属于环境保护部门公布的重点排污单位 不适用</w:t>
      </w:r>
    </w:p>
    <w:p>
      <w:pPr>
        <w:pStyle w:val="BodyText"/>
        <w:spacing w:line="240" w:lineRule="auto" w:before="28"/>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九、其他重大事项的说明" w:id="104"/>
      <w:bookmarkEnd w:id="104"/>
      <w:r>
        <w:rPr>
          <w:b w:val="0"/>
          <w:bCs w:val="0"/>
        </w:rPr>
      </w:r>
      <w:r>
        <w:rPr/>
        <w:t>十九、其他重大事项的说明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00" w:lineRule="auto" w:before="101"/>
        <w:ind w:right="1032" w:firstLine="36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27</w:t>
      </w:r>
      <w:r>
        <w:rPr/>
        <w:t>日，美国</w:t>
      </w:r>
      <w:r>
        <w:rPr>
          <w:rFonts w:ascii="Times New Roman" w:hAnsi="Times New Roman" w:cs="Times New Roman" w:eastAsia="Times New Roman" w:hint="default"/>
        </w:rPr>
        <w:t>Ultravision Technologies</w:t>
      </w:r>
      <w:r>
        <w:rPr/>
        <w:t>公司（以下简称</w:t>
      </w:r>
      <w:r>
        <w:rPr>
          <w:rFonts w:ascii="Times New Roman" w:hAnsi="Times New Roman" w:cs="Times New Roman" w:eastAsia="Times New Roman" w:hint="default"/>
        </w:rPr>
        <w:t>“Ultravision</w:t>
      </w:r>
      <w:r>
        <w:rPr>
          <w:rFonts w:ascii="Times New Roman" w:hAnsi="Times New Roman" w:cs="Times New Roman" w:eastAsia="Times New Roman" w:hint="default"/>
          <w:spacing w:val="-24"/>
        </w:rPr>
        <w:t> </w:t>
      </w:r>
      <w:r>
        <w:rPr>
          <w:rFonts w:ascii="Times New Roman" w:hAnsi="Times New Roman" w:cs="Times New Roman" w:eastAsia="Times New Roman" w:hint="default"/>
        </w:rPr>
        <w:t>Technologies”</w:t>
      </w:r>
      <w:r>
        <w:rPr/>
        <w:t>）依据《美国</w:t>
      </w:r>
      <w:r>
        <w:rPr>
          <w:rFonts w:ascii="Times New Roman" w:hAnsi="Times New Roman" w:cs="Times New Roman" w:eastAsia="Times New Roman" w:hint="default"/>
        </w:rPr>
        <w:t>1930</w:t>
      </w:r>
      <w:r>
        <w:rPr/>
        <w:t>年关税法》第</w:t>
      </w:r>
      <w:r>
        <w:rPr>
          <w:w w:val="99"/>
        </w:rPr>
        <w:t> </w:t>
      </w:r>
      <w:r>
        <w:rPr>
          <w:rFonts w:ascii="Times New Roman" w:hAnsi="Times New Roman" w:cs="Times New Roman" w:eastAsia="Times New Roman" w:hint="default"/>
        </w:rPr>
        <w:t>337</w:t>
      </w:r>
      <w:r>
        <w:rPr/>
        <w:t>节规定向美国际贸易委员会</w:t>
      </w:r>
      <w:r>
        <w:rPr>
          <w:rFonts w:ascii="Times New Roman" w:hAnsi="Times New Roman" w:cs="Times New Roman" w:eastAsia="Times New Roman" w:hint="default"/>
        </w:rPr>
        <w:t>UNITED STATES INTERNATIONAL TRADE</w:t>
      </w:r>
      <w:r>
        <w:rPr>
          <w:rFonts w:ascii="Times New Roman" w:hAnsi="Times New Roman" w:cs="Times New Roman" w:eastAsia="Times New Roman" w:hint="default"/>
          <w:spacing w:val="-3"/>
        </w:rPr>
        <w:t> </w:t>
      </w:r>
      <w:r>
        <w:rPr>
          <w:rFonts w:ascii="Times New Roman" w:hAnsi="Times New Roman" w:cs="Times New Roman" w:eastAsia="Times New Roman" w:hint="default"/>
        </w:rPr>
        <w:t>COMMISSION</w:t>
      </w:r>
      <w:r>
        <w:rPr/>
        <w:t>（以下简称</w:t>
      </w:r>
      <w:r>
        <w:rPr>
          <w:rFonts w:ascii="Times New Roman" w:hAnsi="Times New Roman" w:cs="Times New Roman" w:eastAsia="Times New Roman" w:hint="default"/>
        </w:rPr>
        <w:t>“ITC”</w:t>
      </w:r>
      <w:r>
        <w:rPr/>
        <w:t>）提出申请对 我公司及我国部分同行公司对美出口、在美进口或在美销售的</w:t>
      </w:r>
      <w:r>
        <w:rPr>
          <w:rFonts w:ascii="Times New Roman" w:hAnsi="Times New Roman" w:cs="Times New Roman" w:eastAsia="Times New Roman" w:hint="default"/>
        </w:rPr>
        <w:t>LED</w:t>
      </w:r>
      <w:r>
        <w:rPr/>
        <w:t>灯驱动及其组件 </w:t>
      </w:r>
      <w:r>
        <w:rPr>
          <w:rFonts w:ascii="Times New Roman" w:hAnsi="Times New Roman" w:cs="Times New Roman" w:eastAsia="Times New Roman" w:hint="default"/>
        </w:rPr>
        <w:t>( Certain Light Engines and</w:t>
      </w:r>
      <w:r>
        <w:rPr>
          <w:rFonts w:ascii="Times New Roman" w:hAnsi="Times New Roman" w:cs="Times New Roman" w:eastAsia="Times New Roman" w:hint="default"/>
          <w:spacing w:val="-23"/>
        </w:rPr>
        <w:t> </w:t>
      </w:r>
      <w:r>
        <w:rPr>
          <w:rFonts w:ascii="Times New Roman" w:hAnsi="Times New Roman" w:cs="Times New Roman" w:eastAsia="Times New Roman" w:hint="default"/>
        </w:rPr>
        <w:t>Components</w:t>
      </w:r>
      <w:r>
        <w:rPr>
          <w:rFonts w:ascii="Times New Roman" w:hAnsi="Times New Roman" w:cs="Times New Roman" w:eastAsia="Times New Roman" w:hint="default"/>
          <w:w w:val="99"/>
        </w:rPr>
        <w:t> </w:t>
      </w:r>
      <w:r>
        <w:rPr>
          <w:rFonts w:ascii="Times New Roman" w:hAnsi="Times New Roman" w:cs="Times New Roman" w:eastAsia="Times New Roman" w:hint="default"/>
        </w:rPr>
        <w:t>Thereof)</w:t>
      </w:r>
      <w:r>
        <w:rPr/>
        <w:t>侵犯其专利权进行调查（以下简称</w:t>
      </w:r>
      <w:r>
        <w:rPr>
          <w:rFonts w:ascii="Times New Roman" w:hAnsi="Times New Roman" w:cs="Times New Roman" w:eastAsia="Times New Roman" w:hint="default"/>
        </w:rPr>
        <w:t>“</w:t>
      </w:r>
      <w:r>
        <w:rPr/>
        <w:t>本案</w:t>
      </w:r>
      <w:r>
        <w:rPr>
          <w:rFonts w:ascii="Times New Roman" w:hAnsi="Times New Roman" w:cs="Times New Roman" w:eastAsia="Times New Roman" w:hint="default"/>
        </w:rPr>
        <w:t>”</w:t>
      </w:r>
      <w:r>
        <w:rPr/>
        <w:t>）。具体内容详见公司于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29</w:t>
      </w:r>
      <w:r>
        <w:rPr/>
        <w:t>日在巨潮资讯网披露的《奥拓电子：</w:t>
      </w:r>
      <w:r>
        <w:rPr>
          <w:spacing w:val="-70"/>
        </w:rPr>
        <w:t> </w:t>
      </w:r>
      <w:r>
        <w:rPr/>
        <w:t>声明公告》。对于上述事项，公司积极采取法律手段维护公司合法权益。公司于 </w:t>
      </w:r>
      <w:r>
        <w:rPr>
          <w:rFonts w:ascii="Times New Roman" w:hAnsi="Times New Roman" w:cs="Times New Roman" w:eastAsia="Times New Roman" w:hint="default"/>
        </w:rPr>
        <w:t>2019 </w:t>
      </w:r>
      <w:r>
        <w:rPr/>
        <w:t>年</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日从聘请的律师处获知， </w:t>
      </w:r>
      <w:r>
        <w:rPr>
          <w:rFonts w:ascii="Times New Roman" w:hAnsi="Times New Roman" w:cs="Times New Roman" w:eastAsia="Times New Roman" w:hint="default"/>
        </w:rPr>
        <w:t>Ultravision Technologies </w:t>
      </w:r>
      <w:r>
        <w:rPr/>
        <w:t>向 </w:t>
      </w:r>
      <w:r>
        <w:rPr>
          <w:rFonts w:ascii="Times New Roman" w:hAnsi="Times New Roman" w:cs="Times New Roman" w:eastAsia="Times New Roman" w:hint="default"/>
        </w:rPr>
        <w:t>ITC </w:t>
      </w:r>
      <w:r>
        <w:rPr/>
        <w:t>申请撤诉以终结本案的调查程序，</w:t>
      </w:r>
      <w:r>
        <w:rPr>
          <w:rFonts w:ascii="Times New Roman" w:hAnsi="Times New Roman" w:cs="Times New Roman" w:eastAsia="Times New Roman" w:hint="default"/>
        </w:rPr>
        <w:t>ITC</w:t>
      </w:r>
      <w:r>
        <w:rPr>
          <w:rFonts w:ascii="Times New Roman" w:hAnsi="Times New Roman" w:cs="Times New Roman" w:eastAsia="Times New Roman" w:hint="default"/>
          <w:spacing w:val="-1"/>
        </w:rPr>
        <w:t> </w:t>
      </w:r>
      <w:r>
        <w:rPr/>
        <w:t>同意了该项申请，并作出了本案调查程序至此终结的 决定。该调查事项未对公司业务造成直接损失。</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2"/>
        <w:spacing w:line="240" w:lineRule="auto" w:before="125"/>
        <w:ind w:right="0"/>
        <w:jc w:val="left"/>
        <w:rPr>
          <w:b w:val="0"/>
          <w:bCs w:val="0"/>
        </w:rPr>
      </w:pPr>
      <w:bookmarkStart w:name="二十、公司子公司重大事项" w:id="105"/>
      <w:bookmarkEnd w:id="105"/>
      <w:r>
        <w:rPr>
          <w:b w:val="0"/>
          <w:bCs w:val="0"/>
        </w:rPr>
      </w:r>
      <w:r>
        <w:rPr/>
        <w:t>二十、公司子公司重大事项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0"/>
        <w:jc w:val="left"/>
        <w:rPr>
          <w:b w:val="0"/>
          <w:bCs w:val="0"/>
        </w:rPr>
      </w:pPr>
      <w:bookmarkStart w:name="第六节 股份变动及股东情况" w:id="106"/>
      <w:bookmarkEnd w:id="106"/>
      <w:r>
        <w:rPr>
          <w:b w:val="0"/>
          <w:bCs w:val="0"/>
        </w:rPr>
      </w:r>
      <w:bookmarkStart w:name="_bookmark5" w:id="107"/>
      <w:bookmarkEnd w:id="107"/>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股份变动情况" w:id="108"/>
      <w:bookmarkEnd w:id="108"/>
      <w:r>
        <w:rPr>
          <w:b w:val="0"/>
          <w:bCs w:val="0"/>
        </w:rPr>
      </w:r>
      <w:r>
        <w:rPr/>
        <w:t>一、股份变动情况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股份变动情况" w:id="109"/>
      <w:bookmarkEnd w:id="109"/>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单位：股</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79"/>
        <w:gridCol w:w="1146"/>
        <w:gridCol w:w="708"/>
        <w:gridCol w:w="993"/>
        <w:gridCol w:w="568"/>
        <w:gridCol w:w="708"/>
        <w:gridCol w:w="992"/>
        <w:gridCol w:w="994"/>
        <w:gridCol w:w="1134"/>
        <w:gridCol w:w="641"/>
      </w:tblGrid>
      <w:tr>
        <w:trPr>
          <w:trHeight w:val="402" w:hRule="exact"/>
        </w:trPr>
        <w:tc>
          <w:tcPr>
            <w:tcW w:w="1679" w:type="dxa"/>
            <w:tcBorders>
              <w:top w:val="single" w:sz="4" w:space="0" w:color="000000"/>
              <w:left w:val="single" w:sz="4" w:space="0" w:color="000000"/>
              <w:bottom w:val="nil" w:sz="6" w:space="0" w:color="auto"/>
              <w:right w:val="single" w:sz="4" w:space="0" w:color="000000"/>
            </w:tcBorders>
            <w:shd w:val="clear" w:color="auto" w:fill="D2D2D2"/>
          </w:tcPr>
          <w:p>
            <w:pPr/>
          </w:p>
        </w:tc>
        <w:tc>
          <w:tcPr>
            <w:tcW w:w="185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25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33"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77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1679" w:type="dxa"/>
            <w:vMerge w:val="restart"/>
            <w:tcBorders>
              <w:top w:val="nil" w:sz="6" w:space="0" w:color="auto"/>
              <w:left w:val="single" w:sz="4" w:space="0" w:color="000000"/>
              <w:right w:val="single" w:sz="4" w:space="0" w:color="000000"/>
            </w:tcBorders>
            <w:shd w:val="clear" w:color="auto" w:fill="D2D2D2"/>
          </w:tcPr>
          <w:p>
            <w:pPr/>
          </w:p>
        </w:tc>
        <w:tc>
          <w:tcPr>
            <w:tcW w:w="1146"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993" w:type="dxa"/>
            <w:tcBorders>
              <w:top w:val="single" w:sz="4" w:space="0" w:color="000000"/>
              <w:left w:val="single" w:sz="4" w:space="0" w:color="000000"/>
              <w:bottom w:val="nil" w:sz="6" w:space="0" w:color="auto"/>
              <w:right w:val="single" w:sz="4" w:space="0" w:color="000000"/>
            </w:tcBorders>
            <w:shd w:val="clear" w:color="auto" w:fill="D2D2D2"/>
          </w:tcPr>
          <w:p>
            <w:pPr/>
          </w:p>
        </w:tc>
        <w:tc>
          <w:tcPr>
            <w:tcW w:w="56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69" w:right="77"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992" w:type="dxa"/>
            <w:tcBorders>
              <w:top w:val="single" w:sz="4" w:space="0" w:color="000000"/>
              <w:left w:val="single" w:sz="4" w:space="0" w:color="000000"/>
              <w:bottom w:val="nil" w:sz="6" w:space="0" w:color="auto"/>
              <w:right w:val="single" w:sz="4" w:space="0" w:color="000000"/>
            </w:tcBorders>
            <w:shd w:val="clear" w:color="auto" w:fill="D2D2D2"/>
          </w:tcPr>
          <w:p>
            <w:pPr/>
          </w:p>
        </w:tc>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64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679" w:type="dxa"/>
            <w:vMerge/>
            <w:tcBorders>
              <w:left w:val="single" w:sz="4" w:space="0" w:color="000000"/>
              <w:bottom w:val="nil" w:sz="6" w:space="0" w:color="auto"/>
              <w:right w:val="single" w:sz="4" w:space="0" w:color="000000"/>
            </w:tcBorders>
            <w:shd w:val="clear" w:color="auto" w:fill="D2D2D2"/>
          </w:tcPr>
          <w:p>
            <w:pPr/>
          </w:p>
        </w:tc>
        <w:tc>
          <w:tcPr>
            <w:tcW w:w="11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3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9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vMerge/>
            <w:tcBorders>
              <w:left w:val="single" w:sz="4" w:space="0" w:color="000000"/>
              <w:right w:val="single" w:sz="4" w:space="0" w:color="000000"/>
            </w:tcBorders>
            <w:shd w:val="clear" w:color="auto" w:fill="D2D2D2"/>
          </w:tcPr>
          <w:p>
            <w:pPr/>
          </w:p>
        </w:tc>
        <w:tc>
          <w:tcPr>
            <w:tcW w:w="9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64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35"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1679" w:type="dxa"/>
            <w:vMerge w:val="restart"/>
            <w:tcBorders>
              <w:top w:val="nil" w:sz="6" w:space="0" w:color="auto"/>
              <w:left w:val="single" w:sz="4" w:space="0" w:color="000000"/>
              <w:right w:val="single" w:sz="4" w:space="0" w:color="000000"/>
            </w:tcBorders>
            <w:shd w:val="clear" w:color="auto" w:fill="D2D2D2"/>
          </w:tcPr>
          <w:p>
            <w:pPr/>
          </w:p>
        </w:tc>
        <w:tc>
          <w:tcPr>
            <w:tcW w:w="1146"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bottom w:val="nil" w:sz="6" w:space="0" w:color="auto"/>
              <w:right w:val="single" w:sz="4" w:space="0" w:color="000000"/>
            </w:tcBorders>
            <w:shd w:val="clear" w:color="auto" w:fill="D2D2D2"/>
          </w:tcPr>
          <w:p>
            <w:pPr/>
          </w:p>
        </w:tc>
        <w:tc>
          <w:tcPr>
            <w:tcW w:w="993" w:type="dxa"/>
            <w:vMerge/>
            <w:tcBorders>
              <w:left w:val="single" w:sz="4" w:space="0" w:color="000000"/>
              <w:bottom w:val="nil" w:sz="6" w:space="0" w:color="auto"/>
              <w:right w:val="single" w:sz="4" w:space="0" w:color="000000"/>
            </w:tcBorders>
            <w:shd w:val="clear" w:color="auto" w:fill="D2D2D2"/>
          </w:tcPr>
          <w:p>
            <w:pPr/>
          </w:p>
        </w:tc>
        <w:tc>
          <w:tcPr>
            <w:tcW w:w="568"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992" w:type="dxa"/>
            <w:vMerge/>
            <w:tcBorders>
              <w:left w:val="single" w:sz="4" w:space="0" w:color="000000"/>
              <w:bottom w:val="nil" w:sz="6" w:space="0" w:color="auto"/>
              <w:right w:val="single" w:sz="4" w:space="0" w:color="000000"/>
            </w:tcBorders>
            <w:shd w:val="clear" w:color="auto" w:fill="D2D2D2"/>
          </w:tcPr>
          <w:p>
            <w:pPr/>
          </w:p>
        </w:tc>
        <w:tc>
          <w:tcPr>
            <w:tcW w:w="994" w:type="dxa"/>
            <w:vMerge/>
            <w:tcBorders>
              <w:left w:val="single" w:sz="4" w:space="0" w:color="000000"/>
              <w:bottom w:val="nil" w:sz="6" w:space="0" w:color="auto"/>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679" w:type="dxa"/>
            <w:vMerge/>
            <w:tcBorders>
              <w:left w:val="single" w:sz="4" w:space="0" w:color="000000"/>
              <w:bottom w:val="single" w:sz="4" w:space="0" w:color="000000"/>
              <w:right w:val="single" w:sz="4" w:space="0" w:color="000000"/>
            </w:tcBorders>
            <w:shd w:val="clear" w:color="auto" w:fill="D2D2D2"/>
          </w:tcPr>
          <w:p>
            <w:pPr/>
          </w:p>
        </w:tc>
        <w:tc>
          <w:tcPr>
            <w:tcW w:w="1146"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993" w:type="dxa"/>
            <w:tcBorders>
              <w:top w:val="nil" w:sz="6" w:space="0" w:color="auto"/>
              <w:left w:val="single" w:sz="4" w:space="0" w:color="000000"/>
              <w:bottom w:val="single" w:sz="4" w:space="0" w:color="000000"/>
              <w:right w:val="single" w:sz="4" w:space="0" w:color="000000"/>
            </w:tcBorders>
            <w:shd w:val="clear" w:color="auto" w:fill="D2D2D2"/>
          </w:tcPr>
          <w:p>
            <w:pPr/>
          </w:p>
        </w:tc>
        <w:tc>
          <w:tcPr>
            <w:tcW w:w="56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992" w:type="dxa"/>
            <w:tcBorders>
              <w:top w:val="nil" w:sz="6" w:space="0" w:color="auto"/>
              <w:left w:val="single" w:sz="4" w:space="0" w:color="000000"/>
              <w:bottom w:val="single" w:sz="4" w:space="0" w:color="000000"/>
              <w:right w:val="single" w:sz="4" w:space="0" w:color="000000"/>
            </w:tcBorders>
            <w:shd w:val="clear" w:color="auto" w:fill="D2D2D2"/>
          </w:tcPr>
          <w:p>
            <w:pPr/>
          </w:p>
        </w:tc>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641"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247,166,538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40.43%</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-29,023,790</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-21,023,790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226,142,748</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36.52%</w:t>
            </w: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46"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2,123,438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0.35%</w:t>
            </w: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-2,123,438</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 w:right="0"/>
              <w:jc w:val="center"/>
              <w:rPr>
                <w:rFonts w:ascii="Times New Roman" w:hAnsi="Times New Roman" w:cs="Times New Roman" w:eastAsia="Times New Roman" w:hint="default"/>
                <w:sz w:val="18"/>
                <w:szCs w:val="18"/>
              </w:rPr>
            </w:pPr>
            <w:r>
              <w:rPr>
                <w:rFonts w:ascii="Times New Roman"/>
                <w:sz w:val="18"/>
              </w:rPr>
              <w:t>-2,123,438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245,043,100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40.08%</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-26,900,352</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-18,900,352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226,142,748</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36.47%</w:t>
            </w: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14,455,194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2.36%</w:t>
            </w: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-9,703,194</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 w:right="0"/>
              <w:jc w:val="center"/>
              <w:rPr>
                <w:rFonts w:ascii="Times New Roman" w:hAnsi="Times New Roman" w:cs="Times New Roman" w:eastAsia="Times New Roman" w:hint="default"/>
                <w:sz w:val="18"/>
                <w:szCs w:val="18"/>
              </w:rPr>
            </w:pPr>
            <w:r>
              <w:rPr>
                <w:rFonts w:ascii="Times New Roman"/>
                <w:sz w:val="18"/>
              </w:rPr>
              <w:t>-9,703,194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4,752,000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0.77%</w:t>
            </w:r>
          </w:p>
        </w:tc>
      </w:tr>
      <w:tr>
        <w:trPr>
          <w:trHeight w:val="714"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境内自然人持</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230,587,906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37.72%</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-17,497,158</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7" w:right="0"/>
              <w:jc w:val="center"/>
              <w:rPr>
                <w:rFonts w:ascii="Times New Roman" w:hAnsi="Times New Roman" w:cs="Times New Roman" w:eastAsia="Times New Roman" w:hint="default"/>
                <w:sz w:val="18"/>
                <w:szCs w:val="18"/>
              </w:rPr>
            </w:pPr>
            <w:r>
              <w:rPr>
                <w:rFonts w:ascii="Times New Roman"/>
                <w:sz w:val="18"/>
              </w:rPr>
              <w:t>-9,497,158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221,090,748</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35.70%</w:t>
            </w: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46"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46"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境外自然人持</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146"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364,219,296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59.57%</w:t>
            </w: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28,852,790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center"/>
              <w:rPr>
                <w:rFonts w:ascii="Times New Roman" w:hAnsi="Times New Roman" w:cs="Times New Roman" w:eastAsia="Times New Roman" w:hint="default"/>
                <w:sz w:val="18"/>
                <w:szCs w:val="18"/>
              </w:rPr>
            </w:pPr>
            <w:r>
              <w:rPr>
                <w:rFonts w:ascii="Times New Roman"/>
                <w:sz w:val="18"/>
              </w:rPr>
              <w:t>28,852,790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393,072,086</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63.48%</w:t>
            </w: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364,219,296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59.57%</w:t>
            </w: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28,852,790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center"/>
              <w:rPr>
                <w:rFonts w:ascii="Times New Roman" w:hAnsi="Times New Roman" w:cs="Times New Roman" w:eastAsia="Times New Roman" w:hint="default"/>
                <w:sz w:val="18"/>
                <w:szCs w:val="18"/>
              </w:rPr>
            </w:pPr>
            <w:r>
              <w:rPr>
                <w:rFonts w:ascii="Times New Roman"/>
                <w:sz w:val="18"/>
              </w:rPr>
              <w:t>28,852,790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393,072,086</w:t>
            </w:r>
          </w:p>
        </w:tc>
        <w:tc>
          <w:tcPr>
            <w:tcW w:w="64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、境内上市的外资股</w:t>
            </w:r>
          </w:p>
        </w:tc>
        <w:tc>
          <w:tcPr>
            <w:tcW w:w="1146"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、境外上市的外资股</w:t>
            </w:r>
          </w:p>
        </w:tc>
        <w:tc>
          <w:tcPr>
            <w:tcW w:w="1146"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46"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67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4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2" w:right="0"/>
              <w:jc w:val="left"/>
              <w:rPr>
                <w:rFonts w:ascii="Times New Roman" w:hAnsi="Times New Roman" w:cs="Times New Roman" w:eastAsia="Times New Roman" w:hint="default"/>
                <w:sz w:val="18"/>
                <w:szCs w:val="18"/>
              </w:rPr>
            </w:pPr>
            <w:r>
              <w:rPr>
                <w:rFonts w:ascii="Times New Roman"/>
                <w:sz w:val="18"/>
              </w:rPr>
              <w:t>611,385,834</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100.00%</w:t>
            </w:r>
          </w:p>
        </w:tc>
        <w:tc>
          <w:tcPr>
            <w:tcW w:w="99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8,000,000</w:t>
            </w:r>
          </w:p>
        </w:tc>
        <w:tc>
          <w:tcPr>
            <w:tcW w:w="568"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5" w:right="0"/>
              <w:jc w:val="left"/>
              <w:rPr>
                <w:rFonts w:ascii="Times New Roman" w:hAnsi="Times New Roman" w:cs="Times New Roman" w:eastAsia="Times New Roman" w:hint="default"/>
                <w:sz w:val="18"/>
                <w:szCs w:val="18"/>
              </w:rPr>
            </w:pPr>
            <w:r>
              <w:rPr>
                <w:rFonts w:ascii="Times New Roman"/>
                <w:sz w:val="18"/>
              </w:rPr>
              <w:t>-171,000</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7,829,000</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0" w:right="0"/>
              <w:jc w:val="left"/>
              <w:rPr>
                <w:rFonts w:ascii="Times New Roman" w:hAnsi="Times New Roman" w:cs="Times New Roman" w:eastAsia="Times New Roman" w:hint="default"/>
                <w:sz w:val="18"/>
                <w:szCs w:val="18"/>
              </w:rPr>
            </w:pPr>
            <w:r>
              <w:rPr>
                <w:rFonts w:ascii="Times New Roman"/>
                <w:sz w:val="18"/>
              </w:rPr>
              <w:t>619,214,834</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2" w:hRule="exact"/>
        </w:trPr>
        <w:tc>
          <w:tcPr>
            <w:tcW w:w="16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46"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3" w:type="dxa"/>
            <w:vMerge/>
            <w:tcBorders>
              <w:left w:val="single" w:sz="4" w:space="0" w:color="000000"/>
              <w:right w:val="single" w:sz="4" w:space="0" w:color="000000"/>
            </w:tcBorders>
          </w:tcPr>
          <w:p>
            <w:pPr/>
          </w:p>
        </w:tc>
        <w:tc>
          <w:tcPr>
            <w:tcW w:w="568"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r>
      <w:tr>
        <w:trPr>
          <w:trHeight w:val="161" w:hRule="exact"/>
        </w:trPr>
        <w:tc>
          <w:tcPr>
            <w:tcW w:w="167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46"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3" w:type="dxa"/>
            <w:vMerge/>
            <w:tcBorders>
              <w:left w:val="single" w:sz="4" w:space="0" w:color="000000"/>
              <w:bottom w:val="single" w:sz="4" w:space="0" w:color="000000"/>
              <w:right w:val="single" w:sz="4" w:space="0" w:color="000000"/>
            </w:tcBorders>
          </w:tcPr>
          <w:p>
            <w:pPr/>
          </w:p>
        </w:tc>
        <w:tc>
          <w:tcPr>
            <w:tcW w:w="568"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27"/>
          <w:szCs w:val="27"/>
        </w:rPr>
      </w:pPr>
    </w:p>
    <w:p>
      <w:pPr>
        <w:pStyle w:val="BodyText"/>
        <w:spacing w:line="240" w:lineRule="auto" w:before="44"/>
        <w:ind w:right="0"/>
        <w:jc w:val="left"/>
      </w:pPr>
      <w:r>
        <w:rPr/>
        <w:t>股份变动的原因</w:t>
      </w:r>
    </w:p>
    <w:p>
      <w:pPr>
        <w:pStyle w:val="BodyText"/>
        <w:spacing w:line="240" w:lineRule="auto" w:before="116"/>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1"/>
        <w:ind w:right="0"/>
        <w:jc w:val="left"/>
      </w:pPr>
      <w:r>
        <w:rPr>
          <w:rFonts w:ascii="Times New Roman" w:hAnsi="Times New Roman" w:cs="Times New Roman" w:eastAsia="Times New Roman" w:hint="default"/>
        </w:rPr>
        <w:t>1</w:t>
      </w:r>
      <w:r>
        <w:rPr/>
        <w:t>、实施</w:t>
      </w:r>
      <w:r>
        <w:rPr>
          <w:rFonts w:ascii="Times New Roman" w:hAnsi="Times New Roman" w:cs="Times New Roman" w:eastAsia="Times New Roman" w:hint="default"/>
        </w:rPr>
        <w:t>2016</w:t>
      </w:r>
      <w:r>
        <w:rPr/>
        <w:t>年重大资产重组所发行股份及支付现金购买资产新增股份的解锁。</w:t>
      </w:r>
    </w:p>
    <w:p>
      <w:pPr>
        <w:pStyle w:val="BodyText"/>
        <w:spacing w:line="240" w:lineRule="auto" w:before="63"/>
        <w:ind w:right="0"/>
        <w:jc w:val="left"/>
      </w:pPr>
      <w:r>
        <w:rPr>
          <w:rFonts w:ascii="Times New Roman" w:hAnsi="Times New Roman" w:cs="Times New Roman" w:eastAsia="Times New Roman" w:hint="default"/>
        </w:rPr>
        <w:t>2</w:t>
      </w:r>
      <w:r>
        <w:rPr/>
        <w:t>、实施</w:t>
      </w:r>
      <w:r>
        <w:rPr>
          <w:rFonts w:ascii="Times New Roman" w:hAnsi="Times New Roman" w:cs="Times New Roman" w:eastAsia="Times New Roman" w:hint="default"/>
        </w:rPr>
        <w:t>2016</w:t>
      </w:r>
      <w:r>
        <w:rPr/>
        <w:t>年限制性股票激励计划相关限制性股票解锁、回购注销以及暂缓授予部分解锁。</w:t>
      </w:r>
    </w:p>
    <w:p>
      <w:pPr>
        <w:pStyle w:val="BodyText"/>
        <w:spacing w:line="340" w:lineRule="auto" w:before="63"/>
        <w:ind w:right="6522"/>
        <w:jc w:val="left"/>
      </w:pPr>
      <w:r>
        <w:rPr>
          <w:rFonts w:ascii="Times New Roman" w:hAnsi="Times New Roman" w:cs="Times New Roman" w:eastAsia="Times New Roman" w:hint="default"/>
        </w:rPr>
        <w:t>3</w:t>
      </w:r>
      <w:r>
        <w:rPr/>
        <w:t>、实施</w:t>
      </w:r>
      <w:r>
        <w:rPr>
          <w:rFonts w:ascii="Times New Roman" w:hAnsi="Times New Roman" w:cs="Times New Roman" w:eastAsia="Times New Roman" w:hint="default"/>
        </w:rPr>
        <w:t>2018</w:t>
      </w:r>
      <w:r>
        <w:rPr/>
        <w:t>年限制性股票激励计划首次股份的授予。 股份变动的批准情况</w:t>
      </w:r>
    </w:p>
    <w:p>
      <w:pPr>
        <w:pStyle w:val="BodyText"/>
        <w:spacing w:line="240" w:lineRule="auto" w:before="41"/>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left="514" w:right="0"/>
        <w:jc w:val="left"/>
      </w:pP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29</w:t>
      </w:r>
      <w:r>
        <w:rPr>
          <w:rFonts w:ascii="Times New Roman" w:hAnsi="Times New Roman" w:cs="Times New Roman" w:eastAsia="Times New Roman" w:hint="default"/>
          <w:spacing w:val="-2"/>
        </w:rPr>
        <w:t> </w:t>
      </w:r>
      <w:r>
        <w:rPr/>
        <w:t>日，公司召开第三届董事会第二十四次会议和第三届监事会第十七次会议，审议通过了《关于公司限</w:t>
      </w:r>
    </w:p>
    <w:p>
      <w:pPr>
        <w:pStyle w:val="BodyText"/>
        <w:spacing w:line="300" w:lineRule="auto" w:before="63"/>
        <w:ind w:right="1114"/>
        <w:jc w:val="left"/>
      </w:pPr>
      <w:r>
        <w:rPr/>
        <w:t>制性股票激励计划暂缓授予部分第一个解锁期可解锁的议案》，监事会对公司</w:t>
      </w:r>
      <w:r>
        <w:rPr>
          <w:spacing w:val="-40"/>
        </w:rPr>
        <w:t> </w:t>
      </w: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t>年股权激励计划暂缓授予部分第一个解 锁期解锁条件及激励对象名单进行了核实，公司独立董事对此发表了同意的独立意见。</w:t>
      </w:r>
    </w:p>
    <w:p>
      <w:pPr>
        <w:pStyle w:val="BodyText"/>
        <w:spacing w:line="300" w:lineRule="auto" w:before="31"/>
        <w:ind w:right="1132" w:firstLine="290"/>
        <w:jc w:val="both"/>
      </w:pP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w:t>
      </w:r>
      <w:r>
        <w:rPr>
          <w:spacing w:val="-1"/>
        </w:rPr>
        <w:t>日，公司召开第三届董事会第二十五次会议和第三届监事会第十八次会议，审议通过了《关于回购注销部分</w:t>
      </w:r>
      <w:r>
        <w:rPr/>
        <w:t> </w:t>
      </w:r>
      <w:r>
        <w:rPr>
          <w:spacing w:val="-2"/>
        </w:rPr>
        <w:t>限制性股票的议案》，根据公司</w:t>
      </w:r>
      <w:r>
        <w:rPr>
          <w:rFonts w:ascii="Times New Roman" w:hAnsi="Times New Roman" w:cs="Times New Roman" w:eastAsia="Times New Roman" w:hint="default"/>
          <w:spacing w:val="-2"/>
        </w:rPr>
        <w:t>2016</w:t>
      </w:r>
      <w:r>
        <w:rPr>
          <w:spacing w:val="-2"/>
        </w:rPr>
        <w:t>年限制性股票激励计划的相关规定及</w:t>
      </w:r>
      <w:r>
        <w:rPr>
          <w:rFonts w:ascii="Times New Roman" w:hAnsi="Times New Roman" w:cs="Times New Roman" w:eastAsia="Times New Roman" w:hint="default"/>
          <w:spacing w:val="-2"/>
        </w:rPr>
        <w:t>2016</w:t>
      </w:r>
      <w:r>
        <w:rPr>
          <w:spacing w:val="-2"/>
        </w:rPr>
        <w:t>年第二次临时股东大会对董事会的授权，公司</w:t>
      </w:r>
      <w:r>
        <w:rPr>
          <w:spacing w:val="-58"/>
        </w:rPr>
        <w:t> </w:t>
      </w:r>
      <w:r>
        <w:rPr>
          <w:spacing w:val="-58"/>
        </w:rPr>
      </w:r>
      <w:r>
        <w:rPr/>
        <w:t>董事会同意对</w:t>
      </w:r>
      <w:r>
        <w:rPr>
          <w:rFonts w:ascii="Times New Roman" w:hAnsi="Times New Roman" w:cs="Times New Roman" w:eastAsia="Times New Roman" w:hint="default"/>
        </w:rPr>
        <w:t>13</w:t>
      </w:r>
      <w:r>
        <w:rPr/>
        <w:t>名离职的激励对象持有的已获授但尚未解除限售的</w:t>
      </w:r>
      <w:r>
        <w:rPr>
          <w:rFonts w:ascii="Times New Roman" w:hAnsi="Times New Roman" w:cs="Times New Roman" w:eastAsia="Times New Roman" w:hint="default"/>
        </w:rPr>
        <w:t>17.10</w:t>
      </w:r>
      <w:r>
        <w:rPr/>
        <w:t>万股（除权后）限制性股票进行回购注销处理。监 事会对本次回购注销部分限制性股票相关事项进行了核实并发表核查意见，公司独立董事、律师对该事项发表了意见。</w:t>
      </w:r>
    </w:p>
    <w:p>
      <w:pPr>
        <w:pStyle w:val="BodyText"/>
        <w:spacing w:line="240" w:lineRule="auto" w:before="31"/>
        <w:ind w:left="444" w:right="0"/>
        <w:jc w:val="left"/>
        <w:rPr>
          <w:rFonts w:ascii="Times New Roman" w:hAnsi="Times New Roman" w:cs="Times New Roman" w:eastAsia="Times New Roman" w:hint="default"/>
        </w:rPr>
      </w:pP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26  </w:t>
      </w:r>
      <w:r>
        <w:rPr>
          <w:spacing w:val="-5"/>
        </w:rPr>
        <w:t>日，公司召开第三届董事会第二十六次会议和第三届监事会第十九次会议，审议通过了《关于公司</w:t>
      </w:r>
      <w:r>
        <w:rPr>
          <w:spacing w:val="-23"/>
        </w:rPr>
        <w:t> </w:t>
      </w:r>
      <w:r>
        <w:rPr>
          <w:rFonts w:ascii="Times New Roman" w:hAnsi="Times New Roman" w:cs="Times New Roman" w:eastAsia="Times New Roman" w:hint="default"/>
        </w:rPr>
        <w:t>2016</w:t>
      </w:r>
    </w:p>
    <w:p>
      <w:pPr>
        <w:pStyle w:val="BodyText"/>
        <w:spacing w:line="300" w:lineRule="auto" w:before="63"/>
        <w:ind w:right="1115"/>
        <w:jc w:val="left"/>
      </w:pPr>
      <w:r>
        <w:rPr/>
        <w:t>年限制性股票激励计划第二个解锁期可解锁的议案》，监事会对公司</w:t>
      </w:r>
      <w:r>
        <w:rPr>
          <w:spacing w:val="-41"/>
        </w:rPr>
        <w:t> </w:t>
      </w: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t>年股权激励计划首次授予第二个解锁期解锁条件 及激励对象名单进行了核实，公司独立董事对此发表了同意的独立意见。</w:t>
      </w:r>
    </w:p>
    <w:p>
      <w:pPr>
        <w:pStyle w:val="BodyText"/>
        <w:spacing w:line="304" w:lineRule="auto" w:before="31"/>
        <w:ind w:right="1133" w:firstLine="30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30</w:t>
      </w:r>
      <w:r>
        <w:rPr/>
        <w:t>日，公司第三届董事会第三十次会议审议通过了《关于公司</w:t>
      </w:r>
      <w:r>
        <w:rPr>
          <w:rFonts w:ascii="Times New Roman" w:hAnsi="Times New Roman" w:cs="Times New Roman" w:eastAsia="Times New Roman" w:hint="default"/>
        </w:rPr>
        <w:t>2018</w:t>
      </w:r>
      <w:r>
        <w:rPr/>
        <w:t>年限制性股票激励计划（草案）及其摘要 的议案》、《关于公司</w:t>
      </w:r>
      <w:r>
        <w:rPr>
          <w:rFonts w:ascii="Times New Roman" w:hAnsi="Times New Roman" w:cs="Times New Roman" w:eastAsia="Times New Roman" w:hint="default"/>
        </w:rPr>
        <w:t>2018</w:t>
      </w:r>
      <w:r>
        <w:rPr/>
        <w:t>年限制性股票激励计划实施考核管理办法的议案》和《关于提请股东大会授予董事会办理</w:t>
      </w:r>
      <w:r>
        <w:rPr>
          <w:spacing w:val="-16"/>
        </w:rPr>
        <w:t> </w:t>
      </w:r>
      <w:r>
        <w:rPr>
          <w:rFonts w:ascii="Times New Roman" w:hAnsi="Times New Roman" w:cs="Times New Roman" w:eastAsia="Times New Roman" w:hint="default"/>
        </w:rPr>
        <w:t>2018 </w:t>
      </w:r>
      <w:r>
        <w:rPr>
          <w:spacing w:val="-2"/>
        </w:rPr>
        <w:t>年限制性股票激励计划相关事宜的议案》。公司独立董事对此发表了独立意见，律师出具了相应法律意见书。同日，公司召</w:t>
      </w:r>
      <w:r>
        <w:rPr>
          <w:spacing w:val="-66"/>
        </w:rPr>
        <w:t> </w:t>
      </w:r>
      <w:r>
        <w:rPr>
          <w:spacing w:val="-66"/>
        </w:rPr>
      </w:r>
      <w:r>
        <w:rPr>
          <w:spacing w:val="-2"/>
        </w:rPr>
        <w:t>开第三届监事会第二十三次会议，审议通过了《关于公司</w:t>
      </w:r>
      <w:r>
        <w:rPr>
          <w:rFonts w:ascii="Times New Roman" w:hAnsi="Times New Roman" w:cs="Times New Roman" w:eastAsia="Times New Roman" w:hint="default"/>
          <w:spacing w:val="-2"/>
        </w:rPr>
        <w:t>2018</w:t>
      </w:r>
      <w:r>
        <w:rPr>
          <w:spacing w:val="-2"/>
        </w:rPr>
        <w:t>年限制性股票激励计划（草案）及其摘要的议案》、《关于公</w:t>
      </w:r>
      <w:r>
        <w:rPr>
          <w:spacing w:val="-67"/>
        </w:rPr>
        <w:t> </w:t>
      </w:r>
      <w:r>
        <w:rPr>
          <w:spacing w:val="-67"/>
        </w:rPr>
      </w:r>
      <w:r>
        <w:rPr/>
        <w:t>司</w:t>
      </w:r>
      <w:r>
        <w:rPr>
          <w:rFonts w:ascii="Times New Roman" w:hAnsi="Times New Roman" w:cs="Times New Roman" w:eastAsia="Times New Roman" w:hint="default"/>
        </w:rPr>
        <w:t>2018</w:t>
      </w:r>
      <w:r>
        <w:rPr/>
        <w:t>年限制性股票激励计划实施考核办法的议案》。</w:t>
      </w:r>
    </w:p>
    <w:p>
      <w:pPr>
        <w:pStyle w:val="BodyText"/>
        <w:spacing w:line="300" w:lineRule="auto" w:before="9"/>
        <w:ind w:right="1131" w:firstLine="380"/>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24</w:t>
      </w:r>
      <w:r>
        <w:rPr>
          <w:spacing w:val="-2"/>
        </w:rPr>
        <w:t>日，公司召开</w:t>
      </w:r>
      <w:r>
        <w:rPr>
          <w:rFonts w:ascii="Times New Roman" w:hAnsi="Times New Roman" w:cs="Times New Roman" w:eastAsia="Times New Roman" w:hint="default"/>
          <w:spacing w:val="-2"/>
        </w:rPr>
        <w:t>2018</w:t>
      </w:r>
      <w:r>
        <w:rPr>
          <w:spacing w:val="-2"/>
        </w:rPr>
        <w:t>年度第二次临时股东大会，审议通过了《关于公司</w:t>
      </w:r>
      <w:r>
        <w:rPr>
          <w:rFonts w:ascii="Times New Roman" w:hAnsi="Times New Roman" w:cs="Times New Roman" w:eastAsia="Times New Roman" w:hint="default"/>
          <w:spacing w:val="-2"/>
        </w:rPr>
        <w:t>2018</w:t>
      </w:r>
      <w:r>
        <w:rPr>
          <w:spacing w:val="-2"/>
        </w:rPr>
        <w:t>年限制性股票激励计划（草案）</w:t>
      </w:r>
      <w:r>
        <w:rPr/>
        <w:t> </w:t>
      </w:r>
      <w:r>
        <w:rPr>
          <w:spacing w:val="-2"/>
        </w:rPr>
        <w:t>及其摘要的议案》、《关于公司</w:t>
      </w:r>
      <w:r>
        <w:rPr>
          <w:rFonts w:ascii="Times New Roman" w:hAnsi="Times New Roman" w:cs="Times New Roman" w:eastAsia="Times New Roman" w:hint="default"/>
          <w:spacing w:val="-2"/>
        </w:rPr>
        <w:t>2018</w:t>
      </w:r>
      <w:r>
        <w:rPr>
          <w:spacing w:val="-2"/>
        </w:rPr>
        <w:t>年限制性股票激励计划实施考核管理办法的议案》和《关于提请股东大会授予董事会办</w:t>
      </w:r>
      <w:r>
        <w:rPr>
          <w:spacing w:val="-61"/>
        </w:rPr>
        <w:t> </w:t>
      </w:r>
      <w:r>
        <w:rPr>
          <w:spacing w:val="-61"/>
        </w:rPr>
      </w:r>
      <w:r>
        <w:rPr/>
        <w:t>理</w:t>
      </w:r>
      <w:r>
        <w:rPr>
          <w:rFonts w:ascii="Times New Roman" w:hAnsi="Times New Roman" w:cs="Times New Roman" w:eastAsia="Times New Roman" w:hint="default"/>
        </w:rPr>
        <w:t>2018</w:t>
      </w:r>
      <w:r>
        <w:rPr/>
        <w:t>年限制性股票激励计划有关事宜的议案》，律师出具了相应法律意见书。</w:t>
      </w:r>
    </w:p>
    <w:p>
      <w:pPr>
        <w:pStyle w:val="BodyText"/>
        <w:spacing w:line="300" w:lineRule="auto" w:before="13"/>
        <w:ind w:right="1032" w:firstLine="362"/>
        <w:jc w:val="left"/>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31</w:t>
      </w:r>
      <w:r>
        <w:rPr>
          <w:spacing w:val="-2"/>
        </w:rPr>
        <w:t>日，公司第三届董事会第三十二次会议和第三届监事会第二十五次会议审议通过了《关于调整</w:t>
      </w:r>
      <w:r>
        <w:rPr>
          <w:rFonts w:ascii="Times New Roman" w:hAnsi="Times New Roman" w:cs="Times New Roman" w:eastAsia="Times New Roman" w:hint="default"/>
          <w:spacing w:val="-2"/>
        </w:rPr>
        <w:t>2018</w:t>
      </w:r>
      <w:r>
        <w:rPr>
          <w:spacing w:val="-2"/>
        </w:rPr>
        <w:t>年股权</w:t>
      </w:r>
      <w:r>
        <w:rPr/>
        <w:t> </w:t>
      </w:r>
      <w:r>
        <w:rPr>
          <w:spacing w:val="-2"/>
        </w:rPr>
        <w:t>激励计划授予对象数量的议案》、《关于向激励对象授予限制性股票的议案》。调整后，公司</w:t>
      </w:r>
      <w:r>
        <w:rPr>
          <w:rFonts w:ascii="Times New Roman" w:hAnsi="Times New Roman" w:cs="Times New Roman" w:eastAsia="Times New Roman" w:hint="default"/>
          <w:spacing w:val="-2"/>
        </w:rPr>
        <w:t>2018</w:t>
      </w:r>
      <w:r>
        <w:rPr>
          <w:spacing w:val="-2"/>
        </w:rPr>
        <w:t>年限制性股票激励计划首</w:t>
      </w:r>
      <w:r>
        <w:rPr>
          <w:spacing w:val="-64"/>
        </w:rPr>
        <w:t> </w:t>
      </w:r>
      <w:r>
        <w:rPr/>
        <w:t>次授予的激励对象由</w:t>
      </w:r>
      <w:r>
        <w:rPr>
          <w:rFonts w:ascii="Times New Roman" w:hAnsi="Times New Roman" w:cs="Times New Roman" w:eastAsia="Times New Roman" w:hint="default"/>
        </w:rPr>
        <w:t>175</w:t>
      </w:r>
      <w:r>
        <w:rPr/>
        <w:t>人调整为</w:t>
      </w:r>
      <w:r>
        <w:rPr>
          <w:rFonts w:ascii="Times New Roman" w:hAnsi="Times New Roman" w:cs="Times New Roman" w:eastAsia="Times New Roman" w:hint="default"/>
        </w:rPr>
        <w:t>158</w:t>
      </w:r>
      <w:r>
        <w:rPr/>
        <w:t>人，公司监事会及独立董事分别对激励对象获授予益的条件是否成就发表了明确意见，</w:t>
      </w:r>
      <w:r>
        <w:rPr>
          <w:spacing w:val="-85"/>
        </w:rPr>
        <w:t> </w:t>
      </w:r>
      <w:r>
        <w:rPr>
          <w:spacing w:val="-85"/>
        </w:rPr>
      </w:r>
      <w:r>
        <w:rPr/>
        <w:t>监事会对激励对象名单进行了核实并发表了核查意见，公司聘请的律师出具了相关法律意见书。</w:t>
      </w:r>
    </w:p>
    <w:p>
      <w:pPr>
        <w:pStyle w:val="BodyText"/>
        <w:spacing w:line="300" w:lineRule="auto" w:before="32"/>
        <w:ind w:right="1130" w:firstLine="362"/>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16</w:t>
      </w:r>
      <w:r>
        <w:rPr>
          <w:spacing w:val="-2"/>
        </w:rPr>
        <w:t>日，公司第三届董事会第三十三次会议和第三届监事会第二十六次会议审议通过了《关于调整</w:t>
      </w:r>
      <w:r>
        <w:rPr>
          <w:rFonts w:ascii="Times New Roman" w:hAnsi="Times New Roman" w:cs="Times New Roman" w:eastAsia="Times New Roman" w:hint="default"/>
          <w:spacing w:val="-2"/>
        </w:rPr>
        <w:t>2018</w:t>
      </w:r>
      <w:r>
        <w:rPr>
          <w:spacing w:val="-2"/>
        </w:rPr>
        <w:t>年股权</w:t>
      </w:r>
      <w:r>
        <w:rPr/>
        <w:t> </w:t>
      </w:r>
      <w:r>
        <w:rPr>
          <w:spacing w:val="-2"/>
        </w:rPr>
        <w:t>激励计划授予对象数量的议案》、调整后，公司</w:t>
      </w:r>
      <w:r>
        <w:rPr>
          <w:rFonts w:ascii="Times New Roman" w:hAnsi="Times New Roman" w:cs="Times New Roman" w:eastAsia="Times New Roman" w:hint="default"/>
          <w:spacing w:val="-2"/>
        </w:rPr>
        <w:t>2018</w:t>
      </w:r>
      <w:r>
        <w:rPr>
          <w:spacing w:val="-2"/>
        </w:rPr>
        <w:t>年限制性股票激励计划首次授予的激励对象由</w:t>
      </w:r>
      <w:r>
        <w:rPr>
          <w:rFonts w:ascii="Times New Roman" w:hAnsi="Times New Roman" w:cs="Times New Roman" w:eastAsia="Times New Roman" w:hint="default"/>
          <w:spacing w:val="-2"/>
        </w:rPr>
        <w:t>158</w:t>
      </w:r>
      <w:r>
        <w:rPr>
          <w:spacing w:val="-2"/>
        </w:rPr>
        <w:t>人调整为</w:t>
      </w:r>
      <w:r>
        <w:rPr>
          <w:rFonts w:ascii="Times New Roman" w:hAnsi="Times New Roman" w:cs="Times New Roman" w:eastAsia="Times New Roman" w:hint="default"/>
          <w:spacing w:val="-2"/>
        </w:rPr>
        <w:t>147</w:t>
      </w:r>
      <w:r>
        <w:rPr>
          <w:spacing w:val="-2"/>
        </w:rPr>
        <w:t>人，监事</w:t>
      </w:r>
      <w:r>
        <w:rPr>
          <w:spacing w:val="-56"/>
        </w:rPr>
        <w:t> </w:t>
      </w:r>
      <w:r>
        <w:rPr>
          <w:spacing w:val="-56"/>
        </w:rPr>
      </w:r>
      <w:r>
        <w:rPr/>
        <w:t>会对激励对象名单进行了核实并发表了核查意见，公司聘请的律师出具了相关法律意见书。</w:t>
      </w:r>
    </w:p>
    <w:p>
      <w:pPr>
        <w:spacing w:line="240" w:lineRule="auto" w:before="0"/>
        <w:rPr>
          <w:rFonts w:ascii="宋体" w:hAnsi="宋体" w:cs="宋体" w:eastAsia="宋体" w:hint="default"/>
          <w:sz w:val="18"/>
          <w:szCs w:val="18"/>
        </w:rPr>
      </w:pPr>
    </w:p>
    <w:p>
      <w:pPr>
        <w:pStyle w:val="BodyText"/>
        <w:spacing w:line="240" w:lineRule="auto" w:before="148"/>
        <w:ind w:right="0"/>
        <w:jc w:val="left"/>
      </w:pPr>
      <w:r>
        <w:rPr/>
        <w:t>股份变动的过户情况</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00" w:lineRule="auto" w:before="101"/>
        <w:ind w:right="1132" w:firstLine="360"/>
        <w:jc w:val="both"/>
      </w:pPr>
      <w:r>
        <w:rPr>
          <w:rFonts w:ascii="Times New Roman" w:hAnsi="Times New Roman" w:cs="Times New Roman" w:eastAsia="Times New Roman" w:hint="default"/>
          <w:spacing w:val="-5"/>
        </w:rPr>
        <w:t>2018</w:t>
      </w:r>
      <w:r>
        <w:rPr>
          <w:spacing w:val="-5"/>
        </w:rPr>
        <w:t>年</w:t>
      </w:r>
      <w:r>
        <w:rPr>
          <w:rFonts w:ascii="Times New Roman" w:hAnsi="Times New Roman" w:cs="Times New Roman" w:eastAsia="Times New Roman" w:hint="default"/>
          <w:spacing w:val="-5"/>
        </w:rPr>
        <w:t>1</w:t>
      </w:r>
      <w:r>
        <w:rPr>
          <w:spacing w:val="-5"/>
        </w:rPr>
        <w:t>月</w:t>
      </w:r>
      <w:r>
        <w:rPr>
          <w:rFonts w:ascii="Times New Roman" w:hAnsi="Times New Roman" w:cs="Times New Roman" w:eastAsia="Times New Roman" w:hint="default"/>
          <w:spacing w:val="-5"/>
        </w:rPr>
        <w:t>2</w:t>
      </w:r>
      <w:r>
        <w:rPr>
          <w:spacing w:val="-5"/>
        </w:rPr>
        <w:t>日，公司披露了《关于限售股份解禁上市流通的提示性公告》，沈永健、周维君所持公司限售股承诺期届满，</w:t>
      </w:r>
      <w:r>
        <w:rPr/>
        <w:t> 公司申请为其进行第一期限售股解禁，解除限售股份</w:t>
      </w:r>
      <w:r>
        <w:rPr>
          <w:rFonts w:ascii="Times New Roman" w:hAnsi="Times New Roman" w:cs="Times New Roman" w:eastAsia="Times New Roman" w:hint="default"/>
        </w:rPr>
        <w:t>6,149,999</w:t>
      </w:r>
      <w:r>
        <w:rPr/>
        <w:t>股，上市流通日为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3</w:t>
      </w:r>
      <w:r>
        <w:rPr/>
        <w:t>日。</w:t>
      </w:r>
    </w:p>
    <w:p>
      <w:pPr>
        <w:pStyle w:val="BodyText"/>
        <w:spacing w:line="309" w:lineRule="auto" w:before="13"/>
        <w:ind w:right="0" w:firstLine="29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22</w:t>
      </w:r>
      <w:r>
        <w:rPr/>
        <w:t>日，公司披露了《关于限售股份解禁上市流通的提示性公告》，西藏泓涵股权投资管理有限公司、鹏华资 </w:t>
      </w:r>
      <w:r>
        <w:rPr>
          <w:spacing w:val="-2"/>
        </w:rPr>
        <w:t>产管理有限公司、李辉、深圳市晨钟资产管理有限责任公司、中融基金管理有限公司、山东省国有资产投资控股有限公司所</w:t>
      </w:r>
      <w:r>
        <w:rPr>
          <w:spacing w:val="-66"/>
        </w:rPr>
        <w:t> </w:t>
      </w:r>
      <w:r>
        <w:rPr>
          <w:spacing w:val="-66"/>
        </w:rPr>
      </w:r>
      <w:r>
        <w:rPr/>
        <w:t>持公司限售股承诺期届满，公司申请为其进行限售股解禁，解除限售股份</w:t>
      </w:r>
      <w:r>
        <w:rPr>
          <w:rFonts w:ascii="Times New Roman" w:hAnsi="Times New Roman" w:cs="Times New Roman" w:eastAsia="Times New Roman" w:hint="default"/>
        </w:rPr>
        <w:t>16,392,841</w:t>
      </w:r>
      <w:r>
        <w:rPr/>
        <w:t>股，上市流通日为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23</w:t>
      </w:r>
      <w:r>
        <w:rPr/>
        <w:t>日。</w:t>
      </w:r>
    </w:p>
    <w:p>
      <w:pPr>
        <w:pStyle w:val="BodyText"/>
        <w:spacing w:line="300" w:lineRule="auto" w:before="5"/>
        <w:ind w:right="1131" w:firstLine="290"/>
        <w:jc w:val="both"/>
      </w:pP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2</w:t>
      </w:r>
      <w:r>
        <w:rPr>
          <w:spacing w:val="-1"/>
        </w:rPr>
        <w:t>日，公司披露了《关于公司限制性股票激励计划暂缓授予部分上市流通提示性公告》，限制性股票解锁数量</w:t>
      </w:r>
      <w:r>
        <w:rPr/>
        <w:t> 为</w:t>
      </w:r>
      <w:r>
        <w:rPr>
          <w:rFonts w:ascii="Times New Roman" w:hAnsi="Times New Roman" w:cs="Times New Roman" w:eastAsia="Times New Roman" w:hint="default"/>
        </w:rPr>
        <w:t>288,000</w:t>
      </w:r>
      <w:r>
        <w:rPr/>
        <w:t>股，上市流通日期为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w:t>
      </w:r>
      <w:r>
        <w:rPr/>
        <w:t>日。</w:t>
      </w:r>
    </w:p>
    <w:p>
      <w:pPr>
        <w:pStyle w:val="BodyText"/>
        <w:spacing w:line="300" w:lineRule="auto" w:before="13"/>
        <w:ind w:right="1132" w:firstLine="307"/>
        <w:jc w:val="both"/>
      </w:pP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23</w:t>
      </w:r>
      <w:r>
        <w:rPr>
          <w:spacing w:val="-3"/>
        </w:rPr>
        <w:t>日，公司披露了《关于公司</w:t>
      </w:r>
      <w:r>
        <w:rPr>
          <w:rFonts w:ascii="Times New Roman" w:hAnsi="Times New Roman" w:cs="Times New Roman" w:eastAsia="Times New Roman" w:hint="default"/>
          <w:spacing w:val="-3"/>
        </w:rPr>
        <w:t>2016</w:t>
      </w:r>
      <w:r>
        <w:rPr>
          <w:spacing w:val="-3"/>
        </w:rPr>
        <w:t>年限制性股票激励计划第二个解锁期限制性股票上市流通的提示性公告》，</w:t>
      </w:r>
      <w:r>
        <w:rPr/>
        <w:t> 限制性股票解锁数量为</w:t>
      </w:r>
      <w:r>
        <w:rPr>
          <w:rFonts w:ascii="Times New Roman" w:hAnsi="Times New Roman" w:cs="Times New Roman" w:eastAsia="Times New Roman" w:hint="default"/>
        </w:rPr>
        <w:t>2,100,600</w:t>
      </w:r>
      <w:r>
        <w:rPr/>
        <w:t>股，上市流通日期为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24</w:t>
      </w:r>
      <w:r>
        <w:rPr/>
        <w:t>日。</w:t>
      </w:r>
    </w:p>
    <w:p>
      <w:pPr>
        <w:pStyle w:val="BodyText"/>
        <w:spacing w:line="300" w:lineRule="auto" w:before="13"/>
        <w:ind w:right="1130" w:firstLine="290"/>
        <w:jc w:val="both"/>
      </w:pP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9</w:t>
      </w:r>
      <w:r>
        <w:rPr>
          <w:spacing w:val="-1"/>
        </w:rPr>
        <w:t>日，公司披露了《关于部分限制性股票回购注销完成的公告》，公司已完成</w:t>
      </w:r>
      <w:r>
        <w:rPr>
          <w:rFonts w:ascii="Times New Roman" w:hAnsi="Times New Roman" w:cs="Times New Roman" w:eastAsia="Times New Roman" w:hint="default"/>
          <w:spacing w:val="-1"/>
        </w:rPr>
        <w:t>13</w:t>
      </w:r>
      <w:r>
        <w:rPr>
          <w:spacing w:val="-1"/>
        </w:rPr>
        <w:t>名相关激励对象已获授但尚未</w:t>
      </w:r>
      <w:r>
        <w:rPr/>
        <w:t> 解除限售的</w:t>
      </w:r>
      <w:r>
        <w:rPr>
          <w:rFonts w:ascii="Times New Roman" w:hAnsi="Times New Roman" w:cs="Times New Roman" w:eastAsia="Times New Roman" w:hint="default"/>
        </w:rPr>
        <w:t>17.10</w:t>
      </w:r>
      <w:r>
        <w:rPr/>
        <w:t>万股（除权后）限制性股票的回购注销工作。</w:t>
      </w:r>
    </w:p>
    <w:p>
      <w:pPr>
        <w:pStyle w:val="BodyText"/>
        <w:spacing w:line="300" w:lineRule="auto" w:before="13"/>
        <w:ind w:right="1036" w:firstLine="270"/>
        <w:jc w:val="both"/>
      </w:pPr>
      <w:r>
        <w:rPr>
          <w:rFonts w:ascii="Times New Roman" w:hAnsi="Times New Roman" w:cs="Times New Roman" w:eastAsia="Times New Roman" w:hint="default"/>
          <w:spacing w:val="-9"/>
        </w:rPr>
        <w:t>2018</w:t>
      </w:r>
      <w:r>
        <w:rPr>
          <w:spacing w:val="-9"/>
        </w:rPr>
        <w:t>年</w:t>
      </w:r>
      <w:r>
        <w:rPr>
          <w:rFonts w:ascii="Times New Roman" w:hAnsi="Times New Roman" w:cs="Times New Roman" w:eastAsia="Times New Roman" w:hint="default"/>
          <w:spacing w:val="-9"/>
        </w:rPr>
        <w:t>12</w:t>
      </w:r>
      <w:r>
        <w:rPr>
          <w:spacing w:val="-9"/>
        </w:rPr>
        <w:t>月</w:t>
      </w:r>
      <w:r>
        <w:rPr>
          <w:rFonts w:ascii="Times New Roman" w:hAnsi="Times New Roman" w:cs="Times New Roman" w:eastAsia="Times New Roman" w:hint="default"/>
          <w:spacing w:val="-9"/>
        </w:rPr>
        <w:t>03</w:t>
      </w:r>
      <w:r>
        <w:rPr>
          <w:spacing w:val="-9"/>
        </w:rPr>
        <w:t>日，公司披露了《关于</w:t>
      </w:r>
      <w:r>
        <w:rPr>
          <w:rFonts w:ascii="Times New Roman" w:hAnsi="Times New Roman" w:cs="Times New Roman" w:eastAsia="Times New Roman" w:hint="default"/>
          <w:spacing w:val="-9"/>
        </w:rPr>
        <w:t>2018</w:t>
      </w:r>
      <w:r>
        <w:rPr>
          <w:spacing w:val="-9"/>
        </w:rPr>
        <w:t>年限制性股票激励计划激励对象首次授予登记完成的公告》（公告编号：</w:t>
      </w:r>
      <w:r>
        <w:rPr>
          <w:rFonts w:ascii="Times New Roman" w:hAnsi="Times New Roman" w:cs="Times New Roman" w:eastAsia="Times New Roman" w:hint="default"/>
          <w:spacing w:val="-9"/>
        </w:rPr>
        <w:t>2018-100</w:t>
      </w:r>
      <w:r>
        <w:rPr>
          <w:spacing w:val="-9"/>
        </w:rPr>
        <w:t>），</w:t>
      </w:r>
      <w:r>
        <w:rPr>
          <w:spacing w:val="-84"/>
        </w:rPr>
        <w:t> </w:t>
      </w:r>
      <w:r>
        <w:rPr/>
        <w:t>公司首次限制性股票授予登记完成，向</w:t>
      </w:r>
      <w:r>
        <w:rPr>
          <w:rFonts w:ascii="Times New Roman" w:hAnsi="Times New Roman" w:cs="Times New Roman" w:eastAsia="Times New Roman" w:hint="default"/>
        </w:rPr>
        <w:t>147</w:t>
      </w:r>
      <w:r>
        <w:rPr/>
        <w:t>名激励对象授予限制性股票</w:t>
      </w:r>
      <w:r>
        <w:rPr>
          <w:rFonts w:ascii="Times New Roman" w:hAnsi="Times New Roman" w:cs="Times New Roman" w:eastAsia="Times New Roman" w:hint="default"/>
        </w:rPr>
        <w:t>800</w:t>
      </w:r>
      <w:r>
        <w:rPr/>
        <w:t>万股，上市日期为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4</w:t>
      </w:r>
      <w:r>
        <w:rPr/>
        <w:t>日。</w:t>
      </w:r>
    </w:p>
    <w:p>
      <w:pPr>
        <w:spacing w:line="240" w:lineRule="auto" w:before="0"/>
        <w:rPr>
          <w:rFonts w:ascii="宋体" w:hAnsi="宋体" w:cs="宋体" w:eastAsia="宋体" w:hint="default"/>
          <w:sz w:val="18"/>
          <w:szCs w:val="18"/>
        </w:rPr>
      </w:pPr>
    </w:p>
    <w:p>
      <w:pPr>
        <w:pStyle w:val="BodyText"/>
        <w:spacing w:line="240" w:lineRule="auto" w:before="130"/>
        <w:ind w:right="0"/>
        <w:jc w:val="left"/>
      </w:pPr>
      <w:r>
        <w:rPr/>
        <w:t>股份回购的实施进展情况</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footerReference w:type="default" r:id="rId51"/>
          <w:pgSz w:w="11910" w:h="16840"/>
          <w:pgMar w:footer="979" w:header="747" w:top="1060" w:bottom="1160" w:left="980" w:right="0"/>
          <w:pgNumType w:start="81"/>
        </w:sectPr>
      </w:pPr>
    </w:p>
    <w:p>
      <w:pPr>
        <w:spacing w:line="240" w:lineRule="auto" w:before="12"/>
        <w:rPr>
          <w:rFonts w:ascii="宋体" w:hAnsi="宋体" w:cs="宋体" w:eastAsia="宋体" w:hint="default"/>
          <w:sz w:val="25"/>
          <w:szCs w:val="25"/>
        </w:rPr>
      </w:pPr>
    </w:p>
    <w:p>
      <w:pPr>
        <w:pStyle w:val="BodyText"/>
        <w:spacing w:line="240" w:lineRule="auto" w:before="44"/>
        <w:ind w:left="514" w:right="0"/>
        <w:jc w:val="left"/>
      </w:pPr>
      <w:r>
        <w:rPr/>
        <w:t>公司于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10 </w:t>
      </w:r>
      <w:r>
        <w:rPr/>
        <w:t>月</w:t>
      </w:r>
      <w:r>
        <w:rPr>
          <w:spacing w:val="-1"/>
        </w:rPr>
        <w:t> </w:t>
      </w:r>
      <w:r>
        <w:rPr>
          <w:rFonts w:ascii="Times New Roman" w:hAnsi="Times New Roman" w:cs="Times New Roman" w:eastAsia="Times New Roman" w:hint="default"/>
        </w:rPr>
        <w:t>19</w:t>
      </w:r>
      <w:r>
        <w:rPr/>
        <w:t>日召开第三届董事会第三十一次会议审议通过了《关于</w:t>
      </w:r>
      <w:r>
        <w:rPr>
          <w:rFonts w:ascii="Times New Roman" w:hAnsi="Times New Roman" w:cs="Times New Roman" w:eastAsia="Times New Roman" w:hint="default"/>
        </w:rPr>
        <w:t>&lt;</w:t>
      </w:r>
      <w:r>
        <w:rPr/>
        <w:t>回购公司股份的预案</w:t>
      </w:r>
      <w:r>
        <w:rPr>
          <w:rFonts w:ascii="Times New Roman" w:hAnsi="Times New Roman" w:cs="Times New Roman" w:eastAsia="Times New Roman" w:hint="default"/>
        </w:rPr>
        <w:t>&gt;</w:t>
      </w:r>
      <w:r>
        <w:rPr/>
        <w:t>的议案》，并</w:t>
      </w:r>
    </w:p>
    <w:p>
      <w:pPr>
        <w:pStyle w:val="BodyText"/>
        <w:spacing w:line="240" w:lineRule="auto" w:before="63"/>
        <w:ind w:right="0"/>
        <w:jc w:val="left"/>
        <w:rPr>
          <w:rFonts w:ascii="Times New Roman" w:hAnsi="Times New Roman" w:cs="Times New Roman" w:eastAsia="Times New Roman" w:hint="default"/>
        </w:rPr>
      </w:pPr>
      <w:r>
        <w:rPr/>
        <w:t>于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5 </w:t>
      </w:r>
      <w:r>
        <w:rPr/>
        <w:t>日召开 </w:t>
      </w:r>
      <w:r>
        <w:rPr>
          <w:rFonts w:ascii="Times New Roman" w:hAnsi="Times New Roman" w:cs="Times New Roman" w:eastAsia="Times New Roman" w:hint="default"/>
        </w:rPr>
        <w:t>2018 </w:t>
      </w:r>
      <w:r>
        <w:rPr/>
        <w:t>年度第三次临时股东大会审议通过了《关于</w:t>
      </w:r>
      <w:r>
        <w:rPr>
          <w:rFonts w:ascii="Times New Roman" w:hAnsi="Times New Roman" w:cs="Times New Roman" w:eastAsia="Times New Roman" w:hint="default"/>
        </w:rPr>
        <w:t>&lt;</w:t>
      </w:r>
      <w:r>
        <w:rPr/>
        <w:t>回购公司股份的预案</w:t>
      </w:r>
      <w:r>
        <w:rPr>
          <w:rFonts w:ascii="Times New Roman" w:hAnsi="Times New Roman" w:cs="Times New Roman" w:eastAsia="Times New Roman" w:hint="default"/>
        </w:rPr>
        <w:t>&gt;</w:t>
      </w:r>
      <w:r>
        <w:rPr/>
        <w:t>的议案》。</w:t>
      </w:r>
      <w:r>
        <w:rPr>
          <w:rFonts w:ascii="Times New Roman" w:hAnsi="Times New Roman" w:cs="Times New Roman" w:eastAsia="Times New Roman" w:hint="default"/>
        </w:rPr>
        <w:t>2018 </w:t>
      </w:r>
      <w:r>
        <w:rPr/>
        <w:t>年</w:t>
      </w:r>
      <w:r>
        <w:rPr>
          <w:spacing w:val="25"/>
        </w:rPr>
        <w:t> </w:t>
      </w:r>
      <w:r>
        <w:rPr>
          <w:rFonts w:ascii="Times New Roman" w:hAnsi="Times New Roman" w:cs="Times New Roman" w:eastAsia="Times New Roman" w:hint="default"/>
        </w:rPr>
        <w:t>12</w:t>
      </w:r>
    </w:p>
    <w:p>
      <w:pPr>
        <w:pStyle w:val="BodyText"/>
        <w:spacing w:line="314" w:lineRule="auto" w:before="63"/>
        <w:ind w:right="1132"/>
        <w:jc w:val="both"/>
      </w:pPr>
      <w:r>
        <w:rPr/>
        <w:t>月 </w:t>
      </w:r>
      <w:r>
        <w:rPr>
          <w:rFonts w:ascii="Times New Roman" w:hAnsi="Times New Roman" w:cs="Times New Roman" w:eastAsia="Times New Roman" w:hint="default"/>
        </w:rPr>
        <w:t>18</w:t>
      </w:r>
      <w:r>
        <w:rPr>
          <w:rFonts w:ascii="Times New Roman" w:hAnsi="Times New Roman" w:cs="Times New Roman" w:eastAsia="Times New Roman" w:hint="default"/>
          <w:spacing w:val="-12"/>
        </w:rPr>
        <w:t> </w:t>
      </w:r>
      <w:r>
        <w:rPr/>
        <w:t>日，公司在《证券时报》及巨潮资讯网刊登了《回购股份报告书》（公告编号：</w:t>
      </w:r>
      <w:r>
        <w:rPr>
          <w:rFonts w:ascii="Times New Roman" w:hAnsi="Times New Roman" w:cs="Times New Roman" w:eastAsia="Times New Roman" w:hint="default"/>
        </w:rPr>
        <w:t>2018-105</w:t>
      </w:r>
      <w:r>
        <w:rPr/>
        <w:t>），基于对公司未来发展前 </w:t>
      </w:r>
      <w:r>
        <w:rPr>
          <w:spacing w:val="-2"/>
        </w:rPr>
        <w:t>景的信心和基本面的判断，公司管理层在综合考虑公司近期股票二级市场表现，结合公司经营情况、财务状况以及未来的盈</w:t>
      </w:r>
      <w:r>
        <w:rPr>
          <w:spacing w:val="-66"/>
        </w:rPr>
        <w:t> </w:t>
      </w:r>
      <w:r>
        <w:rPr>
          <w:spacing w:val="-66"/>
        </w:rPr>
      </w:r>
      <w:r>
        <w:rPr>
          <w:spacing w:val="-2"/>
        </w:rPr>
        <w:t>利能力和发展前景，为维护广大投资者的利益，增强投资者信心，公司根据《公司法》、《证券法》、《上市公司回购社会</w:t>
      </w:r>
      <w:r>
        <w:rPr>
          <w:spacing w:val="-69"/>
        </w:rPr>
        <w:t> </w:t>
      </w:r>
      <w:r>
        <w:rPr>
          <w:spacing w:val="-69"/>
        </w:rPr>
      </w:r>
      <w:r>
        <w:rPr>
          <w:spacing w:val="-2"/>
        </w:rPr>
        <w:t>公众股份管理办法（试行）》等法律法规及《公司章程》规定，拟回购部分公司股份，回购股份的方式为在二级市场以集中</w:t>
      </w:r>
      <w:r>
        <w:rPr>
          <w:spacing w:val="-71"/>
        </w:rPr>
        <w:t> </w:t>
      </w:r>
      <w:r>
        <w:rPr>
          <w:spacing w:val="-71"/>
        </w:rPr>
      </w:r>
      <w:r>
        <w:rPr/>
        <w:t>竞价交易方式购买，回购价格为不超过人民币 </w:t>
      </w:r>
      <w:r>
        <w:rPr>
          <w:rFonts w:ascii="Times New Roman" w:hAnsi="Times New Roman" w:cs="Times New Roman" w:eastAsia="Times New Roman" w:hint="default"/>
        </w:rPr>
        <w:t>9 </w:t>
      </w:r>
      <w:r>
        <w:rPr/>
        <w:t>元</w:t>
      </w:r>
      <w:r>
        <w:rPr>
          <w:rFonts w:ascii="Times New Roman" w:hAnsi="Times New Roman" w:cs="Times New Roman" w:eastAsia="Times New Roman" w:hint="default"/>
        </w:rPr>
        <w:t>/</w:t>
      </w:r>
      <w:r>
        <w:rPr/>
        <w:t>股，回购金额为不低于人民币 </w:t>
      </w:r>
      <w:r>
        <w:rPr>
          <w:rFonts w:ascii="Times New Roman" w:hAnsi="Times New Roman" w:cs="Times New Roman" w:eastAsia="Times New Roman" w:hint="default"/>
        </w:rPr>
        <w:t>4,000  </w:t>
      </w:r>
      <w:r>
        <w:rPr/>
        <w:t>万元（包含 </w:t>
      </w:r>
      <w:r>
        <w:rPr>
          <w:rFonts w:ascii="Times New Roman" w:hAnsi="Times New Roman" w:cs="Times New Roman" w:eastAsia="Times New Roman" w:hint="default"/>
        </w:rPr>
        <w:t>4000</w:t>
      </w:r>
      <w:r>
        <w:rPr>
          <w:rFonts w:ascii="Times New Roman" w:hAnsi="Times New Roman" w:cs="Times New Roman" w:eastAsia="Times New Roman" w:hint="default"/>
          <w:spacing w:val="-21"/>
        </w:rPr>
        <w:t> </w:t>
      </w:r>
      <w:r>
        <w:rPr/>
        <w:t>万元），不超过</w:t>
      </w:r>
    </w:p>
    <w:p>
      <w:pPr>
        <w:pStyle w:val="BodyText"/>
        <w:spacing w:line="240" w:lineRule="auto" w:before="1"/>
        <w:ind w:right="0"/>
        <w:jc w:val="left"/>
        <w:rPr>
          <w:rFonts w:ascii="Times New Roman" w:hAnsi="Times New Roman" w:cs="Times New Roman" w:eastAsia="Times New Roman" w:hint="default"/>
        </w:rPr>
      </w:pPr>
      <w:r>
        <w:rPr/>
        <w:t>人民币 </w:t>
      </w:r>
      <w:r>
        <w:rPr>
          <w:rFonts w:ascii="Times New Roman" w:hAnsi="Times New Roman" w:cs="Times New Roman" w:eastAsia="Times New Roman" w:hint="default"/>
        </w:rPr>
        <w:t>8,000  </w:t>
      </w:r>
      <w:r>
        <w:rPr>
          <w:spacing w:val="-13"/>
        </w:rPr>
        <w:t>万元（包含 </w:t>
      </w:r>
      <w:r>
        <w:rPr>
          <w:rFonts w:ascii="Times New Roman" w:hAnsi="Times New Roman" w:cs="Times New Roman" w:eastAsia="Times New Roman" w:hint="default"/>
        </w:rPr>
        <w:t>8,000  </w:t>
      </w:r>
      <w:r>
        <w:rPr>
          <w:spacing w:val="-11"/>
        </w:rPr>
        <w:t>万元），回购股份的期限为 </w:t>
      </w:r>
      <w:r>
        <w:rPr>
          <w:rFonts w:ascii="Times New Roman" w:hAnsi="Times New Roman" w:cs="Times New Roman" w:eastAsia="Times New Roman" w:hint="default"/>
        </w:rPr>
        <w:t>2018</w:t>
      </w:r>
      <w:r>
        <w:rPr>
          <w:rFonts w:ascii="Times New Roman" w:hAnsi="Times New Roman" w:cs="Times New Roman" w:eastAsia="Times New Roman" w:hint="default"/>
          <w:spacing w:val="-9"/>
        </w:rPr>
        <w:t> </w:t>
      </w:r>
      <w:r>
        <w:rPr>
          <w:spacing w:val="-3"/>
        </w:rPr>
        <w:t>年度第三次临时股东大会审议通过回购股份方案之日（</w:t>
      </w:r>
      <w:r>
        <w:rPr>
          <w:rFonts w:ascii="Times New Roman" w:hAnsi="Times New Roman" w:cs="Times New Roman" w:eastAsia="Times New Roman" w:hint="default"/>
          <w:spacing w:val="-3"/>
        </w:rPr>
        <w:t>2018</w:t>
      </w:r>
    </w:p>
    <w:p>
      <w:pPr>
        <w:pStyle w:val="BodyText"/>
        <w:spacing w:line="240" w:lineRule="auto" w:before="63"/>
        <w:ind w:right="0"/>
        <w:jc w:val="left"/>
      </w:pPr>
      <w:r>
        <w:rPr/>
        <w:t>年</w:t>
      </w:r>
      <w:r>
        <w:rPr>
          <w:spacing w:val="-17"/>
        </w:rPr>
        <w:t> </w:t>
      </w:r>
      <w:r>
        <w:rPr>
          <w:rFonts w:ascii="Times New Roman" w:hAnsi="Times New Roman" w:cs="Times New Roman" w:eastAsia="Times New Roman" w:hint="default"/>
        </w:rPr>
        <w:t>12 </w:t>
      </w:r>
      <w:r>
        <w:rPr>
          <w:rFonts w:ascii="Times New Roman" w:hAnsi="Times New Roman" w:cs="Times New Roman" w:eastAsia="Times New Roman" w:hint="default"/>
          <w:spacing w:val="-18"/>
        </w:rPr>
        <w:t> </w:t>
      </w:r>
      <w:r>
        <w:rPr/>
        <w:t>月</w:t>
      </w:r>
      <w:r>
        <w:rPr>
          <w:spacing w:val="-18"/>
        </w:rPr>
        <w:t> </w:t>
      </w:r>
      <w:r>
        <w:rPr>
          <w:rFonts w:ascii="Times New Roman" w:hAnsi="Times New Roman" w:cs="Times New Roman" w:eastAsia="Times New Roman" w:hint="default"/>
        </w:rPr>
        <w:t>5</w:t>
      </w:r>
      <w:r>
        <w:rPr/>
        <w:t>日</w:t>
      </w:r>
      <w:r>
        <w:rPr>
          <w:spacing w:val="-83"/>
        </w:rPr>
        <w:t>）</w:t>
      </w:r>
      <w:r>
        <w:rPr/>
        <w:t>起</w:t>
      </w:r>
      <w:r>
        <w:rPr>
          <w:spacing w:val="-17"/>
        </w:rPr>
        <w:t> </w:t>
      </w:r>
      <w:r>
        <w:rPr>
          <w:rFonts w:ascii="Times New Roman" w:hAnsi="Times New Roman" w:cs="Times New Roman" w:eastAsia="Times New Roman" w:hint="default"/>
        </w:rPr>
        <w:t>12 </w:t>
      </w:r>
      <w:r>
        <w:rPr>
          <w:rFonts w:ascii="Times New Roman" w:hAnsi="Times New Roman" w:cs="Times New Roman" w:eastAsia="Times New Roman" w:hint="default"/>
          <w:spacing w:val="-18"/>
        </w:rPr>
        <w:t> </w:t>
      </w:r>
      <w:r>
        <w:rPr/>
        <w:t>个月之</w:t>
      </w:r>
      <w:r>
        <w:rPr>
          <w:spacing w:val="-2"/>
        </w:rPr>
        <w:t>内</w:t>
      </w:r>
      <w:r>
        <w:rPr>
          <w:spacing w:val="-82"/>
        </w:rPr>
        <w:t>。</w:t>
      </w:r>
      <w:r>
        <w:rPr/>
        <w:t>截至</w:t>
      </w:r>
      <w:r>
        <w:rPr>
          <w:spacing w:val="-17"/>
        </w:rPr>
        <w:t> </w:t>
      </w:r>
      <w:r>
        <w:rPr>
          <w:rFonts w:ascii="Times New Roman" w:hAnsi="Times New Roman" w:cs="Times New Roman" w:eastAsia="Times New Roman" w:hint="default"/>
        </w:rPr>
        <w:t>2018 </w:t>
      </w:r>
      <w:r>
        <w:rPr>
          <w:rFonts w:ascii="Times New Roman" w:hAnsi="Times New Roman" w:cs="Times New Roman" w:eastAsia="Times New Roman" w:hint="default"/>
          <w:spacing w:val="-18"/>
        </w:rPr>
        <w:t> </w:t>
      </w:r>
      <w:r>
        <w:rPr/>
        <w:t>年</w:t>
      </w:r>
      <w:r>
        <w:rPr>
          <w:spacing w:val="-20"/>
        </w:rPr>
        <w:t> </w:t>
      </w:r>
      <w:r>
        <w:rPr>
          <w:rFonts w:ascii="Times New Roman" w:hAnsi="Times New Roman" w:cs="Times New Roman" w:eastAsia="Times New Roman" w:hint="default"/>
        </w:rPr>
        <w:t>12 </w:t>
      </w:r>
      <w:r>
        <w:rPr>
          <w:rFonts w:ascii="Times New Roman" w:hAnsi="Times New Roman" w:cs="Times New Roman" w:eastAsia="Times New Roman" w:hint="default"/>
          <w:spacing w:val="-17"/>
        </w:rPr>
        <w:t> </w:t>
      </w:r>
      <w:r>
        <w:rPr/>
        <w:t>月</w:t>
      </w:r>
      <w:r>
        <w:rPr>
          <w:spacing w:val="-18"/>
        </w:rPr>
        <w:t> </w:t>
      </w:r>
      <w:r>
        <w:rPr>
          <w:rFonts w:ascii="Times New Roman" w:hAnsi="Times New Roman" w:cs="Times New Roman" w:eastAsia="Times New Roman" w:hint="default"/>
        </w:rPr>
        <w:t>31 </w:t>
      </w:r>
      <w:r>
        <w:rPr>
          <w:rFonts w:ascii="Times New Roman" w:hAnsi="Times New Roman" w:cs="Times New Roman" w:eastAsia="Times New Roman" w:hint="default"/>
          <w:spacing w:val="-18"/>
        </w:rPr>
        <w:t> </w:t>
      </w:r>
      <w:r>
        <w:rPr/>
        <w:t>日</w:t>
      </w:r>
      <w:r>
        <w:rPr>
          <w:spacing w:val="-82"/>
        </w:rPr>
        <w:t>，</w:t>
      </w:r>
      <w:r>
        <w:rPr>
          <w:spacing w:val="-2"/>
        </w:rPr>
        <w:t>通</w:t>
      </w:r>
      <w:r>
        <w:rPr/>
        <w:t>过股票回购专用证券账户以集中竞价交易方式回购公司股份，</w:t>
      </w:r>
    </w:p>
    <w:p>
      <w:pPr>
        <w:pStyle w:val="BodyText"/>
        <w:spacing w:line="240" w:lineRule="auto" w:before="63"/>
        <w:ind w:right="0"/>
        <w:jc w:val="left"/>
        <w:rPr>
          <w:rFonts w:ascii="Times New Roman" w:hAnsi="Times New Roman" w:cs="Times New Roman" w:eastAsia="Times New Roman" w:hint="default"/>
        </w:rPr>
      </w:pPr>
      <w:r>
        <w:rPr/>
        <w:t>回购股份数量为 </w:t>
      </w:r>
      <w:r>
        <w:rPr>
          <w:rFonts w:ascii="Times New Roman" w:hAnsi="Times New Roman" w:cs="Times New Roman" w:eastAsia="Times New Roman" w:hint="default"/>
        </w:rPr>
        <w:t>999,971 </w:t>
      </w:r>
      <w:r>
        <w:rPr/>
        <w:t>股，占公司已发行总股本的比例为</w:t>
      </w:r>
      <w:r>
        <w:rPr>
          <w:rFonts w:ascii="Times New Roman" w:hAnsi="Times New Roman" w:cs="Times New Roman" w:eastAsia="Times New Roman" w:hint="default"/>
        </w:rPr>
        <w:t>0.16%</w:t>
      </w:r>
      <w:r>
        <w:rPr/>
        <w:t>，其中最高成交价为 </w:t>
      </w:r>
      <w:r>
        <w:rPr>
          <w:rFonts w:ascii="Times New Roman" w:hAnsi="Times New Roman" w:cs="Times New Roman" w:eastAsia="Times New Roman" w:hint="default"/>
        </w:rPr>
        <w:t>4.93 </w:t>
      </w:r>
      <w:r>
        <w:rPr/>
        <w:t>元</w:t>
      </w:r>
      <w:r>
        <w:rPr>
          <w:rFonts w:ascii="Times New Roman" w:hAnsi="Times New Roman" w:cs="Times New Roman" w:eastAsia="Times New Roman" w:hint="default"/>
        </w:rPr>
        <w:t>/</w:t>
      </w:r>
      <w:r>
        <w:rPr/>
        <w:t>股，最低成交价为 </w:t>
      </w:r>
      <w:r>
        <w:rPr>
          <w:rFonts w:ascii="Times New Roman" w:hAnsi="Times New Roman" w:cs="Times New Roman" w:eastAsia="Times New Roman" w:hint="default"/>
        </w:rPr>
        <w:t>4.86</w:t>
      </w:r>
      <w:r>
        <w:rPr>
          <w:rFonts w:ascii="Times New Roman" w:hAnsi="Times New Roman" w:cs="Times New Roman" w:eastAsia="Times New Roman" w:hint="default"/>
          <w:spacing w:val="20"/>
        </w:rPr>
        <w:t> </w:t>
      </w:r>
      <w:r>
        <w:rPr/>
        <w:t>元</w:t>
      </w:r>
      <w:r>
        <w:rPr>
          <w:rFonts w:ascii="Times New Roman" w:hAnsi="Times New Roman" w:cs="Times New Roman" w:eastAsia="Times New Roman" w:hint="default"/>
        </w:rPr>
        <w:t>/</w:t>
      </w:r>
    </w:p>
    <w:p>
      <w:pPr>
        <w:pStyle w:val="BodyText"/>
        <w:spacing w:line="300" w:lineRule="auto" w:before="63"/>
        <w:ind w:right="1032"/>
        <w:jc w:val="left"/>
      </w:pPr>
      <w:r>
        <w:rPr/>
        <w:t>股，合计支付的总金额为 </w:t>
      </w:r>
      <w:r>
        <w:rPr>
          <w:rFonts w:ascii="Times New Roman" w:hAnsi="Times New Roman" w:cs="Times New Roman" w:eastAsia="Times New Roman" w:hint="default"/>
        </w:rPr>
        <w:t>4,898,948.10</w:t>
      </w:r>
      <w:r>
        <w:rPr>
          <w:rFonts w:ascii="Times New Roman" w:hAnsi="Times New Roman" w:cs="Times New Roman" w:eastAsia="Times New Roman" w:hint="default"/>
          <w:spacing w:val="8"/>
        </w:rPr>
        <w:t> </w:t>
      </w:r>
      <w:r>
        <w:rPr/>
        <w:t>元（不含交易费用）。截至公告披露日，通过股票回购专用证券账户以集中竞价交 易方式回购公司股份，回购股份数量为 </w:t>
      </w:r>
      <w:r>
        <w:rPr>
          <w:rFonts w:ascii="Times New Roman" w:hAnsi="Times New Roman" w:cs="Times New Roman" w:eastAsia="Times New Roman" w:hint="default"/>
        </w:rPr>
        <w:t>4,186,652 </w:t>
      </w:r>
      <w:r>
        <w:rPr/>
        <w:t>股，占公司已发行总股本的比例为</w:t>
      </w:r>
      <w:r>
        <w:rPr>
          <w:rFonts w:ascii="Times New Roman" w:hAnsi="Times New Roman" w:cs="Times New Roman" w:eastAsia="Times New Roman" w:hint="default"/>
        </w:rPr>
        <w:t>0.68%</w:t>
      </w:r>
      <w:r>
        <w:rPr/>
        <w:t>，其中最高成交价为</w:t>
      </w:r>
      <w:r>
        <w:rPr>
          <w:spacing w:val="-22"/>
        </w:rPr>
        <w:t> </w:t>
      </w:r>
      <w:r>
        <w:rPr>
          <w:rFonts w:ascii="Times New Roman" w:hAnsi="Times New Roman" w:cs="Times New Roman" w:eastAsia="Times New Roman" w:hint="default"/>
        </w:rPr>
        <w:t>6.51</w:t>
      </w:r>
      <w:r>
        <w:rPr/>
        <w:t>元</w:t>
      </w:r>
      <w:r>
        <w:rPr>
          <w:rFonts w:ascii="Times New Roman" w:hAnsi="Times New Roman" w:cs="Times New Roman" w:eastAsia="Times New Roman" w:hint="default"/>
        </w:rPr>
        <w:t>/</w:t>
      </w:r>
      <w:r>
        <w:rPr/>
        <w:t>股，</w:t>
      </w:r>
      <w:r>
        <w:rPr>
          <w:spacing w:val="1"/>
        </w:rPr>
        <w:t> </w:t>
      </w:r>
      <w:r>
        <w:rPr/>
        <w:t>最低成交价为 </w:t>
      </w:r>
      <w:r>
        <w:rPr>
          <w:rFonts w:ascii="Times New Roman" w:hAnsi="Times New Roman" w:cs="Times New Roman" w:eastAsia="Times New Roman" w:hint="default"/>
        </w:rPr>
        <w:t>4.76  </w:t>
      </w:r>
      <w:r>
        <w:rPr/>
        <w:t>元</w:t>
      </w:r>
      <w:r>
        <w:rPr>
          <w:rFonts w:ascii="Times New Roman" w:hAnsi="Times New Roman" w:cs="Times New Roman" w:eastAsia="Times New Roman" w:hint="default"/>
        </w:rPr>
        <w:t>/</w:t>
      </w:r>
      <w:r>
        <w:rPr/>
        <w:t>股，合计支付的总金额为</w:t>
      </w:r>
      <w:r>
        <w:rPr>
          <w:spacing w:val="-62"/>
        </w:rPr>
        <w:t> </w:t>
      </w:r>
      <w:r>
        <w:rPr>
          <w:rFonts w:ascii="Times New Roman" w:hAnsi="Times New Roman" w:cs="Times New Roman" w:eastAsia="Times New Roman" w:hint="default"/>
        </w:rPr>
        <w:t>21,736,700.11</w:t>
      </w:r>
      <w:r>
        <w:rPr/>
        <w:t>元（不含交易费用）。</w:t>
      </w:r>
    </w:p>
    <w:p>
      <w:pPr>
        <w:spacing w:line="240" w:lineRule="auto" w:before="0"/>
        <w:rPr>
          <w:rFonts w:ascii="宋体" w:hAnsi="宋体" w:cs="宋体" w:eastAsia="宋体" w:hint="default"/>
          <w:sz w:val="18"/>
          <w:szCs w:val="18"/>
        </w:rPr>
      </w:pPr>
    </w:p>
    <w:p>
      <w:pPr>
        <w:pStyle w:val="BodyText"/>
        <w:spacing w:line="240" w:lineRule="auto" w:before="130"/>
        <w:ind w:right="0"/>
        <w:jc w:val="left"/>
      </w:pPr>
      <w:r>
        <w:rPr/>
        <w:t>采用集中竞价方式减持回购股份的实施进展情况</w:t>
      </w:r>
    </w:p>
    <w:p>
      <w:pPr>
        <w:pStyle w:val="BodyText"/>
        <w:spacing w:line="338" w:lineRule="auto" w:before="117"/>
        <w:ind w:right="13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股份变动对最近一年和最近一期基本每股收益和稀释每股收益、归属于公司普通股股东的每股净资产等财务指标的影响</w:t>
      </w:r>
    </w:p>
    <w:p>
      <w:pPr>
        <w:pStyle w:val="BodyText"/>
        <w:spacing w:line="319" w:lineRule="auto" w:before="42"/>
        <w:ind w:right="12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按股本</w:t>
      </w:r>
      <w:r>
        <w:rPr>
          <w:rFonts w:ascii="Times New Roman" w:hAnsi="Times New Roman" w:cs="Times New Roman" w:eastAsia="Times New Roman" w:hint="default"/>
        </w:rPr>
        <w:t>619,214,834</w:t>
      </w:r>
      <w:r>
        <w:rPr/>
        <w:t>股计算，公司</w:t>
      </w:r>
      <w:r>
        <w:rPr>
          <w:rFonts w:ascii="Times New Roman" w:hAnsi="Times New Roman" w:cs="Times New Roman" w:eastAsia="Times New Roman" w:hint="default"/>
        </w:rPr>
        <w:t>2018</w:t>
      </w:r>
      <w:r>
        <w:rPr/>
        <w:t>年度基本每股收益</w:t>
      </w:r>
      <w:r>
        <w:rPr>
          <w:rFonts w:ascii="Times New Roman" w:hAnsi="Times New Roman" w:cs="Times New Roman" w:eastAsia="Times New Roman" w:hint="default"/>
        </w:rPr>
        <w:t>0.29</w:t>
      </w:r>
      <w:r>
        <w:rPr/>
        <w:t>元</w:t>
      </w:r>
      <w:r>
        <w:rPr>
          <w:rFonts w:ascii="Times New Roman" w:hAnsi="Times New Roman" w:cs="Times New Roman" w:eastAsia="Times New Roman" w:hint="default"/>
        </w:rPr>
        <w:t>/</w:t>
      </w:r>
      <w:r>
        <w:rPr/>
        <w:t>股、稀释每股收益</w:t>
      </w:r>
      <w:r>
        <w:rPr>
          <w:rFonts w:ascii="Times New Roman" w:hAnsi="Times New Roman" w:cs="Times New Roman" w:eastAsia="Times New Roman" w:hint="default"/>
        </w:rPr>
        <w:t>0.29</w:t>
      </w:r>
      <w:r>
        <w:rPr/>
        <w:t>元</w:t>
      </w:r>
      <w:r>
        <w:rPr>
          <w:rFonts w:ascii="Times New Roman" w:hAnsi="Times New Roman" w:cs="Times New Roman" w:eastAsia="Times New Roman" w:hint="default"/>
        </w:rPr>
        <w:t>/</w:t>
      </w:r>
      <w:r>
        <w:rPr/>
        <w:t>股、归属于公司普通股股东的每股 净资产</w:t>
      </w:r>
      <w:r>
        <w:rPr>
          <w:rFonts w:ascii="Times New Roman" w:hAnsi="Times New Roman" w:cs="Times New Roman" w:eastAsia="Times New Roman" w:hint="default"/>
        </w:rPr>
        <w:t>2.05</w:t>
      </w:r>
      <w:r>
        <w:rPr/>
        <w:t>元。</w:t>
      </w:r>
    </w:p>
    <w:p>
      <w:pPr>
        <w:pStyle w:val="BodyText"/>
        <w:spacing w:line="240" w:lineRule="auto" w:before="38"/>
        <w:ind w:right="0"/>
        <w:jc w:val="left"/>
      </w:pPr>
      <w:r>
        <w:rPr/>
        <w:t>公司认为必要或证券监管机构要求披露的其他内容</w:t>
      </w:r>
    </w:p>
    <w:p>
      <w:pPr>
        <w:pStyle w:val="BodyText"/>
        <w:spacing w:line="240" w:lineRule="auto" w:before="116"/>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bookmarkStart w:name="2、限售股份变动情况" w:id="110"/>
      <w:bookmarkEnd w:id="110"/>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单位：股</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88" w:right="47" w:hanging="540"/>
              <w:jc w:val="left"/>
              <w:rPr>
                <w:rFonts w:ascii="宋体" w:hAnsi="宋体" w:cs="宋体" w:eastAsia="宋体" w:hint="default"/>
                <w:sz w:val="18"/>
                <w:szCs w:val="18"/>
              </w:rPr>
            </w:pPr>
            <w:r>
              <w:rPr>
                <w:rFonts w:ascii="宋体" w:hAnsi="宋体" w:cs="宋体" w:eastAsia="宋体" w:hint="default"/>
                <w:sz w:val="18"/>
                <w:szCs w:val="18"/>
              </w:rPr>
              <w:t>本期解除限售股 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87" w:right="47"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1338"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深圳市晨钟资产 管理有限责任公 司－晨钟报晓</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号基金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1,712,328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1,712,328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72"/>
              <w:jc w:val="left"/>
              <w:rPr>
                <w:rFonts w:ascii="宋体" w:hAnsi="宋体" w:cs="宋体" w:eastAsia="宋体" w:hint="default"/>
                <w:sz w:val="18"/>
                <w:szCs w:val="18"/>
              </w:rPr>
            </w:pPr>
            <w:r>
              <w:rPr>
                <w:rFonts w:ascii="宋体" w:hAnsi="宋体" w:cs="宋体" w:eastAsia="宋体" w:hint="default"/>
                <w:sz w:val="18"/>
                <w:szCs w:val="18"/>
              </w:rPr>
              <w:t>首发后个人类限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799,087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799,087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299"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托计划</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342,465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342,465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号单一资金信 托</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信托－融耀定增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2,054,794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2,054,794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96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中融基金－平安 银行－中融国际 信托－中融信托</w:t>
            </w:r>
          </w:p>
          <w:p>
            <w:pPr>
              <w:pStyle w:val="TableParagraph"/>
              <w:spacing w:line="309" w:lineRule="auto" w:before="19"/>
              <w:ind w:left="22" w:right="23"/>
              <w:jc w:val="both"/>
              <w:rPr>
                <w:rFonts w:ascii="宋体" w:hAnsi="宋体" w:cs="宋体" w:eastAsia="宋体" w:hint="default"/>
                <w:sz w:val="18"/>
                <w:szCs w:val="18"/>
              </w:rPr>
            </w:pPr>
            <w:r>
              <w:rPr>
                <w:rFonts w:ascii="宋体" w:hAnsi="宋体" w:cs="宋体" w:eastAsia="宋体" w:hint="default"/>
                <w:sz w:val="18"/>
                <w:szCs w:val="18"/>
              </w:rPr>
              <w:t>－融耀定增</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号 集合资金信托计 划</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456,621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西藏泓涵股权投 资管理有限公司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1,712,328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1,712,328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鹏华资产－浦发 银行－华宝信托</w:t>
            </w:r>
          </w:p>
          <w:p>
            <w:pPr>
              <w:pStyle w:val="TableParagraph"/>
              <w:spacing w:line="309" w:lineRule="auto" w:before="19"/>
              <w:ind w:left="22" w:right="30"/>
              <w:jc w:val="both"/>
              <w:rPr>
                <w:rFonts w:ascii="宋体" w:hAnsi="宋体" w:cs="宋体" w:eastAsia="宋体" w:hint="default"/>
                <w:sz w:val="18"/>
                <w:szCs w:val="18"/>
              </w:rPr>
            </w:pPr>
            <w:r>
              <w:rPr>
                <w:rFonts w:ascii="宋体" w:hAnsi="宋体" w:cs="宋体" w:eastAsia="宋体" w:hint="default"/>
                <w:sz w:val="18"/>
                <w:szCs w:val="18"/>
              </w:rPr>
              <w:t>－华宝－银河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 </w:t>
            </w:r>
            <w:r>
              <w:rPr>
                <w:rFonts w:ascii="宋体" w:hAnsi="宋体" w:cs="宋体" w:eastAsia="宋体" w:hint="default"/>
                <w:sz w:val="18"/>
                <w:szCs w:val="18"/>
              </w:rPr>
              <w:t>号集合资金信托 计划</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3,424,657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3,424,657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山东省国有资产 投资控股有限公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2,123,438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2,123,438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李辉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2,853,881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2,853,881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首发后个人类限 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96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18,399,999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4,599,999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16,800,000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56"/>
              <w:ind w:left="22" w:right="29"/>
              <w:jc w:val="both"/>
              <w:rPr>
                <w:rFonts w:ascii="宋体" w:hAnsi="宋体" w:cs="宋体" w:eastAsia="宋体" w:hint="default"/>
                <w:sz w:val="18"/>
                <w:szCs w:val="18"/>
              </w:rPr>
            </w:pPr>
            <w:r>
              <w:rPr>
                <w:rFonts w:ascii="宋体" w:hAnsi="宋体" w:cs="宋体" w:eastAsia="宋体" w:hint="default"/>
                <w:sz w:val="18"/>
                <w:szCs w:val="18"/>
              </w:rPr>
              <w:t>首发后个人类限 售股、</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 制性股票激励计 划限售股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314" w:lineRule="auto" w:before="61"/>
              <w:ind w:left="22" w:right="29"/>
              <w:jc w:val="both"/>
              <w:rPr>
                <w:rFonts w:ascii="宋体" w:hAnsi="宋体" w:cs="宋体" w:eastAsia="宋体" w:hint="default"/>
                <w:sz w:val="18"/>
                <w:szCs w:val="18"/>
              </w:rPr>
            </w:pPr>
            <w:r>
              <w:rPr>
                <w:rFonts w:ascii="宋体" w:hAnsi="宋体" w:cs="宋体" w:eastAsia="宋体" w:hint="default"/>
                <w:sz w:val="18"/>
                <w:szCs w:val="18"/>
              </w:rPr>
              <w:t>日、自授予日起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1,550,000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5,240,000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首发后个人类限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1611"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10"/>
              <w:ind w:left="22" w:right="29"/>
              <w:jc w:val="both"/>
              <w:rPr>
                <w:rFonts w:ascii="宋体" w:hAnsi="宋体" w:cs="宋体" w:eastAsia="宋体" w:hint="default"/>
                <w:sz w:val="18"/>
                <w:szCs w:val="18"/>
              </w:rPr>
            </w:pPr>
            <w:r>
              <w:rPr>
                <w:rFonts w:ascii="宋体" w:hAnsi="宋体" w:cs="宋体" w:eastAsia="宋体" w:hint="default"/>
                <w:sz w:val="18"/>
                <w:szCs w:val="18"/>
              </w:rPr>
              <w:t>售股、</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 制性股票激励计 划限售股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22" w:right="29"/>
              <w:jc w:val="both"/>
              <w:rPr>
                <w:rFonts w:ascii="宋体" w:hAnsi="宋体" w:cs="宋体" w:eastAsia="宋体" w:hint="default"/>
                <w:sz w:val="18"/>
                <w:szCs w:val="18"/>
              </w:rPr>
            </w:pPr>
            <w:r>
              <w:rPr>
                <w:rFonts w:ascii="宋体" w:hAnsi="宋体" w:cs="宋体" w:eastAsia="宋体" w:hint="default"/>
                <w:sz w:val="18"/>
                <w:szCs w:val="18"/>
              </w:rPr>
              <w:t>日、自授予日起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郭卫华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6,027,964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6,027,964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0"/>
              <w:jc w:val="both"/>
              <w:rPr>
                <w:rFonts w:ascii="Times New Roman" w:hAnsi="Times New Roman" w:cs="Times New Roman" w:eastAsia="Times New Roman" w:hint="default"/>
                <w:sz w:val="18"/>
                <w:szCs w:val="18"/>
              </w:rPr>
            </w:pPr>
            <w:r>
              <w:rPr>
                <w:rFonts w:ascii="宋体" w:hAnsi="宋体" w:cs="宋体" w:eastAsia="宋体" w:hint="default"/>
                <w:sz w:val="18"/>
                <w:szCs w:val="18"/>
              </w:rPr>
              <w:t>离任董监高职务 已满六个月未满 </w:t>
            </w:r>
            <w:r>
              <w:rPr>
                <w:rFonts w:ascii="Times New Roman" w:hAnsi="Times New Roman" w:cs="Times New Roman" w:eastAsia="Times New Roman" w:hint="default"/>
                <w:sz w:val="18"/>
                <w:szCs w:val="18"/>
              </w:rPr>
              <w:t>18 </w:t>
            </w:r>
            <w:r>
              <w:rPr>
                <w:rFonts w:ascii="宋体" w:hAnsi="宋体" w:cs="宋体" w:eastAsia="宋体" w:hint="default"/>
                <w:sz w:val="18"/>
                <w:szCs w:val="18"/>
              </w:rPr>
              <w:t>个月锁定</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715,624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9,600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725,224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5,397,815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75,000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5,472,815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127,100,972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1,266,525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128,367,497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担任董监高锁定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59"/>
              <w:jc w:val="both"/>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894,136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72,886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22,875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844,125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 解锁</w:t>
            </w:r>
          </w:p>
        </w:tc>
      </w:tr>
      <w:tr>
        <w:trPr>
          <w:trHeight w:val="2235"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1,648,305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1,513,305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312" w:lineRule="auto"/>
              <w:ind w:left="22" w:right="29"/>
              <w:jc w:val="left"/>
              <w:rPr>
                <w:rFonts w:ascii="宋体" w:hAnsi="宋体" w:cs="宋体" w:eastAsia="宋体" w:hint="default"/>
                <w:sz w:val="18"/>
                <w:szCs w:val="18"/>
              </w:rPr>
            </w:pPr>
            <w:r>
              <w:rPr>
                <w:rFonts w:ascii="宋体" w:hAnsi="宋体" w:cs="宋体" w:eastAsia="宋体" w:hint="default"/>
                <w:sz w:val="18"/>
                <w:szCs w:val="18"/>
              </w:rPr>
              <w:t>担任董监高锁 定、</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任职期间每年按 其上年末持股数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售、自授予日起 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期根据每期的解 锁条件达成情况</w:t>
            </w:r>
          </w:p>
        </w:tc>
      </w:tr>
    </w:tbl>
    <w:p>
      <w:pPr>
        <w:spacing w:after="0" w:line="312"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解锁</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3,067,200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1,619,100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5,858,100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9"/>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年限制性股 票激励计划限售 股、</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 性股票激励计划 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自授予日起满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309" w:lineRule="auto" w:before="61"/>
              <w:ind w:left="22" w:right="71"/>
              <w:jc w:val="both"/>
              <w:rPr>
                <w:rFonts w:ascii="宋体" w:hAnsi="宋体" w:cs="宋体" w:eastAsia="宋体" w:hint="default"/>
                <w:sz w:val="18"/>
                <w:szCs w:val="18"/>
              </w:rPr>
            </w:pPr>
            <w:r>
              <w:rPr>
                <w:rFonts w:ascii="宋体" w:hAnsi="宋体" w:cs="宋体" w:eastAsia="宋体" w:hint="default"/>
                <w:sz w:val="18"/>
                <w:szCs w:val="18"/>
              </w:rPr>
              <w:t>个月后分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期根</w:t>
            </w:r>
            <w:r>
              <w:rPr>
                <w:rFonts w:ascii="宋体" w:hAnsi="宋体" w:cs="宋体" w:eastAsia="宋体" w:hint="default"/>
                <w:spacing w:val="1"/>
                <w:sz w:val="18"/>
                <w:szCs w:val="18"/>
              </w:rPr>
              <w:t> </w:t>
            </w:r>
            <w:r>
              <w:rPr>
                <w:rFonts w:ascii="宋体" w:hAnsi="宋体" w:cs="宋体" w:eastAsia="宋体" w:hint="default"/>
                <w:sz w:val="18"/>
                <w:szCs w:val="18"/>
              </w:rPr>
              <w:t>据每期的解锁条</w:t>
            </w:r>
            <w:r>
              <w:rPr>
                <w:rFonts w:ascii="宋体" w:hAnsi="宋体" w:cs="宋体" w:eastAsia="宋体" w:hint="default"/>
                <w:sz w:val="18"/>
                <w:szCs w:val="18"/>
              </w:rPr>
              <w:t> 件达成情况解锁</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185,844,856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30,397,790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9,374,000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164,821,066</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2"/>
        <w:spacing w:line="240" w:lineRule="auto" w:before="155"/>
        <w:ind w:right="0"/>
        <w:jc w:val="left"/>
        <w:rPr>
          <w:b w:val="0"/>
          <w:bCs w:val="0"/>
        </w:rPr>
      </w:pPr>
      <w:bookmarkStart w:name="二、证券发行与上市情况" w:id="111"/>
      <w:bookmarkEnd w:id="111"/>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报告期内证券发行（不含优先股）情况" w:id="112"/>
      <w:bookmarkEnd w:id="112"/>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bookmarkStart w:name="2、公司股份总数及股东结构的变动、公司资产和负债结构的变动情况说明" w:id="113"/>
      <w:bookmarkEnd w:id="113"/>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left="514" w:right="1167"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报告期内，公司完成</w:t>
      </w:r>
      <w:r>
        <w:rPr>
          <w:rFonts w:ascii="Times New Roman" w:hAnsi="Times New Roman" w:cs="Times New Roman" w:eastAsia="Times New Roman" w:hint="default"/>
        </w:rPr>
        <w:t>2016</w:t>
      </w:r>
      <w:r>
        <w:rPr/>
        <w:t>年限制性股票激励计划相关离职的股权激励对象的</w:t>
      </w:r>
      <w:r>
        <w:rPr>
          <w:rFonts w:ascii="Times New Roman" w:hAnsi="Times New Roman" w:cs="Times New Roman" w:eastAsia="Times New Roman" w:hint="default"/>
        </w:rPr>
        <w:t>171,000</w:t>
      </w:r>
      <w:r>
        <w:rPr/>
        <w:t>股的注销，完成</w:t>
      </w:r>
      <w:r>
        <w:rPr>
          <w:rFonts w:ascii="Times New Roman" w:hAnsi="Times New Roman" w:cs="Times New Roman" w:eastAsia="Times New Roman" w:hint="default"/>
        </w:rPr>
        <w:t>2018</w:t>
      </w:r>
      <w:r>
        <w:rPr/>
        <w:t>年限制性股票</w:t>
      </w:r>
    </w:p>
    <w:p>
      <w:pPr>
        <w:pStyle w:val="BodyText"/>
        <w:spacing w:line="230" w:lineRule="exact"/>
        <w:ind w:right="0"/>
        <w:jc w:val="left"/>
      </w:pPr>
      <w:r>
        <w:rPr/>
        <w:t>激励计划激励对象的</w:t>
      </w:r>
      <w:r>
        <w:rPr>
          <w:rFonts w:ascii="Times New Roman" w:hAnsi="Times New Roman" w:cs="Times New Roman" w:eastAsia="Times New Roman" w:hint="default"/>
        </w:rPr>
        <w:t>8,000,000</w:t>
      </w:r>
      <w:r>
        <w:rPr/>
        <w:t>股首次授予登记。</w:t>
      </w:r>
    </w:p>
    <w:p>
      <w:pPr>
        <w:spacing w:line="240" w:lineRule="auto" w:before="12"/>
        <w:rPr>
          <w:rFonts w:ascii="宋体" w:hAnsi="宋体" w:cs="宋体" w:eastAsia="宋体" w:hint="default"/>
          <w:sz w:val="25"/>
          <w:szCs w:val="25"/>
        </w:rPr>
      </w:pPr>
    </w:p>
    <w:p>
      <w:pPr>
        <w:pStyle w:val="Heading4"/>
        <w:spacing w:line="240" w:lineRule="auto"/>
        <w:ind w:right="0"/>
        <w:jc w:val="left"/>
        <w:rPr>
          <w:b w:val="0"/>
          <w:bCs w:val="0"/>
        </w:rPr>
      </w:pPr>
      <w:bookmarkStart w:name="3、现存的内部职工股情况" w:id="114"/>
      <w:bookmarkEnd w:id="114"/>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三、股东和实际控制人情况" w:id="115"/>
      <w:bookmarkEnd w:id="115"/>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公司股东数量及持股情况" w:id="116"/>
      <w:bookmarkEnd w:id="116"/>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单位：股</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702"/>
        <w:gridCol w:w="701"/>
        <w:gridCol w:w="478"/>
        <w:gridCol w:w="788"/>
        <w:gridCol w:w="430"/>
        <w:gridCol w:w="578"/>
        <w:gridCol w:w="117"/>
        <w:gridCol w:w="875"/>
        <w:gridCol w:w="839"/>
        <w:gridCol w:w="154"/>
        <w:gridCol w:w="524"/>
        <w:gridCol w:w="467"/>
        <w:gridCol w:w="992"/>
        <w:gridCol w:w="272"/>
        <w:gridCol w:w="648"/>
      </w:tblGrid>
      <w:tr>
        <w:trPr>
          <w:trHeight w:val="162" w:hRule="exact"/>
        </w:trPr>
        <w:tc>
          <w:tcPr>
            <w:tcW w:w="1702" w:type="dxa"/>
            <w:vMerge w:val="restart"/>
            <w:tcBorders>
              <w:top w:val="single" w:sz="4" w:space="0" w:color="000000"/>
              <w:left w:val="single" w:sz="4" w:space="0" w:color="000000"/>
              <w:right w:val="single" w:sz="4" w:space="0" w:color="000000"/>
            </w:tcBorders>
            <w:shd w:val="clear" w:color="auto" w:fill="D2D2D2"/>
          </w:tcPr>
          <w:p>
            <w:pPr/>
          </w:p>
        </w:tc>
        <w:tc>
          <w:tcPr>
            <w:tcW w:w="701" w:type="dxa"/>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31,842</w:t>
            </w:r>
          </w:p>
        </w:tc>
        <w:tc>
          <w:tcPr>
            <w:tcW w:w="1697"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695" w:type="dxa"/>
            <w:gridSpan w:val="2"/>
            <w:vMerge w:val="restart"/>
            <w:tcBorders>
              <w:top w:val="single" w:sz="4" w:space="0" w:color="000000"/>
              <w:left w:val="single" w:sz="10"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37,757</w:t>
            </w:r>
          </w:p>
        </w:tc>
        <w:tc>
          <w:tcPr>
            <w:tcW w:w="1715"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78" w:type="dxa"/>
            <w:gridSpan w:val="2"/>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73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11" w:right="89"/>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优先股股东总数（如 </w:t>
            </w:r>
            <w:r>
              <w:rPr>
                <w:rFonts w:ascii="宋体" w:hAnsi="宋体" w:cs="宋体" w:eastAsia="宋体" w:hint="default"/>
                <w:spacing w:val="-15"/>
                <w:sz w:val="18"/>
                <w:szCs w:val="18"/>
              </w:rPr>
              <w:t>有）（参见注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648" w:type="dxa"/>
            <w:vMerge w:val="restart"/>
            <w:tcBorders>
              <w:top w:val="single" w:sz="4" w:space="0" w:color="000000"/>
              <w:left w:val="single" w:sz="13"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56" w:hRule="exact"/>
        </w:trPr>
        <w:tc>
          <w:tcPr>
            <w:tcW w:w="1702" w:type="dxa"/>
            <w:vMerge/>
            <w:tcBorders>
              <w:left w:val="single" w:sz="4" w:space="0" w:color="000000"/>
              <w:bottom w:val="nil" w:sz="6" w:space="0" w:color="auto"/>
              <w:right w:val="single" w:sz="4" w:space="0" w:color="000000"/>
            </w:tcBorders>
            <w:shd w:val="clear" w:color="auto" w:fill="D2D2D2"/>
          </w:tcPr>
          <w:p>
            <w:pPr/>
          </w:p>
        </w:tc>
        <w:tc>
          <w:tcPr>
            <w:tcW w:w="701" w:type="dxa"/>
            <w:vMerge/>
            <w:tcBorders>
              <w:left w:val="single" w:sz="9" w:space="0" w:color="D2D2D2"/>
              <w:right w:val="single" w:sz="9" w:space="0" w:color="D2D2D2"/>
            </w:tcBorders>
          </w:tcPr>
          <w:p>
            <w:pPr/>
          </w:p>
        </w:tc>
        <w:tc>
          <w:tcPr>
            <w:tcW w:w="1697" w:type="dxa"/>
            <w:gridSpan w:val="3"/>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1" w:right="53"/>
              <w:jc w:val="both"/>
              <w:rPr>
                <w:rFonts w:ascii="宋体" w:hAnsi="宋体" w:cs="宋体" w:eastAsia="宋体" w:hint="default"/>
                <w:sz w:val="18"/>
                <w:szCs w:val="18"/>
              </w:rPr>
            </w:pPr>
            <w:r>
              <w:rPr>
                <w:rFonts w:ascii="宋体" w:hAnsi="宋体" w:cs="宋体" w:eastAsia="宋体" w:hint="default"/>
                <w:sz w:val="18"/>
                <w:szCs w:val="18"/>
              </w:rPr>
              <w:t>年度报告披露日前上 一月末普通股股东总 数</w:t>
            </w:r>
          </w:p>
        </w:tc>
        <w:tc>
          <w:tcPr>
            <w:tcW w:w="695" w:type="dxa"/>
            <w:gridSpan w:val="2"/>
            <w:vMerge/>
            <w:tcBorders>
              <w:left w:val="single" w:sz="10" w:space="0" w:color="D2D2D2"/>
              <w:right w:val="single" w:sz="9" w:space="0" w:color="D2D2D2"/>
            </w:tcBorders>
          </w:tcPr>
          <w:p>
            <w:pPr/>
          </w:p>
        </w:tc>
        <w:tc>
          <w:tcPr>
            <w:tcW w:w="1715"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1" w:right="71"/>
              <w:jc w:val="left"/>
              <w:rPr>
                <w:rFonts w:ascii="宋体" w:hAnsi="宋体" w:cs="宋体" w:eastAsia="宋体" w:hint="default"/>
                <w:sz w:val="18"/>
                <w:szCs w:val="18"/>
              </w:rPr>
            </w:pPr>
            <w:r>
              <w:rPr>
                <w:rFonts w:ascii="宋体" w:hAnsi="宋体" w:cs="宋体" w:eastAsia="宋体" w:hint="default"/>
                <w:sz w:val="18"/>
                <w:szCs w:val="18"/>
              </w:rPr>
              <w:t>报告期末表决权恢复 的优先股股东总数</w:t>
            </w:r>
          </w:p>
          <w:p>
            <w:pPr>
              <w:pStyle w:val="TableParagraph"/>
              <w:spacing w:line="240" w:lineRule="auto" w:before="20"/>
              <w:ind w:left="11" w:right="0"/>
              <w:jc w:val="left"/>
              <w:rPr>
                <w:rFonts w:ascii="宋体" w:hAnsi="宋体" w:cs="宋体" w:eastAsia="宋体" w:hint="default"/>
                <w:sz w:val="18"/>
                <w:szCs w:val="18"/>
              </w:rPr>
            </w:pPr>
            <w:r>
              <w:rPr>
                <w:rFonts w:ascii="宋体" w:hAnsi="宋体" w:cs="宋体" w:eastAsia="宋体" w:hint="default"/>
                <w:sz w:val="18"/>
                <w:szCs w:val="18"/>
              </w:rPr>
              <w:t>（如有</w:t>
            </w:r>
            <w:r>
              <w:rPr>
                <w:rFonts w:ascii="宋体" w:hAnsi="宋体" w:cs="宋体" w:eastAsia="宋体" w:hint="default"/>
                <w:spacing w:val="-90"/>
                <w:sz w:val="18"/>
                <w:szCs w:val="18"/>
              </w:rPr>
              <w:t>）</w:t>
            </w: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678" w:type="dxa"/>
            <w:gridSpan w:val="2"/>
            <w:vMerge/>
            <w:tcBorders>
              <w:left w:val="single" w:sz="9" w:space="0" w:color="D2D2D2"/>
              <w:right w:val="single" w:sz="9" w:space="0" w:color="D2D2D2"/>
            </w:tcBorders>
          </w:tcPr>
          <w:p>
            <w:pPr/>
          </w:p>
        </w:tc>
        <w:tc>
          <w:tcPr>
            <w:tcW w:w="1732" w:type="dxa"/>
            <w:gridSpan w:val="3"/>
            <w:vMerge/>
            <w:tcBorders>
              <w:left w:val="single" w:sz="4" w:space="0" w:color="000000"/>
              <w:right w:val="single" w:sz="4" w:space="0" w:color="000000"/>
            </w:tcBorders>
            <w:shd w:val="clear" w:color="auto" w:fill="D2D2D2"/>
          </w:tcPr>
          <w:p>
            <w:pPr/>
          </w:p>
        </w:tc>
        <w:tc>
          <w:tcPr>
            <w:tcW w:w="648" w:type="dxa"/>
            <w:vMerge/>
            <w:tcBorders>
              <w:left w:val="single" w:sz="13" w:space="0" w:color="D2D2D2"/>
              <w:right w:val="single" w:sz="4" w:space="0" w:color="000000"/>
            </w:tcBorders>
          </w:tcPr>
          <w:p>
            <w:pPr/>
          </w:p>
        </w:tc>
      </w:tr>
      <w:tr>
        <w:trPr>
          <w:trHeight w:val="703" w:hRule="exact"/>
        </w:trPr>
        <w:tc>
          <w:tcPr>
            <w:tcW w:w="17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47"/>
              <w:jc w:val="left"/>
              <w:rPr>
                <w:rFonts w:ascii="宋体" w:hAnsi="宋体" w:cs="宋体" w:eastAsia="宋体" w:hint="default"/>
                <w:sz w:val="18"/>
                <w:szCs w:val="18"/>
              </w:rPr>
            </w:pPr>
            <w:r>
              <w:rPr>
                <w:rFonts w:ascii="宋体" w:hAnsi="宋体" w:cs="宋体" w:eastAsia="宋体" w:hint="default"/>
                <w:sz w:val="18"/>
                <w:szCs w:val="18"/>
              </w:rPr>
              <w:t>报告期末普通股股东 总数</w:t>
            </w:r>
          </w:p>
        </w:tc>
        <w:tc>
          <w:tcPr>
            <w:tcW w:w="701" w:type="dxa"/>
            <w:vMerge/>
            <w:tcBorders>
              <w:left w:val="single" w:sz="9" w:space="0" w:color="D2D2D2"/>
              <w:right w:val="single" w:sz="9" w:space="0" w:color="D2D2D2"/>
            </w:tcBorders>
          </w:tcPr>
          <w:p>
            <w:pPr/>
          </w:p>
        </w:tc>
        <w:tc>
          <w:tcPr>
            <w:tcW w:w="1697" w:type="dxa"/>
            <w:gridSpan w:val="3"/>
            <w:vMerge/>
            <w:tcBorders>
              <w:left w:val="single" w:sz="4" w:space="0" w:color="000000"/>
              <w:right w:val="single" w:sz="4" w:space="0" w:color="000000"/>
            </w:tcBorders>
            <w:shd w:val="clear" w:color="auto" w:fill="D2D2D2"/>
          </w:tcPr>
          <w:p>
            <w:pPr/>
          </w:p>
        </w:tc>
        <w:tc>
          <w:tcPr>
            <w:tcW w:w="695" w:type="dxa"/>
            <w:gridSpan w:val="2"/>
            <w:vMerge/>
            <w:tcBorders>
              <w:left w:val="single" w:sz="10" w:space="0" w:color="D2D2D2"/>
              <w:right w:val="single" w:sz="9" w:space="0" w:color="D2D2D2"/>
            </w:tcBorders>
          </w:tcPr>
          <w:p>
            <w:pPr/>
          </w:p>
        </w:tc>
        <w:tc>
          <w:tcPr>
            <w:tcW w:w="1715" w:type="dxa"/>
            <w:gridSpan w:val="2"/>
            <w:vMerge/>
            <w:tcBorders>
              <w:left w:val="single" w:sz="4" w:space="0" w:color="000000"/>
              <w:right w:val="single" w:sz="4" w:space="0" w:color="000000"/>
            </w:tcBorders>
            <w:shd w:val="clear" w:color="auto" w:fill="D2D2D2"/>
          </w:tcPr>
          <w:p>
            <w:pPr/>
          </w:p>
        </w:tc>
        <w:tc>
          <w:tcPr>
            <w:tcW w:w="678" w:type="dxa"/>
            <w:gridSpan w:val="2"/>
            <w:vMerge/>
            <w:tcBorders>
              <w:left w:val="single" w:sz="9" w:space="0" w:color="D2D2D2"/>
              <w:right w:val="single" w:sz="9" w:space="0" w:color="D2D2D2"/>
            </w:tcBorders>
          </w:tcPr>
          <w:p>
            <w:pPr/>
          </w:p>
        </w:tc>
        <w:tc>
          <w:tcPr>
            <w:tcW w:w="1732" w:type="dxa"/>
            <w:gridSpan w:val="3"/>
            <w:vMerge/>
            <w:tcBorders>
              <w:left w:val="single" w:sz="4" w:space="0" w:color="000000"/>
              <w:right w:val="single" w:sz="4" w:space="0" w:color="000000"/>
            </w:tcBorders>
            <w:shd w:val="clear" w:color="auto" w:fill="D2D2D2"/>
          </w:tcPr>
          <w:p>
            <w:pPr/>
          </w:p>
        </w:tc>
        <w:tc>
          <w:tcPr>
            <w:tcW w:w="648" w:type="dxa"/>
            <w:vMerge/>
            <w:tcBorders>
              <w:left w:val="single" w:sz="13" w:space="0" w:color="D2D2D2"/>
              <w:right w:val="single" w:sz="4" w:space="0" w:color="000000"/>
            </w:tcBorders>
          </w:tcPr>
          <w:p>
            <w:pPr/>
          </w:p>
        </w:tc>
      </w:tr>
      <w:tr>
        <w:trPr>
          <w:trHeight w:val="156" w:hRule="exact"/>
        </w:trPr>
        <w:tc>
          <w:tcPr>
            <w:tcW w:w="1702" w:type="dxa"/>
            <w:vMerge w:val="restart"/>
            <w:tcBorders>
              <w:top w:val="nil" w:sz="6" w:space="0" w:color="auto"/>
              <w:left w:val="single" w:sz="4" w:space="0" w:color="000000"/>
              <w:right w:val="single" w:sz="4" w:space="0" w:color="000000"/>
            </w:tcBorders>
            <w:shd w:val="clear" w:color="auto" w:fill="D2D2D2"/>
          </w:tcPr>
          <w:p>
            <w:pPr/>
          </w:p>
        </w:tc>
        <w:tc>
          <w:tcPr>
            <w:tcW w:w="701" w:type="dxa"/>
            <w:vMerge/>
            <w:tcBorders>
              <w:left w:val="single" w:sz="9" w:space="0" w:color="D2D2D2"/>
              <w:right w:val="single" w:sz="9" w:space="0" w:color="D2D2D2"/>
            </w:tcBorders>
          </w:tcPr>
          <w:p>
            <w:pPr/>
          </w:p>
        </w:tc>
        <w:tc>
          <w:tcPr>
            <w:tcW w:w="1697" w:type="dxa"/>
            <w:gridSpan w:val="3"/>
            <w:vMerge/>
            <w:tcBorders>
              <w:left w:val="single" w:sz="4" w:space="0" w:color="000000"/>
              <w:bottom w:val="nil" w:sz="6" w:space="0" w:color="auto"/>
              <w:right w:val="single" w:sz="4" w:space="0" w:color="000000"/>
            </w:tcBorders>
            <w:shd w:val="clear" w:color="auto" w:fill="D2D2D2"/>
          </w:tcPr>
          <w:p>
            <w:pPr/>
          </w:p>
        </w:tc>
        <w:tc>
          <w:tcPr>
            <w:tcW w:w="695" w:type="dxa"/>
            <w:gridSpan w:val="2"/>
            <w:vMerge/>
            <w:tcBorders>
              <w:left w:val="single" w:sz="10" w:space="0" w:color="D2D2D2"/>
              <w:right w:val="single" w:sz="9" w:space="0" w:color="D2D2D2"/>
            </w:tcBorders>
          </w:tcPr>
          <w:p>
            <w:pPr/>
          </w:p>
        </w:tc>
        <w:tc>
          <w:tcPr>
            <w:tcW w:w="1715" w:type="dxa"/>
            <w:gridSpan w:val="2"/>
            <w:vMerge/>
            <w:tcBorders>
              <w:left w:val="single" w:sz="4" w:space="0" w:color="000000"/>
              <w:bottom w:val="nil" w:sz="6" w:space="0" w:color="auto"/>
              <w:right w:val="single" w:sz="4" w:space="0" w:color="000000"/>
            </w:tcBorders>
            <w:shd w:val="clear" w:color="auto" w:fill="D2D2D2"/>
          </w:tcPr>
          <w:p>
            <w:pPr/>
          </w:p>
        </w:tc>
        <w:tc>
          <w:tcPr>
            <w:tcW w:w="678" w:type="dxa"/>
            <w:gridSpan w:val="2"/>
            <w:vMerge/>
            <w:tcBorders>
              <w:left w:val="single" w:sz="9" w:space="0" w:color="D2D2D2"/>
              <w:right w:val="single" w:sz="9" w:space="0" w:color="D2D2D2"/>
            </w:tcBorders>
          </w:tcPr>
          <w:p>
            <w:pPr/>
          </w:p>
        </w:tc>
        <w:tc>
          <w:tcPr>
            <w:tcW w:w="1732" w:type="dxa"/>
            <w:gridSpan w:val="3"/>
            <w:vMerge/>
            <w:tcBorders>
              <w:left w:val="single" w:sz="4" w:space="0" w:color="000000"/>
              <w:right w:val="single" w:sz="4" w:space="0" w:color="000000"/>
            </w:tcBorders>
            <w:shd w:val="clear" w:color="auto" w:fill="D2D2D2"/>
          </w:tcPr>
          <w:p>
            <w:pPr/>
          </w:p>
        </w:tc>
        <w:tc>
          <w:tcPr>
            <w:tcW w:w="648" w:type="dxa"/>
            <w:vMerge/>
            <w:tcBorders>
              <w:left w:val="single" w:sz="13" w:space="0" w:color="D2D2D2"/>
              <w:right w:val="single" w:sz="4" w:space="0" w:color="000000"/>
            </w:tcBorders>
          </w:tcPr>
          <w:p>
            <w:pPr/>
          </w:p>
        </w:tc>
      </w:tr>
      <w:tr>
        <w:trPr>
          <w:trHeight w:val="167"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701" w:type="dxa"/>
            <w:vMerge/>
            <w:tcBorders>
              <w:left w:val="single" w:sz="9" w:space="0" w:color="D2D2D2"/>
              <w:bottom w:val="single" w:sz="4" w:space="0" w:color="000000"/>
              <w:right w:val="single" w:sz="9" w:space="0" w:color="D2D2D2"/>
            </w:tcBorders>
          </w:tcPr>
          <w:p>
            <w:pPr/>
          </w:p>
        </w:tc>
        <w:tc>
          <w:tcPr>
            <w:tcW w:w="1697"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695" w:type="dxa"/>
            <w:gridSpan w:val="2"/>
            <w:vMerge/>
            <w:tcBorders>
              <w:left w:val="single" w:sz="10" w:space="0" w:color="D2D2D2"/>
              <w:bottom w:val="single" w:sz="4" w:space="0" w:color="000000"/>
              <w:right w:val="single" w:sz="9" w:space="0" w:color="D2D2D2"/>
            </w:tcBorders>
          </w:tcPr>
          <w:p>
            <w:pPr/>
          </w:p>
        </w:tc>
        <w:tc>
          <w:tcPr>
            <w:tcW w:w="1715"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78" w:type="dxa"/>
            <w:gridSpan w:val="2"/>
            <w:vMerge/>
            <w:tcBorders>
              <w:left w:val="single" w:sz="9" w:space="0" w:color="D2D2D2"/>
              <w:bottom w:val="single" w:sz="4" w:space="0" w:color="000000"/>
              <w:right w:val="single" w:sz="9" w:space="0" w:color="D2D2D2"/>
            </w:tcBorders>
          </w:tcPr>
          <w:p>
            <w:pPr/>
          </w:p>
        </w:tc>
        <w:tc>
          <w:tcPr>
            <w:tcW w:w="1732" w:type="dxa"/>
            <w:gridSpan w:val="3"/>
            <w:vMerge/>
            <w:tcBorders>
              <w:left w:val="single" w:sz="4" w:space="0" w:color="000000"/>
              <w:bottom w:val="single" w:sz="4" w:space="0" w:color="000000"/>
              <w:right w:val="single" w:sz="4" w:space="0" w:color="000000"/>
            </w:tcBorders>
            <w:shd w:val="clear" w:color="auto" w:fill="D2D2D2"/>
          </w:tcPr>
          <w:p>
            <w:pPr/>
          </w:p>
        </w:tc>
        <w:tc>
          <w:tcPr>
            <w:tcW w:w="648" w:type="dxa"/>
            <w:vMerge/>
            <w:tcBorders>
              <w:left w:val="single" w:sz="13" w:space="0" w:color="D2D2D2"/>
              <w:bottom w:val="single" w:sz="4" w:space="0" w:color="000000"/>
              <w:right w:val="single" w:sz="4" w:space="0" w:color="000000"/>
            </w:tcBorders>
          </w:tcPr>
          <w:p>
            <w:pPr/>
          </w:p>
        </w:tc>
      </w:tr>
      <w:tr>
        <w:trPr>
          <w:trHeight w:val="391" w:hRule="exact"/>
        </w:trPr>
        <w:tc>
          <w:tcPr>
            <w:tcW w:w="9569"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7" w:hRule="exact"/>
        </w:trPr>
        <w:tc>
          <w:tcPr>
            <w:tcW w:w="1702" w:type="dxa"/>
            <w:vMerge w:val="restart"/>
            <w:tcBorders>
              <w:top w:val="single" w:sz="4" w:space="0" w:color="000000"/>
              <w:left w:val="single" w:sz="4" w:space="0" w:color="000000"/>
              <w:right w:val="single" w:sz="4" w:space="0" w:color="000000"/>
            </w:tcBorders>
            <w:shd w:val="clear" w:color="auto" w:fill="D2D2D2"/>
          </w:tcPr>
          <w:p>
            <w:pPr/>
          </w:p>
        </w:tc>
        <w:tc>
          <w:tcPr>
            <w:tcW w:w="1180" w:type="dxa"/>
            <w:gridSpan w:val="2"/>
            <w:vMerge w:val="restart"/>
            <w:tcBorders>
              <w:top w:val="single" w:sz="4" w:space="0" w:color="000000"/>
              <w:left w:val="single" w:sz="4" w:space="0" w:color="000000"/>
              <w:right w:val="single" w:sz="4" w:space="0" w:color="000000"/>
            </w:tcBorders>
            <w:shd w:val="clear" w:color="auto" w:fill="D2D2D2"/>
          </w:tcPr>
          <w:p>
            <w:pP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008"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992"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99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7"/>
              <w:ind w:left="40" w:right="41"/>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99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7"/>
              <w:ind w:left="40" w:right="39"/>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19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321"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702" w:type="dxa"/>
            <w:vMerge/>
            <w:tcBorders>
              <w:left w:val="single" w:sz="4" w:space="0" w:color="000000"/>
              <w:bottom w:val="nil" w:sz="6" w:space="0" w:color="auto"/>
              <w:right w:val="single" w:sz="4" w:space="0" w:color="000000"/>
            </w:tcBorders>
            <w:shd w:val="clear" w:color="auto" w:fill="D2D2D2"/>
          </w:tcPr>
          <w:p>
            <w:pPr/>
          </w:p>
        </w:tc>
        <w:tc>
          <w:tcPr>
            <w:tcW w:w="1180" w:type="dxa"/>
            <w:gridSpan w:val="2"/>
            <w:vMerge/>
            <w:tcBorders>
              <w:left w:val="single" w:sz="4" w:space="0" w:color="000000"/>
              <w:bottom w:val="nil" w:sz="6" w:space="0" w:color="auto"/>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008"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29" w:right="47" w:hanging="181"/>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99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2" w:right="38"/>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994" w:type="dxa"/>
            <w:gridSpan w:val="2"/>
            <w:vMerge/>
            <w:tcBorders>
              <w:left w:val="single" w:sz="4" w:space="0" w:color="000000"/>
              <w:right w:val="single" w:sz="4" w:space="0" w:color="000000"/>
            </w:tcBorders>
            <w:shd w:val="clear" w:color="auto" w:fill="D2D2D2"/>
          </w:tcPr>
          <w:p>
            <w:pPr/>
          </w:p>
        </w:tc>
        <w:tc>
          <w:tcPr>
            <w:tcW w:w="992" w:type="dxa"/>
            <w:gridSpan w:val="2"/>
            <w:vMerge/>
            <w:tcBorders>
              <w:left w:val="single" w:sz="4" w:space="0" w:color="000000"/>
              <w:right w:val="single" w:sz="4" w:space="0" w:color="000000"/>
            </w:tcBorders>
            <w:shd w:val="clear" w:color="auto" w:fill="D2D2D2"/>
          </w:tcPr>
          <w:p>
            <w:pPr/>
          </w:p>
        </w:tc>
        <w:tc>
          <w:tcPr>
            <w:tcW w:w="1913" w:type="dxa"/>
            <w:gridSpan w:val="3"/>
            <w:vMerge/>
            <w:tcBorders>
              <w:left w:val="single" w:sz="4" w:space="0" w:color="000000"/>
              <w:right w:val="single" w:sz="4" w:space="0" w:color="000000"/>
            </w:tcBorders>
            <w:shd w:val="clear" w:color="auto" w:fill="D2D2D2"/>
          </w:tcPr>
          <w:p>
            <w:pPr/>
          </w:p>
        </w:tc>
      </w:tr>
      <w:tr>
        <w:trPr>
          <w:trHeight w:val="140" w:hRule="exact"/>
        </w:trPr>
        <w:tc>
          <w:tcPr>
            <w:tcW w:w="170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8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80"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4"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008" w:type="dxa"/>
            <w:gridSpan w:val="2"/>
            <w:vMerge/>
            <w:tcBorders>
              <w:left w:val="single" w:sz="4" w:space="0" w:color="000000"/>
              <w:right w:val="single" w:sz="4" w:space="0" w:color="000000"/>
            </w:tcBorders>
            <w:shd w:val="clear" w:color="auto" w:fill="D2D2D2"/>
          </w:tcPr>
          <w:p>
            <w:pPr/>
          </w:p>
        </w:tc>
        <w:tc>
          <w:tcPr>
            <w:tcW w:w="992" w:type="dxa"/>
            <w:gridSpan w:val="2"/>
            <w:vMerge/>
            <w:tcBorders>
              <w:left w:val="single" w:sz="4" w:space="0" w:color="000000"/>
              <w:right w:val="single" w:sz="4" w:space="0" w:color="000000"/>
            </w:tcBorders>
            <w:shd w:val="clear" w:color="auto" w:fill="D2D2D2"/>
          </w:tcPr>
          <w:p>
            <w:pPr/>
          </w:p>
        </w:tc>
        <w:tc>
          <w:tcPr>
            <w:tcW w:w="994" w:type="dxa"/>
            <w:gridSpan w:val="2"/>
            <w:vMerge/>
            <w:tcBorders>
              <w:left w:val="single" w:sz="4" w:space="0" w:color="000000"/>
              <w:right w:val="single" w:sz="4" w:space="0" w:color="000000"/>
            </w:tcBorders>
            <w:shd w:val="clear" w:color="auto" w:fill="D2D2D2"/>
          </w:tcPr>
          <w:p>
            <w:pPr/>
          </w:p>
        </w:tc>
        <w:tc>
          <w:tcPr>
            <w:tcW w:w="992" w:type="dxa"/>
            <w:gridSpan w:val="2"/>
            <w:vMerge/>
            <w:tcBorders>
              <w:left w:val="single" w:sz="4" w:space="0" w:color="000000"/>
              <w:right w:val="single" w:sz="4" w:space="0" w:color="000000"/>
            </w:tcBorders>
            <w:shd w:val="clear" w:color="auto" w:fill="D2D2D2"/>
          </w:tcPr>
          <w:p>
            <w:pPr/>
          </w:p>
        </w:tc>
        <w:tc>
          <w:tcPr>
            <w:tcW w:w="1913" w:type="dxa"/>
            <w:gridSpan w:val="3"/>
            <w:vMerge/>
            <w:tcBorders>
              <w:left w:val="single" w:sz="4" w:space="0" w:color="000000"/>
              <w:bottom w:val="single" w:sz="4" w:space="0" w:color="000000"/>
              <w:right w:val="single" w:sz="4" w:space="0" w:color="000000"/>
            </w:tcBorders>
            <w:shd w:val="clear" w:color="auto" w:fill="D2D2D2"/>
          </w:tcPr>
          <w:p>
            <w:pPr/>
          </w:p>
        </w:tc>
      </w:tr>
      <w:tr>
        <w:trPr>
          <w:trHeight w:val="251" w:hRule="exact"/>
        </w:trPr>
        <w:tc>
          <w:tcPr>
            <w:tcW w:w="1702" w:type="dxa"/>
            <w:vMerge/>
            <w:tcBorders>
              <w:left w:val="single" w:sz="4" w:space="0" w:color="000000"/>
              <w:bottom w:val="nil" w:sz="6" w:space="0" w:color="auto"/>
              <w:right w:val="single" w:sz="4" w:space="0" w:color="000000"/>
            </w:tcBorders>
            <w:shd w:val="clear" w:color="auto" w:fill="D2D2D2"/>
          </w:tcPr>
          <w:p>
            <w:pPr/>
          </w:p>
        </w:tc>
        <w:tc>
          <w:tcPr>
            <w:tcW w:w="1180" w:type="dxa"/>
            <w:gridSpan w:val="2"/>
            <w:vMerge/>
            <w:tcBorders>
              <w:left w:val="single" w:sz="4" w:space="0" w:color="000000"/>
              <w:bottom w:val="nil" w:sz="6" w:space="0" w:color="auto"/>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008" w:type="dxa"/>
            <w:gridSpan w:val="2"/>
            <w:vMerge/>
            <w:tcBorders>
              <w:left w:val="single" w:sz="4" w:space="0" w:color="000000"/>
              <w:right w:val="single" w:sz="4" w:space="0" w:color="000000"/>
            </w:tcBorders>
            <w:shd w:val="clear" w:color="auto" w:fill="D2D2D2"/>
          </w:tcPr>
          <w:p>
            <w:pPr/>
          </w:p>
        </w:tc>
        <w:tc>
          <w:tcPr>
            <w:tcW w:w="992" w:type="dxa"/>
            <w:gridSpan w:val="2"/>
            <w:vMerge/>
            <w:tcBorders>
              <w:left w:val="single" w:sz="4" w:space="0" w:color="000000"/>
              <w:right w:val="single" w:sz="4" w:space="0" w:color="000000"/>
            </w:tcBorders>
            <w:shd w:val="clear" w:color="auto" w:fill="D2D2D2"/>
          </w:tcPr>
          <w:p>
            <w:pPr/>
          </w:p>
        </w:tc>
        <w:tc>
          <w:tcPr>
            <w:tcW w:w="994" w:type="dxa"/>
            <w:gridSpan w:val="2"/>
            <w:vMerge/>
            <w:tcBorders>
              <w:left w:val="single" w:sz="4" w:space="0" w:color="000000"/>
              <w:right w:val="single" w:sz="4" w:space="0" w:color="000000"/>
            </w:tcBorders>
            <w:shd w:val="clear" w:color="auto" w:fill="D2D2D2"/>
          </w:tcPr>
          <w:p>
            <w:pPr/>
          </w:p>
        </w:tc>
        <w:tc>
          <w:tcPr>
            <w:tcW w:w="992" w:type="dxa"/>
            <w:gridSpan w:val="2"/>
            <w:vMerge/>
            <w:tcBorders>
              <w:left w:val="single" w:sz="4" w:space="0" w:color="000000"/>
              <w:right w:val="single" w:sz="4" w:space="0" w:color="000000"/>
            </w:tcBorders>
            <w:shd w:val="clear" w:color="auto" w:fill="D2D2D2"/>
          </w:tcPr>
          <w:p>
            <w:pPr/>
          </w:p>
        </w:tc>
        <w:tc>
          <w:tcPr>
            <w:tcW w:w="9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7"/>
              <w:ind w:left="130"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92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7"/>
              <w:ind w:left="27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702" w:type="dxa"/>
            <w:vMerge w:val="restart"/>
            <w:tcBorders>
              <w:top w:val="nil" w:sz="6" w:space="0" w:color="auto"/>
              <w:left w:val="single" w:sz="4" w:space="0" w:color="000000"/>
              <w:right w:val="single" w:sz="4" w:space="0" w:color="000000"/>
            </w:tcBorders>
            <w:shd w:val="clear" w:color="auto" w:fill="D2D2D2"/>
          </w:tcPr>
          <w:p>
            <w:pPr/>
          </w:p>
        </w:tc>
        <w:tc>
          <w:tcPr>
            <w:tcW w:w="1180" w:type="dxa"/>
            <w:gridSpan w:val="2"/>
            <w:vMerge w:val="restart"/>
            <w:tcBorders>
              <w:top w:val="nil" w:sz="6" w:space="0" w:color="auto"/>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1008" w:type="dxa"/>
            <w:gridSpan w:val="2"/>
            <w:vMerge/>
            <w:tcBorders>
              <w:left w:val="single" w:sz="4" w:space="0" w:color="000000"/>
              <w:bottom w:val="nil" w:sz="6" w:space="0" w:color="auto"/>
              <w:right w:val="single" w:sz="4" w:space="0" w:color="000000"/>
            </w:tcBorders>
            <w:shd w:val="clear" w:color="auto" w:fill="D2D2D2"/>
          </w:tcPr>
          <w:p>
            <w:pPr/>
          </w:p>
        </w:tc>
        <w:tc>
          <w:tcPr>
            <w:tcW w:w="992" w:type="dxa"/>
            <w:gridSpan w:val="2"/>
            <w:vMerge/>
            <w:tcBorders>
              <w:left w:val="single" w:sz="4" w:space="0" w:color="000000"/>
              <w:bottom w:val="nil" w:sz="6" w:space="0" w:color="auto"/>
              <w:right w:val="single" w:sz="4" w:space="0" w:color="000000"/>
            </w:tcBorders>
            <w:shd w:val="clear" w:color="auto" w:fill="D2D2D2"/>
          </w:tcPr>
          <w:p>
            <w:pPr/>
          </w:p>
        </w:tc>
        <w:tc>
          <w:tcPr>
            <w:tcW w:w="994" w:type="dxa"/>
            <w:gridSpan w:val="2"/>
            <w:vMerge/>
            <w:tcBorders>
              <w:left w:val="single" w:sz="4" w:space="0" w:color="000000"/>
              <w:right w:val="single" w:sz="4" w:space="0" w:color="000000"/>
            </w:tcBorders>
            <w:shd w:val="clear" w:color="auto" w:fill="D2D2D2"/>
          </w:tcPr>
          <w:p>
            <w:pPr/>
          </w:p>
        </w:tc>
        <w:tc>
          <w:tcPr>
            <w:tcW w:w="992" w:type="dxa"/>
            <w:gridSpan w:val="2"/>
            <w:vMerge/>
            <w:tcBorders>
              <w:left w:val="single" w:sz="4" w:space="0" w:color="000000"/>
              <w:right w:val="single" w:sz="4" w:space="0" w:color="000000"/>
            </w:tcBorders>
            <w:shd w:val="clear" w:color="auto" w:fill="D2D2D2"/>
          </w:tcPr>
          <w:p>
            <w:pPr/>
          </w:p>
        </w:tc>
        <w:tc>
          <w:tcPr>
            <w:tcW w:w="992" w:type="dxa"/>
            <w:vMerge/>
            <w:tcBorders>
              <w:left w:val="single" w:sz="4" w:space="0" w:color="000000"/>
              <w:right w:val="single" w:sz="4" w:space="0" w:color="000000"/>
            </w:tcBorders>
            <w:shd w:val="clear" w:color="auto" w:fill="D2D2D2"/>
          </w:tcPr>
          <w:p>
            <w:pPr/>
          </w:p>
        </w:tc>
        <w:tc>
          <w:tcPr>
            <w:tcW w:w="920" w:type="dxa"/>
            <w:gridSpan w:val="2"/>
            <w:vMerge/>
            <w:tcBorders>
              <w:left w:val="single" w:sz="4" w:space="0" w:color="000000"/>
              <w:right w:val="single" w:sz="4" w:space="0" w:color="000000"/>
            </w:tcBorders>
            <w:shd w:val="clear" w:color="auto" w:fill="D2D2D2"/>
          </w:tcPr>
          <w:p>
            <w:pPr/>
          </w:p>
        </w:tc>
      </w:tr>
      <w:tr>
        <w:trPr>
          <w:trHeight w:val="161"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180"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1008"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992"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994" w:type="dxa"/>
            <w:gridSpan w:val="2"/>
            <w:vMerge/>
            <w:tcBorders>
              <w:left w:val="single" w:sz="4" w:space="0" w:color="000000"/>
              <w:bottom w:val="single" w:sz="4" w:space="0" w:color="000000"/>
              <w:right w:val="single" w:sz="4" w:space="0" w:color="000000"/>
            </w:tcBorders>
            <w:shd w:val="clear" w:color="auto" w:fill="D2D2D2"/>
          </w:tcPr>
          <w:p>
            <w:pPr/>
          </w:p>
        </w:tc>
        <w:tc>
          <w:tcPr>
            <w:tcW w:w="992" w:type="dxa"/>
            <w:gridSpan w:val="2"/>
            <w:vMerge/>
            <w:tcBorders>
              <w:left w:val="single" w:sz="4" w:space="0" w:color="000000"/>
              <w:bottom w:val="single" w:sz="4" w:space="0" w:color="000000"/>
              <w:right w:val="single" w:sz="4" w:space="0" w:color="000000"/>
            </w:tcBorders>
            <w:shd w:val="clear" w:color="auto" w:fill="D2D2D2"/>
          </w:tcPr>
          <w:p>
            <w:pPr/>
          </w:p>
        </w:tc>
        <w:tc>
          <w:tcPr>
            <w:tcW w:w="992" w:type="dxa"/>
            <w:vMerge/>
            <w:tcBorders>
              <w:left w:val="single" w:sz="4" w:space="0" w:color="000000"/>
              <w:bottom w:val="single" w:sz="4" w:space="0" w:color="000000"/>
              <w:right w:val="single" w:sz="4" w:space="0" w:color="000000"/>
            </w:tcBorders>
            <w:shd w:val="clear" w:color="auto" w:fill="D2D2D2"/>
          </w:tcPr>
          <w:p>
            <w:pPr/>
          </w:p>
        </w:tc>
        <w:tc>
          <w:tcPr>
            <w:tcW w:w="920" w:type="dxa"/>
            <w:gridSpan w:val="2"/>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27.64%</w:t>
            </w:r>
          </w:p>
        </w:tc>
        <w:tc>
          <w:tcPr>
            <w:tcW w:w="1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6" w:right="0"/>
              <w:jc w:val="left"/>
              <w:rPr>
                <w:rFonts w:ascii="Times New Roman" w:hAnsi="Times New Roman" w:cs="Times New Roman" w:eastAsia="Times New Roman" w:hint="default"/>
                <w:sz w:val="18"/>
                <w:szCs w:val="18"/>
              </w:rPr>
            </w:pPr>
            <w:r>
              <w:rPr>
                <w:rFonts w:ascii="Times New Roman"/>
                <w:sz w:val="18"/>
              </w:rPr>
              <w:t>171,156,663</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0" w:right="0"/>
              <w:jc w:val="left"/>
              <w:rPr>
                <w:rFonts w:ascii="Times New Roman" w:hAnsi="Times New Roman" w:cs="Times New Roman" w:eastAsia="Times New Roman" w:hint="default"/>
                <w:sz w:val="18"/>
                <w:szCs w:val="18"/>
              </w:rPr>
            </w:pPr>
            <w:r>
              <w:rPr>
                <w:rFonts w:ascii="Times New Roman"/>
                <w:sz w:val="18"/>
              </w:rPr>
              <w:t>1,688,700</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0" w:right="0"/>
              <w:jc w:val="left"/>
              <w:rPr>
                <w:rFonts w:ascii="Times New Roman" w:hAnsi="Times New Roman" w:cs="Times New Roman" w:eastAsia="Times New Roman" w:hint="default"/>
                <w:sz w:val="18"/>
                <w:szCs w:val="18"/>
              </w:rPr>
            </w:pPr>
            <w:r>
              <w:rPr>
                <w:rFonts w:ascii="Times New Roman"/>
                <w:sz w:val="18"/>
              </w:rPr>
              <w:t>128,367,497</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8" w:right="0"/>
              <w:jc w:val="left"/>
              <w:rPr>
                <w:rFonts w:ascii="Times New Roman" w:hAnsi="Times New Roman" w:cs="Times New Roman" w:eastAsia="Times New Roman" w:hint="default"/>
                <w:sz w:val="18"/>
                <w:szCs w:val="18"/>
              </w:rPr>
            </w:pPr>
            <w:r>
              <w:rPr>
                <w:rFonts w:ascii="Times New Roman"/>
                <w:sz w:val="18"/>
              </w:rPr>
              <w:t>42,789,166</w:t>
            </w:r>
          </w:p>
        </w:tc>
        <w:tc>
          <w:tcPr>
            <w:tcW w:w="992" w:type="dxa"/>
            <w:tcBorders>
              <w:top w:val="single" w:sz="48" w:space="0" w:color="D2D2D2"/>
              <w:left w:val="single" w:sz="4" w:space="0" w:color="000000"/>
              <w:bottom w:val="single" w:sz="4" w:space="0" w:color="000000"/>
              <w:right w:val="single" w:sz="4" w:space="0" w:color="000000"/>
            </w:tcBorders>
          </w:tcPr>
          <w:p>
            <w:pPr>
              <w:pStyle w:val="TableParagraph"/>
              <w:spacing w:line="233" w:lineRule="exact"/>
              <w:ind w:left="310"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20" w:type="dxa"/>
            <w:gridSpan w:val="2"/>
            <w:tcBorders>
              <w:top w:val="single" w:sz="48" w:space="0" w:color="D2D2D2"/>
              <w:left w:val="single" w:sz="4" w:space="0" w:color="000000"/>
              <w:bottom w:val="single" w:sz="4" w:space="0" w:color="000000"/>
              <w:right w:val="single" w:sz="4" w:space="0" w:color="000000"/>
            </w:tcBorders>
          </w:tcPr>
          <w:p>
            <w:pPr>
              <w:pStyle w:val="TableParagraph"/>
              <w:spacing w:line="240" w:lineRule="auto" w:before="37"/>
              <w:ind w:left="77" w:right="0"/>
              <w:jc w:val="left"/>
              <w:rPr>
                <w:rFonts w:ascii="Times New Roman" w:hAnsi="Times New Roman" w:cs="Times New Roman" w:eastAsia="Times New Roman" w:hint="default"/>
                <w:sz w:val="18"/>
                <w:szCs w:val="18"/>
              </w:rPr>
            </w:pPr>
            <w:r>
              <w:rPr>
                <w:rFonts w:ascii="Times New Roman"/>
                <w:sz w:val="18"/>
              </w:rPr>
              <w:t>25,486,000</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4.67%</w:t>
            </w:r>
          </w:p>
        </w:tc>
        <w:tc>
          <w:tcPr>
            <w:tcW w:w="1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6" w:right="0"/>
              <w:jc w:val="left"/>
              <w:rPr>
                <w:rFonts w:ascii="Times New Roman" w:hAnsi="Times New Roman" w:cs="Times New Roman" w:eastAsia="Times New Roman" w:hint="default"/>
                <w:sz w:val="18"/>
                <w:szCs w:val="18"/>
              </w:rPr>
            </w:pPr>
            <w:r>
              <w:rPr>
                <w:rFonts w:ascii="Times New Roman"/>
                <w:sz w:val="18"/>
              </w:rPr>
              <w:t>28,905,144</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0" w:right="0"/>
              <w:jc w:val="left"/>
              <w:rPr>
                <w:rFonts w:ascii="Times New Roman" w:hAnsi="Times New Roman" w:cs="Times New Roman" w:eastAsia="Times New Roman" w:hint="default"/>
                <w:sz w:val="18"/>
                <w:szCs w:val="18"/>
              </w:rPr>
            </w:pPr>
            <w:r>
              <w:rPr>
                <w:rFonts w:ascii="Times New Roman"/>
                <w:sz w:val="18"/>
              </w:rPr>
              <w:t>21,678,857</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8" w:right="0"/>
              <w:jc w:val="left"/>
              <w:rPr>
                <w:rFonts w:ascii="Times New Roman" w:hAnsi="Times New Roman" w:cs="Times New Roman" w:eastAsia="Times New Roman" w:hint="default"/>
                <w:sz w:val="18"/>
                <w:szCs w:val="18"/>
              </w:rPr>
            </w:pPr>
            <w:r>
              <w:rPr>
                <w:rFonts w:ascii="Times New Roman"/>
                <w:sz w:val="18"/>
              </w:rPr>
              <w:t>7,226,287</w:t>
            </w:r>
          </w:p>
        </w:tc>
        <w:tc>
          <w:tcPr>
            <w:tcW w:w="992" w:type="dxa"/>
            <w:tcBorders>
              <w:top w:val="single" w:sz="4" w:space="0" w:color="000000"/>
              <w:left w:val="single" w:sz="4" w:space="0" w:color="000000"/>
              <w:bottom w:val="single" w:sz="4" w:space="0" w:color="000000"/>
              <w:right w:val="single" w:sz="4" w:space="0" w:color="000000"/>
            </w:tcBorders>
          </w:tcPr>
          <w:p>
            <w:pPr/>
          </w:p>
        </w:tc>
        <w:tc>
          <w:tcPr>
            <w:tcW w:w="920" w:type="dxa"/>
            <w:gridSpan w:val="2"/>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7"/>
              <w:jc w:val="left"/>
              <w:rPr>
                <w:rFonts w:ascii="宋体" w:hAnsi="宋体" w:cs="宋体" w:eastAsia="宋体" w:hint="default"/>
                <w:sz w:val="18"/>
                <w:szCs w:val="18"/>
              </w:rPr>
            </w:pPr>
            <w:r>
              <w:rPr>
                <w:rFonts w:ascii="宋体" w:hAnsi="宋体" w:cs="宋体" w:eastAsia="宋体" w:hint="default"/>
                <w:sz w:val="18"/>
                <w:szCs w:val="18"/>
              </w:rPr>
              <w:t>山东省国有资产投资 控股有限公司</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4.51%</w:t>
            </w:r>
          </w:p>
        </w:tc>
        <w:tc>
          <w:tcPr>
            <w:tcW w:w="1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66" w:right="0"/>
              <w:jc w:val="left"/>
              <w:rPr>
                <w:rFonts w:ascii="Times New Roman" w:hAnsi="Times New Roman" w:cs="Times New Roman" w:eastAsia="Times New Roman" w:hint="default"/>
                <w:sz w:val="18"/>
                <w:szCs w:val="18"/>
              </w:rPr>
            </w:pPr>
            <w:r>
              <w:rPr>
                <w:rFonts w:ascii="Times New Roman"/>
                <w:sz w:val="18"/>
              </w:rPr>
              <w:t>27,945,470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57" w:right="0"/>
              <w:jc w:val="left"/>
              <w:rPr>
                <w:rFonts w:ascii="Times New Roman" w:hAnsi="Times New Roman" w:cs="Times New Roman" w:eastAsia="Times New Roman" w:hint="default"/>
                <w:sz w:val="18"/>
                <w:szCs w:val="18"/>
              </w:rPr>
            </w:pPr>
            <w:r>
              <w:rPr>
                <w:rFonts w:ascii="Times New Roman"/>
                <w:sz w:val="18"/>
              </w:rPr>
              <w:t>11,202,132</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27,945,470</w:t>
            </w:r>
          </w:p>
        </w:tc>
        <w:tc>
          <w:tcPr>
            <w:tcW w:w="992" w:type="dxa"/>
            <w:tcBorders>
              <w:top w:val="single" w:sz="4" w:space="0" w:color="000000"/>
              <w:left w:val="single" w:sz="4" w:space="0" w:color="000000"/>
              <w:bottom w:val="single" w:sz="4" w:space="0" w:color="000000"/>
              <w:right w:val="single" w:sz="4" w:space="0" w:color="000000"/>
            </w:tcBorders>
          </w:tcPr>
          <w:p>
            <w:pPr/>
          </w:p>
        </w:tc>
        <w:tc>
          <w:tcPr>
            <w:tcW w:w="920"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02"/>
        <w:gridCol w:w="1180"/>
        <w:gridCol w:w="788"/>
        <w:gridCol w:w="1008"/>
        <w:gridCol w:w="992"/>
        <w:gridCol w:w="994"/>
        <w:gridCol w:w="208"/>
        <w:gridCol w:w="784"/>
        <w:gridCol w:w="565"/>
        <w:gridCol w:w="427"/>
        <w:gridCol w:w="920"/>
      </w:tblGrid>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21,849,999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16,800,000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5,049,999</w:t>
            </w: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20,658,837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15,494,128</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5,164,709</w:t>
            </w: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18,171,830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13,628,872</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4,542,958</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10"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9,050,000</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9,685,039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5,240,000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4,445,039</w:t>
            </w: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郭卫华</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9,221,218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9,221,218</w:t>
            </w: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7,297,087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5,397,815</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1,899,272</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10"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4,600,000</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6,676,434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5,007,325</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1,669,109</w:t>
            </w: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87" w:type="dxa"/>
            <w:gridSpan w:val="9"/>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47"/>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87" w:type="dxa"/>
            <w:gridSpan w:val="9"/>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5" w:right="-6"/>
              <w:jc w:val="left"/>
              <w:rPr>
                <w:rFonts w:ascii="宋体" w:hAnsi="宋体" w:cs="宋体" w:eastAsia="宋体" w:hint="default"/>
                <w:sz w:val="18"/>
                <w:szCs w:val="18"/>
              </w:rPr>
            </w:pPr>
            <w:r>
              <w:rPr>
                <w:rFonts w:ascii="宋体" w:hAnsi="宋体" w:cs="宋体" w:eastAsia="宋体" w:hint="default"/>
                <w:sz w:val="18"/>
                <w:szCs w:val="18"/>
              </w:rPr>
              <w:t>前十名股东中，股东赵旭峰系股东吴涵渠的妻弟；股东沈永健和周维君系夫妻关系。</w:t>
            </w:r>
          </w:p>
        </w:tc>
      </w:tr>
      <w:tr>
        <w:trPr>
          <w:trHeight w:val="402"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06" w:hRule="exact"/>
        </w:trPr>
        <w:tc>
          <w:tcPr>
            <w:tcW w:w="2882"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990"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2697"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1" w:hRule="exact"/>
        </w:trPr>
        <w:tc>
          <w:tcPr>
            <w:tcW w:w="288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0"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9"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7" w:type="dxa"/>
            <w:gridSpan w:val="4"/>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882" w:type="dxa"/>
            <w:gridSpan w:val="2"/>
            <w:vMerge/>
            <w:tcBorders>
              <w:left w:val="single" w:sz="4" w:space="0" w:color="000000"/>
              <w:bottom w:val="nil" w:sz="6" w:space="0" w:color="auto"/>
              <w:right w:val="single" w:sz="4" w:space="0" w:color="000000"/>
            </w:tcBorders>
            <w:shd w:val="clear" w:color="auto" w:fill="D2D2D2"/>
          </w:tcPr>
          <w:p>
            <w:pPr/>
          </w:p>
        </w:tc>
        <w:tc>
          <w:tcPr>
            <w:tcW w:w="3990" w:type="dxa"/>
            <w:gridSpan w:val="5"/>
            <w:vMerge/>
            <w:tcBorders>
              <w:left w:val="single" w:sz="4" w:space="0" w:color="000000"/>
              <w:bottom w:val="nil" w:sz="6" w:space="0" w:color="auto"/>
              <w:right w:val="single" w:sz="4" w:space="0" w:color="000000"/>
            </w:tcBorders>
            <w:shd w:val="clear" w:color="auto" w:fill="D2D2D2"/>
          </w:tcPr>
          <w:p>
            <w:pPr/>
          </w:p>
        </w:tc>
        <w:tc>
          <w:tcPr>
            <w:tcW w:w="13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08"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2882"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990"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349" w:type="dxa"/>
            <w:gridSpan w:val="2"/>
            <w:vMerge/>
            <w:tcBorders>
              <w:left w:val="single" w:sz="4" w:space="0" w:color="000000"/>
              <w:bottom w:val="single" w:sz="4" w:space="0" w:color="000000"/>
              <w:right w:val="single" w:sz="4" w:space="0" w:color="000000"/>
            </w:tcBorders>
            <w:shd w:val="clear" w:color="auto" w:fill="D2D2D2"/>
          </w:tcPr>
          <w:p>
            <w:pPr/>
          </w:p>
        </w:tc>
        <w:tc>
          <w:tcPr>
            <w:tcW w:w="1348" w:type="dxa"/>
            <w:gridSpan w:val="2"/>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42,789,166</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5" w:right="0"/>
              <w:jc w:val="left"/>
              <w:rPr>
                <w:rFonts w:ascii="Times New Roman" w:hAnsi="Times New Roman" w:cs="Times New Roman" w:eastAsia="Times New Roman" w:hint="default"/>
                <w:sz w:val="18"/>
                <w:szCs w:val="18"/>
              </w:rPr>
            </w:pPr>
            <w:r>
              <w:rPr>
                <w:rFonts w:ascii="Times New Roman"/>
                <w:sz w:val="18"/>
              </w:rPr>
              <w:t>42,789,166</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山东省国有资产投资控股有限公司</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27,945,470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5" w:right="0"/>
              <w:jc w:val="left"/>
              <w:rPr>
                <w:rFonts w:ascii="Times New Roman" w:hAnsi="Times New Roman" w:cs="Times New Roman" w:eastAsia="Times New Roman" w:hint="default"/>
                <w:sz w:val="18"/>
                <w:szCs w:val="18"/>
              </w:rPr>
            </w:pPr>
            <w:r>
              <w:rPr>
                <w:rFonts w:ascii="Times New Roman"/>
                <w:sz w:val="18"/>
              </w:rPr>
              <w:t>27,945,470</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郭卫华</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9,221,218</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5" w:right="0"/>
              <w:jc w:val="left"/>
              <w:rPr>
                <w:rFonts w:ascii="Times New Roman" w:hAnsi="Times New Roman" w:cs="Times New Roman" w:eastAsia="Times New Roman" w:hint="default"/>
                <w:sz w:val="18"/>
                <w:szCs w:val="18"/>
              </w:rPr>
            </w:pPr>
            <w:r>
              <w:rPr>
                <w:rFonts w:ascii="Times New Roman"/>
                <w:sz w:val="18"/>
              </w:rPr>
              <w:t>9,221,218</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7,226,287</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5" w:right="0"/>
              <w:jc w:val="left"/>
              <w:rPr>
                <w:rFonts w:ascii="Times New Roman" w:hAnsi="Times New Roman" w:cs="Times New Roman" w:eastAsia="Times New Roman" w:hint="default"/>
                <w:sz w:val="18"/>
                <w:szCs w:val="18"/>
              </w:rPr>
            </w:pPr>
            <w:r>
              <w:rPr>
                <w:rFonts w:ascii="Times New Roman"/>
                <w:sz w:val="18"/>
              </w:rPr>
              <w:t>7,226,287</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5,164,709</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5" w:right="0"/>
              <w:jc w:val="left"/>
              <w:rPr>
                <w:rFonts w:ascii="Times New Roman" w:hAnsi="Times New Roman" w:cs="Times New Roman" w:eastAsia="Times New Roman" w:hint="default"/>
                <w:sz w:val="18"/>
                <w:szCs w:val="18"/>
              </w:rPr>
            </w:pPr>
            <w:r>
              <w:rPr>
                <w:rFonts w:ascii="Times New Roman"/>
                <w:sz w:val="18"/>
              </w:rPr>
              <w:t>5,164,709</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5,049,999</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5" w:right="0"/>
              <w:jc w:val="left"/>
              <w:rPr>
                <w:rFonts w:ascii="Times New Roman" w:hAnsi="Times New Roman" w:cs="Times New Roman" w:eastAsia="Times New Roman" w:hint="default"/>
                <w:sz w:val="18"/>
                <w:szCs w:val="18"/>
              </w:rPr>
            </w:pPr>
            <w:r>
              <w:rPr>
                <w:rFonts w:ascii="Times New Roman"/>
                <w:sz w:val="18"/>
              </w:rPr>
              <w:t>5,049,999</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陈国雄</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4,794,059</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5" w:right="0"/>
              <w:jc w:val="left"/>
              <w:rPr>
                <w:rFonts w:ascii="Times New Roman" w:hAnsi="Times New Roman" w:cs="Times New Roman" w:eastAsia="Times New Roman" w:hint="default"/>
                <w:sz w:val="18"/>
                <w:szCs w:val="18"/>
              </w:rPr>
            </w:pPr>
            <w:r>
              <w:rPr>
                <w:rFonts w:ascii="Times New Roman"/>
                <w:sz w:val="18"/>
              </w:rPr>
              <w:t>4,794,059</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4,542,958</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5" w:right="0"/>
              <w:jc w:val="left"/>
              <w:rPr>
                <w:rFonts w:ascii="Times New Roman" w:hAnsi="Times New Roman" w:cs="Times New Roman" w:eastAsia="Times New Roman" w:hint="default"/>
                <w:sz w:val="18"/>
                <w:szCs w:val="18"/>
              </w:rPr>
            </w:pPr>
            <w:r>
              <w:rPr>
                <w:rFonts w:ascii="Times New Roman"/>
                <w:sz w:val="18"/>
              </w:rPr>
              <w:t>4,542,958</w:t>
            </w:r>
          </w:p>
        </w:tc>
      </w:tr>
      <w:tr>
        <w:trPr>
          <w:trHeight w:val="402"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4,445,039</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5" w:right="0"/>
              <w:jc w:val="left"/>
              <w:rPr>
                <w:rFonts w:ascii="Times New Roman" w:hAnsi="Times New Roman" w:cs="Times New Roman" w:eastAsia="Times New Roman" w:hint="default"/>
                <w:sz w:val="18"/>
                <w:szCs w:val="18"/>
              </w:rPr>
            </w:pPr>
            <w:r>
              <w:rPr>
                <w:rFonts w:ascii="Times New Roman"/>
                <w:sz w:val="18"/>
              </w:rPr>
              <w:t>4,445,039</w:t>
            </w:r>
          </w:p>
        </w:tc>
      </w:tr>
      <w:tr>
        <w:trPr>
          <w:trHeight w:val="714" w:hRule="exact"/>
        </w:trPr>
        <w:tc>
          <w:tcPr>
            <w:tcW w:w="2882" w:type="dxa"/>
            <w:gridSpan w:val="2"/>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86"/>
              <w:jc w:val="left"/>
              <w:rPr>
                <w:rFonts w:ascii="宋体" w:hAnsi="宋体" w:cs="宋体" w:eastAsia="宋体" w:hint="default"/>
                <w:sz w:val="18"/>
                <w:szCs w:val="18"/>
              </w:rPr>
            </w:pPr>
            <w:r>
              <w:rPr>
                <w:rFonts w:ascii="宋体" w:hAnsi="宋体" w:cs="宋体" w:eastAsia="宋体" w:hint="default"/>
                <w:sz w:val="18"/>
                <w:szCs w:val="18"/>
              </w:rPr>
              <w:t>中国工商银行股份有限公司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嘉实事 件驱动股票型证券投资基金</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4,085,200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5" w:right="0"/>
              <w:jc w:val="left"/>
              <w:rPr>
                <w:rFonts w:ascii="Times New Roman" w:hAnsi="Times New Roman" w:cs="Times New Roman" w:eastAsia="Times New Roman" w:hint="default"/>
                <w:sz w:val="18"/>
                <w:szCs w:val="18"/>
              </w:rPr>
            </w:pPr>
            <w:r>
              <w:rPr>
                <w:rFonts w:ascii="Times New Roman"/>
                <w:sz w:val="18"/>
              </w:rPr>
              <w:t>4,085,200</w:t>
            </w:r>
          </w:p>
        </w:tc>
      </w:tr>
      <w:tr>
        <w:trPr>
          <w:trHeight w:val="1338"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w:t>
            </w:r>
          </w:p>
          <w:p>
            <w:pPr>
              <w:pStyle w:val="TableParagraph"/>
              <w:spacing w:line="309" w:lineRule="auto" w:before="63"/>
              <w:ind w:left="22" w:right="23"/>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名股东之间关联关系或一致行动的 说明</w:t>
            </w:r>
          </w:p>
        </w:tc>
        <w:tc>
          <w:tcPr>
            <w:tcW w:w="6687" w:type="dxa"/>
            <w:gridSpan w:val="9"/>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5" w:right="-6"/>
              <w:jc w:val="left"/>
              <w:rPr>
                <w:rFonts w:ascii="宋体" w:hAnsi="宋体" w:cs="宋体" w:eastAsia="宋体" w:hint="default"/>
                <w:sz w:val="18"/>
                <w:szCs w:val="18"/>
              </w:rPr>
            </w:pPr>
            <w:r>
              <w:rPr>
                <w:rFonts w:ascii="宋体" w:hAnsi="宋体" w:cs="宋体" w:eastAsia="宋体" w:hint="default"/>
                <w:sz w:val="18"/>
                <w:szCs w:val="18"/>
              </w:rPr>
              <w:t>前十名股东中，股东赵旭峰系股东吴涵渠的妻弟；股东沈永健和周维君系夫妻关系。</w:t>
            </w:r>
          </w:p>
        </w:tc>
      </w:tr>
      <w:tr>
        <w:trPr>
          <w:trHeight w:val="714"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名普通股股东参与融资融券业 </w:t>
            </w:r>
            <w:r>
              <w:rPr>
                <w:rFonts w:ascii="宋体" w:hAnsi="宋体" w:cs="宋体" w:eastAsia="宋体" w:hint="default"/>
                <w:spacing w:val="-7"/>
                <w:sz w:val="18"/>
                <w:szCs w:val="18"/>
              </w:rPr>
              <w:t>务情况说明（如有）（参见注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7" w:type="dxa"/>
            <w:gridSpan w:val="9"/>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5"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51"/>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pStyle w:val="BodyText"/>
        <w:spacing w:line="240" w:lineRule="auto" w:before="104"/>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pStyle w:val="BodyText"/>
        <w:spacing w:line="240" w:lineRule="auto" w:before="102"/>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2、公司控股股东情况" w:id="117"/>
      <w:bookmarkEnd w:id="117"/>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8592"/>
        <w:jc w:val="left"/>
      </w:pPr>
      <w:r>
        <w:rPr/>
        <w:t>控股股东性质：自然人控股 控股股东类型：自然人</w:t>
      </w:r>
    </w:p>
    <w:tbl>
      <w:tblPr>
        <w:tblW w:w="0" w:type="auto"/>
        <w:jc w:val="left"/>
        <w:tblInd w:w="149" w:type="dxa"/>
        <w:tblLayout w:type="fixed"/>
        <w:tblCellMar>
          <w:top w:w="0" w:type="dxa"/>
          <w:left w:w="0" w:type="dxa"/>
          <w:bottom w:w="0" w:type="dxa"/>
          <w:right w:w="0" w:type="dxa"/>
        </w:tblCellMar>
        <w:tblLook w:val="01E0"/>
      </w:tblPr>
      <w:tblGrid>
        <w:gridCol w:w="3418"/>
        <w:gridCol w:w="2303"/>
        <w:gridCol w:w="3848"/>
      </w:tblGrid>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董事长、总裁</w:t>
            </w:r>
          </w:p>
        </w:tc>
      </w:tr>
      <w:tr>
        <w:trPr>
          <w:trHeight w:val="714"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43"/>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68"/>
        <w:ind w:right="0"/>
        <w:jc w:val="left"/>
      </w:pPr>
      <w:r>
        <w:rPr/>
        <w:t>控股股东报告期内变更</w:t>
      </w:r>
    </w:p>
    <w:p>
      <w:pPr>
        <w:pStyle w:val="BodyText"/>
        <w:spacing w:line="338" w:lineRule="auto" w:before="117"/>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公司报告期控股股东未发生变更。</w:t>
      </w:r>
    </w:p>
    <w:p>
      <w:pPr>
        <w:spacing w:line="240" w:lineRule="auto" w:before="1"/>
        <w:rPr>
          <w:rFonts w:ascii="宋体" w:hAnsi="宋体" w:cs="宋体" w:eastAsia="宋体" w:hint="default"/>
          <w:sz w:val="21"/>
          <w:szCs w:val="21"/>
        </w:rPr>
      </w:pPr>
    </w:p>
    <w:p>
      <w:pPr>
        <w:pStyle w:val="Heading4"/>
        <w:spacing w:line="240" w:lineRule="auto"/>
        <w:ind w:right="0"/>
        <w:jc w:val="left"/>
        <w:rPr>
          <w:b w:val="0"/>
          <w:bCs w:val="0"/>
        </w:rPr>
      </w:pPr>
      <w:bookmarkStart w:name="3、公司实际控制人及其一致行动人" w:id="118"/>
      <w:bookmarkEnd w:id="118"/>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8412"/>
        <w:jc w:val="left"/>
      </w:pPr>
      <w:r>
        <w:rPr/>
        <w:t>实际控制人性质：境内自然人 实际控制人类型：自然人</w:t>
      </w: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0" w:right="109"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董事长、总裁</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 市公司情况</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68"/>
        <w:ind w:right="0"/>
        <w:jc w:val="left"/>
      </w:pPr>
      <w:r>
        <w:rPr/>
        <w:t>实际控制人报告期内变更</w:t>
      </w:r>
    </w:p>
    <w:p>
      <w:pPr>
        <w:pStyle w:val="BodyText"/>
        <w:spacing w:line="348" w:lineRule="auto" w:before="117"/>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公司报告期实际控制人未发生变更。 公司与实际控制人之间的产权及控制关系的方框图</w:t>
      </w:r>
    </w:p>
    <w:p>
      <w:pPr>
        <w:spacing w:line="240" w:lineRule="auto" w:before="9"/>
        <w:rPr>
          <w:rFonts w:ascii="宋体" w:hAnsi="宋体" w:cs="宋体" w:eastAsia="宋体" w:hint="default"/>
          <w:sz w:val="19"/>
          <w:szCs w:val="19"/>
        </w:rPr>
      </w:pPr>
    </w:p>
    <w:p>
      <w:pPr>
        <w:spacing w:line="1418" w:lineRule="exact"/>
        <w:ind w:left="3589" w:right="0" w:firstLine="0"/>
        <w:rPr>
          <w:rFonts w:ascii="宋体" w:hAnsi="宋体" w:cs="宋体" w:eastAsia="宋体" w:hint="default"/>
          <w:sz w:val="20"/>
          <w:szCs w:val="20"/>
        </w:rPr>
      </w:pPr>
      <w:r>
        <w:rPr>
          <w:rFonts w:ascii="宋体" w:hAnsi="宋体" w:cs="宋体" w:eastAsia="宋体" w:hint="default"/>
          <w:position w:val="-27"/>
          <w:sz w:val="20"/>
          <w:szCs w:val="20"/>
        </w:rPr>
        <w:drawing>
          <wp:inline distT="0" distB="0" distL="0" distR="0">
            <wp:extent cx="1764818" cy="900684"/>
            <wp:effectExtent l="0" t="0" r="0" b="0"/>
            <wp:docPr id="73" name="image41.png" descr=""/>
            <wp:cNvGraphicFramePr>
              <a:graphicFrameLocks noChangeAspect="1"/>
            </wp:cNvGraphicFramePr>
            <a:graphic>
              <a:graphicData uri="http://schemas.openxmlformats.org/drawingml/2006/picture">
                <pic:pic>
                  <pic:nvPicPr>
                    <pic:cNvPr id="74" name="image41.png"/>
                    <pic:cNvPicPr/>
                  </pic:nvPicPr>
                  <pic:blipFill>
                    <a:blip r:embed="rId52" cstate="print"/>
                    <a:stretch>
                      <a:fillRect/>
                    </a:stretch>
                  </pic:blipFill>
                  <pic:spPr>
                    <a:xfrm>
                      <a:off x="0" y="0"/>
                      <a:ext cx="1764818" cy="900684"/>
                    </a:xfrm>
                    <a:prstGeom prst="rect">
                      <a:avLst/>
                    </a:prstGeom>
                  </pic:spPr>
                </pic:pic>
              </a:graphicData>
            </a:graphic>
          </wp:inline>
        </w:drawing>
      </w:r>
      <w:r>
        <w:rPr>
          <w:rFonts w:ascii="宋体" w:hAnsi="宋体" w:cs="宋体" w:eastAsia="宋体" w:hint="default"/>
          <w:position w:val="-27"/>
          <w:sz w:val="20"/>
          <w:szCs w:val="20"/>
        </w:rPr>
      </w:r>
    </w:p>
    <w:p>
      <w:pPr>
        <w:spacing w:line="240" w:lineRule="auto" w:before="5"/>
        <w:rPr>
          <w:rFonts w:ascii="宋体" w:hAnsi="宋体" w:cs="宋体" w:eastAsia="宋体" w:hint="default"/>
          <w:sz w:val="21"/>
          <w:szCs w:val="21"/>
        </w:rPr>
      </w:pPr>
    </w:p>
    <w:p>
      <w:pPr>
        <w:pStyle w:val="BodyText"/>
        <w:spacing w:line="240" w:lineRule="auto"/>
        <w:ind w:right="0"/>
        <w:jc w:val="left"/>
      </w:pPr>
      <w:r>
        <w:rPr/>
        <w:t>实际控制人通过信托或其他资产管理方式控制公司</w:t>
      </w:r>
    </w:p>
    <w:p>
      <w:pPr>
        <w:spacing w:line="240" w:lineRule="auto" w:before="2"/>
        <w:rPr>
          <w:rFonts w:ascii="宋体" w:hAnsi="宋体" w:cs="宋体" w:eastAsia="宋体" w:hint="default"/>
          <w:sz w:val="21"/>
          <w:szCs w:val="21"/>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1"/>
        <w:rPr>
          <w:rFonts w:ascii="宋体" w:hAnsi="宋体" w:cs="宋体" w:eastAsia="宋体" w:hint="default"/>
          <w:sz w:val="25"/>
          <w:szCs w:val="25"/>
        </w:rPr>
      </w:pPr>
    </w:p>
    <w:p>
      <w:pPr>
        <w:pStyle w:val="Heading4"/>
        <w:spacing w:line="240" w:lineRule="auto"/>
        <w:ind w:right="0"/>
        <w:jc w:val="left"/>
        <w:rPr>
          <w:b w:val="0"/>
          <w:bCs w:val="0"/>
        </w:rPr>
      </w:pPr>
      <w:bookmarkStart w:name="4、其他持股在10%以上的法人股东" w:id="119"/>
      <w:bookmarkEnd w:id="119"/>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5、控股股东、实际控制人、重组方及其他承诺主体股份限制减持情况" w:id="120"/>
      <w:bookmarkEnd w:id="120"/>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286" w:right="0"/>
        <w:jc w:val="left"/>
        <w:rPr>
          <w:b w:val="0"/>
          <w:bCs w:val="0"/>
        </w:rPr>
      </w:pPr>
      <w:bookmarkStart w:name="第七节 优先股相关情况" w:id="121"/>
      <w:bookmarkEnd w:id="121"/>
      <w:r>
        <w:rPr>
          <w:b w:val="0"/>
          <w:bCs w:val="0"/>
        </w:rPr>
      </w:r>
      <w:bookmarkStart w:name="_bookmark6" w:id="122"/>
      <w:bookmarkEnd w:id="122"/>
      <w:r>
        <w:rPr>
          <w:b w:val="0"/>
          <w:bCs w:val="0"/>
        </w:rPr>
      </w:r>
      <w:r>
        <w:rPr/>
        <w:t>第七节</w:t>
      </w:r>
      <w:r>
        <w:rPr>
          <w:spacing w:val="-8"/>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pStyle w:val="BodyText"/>
        <w:spacing w:line="338" w:lineRule="auto" w:before="44"/>
        <w:ind w:right="85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报告期公司不存在优先股。</w:t>
      </w:r>
    </w:p>
    <w:p>
      <w:pPr>
        <w:spacing w:after="0" w:line="338"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1680" w:right="0"/>
        <w:jc w:val="left"/>
        <w:rPr>
          <w:b w:val="0"/>
          <w:bCs w:val="0"/>
        </w:rPr>
      </w:pPr>
      <w:bookmarkStart w:name="第八节 董事、监事、高级管理人员和员工情况" w:id="123"/>
      <w:bookmarkEnd w:id="123"/>
      <w:r>
        <w:rPr>
          <w:b w:val="0"/>
          <w:bCs w:val="0"/>
        </w:rPr>
      </w:r>
      <w:bookmarkStart w:name="_bookmark7" w:id="124"/>
      <w:bookmarkEnd w:id="124"/>
      <w:r>
        <w:rPr>
          <w:b w:val="0"/>
          <w:bCs w:val="0"/>
        </w:rPr>
      </w:r>
      <w:r>
        <w:rPr/>
        <w:t>第八节</w:t>
      </w:r>
      <w:r>
        <w:rPr>
          <w:spacing w:val="-16"/>
        </w:rPr>
        <w:t> </w:t>
      </w:r>
      <w:r>
        <w:rPr/>
        <w:t>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董事、监事和高级管理人员持股变动" w:id="125"/>
      <w:bookmarkEnd w:id="125"/>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13"/>
              <w:jc w:val="righ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4"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4" w:firstLine="10"/>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吴涵渠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董事长、 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169,467,9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1,688,700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171,156,6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63</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沈永健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2"/>
              <w:jc w:val="left"/>
              <w:rPr>
                <w:rFonts w:ascii="宋体" w:hAnsi="宋体" w:cs="宋体" w:eastAsia="宋体" w:hint="default"/>
                <w:sz w:val="18"/>
                <w:szCs w:val="18"/>
              </w:rPr>
            </w:pPr>
            <w:r>
              <w:rPr>
                <w:rFonts w:ascii="宋体" w:hAnsi="宋体" w:cs="宋体" w:eastAsia="宋体" w:hint="default"/>
                <w:sz w:val="18"/>
                <w:szCs w:val="18"/>
              </w:rPr>
              <w:t>副董事 长、副总 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18,399,99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3,450,000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21,849,99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杨四化</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董事、常 务副总裁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1,837,740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1,837,740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杨文超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300,000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刘钧厚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杨建中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贾广新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王丽娜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李华雄</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25"/>
              <w:jc w:val="right"/>
              <w:rPr>
                <w:rFonts w:ascii="宋体" w:hAnsi="宋体" w:cs="宋体" w:eastAsia="宋体" w:hint="default"/>
                <w:sz w:val="18"/>
                <w:szCs w:val="18"/>
              </w:rPr>
            </w:pPr>
            <w:r>
              <w:rPr>
                <w:rFonts w:ascii="宋体" w:hAnsi="宋体" w:cs="宋体" w:eastAsia="宋体" w:hint="default"/>
                <w:sz w:val="18"/>
                <w:szCs w:val="18"/>
              </w:rPr>
              <w:t>邱荣邦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2" w:right="42"/>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18,171,83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18,171,83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5"/>
              <w:jc w:val="right"/>
              <w:rPr>
                <w:rFonts w:ascii="宋体" w:hAnsi="宋体" w:cs="宋体" w:eastAsia="宋体" w:hint="default"/>
                <w:sz w:val="18"/>
                <w:szCs w:val="18"/>
              </w:rPr>
            </w:pPr>
            <w:r>
              <w:rPr>
                <w:rFonts w:ascii="宋体" w:hAnsi="宋体" w:cs="宋体" w:eastAsia="宋体" w:hint="default"/>
                <w:sz w:val="18"/>
                <w:szCs w:val="18"/>
              </w:rPr>
              <w:t>颜春晓</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674" w:hRule="exact"/>
        </w:trPr>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黄永忠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392,607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412,607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副总裁、 财务总监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7,197,087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7297,087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副总裁、 原董事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20,658,83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20,658,83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1,095,000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30,500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1,125,500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954,166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12,800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966,966</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董事会秘 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2"/>
              <w:jc w:val="both"/>
              <w:rPr>
                <w:rFonts w:ascii="宋体" w:hAnsi="宋体" w:cs="宋体" w:eastAsia="宋体" w:hint="default"/>
                <w:sz w:val="18"/>
                <w:szCs w:val="18"/>
              </w:rPr>
            </w:pPr>
            <w:r>
              <w:rPr>
                <w:rFonts w:ascii="宋体" w:hAnsi="宋体" w:cs="宋体" w:eastAsia="宋体" w:hint="default"/>
                <w:sz w:val="18"/>
                <w:szCs w:val="18"/>
              </w:rPr>
              <w:t>公司原董 事、总经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6,676,434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6,676,434</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蔡凡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公司原董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段忠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公司原董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马秀敏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公司原独 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公司原监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28,905,14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28,905,14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273,906,8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5,602,000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279,508,8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07</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二、公司董事、监事、高级管理人员变动情况" w:id="126"/>
      <w:bookmarkEnd w:id="126"/>
      <w:r>
        <w:rPr>
          <w:b w:val="0"/>
          <w:bCs w:val="0"/>
        </w:rPr>
      </w:r>
      <w:r>
        <w:rPr/>
        <w:t>二、公司董事、监事、高级管理人员变动情况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left"/>
        <w:rPr>
          <w:b w:val="0"/>
          <w:bCs w:val="0"/>
        </w:rPr>
      </w:pPr>
      <w:bookmarkStart w:name="三、任职情况" w:id="127"/>
      <w:bookmarkEnd w:id="127"/>
      <w:r>
        <w:rPr>
          <w:b w:val="0"/>
          <w:bCs w:val="0"/>
        </w:rPr>
      </w:r>
      <w:r>
        <w:rPr/>
        <w:t>三、任职情况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left="514" w:right="0" w:hanging="360"/>
        <w:jc w:val="left"/>
      </w:pPr>
      <w:r>
        <w:rPr/>
        <w:t>公司现任董事、监事、高级管理人员专业背景、主要工作经历以及目前在公司的主要职责 </w:t>
      </w:r>
      <w:r>
        <w:rPr>
          <w:spacing w:val="-2"/>
        </w:rPr>
        <w:t>吴涵渠，男，</w:t>
      </w:r>
      <w:r>
        <w:rPr>
          <w:rFonts w:ascii="Times New Roman" w:hAnsi="Times New Roman" w:cs="Times New Roman" w:eastAsia="Times New Roman" w:hint="default"/>
          <w:spacing w:val="-2"/>
        </w:rPr>
        <w:t>1962</w:t>
      </w:r>
      <w:r>
        <w:rPr>
          <w:spacing w:val="-2"/>
        </w:rPr>
        <w:t>年</w:t>
      </w:r>
      <w:r>
        <w:rPr>
          <w:rFonts w:ascii="Times New Roman" w:hAnsi="Times New Roman" w:cs="Times New Roman" w:eastAsia="Times New Roman" w:hint="default"/>
          <w:spacing w:val="-2"/>
        </w:rPr>
        <w:t>11</w:t>
      </w:r>
      <w:r>
        <w:rPr>
          <w:spacing w:val="-2"/>
        </w:rPr>
        <w:t>月出生，中国国籍，无境外永久居留权，硕士研究生学历，高级工程师。曾在九江船舶工业学校</w:t>
      </w:r>
    </w:p>
    <w:p>
      <w:pPr>
        <w:pStyle w:val="BodyText"/>
        <w:spacing w:line="215" w:lineRule="exact"/>
        <w:ind w:right="0"/>
        <w:jc w:val="left"/>
        <w:rPr>
          <w:rFonts w:ascii="Times New Roman" w:hAnsi="Times New Roman" w:cs="Times New Roman" w:eastAsia="Times New Roman" w:hint="default"/>
        </w:rPr>
      </w:pPr>
      <w:r>
        <w:rPr/>
        <w:t>任教。</w:t>
      </w:r>
      <w:r>
        <w:rPr>
          <w:rFonts w:ascii="Times New Roman" w:hAnsi="Times New Roman" w:cs="Times New Roman" w:eastAsia="Times New Roman" w:hint="default"/>
        </w:rPr>
        <w:t>1989</w:t>
      </w:r>
      <w:r>
        <w:rPr/>
        <w:t>年至</w:t>
      </w:r>
      <w:r>
        <w:rPr>
          <w:rFonts w:ascii="Times New Roman" w:hAnsi="Times New Roman" w:cs="Times New Roman" w:eastAsia="Times New Roman" w:hint="default"/>
        </w:rPr>
        <w:t>1993</w:t>
      </w:r>
      <w:r>
        <w:rPr/>
        <w:t>年在深圳电子产品质量检测中心任技术部副经理，从事电子产品质量检测和产品技术标准的研究。</w:t>
      </w:r>
      <w:r>
        <w:rPr>
          <w:rFonts w:ascii="Times New Roman" w:hAnsi="Times New Roman" w:cs="Times New Roman" w:eastAsia="Times New Roman" w:hint="default"/>
        </w:rPr>
        <w:t>1993</w:t>
      </w:r>
    </w:p>
    <w:p>
      <w:pPr>
        <w:pStyle w:val="BodyText"/>
        <w:spacing w:line="316" w:lineRule="auto" w:before="63"/>
        <w:ind w:left="514" w:right="1122" w:hanging="360"/>
        <w:jc w:val="left"/>
      </w:pPr>
      <w:r>
        <w:rPr/>
        <w:t>年组建公司，历任公司董事长、总经理、深圳市第五届政协委员。现为公司董事长、总裁、深圳市第六届政协委员。 沈永健，男，</w:t>
      </w:r>
      <w:r>
        <w:rPr>
          <w:rFonts w:ascii="Times New Roman" w:hAnsi="Times New Roman" w:cs="Times New Roman" w:eastAsia="Times New Roman" w:hint="default"/>
        </w:rPr>
        <w:t>1963</w:t>
      </w:r>
      <w:r>
        <w:rPr/>
        <w:t>年</w:t>
      </w:r>
      <w:r>
        <w:rPr>
          <w:rFonts w:ascii="Times New Roman" w:hAnsi="Times New Roman" w:cs="Times New Roman" w:eastAsia="Times New Roman" w:hint="default"/>
        </w:rPr>
        <w:t>2</w:t>
      </w:r>
      <w:r>
        <w:rPr/>
        <w:t>月出生，中国国籍，无境外居留权，本科学历，一级项目管理师，高级能源审计师，国家一级注</w:t>
      </w:r>
    </w:p>
    <w:p>
      <w:pPr>
        <w:pStyle w:val="BodyText"/>
        <w:spacing w:line="316" w:lineRule="auto"/>
        <w:ind w:right="1032"/>
        <w:jc w:val="left"/>
      </w:pPr>
      <w:r>
        <w:rPr>
          <w:spacing w:val="-2"/>
        </w:rPr>
        <w:t>册建造师，深圳市福田英才，深圳市照明学会副理事长，深圳市城市照明学会副理事长，深港工程师联合会副会长，中国照</w:t>
      </w:r>
      <w:r>
        <w:rPr>
          <w:spacing w:val="-66"/>
        </w:rPr>
        <w:t> </w:t>
      </w:r>
      <w:r>
        <w:rPr>
          <w:spacing w:val="-66"/>
        </w:rPr>
      </w:r>
      <w:r>
        <w:rPr/>
        <w:t>明学会照明系统建设运营委员会副主任，中国照明学会室外照明专业委员会副主任，大连工业大学光子学研究所特聘专家。</w:t>
      </w:r>
      <w:r>
        <w:rPr>
          <w:spacing w:val="-85"/>
        </w:rPr>
        <w:t> </w:t>
      </w:r>
      <w:r>
        <w:rPr>
          <w:spacing w:val="-85"/>
        </w:rPr>
      </w:r>
      <w:r>
        <w:rPr>
          <w:spacing w:val="-2"/>
        </w:rPr>
        <w:t>曾任江苏省建湖县建设银行建经科副科长，深圳黄金灯饰有限公司副总裁，深圳市千百辉照明工程有限公司董事长，现任公</w:t>
      </w:r>
      <w:r>
        <w:rPr>
          <w:spacing w:val="-66"/>
        </w:rPr>
        <w:t> </w:t>
      </w:r>
      <w:r>
        <w:rPr>
          <w:spacing w:val="-66"/>
        </w:rPr>
      </w:r>
      <w:r>
        <w:rPr/>
        <w:t>司副董事长、副总裁，深圳市千百辉照明工程有限公司董事。</w:t>
      </w:r>
    </w:p>
    <w:p>
      <w:pPr>
        <w:pStyle w:val="BodyText"/>
        <w:spacing w:line="300" w:lineRule="auto" w:before="19"/>
        <w:ind w:right="1131" w:firstLine="360"/>
        <w:jc w:val="both"/>
      </w:pPr>
      <w:r>
        <w:rPr/>
        <w:t>杨四化，男，</w:t>
      </w:r>
      <w:r>
        <w:rPr>
          <w:rFonts w:ascii="Times New Roman" w:hAnsi="Times New Roman" w:cs="Times New Roman" w:eastAsia="Times New Roman" w:hint="default"/>
        </w:rPr>
        <w:t>1978</w:t>
      </w:r>
      <w:r>
        <w:rPr/>
        <w:t>年</w:t>
      </w:r>
      <w:r>
        <w:rPr>
          <w:rFonts w:ascii="Times New Roman" w:hAnsi="Times New Roman" w:cs="Times New Roman" w:eastAsia="Times New Roman" w:hint="default"/>
        </w:rPr>
        <w:t>7</w:t>
      </w:r>
      <w:r>
        <w:rPr/>
        <w:t>月出生，中国国籍，无境外永久居留权，北京大学</w:t>
      </w:r>
      <w:r>
        <w:rPr>
          <w:rFonts w:ascii="Times New Roman" w:hAnsi="Times New Roman" w:cs="Times New Roman" w:eastAsia="Times New Roman" w:hint="default"/>
        </w:rPr>
        <w:t>MBA</w:t>
      </w:r>
      <w:r>
        <w:rPr/>
        <w:t>。</w:t>
      </w:r>
      <w:r>
        <w:rPr>
          <w:spacing w:val="31"/>
        </w:rPr>
        <w:t> </w:t>
      </w:r>
      <w:r>
        <w:rPr>
          <w:rFonts w:ascii="Times New Roman" w:hAnsi="Times New Roman" w:cs="Times New Roman" w:eastAsia="Times New Roman" w:hint="default"/>
        </w:rPr>
        <w:t>1999</w:t>
      </w:r>
      <w:r>
        <w:rPr/>
        <w:t>年进入公司，历任财务部主管、 采购部经理、总经理办公室主任、监事、董</w:t>
      </w:r>
      <w:r>
        <w:rPr>
          <w:spacing w:val="-19"/>
        </w:rPr>
        <w:t> </w:t>
      </w:r>
      <w:r>
        <w:rPr/>
        <w:t>事会秘书、副总经理。现任公司董事、常务副总裁。</w:t>
      </w:r>
    </w:p>
    <w:p>
      <w:pPr>
        <w:pStyle w:val="BodyText"/>
        <w:spacing w:line="309" w:lineRule="auto" w:before="31"/>
        <w:ind w:right="1131" w:firstLine="360"/>
        <w:jc w:val="both"/>
      </w:pPr>
      <w:r>
        <w:rPr/>
        <w:t>杨文超，男，</w:t>
      </w:r>
      <w:r>
        <w:rPr>
          <w:rFonts w:ascii="Times New Roman" w:hAnsi="Times New Roman" w:cs="Times New Roman" w:eastAsia="Times New Roman" w:hint="default"/>
        </w:rPr>
        <w:t>1966</w:t>
      </w:r>
      <w:r>
        <w:rPr/>
        <w:t>年</w:t>
      </w:r>
      <w:r>
        <w:rPr>
          <w:rFonts w:ascii="Times New Roman" w:hAnsi="Times New Roman" w:cs="Times New Roman" w:eastAsia="Times New Roman" w:hint="default"/>
        </w:rPr>
        <w:t>9</w:t>
      </w:r>
      <w:r>
        <w:rPr/>
        <w:t>月出生，中国国籍，无境外居留权，硕士研究生学历，高级工程师。曾任中国民生银行科技部副 </w:t>
      </w:r>
      <w:r>
        <w:rPr>
          <w:spacing w:val="-5"/>
        </w:rPr>
        <w:t>总经理，交通银行广东省分行行长助理，交通银行海南省分行副行长，现任公司董事，南京奥拓电子科技有限公司执行董事，</w:t>
      </w:r>
      <w:r>
        <w:rPr>
          <w:spacing w:val="-82"/>
        </w:rPr>
        <w:t> </w:t>
      </w:r>
      <w:r>
        <w:rPr>
          <w:spacing w:val="-82"/>
        </w:rPr>
      </w:r>
      <w:r>
        <w:rPr/>
        <w:t>上海奥拓翰明计算机科技有限公司执行董事。</w:t>
      </w:r>
    </w:p>
    <w:p>
      <w:pPr>
        <w:pStyle w:val="BodyText"/>
        <w:spacing w:line="300" w:lineRule="auto" w:before="24"/>
        <w:ind w:right="1131" w:firstLine="360"/>
        <w:jc w:val="both"/>
      </w:pPr>
      <w:r>
        <w:rPr/>
        <w:t>刘钧厚，男，</w:t>
      </w:r>
      <w:r>
        <w:rPr>
          <w:rFonts w:ascii="Times New Roman" w:hAnsi="Times New Roman" w:cs="Times New Roman" w:eastAsia="Times New Roman" w:hint="default"/>
        </w:rPr>
        <w:t>1958</w:t>
      </w:r>
      <w:r>
        <w:rPr/>
        <w:t>年</w:t>
      </w:r>
      <w:r>
        <w:rPr>
          <w:rFonts w:ascii="Times New Roman" w:hAnsi="Times New Roman" w:cs="Times New Roman" w:eastAsia="Times New Roman" w:hint="default"/>
        </w:rPr>
        <w:t>5</w:t>
      </w:r>
      <w:r>
        <w:rPr/>
        <w:t>月出生，中国国籍，无境外永久居留权，硕士研究生学历。曾任青岛大学教师，深圳纺织集团副 总、董事总经理，深圳免税集团董事、总经理、董事长，深圳市投资控股有限公司董事。现任公司董事。</w:t>
      </w:r>
    </w:p>
    <w:p>
      <w:pPr>
        <w:pStyle w:val="BodyText"/>
        <w:spacing w:line="309" w:lineRule="auto" w:before="31"/>
        <w:ind w:right="1032" w:firstLine="360"/>
        <w:jc w:val="left"/>
      </w:pPr>
      <w:r>
        <w:rPr/>
        <w:t>杨建中，男，</w:t>
      </w:r>
      <w:r>
        <w:rPr>
          <w:rFonts w:ascii="Times New Roman" w:hAnsi="Times New Roman" w:cs="Times New Roman" w:eastAsia="Times New Roman" w:hint="default"/>
        </w:rPr>
        <w:t>1959</w:t>
      </w:r>
      <w:r>
        <w:rPr/>
        <w:t>年</w:t>
      </w:r>
      <w:r>
        <w:rPr>
          <w:rFonts w:ascii="Times New Roman" w:hAnsi="Times New Roman" w:cs="Times New Roman" w:eastAsia="Times New Roman" w:hint="default"/>
        </w:rPr>
        <w:t>7</w:t>
      </w:r>
      <w:r>
        <w:rPr/>
        <w:t>月出生，中国国籍，无境外永久居留权，北京大学光华管理学院工商管理硕士，高级经济师，华 南国际经贸仲裁委员会仲裁员。曾任招商银行深圳上埗支行行长，深圳罗湖支行行长，总行信贷部总经理，成都分行行长，</w:t>
      </w:r>
      <w:r>
        <w:rPr>
          <w:spacing w:val="-84"/>
        </w:rPr>
        <w:t> </w:t>
      </w:r>
      <w:r>
        <w:rPr>
          <w:spacing w:val="-84"/>
        </w:rPr>
      </w:r>
      <w:r>
        <w:rPr/>
        <w:t>深圳分行副行长。现任招商银行深圳分行资深专员，公司董事。</w:t>
      </w:r>
    </w:p>
    <w:p>
      <w:pPr>
        <w:pStyle w:val="BodyText"/>
        <w:spacing w:line="312" w:lineRule="auto" w:before="24"/>
        <w:ind w:right="1132" w:firstLine="360"/>
        <w:jc w:val="both"/>
      </w:pPr>
      <w:r>
        <w:rPr>
          <w:spacing w:val="-2"/>
        </w:rPr>
        <w:t>贾广新，男，</w:t>
      </w:r>
      <w:r>
        <w:rPr>
          <w:rFonts w:ascii="Times New Roman" w:hAnsi="Times New Roman" w:cs="Times New Roman" w:eastAsia="Times New Roman" w:hint="default"/>
          <w:spacing w:val="-2"/>
        </w:rPr>
        <w:t>1960</w:t>
      </w:r>
      <w:r>
        <w:rPr>
          <w:spacing w:val="-2"/>
        </w:rPr>
        <w:t>年</w:t>
      </w:r>
      <w:r>
        <w:rPr>
          <w:rFonts w:ascii="Times New Roman" w:hAnsi="Times New Roman" w:cs="Times New Roman" w:eastAsia="Times New Roman" w:hint="default"/>
          <w:spacing w:val="-2"/>
        </w:rPr>
        <w:t>4</w:t>
      </w:r>
      <w:r>
        <w:rPr>
          <w:spacing w:val="-2"/>
        </w:rPr>
        <w:t>月出生，中国国籍，无境外永久居住权，本科学历，高级工程师。历任原电子工业部</w:t>
      </w:r>
      <w:r>
        <w:rPr>
          <w:rFonts w:ascii="Times New Roman" w:hAnsi="Times New Roman" w:cs="Times New Roman" w:eastAsia="Times New Roman" w:hint="default"/>
          <w:spacing w:val="-2"/>
        </w:rPr>
        <w:t>713</w:t>
      </w:r>
      <w:r>
        <w:rPr>
          <w:spacing w:val="-2"/>
        </w:rPr>
        <w:t>厂设计所</w:t>
      </w:r>
      <w:r>
        <w:rPr/>
        <w:t> </w:t>
      </w:r>
      <w:r>
        <w:rPr>
          <w:spacing w:val="-2"/>
        </w:rPr>
        <w:t>副所长，深圳市赛格宝华电子股份有限公司副总经理兼总工程师，深圳市赛格达声股份有限公司副总经理兼总工程师，深圳</w:t>
      </w:r>
      <w:r>
        <w:rPr>
          <w:spacing w:val="-66"/>
        </w:rPr>
        <w:t> </w:t>
      </w:r>
      <w:r>
        <w:rPr>
          <w:spacing w:val="-66"/>
        </w:rPr>
      </w:r>
      <w:r>
        <w:rPr>
          <w:spacing w:val="-5"/>
        </w:rPr>
        <w:t>市赛格集团公司技术中心执行副主任，深圳市华发电子有限公司总经理助理，深圳市三维自动化工程有限公司董事、总经理。</w:t>
      </w:r>
      <w:r>
        <w:rPr>
          <w:spacing w:val="-79"/>
        </w:rPr>
        <w:t> </w:t>
      </w:r>
      <w:r>
        <w:rPr>
          <w:spacing w:val="-79"/>
        </w:rPr>
      </w:r>
      <w:r>
        <w:rPr/>
        <w:t>现任深圳市三维自动化工程有限公司总工程师，公司独立董事。</w:t>
      </w:r>
    </w:p>
    <w:p>
      <w:pPr>
        <w:pStyle w:val="BodyText"/>
        <w:spacing w:line="312" w:lineRule="auto" w:before="142"/>
        <w:ind w:right="1131" w:firstLine="360"/>
        <w:jc w:val="both"/>
      </w:pPr>
      <w:r>
        <w:rPr/>
        <w:t>王丽娜，女，</w:t>
      </w:r>
      <w:r>
        <w:rPr>
          <w:rFonts w:ascii="Times New Roman" w:hAnsi="Times New Roman" w:cs="Times New Roman" w:eastAsia="Times New Roman" w:hint="default"/>
        </w:rPr>
        <w:t>1967</w:t>
      </w:r>
      <w:r>
        <w:rPr/>
        <w:t>年</w:t>
      </w:r>
      <w:r>
        <w:rPr>
          <w:rFonts w:ascii="Times New Roman" w:hAnsi="Times New Roman" w:cs="Times New Roman" w:eastAsia="Times New Roman" w:hint="default"/>
        </w:rPr>
        <w:t>7</w:t>
      </w:r>
      <w:r>
        <w:rPr/>
        <w:t>月出生，中国国籍，无境外永久居住权</w:t>
      </w:r>
      <w:r>
        <w:rPr>
          <w:rFonts w:ascii="Times New Roman" w:hAnsi="Times New Roman" w:cs="Times New Roman" w:eastAsia="Times New Roman" w:hint="default"/>
        </w:rPr>
        <w:t>,</w:t>
      </w:r>
      <w:r>
        <w:rPr>
          <w:rFonts w:ascii="Times New Roman" w:hAnsi="Times New Roman" w:cs="Times New Roman" w:eastAsia="Times New Roman" w:hint="default"/>
          <w:spacing w:val="33"/>
        </w:rPr>
        <w:t> </w:t>
      </w:r>
      <w:r>
        <w:rPr/>
        <w:t>研究生学历，资深律师。曾任中华全国律师协会理事和</w:t>
      </w:r>
      <w:r>
        <w:rPr>
          <w:spacing w:val="1"/>
        </w:rPr>
        <w:t> </w:t>
      </w:r>
      <w:r>
        <w:rPr>
          <w:spacing w:val="-2"/>
        </w:rPr>
        <w:t>深圳市律师协会副会长。现任广东省律师协会常务理事，深圳市政协委员，深圳市新的社会阶层人士联合会副会长，广东省</w:t>
      </w:r>
      <w:r>
        <w:rPr>
          <w:spacing w:val="-66"/>
        </w:rPr>
        <w:t> </w:t>
      </w:r>
      <w:r>
        <w:rPr>
          <w:spacing w:val="-66"/>
        </w:rPr>
      </w:r>
      <w:r>
        <w:rPr>
          <w:spacing w:val="-2"/>
        </w:rPr>
        <w:t>检察机关规范司法行为监督员，深圳市三八红旗手协会法定代表人，深圳市瑞升华科技股份有限公司独立董事，深圳市农产</w:t>
      </w:r>
      <w:r>
        <w:rPr>
          <w:spacing w:val="-66"/>
        </w:rPr>
        <w:t> </w:t>
      </w:r>
      <w:r>
        <w:rPr>
          <w:spacing w:val="-66"/>
        </w:rPr>
      </w:r>
      <w:r>
        <w:rPr/>
        <w:t>品集团股份有限公司独立董事，公司独立董事。</w:t>
      </w:r>
    </w:p>
    <w:p>
      <w:pPr>
        <w:pStyle w:val="BodyText"/>
        <w:spacing w:line="307" w:lineRule="auto" w:before="142"/>
        <w:ind w:right="1131" w:firstLine="360"/>
        <w:jc w:val="both"/>
      </w:pPr>
      <w:r>
        <w:rPr/>
        <w:t>李华雄，男，</w:t>
      </w:r>
      <w:r>
        <w:rPr>
          <w:rFonts w:ascii="Times New Roman" w:hAnsi="Times New Roman" w:cs="Times New Roman" w:eastAsia="Times New Roman" w:hint="default"/>
        </w:rPr>
        <w:t>1963</w:t>
      </w:r>
      <w:r>
        <w:rPr/>
        <w:t>年</w:t>
      </w:r>
      <w:r>
        <w:rPr>
          <w:rFonts w:ascii="Times New Roman" w:hAnsi="Times New Roman" w:cs="Times New Roman" w:eastAsia="Times New Roman" w:hint="default"/>
        </w:rPr>
        <w:t>7</w:t>
      </w:r>
      <w:r>
        <w:rPr/>
        <w:t>月出生，中国国籍，无境外永久居留权，博士研究生学历，注册会计师，中国注册会计师协会非 </w:t>
      </w:r>
      <w:r>
        <w:rPr>
          <w:spacing w:val="-2"/>
        </w:rPr>
        <w:t>执业会员。自</w:t>
      </w:r>
      <w:r>
        <w:rPr>
          <w:rFonts w:ascii="Times New Roman" w:hAnsi="Times New Roman" w:cs="Times New Roman" w:eastAsia="Times New Roman" w:hint="default"/>
          <w:spacing w:val="-2"/>
        </w:rPr>
        <w:t>1988</w:t>
      </w:r>
      <w:r>
        <w:rPr>
          <w:spacing w:val="-2"/>
        </w:rPr>
        <w:t>年起，曾先后在中南财经大学会计系，海南港澳实业股份有限公司，粤华电股份有限公司，湘财证券有限</w:t>
      </w:r>
      <w:r>
        <w:rPr>
          <w:spacing w:val="-62"/>
        </w:rPr>
        <w:t> </w:t>
      </w:r>
      <w:r>
        <w:rPr>
          <w:spacing w:val="-62"/>
        </w:rPr>
      </w:r>
      <w:r>
        <w:rPr>
          <w:spacing w:val="-2"/>
        </w:rPr>
        <w:t>公司，德隆集团，深圳市中科智资本投资管理有限公司等公司工作。曾任公司独立董事。现任深圳市国富黄金股份有限公司</w:t>
      </w:r>
      <w:r>
        <w:rPr>
          <w:spacing w:val="-66"/>
        </w:rPr>
        <w:t> </w:t>
      </w:r>
      <w:r>
        <w:rPr>
          <w:spacing w:val="-66"/>
        </w:rPr>
      </w:r>
      <w:r>
        <w:rPr/>
        <w:t>独立董事，公司独立董事。</w:t>
      </w:r>
    </w:p>
    <w:p>
      <w:pPr>
        <w:pStyle w:val="BodyText"/>
        <w:spacing w:line="300" w:lineRule="auto" w:before="146"/>
        <w:ind w:right="1131" w:firstLine="360"/>
        <w:jc w:val="both"/>
      </w:pPr>
      <w:r>
        <w:rPr/>
        <w:t>邱荣邦，男，</w:t>
      </w:r>
      <w:r>
        <w:rPr>
          <w:rFonts w:ascii="Times New Roman" w:hAnsi="Times New Roman" w:cs="Times New Roman" w:eastAsia="Times New Roman" w:hint="default"/>
        </w:rPr>
        <w:t>1964</w:t>
      </w:r>
      <w:r>
        <w:rPr/>
        <w:t>年</w:t>
      </w:r>
      <w:r>
        <w:rPr>
          <w:rFonts w:ascii="Times New Roman" w:hAnsi="Times New Roman" w:cs="Times New Roman" w:eastAsia="Times New Roman" w:hint="default"/>
        </w:rPr>
        <w:t>7</w:t>
      </w:r>
      <w:r>
        <w:rPr/>
        <w:t>月出生，中国国籍，无境外永久居留权，硕士研究生学历，高级工程师。曾在珠海华声集团有限 公司工作。</w:t>
      </w:r>
      <w:r>
        <w:rPr>
          <w:rFonts w:ascii="Times New Roman" w:hAnsi="Times New Roman" w:cs="Times New Roman" w:eastAsia="Times New Roman" w:hint="default"/>
        </w:rPr>
        <w:t>1993</w:t>
      </w:r>
      <w:r>
        <w:rPr/>
        <w:t>年进入公司，历任研发部经理、质量技术部经理、副总工程师。现任公司监事会主席。</w:t>
      </w:r>
    </w:p>
    <w:p>
      <w:pPr>
        <w:pStyle w:val="BodyText"/>
        <w:spacing w:line="309" w:lineRule="auto" w:before="133"/>
        <w:ind w:right="1130" w:firstLine="360"/>
        <w:jc w:val="both"/>
      </w:pPr>
      <w:r>
        <w:rPr>
          <w:spacing w:val="-2"/>
        </w:rPr>
        <w:t>黄永忠，男，</w:t>
      </w:r>
      <w:r>
        <w:rPr>
          <w:rFonts w:ascii="Times New Roman" w:hAnsi="Times New Roman" w:cs="Times New Roman" w:eastAsia="Times New Roman" w:hint="default"/>
          <w:spacing w:val="-2"/>
        </w:rPr>
        <w:t>1968</w:t>
      </w:r>
      <w:r>
        <w:rPr>
          <w:spacing w:val="-2"/>
        </w:rPr>
        <w:t>年</w:t>
      </w:r>
      <w:r>
        <w:rPr>
          <w:rFonts w:ascii="Times New Roman" w:hAnsi="Times New Roman" w:cs="Times New Roman" w:eastAsia="Times New Roman" w:hint="default"/>
          <w:spacing w:val="-2"/>
        </w:rPr>
        <w:t>11</w:t>
      </w:r>
      <w:r>
        <w:rPr>
          <w:spacing w:val="-2"/>
        </w:rPr>
        <w:t>月出生，中国国籍，无境外永久居留权，本科学历，曾在江苏省常州纺织仪器厂工作。</w:t>
      </w:r>
      <w:r>
        <w:rPr>
          <w:rFonts w:ascii="Times New Roman" w:hAnsi="Times New Roman" w:cs="Times New Roman" w:eastAsia="Times New Roman" w:hint="default"/>
          <w:spacing w:val="-2"/>
        </w:rPr>
        <w:t>1997</w:t>
      </w:r>
      <w:r>
        <w:rPr>
          <w:spacing w:val="-2"/>
        </w:rPr>
        <w:t>年进</w:t>
      </w:r>
      <w:r>
        <w:rPr>
          <w:spacing w:val="1"/>
        </w:rPr>
        <w:t> </w:t>
      </w:r>
      <w:r>
        <w:rPr>
          <w:spacing w:val="-2"/>
        </w:rPr>
        <w:t>入公司，历任研发部经理、质量技术部经理、工程技术部经理、制造总监。现任惠州市奥拓电子科技有限公司副总经理，公</w:t>
      </w:r>
      <w:r>
        <w:rPr>
          <w:spacing w:val="-67"/>
        </w:rPr>
        <w:t> </w:t>
      </w:r>
      <w:r>
        <w:rPr>
          <w:spacing w:val="-67"/>
        </w:rPr>
      </w:r>
      <w:r>
        <w:rPr/>
        <w:t>司监事。</w:t>
      </w:r>
    </w:p>
    <w:p>
      <w:pPr>
        <w:pStyle w:val="BodyText"/>
        <w:spacing w:line="300" w:lineRule="auto" w:before="144"/>
        <w:ind w:right="1132" w:firstLine="360"/>
        <w:jc w:val="both"/>
      </w:pPr>
      <w:r>
        <w:rPr>
          <w:spacing w:val="-2"/>
        </w:rPr>
        <w:t>颜春晓，女，</w:t>
      </w:r>
      <w:r>
        <w:rPr>
          <w:rFonts w:ascii="Times New Roman" w:hAnsi="Times New Roman" w:cs="Times New Roman" w:eastAsia="Times New Roman" w:hint="default"/>
          <w:spacing w:val="-2"/>
        </w:rPr>
        <w:t>1982</w:t>
      </w:r>
      <w:r>
        <w:rPr>
          <w:spacing w:val="-2"/>
        </w:rPr>
        <w:t>年</w:t>
      </w:r>
      <w:r>
        <w:rPr>
          <w:rFonts w:ascii="Times New Roman" w:hAnsi="Times New Roman" w:cs="Times New Roman" w:eastAsia="Times New Roman" w:hint="default"/>
          <w:spacing w:val="-2"/>
        </w:rPr>
        <w:t>3</w:t>
      </w:r>
      <w:r>
        <w:rPr>
          <w:spacing w:val="-2"/>
        </w:rPr>
        <w:t>月出生。中国国籍，无境外居留权。本科学历。</w:t>
      </w:r>
      <w:r>
        <w:rPr>
          <w:rFonts w:ascii="Times New Roman" w:hAnsi="Times New Roman" w:cs="Times New Roman" w:eastAsia="Times New Roman" w:hint="default"/>
          <w:spacing w:val="-2"/>
        </w:rPr>
        <w:t>2003</w:t>
      </w:r>
      <w:r>
        <w:rPr>
          <w:spacing w:val="-2"/>
        </w:rPr>
        <w:t>年</w:t>
      </w:r>
      <w:r>
        <w:rPr>
          <w:rFonts w:ascii="Times New Roman" w:hAnsi="Times New Roman" w:cs="Times New Roman" w:eastAsia="Times New Roman" w:hint="default"/>
          <w:spacing w:val="-2"/>
        </w:rPr>
        <w:t>7</w:t>
      </w:r>
      <w:r>
        <w:rPr>
          <w:spacing w:val="-2"/>
        </w:rPr>
        <w:t>月至今，在深圳市奥拓电子股份有限公司</w:t>
      </w:r>
      <w:r>
        <w:rPr/>
        <w:t> 研发部门工作。现任公司监事，公司</w:t>
      </w:r>
      <w:r>
        <w:rPr>
          <w:rFonts w:ascii="Times New Roman" w:hAnsi="Times New Roman" w:cs="Times New Roman" w:eastAsia="Times New Roman" w:hint="default"/>
        </w:rPr>
        <w:t>LED</w:t>
      </w:r>
      <w:r>
        <w:rPr/>
        <w:t>技术研发中心软件工程师。</w:t>
      </w:r>
    </w:p>
    <w:p>
      <w:pPr>
        <w:pStyle w:val="BodyText"/>
        <w:spacing w:line="300" w:lineRule="auto" w:before="133"/>
        <w:ind w:right="1129" w:firstLine="360"/>
        <w:jc w:val="both"/>
      </w:pPr>
      <w:r>
        <w:rPr>
          <w:spacing w:val="-2"/>
        </w:rPr>
        <w:t>彭世新，女，</w:t>
      </w:r>
      <w:r>
        <w:rPr>
          <w:rFonts w:ascii="Times New Roman" w:hAnsi="Times New Roman" w:cs="Times New Roman" w:eastAsia="Times New Roman" w:hint="default"/>
          <w:spacing w:val="-2"/>
        </w:rPr>
        <w:t>1967</w:t>
      </w:r>
      <w:r>
        <w:rPr>
          <w:spacing w:val="-2"/>
        </w:rPr>
        <w:t>年</w:t>
      </w:r>
      <w:r>
        <w:rPr>
          <w:rFonts w:ascii="Times New Roman" w:hAnsi="Times New Roman" w:cs="Times New Roman" w:eastAsia="Times New Roman" w:hint="default"/>
          <w:spacing w:val="-2"/>
        </w:rPr>
        <w:t>12</w:t>
      </w:r>
      <w:r>
        <w:rPr>
          <w:spacing w:val="-2"/>
        </w:rPr>
        <w:t>月出生，中国国籍，无境外永久居留权，本科学历，中级会计师，高级国际财务管理师。曾在贵</w:t>
      </w:r>
      <w:r>
        <w:rPr/>
        <w:t> </w:t>
      </w:r>
      <w:r>
        <w:rPr>
          <w:spacing w:val="-2"/>
        </w:rPr>
        <w:t>州省石油公司、深圳南油集团商服公司工作。</w:t>
      </w:r>
      <w:r>
        <w:rPr>
          <w:rFonts w:ascii="Times New Roman" w:hAnsi="Times New Roman" w:cs="Times New Roman" w:eastAsia="Times New Roman" w:hint="default"/>
          <w:spacing w:val="-2"/>
        </w:rPr>
        <w:t>1998</w:t>
      </w:r>
      <w:r>
        <w:rPr>
          <w:spacing w:val="-2"/>
        </w:rPr>
        <w:t>年进入公司，历任计划财务部经理、财务总监。现任公司副总裁、财务总</w:t>
      </w:r>
    </w:p>
    <w:p>
      <w:pPr>
        <w:spacing w:after="0" w:line="300"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监。</w:t>
      </w:r>
    </w:p>
    <w:p>
      <w:pPr>
        <w:spacing w:line="240" w:lineRule="auto" w:before="0"/>
        <w:rPr>
          <w:rFonts w:ascii="宋体" w:hAnsi="宋体" w:cs="宋体" w:eastAsia="宋体" w:hint="default"/>
          <w:sz w:val="15"/>
          <w:szCs w:val="15"/>
        </w:rPr>
      </w:pPr>
    </w:p>
    <w:p>
      <w:pPr>
        <w:pStyle w:val="BodyText"/>
        <w:spacing w:line="300" w:lineRule="auto"/>
        <w:ind w:right="1043" w:firstLine="360"/>
        <w:jc w:val="both"/>
      </w:pPr>
      <w:r>
        <w:rPr>
          <w:spacing w:val="-5"/>
        </w:rPr>
        <w:t>赵旭峰，男，</w:t>
      </w:r>
      <w:r>
        <w:rPr>
          <w:rFonts w:ascii="Times New Roman" w:hAnsi="Times New Roman" w:cs="Times New Roman" w:eastAsia="Times New Roman" w:hint="default"/>
          <w:spacing w:val="-5"/>
        </w:rPr>
        <w:t>1968</w:t>
      </w:r>
      <w:r>
        <w:rPr>
          <w:spacing w:val="-5"/>
        </w:rPr>
        <w:t>年</w:t>
      </w:r>
      <w:r>
        <w:rPr>
          <w:rFonts w:ascii="Times New Roman" w:hAnsi="Times New Roman" w:cs="Times New Roman" w:eastAsia="Times New Roman" w:hint="default"/>
          <w:spacing w:val="-5"/>
        </w:rPr>
        <w:t>12</w:t>
      </w:r>
      <w:r>
        <w:rPr>
          <w:spacing w:val="-5"/>
        </w:rPr>
        <w:t>月出生，中国国籍，无境外永久居留权，本科学历。曾在福州市建材公司工作。</w:t>
      </w:r>
      <w:r>
        <w:rPr>
          <w:rFonts w:ascii="Times New Roman" w:hAnsi="Times New Roman" w:cs="Times New Roman" w:eastAsia="Times New Roman" w:hint="default"/>
          <w:spacing w:val="-5"/>
        </w:rPr>
        <w:t>1993</w:t>
      </w:r>
      <w:r>
        <w:rPr>
          <w:spacing w:val="-5"/>
        </w:rPr>
        <w:t>年进入公司，</w:t>
      </w:r>
      <w:r>
        <w:rPr/>
        <w:t> 历任销售部经理、广州办事处经理、自助设备事业部副总经理、渠道总监、采购总监、董事、副总经理。现任公司副总裁。</w:t>
      </w:r>
    </w:p>
    <w:p>
      <w:pPr>
        <w:pStyle w:val="BodyText"/>
        <w:spacing w:line="309" w:lineRule="auto" w:before="152"/>
        <w:ind w:right="1129" w:firstLine="360"/>
        <w:jc w:val="both"/>
      </w:pPr>
      <w:r>
        <w:rPr/>
        <w:t>矫人全，男，</w:t>
      </w:r>
      <w:r>
        <w:rPr>
          <w:rFonts w:ascii="Times New Roman" w:hAnsi="Times New Roman" w:cs="Times New Roman" w:eastAsia="Times New Roman" w:hint="default"/>
        </w:rPr>
        <w:t>1973</w:t>
      </w:r>
      <w:r>
        <w:rPr/>
        <w:t>年</w:t>
      </w:r>
      <w:r>
        <w:rPr>
          <w:rFonts w:ascii="Times New Roman" w:hAnsi="Times New Roman" w:cs="Times New Roman" w:eastAsia="Times New Roman" w:hint="default"/>
        </w:rPr>
        <w:t>3</w:t>
      </w:r>
      <w:r>
        <w:rPr/>
        <w:t>月出生，中国国籍，无境外永久居留权，硕士。曾在烟台市万维电脑有限公司工作。</w:t>
      </w:r>
      <w:r>
        <w:rPr>
          <w:rFonts w:ascii="Times New Roman" w:hAnsi="Times New Roman" w:cs="Times New Roman" w:eastAsia="Times New Roman" w:hint="default"/>
        </w:rPr>
        <w:t>1999</w:t>
      </w:r>
      <w:r>
        <w:rPr/>
        <w:t>年进入 </w:t>
      </w:r>
      <w:r>
        <w:rPr>
          <w:spacing w:val="-2"/>
        </w:rPr>
        <w:t>公司，历任研发部经理、客服中心经理、客服中心总监、副总工程师、监事。现任公司副总裁、南京奥拓电子科技有限公司</w:t>
      </w:r>
      <w:r>
        <w:rPr>
          <w:spacing w:val="-70"/>
        </w:rPr>
        <w:t> </w:t>
      </w:r>
      <w:r>
        <w:rPr>
          <w:spacing w:val="-70"/>
        </w:rPr>
      </w:r>
      <w:r>
        <w:rPr/>
        <w:t>总经理。</w:t>
      </w:r>
    </w:p>
    <w:p>
      <w:pPr>
        <w:pStyle w:val="BodyText"/>
        <w:spacing w:line="300" w:lineRule="auto" w:before="144"/>
        <w:ind w:right="1131" w:firstLine="360"/>
        <w:jc w:val="both"/>
      </w:pPr>
      <w:r>
        <w:rPr/>
        <w:t>吴振志，男，</w:t>
      </w:r>
      <w:r>
        <w:rPr>
          <w:rFonts w:ascii="Times New Roman" w:hAnsi="Times New Roman" w:cs="Times New Roman" w:eastAsia="Times New Roman" w:hint="default"/>
        </w:rPr>
        <w:t>1976</w:t>
      </w:r>
      <w:r>
        <w:rPr/>
        <w:t>年</w:t>
      </w:r>
      <w:r>
        <w:rPr>
          <w:rFonts w:ascii="Times New Roman" w:hAnsi="Times New Roman" w:cs="Times New Roman" w:eastAsia="Times New Roman" w:hint="default"/>
        </w:rPr>
        <w:t>5</w:t>
      </w:r>
      <w:r>
        <w:rPr/>
        <w:t>月出生，中国国籍，无境外居留权，本科学历，高级工程师。曾在深圳市瑞士亿博钟表厂工作。 </w:t>
      </w:r>
      <w:r>
        <w:rPr>
          <w:rFonts w:ascii="Times New Roman" w:hAnsi="Times New Roman" w:cs="Times New Roman" w:eastAsia="Times New Roman" w:hint="default"/>
          <w:spacing w:val="-2"/>
        </w:rPr>
        <w:t>2000</w:t>
      </w:r>
      <w:r>
        <w:rPr>
          <w:spacing w:val="-2"/>
        </w:rPr>
        <w:t>年进入公司，历任公司</w:t>
      </w:r>
      <w:r>
        <w:rPr>
          <w:rFonts w:ascii="Times New Roman" w:hAnsi="Times New Roman" w:cs="Times New Roman" w:eastAsia="Times New Roman" w:hint="default"/>
          <w:spacing w:val="-2"/>
        </w:rPr>
        <w:t>LED</w:t>
      </w:r>
      <w:r>
        <w:rPr>
          <w:spacing w:val="-2"/>
        </w:rPr>
        <w:t>显示技术研发中心主任、副总工程师、监事、技术总监，副总经理。现任公司副总裁、智能</w:t>
      </w:r>
      <w:r>
        <w:rPr>
          <w:spacing w:val="-52"/>
        </w:rPr>
        <w:t> </w:t>
      </w:r>
      <w:r>
        <w:rPr>
          <w:spacing w:val="-52"/>
        </w:rPr>
      </w:r>
      <w:r>
        <w:rPr/>
        <w:t>视讯技术研究院院长。</w:t>
      </w:r>
    </w:p>
    <w:p>
      <w:pPr>
        <w:pStyle w:val="BodyText"/>
        <w:spacing w:line="300" w:lineRule="auto" w:before="151"/>
        <w:ind w:right="1043" w:firstLine="360"/>
        <w:jc w:val="both"/>
      </w:pPr>
      <w:r>
        <w:rPr>
          <w:spacing w:val="-3"/>
        </w:rPr>
        <w:t>孔德建，男，</w:t>
      </w:r>
      <w:r>
        <w:rPr>
          <w:rFonts w:ascii="Times New Roman" w:hAnsi="Times New Roman" w:cs="Times New Roman" w:eastAsia="Times New Roman" w:hint="default"/>
          <w:spacing w:val="-3"/>
        </w:rPr>
        <w:t>1985</w:t>
      </w:r>
      <w:r>
        <w:rPr>
          <w:spacing w:val="-3"/>
        </w:rPr>
        <w:t>年</w:t>
      </w:r>
      <w:r>
        <w:rPr>
          <w:rFonts w:ascii="Times New Roman" w:hAnsi="Times New Roman" w:cs="Times New Roman" w:eastAsia="Times New Roman" w:hint="default"/>
          <w:spacing w:val="-3"/>
        </w:rPr>
        <w:t>1</w:t>
      </w:r>
      <w:r>
        <w:rPr>
          <w:spacing w:val="-3"/>
        </w:rPr>
        <w:t>月出生，中国国籍，无境外永久居留权，上海交通大学</w:t>
      </w:r>
      <w:r>
        <w:rPr>
          <w:rFonts w:ascii="Times New Roman" w:hAnsi="Times New Roman" w:cs="Times New Roman" w:eastAsia="Times New Roman" w:hint="default"/>
          <w:spacing w:val="-3"/>
        </w:rPr>
        <w:t>MBA</w:t>
      </w:r>
      <w:r>
        <w:rPr>
          <w:spacing w:val="-3"/>
        </w:rPr>
        <w:t>。自</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7</w:t>
      </w:r>
      <w:r>
        <w:rPr>
          <w:spacing w:val="-3"/>
        </w:rPr>
        <w:t>月至今一直在公司工作，</w:t>
      </w:r>
      <w:r>
        <w:rPr/>
        <w:t> 历任总经理办公室主管、证券事务部副经理、证券事务代表、证券事务部经理。现任公司董事会秘书、董事长办公室主任。</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0"/>
          <w:szCs w:val="20"/>
        </w:rPr>
      </w:pPr>
    </w:p>
    <w:p>
      <w:pPr>
        <w:pStyle w:val="BodyText"/>
        <w:spacing w:line="240" w:lineRule="auto"/>
        <w:ind w:right="0"/>
        <w:jc w:val="left"/>
      </w:pPr>
      <w:r>
        <w:rPr/>
        <w:t>在股东单位任职情况</w:t>
      </w:r>
    </w:p>
    <w:p>
      <w:pPr>
        <w:pStyle w:val="BodyText"/>
        <w:spacing w:line="338" w:lineRule="auto" w:before="117"/>
        <w:ind w:right="91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在其他单位任职情况</w:t>
      </w:r>
    </w:p>
    <w:p>
      <w:pPr>
        <w:pStyle w:val="BodyText"/>
        <w:spacing w:line="240" w:lineRule="auto" w:before="42"/>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91" w:right="89"/>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42" w:right="53" w:hanging="90"/>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深圳市奥拓软件技术有限公司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奥拓电子（香港）有限公司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奥拓電子日本株式会社</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深圳前海奥拓投资有限公司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执行董事、总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5"/>
              <w:jc w:val="left"/>
              <w:rPr>
                <w:rFonts w:ascii="宋体" w:hAnsi="宋体" w:cs="宋体" w:eastAsia="宋体" w:hint="default"/>
                <w:sz w:val="18"/>
                <w:szCs w:val="18"/>
              </w:rPr>
            </w:pPr>
            <w:r>
              <w:rPr>
                <w:rFonts w:ascii="宋体" w:hAnsi="宋体" w:cs="宋体" w:eastAsia="宋体" w:hint="default"/>
                <w:spacing w:val="-15"/>
                <w:sz w:val="18"/>
                <w:szCs w:val="18"/>
              </w:rPr>
              <w:t>执行董事、总</w:t>
            </w:r>
            <w:r>
              <w:rPr>
                <w:rFonts w:ascii="宋体" w:hAnsi="宋体" w:cs="宋体" w:eastAsia="宋体" w:hint="default"/>
                <w:spacing w:val="-45"/>
                <w:sz w:val="18"/>
                <w:szCs w:val="18"/>
              </w:rPr>
              <w:t> </w:t>
            </w:r>
            <w:r>
              <w:rPr>
                <w:rFonts w:ascii="宋体" w:hAnsi="宋体" w:cs="宋体" w:eastAsia="宋体" w:hint="default"/>
                <w:sz w:val="18"/>
                <w:szCs w:val="18"/>
              </w:rPr>
              <w:t>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武汉市奥拓智能科技有限公司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奥拓电子（美国）有限责任公司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奥拓电子（英国）有限公司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深圳前海奥拓体育文化投资有限公司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执行董事、总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深圳前海水星投资企业（有限合伙）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执行合伙人</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董事、财务总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监</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广东瑞霆律师事务所</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主任、首席合</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伙人</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深圳市农产品集团股份有限公司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深圳市三维自动化工程有限公司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总工程师</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李华雄</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深圳市国富黄金股份有限公司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上海奥拓翰明计算机科技有限公司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深圳市奥拓软件技术有限公司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深圳前海奥拓投资有限公司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南京奥拓软件技术有限公司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上海奥拓翰明计算机科技有限公司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深圳前海奥拓体育文化投资有限公司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5"/>
          <w:szCs w:val="15"/>
        </w:rPr>
      </w:pPr>
    </w:p>
    <w:p>
      <w:pPr>
        <w:pStyle w:val="BodyText"/>
        <w:spacing w:line="240" w:lineRule="auto"/>
        <w:ind w:right="0"/>
        <w:jc w:val="left"/>
      </w:pPr>
      <w:r>
        <w:rPr/>
        <w:t>公司现任及报告期内离任董事、监事和高级管理人员近三年证券监管机构处罚的情况</w:t>
      </w:r>
    </w:p>
    <w:p>
      <w:pPr>
        <w:pStyle w:val="BodyText"/>
        <w:spacing w:line="240" w:lineRule="auto" w:before="116"/>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四、董事、监事、高级管理人员报酬情况" w:id="128"/>
      <w:bookmarkEnd w:id="128"/>
      <w:r>
        <w:rPr>
          <w:b w:val="0"/>
          <w:bCs w:val="0"/>
        </w:rPr>
      </w:r>
      <w:r>
        <w:rPr/>
        <w:t>四、董事、监事、高级管理人员报酬情况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5172"/>
        <w:jc w:val="left"/>
      </w:pPr>
      <w:r>
        <w:rPr/>
        <w:t>董事、监事、高级管理人员报酬的决策程序、确定依据、实际支付情况 董事、监事、高级管理人员报酬的决策程序、确定依据、实际支付情况</w:t>
      </w:r>
    </w:p>
    <w:p>
      <w:pPr>
        <w:pStyle w:val="BodyText"/>
        <w:spacing w:line="300" w:lineRule="auto" w:before="25"/>
        <w:ind w:right="1182" w:firstLine="300"/>
        <w:jc w:val="left"/>
      </w:pPr>
      <w:r>
        <w:rPr>
          <w:rFonts w:ascii="Times New Roman" w:hAnsi="Times New Roman" w:cs="Times New Roman" w:eastAsia="Times New Roman" w:hint="default"/>
        </w:rPr>
        <w:t>1</w:t>
      </w:r>
      <w:r>
        <w:rPr/>
        <w:t>、报告期内，对在公司任职的董事、监事和高级管理人员按其岗位职责，根据公司现行的薪酬制度和业绩考核规定获 取薪酬。</w:t>
      </w:r>
    </w:p>
    <w:p>
      <w:pPr>
        <w:pStyle w:val="BodyText"/>
        <w:spacing w:line="240" w:lineRule="auto" w:before="32"/>
        <w:ind w:left="444" w:right="0"/>
        <w:jc w:val="left"/>
      </w:pPr>
      <w:r>
        <w:rPr>
          <w:rFonts w:ascii="Times New Roman" w:hAnsi="Times New Roman" w:cs="Times New Roman" w:eastAsia="Times New Roman" w:hint="default"/>
        </w:rPr>
        <w:t>2</w:t>
      </w:r>
      <w:r>
        <w:rPr/>
        <w:t>、外部董事津贴为</w:t>
      </w:r>
      <w:r>
        <w:rPr>
          <w:rFonts w:ascii="Times New Roman" w:hAnsi="Times New Roman" w:cs="Times New Roman" w:eastAsia="Times New Roman" w:hint="default"/>
        </w:rPr>
        <w:t>6</w:t>
      </w:r>
      <w:r>
        <w:rPr/>
        <w:t>万元</w:t>
      </w:r>
      <w:r>
        <w:rPr>
          <w:rFonts w:ascii="Times New Roman" w:hAnsi="Times New Roman" w:cs="Times New Roman" w:eastAsia="Times New Roman" w:hint="default"/>
        </w:rPr>
        <w:t>/</w:t>
      </w:r>
      <w:r>
        <w:rPr/>
        <w:t>年，独立董事津贴为</w:t>
      </w:r>
      <w:r>
        <w:rPr>
          <w:rFonts w:ascii="Times New Roman" w:hAnsi="Times New Roman" w:cs="Times New Roman" w:eastAsia="Times New Roman" w:hint="default"/>
        </w:rPr>
        <w:t>6</w:t>
      </w:r>
      <w:r>
        <w:rPr/>
        <w:t>万元</w:t>
      </w:r>
      <w:r>
        <w:rPr>
          <w:rFonts w:ascii="Times New Roman" w:hAnsi="Times New Roman" w:cs="Times New Roman" w:eastAsia="Times New Roman" w:hint="default"/>
        </w:rPr>
        <w:t>/</w:t>
      </w:r>
      <w:r>
        <w:rPr/>
        <w:t>年，其履行职务发生的差旅费、办公费等费用由公司承担。</w:t>
      </w:r>
    </w:p>
    <w:p>
      <w:pPr>
        <w:pStyle w:val="BodyText"/>
        <w:spacing w:line="240" w:lineRule="auto" w:before="63"/>
        <w:ind w:left="439" w:right="0"/>
        <w:jc w:val="left"/>
      </w:pPr>
      <w:r>
        <w:rPr>
          <w:rFonts w:ascii="Times New Roman" w:hAnsi="Times New Roman" w:cs="Times New Roman" w:eastAsia="Times New Roman" w:hint="default"/>
        </w:rPr>
        <w:t>3</w:t>
      </w:r>
      <w:r>
        <w:rPr/>
        <w:t>、公司董事、监事、高级管理人员报告期内获得报酬情况详见下表。</w:t>
      </w:r>
    </w:p>
    <w:p>
      <w:pPr>
        <w:spacing w:line="240" w:lineRule="auto" w:before="5"/>
        <w:rPr>
          <w:rFonts w:ascii="宋体" w:hAnsi="宋体" w:cs="宋体" w:eastAsia="宋体" w:hint="default"/>
          <w:sz w:val="28"/>
          <w:szCs w:val="28"/>
        </w:rPr>
      </w:pPr>
    </w:p>
    <w:p>
      <w:pPr>
        <w:pStyle w:val="BodyText"/>
        <w:spacing w:line="240" w:lineRule="auto" w:before="44"/>
        <w:ind w:right="0"/>
        <w:jc w:val="left"/>
      </w:pPr>
      <w:r>
        <w:rPr/>
        <w:t>公司报告期内董事、监事和高级管理人员报酬情况</w:t>
      </w:r>
    </w:p>
    <w:p>
      <w:pPr>
        <w:pStyle w:val="BodyText"/>
        <w:spacing w:line="240" w:lineRule="auto" w:before="117"/>
        <w:ind w:left="0" w:right="1130"/>
        <w:jc w:val="right"/>
      </w:pPr>
      <w:r>
        <w:rPr/>
        <w:t>单位：万元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70"/>
        <w:gridCol w:w="1892"/>
        <w:gridCol w:w="1416"/>
        <w:gridCol w:w="1134"/>
        <w:gridCol w:w="1026"/>
        <w:gridCol w:w="1367"/>
        <w:gridCol w:w="136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8" w:right="47" w:hanging="181"/>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7"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吴涵渠</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董事长、总裁</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段忠</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原董事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68</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蔡凡</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原董事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66</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沈毅</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原董事、总经理</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95.34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赵旭峰</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原董事、现副总裁</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杨四化</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董事、常务副总裁</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79.03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马秀敏</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原独立董事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王丽娜</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贾广新</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59</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邱荣邦</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黄斌</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原监事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70"/>
        <w:gridCol w:w="1892"/>
        <w:gridCol w:w="1416"/>
        <w:gridCol w:w="1134"/>
        <w:gridCol w:w="1026"/>
        <w:gridCol w:w="1367"/>
        <w:gridCol w:w="1367"/>
      </w:tblGrid>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08"/>
              <w:jc w:val="right"/>
              <w:rPr>
                <w:rFonts w:ascii="宋体" w:hAnsi="宋体" w:cs="宋体" w:eastAsia="宋体" w:hint="default"/>
                <w:sz w:val="18"/>
                <w:szCs w:val="18"/>
              </w:rPr>
            </w:pPr>
            <w:r>
              <w:rPr>
                <w:rFonts w:ascii="宋体" w:hAnsi="宋体" w:cs="宋体" w:eastAsia="宋体" w:hint="default"/>
                <w:sz w:val="18"/>
                <w:szCs w:val="18"/>
              </w:rPr>
              <w:t>颜春晓</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08"/>
              <w:jc w:val="right"/>
              <w:rPr>
                <w:rFonts w:ascii="宋体" w:hAnsi="宋体" w:cs="宋体" w:eastAsia="宋体" w:hint="default"/>
                <w:sz w:val="18"/>
                <w:szCs w:val="18"/>
              </w:rPr>
            </w:pPr>
            <w:r>
              <w:rPr>
                <w:rFonts w:ascii="宋体" w:hAnsi="宋体" w:cs="宋体" w:eastAsia="宋体" w:hint="default"/>
                <w:sz w:val="18"/>
                <w:szCs w:val="18"/>
              </w:rPr>
              <w:t>彭世新</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财务总监、副总裁</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08"/>
              <w:jc w:val="right"/>
              <w:rPr>
                <w:rFonts w:ascii="宋体" w:hAnsi="宋体" w:cs="宋体" w:eastAsia="宋体" w:hint="default"/>
                <w:sz w:val="18"/>
                <w:szCs w:val="18"/>
              </w:rPr>
            </w:pPr>
            <w:r>
              <w:rPr>
                <w:rFonts w:ascii="宋体" w:hAnsi="宋体" w:cs="宋体" w:eastAsia="宋体" w:hint="default"/>
                <w:sz w:val="18"/>
                <w:szCs w:val="18"/>
              </w:rPr>
              <w:t>矫人全</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08"/>
              <w:jc w:val="right"/>
              <w:rPr>
                <w:rFonts w:ascii="宋体" w:hAnsi="宋体" w:cs="宋体" w:eastAsia="宋体" w:hint="default"/>
                <w:sz w:val="18"/>
                <w:szCs w:val="18"/>
              </w:rPr>
            </w:pPr>
            <w:r>
              <w:rPr>
                <w:rFonts w:ascii="宋体" w:hAnsi="宋体" w:cs="宋体" w:eastAsia="宋体" w:hint="default"/>
                <w:sz w:val="18"/>
                <w:szCs w:val="18"/>
              </w:rPr>
              <w:t>吴振志</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08"/>
              <w:jc w:val="right"/>
              <w:rPr>
                <w:rFonts w:ascii="宋体" w:hAnsi="宋体" w:cs="宋体" w:eastAsia="宋体" w:hint="default"/>
                <w:sz w:val="18"/>
                <w:szCs w:val="18"/>
              </w:rPr>
            </w:pPr>
            <w:r>
              <w:rPr>
                <w:rFonts w:ascii="宋体" w:hAnsi="宋体" w:cs="宋体" w:eastAsia="宋体" w:hint="default"/>
                <w:sz w:val="18"/>
                <w:szCs w:val="18"/>
              </w:rPr>
              <w:t>孔德建</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635.77</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617" w:right="0"/>
              <w:jc w:val="lef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240" w:lineRule="auto" w:before="51"/>
        <w:ind w:right="-20"/>
        <w:jc w:val="left"/>
      </w:pPr>
      <w:r>
        <w:rPr/>
        <w:t>公司董事、高级管理人员报告期内被授予的股权激励情况</w:t>
      </w:r>
    </w:p>
    <w:p>
      <w:pPr>
        <w:pStyle w:val="BodyText"/>
        <w:spacing w:line="240" w:lineRule="auto" w:before="117"/>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单位：股</w:t>
      </w:r>
    </w:p>
    <w:p>
      <w:pPr>
        <w:spacing w:after="0" w:line="240" w:lineRule="auto"/>
        <w:jc w:val="left"/>
        <w:sectPr>
          <w:type w:val="continuous"/>
          <w:pgSz w:w="11910" w:h="16840"/>
          <w:pgMar w:top="1060" w:bottom="1160" w:left="980" w:right="0"/>
          <w:cols w:num="2" w:equalWidth="0">
            <w:col w:w="4655" w:space="4265"/>
            <w:col w:w="2010"/>
          </w:cols>
        </w:sectPr>
      </w:pPr>
    </w:p>
    <w:p>
      <w:pPr>
        <w:spacing w:line="240" w:lineRule="auto" w:before="1"/>
        <w:rPr>
          <w:rFonts w:ascii="宋体" w:hAnsi="宋体" w:cs="宋体" w:eastAsia="宋体" w:hint="default"/>
          <w:sz w:val="8"/>
          <w:szCs w:val="8"/>
        </w:rPr>
      </w:pPr>
      <w:r>
        <w:rPr/>
        <w:pict>
          <v:group style="position:absolute;margin-left:143.660004pt;margin-top:386.719971pt;width:43.05pt;height:28pt;mso-position-horizontal-relative:page;mso-position-vertical-relative:page;z-index:-1174288" coordorigin="2873,7734" coordsize="861,560">
            <v:group style="position:absolute;left:2873;top:7734;width:861;height:156" coordorigin="2873,7734" coordsize="861,156">
              <v:shape style="position:absolute;left:2873;top:7734;width:861;height:156" coordorigin="2873,7734" coordsize="861,156" path="m2873,7890l3734,7890,3734,7734,2873,7734,2873,7890xe" filled="true" fillcolor="#ffffff" stroked="false">
                <v:path arrowok="t"/>
                <v:fill type="solid"/>
              </v:shape>
            </v:group>
            <v:group style="position:absolute;left:2885;top:7890;width:2;height:393" coordorigin="2885,7890" coordsize="2,393">
              <v:shape style="position:absolute;left:2885;top:7890;width:2;height:393" coordorigin="2885,7890" coordsize="0,393" path="m2885,7890l2885,8283e" filled="false" stroked="true" strokeweight="1.140pt" strokecolor="#ffffff">
                <v:path arrowok="t"/>
              </v:shape>
            </v:group>
            <v:group style="position:absolute;left:2896;top:7890;width:815;height:393" coordorigin="2896,7890" coordsize="815,393">
              <v:shape style="position:absolute;left:2896;top:7890;width:815;height:393" coordorigin="2896,7890" coordsize="815,393" path="m2896,8283l3711,8283,3711,7890,2896,7890,2896,8283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866"/>
        <w:gridCol w:w="869"/>
        <w:gridCol w:w="870"/>
        <w:gridCol w:w="870"/>
        <w:gridCol w:w="870"/>
        <w:gridCol w:w="869"/>
        <w:gridCol w:w="870"/>
        <w:gridCol w:w="870"/>
        <w:gridCol w:w="870"/>
        <w:gridCol w:w="870"/>
        <w:gridCol w:w="870"/>
      </w:tblGrid>
      <w:tr>
        <w:trPr>
          <w:trHeight w:val="1338"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48"/>
              <w:jc w:val="right"/>
              <w:rPr>
                <w:rFonts w:ascii="宋体" w:hAnsi="宋体" w:cs="宋体" w:eastAsia="宋体" w:hint="default"/>
                <w:sz w:val="18"/>
                <w:szCs w:val="18"/>
              </w:rPr>
            </w:pPr>
            <w:r>
              <w:rPr>
                <w:rFonts w:ascii="宋体" w:hAnsi="宋体" w:cs="宋体" w:eastAsia="宋体" w:hint="default"/>
                <w:sz w:val="18"/>
                <w:szCs w:val="18"/>
              </w:rPr>
              <w:t>职务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报告期内 可行权股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报告期内 已行权股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69" w:firstLine="46"/>
              <w:jc w:val="both"/>
              <w:rPr>
                <w:rFonts w:ascii="宋体" w:hAnsi="宋体" w:cs="宋体" w:eastAsia="宋体" w:hint="default"/>
                <w:sz w:val="18"/>
                <w:szCs w:val="18"/>
              </w:rPr>
            </w:pPr>
            <w:r>
              <w:rPr>
                <w:rFonts w:ascii="宋体" w:hAnsi="宋体" w:cs="宋体" w:eastAsia="宋体" w:hint="default"/>
                <w:sz w:val="18"/>
                <w:szCs w:val="18"/>
              </w:rPr>
              <w:t>报告期内 已行权股 数行权价 </w:t>
            </w:r>
            <w:r>
              <w:rPr>
                <w:rFonts w:ascii="宋体" w:hAnsi="宋体" w:cs="宋体" w:eastAsia="宋体" w:hint="default"/>
                <w:spacing w:val="-10"/>
                <w:sz w:val="18"/>
                <w:szCs w:val="18"/>
              </w:rPr>
              <w:t>格（元</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 w:right="45"/>
              <w:jc w:val="center"/>
              <w:rPr>
                <w:rFonts w:ascii="Times New Roman" w:hAnsi="Times New Roman" w:cs="Times New Roman" w:eastAsia="Times New Roman"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w:t>
            </w:r>
          </w:p>
          <w:p>
            <w:pPr>
              <w:pStyle w:val="TableParagraph"/>
              <w:spacing w:line="196" w:lineRule="exact"/>
              <w:ind w:right="0"/>
              <w:jc w:val="center"/>
              <w:rPr>
                <w:rFonts w:ascii="宋体" w:hAnsi="宋体" w:cs="宋体" w:eastAsia="宋体" w:hint="default"/>
                <w:sz w:val="18"/>
                <w:szCs w:val="18"/>
              </w:rPr>
            </w:pPr>
            <w:r>
              <w:rPr>
                <w:rFonts w:ascii="宋体" w:hAnsi="宋体" w:cs="宋体" w:eastAsia="宋体" w:hint="default"/>
                <w:sz w:val="18"/>
                <w:szCs w:val="18"/>
              </w:rPr>
              <w:t>股）</w:t>
            </w:r>
          </w:p>
          <w:p>
            <w:pPr>
              <w:pStyle w:val="TableParagraph"/>
              <w:spacing w:line="196"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本期已解 锁股份数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报告期新 授予限制 性股票数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1"/>
              <w:ind w:left="44" w:right="45"/>
              <w:jc w:val="center"/>
              <w:rPr>
                <w:rFonts w:ascii="宋体" w:hAnsi="宋体" w:cs="宋体" w:eastAsia="宋体" w:hint="default"/>
                <w:sz w:val="18"/>
                <w:szCs w:val="18"/>
              </w:rPr>
            </w:pPr>
            <w:r>
              <w:rPr>
                <w:rFonts w:ascii="宋体" w:hAnsi="宋体" w:cs="宋体" w:eastAsia="宋体" w:hint="default"/>
                <w:sz w:val="18"/>
                <w:szCs w:val="18"/>
              </w:rPr>
              <w:t>限制性股 票的授予 价格（元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期末持有 限制性股 票数量</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18"/>
                <w:sz w:val="18"/>
                <w:szCs w:val="18"/>
              </w:rPr>
              <w:t>原董事、总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经理</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540,000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270,000</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18"/>
                <w:sz w:val="18"/>
                <w:szCs w:val="18"/>
              </w:rPr>
              <w:t>董事、常务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副总裁</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135,000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135,000</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4"/>
              <w:jc w:val="left"/>
              <w:rPr>
                <w:rFonts w:ascii="宋体" w:hAnsi="宋体" w:cs="宋体" w:eastAsia="宋体" w:hint="default"/>
                <w:sz w:val="18"/>
                <w:szCs w:val="18"/>
              </w:rPr>
            </w:pPr>
            <w:r>
              <w:rPr>
                <w:rFonts w:ascii="宋体" w:hAnsi="宋体" w:cs="宋体" w:eastAsia="宋体" w:hint="default"/>
                <w:sz w:val="18"/>
                <w:szCs w:val="18"/>
              </w:rPr>
              <w:t>财务总监 副总裁</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51"/>
              <w:ind w:left="-127"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87" w:lineRule="exact"/>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225,000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112,500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112,500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94"/>
              <w:jc w:val="right"/>
              <w:rPr>
                <w:rFonts w:ascii="宋体" w:hAnsi="宋体" w:cs="宋体" w:eastAsia="宋体" w:hint="default"/>
                <w:sz w:val="18"/>
                <w:szCs w:val="18"/>
              </w:rPr>
            </w:pPr>
            <w:r>
              <w:rPr>
                <w:rFonts w:ascii="宋体" w:hAnsi="宋体" w:cs="宋体" w:eastAsia="宋体" w:hint="default"/>
                <w:sz w:val="18"/>
                <w:szCs w:val="18"/>
              </w:rPr>
              <w:t>副总裁</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288,000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432,000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94"/>
              <w:jc w:val="right"/>
              <w:rPr>
                <w:rFonts w:ascii="宋体" w:hAnsi="宋体" w:cs="宋体" w:eastAsia="宋体" w:hint="default"/>
                <w:sz w:val="18"/>
                <w:szCs w:val="18"/>
              </w:rPr>
            </w:pPr>
            <w:r>
              <w:rPr>
                <w:rFonts w:ascii="宋体" w:hAnsi="宋体" w:cs="宋体" w:eastAsia="宋体" w:hint="default"/>
                <w:sz w:val="18"/>
                <w:szCs w:val="18"/>
              </w:rPr>
              <w:t>副总裁</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90,000</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4"/>
              <w:jc w:val="left"/>
              <w:rPr>
                <w:rFonts w:ascii="宋体" w:hAnsi="宋体" w:cs="宋体" w:eastAsia="宋体" w:hint="default"/>
                <w:sz w:val="18"/>
                <w:szCs w:val="18"/>
              </w:rPr>
            </w:pPr>
            <w:r>
              <w:rPr>
                <w:rFonts w:ascii="宋体" w:hAnsi="宋体" w:cs="宋体" w:eastAsia="宋体" w:hint="default"/>
                <w:sz w:val="18"/>
                <w:szCs w:val="18"/>
              </w:rPr>
              <w:t>董事会秘 书</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45,000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45,000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2,025,000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940,500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1,084,500</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五、公司员工情况" w:id="129"/>
      <w:bookmarkEnd w:id="129"/>
      <w:r>
        <w:rPr>
          <w:b w:val="0"/>
          <w:bCs w:val="0"/>
        </w:rPr>
      </w:r>
      <w:r>
        <w:rPr/>
        <w:t>五、公司员工情况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员工数量、专业构成及教育程度" w:id="130"/>
      <w:bookmarkEnd w:id="130"/>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768"/>
        <w:gridCol w:w="4790"/>
      </w:tblGrid>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206</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1,242</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1,448</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1,448</w:t>
            </w:r>
          </w:p>
        </w:tc>
      </w:tr>
      <w:tr>
        <w:trPr>
          <w:trHeight w:val="407"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393"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1" w:right="1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7"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 w:right="4"/>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582"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335</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4779"/>
        <w:gridCol w:w="4790"/>
      </w:tblGrid>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185</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624</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267</w:t>
            </w:r>
          </w:p>
        </w:tc>
      </w:tr>
      <w:tr>
        <w:trPr>
          <w:trHeight w:val="407"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1,448</w:t>
            </w:r>
          </w:p>
        </w:tc>
      </w:tr>
      <w:tr>
        <w:trPr>
          <w:trHeight w:val="39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7"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8"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硕士及以上</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本科学历</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532</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大专学历</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492</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342</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1,448</w:t>
            </w:r>
          </w:p>
        </w:tc>
      </w:tr>
    </w:tbl>
    <w:p>
      <w:pPr>
        <w:spacing w:line="240" w:lineRule="auto" w:before="2"/>
        <w:rPr>
          <w:rFonts w:ascii="宋体" w:hAnsi="宋体" w:cs="宋体" w:eastAsia="宋体" w:hint="default"/>
          <w:b/>
          <w:bCs/>
          <w:sz w:val="19"/>
          <w:szCs w:val="19"/>
        </w:rPr>
      </w:pPr>
    </w:p>
    <w:p>
      <w:pPr>
        <w:pStyle w:val="Heading4"/>
        <w:spacing w:line="240" w:lineRule="auto" w:before="35"/>
        <w:ind w:right="0"/>
        <w:jc w:val="left"/>
        <w:rPr>
          <w:b w:val="0"/>
          <w:bCs w:val="0"/>
        </w:rPr>
      </w:pPr>
      <w:bookmarkStart w:name="2、薪酬政策" w:id="131"/>
      <w:bookmarkEnd w:id="131"/>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3" w:firstLine="360"/>
        <w:jc w:val="both"/>
      </w:pPr>
      <w:r>
        <w:rPr>
          <w:spacing w:val="-2"/>
        </w:rPr>
        <w:t>公司建立与绩效联动的报酬体系，倡导企业与个人共同持续发展的理念，组织实施了股权激励计划，采用分层分类的奖</w:t>
      </w:r>
      <w:r>
        <w:rPr/>
        <w:t> 励办法，保证了各层各类人员均得到相应的激励，以充分调动员工的积极性和创造性。</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6"/>
        <w:ind w:right="0"/>
        <w:jc w:val="left"/>
        <w:rPr>
          <w:b w:val="0"/>
          <w:bCs w:val="0"/>
        </w:rPr>
      </w:pPr>
      <w:bookmarkStart w:name="3、培训计划" w:id="132"/>
      <w:bookmarkEnd w:id="132"/>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3" w:firstLine="360"/>
        <w:jc w:val="both"/>
      </w:pPr>
      <w:r>
        <w:rPr>
          <w:spacing w:val="-2"/>
        </w:rPr>
        <w:t>公司对员工培训专门制定了《员工培训制度》，通过奥拓学院，对培训工作的计划、实施考核、培训评估、培训档案做</w:t>
      </w:r>
      <w:r>
        <w:rPr/>
        <w:t> </w:t>
      </w:r>
      <w:r>
        <w:rPr>
          <w:spacing w:val="-2"/>
        </w:rPr>
        <w:t>了详细规定，使员工能充分施展自己的特长又符合公司发展的需要。同时，为强化公司的知识管理，制定了部门层面的《年</w:t>
      </w:r>
      <w:r>
        <w:rPr>
          <w:spacing w:val="-66"/>
        </w:rPr>
        <w:t> </w:t>
      </w:r>
      <w:r>
        <w:rPr>
          <w:spacing w:val="-66"/>
        </w:rPr>
      </w:r>
      <w:r>
        <w:rPr/>
        <w:t>度培训规划》，由负责培训的人员专门跟进规划的执行情况。</w:t>
      </w:r>
    </w:p>
    <w:p>
      <w:pPr>
        <w:spacing w:line="240" w:lineRule="auto" w:before="7"/>
        <w:rPr>
          <w:rFonts w:ascii="宋体" w:hAnsi="宋体" w:cs="宋体" w:eastAsia="宋体" w:hint="default"/>
          <w:sz w:val="22"/>
          <w:szCs w:val="22"/>
        </w:rPr>
      </w:pPr>
    </w:p>
    <w:p>
      <w:pPr>
        <w:pStyle w:val="Heading4"/>
        <w:spacing w:line="240" w:lineRule="auto"/>
        <w:ind w:right="0"/>
        <w:jc w:val="left"/>
        <w:rPr>
          <w:b w:val="0"/>
          <w:bCs w:val="0"/>
        </w:rPr>
      </w:pPr>
      <w:bookmarkStart w:name="4、劳务外包情况" w:id="133"/>
      <w:bookmarkEnd w:id="133"/>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065" w:right="4043"/>
        <w:jc w:val="center"/>
        <w:rPr>
          <w:b w:val="0"/>
          <w:bCs w:val="0"/>
        </w:rPr>
      </w:pPr>
      <w:bookmarkStart w:name="第九节 公司治理" w:id="134"/>
      <w:bookmarkEnd w:id="134"/>
      <w:r>
        <w:rPr>
          <w:b w:val="0"/>
          <w:bCs w:val="0"/>
        </w:rPr>
      </w:r>
      <w:bookmarkStart w:name="_bookmark8" w:id="135"/>
      <w:bookmarkEnd w:id="135"/>
      <w:r>
        <w:rPr>
          <w:b w:val="0"/>
          <w:bCs w:val="0"/>
        </w:rPr>
      </w:r>
      <w:r>
        <w:rPr/>
        <w:t>第九节</w:t>
      </w:r>
      <w:r>
        <w:rPr>
          <w:spacing w:val="-5"/>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both"/>
        <w:rPr>
          <w:b w:val="0"/>
          <w:bCs w:val="0"/>
        </w:rPr>
      </w:pPr>
      <w:bookmarkStart w:name="一、公司治理的基本状况" w:id="136"/>
      <w:bookmarkEnd w:id="136"/>
      <w:r>
        <w:rPr>
          <w:b w:val="0"/>
          <w:bCs w:val="0"/>
        </w:rPr>
      </w:r>
      <w:r>
        <w:rPr/>
        <w:t>一、公司治理的基本状况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2" w:firstLine="360"/>
        <w:jc w:val="both"/>
      </w:pPr>
      <w:r>
        <w:rPr>
          <w:spacing w:val="-2"/>
        </w:rPr>
        <w:t>报告期内，公司严格按照《公司法》、《证券法》、《上市公司治理准则》、《深圳证券交易所股票上市规则》、《深</w:t>
      </w:r>
      <w:r>
        <w:rPr/>
        <w:t> </w:t>
      </w:r>
      <w:r>
        <w:rPr>
          <w:spacing w:val="-2"/>
        </w:rPr>
        <w:t>圳证券交易所中小企业板上市公司规范运作指引》和中国证监会、深圳证券交易所颁布的规范性文件等要求，不断改善公司</w:t>
      </w:r>
      <w:r>
        <w:rPr>
          <w:spacing w:val="-66"/>
        </w:rPr>
        <w:t> </w:t>
      </w:r>
      <w:r>
        <w:rPr>
          <w:spacing w:val="-66"/>
        </w:rPr>
      </w:r>
      <w:r>
        <w:rPr>
          <w:spacing w:val="-2"/>
        </w:rPr>
        <w:t>法人治理结构，建立和健全内部管理和控制制度，规范公司运作。公司股东大会、董事会、监事会均能严格按照相关规章制</w:t>
      </w:r>
      <w:r>
        <w:rPr>
          <w:spacing w:val="-66"/>
        </w:rPr>
        <w:t> </w:t>
      </w:r>
      <w:r>
        <w:rPr>
          <w:spacing w:val="-66"/>
        </w:rPr>
      </w:r>
      <w:r>
        <w:rPr>
          <w:spacing w:val="-2"/>
        </w:rPr>
        <w:t>度规范地召开，各位董事、监事均能勤勉认真地履行自己的职责。截至报告期末，公司治理的实际状况符合中国证监会、深</w:t>
      </w:r>
      <w:r>
        <w:rPr>
          <w:spacing w:val="-66"/>
        </w:rPr>
        <w:t> </w:t>
      </w:r>
      <w:r>
        <w:rPr>
          <w:spacing w:val="-66"/>
        </w:rPr>
      </w:r>
      <w:r>
        <w:rPr/>
        <w:t>圳证券交易所发布的关于上市公司治理的规范性文件的要求。</w:t>
      </w:r>
    </w:p>
    <w:p>
      <w:pPr>
        <w:pStyle w:val="BodyText"/>
        <w:spacing w:line="300" w:lineRule="auto" w:before="19"/>
        <w:ind w:left="514" w:right="1117"/>
        <w:jc w:val="left"/>
      </w:pPr>
      <w:r>
        <w:rPr>
          <w:rFonts w:ascii="Times New Roman" w:hAnsi="Times New Roman" w:cs="Times New Roman" w:eastAsia="Times New Roman" w:hint="default"/>
        </w:rPr>
        <w:t>1</w:t>
      </w:r>
      <w:r>
        <w:rPr/>
        <w:t>、股东与股东大会 </w:t>
      </w:r>
      <w:r>
        <w:rPr>
          <w:spacing w:val="-5"/>
        </w:rPr>
        <w:t>公司严格按照《公司法》、《证券法》等法律、法规和《公司章程》、《股东大会议事规则》的规定召集召开股东大会，</w:t>
      </w:r>
    </w:p>
    <w:p>
      <w:pPr>
        <w:pStyle w:val="BodyText"/>
        <w:spacing w:line="316" w:lineRule="auto" w:before="31"/>
        <w:ind w:right="1032"/>
        <w:jc w:val="left"/>
      </w:pPr>
      <w:r>
        <w:rPr/>
        <w:t>在股东大会召开前的规定时间发出会议通知，并且聘请律师现场见证，对会议的召集、召开和决议的有效性发表法律意见。</w:t>
      </w:r>
      <w:r>
        <w:rPr>
          <w:spacing w:val="-85"/>
        </w:rPr>
        <w:t> </w:t>
      </w:r>
      <w:r>
        <w:rPr>
          <w:spacing w:val="-85"/>
        </w:rPr>
      </w:r>
      <w:r>
        <w:rPr/>
        <w:t>确保全体股东特别是中小股东享有平等地位，充分行使自己的权利。报告期内共召开股东大会</w:t>
      </w:r>
      <w:r>
        <w:rPr>
          <w:rFonts w:ascii="Times New Roman" w:hAnsi="Times New Roman" w:cs="Times New Roman" w:eastAsia="Times New Roman" w:hint="default"/>
        </w:rPr>
        <w:t>4</w:t>
      </w:r>
      <w:r>
        <w:rPr/>
        <w:t>次，审议议案</w:t>
      </w:r>
      <w:r>
        <w:rPr>
          <w:rFonts w:ascii="Times New Roman" w:hAnsi="Times New Roman" w:cs="Times New Roman" w:eastAsia="Times New Roman" w:hint="default"/>
        </w:rPr>
        <w:t>11</w:t>
      </w:r>
      <w:r>
        <w:rPr/>
        <w:t>项。</w:t>
      </w:r>
    </w:p>
    <w:p>
      <w:pPr>
        <w:pStyle w:val="BodyText"/>
        <w:spacing w:line="300" w:lineRule="auto"/>
        <w:ind w:left="514" w:right="5352"/>
        <w:jc w:val="left"/>
      </w:pPr>
      <w:r>
        <w:rPr>
          <w:rFonts w:ascii="Times New Roman" w:hAnsi="Times New Roman" w:cs="Times New Roman" w:eastAsia="Times New Roman" w:hint="default"/>
        </w:rPr>
        <w:t>2</w:t>
      </w:r>
      <w:r>
        <w:rPr/>
        <w:t>、控股股东与上市公司 公司控股股东行为规范，能依法行使其权利，并承担相应义务。</w:t>
      </w:r>
    </w:p>
    <w:p>
      <w:pPr>
        <w:pStyle w:val="BodyText"/>
        <w:spacing w:line="316" w:lineRule="auto" w:before="31"/>
        <w:ind w:right="1132" w:firstLine="360"/>
        <w:jc w:val="both"/>
      </w:pPr>
      <w:r>
        <w:rPr>
          <w:spacing w:val="-6"/>
        </w:rPr>
        <w:t>公司在资产、人员、财务、机构、业务等方面均独立于控股股东，拥有独立完整的研发、供应、生产、销售等业务体系，</w:t>
      </w:r>
      <w:r>
        <w:rPr/>
        <w:t> 具备面向市场独立经营的能力。公司董事会、监事会和内部机构能够独立运作。</w:t>
      </w:r>
    </w:p>
    <w:p>
      <w:pPr>
        <w:pStyle w:val="BodyText"/>
        <w:spacing w:line="300" w:lineRule="auto" w:before="19"/>
        <w:ind w:left="514" w:right="0"/>
        <w:jc w:val="left"/>
      </w:pPr>
      <w:r>
        <w:rPr>
          <w:rFonts w:ascii="Times New Roman" w:hAnsi="Times New Roman" w:cs="Times New Roman" w:eastAsia="Times New Roman" w:hint="default"/>
        </w:rPr>
        <w:t>3</w:t>
      </w:r>
      <w:r>
        <w:rPr/>
        <w:t>、董事与董事会 </w:t>
      </w:r>
      <w:r>
        <w:rPr>
          <w:spacing w:val="-2"/>
        </w:rPr>
        <w:t>公司董事会有</w:t>
      </w:r>
      <w:r>
        <w:rPr>
          <w:rFonts w:ascii="Times New Roman" w:hAnsi="Times New Roman" w:cs="Times New Roman" w:eastAsia="Times New Roman" w:hint="default"/>
          <w:spacing w:val="-2"/>
        </w:rPr>
        <w:t>9</w:t>
      </w:r>
      <w:r>
        <w:rPr>
          <w:spacing w:val="-2"/>
        </w:rPr>
        <w:t>名董事。其中有</w:t>
      </w:r>
      <w:r>
        <w:rPr>
          <w:rFonts w:ascii="Times New Roman" w:hAnsi="Times New Roman" w:cs="Times New Roman" w:eastAsia="Times New Roman" w:hint="default"/>
          <w:spacing w:val="-2"/>
        </w:rPr>
        <w:t>3</w:t>
      </w:r>
      <w:r>
        <w:rPr>
          <w:spacing w:val="-2"/>
        </w:rPr>
        <w:t>名独立董事，他们是管理、财务、法律等方面的专家，在各自领域都具有多年的从业经</w:t>
      </w:r>
    </w:p>
    <w:p>
      <w:pPr>
        <w:pStyle w:val="BodyText"/>
        <w:spacing w:line="312" w:lineRule="auto" w:before="13"/>
        <w:ind w:right="1129"/>
        <w:jc w:val="both"/>
      </w:pPr>
      <w:r>
        <w:rPr/>
        <w:t>验和丰富的专业知识；另外</w:t>
      </w:r>
      <w:r>
        <w:rPr>
          <w:rFonts w:ascii="Times New Roman" w:hAnsi="Times New Roman" w:cs="Times New Roman" w:eastAsia="Times New Roman" w:hint="default"/>
        </w:rPr>
        <w:t>6</w:t>
      </w:r>
      <w:r>
        <w:rPr/>
        <w:t>名董事在经营、管理等方面均具有较高的专业理论水平和丰富的管理实践经验。董事会设立了 </w:t>
      </w:r>
      <w:r>
        <w:rPr>
          <w:spacing w:val="-2"/>
        </w:rPr>
        <w:t>战略、提名、审计、薪酬与考核四个专门委员会，制订了相应的议事规则。公司董事积极参加相关知识培训，熟悉有关法律</w:t>
      </w:r>
      <w:r>
        <w:rPr>
          <w:spacing w:val="-66"/>
        </w:rPr>
        <w:t> </w:t>
      </w:r>
      <w:r>
        <w:rPr>
          <w:spacing w:val="-66"/>
        </w:rPr>
      </w:r>
      <w:r>
        <w:rPr>
          <w:spacing w:val="-2"/>
        </w:rPr>
        <w:t>法规；公司董事严格按照《董事会议事规则》等制度开展工作，正确行使权利和勤勉尽责履行义务，确保董事会的有效运作</w:t>
      </w:r>
      <w:r>
        <w:rPr>
          <w:spacing w:val="-66"/>
        </w:rPr>
        <w:t> </w:t>
      </w:r>
      <w:r>
        <w:rPr>
          <w:spacing w:val="-66"/>
        </w:rPr>
      </w:r>
      <w:r>
        <w:rPr/>
        <w:t>和科学决策。报告期内，董事会共召开会议</w:t>
      </w:r>
      <w:r>
        <w:rPr>
          <w:rFonts w:ascii="Times New Roman" w:hAnsi="Times New Roman" w:cs="Times New Roman" w:eastAsia="Times New Roman" w:hint="default"/>
        </w:rPr>
        <w:t>11</w:t>
      </w:r>
      <w:r>
        <w:rPr/>
        <w:t>次，审议议案</w:t>
      </w:r>
      <w:r>
        <w:rPr>
          <w:rFonts w:ascii="Times New Roman" w:hAnsi="Times New Roman" w:cs="Times New Roman" w:eastAsia="Times New Roman" w:hint="default"/>
        </w:rPr>
        <w:t>52</w:t>
      </w:r>
      <w:r>
        <w:rPr/>
        <w:t>项。</w:t>
      </w:r>
    </w:p>
    <w:p>
      <w:pPr>
        <w:pStyle w:val="BodyText"/>
        <w:spacing w:line="300" w:lineRule="auto" w:before="3"/>
        <w:ind w:left="514" w:right="1122"/>
        <w:jc w:val="left"/>
      </w:pPr>
      <w:r>
        <w:rPr>
          <w:rFonts w:ascii="Times New Roman" w:hAnsi="Times New Roman" w:cs="Times New Roman" w:eastAsia="Times New Roman" w:hint="default"/>
        </w:rPr>
        <w:t>4</w:t>
      </w:r>
      <w:r>
        <w:rPr/>
        <w:t>、监事与监事会 公司监事会由</w:t>
      </w:r>
      <w:r>
        <w:rPr>
          <w:rFonts w:ascii="Times New Roman" w:hAnsi="Times New Roman" w:cs="Times New Roman" w:eastAsia="Times New Roman" w:hint="default"/>
        </w:rPr>
        <w:t>3</w:t>
      </w:r>
      <w:r>
        <w:rPr/>
        <w:t>名监事组成，其中</w:t>
      </w:r>
      <w:r>
        <w:rPr>
          <w:rFonts w:ascii="Times New Roman" w:hAnsi="Times New Roman" w:cs="Times New Roman" w:eastAsia="Times New Roman" w:hint="default"/>
        </w:rPr>
        <w:t>2</w:t>
      </w:r>
      <w:r>
        <w:rPr/>
        <w:t>名监事由股东大会选举产生，</w:t>
      </w:r>
      <w:r>
        <w:rPr>
          <w:rFonts w:ascii="Times New Roman" w:hAnsi="Times New Roman" w:cs="Times New Roman" w:eastAsia="Times New Roman" w:hint="default"/>
        </w:rPr>
        <w:t>1</w:t>
      </w:r>
      <w:r>
        <w:rPr/>
        <w:t>名监事由职工代表大会选举产生。在日常工作中，监</w:t>
      </w:r>
    </w:p>
    <w:p>
      <w:pPr>
        <w:pStyle w:val="BodyText"/>
        <w:spacing w:line="316" w:lineRule="auto" w:before="13"/>
        <w:ind w:right="0"/>
        <w:jc w:val="left"/>
      </w:pPr>
      <w:r>
        <w:rPr>
          <w:spacing w:val="-2"/>
        </w:rPr>
        <w:t>事会能够勤勉尽责，严格按照《监事会议事规则》等制度的规定，切实维护公司利益和广大中小股东权益，认真履行监督职</w:t>
      </w:r>
      <w:r>
        <w:rPr>
          <w:spacing w:val="-66"/>
        </w:rPr>
        <w:t> </w:t>
      </w:r>
      <w:r>
        <w:rPr>
          <w:spacing w:val="-66"/>
        </w:rPr>
      </w:r>
      <w:r>
        <w:rPr/>
        <w:t>责，听取公司各项重要提案并发表意见，履行了监事会的监督职能。报告期内，监事会共召开会议</w:t>
      </w:r>
      <w:r>
        <w:rPr>
          <w:rFonts w:ascii="Times New Roman" w:hAnsi="Times New Roman" w:cs="Times New Roman" w:eastAsia="Times New Roman" w:hint="default"/>
        </w:rPr>
        <w:t>11</w:t>
      </w:r>
      <w:r>
        <w:rPr/>
        <w:t>次，审议议案</w:t>
      </w:r>
      <w:r>
        <w:rPr>
          <w:rFonts w:ascii="Times New Roman" w:hAnsi="Times New Roman" w:cs="Times New Roman" w:eastAsia="Times New Roman" w:hint="default"/>
        </w:rPr>
        <w:t>31</w:t>
      </w:r>
      <w:r>
        <w:rPr/>
        <w:t>项。</w:t>
      </w:r>
    </w:p>
    <w:p>
      <w:pPr>
        <w:pStyle w:val="BodyText"/>
        <w:spacing w:line="300" w:lineRule="auto"/>
        <w:ind w:left="514" w:right="0"/>
        <w:jc w:val="left"/>
      </w:pPr>
      <w:r>
        <w:rPr>
          <w:rFonts w:ascii="Times New Roman" w:hAnsi="Times New Roman" w:cs="Times New Roman" w:eastAsia="Times New Roman" w:hint="default"/>
        </w:rPr>
        <w:t>5</w:t>
      </w:r>
      <w:r>
        <w:rPr/>
        <w:t>、绩效评价与激励约束机制 </w:t>
      </w:r>
      <w:r>
        <w:rPr>
          <w:spacing w:val="-2"/>
        </w:rPr>
        <w:t>公司逐步建立和完善公正、透明的董事、监事和高级管理人员的绩效评价标准和激励约束机制，公司高级管理人员的聘</w:t>
      </w:r>
    </w:p>
    <w:p>
      <w:pPr>
        <w:pStyle w:val="BodyText"/>
        <w:spacing w:line="240" w:lineRule="auto" w:before="31"/>
        <w:ind w:right="0"/>
        <w:jc w:val="both"/>
      </w:pPr>
      <w:r>
        <w:rPr/>
        <w:t>任公开、透明，符合法律法规的规定。</w:t>
      </w:r>
    </w:p>
    <w:p>
      <w:pPr>
        <w:pStyle w:val="BodyText"/>
        <w:spacing w:line="300" w:lineRule="auto" w:before="76"/>
        <w:ind w:left="514" w:right="1118"/>
        <w:jc w:val="left"/>
      </w:pPr>
      <w:r>
        <w:rPr>
          <w:rFonts w:ascii="Times New Roman" w:hAnsi="Times New Roman" w:cs="Times New Roman" w:eastAsia="Times New Roman" w:hint="default"/>
        </w:rPr>
        <w:t>6</w:t>
      </w:r>
      <w:r>
        <w:rPr/>
        <w:t>、利益相关者 </w:t>
      </w:r>
      <w:r>
        <w:rPr>
          <w:spacing w:val="-2"/>
        </w:rPr>
        <w:t>公司尊重员工、客户、供应商等利益相关者的合法权利，实现各方利益的和谐发展，共同推动公司和行业持续、健康地</w:t>
      </w:r>
    </w:p>
    <w:p>
      <w:pPr>
        <w:pStyle w:val="BodyText"/>
        <w:spacing w:line="240" w:lineRule="auto" w:before="31"/>
        <w:ind w:right="0"/>
        <w:jc w:val="both"/>
      </w:pPr>
      <w:r>
        <w:rPr/>
        <w:t>发展。</w:t>
      </w:r>
    </w:p>
    <w:p>
      <w:pPr>
        <w:pStyle w:val="BodyText"/>
        <w:spacing w:line="300" w:lineRule="auto" w:before="76"/>
        <w:ind w:left="514" w:right="0"/>
        <w:jc w:val="left"/>
      </w:pPr>
      <w:r>
        <w:rPr>
          <w:rFonts w:ascii="Times New Roman" w:hAnsi="Times New Roman" w:cs="Times New Roman" w:eastAsia="Times New Roman" w:hint="default"/>
        </w:rPr>
        <w:t>7</w:t>
      </w:r>
      <w:r>
        <w:rPr/>
        <w:t>、信息披露与透明度 </w:t>
      </w:r>
      <w:r>
        <w:rPr>
          <w:spacing w:val="-2"/>
        </w:rPr>
        <w:t>公司指定董事会秘书为公司的投资者关系管理负责人，负责公司的信息披露与投资者关系的管理，接待投资者和调研机</w:t>
      </w:r>
    </w:p>
    <w:p>
      <w:pPr>
        <w:pStyle w:val="BodyText"/>
        <w:spacing w:line="316" w:lineRule="auto" w:before="31"/>
        <w:ind w:right="0"/>
        <w:jc w:val="left"/>
      </w:pPr>
      <w:r>
        <w:rPr>
          <w:spacing w:val="-2"/>
        </w:rPr>
        <w:t>构的来访。指定《证券时报》和巨潮资讯网为公司信息披露的报纸和网站，严格按照有关法律法规的规定和公司《投资者关</w:t>
      </w:r>
      <w:r>
        <w:rPr>
          <w:spacing w:val="-66"/>
        </w:rPr>
        <w:t> </w:t>
      </w:r>
      <w:r>
        <w:rPr>
          <w:spacing w:val="-66"/>
        </w:rPr>
      </w:r>
      <w:r>
        <w:rPr/>
        <w:t>系管理制度》《信息披露管理制度》，真实、准确、及时地披露信息，并确保所有股东有公平的机会获得信息。</w:t>
      </w:r>
    </w:p>
    <w:p>
      <w:pPr>
        <w:pStyle w:val="BodyText"/>
        <w:spacing w:line="300" w:lineRule="auto" w:before="19"/>
        <w:ind w:left="514" w:right="4560"/>
        <w:jc w:val="left"/>
      </w:pPr>
      <w:r>
        <w:rPr>
          <w:rFonts w:ascii="Times New Roman" w:hAnsi="Times New Roman" w:cs="Times New Roman" w:eastAsia="Times New Roman" w:hint="default"/>
        </w:rPr>
        <w:t>8</w:t>
      </w:r>
      <w:r>
        <w:rPr/>
        <w:t>、报告期内，公司已建立或修订的各项基本制度情况 报告期内，制定了《外汇套期保值业务管理制度</w:t>
      </w:r>
      <w:r>
        <w:rPr>
          <w:spacing w:val="-18"/>
        </w:rPr>
        <w:t> </w:t>
      </w:r>
      <w:r>
        <w:rPr/>
        <w:t>》、修订《公司章程》。</w:t>
      </w:r>
    </w:p>
    <w:p>
      <w:pPr>
        <w:spacing w:line="240" w:lineRule="auto" w:before="0"/>
        <w:rPr>
          <w:rFonts w:ascii="宋体" w:hAnsi="宋体" w:cs="宋体" w:eastAsia="宋体" w:hint="default"/>
          <w:sz w:val="18"/>
          <w:szCs w:val="18"/>
        </w:rPr>
      </w:pPr>
    </w:p>
    <w:p>
      <w:pPr>
        <w:pStyle w:val="BodyText"/>
        <w:spacing w:line="240" w:lineRule="auto" w:before="148"/>
        <w:ind w:right="0"/>
        <w:jc w:val="both"/>
      </w:pPr>
      <w:r>
        <w:rPr/>
        <w:t>公司治理的实际状况与中国证监会发布的有关上市公司治理的规范性文件是否存在重大差异</w:t>
      </w:r>
    </w:p>
    <w:p>
      <w:pPr>
        <w:pStyle w:val="BodyText"/>
        <w:spacing w:line="240" w:lineRule="auto" w:before="117"/>
        <w:ind w:right="0"/>
        <w:jc w:val="both"/>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after="0" w:line="240" w:lineRule="auto"/>
        <w:jc w:val="both"/>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公司治理的实际状况与中国证监会发布的有关上市公司治理的规范性文件不存在重大差异。</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二、公司相对于控股股东在业务、人员、资产、机构、财务等方面的独立情况" w:id="137"/>
      <w:bookmarkEnd w:id="137"/>
      <w:r>
        <w:rPr>
          <w:b w:val="0"/>
          <w:bCs w:val="0"/>
        </w:rPr>
      </w:r>
      <w:r>
        <w:rPr/>
        <w:t>二、公司相对于控股股东在业务、人员、资产、机构、财务等方面的独立情况</w:t>
      </w:r>
      <w:r>
        <w:rPr>
          <w:b w:val="0"/>
          <w:bCs w:val="0"/>
        </w:rPr>
      </w:r>
    </w:p>
    <w:p>
      <w:pPr>
        <w:spacing w:line="240" w:lineRule="auto" w:before="8"/>
        <w:rPr>
          <w:rFonts w:ascii="宋体" w:hAnsi="宋体" w:cs="宋体" w:eastAsia="宋体" w:hint="default"/>
          <w:b/>
          <w:bCs/>
          <w:sz w:val="26"/>
          <w:szCs w:val="26"/>
        </w:rPr>
      </w:pPr>
    </w:p>
    <w:p>
      <w:pPr>
        <w:pStyle w:val="BodyText"/>
        <w:spacing w:line="316" w:lineRule="auto"/>
        <w:ind w:right="1043" w:firstLine="360"/>
        <w:jc w:val="both"/>
      </w:pPr>
      <w:r>
        <w:rPr/>
        <w:t>公司严格按照《公司法》、《证券法》等有关法律法规和《公司章程》的要求规范运作，在业务、人员、资产、机构、 财务等方面均与控股股东完全分开，具有独立完整的业务及自主经营能力。</w:t>
      </w:r>
    </w:p>
    <w:p>
      <w:pPr>
        <w:pStyle w:val="BodyText"/>
        <w:spacing w:line="309" w:lineRule="auto" w:before="19"/>
        <w:ind w:right="1132" w:firstLine="360"/>
        <w:jc w:val="both"/>
      </w:pPr>
      <w:r>
        <w:rPr>
          <w:rFonts w:ascii="Times New Roman" w:hAnsi="Times New Roman" w:cs="Times New Roman" w:eastAsia="Times New Roman" w:hint="default"/>
        </w:rPr>
        <w:t>1</w:t>
      </w:r>
      <w:r>
        <w:rPr/>
        <w:t>、业务独立性：公司拥有独立完整的采购体系、生产体系、销售体系和研发设计体系，具有直接面向市场独立经营的 </w:t>
      </w:r>
      <w:r>
        <w:rPr>
          <w:spacing w:val="-2"/>
        </w:rPr>
        <w:t>能力，不存在其它需要依赖控股股东进行生产经营活动的情况。公司与控股股东之间无同业竞争，控股股东不存在直接或间</w:t>
      </w:r>
      <w:r>
        <w:rPr>
          <w:spacing w:val="-66"/>
        </w:rPr>
        <w:t> </w:t>
      </w:r>
      <w:r>
        <w:rPr>
          <w:spacing w:val="-66"/>
        </w:rPr>
      </w:r>
      <w:r>
        <w:rPr/>
        <w:t>接干预公司经营运作的情形。</w:t>
      </w:r>
    </w:p>
    <w:p>
      <w:pPr>
        <w:pStyle w:val="BodyText"/>
        <w:spacing w:line="309" w:lineRule="auto" w:before="24"/>
        <w:ind w:right="1133" w:firstLine="360"/>
        <w:jc w:val="both"/>
      </w:pPr>
      <w:r>
        <w:rPr>
          <w:rFonts w:ascii="Times New Roman" w:hAnsi="Times New Roman" w:cs="Times New Roman" w:eastAsia="Times New Roman" w:hint="default"/>
        </w:rPr>
        <w:t>2</w:t>
      </w:r>
      <w:r>
        <w:rPr/>
        <w:t>、人员独立性：公司在劳动、人事、工资管理等方面完全独立。公司的董事、监事、总经理、副总经理、财务负责人 </w:t>
      </w:r>
      <w:r>
        <w:rPr>
          <w:spacing w:val="-2"/>
        </w:rPr>
        <w:t>和董事会秘书等高级管理人员的任职，均按照《公司法》及其他法律、法规、规范性文件、公司章程规定的程序进行。公司</w:t>
      </w:r>
      <w:r>
        <w:rPr>
          <w:spacing w:val="-72"/>
        </w:rPr>
        <w:t> </w:t>
      </w:r>
      <w:r>
        <w:rPr>
          <w:spacing w:val="-72"/>
        </w:rPr>
      </w:r>
      <w:r>
        <w:rPr/>
        <w:t>总经理、副总经理、财务总监、董事会秘书等高级管理人员专职在公司工作并领取报酬。</w:t>
      </w:r>
    </w:p>
    <w:p>
      <w:pPr>
        <w:pStyle w:val="BodyText"/>
        <w:spacing w:line="300" w:lineRule="auto" w:before="24"/>
        <w:ind w:right="1140" w:firstLine="360"/>
        <w:jc w:val="both"/>
      </w:pPr>
      <w:r>
        <w:rPr>
          <w:rFonts w:ascii="Times New Roman" w:hAnsi="Times New Roman" w:cs="Times New Roman" w:eastAsia="Times New Roman" w:hint="default"/>
        </w:rPr>
        <w:t>3</w:t>
      </w:r>
      <w:r>
        <w:rPr/>
        <w:t>、资产独立性：公司与控股股东产权关系明晰，拥有独立的生产经营场所，拥有独立的研发、采购、生产、销售系统 及配套设施、商标使用权、土地使用权等资产，不存在控股股东占有公司资金、资产或其它资源的情况。</w:t>
      </w:r>
    </w:p>
    <w:p>
      <w:pPr>
        <w:pStyle w:val="BodyText"/>
        <w:spacing w:line="300" w:lineRule="auto" w:before="31"/>
        <w:ind w:right="1140" w:firstLine="360"/>
        <w:jc w:val="both"/>
      </w:pPr>
      <w:r>
        <w:rPr>
          <w:rFonts w:ascii="Times New Roman" w:hAnsi="Times New Roman" w:cs="Times New Roman" w:eastAsia="Times New Roman" w:hint="default"/>
        </w:rPr>
        <w:t>4</w:t>
      </w:r>
      <w:r>
        <w:rPr/>
        <w:t>、机构独立性：公司通过股东大会、董事会及其专门委员会、监事会、独立董事制度，强化权力制衡机制，形成了有 效的法人治理结构。公司销售、人事、行政、财务等所有机构与控股股东完全分开。</w:t>
      </w:r>
    </w:p>
    <w:p>
      <w:pPr>
        <w:pStyle w:val="BodyText"/>
        <w:spacing w:line="312" w:lineRule="auto" w:before="31"/>
        <w:ind w:right="1131" w:firstLine="360"/>
        <w:jc w:val="both"/>
      </w:pPr>
      <w:r>
        <w:rPr>
          <w:rFonts w:ascii="Times New Roman" w:hAnsi="Times New Roman" w:cs="Times New Roman" w:eastAsia="Times New Roman" w:hint="default"/>
        </w:rPr>
        <w:t>5</w:t>
      </w:r>
      <w:r>
        <w:rPr/>
        <w:t>、财务独立性：公司设立了独立的财务部门，配备了独立的财务人员，建立了独立的财务核算体系和规范的财务管理 </w:t>
      </w:r>
      <w:r>
        <w:rPr>
          <w:spacing w:val="-2"/>
        </w:rPr>
        <w:t>制度，能够独立作出财务决策。公司开设了独立的银行账号，依法独立进行纳税申报和履行纳税义务，不存在与控股股东共</w:t>
      </w:r>
      <w:r>
        <w:rPr>
          <w:spacing w:val="-66"/>
        </w:rPr>
        <w:t> </w:t>
      </w:r>
      <w:r>
        <w:rPr>
          <w:spacing w:val="-66"/>
        </w:rPr>
      </w:r>
      <w:r>
        <w:rPr>
          <w:spacing w:val="-2"/>
        </w:rPr>
        <w:t>用银行账户或混合纳税的情况。公司不存在货币资金或其他资产被控股股东占用的情况，也不存在为控股股东提供担保的情</w:t>
      </w:r>
      <w:r>
        <w:rPr>
          <w:spacing w:val="-64"/>
        </w:rPr>
        <w:t> </w:t>
      </w:r>
      <w:r>
        <w:rPr>
          <w:spacing w:val="-64"/>
        </w:rPr>
      </w:r>
      <w:r>
        <w:rPr/>
        <w:t>况。</w:t>
      </w:r>
    </w:p>
    <w:p>
      <w:pPr>
        <w:spacing w:line="240" w:lineRule="auto" w:before="0"/>
        <w:rPr>
          <w:rFonts w:ascii="宋体" w:hAnsi="宋体" w:cs="宋体" w:eastAsia="宋体" w:hint="default"/>
          <w:sz w:val="21"/>
          <w:szCs w:val="21"/>
        </w:rPr>
      </w:pPr>
    </w:p>
    <w:p>
      <w:pPr>
        <w:pStyle w:val="Heading2"/>
        <w:spacing w:line="240" w:lineRule="auto"/>
        <w:ind w:right="0"/>
        <w:jc w:val="left"/>
        <w:rPr>
          <w:b w:val="0"/>
          <w:bCs w:val="0"/>
        </w:rPr>
      </w:pPr>
      <w:bookmarkStart w:name="三、同业竞争情况" w:id="138"/>
      <w:bookmarkEnd w:id="138"/>
      <w:r>
        <w:rPr>
          <w:b w:val="0"/>
          <w:bCs w:val="0"/>
        </w:rPr>
      </w:r>
      <w:r>
        <w:rPr/>
        <w:t>三、同业竞争情况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四、报告期内召开的年度股东大会和临时股东大会的有关情况" w:id="139"/>
      <w:bookmarkEnd w:id="139"/>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本报告期股东大会情况" w:id="140"/>
      <w:bookmarkEnd w:id="140"/>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6"/>
        <w:gridCol w:w="1240"/>
        <w:gridCol w:w="1418"/>
        <w:gridCol w:w="1702"/>
        <w:gridCol w:w="1701"/>
        <w:gridCol w:w="1912"/>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84"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84"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196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5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02"/>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41.66%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32"/>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年度股东大会决议 公告（公告编号：</w:t>
            </w:r>
          </w:p>
          <w:p>
            <w:pPr>
              <w:pStyle w:val="TableParagraph"/>
              <w:spacing w:line="309" w:lineRule="auto" w:before="31"/>
              <w:ind w:left="2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2018-036</w:t>
            </w:r>
            <w:r>
              <w:rPr>
                <w:rFonts w:ascii="宋体" w:hAnsi="宋体" w:cs="宋体" w:eastAsia="宋体" w:hint="default"/>
                <w:sz w:val="18"/>
                <w:szCs w:val="18"/>
              </w:rPr>
              <w:t>）刊登在巨潮 资讯网 </w:t>
            </w:r>
            <w:r>
              <w:rPr>
                <w:rFonts w:ascii="Times New Roman" w:hAnsi="Times New Roman" w:cs="Times New Roman" w:eastAsia="Times New Roman" w:hint="default"/>
                <w:sz w:val="18"/>
                <w:szCs w:val="18"/>
              </w:rPr>
              <w:t>(www.cninfo.com.cn)</w:t>
            </w:r>
            <w:r>
              <w:rPr>
                <w:rFonts w:ascii="宋体" w:hAnsi="宋体" w:cs="宋体" w:eastAsia="宋体" w:hint="default"/>
                <w:sz w:val="18"/>
                <w:szCs w:val="18"/>
              </w:rPr>
              <w:t>和</w:t>
            </w:r>
          </w:p>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196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年度第一次临 时股东大会</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0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40.17%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3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年度股东大会决议 公告（公告编号：</w:t>
            </w:r>
          </w:p>
          <w:p>
            <w:pPr>
              <w:pStyle w:val="TableParagraph"/>
              <w:spacing w:line="309" w:lineRule="auto" w:before="31"/>
              <w:ind w:left="2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2018-017</w:t>
            </w:r>
            <w:r>
              <w:rPr>
                <w:rFonts w:ascii="宋体" w:hAnsi="宋体" w:cs="宋体" w:eastAsia="宋体" w:hint="default"/>
                <w:sz w:val="18"/>
                <w:szCs w:val="18"/>
              </w:rPr>
              <w:t>）刊登在巨潮 资讯网 </w:t>
            </w:r>
            <w:r>
              <w:rPr>
                <w:rFonts w:ascii="Times New Roman" w:hAnsi="Times New Roman" w:cs="Times New Roman" w:eastAsia="Times New Roman" w:hint="default"/>
                <w:sz w:val="18"/>
                <w:szCs w:val="18"/>
              </w:rPr>
              <w:t>(www.cninfo.com.cn)</w:t>
            </w:r>
            <w:r>
              <w:rPr>
                <w:rFonts w:ascii="宋体" w:hAnsi="宋体" w:cs="宋体" w:eastAsia="宋体" w:hint="default"/>
                <w:sz w:val="18"/>
                <w:szCs w:val="18"/>
              </w:rPr>
              <w:t>和</w:t>
            </w:r>
          </w:p>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40.98%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年度股东大会决议</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1596"/>
        <w:gridCol w:w="1240"/>
        <w:gridCol w:w="1418"/>
        <w:gridCol w:w="1702"/>
        <w:gridCol w:w="1701"/>
        <w:gridCol w:w="1912"/>
      </w:tblGrid>
      <w:tr>
        <w:trPr>
          <w:trHeight w:val="161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时股东大会</w:t>
            </w:r>
          </w:p>
        </w:tc>
        <w:tc>
          <w:tcPr>
            <w:tcW w:w="1240"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01" w:type="dxa"/>
            <w:tcBorders>
              <w:top w:val="single" w:sz="4" w:space="0" w:color="000000"/>
              <w:left w:val="single" w:sz="4" w:space="0" w:color="000000"/>
              <w:bottom w:val="single" w:sz="4" w:space="0" w:color="000000"/>
              <w:right w:val="single" w:sz="4" w:space="0" w:color="000000"/>
            </w:tcBorders>
          </w:tcPr>
          <w:p>
            <w:pP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22" w:right="107"/>
              <w:jc w:val="left"/>
              <w:rPr>
                <w:rFonts w:ascii="宋体" w:hAnsi="宋体" w:cs="宋体" w:eastAsia="宋体" w:hint="default"/>
                <w:sz w:val="18"/>
                <w:szCs w:val="18"/>
              </w:rPr>
            </w:pPr>
            <w:r>
              <w:rPr>
                <w:rFonts w:ascii="宋体" w:hAnsi="宋体" w:cs="宋体" w:eastAsia="宋体" w:hint="default"/>
                <w:sz w:val="18"/>
                <w:szCs w:val="18"/>
              </w:rPr>
              <w:t>公告（公告编号： </w:t>
            </w:r>
            <w:r>
              <w:rPr>
                <w:rFonts w:ascii="Times New Roman" w:hAnsi="Times New Roman" w:cs="Times New Roman" w:eastAsia="Times New Roman" w:hint="default"/>
                <w:sz w:val="18"/>
                <w:szCs w:val="18"/>
              </w:rPr>
              <w:t>2017-084</w:t>
            </w:r>
            <w:r>
              <w:rPr>
                <w:rFonts w:ascii="宋体" w:hAnsi="宋体" w:cs="宋体" w:eastAsia="宋体" w:hint="default"/>
                <w:sz w:val="18"/>
                <w:szCs w:val="18"/>
              </w:rPr>
              <w:t>）刊登在巨潮 资讯网 </w:t>
            </w:r>
            <w:r>
              <w:rPr>
                <w:rFonts w:ascii="Times New Roman" w:hAnsi="Times New Roman" w:cs="Times New Roman" w:eastAsia="Times New Roman" w:hint="default"/>
                <w:sz w:val="18"/>
                <w:szCs w:val="18"/>
              </w:rPr>
              <w:t>(www.cninfo.com.cn)</w:t>
            </w:r>
            <w:r>
              <w:rPr>
                <w:rFonts w:ascii="宋体" w:hAnsi="宋体" w:cs="宋体" w:eastAsia="宋体" w:hint="default"/>
                <w:sz w:val="18"/>
                <w:szCs w:val="18"/>
              </w:rPr>
              <w:t>和</w:t>
            </w:r>
          </w:p>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196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年度第三次临 时股东大会</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830" w:right="0"/>
              <w:jc w:val="left"/>
              <w:rPr>
                <w:rFonts w:ascii="Times New Roman" w:hAnsi="Times New Roman" w:cs="Times New Roman" w:eastAsia="Times New Roman" w:hint="default"/>
                <w:sz w:val="18"/>
                <w:szCs w:val="18"/>
              </w:rPr>
            </w:pPr>
            <w:r>
              <w:rPr>
                <w:rFonts w:ascii="Times New Roman"/>
                <w:sz w:val="18"/>
              </w:rPr>
              <w:t>41.71%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3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年度股东大会决议 公告（公告编号：</w:t>
            </w:r>
          </w:p>
          <w:p>
            <w:pPr>
              <w:pStyle w:val="TableParagraph"/>
              <w:spacing w:line="309" w:lineRule="auto" w:before="31"/>
              <w:ind w:left="2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2018-104</w:t>
            </w:r>
            <w:r>
              <w:rPr>
                <w:rFonts w:ascii="宋体" w:hAnsi="宋体" w:cs="宋体" w:eastAsia="宋体" w:hint="default"/>
                <w:sz w:val="18"/>
                <w:szCs w:val="18"/>
              </w:rPr>
              <w:t>）刊登在巨潮 资讯网 </w:t>
            </w:r>
            <w:r>
              <w:rPr>
                <w:rFonts w:ascii="Times New Roman" w:hAnsi="Times New Roman" w:cs="Times New Roman" w:eastAsia="Times New Roman" w:hint="default"/>
                <w:sz w:val="18"/>
                <w:szCs w:val="18"/>
              </w:rPr>
              <w:t>(www.cninfo.com.cn)</w:t>
            </w:r>
            <w:r>
              <w:rPr>
                <w:rFonts w:ascii="宋体" w:hAnsi="宋体" w:cs="宋体" w:eastAsia="宋体" w:hint="default"/>
                <w:sz w:val="18"/>
                <w:szCs w:val="18"/>
              </w:rPr>
              <w:t>和</w:t>
            </w:r>
          </w:p>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《证券时报》</w:t>
            </w:r>
          </w:p>
        </w:tc>
      </w:tr>
    </w:tbl>
    <w:p>
      <w:pPr>
        <w:spacing w:line="240" w:lineRule="auto" w:before="2"/>
        <w:rPr>
          <w:rFonts w:ascii="宋体" w:hAnsi="宋体" w:cs="宋体" w:eastAsia="宋体" w:hint="default"/>
          <w:b/>
          <w:bCs/>
          <w:sz w:val="19"/>
          <w:szCs w:val="19"/>
        </w:rPr>
      </w:pPr>
    </w:p>
    <w:p>
      <w:pPr>
        <w:pStyle w:val="Heading4"/>
        <w:spacing w:line="240" w:lineRule="auto" w:before="35"/>
        <w:ind w:right="0"/>
        <w:jc w:val="left"/>
        <w:rPr>
          <w:b w:val="0"/>
          <w:bCs w:val="0"/>
        </w:rPr>
      </w:pPr>
      <w:bookmarkStart w:name="2、表决权恢复的优先股股东请求召开临时股东大会" w:id="141"/>
      <w:bookmarkEnd w:id="141"/>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五、报告期内独立董事履行职责的情况" w:id="142"/>
      <w:bookmarkEnd w:id="142"/>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独立董事出席董事会及股东大会的情况" w:id="143"/>
      <w:bookmarkEnd w:id="143"/>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2"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5" w:right="36"/>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05" w:right="36"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07" w:right="35"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85" w:right="35"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5" w:right="35"/>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95"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马秀敏</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王丽娜</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6</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贾广新</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51"/>
        <w:ind w:right="0"/>
        <w:jc w:val="left"/>
      </w:pPr>
      <w:r>
        <w:rPr/>
        <w:t>连续两次未亲自出席董事会的说明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独立董事对公司有关事项提出异议的情况" w:id="144"/>
      <w:bookmarkEnd w:id="144"/>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独立董事对公司有关事项是否提出异议</w:t>
      </w:r>
    </w:p>
    <w:p>
      <w:pPr>
        <w:pStyle w:val="BodyText"/>
        <w:spacing w:line="340" w:lineRule="auto" w:before="116"/>
        <w:ind w:right="697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报告期内独立董事对公司有关事项未提出异议。</w:t>
      </w:r>
    </w:p>
    <w:p>
      <w:pPr>
        <w:spacing w:line="240" w:lineRule="auto" w:before="12"/>
        <w:rPr>
          <w:rFonts w:ascii="宋体" w:hAnsi="宋体" w:cs="宋体" w:eastAsia="宋体" w:hint="default"/>
          <w:sz w:val="20"/>
          <w:szCs w:val="20"/>
        </w:rPr>
      </w:pPr>
    </w:p>
    <w:p>
      <w:pPr>
        <w:pStyle w:val="Heading4"/>
        <w:spacing w:line="240" w:lineRule="auto"/>
        <w:ind w:right="0"/>
        <w:jc w:val="left"/>
        <w:rPr>
          <w:b w:val="0"/>
          <w:bCs w:val="0"/>
        </w:rPr>
      </w:pPr>
      <w:bookmarkStart w:name="3、独立董事履行职责的其他说明" w:id="145"/>
      <w:bookmarkEnd w:id="145"/>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独立董事对公司有关建议是否被采纳</w:t>
      </w:r>
    </w:p>
    <w:p>
      <w:pPr>
        <w:pStyle w:val="BodyText"/>
        <w:spacing w:line="338" w:lineRule="auto" w:before="116"/>
        <w:ind w:right="679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独立董事对公司有关建议被采纳或未被采纳的说明</w:t>
      </w:r>
    </w:p>
    <w:p>
      <w:pPr>
        <w:pStyle w:val="BodyText"/>
        <w:spacing w:line="316" w:lineRule="auto" w:before="42"/>
        <w:ind w:right="0" w:firstLine="360"/>
        <w:jc w:val="left"/>
      </w:pPr>
      <w:r>
        <w:rPr>
          <w:spacing w:val="-2"/>
        </w:rPr>
        <w:t>报告期内，独立董事通过参加会议和现场检查等方式，及时了解掌握公司经营与发展情况，结合其在管理、财务、法律</w:t>
      </w:r>
      <w:r>
        <w:rPr/>
        <w:t> 等方面的特长，就公司的战略发展、内部控制等方面提出的合理的建议，公司结合自身实际情况予以采纳。</w:t>
      </w:r>
    </w:p>
    <w:p>
      <w:pPr>
        <w:spacing w:after="0" w:line="316" w:lineRule="auto"/>
        <w:jc w:val="left"/>
        <w:sectPr>
          <w:footerReference w:type="default" r:id="rId53"/>
          <w:pgSz w:w="11910" w:h="16840"/>
          <w:pgMar w:footer="979" w:header="747"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63"/>
        <w:ind w:right="0"/>
        <w:jc w:val="left"/>
        <w:rPr>
          <w:b w:val="0"/>
          <w:bCs w:val="0"/>
        </w:rPr>
      </w:pPr>
      <w:bookmarkStart w:name="六、董事会下设专门委员会在报告期内履行职责情况" w:id="146"/>
      <w:bookmarkEnd w:id="146"/>
      <w:r>
        <w:rPr>
          <w:b w:val="0"/>
          <w:bCs w:val="0"/>
        </w:rPr>
      </w:r>
      <w:r>
        <w:rPr/>
        <w:t>六、董事会下设专门委员会在报告期内履行职责情况</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14" w:right="0"/>
        <w:jc w:val="left"/>
      </w:pPr>
      <w:r>
        <w:rPr>
          <w:rFonts w:ascii="Times New Roman" w:hAnsi="Times New Roman" w:cs="Times New Roman" w:eastAsia="Times New Roman" w:hint="default"/>
        </w:rPr>
        <w:t>1</w:t>
      </w:r>
      <w:r>
        <w:rPr/>
        <w:t>、董事会战略委员会的履职情况 </w:t>
      </w:r>
      <w:r>
        <w:rPr>
          <w:spacing w:val="-2"/>
        </w:rPr>
        <w:t>公司董事会战略委员会由吴涵渠、王丽娜、贾广新三位董事组成，其中王丽娜、贾广新为独立董事，吴涵渠担任委员会</w:t>
      </w:r>
    </w:p>
    <w:p>
      <w:pPr>
        <w:pStyle w:val="BodyText"/>
        <w:spacing w:line="309" w:lineRule="auto" w:before="31"/>
        <w:ind w:right="1158"/>
        <w:jc w:val="both"/>
      </w:pPr>
      <w:r>
        <w:rPr/>
        <w:t>主任。</w:t>
      </w:r>
      <w:r>
        <w:rPr>
          <w:spacing w:val="-19"/>
        </w:rPr>
        <w:t> </w:t>
      </w:r>
      <w:r>
        <w:rPr/>
        <w:t>报告期内，根据中国证监会、深圳证券交易所及公司《战略委员会议事规则》的规定，公司战略委员会本着勤勉尽</w:t>
      </w:r>
      <w:r>
        <w:rPr/>
        <w:t> 责的原则，履行工作职责。报告期内，战略委员会共召开了</w:t>
      </w:r>
      <w:r>
        <w:rPr>
          <w:rFonts w:ascii="Times New Roman" w:hAnsi="Times New Roman" w:cs="Times New Roman" w:eastAsia="Times New Roman" w:hint="default"/>
        </w:rPr>
        <w:t>1</w:t>
      </w:r>
      <w:r>
        <w:rPr/>
        <w:t>次会议，审议通过了《关于</w:t>
      </w:r>
      <w:r>
        <w:rPr>
          <w:rFonts w:ascii="Times New Roman" w:hAnsi="Times New Roman" w:cs="Times New Roman" w:eastAsia="Times New Roman" w:hint="default"/>
        </w:rPr>
        <w:t>&lt;</w:t>
      </w:r>
      <w:r>
        <w:rPr/>
        <w:t>公司</w:t>
      </w:r>
      <w:r>
        <w:rPr>
          <w:rFonts w:ascii="Times New Roman" w:hAnsi="Times New Roman" w:cs="Times New Roman" w:eastAsia="Times New Roman" w:hint="default"/>
        </w:rPr>
        <w:t>2018</w:t>
      </w:r>
      <w:r>
        <w:rPr/>
        <w:t>年度发展战略和经营计 划</w:t>
      </w:r>
      <w:r>
        <w:rPr>
          <w:rFonts w:ascii="Times New Roman" w:hAnsi="Times New Roman" w:cs="Times New Roman" w:eastAsia="Times New Roman" w:hint="default"/>
        </w:rPr>
        <w:t>&gt;</w:t>
      </w:r>
      <w:r>
        <w:rPr/>
        <w:t>的议案》。</w:t>
      </w:r>
    </w:p>
    <w:p>
      <w:pPr>
        <w:pStyle w:val="BodyText"/>
        <w:spacing w:line="300" w:lineRule="auto" w:before="5"/>
        <w:ind w:left="514" w:right="0"/>
        <w:jc w:val="left"/>
      </w:pPr>
      <w:r>
        <w:rPr>
          <w:rFonts w:ascii="Times New Roman" w:hAnsi="Times New Roman" w:cs="Times New Roman" w:eastAsia="Times New Roman" w:hint="default"/>
        </w:rPr>
        <w:t>2</w:t>
      </w:r>
      <w:r>
        <w:rPr/>
        <w:t>、董事会审计委员会的履职情况 </w:t>
      </w:r>
      <w:r>
        <w:rPr>
          <w:spacing w:val="-2"/>
        </w:rPr>
        <w:t>公司董事会审计委员会由马秀敏、王丽娜、吴涵渠三位董事组成，其中马秀敏、王丽娜为独立董事，马秀敏（会计专业</w:t>
      </w:r>
    </w:p>
    <w:p>
      <w:pPr>
        <w:pStyle w:val="BodyText"/>
        <w:spacing w:line="302" w:lineRule="auto" w:before="31"/>
        <w:ind w:right="1128"/>
        <w:jc w:val="left"/>
      </w:pPr>
      <w:r>
        <w:rPr>
          <w:spacing w:val="-2"/>
        </w:rPr>
        <w:t>人士）担任委员会主任。报告期内，根据中国证监会、深圳证券交易所及公司《审计委员会议事规则》的规定，公司董事会</w:t>
      </w:r>
      <w:r>
        <w:rPr>
          <w:spacing w:val="-72"/>
        </w:rPr>
        <w:t> </w:t>
      </w:r>
      <w:r>
        <w:rPr>
          <w:spacing w:val="-72"/>
        </w:rPr>
      </w:r>
      <w:r>
        <w:rPr/>
        <w:t>审计委员会本着勤勉尽责的原则，履行工作职责。报告期内，审计委员会共召开</w:t>
      </w:r>
      <w:r>
        <w:rPr>
          <w:rFonts w:ascii="Times New Roman" w:hAnsi="Times New Roman" w:cs="Times New Roman" w:eastAsia="Times New Roman" w:hint="default"/>
        </w:rPr>
        <w:t>4</w:t>
      </w:r>
      <w:r>
        <w:rPr/>
        <w:t>次会议，审议通过了《关于</w:t>
      </w:r>
      <w:r>
        <w:rPr>
          <w:rFonts w:ascii="Times New Roman" w:hAnsi="Times New Roman" w:cs="Times New Roman" w:eastAsia="Times New Roman" w:hint="default"/>
        </w:rPr>
        <w:t>&lt;2017</w:t>
      </w:r>
      <w:r>
        <w:rPr/>
        <w:t>年度审 </w:t>
      </w:r>
      <w:r>
        <w:rPr>
          <w:spacing w:val="-4"/>
        </w:rPr>
        <w:t>计部工作总结</w:t>
      </w:r>
      <w:r>
        <w:rPr>
          <w:rFonts w:ascii="Times New Roman" w:hAnsi="Times New Roman" w:cs="Times New Roman" w:eastAsia="Times New Roman" w:hint="default"/>
          <w:spacing w:val="-4"/>
        </w:rPr>
        <w:t>&gt;</w:t>
      </w:r>
      <w:r>
        <w:rPr>
          <w:spacing w:val="-4"/>
        </w:rPr>
        <w:t>的议案》、《关于</w:t>
      </w:r>
      <w:r>
        <w:rPr>
          <w:rFonts w:ascii="Times New Roman" w:hAnsi="Times New Roman" w:cs="Times New Roman" w:eastAsia="Times New Roman" w:hint="default"/>
          <w:spacing w:val="-4"/>
        </w:rPr>
        <w:t>&lt;2018</w:t>
      </w:r>
      <w:r>
        <w:rPr>
          <w:spacing w:val="-4"/>
        </w:rPr>
        <w:t>年度审计部工作计划</w:t>
      </w:r>
      <w:r>
        <w:rPr>
          <w:rFonts w:ascii="Times New Roman" w:hAnsi="Times New Roman" w:cs="Times New Roman" w:eastAsia="Times New Roman" w:hint="default"/>
          <w:spacing w:val="-4"/>
        </w:rPr>
        <w:t>&gt;</w:t>
      </w:r>
      <w:r>
        <w:rPr>
          <w:spacing w:val="-4"/>
        </w:rPr>
        <w:t>的议案》、《关于</w:t>
      </w:r>
      <w:r>
        <w:rPr>
          <w:rFonts w:ascii="Times New Roman" w:hAnsi="Times New Roman" w:cs="Times New Roman" w:eastAsia="Times New Roman" w:hint="default"/>
          <w:spacing w:val="-4"/>
        </w:rPr>
        <w:t>&lt;</w:t>
      </w:r>
      <w:r>
        <w:rPr>
          <w:spacing w:val="-4"/>
        </w:rPr>
        <w:t>公司</w:t>
      </w:r>
      <w:r>
        <w:rPr>
          <w:rFonts w:ascii="Times New Roman" w:hAnsi="Times New Roman" w:cs="Times New Roman" w:eastAsia="Times New Roman" w:hint="default"/>
          <w:spacing w:val="-4"/>
        </w:rPr>
        <w:t>2017</w:t>
      </w:r>
      <w:r>
        <w:rPr>
          <w:spacing w:val="-4"/>
        </w:rPr>
        <w:t>年度财务决算报告</w:t>
      </w:r>
      <w:r>
        <w:rPr>
          <w:rFonts w:ascii="Times New Roman" w:hAnsi="Times New Roman" w:cs="Times New Roman" w:eastAsia="Times New Roman" w:hint="default"/>
          <w:spacing w:val="-4"/>
        </w:rPr>
        <w:t>&gt;</w:t>
      </w:r>
      <w:r>
        <w:rPr>
          <w:spacing w:val="-4"/>
        </w:rPr>
        <w:t>的议案》、《关</w:t>
      </w:r>
      <w:r>
        <w:rPr>
          <w:spacing w:val="-82"/>
        </w:rPr>
        <w:t> </w:t>
      </w:r>
      <w:r>
        <w:rPr>
          <w:spacing w:val="-82"/>
        </w:rPr>
      </w:r>
      <w:r>
        <w:rPr/>
        <w:t>于</w:t>
      </w:r>
      <w:r>
        <w:rPr>
          <w:rFonts w:ascii="Times New Roman" w:hAnsi="Times New Roman" w:cs="Times New Roman" w:eastAsia="Times New Roman" w:hint="default"/>
        </w:rPr>
        <w:t>&lt;</w:t>
      </w:r>
      <w:r>
        <w:rPr/>
        <w:t>公司</w:t>
      </w:r>
      <w:r>
        <w:rPr>
          <w:rFonts w:ascii="Times New Roman" w:hAnsi="Times New Roman" w:cs="Times New Roman" w:eastAsia="Times New Roman" w:hint="default"/>
        </w:rPr>
        <w:t>2017</w:t>
      </w:r>
      <w:r>
        <w:rPr/>
        <w:t>年度内部控制自我评价报告</w:t>
      </w:r>
      <w:r>
        <w:rPr>
          <w:rFonts w:ascii="Times New Roman" w:hAnsi="Times New Roman" w:cs="Times New Roman" w:eastAsia="Times New Roman" w:hint="default"/>
        </w:rPr>
        <w:t>&gt;</w:t>
      </w:r>
      <w:r>
        <w:rPr/>
        <w:t>的议案》、《关于公司续聘会计师事务所的议案》、《关于公司</w:t>
      </w:r>
      <w:r>
        <w:rPr>
          <w:rFonts w:ascii="Times New Roman" w:hAnsi="Times New Roman" w:cs="Times New Roman" w:eastAsia="Times New Roman" w:hint="default"/>
        </w:rPr>
        <w:t>2018</w:t>
      </w:r>
      <w:r>
        <w:rPr/>
        <w:t>年第一季度 </w:t>
      </w:r>
      <w:r>
        <w:rPr>
          <w:spacing w:val="-2"/>
        </w:rPr>
        <w:t>财务报告的议案》、《关于审计部</w:t>
      </w:r>
      <w:r>
        <w:rPr>
          <w:rFonts w:ascii="Times New Roman" w:hAnsi="Times New Roman" w:cs="Times New Roman" w:eastAsia="Times New Roman" w:hint="default"/>
          <w:spacing w:val="-2"/>
        </w:rPr>
        <w:t>2018</w:t>
      </w:r>
      <w:r>
        <w:rPr>
          <w:spacing w:val="-2"/>
        </w:rPr>
        <w:t>年第一季度工作总结报告和第二季度工作计划的议案》、《关于公司</w:t>
      </w:r>
      <w:r>
        <w:rPr>
          <w:rFonts w:ascii="Times New Roman" w:hAnsi="Times New Roman" w:cs="Times New Roman" w:eastAsia="Times New Roman" w:hint="default"/>
          <w:spacing w:val="-2"/>
        </w:rPr>
        <w:t>2018</w:t>
      </w:r>
      <w:r>
        <w:rPr>
          <w:spacing w:val="-2"/>
        </w:rPr>
        <w:t>年半年度财</w:t>
      </w:r>
      <w:r>
        <w:rPr>
          <w:spacing w:val="-60"/>
        </w:rPr>
        <w:t> </w:t>
      </w:r>
      <w:r>
        <w:rPr>
          <w:spacing w:val="-2"/>
        </w:rPr>
        <w:t>务报告的议案》、《关于审计部</w:t>
      </w:r>
      <w:r>
        <w:rPr>
          <w:rFonts w:ascii="Times New Roman" w:hAnsi="Times New Roman" w:cs="Times New Roman" w:eastAsia="Times New Roman" w:hint="default"/>
          <w:spacing w:val="-2"/>
        </w:rPr>
        <w:t>2018</w:t>
      </w:r>
      <w:r>
        <w:rPr>
          <w:spacing w:val="-2"/>
        </w:rPr>
        <w:t>年第二季度工作总结报告和第三季度工作计划的议案》、《关于公司</w:t>
      </w:r>
      <w:r>
        <w:rPr>
          <w:rFonts w:ascii="Times New Roman" w:hAnsi="Times New Roman" w:cs="Times New Roman" w:eastAsia="Times New Roman" w:hint="default"/>
          <w:spacing w:val="-2"/>
        </w:rPr>
        <w:t>2018</w:t>
      </w:r>
      <w:r>
        <w:rPr>
          <w:spacing w:val="-2"/>
        </w:rPr>
        <w:t>年第三季度财</w:t>
      </w:r>
      <w:r>
        <w:rPr>
          <w:spacing w:val="-60"/>
        </w:rPr>
        <w:t> </w:t>
      </w:r>
      <w:r>
        <w:rPr/>
        <w:t>务报告的议案》、《关于审计部</w:t>
      </w:r>
      <w:r>
        <w:rPr>
          <w:rFonts w:ascii="Times New Roman" w:hAnsi="Times New Roman" w:cs="Times New Roman" w:eastAsia="Times New Roman" w:hint="default"/>
        </w:rPr>
        <w:t>2018</w:t>
      </w:r>
      <w:r>
        <w:rPr/>
        <w:t>年第三季度工作总结报告和第四季度工作计划的议案》。</w:t>
      </w:r>
    </w:p>
    <w:p>
      <w:pPr>
        <w:pStyle w:val="BodyText"/>
        <w:spacing w:line="300" w:lineRule="auto" w:before="11"/>
        <w:ind w:left="514" w:right="0"/>
        <w:jc w:val="left"/>
      </w:pPr>
      <w:r>
        <w:rPr>
          <w:rFonts w:ascii="Times New Roman" w:hAnsi="Times New Roman" w:cs="Times New Roman" w:eastAsia="Times New Roman" w:hint="default"/>
        </w:rPr>
        <w:t>3</w:t>
      </w:r>
      <w:r>
        <w:rPr/>
        <w:t>、董事会薪酬与考核委员会的履职情况 </w:t>
      </w:r>
      <w:r>
        <w:rPr>
          <w:spacing w:val="-2"/>
        </w:rPr>
        <w:t>公司董事会薪酬与考核委员会有王丽娜、贾广新、吴涵渠三位董事组成，其中王丽娜、贾广新为独立董事，王丽娜担任</w:t>
      </w:r>
    </w:p>
    <w:p>
      <w:pPr>
        <w:pStyle w:val="BodyText"/>
        <w:spacing w:line="307" w:lineRule="auto" w:before="31"/>
        <w:ind w:right="1115"/>
        <w:jc w:val="left"/>
      </w:pPr>
      <w:r>
        <w:rPr>
          <w:spacing w:val="-2"/>
        </w:rPr>
        <w:t>委员会主任。报告期内，根据中国证监会、深圳证券交易所及公司《薪酬与考核委员会议事规则》的规定。公司董事会薪酬</w:t>
      </w:r>
      <w:r>
        <w:rPr>
          <w:spacing w:val="-68"/>
        </w:rPr>
        <w:t> </w:t>
      </w:r>
      <w:r>
        <w:rPr>
          <w:spacing w:val="-68"/>
        </w:rPr>
      </w:r>
      <w:r>
        <w:rPr/>
        <w:t>与考核委员会本着勤勉尽责的原则，履行工作职责。报告期内，薪酬与考核委员会共召开了</w:t>
      </w:r>
      <w:r>
        <w:rPr>
          <w:rFonts w:ascii="Times New Roman" w:hAnsi="Times New Roman" w:cs="Times New Roman" w:eastAsia="Times New Roman" w:hint="default"/>
        </w:rPr>
        <w:t>5</w:t>
      </w:r>
      <w:r>
        <w:rPr/>
        <w:t>次会议，审议通过了《关于</w:t>
      </w:r>
      <w:r>
        <w:rPr>
          <w:rFonts w:ascii="Times New Roman" w:hAnsi="Times New Roman" w:cs="Times New Roman" w:eastAsia="Times New Roman" w:hint="default"/>
        </w:rPr>
        <w:t>&lt; </w:t>
      </w:r>
      <w:r>
        <w:rPr/>
        <w:t>深圳市奥拓电子股份有限公司 </w:t>
      </w:r>
      <w:r>
        <w:rPr>
          <w:rFonts w:ascii="Times New Roman" w:hAnsi="Times New Roman" w:cs="Times New Roman" w:eastAsia="Times New Roman" w:hint="default"/>
        </w:rPr>
        <w:t>2018</w:t>
      </w:r>
      <w:r>
        <w:rPr>
          <w:rFonts w:ascii="Times New Roman" w:hAnsi="Times New Roman" w:cs="Times New Roman" w:eastAsia="Times New Roman" w:hint="default"/>
          <w:spacing w:val="8"/>
        </w:rPr>
        <w:t> </w:t>
      </w:r>
      <w:r>
        <w:rPr/>
        <w:t>年限制性股票激励计划（草案）</w:t>
      </w:r>
      <w:r>
        <w:rPr>
          <w:rFonts w:ascii="Times New Roman" w:hAnsi="Times New Roman" w:cs="Times New Roman" w:eastAsia="Times New Roman" w:hint="default"/>
        </w:rPr>
        <w:t>&gt;</w:t>
      </w:r>
      <w:r>
        <w:rPr/>
        <w:t>及其摘要的议案》、《关于</w:t>
      </w:r>
      <w:r>
        <w:rPr>
          <w:rFonts w:ascii="Times New Roman" w:hAnsi="Times New Roman" w:cs="Times New Roman" w:eastAsia="Times New Roman" w:hint="default"/>
        </w:rPr>
        <w:t>2018</w:t>
      </w:r>
      <w:r>
        <w:rPr/>
        <w:t>年股票期权激励计划 </w:t>
      </w:r>
      <w:r>
        <w:rPr>
          <w:spacing w:val="-2"/>
        </w:rPr>
        <w:t>向激励对象首次授予股票期权的公告》、《关于公司限制性股票激励计划暂缓授予部分第一个解锁期可解锁的议案》、《关</w:t>
      </w:r>
      <w:r>
        <w:rPr>
          <w:spacing w:val="-66"/>
        </w:rPr>
        <w:t> </w:t>
      </w:r>
      <w:r>
        <w:rPr>
          <w:spacing w:val="-66"/>
        </w:rPr>
      </w:r>
      <w:r>
        <w:rPr/>
        <w:t>于公司注销</w:t>
      </w:r>
      <w:r>
        <w:rPr>
          <w:rFonts w:ascii="Times New Roman" w:hAnsi="Times New Roman" w:cs="Times New Roman" w:eastAsia="Times New Roman" w:hint="default"/>
        </w:rPr>
        <w:t>2017</w:t>
      </w:r>
      <w:r>
        <w:rPr/>
        <w:t>年股票期权激励计划部分股票期权的议案》、《关于公司</w:t>
      </w:r>
      <w:r>
        <w:rPr>
          <w:spacing w:val="-41"/>
        </w:rPr>
        <w:t> </w:t>
      </w: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t>年限制性股票激励计划第二个解锁期可解锁 </w:t>
      </w:r>
      <w:r>
        <w:rPr>
          <w:spacing w:val="-5"/>
        </w:rPr>
        <w:t>的议案》、《关于公司董事、高级管理人员</w:t>
      </w:r>
      <w:r>
        <w:rPr>
          <w:rFonts w:ascii="Times New Roman" w:hAnsi="Times New Roman" w:cs="Times New Roman" w:eastAsia="Times New Roman" w:hint="default"/>
          <w:spacing w:val="-5"/>
        </w:rPr>
        <w:t>2017</w:t>
      </w:r>
      <w:r>
        <w:rPr>
          <w:spacing w:val="-5"/>
        </w:rPr>
        <w:t>年度薪酬的议案》、《关于公司董事长</w:t>
      </w:r>
      <w:r>
        <w:rPr>
          <w:rFonts w:ascii="Times New Roman" w:hAnsi="Times New Roman" w:cs="Times New Roman" w:eastAsia="Times New Roman" w:hint="default"/>
          <w:spacing w:val="-5"/>
        </w:rPr>
        <w:t>2018</w:t>
      </w:r>
      <w:r>
        <w:rPr>
          <w:spacing w:val="-5"/>
        </w:rPr>
        <w:t>年度薪酬分配方案的议案》、《关</w:t>
      </w:r>
      <w:r>
        <w:rPr>
          <w:spacing w:val="-61"/>
        </w:rPr>
        <w:t> </w:t>
      </w:r>
      <w:r>
        <w:rPr>
          <w:spacing w:val="-61"/>
        </w:rPr>
      </w:r>
      <w:r>
        <w:rPr/>
        <w:t>于公司高级管理人员</w:t>
      </w:r>
      <w:r>
        <w:rPr>
          <w:rFonts w:ascii="Times New Roman" w:hAnsi="Times New Roman" w:cs="Times New Roman" w:eastAsia="Times New Roman" w:hint="default"/>
        </w:rPr>
        <w:t>2018</w:t>
      </w:r>
      <w:r>
        <w:rPr/>
        <w:t>年度薪酬分配方案的议案》。</w:t>
      </w:r>
    </w:p>
    <w:p>
      <w:pPr>
        <w:pStyle w:val="BodyText"/>
        <w:spacing w:line="300" w:lineRule="auto" w:before="7"/>
        <w:ind w:left="514" w:right="0"/>
        <w:jc w:val="left"/>
      </w:pPr>
      <w:r>
        <w:rPr>
          <w:rFonts w:ascii="Times New Roman" w:hAnsi="Times New Roman" w:cs="Times New Roman" w:eastAsia="Times New Roman" w:hint="default"/>
        </w:rPr>
        <w:t>4</w:t>
      </w:r>
      <w:r>
        <w:rPr/>
        <w:t>、董事会提名委员会的履职情况 </w:t>
      </w:r>
      <w:r>
        <w:rPr>
          <w:spacing w:val="-2"/>
        </w:rPr>
        <w:t>公司董事会提名委员会有贾广新、王丽娜、吴涵渠三位董事组成，其中贾广新、王丽娜为独立董事，贾广新担任委员会</w:t>
      </w:r>
    </w:p>
    <w:p>
      <w:pPr>
        <w:pStyle w:val="BodyText"/>
        <w:spacing w:line="300" w:lineRule="auto" w:before="31"/>
        <w:ind w:right="1122"/>
        <w:jc w:val="left"/>
      </w:pPr>
      <w:r>
        <w:rPr/>
        <w:t>主任。报告期内，提名委员会共召开</w:t>
      </w:r>
      <w:r>
        <w:rPr>
          <w:rFonts w:ascii="Times New Roman" w:hAnsi="Times New Roman" w:cs="Times New Roman" w:eastAsia="Times New Roman" w:hint="default"/>
        </w:rPr>
        <w:t>2</w:t>
      </w:r>
      <w:r>
        <w:rPr/>
        <w:t>次会议，审核《公司董事（非独立董事）及高级管理人员的履职情况》、《关于董事 会换届选举的议案》。</w:t>
      </w:r>
    </w:p>
    <w:p>
      <w:pPr>
        <w:spacing w:line="240" w:lineRule="auto" w:before="9"/>
        <w:rPr>
          <w:rFonts w:ascii="宋体" w:hAnsi="宋体" w:cs="宋体" w:eastAsia="宋体" w:hint="default"/>
          <w:sz w:val="21"/>
          <w:szCs w:val="21"/>
        </w:rPr>
      </w:pPr>
    </w:p>
    <w:p>
      <w:pPr>
        <w:pStyle w:val="Heading2"/>
        <w:spacing w:line="240" w:lineRule="auto"/>
        <w:ind w:right="0"/>
        <w:jc w:val="left"/>
        <w:rPr>
          <w:b w:val="0"/>
          <w:bCs w:val="0"/>
        </w:rPr>
      </w:pPr>
      <w:bookmarkStart w:name="七、监事会工作情况" w:id="147"/>
      <w:bookmarkEnd w:id="147"/>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监事会在报告期内的监督活动中发现公司是否存在风险</w:t>
      </w:r>
    </w:p>
    <w:p>
      <w:pPr>
        <w:pStyle w:val="BodyText"/>
        <w:spacing w:line="340" w:lineRule="auto" w:before="116"/>
        <w:ind w:right="769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监事会对报告期内的监督事项无异议。</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八、高级管理人员的考评及激励情况" w:id="148"/>
      <w:bookmarkEnd w:id="148"/>
      <w:r>
        <w:rPr>
          <w:b w:val="0"/>
          <w:bCs w:val="0"/>
        </w:rPr>
      </w:r>
      <w:r>
        <w:rPr/>
        <w:t>八、高级管理人员的考评及激励情况</w:t>
      </w:r>
      <w:r>
        <w:rPr>
          <w:b w:val="0"/>
          <w:bCs w:val="0"/>
        </w:rPr>
      </w:r>
    </w:p>
    <w:p>
      <w:pPr>
        <w:spacing w:line="240" w:lineRule="auto" w:before="8"/>
        <w:rPr>
          <w:rFonts w:ascii="宋体" w:hAnsi="宋体" w:cs="宋体" w:eastAsia="宋体" w:hint="default"/>
          <w:b/>
          <w:bCs/>
          <w:sz w:val="26"/>
          <w:szCs w:val="26"/>
        </w:rPr>
      </w:pPr>
    </w:p>
    <w:p>
      <w:pPr>
        <w:pStyle w:val="BodyText"/>
        <w:spacing w:line="316" w:lineRule="auto"/>
        <w:ind w:right="1132" w:firstLine="360"/>
        <w:jc w:val="both"/>
      </w:pPr>
      <w:r>
        <w:rPr>
          <w:spacing w:val="-5"/>
        </w:rPr>
        <w:t>根据《上市公司治理准则》等要求，公司建立了考核激励体系，且高级管理人员全部由董事会聘任，直接对董事会负责，</w:t>
      </w:r>
      <w:r>
        <w:rPr/>
        <w:t> </w:t>
      </w:r>
      <w:r>
        <w:rPr>
          <w:spacing w:val="-2"/>
        </w:rPr>
        <w:t>承担董事会下达的经营指标，董事会下设的薪酬与考核委员会负责对高级管理人员的工作能力、履职情况、责任目标完成情</w:t>
      </w:r>
      <w:r>
        <w:rPr>
          <w:spacing w:val="-66"/>
        </w:rPr>
        <w:t> </w:t>
      </w:r>
      <w:r>
        <w:rPr>
          <w:spacing w:val="-66"/>
        </w:rPr>
      </w:r>
      <w:r>
        <w:rPr/>
        <w:t>况等进行年终考评，制定薪酬方案并报董事会审批；高级管理人员参与了公司股权激励计划。</w:t>
      </w:r>
    </w:p>
    <w:p>
      <w:pPr>
        <w:spacing w:after="0" w:line="316" w:lineRule="auto"/>
        <w:jc w:val="both"/>
        <w:sectPr>
          <w:footerReference w:type="default" r:id="rId54"/>
          <w:pgSz w:w="11910" w:h="16840"/>
          <w:pgMar w:footer="979" w:header="747" w:top="1060" w:bottom="1160" w:left="980" w:right="0"/>
          <w:pgNumType w:start="101"/>
        </w:sectPr>
      </w:pPr>
    </w:p>
    <w:p>
      <w:pPr>
        <w:spacing w:line="240" w:lineRule="auto" w:before="9"/>
        <w:rPr>
          <w:rFonts w:ascii="宋体" w:hAnsi="宋体" w:cs="宋体" w:eastAsia="宋体" w:hint="default"/>
          <w:sz w:val="23"/>
          <w:szCs w:val="23"/>
        </w:rPr>
      </w:pPr>
      <w:r>
        <w:rPr/>
        <w:pict>
          <v:group style="position:absolute;margin-left:383.980011pt;margin-top:418.099976pt;width:149.8pt;height:31.25pt;mso-position-horizontal-relative:page;mso-position-vertical-relative:page;z-index:-1174264" coordorigin="7680,8362" coordsize="2996,625">
            <v:group style="position:absolute;left:7680;top:8362;width:2996;height:313" coordorigin="7680,8362" coordsize="2996,313">
              <v:shape style="position:absolute;left:7680;top:8362;width:2996;height:313" coordorigin="7680,8362" coordsize="2996,313" path="m7680,8674l10675,8674,10675,8362,7680,8362,7680,8674xe" filled="true" fillcolor="#ffffff" stroked="false">
                <v:path arrowok="t"/>
                <v:fill type="solid"/>
              </v:shape>
            </v:group>
            <v:group style="position:absolute;left:7680;top:8674;width:2996;height:312" coordorigin="7680,8674" coordsize="2996,312">
              <v:shape style="position:absolute;left:7680;top:8674;width:2996;height:312" coordorigin="7680,8674" coordsize="2996,312" path="m7680,8986l10675,8986,10675,8674,7680,8674,7680,8986xe" filled="true" fillcolor="#ffffff" stroked="false">
                <v:path arrowok="t"/>
                <v:fill type="solid"/>
              </v:shape>
            </v:group>
            <w10:wrap type="none"/>
          </v:group>
        </w:pict>
      </w:r>
    </w:p>
    <w:p>
      <w:pPr>
        <w:pStyle w:val="Heading2"/>
        <w:spacing w:line="240" w:lineRule="auto" w:before="26"/>
        <w:ind w:right="0"/>
        <w:jc w:val="left"/>
        <w:rPr>
          <w:b w:val="0"/>
          <w:bCs w:val="0"/>
        </w:rPr>
      </w:pPr>
      <w:bookmarkStart w:name="九、内部控制评价报告" w:id="149"/>
      <w:bookmarkEnd w:id="149"/>
      <w:r>
        <w:rPr>
          <w:b w:val="0"/>
          <w:bCs w:val="0"/>
        </w:rPr>
      </w:r>
      <w:r>
        <w:rPr/>
        <w:t>九、内部控制评价报告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报告期内发现的内部控制重大缺陷的具体情况" w:id="150"/>
      <w:bookmarkEnd w:id="150"/>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2、内控自我评价报告" w:id="151"/>
      <w:bookmarkEnd w:id="151"/>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89"/>
        <w:gridCol w:w="3341"/>
        <w:gridCol w:w="303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Times New Roman" w:hAnsi="Times New Roman" w:cs="Times New Roman" w:eastAsia="Times New Roman" w:hint="default"/>
                <w:sz w:val="18"/>
                <w:szCs w:val="18"/>
              </w:rPr>
              <w:t>(www.cninfo.com.cn)</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94"/>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9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3886"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41" w:type="dxa"/>
            <w:vMerge w:val="restart"/>
            <w:tcBorders>
              <w:top w:val="single" w:sz="4" w:space="0" w:color="000000"/>
              <w:left w:val="single" w:sz="9" w:space="0" w:color="D2D2D2"/>
              <w:right w:val="single" w:sz="9" w:space="0" w:color="FFFFFF"/>
            </w:tcBorders>
          </w:tcPr>
          <w:p>
            <w:pPr>
              <w:pStyle w:val="TableParagraph"/>
              <w:spacing w:line="312" w:lineRule="auto" w:before="52"/>
              <w:ind w:left="22" w:right="26"/>
              <w:jc w:val="left"/>
              <w:rPr>
                <w:rFonts w:ascii="宋体" w:hAnsi="宋体" w:cs="宋体" w:eastAsia="宋体" w:hint="default"/>
                <w:sz w:val="18"/>
                <w:szCs w:val="18"/>
              </w:rPr>
            </w:pPr>
            <w:r>
              <w:rPr>
                <w:rFonts w:ascii="宋体" w:hAnsi="宋体" w:cs="宋体" w:eastAsia="宋体" w:hint="default"/>
                <w:sz w:val="18"/>
                <w:szCs w:val="18"/>
              </w:rPr>
              <w:t>①重大缺陷：是指一个或多个与财务相关 的一般缺陷的组合，可能严重影响内部整 体控制的有效性，进而导致企业财务报告 不能真实反映企业财务状况的情形。如果 出现以下迹象，通常表明财务报告可能存 </w:t>
            </w:r>
            <w:r>
              <w:rPr>
                <w:rFonts w:ascii="宋体" w:hAnsi="宋体" w:cs="宋体" w:eastAsia="宋体" w:hint="default"/>
                <w:spacing w:val="-7"/>
                <w:sz w:val="18"/>
                <w:szCs w:val="18"/>
              </w:rPr>
              <w:t>在重大缺陷：</w:t>
            </w:r>
            <w:r>
              <w:rPr>
                <w:rFonts w:ascii="Times New Roman" w:hAnsi="Times New Roman" w:cs="Times New Roman" w:eastAsia="Times New Roman" w:hint="default"/>
                <w:spacing w:val="-7"/>
                <w:sz w:val="18"/>
                <w:szCs w:val="18"/>
              </w:rPr>
              <w:t>a.</w:t>
            </w:r>
            <w:r>
              <w:rPr>
                <w:rFonts w:ascii="宋体" w:hAnsi="宋体" w:cs="宋体" w:eastAsia="宋体" w:hint="default"/>
                <w:spacing w:val="-7"/>
                <w:sz w:val="18"/>
                <w:szCs w:val="18"/>
              </w:rPr>
              <w:t>内部控制环境无效；</w:t>
            </w:r>
            <w:r>
              <w:rPr>
                <w:rFonts w:ascii="Times New Roman" w:hAnsi="Times New Roman" w:cs="Times New Roman" w:eastAsia="Times New Roman" w:hint="default"/>
                <w:spacing w:val="-7"/>
                <w:sz w:val="18"/>
                <w:szCs w:val="18"/>
              </w:rPr>
              <w:t>b.</w:t>
            </w:r>
            <w:r>
              <w:rPr>
                <w:rFonts w:ascii="宋体" w:hAnsi="宋体" w:cs="宋体" w:eastAsia="宋体" w:hint="default"/>
                <w:spacing w:val="-7"/>
                <w:sz w:val="18"/>
                <w:szCs w:val="18"/>
              </w:rPr>
              <w:t>董事</w:t>
            </w:r>
            <w:r>
              <w:rPr>
                <w:rFonts w:ascii="宋体" w:hAnsi="宋体" w:cs="宋体" w:eastAsia="宋体" w:hint="default"/>
                <w:spacing w:val="-87"/>
                <w:sz w:val="18"/>
                <w:szCs w:val="18"/>
              </w:rPr>
              <w:t> </w:t>
            </w:r>
            <w:r>
              <w:rPr>
                <w:rFonts w:ascii="宋体" w:hAnsi="宋体" w:cs="宋体" w:eastAsia="宋体" w:hint="default"/>
                <w:sz w:val="18"/>
                <w:szCs w:val="18"/>
              </w:rPr>
              <w:t>监事和高层管理人员舞弊并给企业造成重 大损失和不利影响；</w:t>
            </w:r>
            <w:r>
              <w:rPr>
                <w:rFonts w:ascii="Times New Roman" w:hAnsi="Times New Roman" w:cs="Times New Roman" w:eastAsia="Times New Roman" w:hint="default"/>
                <w:sz w:val="18"/>
                <w:szCs w:val="18"/>
              </w:rPr>
              <w:t>c.</w:t>
            </w:r>
            <w:r>
              <w:rPr>
                <w:rFonts w:ascii="宋体" w:hAnsi="宋体" w:cs="宋体" w:eastAsia="宋体" w:hint="default"/>
                <w:sz w:val="18"/>
                <w:szCs w:val="18"/>
              </w:rPr>
              <w:t>外部审计发现当期 财务报告存在重大错报，公司内部控制却 未能发现该错报；</w:t>
            </w:r>
            <w:r>
              <w:rPr>
                <w:rFonts w:ascii="Times New Roman" w:hAnsi="Times New Roman" w:cs="Times New Roman" w:eastAsia="Times New Roman" w:hint="default"/>
                <w:sz w:val="18"/>
                <w:szCs w:val="18"/>
              </w:rPr>
              <w:t>d.</w:t>
            </w:r>
            <w:r>
              <w:rPr>
                <w:rFonts w:ascii="宋体" w:hAnsi="宋体" w:cs="宋体" w:eastAsia="宋体" w:hint="default"/>
                <w:sz w:val="18"/>
                <w:szCs w:val="18"/>
              </w:rPr>
              <w:t>企业审计委员会和内 部审计机构对内部控制的监督无效；</w:t>
            </w:r>
            <w:r>
              <w:rPr>
                <w:rFonts w:ascii="Times New Roman" w:hAnsi="Times New Roman" w:cs="Times New Roman" w:eastAsia="Times New Roman" w:hint="default"/>
                <w:sz w:val="18"/>
                <w:szCs w:val="18"/>
              </w:rPr>
              <w:t>e.</w:t>
            </w:r>
            <w:r>
              <w:rPr>
                <w:rFonts w:ascii="宋体" w:hAnsi="宋体" w:cs="宋体" w:eastAsia="宋体" w:hint="default"/>
                <w:sz w:val="18"/>
                <w:szCs w:val="18"/>
              </w:rPr>
              <w:t>已 经发现并报告给管理层的重大缺陷在合理 的时间内未加以改正。②重要缺陷：是指 一个或多个与财务相关的一般缺陷的组 合，其严重程度低于重大缺陷，但导致企 业财务报告不能真实反映企业财务状况的 可能性依然重大，须引起企业管理层关注 的缺陷。如果出现以下迹象，通常表明财 务报告可能存在重要缺陷：</w:t>
            </w:r>
            <w:r>
              <w:rPr>
                <w:rFonts w:ascii="Times New Roman" w:hAnsi="Times New Roman" w:cs="Times New Roman" w:eastAsia="Times New Roman" w:hint="default"/>
                <w:sz w:val="18"/>
                <w:szCs w:val="18"/>
              </w:rPr>
              <w:t>a.</w:t>
            </w:r>
            <w:r>
              <w:rPr>
                <w:rFonts w:ascii="宋体" w:hAnsi="宋体" w:cs="宋体" w:eastAsia="宋体" w:hint="default"/>
                <w:sz w:val="18"/>
                <w:szCs w:val="18"/>
              </w:rPr>
              <w:t>未依照公认 会计准则选择和应用会计政策；</w:t>
            </w:r>
            <w:r>
              <w:rPr>
                <w:rFonts w:ascii="Times New Roman" w:hAnsi="Times New Roman" w:cs="Times New Roman" w:eastAsia="Times New Roman" w:hint="default"/>
                <w:sz w:val="18"/>
                <w:szCs w:val="18"/>
              </w:rPr>
              <w:t>b.</w:t>
            </w:r>
            <w:r>
              <w:rPr>
                <w:rFonts w:ascii="宋体" w:hAnsi="宋体" w:cs="宋体" w:eastAsia="宋体" w:hint="default"/>
                <w:sz w:val="18"/>
                <w:szCs w:val="18"/>
              </w:rPr>
              <w:t>未建立 反舞弊程序和控制措施；</w:t>
            </w:r>
            <w:r>
              <w:rPr>
                <w:rFonts w:ascii="Times New Roman" w:hAnsi="Times New Roman" w:cs="Times New Roman" w:eastAsia="Times New Roman" w:hint="default"/>
                <w:sz w:val="18"/>
                <w:szCs w:val="18"/>
              </w:rPr>
              <w:t>c.</w:t>
            </w:r>
            <w:r>
              <w:rPr>
                <w:rFonts w:ascii="宋体" w:hAnsi="宋体" w:cs="宋体" w:eastAsia="宋体" w:hint="default"/>
                <w:sz w:val="18"/>
                <w:szCs w:val="18"/>
              </w:rPr>
              <w:t>对于期末财务 报告的控制存在一项或多项缺陷且不能合 理保证编制的财务报表达到真实、准确目 </w:t>
            </w:r>
            <w:r>
              <w:rPr>
                <w:rFonts w:ascii="宋体" w:hAnsi="宋体" w:cs="宋体" w:eastAsia="宋体" w:hint="default"/>
                <w:spacing w:val="-5"/>
                <w:sz w:val="18"/>
                <w:szCs w:val="18"/>
              </w:rPr>
              <w:t>标。</w:t>
            </w:r>
            <w:r>
              <w:rPr>
                <w:rFonts w:ascii="Times New Roman" w:hAnsi="Times New Roman" w:cs="Times New Roman" w:eastAsia="Times New Roman" w:hint="default"/>
                <w:spacing w:val="-5"/>
                <w:sz w:val="18"/>
                <w:szCs w:val="18"/>
              </w:rPr>
              <w:t>d.</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已经发现并报告给管理层的重要缺 陷在合理的时间内未加以改正。③一般缺 陷：除重大缺陷及重要缺陷以外的其它与</w:t>
            </w:r>
          </w:p>
        </w:tc>
        <w:tc>
          <w:tcPr>
            <w:tcW w:w="3039" w:type="dxa"/>
            <w:vMerge w:val="restart"/>
            <w:tcBorders>
              <w:top w:val="single" w:sz="4" w:space="0" w:color="000000"/>
              <w:left w:val="single" w:sz="9" w:space="0" w:color="FFFFFF"/>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316" w:lineRule="auto"/>
              <w:ind w:left="4" w:right="21"/>
              <w:jc w:val="both"/>
              <w:rPr>
                <w:rFonts w:ascii="宋体" w:hAnsi="宋体" w:cs="宋体" w:eastAsia="宋体" w:hint="default"/>
                <w:sz w:val="18"/>
                <w:szCs w:val="18"/>
              </w:rPr>
            </w:pPr>
            <w:r>
              <w:rPr>
                <w:rFonts w:ascii="宋体" w:hAnsi="宋体" w:cs="宋体" w:eastAsia="宋体" w:hint="default"/>
                <w:spacing w:val="-4"/>
                <w:sz w:val="18"/>
                <w:szCs w:val="18"/>
              </w:rPr>
              <w:t>①重大缺陷：是指一个或多个一般缺陷</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的组合，可能严重影响内部整体控制的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有效性，进而导致企业无法及时防范或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发现严重偏离整体控制目标的情形。如</w:t>
            </w:r>
          </w:p>
          <w:p>
            <w:pPr>
              <w:pStyle w:val="TableParagraph"/>
              <w:spacing w:line="206" w:lineRule="exact" w:before="19"/>
              <w:ind w:left="4" w:right="0"/>
              <w:jc w:val="left"/>
              <w:rPr>
                <w:rFonts w:ascii="宋体" w:hAnsi="宋体" w:cs="宋体" w:eastAsia="宋体" w:hint="default"/>
                <w:sz w:val="18"/>
                <w:szCs w:val="18"/>
              </w:rPr>
            </w:pPr>
            <w:r>
              <w:rPr>
                <w:rFonts w:ascii="宋体" w:hAnsi="宋体" w:cs="宋体" w:eastAsia="宋体" w:hint="default"/>
                <w:spacing w:val="-4"/>
                <w:sz w:val="18"/>
                <w:szCs w:val="18"/>
              </w:rPr>
              <w:t>果发生以下迹象，通常表明非财务报告</w:t>
            </w:r>
          </w:p>
          <w:p>
            <w:pPr>
              <w:pStyle w:val="TableParagraph"/>
              <w:spacing w:line="156" w:lineRule="exact"/>
              <w:ind w:left="-141"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9" w:lineRule="exact"/>
              <w:ind w:left="4" w:right="0"/>
              <w:jc w:val="left"/>
              <w:rPr>
                <w:rFonts w:ascii="宋体" w:hAnsi="宋体" w:cs="宋体" w:eastAsia="宋体" w:hint="default"/>
                <w:sz w:val="18"/>
                <w:szCs w:val="18"/>
              </w:rPr>
            </w:pPr>
            <w:r>
              <w:rPr>
                <w:rFonts w:ascii="宋体" w:hAnsi="宋体" w:cs="宋体" w:eastAsia="宋体" w:hint="default"/>
                <w:sz w:val="18"/>
                <w:szCs w:val="18"/>
              </w:rPr>
              <w:t>内部控制存在重大缺陷：</w:t>
            </w:r>
            <w:r>
              <w:rPr>
                <w:rFonts w:ascii="Times New Roman" w:hAnsi="Times New Roman" w:cs="Times New Roman" w:eastAsia="Times New Roman" w:hint="default"/>
                <w:sz w:val="18"/>
                <w:szCs w:val="18"/>
              </w:rPr>
              <w:t>a.</w:t>
            </w:r>
            <w:r>
              <w:rPr>
                <w:rFonts w:ascii="宋体" w:hAnsi="宋体" w:cs="宋体" w:eastAsia="宋体" w:hint="default"/>
                <w:sz w:val="18"/>
                <w:szCs w:val="18"/>
              </w:rPr>
              <w:t>公司决策程</w:t>
            </w:r>
          </w:p>
          <w:p>
            <w:pPr>
              <w:pStyle w:val="TableParagraph"/>
              <w:spacing w:line="312" w:lineRule="auto" w:before="63"/>
              <w:ind w:left="4" w:right="-42"/>
              <w:jc w:val="left"/>
              <w:rPr>
                <w:rFonts w:ascii="宋体" w:hAnsi="宋体" w:cs="宋体" w:eastAsia="宋体" w:hint="default"/>
                <w:sz w:val="18"/>
                <w:szCs w:val="18"/>
              </w:rPr>
            </w:pPr>
            <w:r>
              <w:rPr>
                <w:rFonts w:ascii="宋体" w:hAnsi="宋体" w:cs="宋体" w:eastAsia="宋体" w:hint="default"/>
                <w:sz w:val="18"/>
                <w:szCs w:val="18"/>
              </w:rPr>
              <w:t>序不科学导致重大决策失误；</w:t>
            </w:r>
            <w:r>
              <w:rPr>
                <w:rFonts w:ascii="Times New Roman" w:hAnsi="Times New Roman" w:cs="Times New Roman" w:eastAsia="Times New Roman" w:hint="default"/>
                <w:sz w:val="18"/>
                <w:szCs w:val="18"/>
              </w:rPr>
              <w:t>b.</w:t>
            </w:r>
            <w:r>
              <w:rPr>
                <w:rFonts w:ascii="宋体" w:hAnsi="宋体" w:cs="宋体" w:eastAsia="宋体" w:hint="default"/>
                <w:sz w:val="18"/>
                <w:szCs w:val="18"/>
              </w:rPr>
              <w:t>内部控 制评价为重大缺陷未在合理时间内得 到整改；</w:t>
            </w:r>
            <w:r>
              <w:rPr>
                <w:rFonts w:ascii="Times New Roman" w:hAnsi="Times New Roman" w:cs="Times New Roman" w:eastAsia="Times New Roman" w:hint="default"/>
                <w:sz w:val="18"/>
                <w:szCs w:val="18"/>
              </w:rPr>
              <w:t>c.</w:t>
            </w:r>
            <w:r>
              <w:rPr>
                <w:rFonts w:ascii="宋体" w:hAnsi="宋体" w:cs="宋体" w:eastAsia="宋体" w:hint="default"/>
                <w:sz w:val="18"/>
                <w:szCs w:val="18"/>
              </w:rPr>
              <w:t>公司董事、监事、高层管理 </w:t>
            </w:r>
            <w:r>
              <w:rPr>
                <w:rFonts w:ascii="宋体" w:hAnsi="宋体" w:cs="宋体" w:eastAsia="宋体" w:hint="default"/>
                <w:spacing w:val="-4"/>
                <w:sz w:val="18"/>
                <w:szCs w:val="18"/>
              </w:rPr>
              <w:t>人员违犯国家法律、法规被处以重罚或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承担刑事责任；</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安全、环保事故造 成</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人以上死亡或者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人以上重伤， </w:t>
            </w:r>
            <w:r>
              <w:rPr>
                <w:rFonts w:ascii="宋体" w:hAnsi="宋体" w:cs="宋体" w:eastAsia="宋体" w:hint="default"/>
                <w:spacing w:val="-4"/>
                <w:sz w:val="18"/>
                <w:szCs w:val="18"/>
              </w:rPr>
              <w:t>对公司造成重大负面影响的情形。②重</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要缺陷：是指一个或多个一般缺陷的组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合，其严重程度低于重大缺陷，但导致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企业无法及时防范或发现偏离整体控 </w:t>
            </w:r>
            <w:r>
              <w:rPr>
                <w:rFonts w:ascii="宋体" w:hAnsi="宋体" w:cs="宋体" w:eastAsia="宋体" w:hint="default"/>
                <w:spacing w:val="-4"/>
                <w:sz w:val="18"/>
                <w:szCs w:val="18"/>
              </w:rPr>
              <w:t>制目标的严重程度依然重大，须引起企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业管理层关注的缺陷。如果发生以下迹</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象，通常表明非财务报告内部控制存在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重要缺陷：</w:t>
            </w:r>
            <w:r>
              <w:rPr>
                <w:rFonts w:ascii="Times New Roman" w:hAnsi="Times New Roman" w:cs="Times New Roman" w:eastAsia="Times New Roman" w:hint="default"/>
                <w:sz w:val="18"/>
                <w:szCs w:val="18"/>
              </w:rPr>
              <w:t>a.</w:t>
            </w:r>
            <w:r>
              <w:rPr>
                <w:rFonts w:ascii="宋体" w:hAnsi="宋体" w:cs="宋体" w:eastAsia="宋体" w:hint="default"/>
                <w:sz w:val="18"/>
                <w:szCs w:val="18"/>
              </w:rPr>
              <w:t>重要业务缺乏制度控制或 制度控制系统失效；</w:t>
            </w:r>
            <w:r>
              <w:rPr>
                <w:rFonts w:ascii="Times New Roman" w:hAnsi="Times New Roman" w:cs="Times New Roman" w:eastAsia="Times New Roman" w:hint="default"/>
                <w:sz w:val="18"/>
                <w:szCs w:val="18"/>
              </w:rPr>
              <w:t>b.</w:t>
            </w:r>
            <w:r>
              <w:rPr>
                <w:rFonts w:ascii="宋体" w:hAnsi="宋体" w:cs="宋体" w:eastAsia="宋体" w:hint="default"/>
                <w:sz w:val="18"/>
                <w:szCs w:val="18"/>
              </w:rPr>
              <w:t>内部控制评价为 重要缺陷未在合理时间内得到整改；</w:t>
            </w:r>
            <w:r>
              <w:rPr>
                <w:rFonts w:ascii="Times New Roman" w:hAnsi="Times New Roman" w:cs="Times New Roman" w:eastAsia="Times New Roman" w:hint="default"/>
                <w:sz w:val="18"/>
                <w:szCs w:val="18"/>
              </w:rPr>
              <w:t>c. </w:t>
            </w:r>
            <w:r>
              <w:rPr>
                <w:rFonts w:ascii="宋体" w:hAnsi="宋体" w:cs="宋体" w:eastAsia="宋体" w:hint="default"/>
                <w:sz w:val="18"/>
                <w:szCs w:val="18"/>
              </w:rPr>
              <w:t>公司核心管理人员或核心技术人员大 </w:t>
            </w:r>
            <w:r>
              <w:rPr>
                <w:rFonts w:ascii="宋体" w:hAnsi="宋体" w:cs="宋体" w:eastAsia="宋体" w:hint="default"/>
                <w:spacing w:val="-4"/>
                <w:sz w:val="18"/>
                <w:szCs w:val="18"/>
              </w:rPr>
              <w:t>量流失。③一般缺陷：除重大缺陷及重</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要缺陷以外的其它缺陷为一般缺陷。</w:t>
            </w:r>
          </w:p>
        </w:tc>
      </w:tr>
      <w:tr>
        <w:trPr>
          <w:trHeight w:val="39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41" w:type="dxa"/>
            <w:vMerge/>
            <w:tcBorders>
              <w:left w:val="single" w:sz="9" w:space="0" w:color="D2D2D2"/>
              <w:right w:val="single" w:sz="9" w:space="0" w:color="FFFFFF"/>
            </w:tcBorders>
          </w:tcPr>
          <w:p>
            <w:pPr/>
          </w:p>
        </w:tc>
        <w:tc>
          <w:tcPr>
            <w:tcW w:w="3039" w:type="dxa"/>
            <w:vMerge/>
            <w:tcBorders>
              <w:left w:val="single" w:sz="9" w:space="0" w:color="FFFFFF"/>
              <w:right w:val="single" w:sz="4" w:space="0" w:color="000000"/>
            </w:tcBorders>
          </w:tcPr>
          <w:p>
            <w:pPr/>
          </w:p>
        </w:tc>
      </w:tr>
      <w:tr>
        <w:trPr>
          <w:trHeight w:val="3885"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41" w:type="dxa"/>
            <w:vMerge/>
            <w:tcBorders>
              <w:left w:val="single" w:sz="9" w:space="0" w:color="D2D2D2"/>
              <w:bottom w:val="single" w:sz="4" w:space="0" w:color="000000"/>
              <w:right w:val="single" w:sz="9" w:space="0" w:color="FFFFFF"/>
            </w:tcBorders>
          </w:tcPr>
          <w:p>
            <w:pPr/>
          </w:p>
        </w:tc>
        <w:tc>
          <w:tcPr>
            <w:tcW w:w="3039" w:type="dxa"/>
            <w:vMerge/>
            <w:tcBorders>
              <w:left w:val="single" w:sz="9" w:space="0" w:color="FFFFFF"/>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194"/>
        <w:gridCol w:w="3324"/>
        <w:gridCol w:w="3051"/>
      </w:tblGrid>
      <w:tr>
        <w:trPr>
          <w:trHeight w:val="36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财务有关的内控缺陷为一般缺陷。</w:t>
            </w:r>
          </w:p>
        </w:tc>
        <w:tc>
          <w:tcPr>
            <w:tcW w:w="3051" w:type="dxa"/>
            <w:tcBorders>
              <w:top w:val="single" w:sz="4" w:space="0" w:color="000000"/>
              <w:left w:val="single" w:sz="4" w:space="0" w:color="000000"/>
              <w:bottom w:val="single" w:sz="4" w:space="0" w:color="000000"/>
              <w:right w:val="single" w:sz="4" w:space="0" w:color="000000"/>
            </w:tcBorders>
          </w:tcPr>
          <w:p>
            <w:pPr/>
          </w:p>
        </w:tc>
      </w:tr>
      <w:tr>
        <w:trPr>
          <w:trHeight w:val="6330"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4" w:type="dxa"/>
            <w:tcBorders>
              <w:top w:val="single" w:sz="4" w:space="0" w:color="000000"/>
              <w:left w:val="single" w:sz="4" w:space="0" w:color="000000"/>
              <w:bottom w:val="single" w:sz="4" w:space="0" w:color="000000"/>
              <w:right w:val="single" w:sz="9" w:space="0" w:color="FFFFFF"/>
            </w:tcBorders>
          </w:tcPr>
          <w:p>
            <w:pPr>
              <w:pStyle w:val="TableParagraph"/>
              <w:spacing w:line="312" w:lineRule="auto" w:before="51"/>
              <w:ind w:left="23" w:right="-39"/>
              <w:jc w:val="both"/>
              <w:rPr>
                <w:rFonts w:ascii="宋体" w:hAnsi="宋体" w:cs="宋体" w:eastAsia="宋体" w:hint="default"/>
                <w:sz w:val="18"/>
                <w:szCs w:val="18"/>
              </w:rPr>
            </w:pPr>
            <w:r>
              <w:rPr>
                <w:rFonts w:ascii="宋体" w:hAnsi="宋体" w:cs="宋体" w:eastAsia="宋体" w:hint="default"/>
                <w:sz w:val="18"/>
                <w:szCs w:val="18"/>
              </w:rPr>
              <w:t>内部控制缺陷导致或可能导致的损失与利 润表相关的，以营业收入的一定比例作指 标衡量。①重大缺陷：该缺陷单独或连同 其他缺陷可能导致的财务报告错误金额超 过营业收入的</w:t>
            </w:r>
            <w:r>
              <w:rPr>
                <w:rFonts w:ascii="宋体" w:hAnsi="宋体" w:cs="宋体" w:eastAsia="宋体" w:hint="default"/>
                <w:spacing w:val="-42"/>
                <w:sz w:val="18"/>
                <w:szCs w:val="18"/>
              </w:rPr>
              <w:t> </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。②重要缺陷：该缺陷单</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独或连同其他缺陷可能导致的财务报告错 误金额超过营业收入的</w:t>
            </w:r>
            <w:r>
              <w:rPr>
                <w:rFonts w:ascii="宋体" w:hAnsi="宋体" w:cs="宋体" w:eastAsia="宋体" w:hint="default"/>
                <w:spacing w:val="-45"/>
                <w:sz w:val="18"/>
                <w:szCs w:val="18"/>
              </w:rPr>
              <w:t> </w:t>
            </w:r>
            <w:r>
              <w:rPr>
                <w:rFonts w:ascii="Times New Roman" w:hAnsi="Times New Roman" w:cs="Times New Roman" w:eastAsia="Times New Roman" w:hint="default"/>
                <w:spacing w:val="-9"/>
                <w:sz w:val="18"/>
                <w:szCs w:val="18"/>
              </w:rPr>
              <w:t>1%</w:t>
            </w:r>
            <w:r>
              <w:rPr>
                <w:rFonts w:ascii="宋体" w:hAnsi="宋体" w:cs="宋体" w:eastAsia="宋体" w:hint="default"/>
                <w:spacing w:val="-9"/>
                <w:sz w:val="18"/>
                <w:szCs w:val="18"/>
              </w:rPr>
              <w:t>，但小于或等于</w:t>
            </w:r>
            <w:r>
              <w:rPr>
                <w:rFonts w:ascii="宋体" w:hAnsi="宋体" w:cs="宋体" w:eastAsia="宋体" w:hint="default"/>
                <w:sz w:val="18"/>
                <w:szCs w:val="18"/>
              </w:rPr>
              <w:t> 营业收入的</w:t>
            </w:r>
            <w:r>
              <w:rPr>
                <w:rFonts w:ascii="宋体" w:hAnsi="宋体" w:cs="宋体" w:eastAsia="宋体" w:hint="default"/>
                <w:spacing w:val="-45"/>
                <w:sz w:val="18"/>
                <w:szCs w:val="18"/>
              </w:rPr>
              <w:t> </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。③一般缺陷：该缺陷单独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或连同其他缺陷可能导致的财务报告错误 金额小于或等于营业收入的</w:t>
            </w:r>
            <w:r>
              <w:rPr>
                <w:rFonts w:ascii="宋体" w:hAnsi="宋体" w:cs="宋体" w:eastAsia="宋体" w:hint="default"/>
                <w:spacing w:val="-44"/>
                <w:sz w:val="18"/>
                <w:szCs w:val="18"/>
              </w:rPr>
              <w:t> </w:t>
            </w: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。内部控制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缺陷导致或可能导致的损失与资产管理相 </w:t>
            </w:r>
            <w:r>
              <w:rPr>
                <w:rFonts w:ascii="宋体" w:hAnsi="宋体" w:cs="宋体" w:eastAsia="宋体" w:hint="default"/>
                <w:spacing w:val="-6"/>
                <w:sz w:val="18"/>
                <w:szCs w:val="18"/>
              </w:rPr>
              <w:t>关的，以资产总额的一定比例作指标衡量。</w:t>
            </w:r>
            <w:r>
              <w:rPr>
                <w:rFonts w:ascii="宋体" w:hAnsi="宋体" w:cs="宋体" w:eastAsia="宋体" w:hint="default"/>
                <w:sz w:val="18"/>
                <w:szCs w:val="18"/>
              </w:rPr>
            </w:r>
          </w:p>
          <w:p>
            <w:pPr>
              <w:pStyle w:val="TableParagraph"/>
              <w:spacing w:line="309" w:lineRule="auto" w:before="22"/>
              <w:ind w:left="23" w:right="15"/>
              <w:jc w:val="both"/>
              <w:rPr>
                <w:rFonts w:ascii="宋体" w:hAnsi="宋体" w:cs="宋体" w:eastAsia="宋体" w:hint="default"/>
                <w:sz w:val="18"/>
                <w:szCs w:val="18"/>
              </w:rPr>
            </w:pPr>
            <w:r>
              <w:rPr>
                <w:rFonts w:ascii="宋体" w:hAnsi="宋体" w:cs="宋体" w:eastAsia="宋体" w:hint="default"/>
                <w:sz w:val="18"/>
                <w:szCs w:val="18"/>
              </w:rPr>
              <w:t>①重大缺陷：该缺陷单独或连同其他缺陷 可能导致的财务报告错误金额超过资产总 额的</w:t>
            </w:r>
            <w:r>
              <w:rPr>
                <w:rFonts w:ascii="宋体" w:hAnsi="宋体" w:cs="宋体" w:eastAsia="宋体" w:hint="default"/>
                <w:spacing w:val="-43"/>
                <w:sz w:val="18"/>
                <w:szCs w:val="18"/>
              </w:rPr>
              <w:t> </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。②重要缺陷：该缺陷单独或连同</w:t>
            </w:r>
            <w:r>
              <w:rPr>
                <w:rFonts w:ascii="宋体" w:hAnsi="宋体" w:cs="宋体" w:eastAsia="宋体" w:hint="default"/>
                <w:sz w:val="18"/>
                <w:szCs w:val="18"/>
              </w:rPr>
              <w:t> 其他缺陷可能导致的财务报告错误金额超 过资产总额的</w:t>
            </w:r>
            <w:r>
              <w:rPr>
                <w:rFonts w:ascii="宋体" w:hAnsi="宋体" w:cs="宋体" w:eastAsia="宋体" w:hint="default"/>
                <w:spacing w:val="-46"/>
                <w:sz w:val="18"/>
                <w:szCs w:val="18"/>
              </w:rPr>
              <w:t> </w:t>
            </w: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，但小于或等于资产总额</w:t>
            </w:r>
            <w:r>
              <w:rPr>
                <w:rFonts w:ascii="宋体" w:hAnsi="宋体" w:cs="宋体" w:eastAsia="宋体" w:hint="default"/>
                <w:sz w:val="18"/>
                <w:szCs w:val="18"/>
              </w:rPr>
              <w:t> 的</w:t>
            </w:r>
            <w:r>
              <w:rPr>
                <w:rFonts w:ascii="宋体" w:hAnsi="宋体" w:cs="宋体" w:eastAsia="宋体" w:hint="default"/>
                <w:spacing w:val="-39"/>
                <w:sz w:val="18"/>
                <w:szCs w:val="18"/>
              </w:rPr>
              <w:t> </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。③一般缺陷：该缺陷单独或连同其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他缺陷可能导致的财务报告错误金额小于 或等于资产总额的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3051"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21"/>
                <w:szCs w:val="21"/>
              </w:rPr>
            </w:pPr>
          </w:p>
          <w:p>
            <w:pPr>
              <w:pStyle w:val="TableParagraph"/>
              <w:spacing w:line="314" w:lineRule="auto"/>
              <w:ind w:left="16" w:right="21"/>
              <w:jc w:val="left"/>
              <w:rPr>
                <w:rFonts w:ascii="宋体" w:hAnsi="宋体" w:cs="宋体" w:eastAsia="宋体" w:hint="default"/>
                <w:sz w:val="18"/>
                <w:szCs w:val="18"/>
              </w:rPr>
            </w:pPr>
            <w:r>
              <w:rPr>
                <w:rFonts w:ascii="宋体" w:hAnsi="宋体" w:cs="宋体" w:eastAsia="宋体" w:hint="default"/>
                <w:spacing w:val="-4"/>
                <w:sz w:val="18"/>
                <w:szCs w:val="18"/>
              </w:rPr>
              <w:t>①重大缺陷：该内部控制缺陷造成直接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财产损失在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万元以上，对公司造 成较大负面影响并以公告形式对外披 露。 ②重要缺陷：该内部控制缺陷造 成直接财产损失在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
              <w:ind w:left="16" w:right="0"/>
              <w:jc w:val="left"/>
              <w:rPr>
                <w:rFonts w:ascii="宋体" w:hAnsi="宋体" w:cs="宋体" w:eastAsia="宋体" w:hint="default"/>
                <w:sz w:val="18"/>
                <w:szCs w:val="18"/>
              </w:rPr>
            </w:pP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1"/>
                <w:sz w:val="18"/>
                <w:szCs w:val="18"/>
              </w:rPr>
              <w:t>元</w:t>
            </w:r>
            <w:r>
              <w:rPr>
                <w:rFonts w:ascii="宋体" w:hAnsi="宋体" w:cs="宋体" w:eastAsia="宋体" w:hint="default"/>
                <w:spacing w:val="-90"/>
                <w:sz w:val="18"/>
                <w:szCs w:val="18"/>
              </w:rPr>
              <w:t>）</w:t>
            </w:r>
            <w:r>
              <w:rPr>
                <w:rFonts w:ascii="宋体" w:hAnsi="宋体" w:cs="宋体" w:eastAsia="宋体" w:hint="default"/>
                <w:spacing w:val="-33"/>
                <w:sz w:val="18"/>
                <w:szCs w:val="18"/>
              </w:rPr>
              <w:t>。</w:t>
            </w:r>
            <w:r>
              <w:rPr>
                <w:rFonts w:ascii="宋体" w:hAnsi="宋体" w:cs="宋体" w:eastAsia="宋体" w:hint="default"/>
                <w:sz w:val="18"/>
                <w:szCs w:val="18"/>
              </w:rPr>
              <w:t>③一般缺陷</w:t>
            </w:r>
            <w:r>
              <w:rPr>
                <w:rFonts w:ascii="宋体" w:hAnsi="宋体" w:cs="宋体" w:eastAsia="宋体" w:hint="default"/>
                <w:spacing w:val="-33"/>
                <w:sz w:val="18"/>
                <w:szCs w:val="18"/>
              </w:rPr>
              <w:t>：</w:t>
            </w:r>
            <w:r>
              <w:rPr>
                <w:rFonts w:ascii="宋体" w:hAnsi="宋体" w:cs="宋体" w:eastAsia="宋体" w:hint="default"/>
                <w:sz w:val="18"/>
                <w:szCs w:val="18"/>
              </w:rPr>
              <w:t>该内部</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控制缺陷造成直接财产损失在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pStyle w:val="TableParagraph"/>
              <w:spacing w:line="240" w:lineRule="auto" w:before="64"/>
              <w:ind w:left="16" w:right="0"/>
              <w:jc w:val="left"/>
              <w:rPr>
                <w:rFonts w:ascii="宋体" w:hAnsi="宋体" w:cs="宋体" w:eastAsia="宋体" w:hint="default"/>
                <w:sz w:val="18"/>
                <w:szCs w:val="18"/>
              </w:rPr>
            </w:pPr>
            <w:r>
              <w:rPr>
                <w:rFonts w:ascii="宋体" w:hAnsi="宋体" w:cs="宋体" w:eastAsia="宋体" w:hint="default"/>
                <w:sz w:val="18"/>
                <w:szCs w:val="18"/>
              </w:rPr>
              <w:t>元以下（含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312" w:lineRule="exact"/>
              <w:ind w:left="16" w:right="-28"/>
              <w:jc w:val="left"/>
              <w:rPr>
                <w:rFonts w:ascii="宋体" w:hAnsi="宋体" w:cs="宋体" w:eastAsia="宋体" w:hint="default"/>
                <w:sz w:val="20"/>
                <w:szCs w:val="20"/>
              </w:rPr>
            </w:pPr>
            <w:r>
              <w:rPr>
                <w:rFonts w:ascii="宋体" w:hAnsi="宋体" w:cs="宋体" w:eastAsia="宋体" w:hint="default"/>
                <w:position w:val="-5"/>
                <w:sz w:val="20"/>
                <w:szCs w:val="20"/>
              </w:rPr>
              <w:pict>
                <v:group style="width:149.8pt;height:15.6pt;mso-position-horizontal-relative:char;mso-position-vertical-relative:line" coordorigin="0,0" coordsize="2996,312">
                  <v:group style="position:absolute;left:0;top:0;width:2996;height:312" coordorigin="0,0" coordsize="2996,312">
                    <v:shape style="position:absolute;left:0;top:0;width:2996;height:312" coordorigin="0,0" coordsize="2996,312" path="m0,312l2996,312,2996,0,0,0,0,312xe" filled="true" fillcolor="#ffffff" stroked="false">
                      <v:path arrowok="t"/>
                      <v:fill type="solid"/>
                    </v:shape>
                  </v:group>
                </v:group>
              </w:pict>
            </w:r>
            <w:r>
              <w:rPr>
                <w:rFonts w:ascii="宋体" w:hAnsi="宋体" w:cs="宋体" w:eastAsia="宋体" w:hint="default"/>
                <w:position w:val="-5"/>
                <w:sz w:val="20"/>
                <w:szCs w:val="20"/>
              </w:rPr>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3"/>
                <w:szCs w:val="13"/>
              </w:rPr>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十、内部控制审计报告或鉴证报告" w:id="152"/>
      <w:bookmarkEnd w:id="152"/>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内部控制鉴证报告</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1338"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2" w:lineRule="auto" w:before="52"/>
              <w:ind w:left="22" w:right="2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2"/>
                <w:w w:val="99"/>
                <w:sz w:val="18"/>
                <w:szCs w:val="18"/>
              </w:rPr>
              <w:t>"</w:t>
            </w:r>
            <w:r>
              <w:rPr>
                <w:rFonts w:ascii="宋体" w:hAnsi="宋体" w:cs="宋体" w:eastAsia="宋体" w:hint="default"/>
                <w:spacing w:val="-2"/>
                <w:w w:val="99"/>
                <w:sz w:val="18"/>
                <w:szCs w:val="18"/>
              </w:rPr>
              <w:t>我们阅读了由奥拓电子公司编写并后附的《关于内部控制有关事项的说明》。基于作为我们为了对上述财务报表整体发表</w:t>
            </w:r>
            <w:r>
              <w:rPr>
                <w:rFonts w:ascii="宋体" w:hAnsi="宋体" w:cs="宋体" w:eastAsia="宋体" w:hint="default"/>
                <w:spacing w:val="-85"/>
                <w:w w:val="99"/>
                <w:sz w:val="18"/>
                <w:szCs w:val="18"/>
              </w:rPr>
              <w:t> </w:t>
            </w:r>
            <w:r>
              <w:rPr>
                <w:rFonts w:ascii="宋体" w:hAnsi="宋体" w:cs="宋体" w:eastAsia="宋体" w:hint="default"/>
                <w:spacing w:val="-85"/>
                <w:w w:val="99"/>
                <w:sz w:val="18"/>
                <w:szCs w:val="18"/>
              </w:rPr>
            </w:r>
            <w:r>
              <w:rPr>
                <w:rFonts w:ascii="宋体" w:hAnsi="宋体" w:cs="宋体" w:eastAsia="宋体" w:hint="default"/>
                <w:sz w:val="18"/>
                <w:szCs w:val="18"/>
              </w:rPr>
              <w:t>审计意见之目的而实施的审计程序的一部分而对该说明中所述的与奥拓电子公司上述财务报表编制相关的内部控制的研 </w:t>
            </w:r>
            <w:r>
              <w:rPr>
                <w:rFonts w:ascii="宋体" w:hAnsi="宋体" w:cs="宋体" w:eastAsia="宋体" w:hint="default"/>
                <w:spacing w:val="-1"/>
                <w:sz w:val="18"/>
                <w:szCs w:val="18"/>
              </w:rPr>
              <w:t>究和评价，我们未发现奥拓电子公司编写的《关于内部控制有关事项的说明》中所述的与财务报表编制相关的内部控制的</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相关情况与我们对奥拓电子公司就上述财务报表的审计发现存在重大的不一致。</w:t>
            </w:r>
            <w:r>
              <w:rPr>
                <w:rFonts w:ascii="Times New Roman" w:hAnsi="Times New Roman" w:cs="Times New Roman" w:eastAsia="Times New Roman" w:hint="default"/>
                <w:sz w:val="18"/>
                <w:szCs w:val="18"/>
              </w:rPr>
              <w:t>"</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Times New Roman" w:hAnsi="Times New Roman" w:cs="Times New Roman" w:eastAsia="Times New Roman" w:hint="default"/>
                <w:sz w:val="18"/>
                <w:szCs w:val="18"/>
              </w:rPr>
              <w:t>(www.cninfo.com.cn)</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right="0"/>
        <w:jc w:val="left"/>
      </w:pPr>
      <w:r>
        <w:rPr/>
        <w:t>会计师事务所是否出具非标准意见的内部控制鉴证报告</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38" w:lineRule="auto" w:before="44"/>
        <w:ind w:right="463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会计师事务所出具的内部控制鉴证报告与董事会的自我评价报告意见是否一致</w:t>
      </w:r>
    </w:p>
    <w:p>
      <w:pPr>
        <w:pStyle w:val="BodyText"/>
        <w:spacing w:line="240" w:lineRule="auto" w:before="43"/>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126" w:right="0"/>
        <w:jc w:val="left"/>
        <w:rPr>
          <w:b w:val="0"/>
          <w:bCs w:val="0"/>
        </w:rPr>
      </w:pPr>
      <w:bookmarkStart w:name="第十节 公司债券相关情况" w:id="153"/>
      <w:bookmarkEnd w:id="153"/>
      <w:r>
        <w:rPr>
          <w:b w:val="0"/>
          <w:bCs w:val="0"/>
        </w:rPr>
      </w:r>
      <w:bookmarkStart w:name="_bookmark9" w:id="154"/>
      <w:bookmarkEnd w:id="154"/>
      <w:r>
        <w:rPr>
          <w:b w:val="0"/>
          <w:bCs w:val="0"/>
        </w:rPr>
      </w:r>
      <w:r>
        <w:rPr/>
        <w:t>第十节</w:t>
      </w:r>
      <w:r>
        <w:rPr>
          <w:spacing w:val="-9"/>
        </w:rPr>
        <w:t> </w:t>
      </w:r>
      <w:r>
        <w:rPr/>
        <w:t>公司债券相关情况</w:t>
      </w:r>
      <w:r>
        <w:rPr>
          <w:b w:val="0"/>
          <w:bCs w:val="0"/>
        </w:rPr>
      </w:r>
    </w:p>
    <w:p>
      <w:pPr>
        <w:spacing w:line="240" w:lineRule="auto" w:before="8"/>
        <w:rPr>
          <w:rFonts w:ascii="宋体" w:hAnsi="宋体" w:cs="宋体" w:eastAsia="宋体" w:hint="default"/>
          <w:b/>
          <w:bCs/>
          <w:sz w:val="42"/>
          <w:szCs w:val="42"/>
        </w:rPr>
      </w:pPr>
    </w:p>
    <w:p>
      <w:pPr>
        <w:pStyle w:val="BodyText"/>
        <w:spacing w:line="357" w:lineRule="auto"/>
        <w:ind w:right="2112"/>
        <w:jc w:val="left"/>
      </w:pPr>
      <w:r>
        <w:rPr/>
        <w:t>公司是否存在公开发行并在证券交易所上市，且在年度报告批准报出日未到期或到期未能全额兑付的公司债券 否</w:t>
      </w:r>
    </w:p>
    <w:p>
      <w:pPr>
        <w:spacing w:after="0" w:line="357"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608" w:right="0"/>
        <w:jc w:val="left"/>
        <w:rPr>
          <w:b w:val="0"/>
          <w:bCs w:val="0"/>
        </w:rPr>
      </w:pPr>
      <w:bookmarkStart w:name="第十一节 财务报告" w:id="155"/>
      <w:bookmarkEnd w:id="155"/>
      <w:r>
        <w:rPr>
          <w:b w:val="0"/>
          <w:bCs w:val="0"/>
        </w:rPr>
      </w:r>
      <w:bookmarkStart w:name="_bookmark10" w:id="156"/>
      <w:bookmarkEnd w:id="156"/>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审计报告" w:id="157"/>
      <w:bookmarkEnd w:id="157"/>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瑞华审字</w:t>
            </w:r>
            <w:r>
              <w:rPr>
                <w:rFonts w:ascii="Times New Roman" w:hAnsi="Times New Roman" w:cs="Times New Roman" w:eastAsia="Times New Roman" w:hint="default"/>
                <w:sz w:val="18"/>
                <w:szCs w:val="18"/>
              </w:rPr>
              <w:t>[2019]48120027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管盛春、张丽</w:t>
            </w:r>
          </w:p>
        </w:tc>
      </w:tr>
    </w:tbl>
    <w:p>
      <w:pPr>
        <w:spacing w:line="240" w:lineRule="auto" w:before="8"/>
        <w:rPr>
          <w:rFonts w:ascii="宋体" w:hAnsi="宋体" w:cs="宋体" w:eastAsia="宋体" w:hint="default"/>
          <w:b/>
          <w:bCs/>
          <w:sz w:val="5"/>
          <w:szCs w:val="5"/>
        </w:rPr>
      </w:pPr>
    </w:p>
    <w:p>
      <w:pPr>
        <w:spacing w:line="460" w:lineRule="exact" w:before="0"/>
        <w:ind w:left="3067" w:right="4043" w:firstLine="0"/>
        <w:jc w:val="center"/>
        <w:rPr>
          <w:rFonts w:ascii="宋体" w:hAnsi="宋体" w:cs="宋体" w:eastAsia="宋体" w:hint="default"/>
          <w:sz w:val="36"/>
          <w:szCs w:val="36"/>
        </w:rPr>
      </w:pPr>
      <w:r>
        <w:rPr>
          <w:rFonts w:ascii="宋体" w:hAnsi="宋体" w:cs="宋体" w:eastAsia="宋体" w:hint="default"/>
          <w:b/>
          <w:bCs/>
          <w:sz w:val="36"/>
          <w:szCs w:val="36"/>
        </w:rPr>
        <w:t>审计报告正文</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5"/>
        <w:rPr>
          <w:rFonts w:ascii="宋体" w:hAnsi="宋体" w:cs="宋体" w:eastAsia="宋体" w:hint="default"/>
          <w:b/>
          <w:bCs/>
          <w:sz w:val="27"/>
          <w:szCs w:val="27"/>
        </w:rPr>
      </w:pPr>
    </w:p>
    <w:p>
      <w:pPr>
        <w:pStyle w:val="Heading5"/>
        <w:spacing w:line="240" w:lineRule="auto"/>
        <w:ind w:left="3066" w:right="4043"/>
        <w:jc w:val="center"/>
        <w:rPr>
          <w:b w:val="0"/>
          <w:bCs w:val="0"/>
        </w:rPr>
      </w:pPr>
      <w:r>
        <w:rPr/>
        <w:t>审计报告</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before="38"/>
        <w:ind w:left="0" w:right="1154"/>
        <w:jc w:val="right"/>
      </w:pPr>
      <w:r>
        <w:rPr>
          <w:spacing w:val="-1"/>
        </w:rPr>
        <w:t>瑞华审字</w:t>
      </w:r>
      <w:r>
        <w:rPr>
          <w:rFonts w:ascii="Times New Roman" w:hAnsi="Times New Roman" w:cs="Times New Roman" w:eastAsia="Times New Roman" w:hint="default"/>
          <w:spacing w:val="-1"/>
        </w:rPr>
        <w:t>[2019]481</w:t>
      </w:r>
      <w:r>
        <w:rPr>
          <w:rFonts w:ascii="宋体" w:hAnsi="宋体" w:cs="宋体" w:eastAsia="宋体" w:hint="default"/>
          <w:spacing w:val="-1"/>
        </w:rPr>
        <w:t>2</w:t>
      </w:r>
      <w:r>
        <w:rPr>
          <w:rFonts w:ascii="Times New Roman" w:hAnsi="Times New Roman" w:cs="Times New Roman" w:eastAsia="Times New Roman" w:hint="default"/>
          <w:spacing w:val="-1"/>
        </w:rPr>
        <w:t>00</w:t>
      </w:r>
      <w:r>
        <w:rPr>
          <w:rFonts w:ascii="宋体" w:hAnsi="宋体" w:cs="宋体" w:eastAsia="宋体" w:hint="default"/>
          <w:spacing w:val="-1"/>
        </w:rPr>
        <w:t>27</w:t>
      </w:r>
      <w:r>
        <w:rPr>
          <w:spacing w:val="-1"/>
        </w:rPr>
        <w:t>号</w:t>
      </w:r>
    </w:p>
    <w:p>
      <w:pPr>
        <w:spacing w:line="240" w:lineRule="auto" w:before="8"/>
        <w:rPr>
          <w:rFonts w:ascii="宋体" w:hAnsi="宋体" w:cs="宋体" w:eastAsia="宋体" w:hint="default"/>
          <w:sz w:val="23"/>
          <w:szCs w:val="23"/>
        </w:rPr>
      </w:pPr>
    </w:p>
    <w:p>
      <w:pPr>
        <w:pStyle w:val="Heading5"/>
        <w:spacing w:line="240" w:lineRule="auto" w:before="38"/>
        <w:ind w:right="0"/>
        <w:jc w:val="left"/>
        <w:rPr>
          <w:b w:val="0"/>
          <w:bCs w:val="0"/>
        </w:rPr>
      </w:pPr>
      <w:r>
        <w:rPr/>
        <w:t>深圳市奥拓电子股份有限公司全体股东：</w:t>
      </w:r>
      <w:r>
        <w:rPr>
          <w:b w:val="0"/>
          <w:bCs w:val="0"/>
        </w:rPr>
      </w:r>
    </w:p>
    <w:p>
      <w:pPr>
        <w:spacing w:line="240" w:lineRule="auto" w:before="9"/>
        <w:rPr>
          <w:rFonts w:ascii="宋体" w:hAnsi="宋体" w:cs="宋体" w:eastAsia="宋体" w:hint="default"/>
          <w:b/>
          <w:bCs/>
          <w:sz w:val="27"/>
          <w:szCs w:val="27"/>
        </w:rPr>
      </w:pPr>
    </w:p>
    <w:p>
      <w:pPr>
        <w:pStyle w:val="Heading6"/>
        <w:spacing w:line="285" w:lineRule="auto"/>
        <w:ind w:right="0" w:firstLine="2"/>
        <w:jc w:val="left"/>
      </w:pPr>
      <w:r>
        <w:rPr>
          <w:rFonts w:ascii="宋体" w:hAnsi="宋体" w:cs="宋体" w:eastAsia="宋体" w:hint="default"/>
          <w:b/>
          <w:bCs/>
        </w:rPr>
        <w:t>一、审计意见</w:t>
      </w:r>
      <w:r>
        <w:rPr>
          <w:rFonts w:ascii="宋体" w:hAnsi="宋体" w:cs="宋体" w:eastAsia="宋体" w:hint="default"/>
          <w:b/>
          <w:bCs/>
          <w:w w:val="99"/>
        </w:rPr>
        <w:t> </w:t>
      </w:r>
      <w:r>
        <w:rPr>
          <w:spacing w:val="-1"/>
        </w:rPr>
        <w:t>我们审计了深圳市奥拓电子股份有限公司（以下简称</w:t>
      </w:r>
      <w:r>
        <w:rPr>
          <w:rFonts w:ascii="Times New Roman" w:hAnsi="Times New Roman" w:cs="Times New Roman" w:eastAsia="Times New Roman" w:hint="default"/>
          <w:spacing w:val="-1"/>
        </w:rPr>
        <w:t>“</w:t>
      </w:r>
      <w:r>
        <w:rPr>
          <w:spacing w:val="-1"/>
        </w:rPr>
        <w:t>奥拓电子公司</w:t>
      </w:r>
      <w:r>
        <w:rPr>
          <w:rFonts w:ascii="Times New Roman" w:hAnsi="Times New Roman" w:cs="Times New Roman" w:eastAsia="Times New Roman" w:hint="default"/>
          <w:spacing w:val="-1"/>
        </w:rPr>
        <w:t>”</w:t>
      </w:r>
      <w:r>
        <w:rPr>
          <w:spacing w:val="-1"/>
        </w:rPr>
        <w:t>）财务报表，包括</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日的</w:t>
      </w:r>
      <w:r>
        <w:rPr/>
      </w:r>
    </w:p>
    <w:p>
      <w:pPr>
        <w:pStyle w:val="Heading6"/>
        <w:spacing w:line="271" w:lineRule="auto"/>
        <w:ind w:left="154" w:right="0"/>
        <w:jc w:val="left"/>
      </w:pPr>
      <w:r>
        <w:rPr/>
        <w:t>合并及公司资产负债表，</w:t>
      </w:r>
      <w:r>
        <w:rPr>
          <w:rFonts w:ascii="Times New Roman" w:hAnsi="Times New Roman" w:cs="Times New Roman" w:eastAsia="Times New Roman" w:hint="default"/>
        </w:rPr>
        <w:t>2018</w:t>
      </w:r>
      <w:r>
        <w:rPr/>
        <w:t>年度的合并及公司利润表、合并及公司现金流量表、合并及公司股东权益变动表</w:t>
      </w:r>
      <w:r>
        <w:rPr>
          <w:spacing w:val="-66"/>
        </w:rPr>
        <w:t> </w:t>
      </w:r>
      <w:r>
        <w:rPr>
          <w:spacing w:val="-66"/>
        </w:rPr>
      </w:r>
      <w:r>
        <w:rPr/>
        <w:t>以及相关财务报表附注。</w:t>
      </w:r>
    </w:p>
    <w:p>
      <w:pPr>
        <w:pStyle w:val="Heading6"/>
        <w:spacing w:line="271" w:lineRule="auto" w:before="24"/>
        <w:ind w:left="154" w:right="0" w:firstLine="480"/>
        <w:jc w:val="left"/>
      </w:pPr>
      <w:r>
        <w:rPr>
          <w:spacing w:val="-2"/>
        </w:rPr>
        <w:t>我们认为，后附的财务报表在所有重大方面按照企业会计准则的规定编制，公允反映了奥拓电子公司</w:t>
      </w:r>
      <w:r>
        <w:rPr>
          <w:rFonts w:ascii="Times New Roman" w:hAnsi="Times New Roman" w:cs="Times New Roman" w:eastAsia="Times New Roman" w:hint="default"/>
          <w:spacing w:val="-2"/>
        </w:rPr>
        <w:t>2018</w:t>
      </w:r>
      <w:r>
        <w:rPr>
          <w:rFonts w:ascii="Times New Roman" w:hAnsi="Times New Roman" w:cs="Times New Roman" w:eastAsia="Times New Roman" w:hint="default"/>
          <w:w w:val="100"/>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日合并及公司的财务状况以及</w:t>
      </w:r>
      <w:r>
        <w:rPr>
          <w:rFonts w:ascii="Times New Roman" w:hAnsi="Times New Roman" w:cs="Times New Roman" w:eastAsia="Times New Roman" w:hint="default"/>
        </w:rPr>
        <w:t>2018</w:t>
      </w:r>
      <w:r>
        <w:rPr/>
        <w:t>年度合并及公司的经营成果和现金流量。</w:t>
      </w:r>
    </w:p>
    <w:p>
      <w:pPr>
        <w:spacing w:line="240" w:lineRule="auto" w:before="4"/>
        <w:rPr>
          <w:rFonts w:ascii="宋体" w:hAnsi="宋体" w:cs="宋体" w:eastAsia="宋体" w:hint="default"/>
          <w:sz w:val="24"/>
          <w:szCs w:val="24"/>
        </w:rPr>
      </w:pPr>
    </w:p>
    <w:p>
      <w:pPr>
        <w:spacing w:line="285" w:lineRule="auto" w:before="0"/>
        <w:ind w:left="634" w:right="0" w:firstLine="2"/>
        <w:jc w:val="left"/>
        <w:rPr>
          <w:rFonts w:ascii="宋体" w:hAnsi="宋体" w:cs="宋体" w:eastAsia="宋体" w:hint="default"/>
          <w:sz w:val="20"/>
          <w:szCs w:val="20"/>
        </w:rPr>
      </w:pPr>
      <w:r>
        <w:rPr>
          <w:rFonts w:ascii="宋体" w:hAnsi="宋体" w:cs="宋体" w:eastAsia="宋体" w:hint="default"/>
          <w:b/>
          <w:bCs/>
          <w:sz w:val="20"/>
          <w:szCs w:val="20"/>
        </w:rPr>
        <w:t>二、形成审计意见的基础</w:t>
      </w:r>
      <w:r>
        <w:rPr>
          <w:rFonts w:ascii="宋体" w:hAnsi="宋体" w:cs="宋体" w:eastAsia="宋体" w:hint="default"/>
          <w:b/>
          <w:bCs/>
          <w:w w:val="99"/>
          <w:sz w:val="20"/>
          <w:szCs w:val="20"/>
        </w:rPr>
        <w:t> </w:t>
      </w:r>
      <w:r>
        <w:rPr>
          <w:rFonts w:ascii="宋体" w:hAnsi="宋体" w:cs="宋体" w:eastAsia="宋体" w:hint="default"/>
          <w:sz w:val="20"/>
          <w:szCs w:val="20"/>
        </w:rPr>
        <w:t>我们按照中国注册会计师审计准则的规定执行了审计工作。审计报告的</w:t>
      </w:r>
      <w:r>
        <w:rPr>
          <w:rFonts w:ascii="Times New Roman" w:hAnsi="Times New Roman" w:cs="Times New Roman" w:eastAsia="Times New Roman" w:hint="default"/>
          <w:sz w:val="20"/>
          <w:szCs w:val="20"/>
        </w:rPr>
        <w:t>“</w:t>
      </w:r>
      <w:r>
        <w:rPr>
          <w:rFonts w:ascii="宋体" w:hAnsi="宋体" w:cs="宋体" w:eastAsia="宋体" w:hint="default"/>
          <w:sz w:val="20"/>
          <w:szCs w:val="20"/>
        </w:rPr>
        <w:t>注册会计师对财务报表审计的责</w:t>
      </w:r>
    </w:p>
    <w:p>
      <w:pPr>
        <w:pStyle w:val="Heading6"/>
        <w:spacing w:line="278" w:lineRule="auto"/>
        <w:ind w:left="154" w:right="1032"/>
        <w:jc w:val="left"/>
      </w:pPr>
      <w:r>
        <w:rPr>
          <w:spacing w:val="-4"/>
        </w:rPr>
        <w:t>任</w:t>
      </w:r>
      <w:r>
        <w:rPr>
          <w:rFonts w:ascii="Times New Roman" w:hAnsi="Times New Roman" w:cs="Times New Roman" w:eastAsia="Times New Roman" w:hint="default"/>
          <w:spacing w:val="-4"/>
        </w:rPr>
        <w:t>”</w:t>
      </w:r>
      <w:r>
        <w:rPr>
          <w:spacing w:val="-4"/>
        </w:rPr>
        <w:t>部分进一步阐述了我们在这些准则下的责任。按照中国注册会计师职业道德守则，我们独立于奥拓电子公司，</w:t>
      </w:r>
      <w:r>
        <w:rPr>
          <w:spacing w:val="-65"/>
        </w:rPr>
        <w:t> </w:t>
      </w:r>
      <w:r>
        <w:rPr>
          <w:spacing w:val="-65"/>
        </w:rPr>
      </w:r>
      <w:r>
        <w:rPr/>
        <w:t>并履行了职业道德方面的其他责任。我们相信，我们获取的审计证据是充分、适当的，为发表审计意见提供了</w:t>
      </w:r>
      <w:r>
        <w:rPr>
          <w:spacing w:val="-64"/>
        </w:rPr>
        <w:t> </w:t>
      </w:r>
      <w:r>
        <w:rPr>
          <w:spacing w:val="-64"/>
        </w:rPr>
      </w:r>
      <w:r>
        <w:rPr/>
        <w:t>基础。</w:t>
      </w:r>
    </w:p>
    <w:p>
      <w:pPr>
        <w:spacing w:line="240" w:lineRule="auto" w:before="3"/>
        <w:rPr>
          <w:rFonts w:ascii="宋体" w:hAnsi="宋体" w:cs="宋体" w:eastAsia="宋体" w:hint="default"/>
          <w:sz w:val="25"/>
          <w:szCs w:val="25"/>
        </w:rPr>
      </w:pPr>
    </w:p>
    <w:p>
      <w:pPr>
        <w:pStyle w:val="Heading6"/>
        <w:spacing w:line="285" w:lineRule="auto"/>
        <w:ind w:right="0" w:firstLine="2"/>
        <w:jc w:val="left"/>
      </w:pPr>
      <w:r>
        <w:rPr>
          <w:rFonts w:ascii="宋体" w:hAnsi="宋体" w:cs="宋体" w:eastAsia="宋体" w:hint="default"/>
          <w:b/>
          <w:bCs/>
        </w:rPr>
        <w:t>三、关键审计事项</w:t>
      </w:r>
      <w:r>
        <w:rPr>
          <w:rFonts w:ascii="宋体" w:hAnsi="宋体" w:cs="宋体" w:eastAsia="宋体" w:hint="default"/>
          <w:b/>
          <w:bCs/>
          <w:w w:val="99"/>
        </w:rPr>
        <w:t> </w:t>
      </w:r>
      <w:r>
        <w:rPr>
          <w:spacing w:val="-2"/>
        </w:rPr>
        <w:t>关键审计事项是我们根据职业判断，认为对本期财务报表审计最为重要的事项。这些事项的应对以对财务</w:t>
      </w:r>
    </w:p>
    <w:p>
      <w:pPr>
        <w:pStyle w:val="Heading6"/>
        <w:spacing w:line="240" w:lineRule="auto" w:before="11"/>
        <w:ind w:left="154" w:right="0"/>
        <w:jc w:val="left"/>
      </w:pPr>
      <w:r>
        <w:rPr/>
        <w:t>报表整体进行审计并形成审计意见为背景，我们不对这些事项单独发表意见。</w:t>
      </w:r>
    </w:p>
    <w:p>
      <w:pPr>
        <w:spacing w:line="240" w:lineRule="auto" w:before="4"/>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4281"/>
        <w:gridCol w:w="5360"/>
      </w:tblGrid>
      <w:tr>
        <w:trPr>
          <w:trHeight w:val="348" w:hRule="exact"/>
        </w:trPr>
        <w:tc>
          <w:tcPr>
            <w:tcW w:w="4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center"/>
              <w:rPr>
                <w:rFonts w:ascii="宋体" w:hAnsi="宋体" w:cs="宋体" w:eastAsia="宋体" w:hint="default"/>
                <w:sz w:val="20"/>
                <w:szCs w:val="20"/>
              </w:rPr>
            </w:pPr>
            <w:r>
              <w:rPr>
                <w:rFonts w:ascii="宋体" w:hAnsi="宋体" w:cs="宋体" w:eastAsia="宋体" w:hint="default"/>
                <w:sz w:val="20"/>
                <w:szCs w:val="20"/>
              </w:rPr>
              <w:t>关键审计事项</w:t>
            </w:r>
          </w:p>
        </w:tc>
        <w:tc>
          <w:tcPr>
            <w:tcW w:w="5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center"/>
              <w:rPr>
                <w:rFonts w:ascii="宋体" w:hAnsi="宋体" w:cs="宋体" w:eastAsia="宋体" w:hint="default"/>
                <w:sz w:val="20"/>
                <w:szCs w:val="20"/>
              </w:rPr>
            </w:pPr>
            <w:r>
              <w:rPr>
                <w:rFonts w:ascii="宋体" w:hAnsi="宋体" w:cs="宋体" w:eastAsia="宋体" w:hint="default"/>
                <w:sz w:val="20"/>
                <w:szCs w:val="20"/>
              </w:rPr>
              <w:t>审计应对</w:t>
            </w:r>
          </w:p>
        </w:tc>
      </w:tr>
      <w:tr>
        <w:trPr>
          <w:trHeight w:val="347" w:hRule="exact"/>
        </w:trPr>
        <w:tc>
          <w:tcPr>
            <w:tcW w:w="96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2" w:right="0"/>
              <w:jc w:val="left"/>
              <w:rPr>
                <w:rFonts w:ascii="宋体" w:hAnsi="宋体" w:cs="宋体" w:eastAsia="宋体" w:hint="default"/>
                <w:sz w:val="20"/>
                <w:szCs w:val="20"/>
              </w:rPr>
            </w:pPr>
            <w:r>
              <w:rPr>
                <w:rFonts w:ascii="宋体" w:hAnsi="宋体" w:cs="宋体" w:eastAsia="宋体" w:hint="default"/>
                <w:sz w:val="20"/>
                <w:szCs w:val="20"/>
              </w:rPr>
              <w:t>一、收入确认</w:t>
            </w:r>
          </w:p>
        </w:tc>
      </w:tr>
      <w:tr>
        <w:trPr>
          <w:trHeight w:val="971" w:hRule="exact"/>
        </w:trPr>
        <w:tc>
          <w:tcPr>
            <w:tcW w:w="4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22" w:right="0"/>
              <w:jc w:val="left"/>
              <w:rPr>
                <w:rFonts w:ascii="宋体" w:hAnsi="宋体" w:cs="宋体" w:eastAsia="宋体" w:hint="default"/>
                <w:sz w:val="20"/>
                <w:szCs w:val="20"/>
              </w:rPr>
            </w:pPr>
            <w:r>
              <w:rPr>
                <w:rFonts w:ascii="宋体" w:hAnsi="宋体" w:cs="宋体" w:eastAsia="宋体" w:hint="default"/>
                <w:sz w:val="20"/>
                <w:szCs w:val="20"/>
              </w:rPr>
              <w:t>如财务报表附注六、</w:t>
            </w:r>
            <w:r>
              <w:rPr>
                <w:rFonts w:ascii="Times New Roman" w:hAnsi="Times New Roman" w:cs="Times New Roman" w:eastAsia="Times New Roman" w:hint="default"/>
                <w:sz w:val="20"/>
                <w:szCs w:val="20"/>
              </w:rPr>
              <w:t>32</w:t>
            </w:r>
            <w:r>
              <w:rPr>
                <w:rFonts w:ascii="宋体" w:hAnsi="宋体" w:cs="宋体" w:eastAsia="宋体" w:hint="default"/>
                <w:sz w:val="20"/>
                <w:szCs w:val="20"/>
              </w:rPr>
              <w:t>所述，奥拓电子公司</w:t>
            </w:r>
          </w:p>
          <w:p>
            <w:pPr>
              <w:pStyle w:val="TableParagraph"/>
              <w:spacing w:line="240" w:lineRule="auto" w:before="35"/>
              <w:ind w:left="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2018</w:t>
            </w:r>
            <w:r>
              <w:rPr>
                <w:rFonts w:ascii="Times New Roman" w:hAnsi="Times New Roman" w:cs="Times New Roman" w:eastAsia="Times New Roman" w:hint="default"/>
                <w:spacing w:val="-24"/>
                <w:sz w:val="20"/>
                <w:szCs w:val="20"/>
              </w:rPr>
              <w:t> </w:t>
            </w:r>
            <w:r>
              <w:rPr>
                <w:rFonts w:ascii="宋体" w:hAnsi="宋体" w:cs="宋体" w:eastAsia="宋体" w:hint="default"/>
                <w:sz w:val="20"/>
                <w:szCs w:val="20"/>
              </w:rPr>
              <w:t>年</w:t>
            </w:r>
            <w:r>
              <w:rPr>
                <w:rFonts w:ascii="宋体" w:hAnsi="宋体" w:cs="宋体" w:eastAsia="宋体" w:hint="default"/>
                <w:spacing w:val="-74"/>
                <w:sz w:val="20"/>
                <w:szCs w:val="20"/>
              </w:rPr>
              <w:t> </w:t>
            </w:r>
            <w:r>
              <w:rPr>
                <w:rFonts w:ascii="宋体" w:hAnsi="宋体" w:cs="宋体" w:eastAsia="宋体" w:hint="default"/>
                <w:sz w:val="20"/>
                <w:szCs w:val="20"/>
              </w:rPr>
              <w:t>智</w:t>
            </w:r>
            <w:r>
              <w:rPr>
                <w:rFonts w:ascii="宋体" w:hAnsi="宋体" w:cs="宋体" w:eastAsia="宋体" w:hint="default"/>
                <w:spacing w:val="-74"/>
                <w:sz w:val="20"/>
                <w:szCs w:val="20"/>
              </w:rPr>
              <w:t> </w:t>
            </w:r>
            <w:r>
              <w:rPr>
                <w:rFonts w:ascii="宋体" w:hAnsi="宋体" w:cs="宋体" w:eastAsia="宋体" w:hint="default"/>
                <w:sz w:val="20"/>
                <w:szCs w:val="20"/>
              </w:rPr>
              <w:t>能</w:t>
            </w:r>
            <w:r>
              <w:rPr>
                <w:rFonts w:ascii="宋体" w:hAnsi="宋体" w:cs="宋体" w:eastAsia="宋体" w:hint="default"/>
                <w:spacing w:val="-74"/>
                <w:sz w:val="20"/>
                <w:szCs w:val="20"/>
              </w:rPr>
              <w:t> </w:t>
            </w:r>
            <w:r>
              <w:rPr>
                <w:rFonts w:ascii="宋体" w:hAnsi="宋体" w:cs="宋体" w:eastAsia="宋体" w:hint="default"/>
                <w:sz w:val="20"/>
                <w:szCs w:val="20"/>
              </w:rPr>
              <w:t>景</w:t>
            </w:r>
            <w:r>
              <w:rPr>
                <w:rFonts w:ascii="宋体" w:hAnsi="宋体" w:cs="宋体" w:eastAsia="宋体" w:hint="default"/>
                <w:spacing w:val="-74"/>
                <w:sz w:val="20"/>
                <w:szCs w:val="20"/>
              </w:rPr>
              <w:t> </w:t>
            </w:r>
            <w:r>
              <w:rPr>
                <w:rFonts w:ascii="宋体" w:hAnsi="宋体" w:cs="宋体" w:eastAsia="宋体" w:hint="default"/>
                <w:sz w:val="20"/>
                <w:szCs w:val="20"/>
              </w:rPr>
              <w:t>观</w:t>
            </w:r>
            <w:r>
              <w:rPr>
                <w:rFonts w:ascii="宋体" w:hAnsi="宋体" w:cs="宋体" w:eastAsia="宋体" w:hint="default"/>
                <w:spacing w:val="-73"/>
                <w:sz w:val="20"/>
                <w:szCs w:val="20"/>
              </w:rPr>
              <w:t> </w:t>
            </w:r>
            <w:r>
              <w:rPr>
                <w:rFonts w:ascii="宋体" w:hAnsi="宋体" w:cs="宋体" w:eastAsia="宋体" w:hint="default"/>
                <w:sz w:val="20"/>
                <w:szCs w:val="20"/>
              </w:rPr>
              <w:t>亮</w:t>
            </w:r>
            <w:r>
              <w:rPr>
                <w:rFonts w:ascii="宋体" w:hAnsi="宋体" w:cs="宋体" w:eastAsia="宋体" w:hint="default"/>
                <w:spacing w:val="-74"/>
                <w:sz w:val="20"/>
                <w:szCs w:val="20"/>
              </w:rPr>
              <w:t> </w:t>
            </w:r>
            <w:r>
              <w:rPr>
                <w:rFonts w:ascii="宋体" w:hAnsi="宋体" w:cs="宋体" w:eastAsia="宋体" w:hint="default"/>
                <w:sz w:val="20"/>
                <w:szCs w:val="20"/>
              </w:rPr>
              <w:t>化</w:t>
            </w:r>
            <w:r>
              <w:rPr>
                <w:rFonts w:ascii="宋体" w:hAnsi="宋体" w:cs="宋体" w:eastAsia="宋体" w:hint="default"/>
                <w:spacing w:val="-74"/>
                <w:sz w:val="20"/>
                <w:szCs w:val="20"/>
              </w:rPr>
              <w:t> </w:t>
            </w:r>
            <w:r>
              <w:rPr>
                <w:rFonts w:ascii="宋体" w:hAnsi="宋体" w:cs="宋体" w:eastAsia="宋体" w:hint="default"/>
                <w:sz w:val="20"/>
                <w:szCs w:val="20"/>
              </w:rPr>
              <w:t>工</w:t>
            </w:r>
            <w:r>
              <w:rPr>
                <w:rFonts w:ascii="宋体" w:hAnsi="宋体" w:cs="宋体" w:eastAsia="宋体" w:hint="default"/>
                <w:spacing w:val="-74"/>
                <w:sz w:val="20"/>
                <w:szCs w:val="20"/>
              </w:rPr>
              <w:t> </w:t>
            </w:r>
            <w:r>
              <w:rPr>
                <w:rFonts w:ascii="宋体" w:hAnsi="宋体" w:cs="宋体" w:eastAsia="宋体" w:hint="default"/>
                <w:sz w:val="20"/>
                <w:szCs w:val="20"/>
              </w:rPr>
              <w:t>程</w:t>
            </w:r>
            <w:r>
              <w:rPr>
                <w:rFonts w:ascii="宋体" w:hAnsi="宋体" w:cs="宋体" w:eastAsia="宋体" w:hint="default"/>
                <w:spacing w:val="-74"/>
                <w:sz w:val="20"/>
                <w:szCs w:val="20"/>
              </w:rPr>
              <w:t> </w:t>
            </w:r>
            <w:r>
              <w:rPr>
                <w:rFonts w:ascii="宋体" w:hAnsi="宋体" w:cs="宋体" w:eastAsia="宋体" w:hint="default"/>
                <w:sz w:val="20"/>
                <w:szCs w:val="20"/>
              </w:rPr>
              <w:t>项</w:t>
            </w:r>
            <w:r>
              <w:rPr>
                <w:rFonts w:ascii="宋体" w:hAnsi="宋体" w:cs="宋体" w:eastAsia="宋体" w:hint="default"/>
                <w:spacing w:val="-73"/>
                <w:sz w:val="20"/>
                <w:szCs w:val="20"/>
              </w:rPr>
              <w:t> </w:t>
            </w:r>
            <w:r>
              <w:rPr>
                <w:rFonts w:ascii="宋体" w:hAnsi="宋体" w:cs="宋体" w:eastAsia="宋体" w:hint="default"/>
                <w:sz w:val="20"/>
                <w:szCs w:val="20"/>
              </w:rPr>
              <w:t>目</w:t>
            </w:r>
            <w:r>
              <w:rPr>
                <w:rFonts w:ascii="宋体" w:hAnsi="宋体" w:cs="宋体" w:eastAsia="宋体" w:hint="default"/>
                <w:spacing w:val="-74"/>
                <w:sz w:val="20"/>
                <w:szCs w:val="20"/>
              </w:rPr>
              <w:t> </w:t>
            </w:r>
            <w:r>
              <w:rPr>
                <w:rFonts w:ascii="宋体" w:hAnsi="宋体" w:cs="宋体" w:eastAsia="宋体" w:hint="default"/>
                <w:sz w:val="20"/>
                <w:szCs w:val="20"/>
              </w:rPr>
              <w:t>实</w:t>
            </w:r>
            <w:r>
              <w:rPr>
                <w:rFonts w:ascii="宋体" w:hAnsi="宋体" w:cs="宋体" w:eastAsia="宋体" w:hint="default"/>
                <w:spacing w:val="-74"/>
                <w:sz w:val="20"/>
                <w:szCs w:val="20"/>
              </w:rPr>
              <w:t> </w:t>
            </w:r>
            <w:r>
              <w:rPr>
                <w:rFonts w:ascii="宋体" w:hAnsi="宋体" w:cs="宋体" w:eastAsia="宋体" w:hint="default"/>
                <w:sz w:val="20"/>
                <w:szCs w:val="20"/>
              </w:rPr>
              <w:t>现</w:t>
            </w:r>
            <w:r>
              <w:rPr>
                <w:rFonts w:ascii="宋体" w:hAnsi="宋体" w:cs="宋体" w:eastAsia="宋体" w:hint="default"/>
                <w:spacing w:val="-74"/>
                <w:sz w:val="20"/>
                <w:szCs w:val="20"/>
              </w:rPr>
              <w:t> </w:t>
            </w:r>
            <w:r>
              <w:rPr>
                <w:rFonts w:ascii="宋体" w:hAnsi="宋体" w:cs="宋体" w:eastAsia="宋体" w:hint="default"/>
                <w:sz w:val="20"/>
                <w:szCs w:val="20"/>
              </w:rPr>
              <w:t>营</w:t>
            </w:r>
            <w:r>
              <w:rPr>
                <w:rFonts w:ascii="宋体" w:hAnsi="宋体" w:cs="宋体" w:eastAsia="宋体" w:hint="default"/>
                <w:spacing w:val="-74"/>
                <w:sz w:val="20"/>
                <w:szCs w:val="20"/>
              </w:rPr>
              <w:t> </w:t>
            </w:r>
            <w:r>
              <w:rPr>
                <w:rFonts w:ascii="宋体" w:hAnsi="宋体" w:cs="宋体" w:eastAsia="宋体" w:hint="default"/>
                <w:sz w:val="20"/>
                <w:szCs w:val="20"/>
              </w:rPr>
              <w:t>业</w:t>
            </w:r>
            <w:r>
              <w:rPr>
                <w:rFonts w:ascii="宋体" w:hAnsi="宋体" w:cs="宋体" w:eastAsia="宋体" w:hint="default"/>
                <w:spacing w:val="-73"/>
                <w:sz w:val="20"/>
                <w:szCs w:val="20"/>
              </w:rPr>
              <w:t> </w:t>
            </w:r>
            <w:r>
              <w:rPr>
                <w:rFonts w:ascii="宋体" w:hAnsi="宋体" w:cs="宋体" w:eastAsia="宋体" w:hint="default"/>
                <w:sz w:val="20"/>
                <w:szCs w:val="20"/>
              </w:rPr>
              <w:t>收</w:t>
            </w:r>
            <w:r>
              <w:rPr>
                <w:rFonts w:ascii="宋体" w:hAnsi="宋体" w:cs="宋体" w:eastAsia="宋体" w:hint="default"/>
                <w:spacing w:val="-74"/>
                <w:sz w:val="20"/>
                <w:szCs w:val="20"/>
              </w:rPr>
              <w:t> </w:t>
            </w:r>
            <w:r>
              <w:rPr>
                <w:rFonts w:ascii="宋体" w:hAnsi="宋体" w:cs="宋体" w:eastAsia="宋体" w:hint="default"/>
                <w:sz w:val="20"/>
                <w:szCs w:val="20"/>
              </w:rPr>
              <w:t>入</w:t>
            </w:r>
          </w:p>
          <w:p>
            <w:pPr>
              <w:pStyle w:val="TableParagraph"/>
              <w:spacing w:line="240" w:lineRule="auto" w:before="35"/>
              <w:ind w:left="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92,870</w:t>
            </w:r>
            <w:r>
              <w:rPr>
                <w:rFonts w:ascii="宋体" w:hAnsi="宋体" w:cs="宋体" w:eastAsia="宋体" w:hint="default"/>
                <w:sz w:val="20"/>
                <w:szCs w:val="20"/>
              </w:rPr>
              <w:t>万元，占全年营业收入的</w:t>
            </w:r>
            <w:r>
              <w:rPr>
                <w:rFonts w:ascii="Times New Roman" w:hAnsi="Times New Roman" w:cs="Times New Roman" w:eastAsia="Times New Roman" w:hint="default"/>
                <w:sz w:val="20"/>
                <w:szCs w:val="20"/>
              </w:rPr>
              <w:t>59.03%</w:t>
            </w:r>
            <w:r>
              <w:rPr>
                <w:rFonts w:ascii="宋体" w:hAnsi="宋体" w:cs="宋体" w:eastAsia="宋体" w:hint="default"/>
                <w:sz w:val="20"/>
                <w:szCs w:val="20"/>
              </w:rPr>
              <w:t>。</w:t>
            </w:r>
          </w:p>
        </w:tc>
        <w:tc>
          <w:tcPr>
            <w:tcW w:w="5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2" w:right="0"/>
              <w:jc w:val="left"/>
              <w:rPr>
                <w:rFonts w:ascii="宋体" w:hAnsi="宋体" w:cs="宋体" w:eastAsia="宋体" w:hint="default"/>
                <w:sz w:val="20"/>
                <w:szCs w:val="20"/>
              </w:rPr>
            </w:pPr>
            <w:r>
              <w:rPr>
                <w:rFonts w:ascii="宋体" w:hAnsi="宋体" w:cs="宋体" w:eastAsia="宋体" w:hint="default"/>
                <w:sz w:val="20"/>
                <w:szCs w:val="20"/>
              </w:rPr>
              <w:t>我们针对智能景观亮化工程执行的主要审计程序包括：</w:t>
            </w:r>
          </w:p>
          <w:p>
            <w:pPr>
              <w:pStyle w:val="TableParagraph"/>
              <w:spacing w:line="271" w:lineRule="auto" w:before="50"/>
              <w:ind w:left="2" w:right="4"/>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1</w:t>
            </w:r>
            <w:r>
              <w:rPr>
                <w:rFonts w:ascii="宋体" w:hAnsi="宋体" w:cs="宋体" w:eastAsia="宋体" w:hint="default"/>
                <w:sz w:val="20"/>
                <w:szCs w:val="20"/>
              </w:rPr>
              <w:t>）了解、评估并测试了与建造合同收入及成本确认相关的</w:t>
            </w:r>
            <w:r>
              <w:rPr>
                <w:rFonts w:ascii="宋体" w:hAnsi="宋体" w:cs="宋体" w:eastAsia="宋体" w:hint="default"/>
                <w:spacing w:val="-66"/>
                <w:sz w:val="20"/>
                <w:szCs w:val="20"/>
              </w:rPr>
              <w:t> </w:t>
            </w:r>
            <w:r>
              <w:rPr>
                <w:rFonts w:ascii="宋体" w:hAnsi="宋体" w:cs="宋体" w:eastAsia="宋体" w:hint="default"/>
                <w:spacing w:val="-66"/>
                <w:sz w:val="20"/>
                <w:szCs w:val="20"/>
              </w:rPr>
            </w:r>
            <w:r>
              <w:rPr>
                <w:rFonts w:ascii="宋体" w:hAnsi="宋体" w:cs="宋体" w:eastAsia="宋体" w:hint="default"/>
                <w:sz w:val="20"/>
                <w:szCs w:val="20"/>
              </w:rPr>
              <w:t>内部控制；</w:t>
            </w:r>
          </w:p>
        </w:tc>
      </w:tr>
    </w:tbl>
    <w:p>
      <w:pPr>
        <w:spacing w:after="0" w:line="271" w:lineRule="auto"/>
        <w:jc w:val="left"/>
        <w:rPr>
          <w:rFonts w:ascii="宋体" w:hAnsi="宋体" w:cs="宋体" w:eastAsia="宋体" w:hint="default"/>
          <w:sz w:val="20"/>
          <w:szCs w:val="20"/>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r>
        <w:rPr/>
        <w:pict>
          <v:shape style="position:absolute;margin-left:56.34pt;margin-top:71.999985pt;width:483.15pt;height:694.2pt;mso-position-horizontal-relative:page;mso-position-vertical-relative:page;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81"/>
                    <w:gridCol w:w="5360"/>
                  </w:tblGrid>
                  <w:tr>
                    <w:trPr>
                      <w:trHeight w:val="4091" w:hRule="exact"/>
                    </w:trPr>
                    <w:tc>
                      <w:tcPr>
                        <w:tcW w:w="4281" w:type="dxa"/>
                        <w:tcBorders>
                          <w:top w:val="single" w:sz="6" w:space="0" w:color="000000"/>
                          <w:left w:val="single" w:sz="6" w:space="0" w:color="000000"/>
                          <w:bottom w:val="single" w:sz="6" w:space="0" w:color="000000"/>
                          <w:right w:val="single" w:sz="6" w:space="0" w:color="000000"/>
                        </w:tcBorders>
                      </w:tcPr>
                      <w:p>
                        <w:pPr>
                          <w:pStyle w:val="TableParagraph"/>
                          <w:spacing w:line="283" w:lineRule="auto" w:before="5"/>
                          <w:ind w:left="2" w:right="2" w:firstLine="420"/>
                          <w:jc w:val="both"/>
                          <w:rPr>
                            <w:rFonts w:ascii="宋体" w:hAnsi="宋体" w:cs="宋体" w:eastAsia="宋体" w:hint="default"/>
                            <w:sz w:val="20"/>
                            <w:szCs w:val="20"/>
                          </w:rPr>
                        </w:pPr>
                        <w:r>
                          <w:rPr>
                            <w:rFonts w:ascii="宋体" w:hAnsi="宋体" w:cs="宋体" w:eastAsia="宋体" w:hint="default"/>
                            <w:sz w:val="20"/>
                            <w:szCs w:val="20"/>
                          </w:rPr>
                          <w:t>智能景观亮化工程项目主要是对市政设施、</w:t>
                        </w:r>
                        <w:r>
                          <w:rPr>
                            <w:rFonts w:ascii="宋体" w:hAnsi="宋体" w:cs="宋体" w:eastAsia="宋体" w:hint="default"/>
                            <w:w w:val="100"/>
                            <w:sz w:val="20"/>
                            <w:szCs w:val="20"/>
                          </w:rPr>
                          <w:t> </w:t>
                        </w:r>
                        <w:r>
                          <w:rPr>
                            <w:rFonts w:ascii="宋体" w:hAnsi="宋体" w:cs="宋体" w:eastAsia="宋体" w:hint="default"/>
                            <w:spacing w:val="2"/>
                            <w:sz w:val="20"/>
                            <w:szCs w:val="20"/>
                          </w:rPr>
                          <w:t>旅游景区等进行景观照明的设计、改造、施工、</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安装以及维护。按照《企业会计准则第</w:t>
                        </w:r>
                        <w:r>
                          <w:rPr>
                            <w:rFonts w:ascii="Times New Roman" w:hAnsi="Times New Roman" w:cs="Times New Roman" w:eastAsia="Times New Roman" w:hint="default"/>
                            <w:spacing w:val="-2"/>
                            <w:sz w:val="20"/>
                            <w:szCs w:val="20"/>
                          </w:rPr>
                          <w:t>15</w:t>
                        </w:r>
                        <w:r>
                          <w:rPr>
                            <w:rFonts w:ascii="宋体" w:hAnsi="宋体" w:cs="宋体" w:eastAsia="宋体" w:hint="default"/>
                            <w:spacing w:val="-2"/>
                            <w:sz w:val="20"/>
                            <w:szCs w:val="20"/>
                          </w:rPr>
                          <w:t>号</w:t>
                        </w:r>
                        <w:r>
                          <w:rPr>
                            <w:rFonts w:ascii="Times New Roman" w:hAnsi="Times New Roman" w:cs="Times New Roman" w:eastAsia="Times New Roman" w:hint="default"/>
                            <w:spacing w:val="-2"/>
                            <w:sz w:val="20"/>
                            <w:szCs w:val="20"/>
                          </w:rPr>
                          <w:t>-</w:t>
                        </w:r>
                        <w:r>
                          <w:rPr>
                            <w:rFonts w:ascii="宋体" w:hAnsi="宋体" w:cs="宋体" w:eastAsia="宋体" w:hint="default"/>
                            <w:spacing w:val="-2"/>
                            <w:sz w:val="20"/>
                            <w:szCs w:val="20"/>
                          </w:rPr>
                          <w:t>建造</w:t>
                        </w:r>
                        <w:r>
                          <w:rPr>
                            <w:rFonts w:ascii="宋体" w:hAnsi="宋体" w:cs="宋体" w:eastAsia="宋体" w:hint="default"/>
                            <w:spacing w:val="-70"/>
                            <w:sz w:val="20"/>
                            <w:szCs w:val="20"/>
                          </w:rPr>
                          <w:t> </w:t>
                        </w:r>
                        <w:r>
                          <w:rPr>
                            <w:rFonts w:ascii="宋体" w:hAnsi="宋体" w:cs="宋体" w:eastAsia="宋体" w:hint="default"/>
                            <w:spacing w:val="2"/>
                            <w:sz w:val="20"/>
                            <w:szCs w:val="20"/>
                          </w:rPr>
                          <w:t>合同》的规定，于资产负债表日按完工百分比法</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确认工程项目收入和成本。</w:t>
                        </w:r>
                      </w:p>
                      <w:p>
                        <w:pPr>
                          <w:pStyle w:val="TableParagraph"/>
                          <w:spacing w:line="285" w:lineRule="auto" w:before="14"/>
                          <w:ind w:left="2" w:right="5" w:firstLine="420"/>
                          <w:jc w:val="both"/>
                          <w:rPr>
                            <w:rFonts w:ascii="宋体" w:hAnsi="宋体" w:cs="宋体" w:eastAsia="宋体" w:hint="default"/>
                            <w:sz w:val="20"/>
                            <w:szCs w:val="20"/>
                          </w:rPr>
                        </w:pPr>
                        <w:r>
                          <w:rPr>
                            <w:rFonts w:ascii="宋体" w:hAnsi="宋体" w:cs="宋体" w:eastAsia="宋体" w:hint="default"/>
                            <w:sz w:val="20"/>
                            <w:szCs w:val="20"/>
                          </w:rPr>
                          <w:t>由于建造合同完工百分比的确定涉及管理层</w:t>
                        </w:r>
                        <w:r>
                          <w:rPr>
                            <w:rFonts w:ascii="宋体" w:hAnsi="宋体" w:cs="宋体" w:eastAsia="宋体" w:hint="default"/>
                            <w:w w:val="100"/>
                            <w:sz w:val="20"/>
                            <w:szCs w:val="20"/>
                          </w:rPr>
                          <w:t> </w:t>
                        </w:r>
                        <w:r>
                          <w:rPr>
                            <w:rFonts w:ascii="宋体" w:hAnsi="宋体" w:cs="宋体" w:eastAsia="宋体" w:hint="default"/>
                            <w:spacing w:val="2"/>
                            <w:sz w:val="20"/>
                            <w:szCs w:val="20"/>
                          </w:rPr>
                          <w:t>重要的判断和会计估计，包含交付和服务范围、</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合同预计总收入、合同预计总成本、剩余工程成</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本和合同风险，以及资产负债表日已完工未结算</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的工程成本的可回收性。因此我们将建造合同收</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入确认的计价和分摊确定为关键审计事项。</w:t>
                        </w:r>
                      </w:p>
                    </w:tc>
                    <w:tc>
                      <w:tcPr>
                        <w:tcW w:w="5360"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5"/>
                          <w:ind w:left="2" w:right="5"/>
                          <w:jc w:val="both"/>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2</w:t>
                        </w:r>
                        <w:r>
                          <w:rPr>
                            <w:rFonts w:ascii="宋体" w:hAnsi="宋体" w:cs="宋体" w:eastAsia="宋体" w:hint="default"/>
                            <w:sz w:val="20"/>
                            <w:szCs w:val="20"/>
                          </w:rPr>
                          <w:t>）检查建造合同收入确认的会计政策，检查并复核重大建</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造工程合同及关键合同条款；</w:t>
                        </w:r>
                      </w:p>
                      <w:p>
                        <w:pPr>
                          <w:pStyle w:val="TableParagraph"/>
                          <w:spacing w:line="280" w:lineRule="auto" w:before="24"/>
                          <w:ind w:left="2" w:right="1"/>
                          <w:jc w:val="both"/>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3</w:t>
                        </w:r>
                        <w:r>
                          <w:rPr>
                            <w:rFonts w:ascii="宋体" w:hAnsi="宋体" w:cs="宋体" w:eastAsia="宋体" w:hint="default"/>
                            <w:sz w:val="20"/>
                            <w:szCs w:val="20"/>
                          </w:rPr>
                          <w:t>）选取建造合同样本，检查管理层预计总收入和预计总成</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pacing w:val="-3"/>
                            <w:sz w:val="20"/>
                            <w:szCs w:val="20"/>
                          </w:rPr>
                          <w:t>本所依据的建造合同和成本预算资料，评估管理层所作估计是</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pacing w:val="-3"/>
                            <w:sz w:val="20"/>
                            <w:szCs w:val="20"/>
                          </w:rPr>
                          <w:t>否合理、依据是否充分，评估已完工未结算的工程成本的可收</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回性；</w:t>
                        </w:r>
                      </w:p>
                      <w:p>
                        <w:pPr>
                          <w:pStyle w:val="TableParagraph"/>
                          <w:spacing w:line="278" w:lineRule="auto" w:before="16"/>
                          <w:ind w:left="2" w:right="0"/>
                          <w:jc w:val="both"/>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4</w:t>
                        </w:r>
                        <w:r>
                          <w:rPr>
                            <w:rFonts w:ascii="宋体" w:hAnsi="宋体" w:cs="宋体" w:eastAsia="宋体" w:hint="default"/>
                            <w:sz w:val="20"/>
                            <w:szCs w:val="20"/>
                          </w:rPr>
                          <w:t>）选取建造合同样本，检查实际发生工程成本的合同、发</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pacing w:val="-3"/>
                            <w:sz w:val="20"/>
                            <w:szCs w:val="20"/>
                          </w:rPr>
                          <w:t>票、材料收发单、结算单等支持性文件，以评估实际成本的认</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定；</w:t>
                        </w:r>
                      </w:p>
                      <w:p>
                        <w:pPr>
                          <w:pStyle w:val="TableParagraph"/>
                          <w:spacing w:line="280" w:lineRule="auto" w:before="18"/>
                          <w:ind w:left="2" w:right="1"/>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5</w:t>
                        </w:r>
                        <w:r>
                          <w:rPr>
                            <w:rFonts w:ascii="宋体" w:hAnsi="宋体" w:cs="宋体" w:eastAsia="宋体" w:hint="default"/>
                            <w:sz w:val="20"/>
                            <w:szCs w:val="20"/>
                          </w:rPr>
                          <w:t>）选取建造合同样本，对工程形象进度进行现场查看，与</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工程管理部门讨论确认工程的完</w:t>
                        </w:r>
                        <w:r>
                          <w:rPr>
                            <w:rFonts w:ascii="宋体" w:hAnsi="宋体" w:cs="宋体" w:eastAsia="宋体" w:hint="default"/>
                            <w:w w:val="100"/>
                            <w:sz w:val="20"/>
                            <w:szCs w:val="20"/>
                          </w:rPr>
                          <w:t> </w:t>
                        </w:r>
                        <w:r>
                          <w:rPr>
                            <w:rFonts w:ascii="宋体" w:hAnsi="宋体" w:cs="宋体" w:eastAsia="宋体" w:hint="default"/>
                            <w:spacing w:val="-3"/>
                            <w:sz w:val="20"/>
                            <w:szCs w:val="20"/>
                          </w:rPr>
                          <w:t>工程度，并与账面记录进行比较，对异常偏差执行进一步的检</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查程序。</w:t>
                        </w:r>
                      </w:p>
                    </w:tc>
                  </w:tr>
                  <w:tr>
                    <w:trPr>
                      <w:trHeight w:val="6899" w:hRule="exact"/>
                    </w:trPr>
                    <w:tc>
                      <w:tcPr>
                        <w:tcW w:w="4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80" w:lineRule="auto"/>
                          <w:ind w:left="2" w:right="-17" w:firstLine="420"/>
                          <w:jc w:val="both"/>
                          <w:rPr>
                            <w:rFonts w:ascii="宋体" w:hAnsi="宋体" w:cs="宋体" w:eastAsia="宋体" w:hint="default"/>
                            <w:sz w:val="20"/>
                            <w:szCs w:val="20"/>
                          </w:rPr>
                        </w:pPr>
                        <w:r>
                          <w:rPr>
                            <w:rFonts w:ascii="宋体" w:hAnsi="宋体" w:cs="宋体" w:eastAsia="宋体" w:hint="default"/>
                            <w:sz w:val="20"/>
                            <w:szCs w:val="20"/>
                          </w:rPr>
                          <w:t>如财务报表附注六、</w:t>
                        </w:r>
                        <w:r>
                          <w:rPr>
                            <w:rFonts w:ascii="Times New Roman" w:hAnsi="Times New Roman" w:cs="Times New Roman" w:eastAsia="Times New Roman" w:hint="default"/>
                            <w:sz w:val="20"/>
                            <w:szCs w:val="20"/>
                          </w:rPr>
                          <w:t>32</w:t>
                        </w:r>
                        <w:r>
                          <w:rPr>
                            <w:rFonts w:ascii="宋体" w:hAnsi="宋体" w:cs="宋体" w:eastAsia="宋体" w:hint="default"/>
                            <w:sz w:val="20"/>
                            <w:szCs w:val="20"/>
                          </w:rPr>
                          <w:t>所述，奥拓电子公司</w:t>
                        </w:r>
                        <w:r>
                          <w:rPr>
                            <w:rFonts w:ascii="宋体" w:hAnsi="宋体" w:cs="宋体" w:eastAsia="宋体" w:hint="default"/>
                            <w:w w:val="100"/>
                            <w:sz w:val="20"/>
                            <w:szCs w:val="20"/>
                          </w:rPr>
                          <w:t> </w:t>
                        </w:r>
                        <w:r>
                          <w:rPr>
                            <w:rFonts w:ascii="Times New Roman" w:hAnsi="Times New Roman" w:cs="Times New Roman" w:eastAsia="Times New Roman" w:hint="default"/>
                            <w:sz w:val="20"/>
                            <w:szCs w:val="20"/>
                          </w:rPr>
                          <w:t>2018</w:t>
                        </w:r>
                        <w:r>
                          <w:rPr>
                            <w:rFonts w:ascii="宋体" w:hAnsi="宋体" w:cs="宋体" w:eastAsia="宋体" w:hint="default"/>
                            <w:sz w:val="20"/>
                            <w:szCs w:val="20"/>
                          </w:rPr>
                          <w:t>年度 </w:t>
                        </w:r>
                        <w:r>
                          <w:rPr>
                            <w:rFonts w:ascii="Times New Roman" w:hAnsi="Times New Roman" w:cs="Times New Roman" w:eastAsia="Times New Roman" w:hint="default"/>
                            <w:sz w:val="20"/>
                            <w:szCs w:val="20"/>
                          </w:rPr>
                          <w:t>LED</w:t>
                        </w:r>
                        <w:r>
                          <w:rPr>
                            <w:rFonts w:ascii="宋体" w:hAnsi="宋体" w:cs="宋体" w:eastAsia="宋体" w:hint="default"/>
                            <w:sz w:val="20"/>
                            <w:szCs w:val="20"/>
                          </w:rPr>
                          <w:t>视频显示系统实现营业收入</w:t>
                        </w:r>
                        <w:r>
                          <w:rPr>
                            <w:rFonts w:ascii="Times New Roman" w:hAnsi="Times New Roman" w:cs="Times New Roman" w:eastAsia="Times New Roman" w:hint="default"/>
                            <w:sz w:val="20"/>
                            <w:szCs w:val="20"/>
                          </w:rPr>
                          <w:t>32,085</w:t>
                        </w:r>
                        <w:r>
                          <w:rPr>
                            <w:rFonts w:ascii="Times New Roman" w:hAnsi="Times New Roman" w:cs="Times New Roman" w:eastAsia="Times New Roman" w:hint="default"/>
                            <w:spacing w:val="-33"/>
                            <w:sz w:val="20"/>
                            <w:szCs w:val="20"/>
                          </w:rPr>
                          <w:t> </w:t>
                        </w:r>
                        <w:r>
                          <w:rPr>
                            <w:rFonts w:ascii="Times New Roman" w:hAnsi="Times New Roman" w:cs="Times New Roman" w:eastAsia="Times New Roman" w:hint="default"/>
                            <w:spacing w:val="-33"/>
                            <w:sz w:val="20"/>
                            <w:szCs w:val="20"/>
                          </w:rPr>
                        </w:r>
                        <w:r>
                          <w:rPr>
                            <w:rFonts w:ascii="宋体" w:hAnsi="宋体" w:cs="宋体" w:eastAsia="宋体" w:hint="default"/>
                            <w:spacing w:val="-5"/>
                            <w:w w:val="100"/>
                            <w:sz w:val="20"/>
                            <w:szCs w:val="20"/>
                          </w:rPr>
                          <w:t>万元、网点智能化集成与设备实现营业收入</w:t>
                        </w:r>
                        <w:r>
                          <w:rPr>
                            <w:rFonts w:ascii="Times New Roman" w:hAnsi="Times New Roman" w:cs="Times New Roman" w:eastAsia="Times New Roman" w:hint="default"/>
                            <w:spacing w:val="-5"/>
                            <w:w w:val="100"/>
                            <w:sz w:val="20"/>
                            <w:szCs w:val="20"/>
                          </w:rPr>
                          <w:t>27,163</w:t>
                        </w:r>
                        <w:r>
                          <w:rPr>
                            <w:rFonts w:ascii="Times New Roman" w:hAnsi="Times New Roman" w:cs="Times New Roman" w:eastAsia="Times New Roman" w:hint="default"/>
                            <w:spacing w:val="-29"/>
                            <w:w w:val="100"/>
                            <w:sz w:val="20"/>
                            <w:szCs w:val="20"/>
                          </w:rPr>
                          <w:t> </w:t>
                        </w:r>
                        <w:r>
                          <w:rPr>
                            <w:rFonts w:ascii="Times New Roman" w:hAnsi="Times New Roman" w:cs="Times New Roman" w:eastAsia="Times New Roman" w:hint="default"/>
                            <w:spacing w:val="-29"/>
                            <w:w w:val="100"/>
                            <w:sz w:val="20"/>
                            <w:szCs w:val="20"/>
                          </w:rPr>
                        </w:r>
                        <w:r>
                          <w:rPr>
                            <w:rFonts w:ascii="宋体" w:hAnsi="宋体" w:cs="宋体" w:eastAsia="宋体" w:hint="default"/>
                            <w:spacing w:val="-5"/>
                            <w:sz w:val="20"/>
                            <w:szCs w:val="20"/>
                          </w:rPr>
                          <w:t>万元，总计实现该等营业收入</w:t>
                        </w:r>
                        <w:r>
                          <w:rPr>
                            <w:rFonts w:ascii="Times New Roman" w:hAnsi="Times New Roman" w:cs="Times New Roman" w:eastAsia="Times New Roman" w:hint="default"/>
                            <w:spacing w:val="-5"/>
                            <w:sz w:val="20"/>
                            <w:szCs w:val="20"/>
                          </w:rPr>
                          <w:t>59,248</w:t>
                        </w:r>
                        <w:r>
                          <w:rPr>
                            <w:rFonts w:ascii="宋体" w:hAnsi="宋体" w:cs="宋体" w:eastAsia="宋体" w:hint="default"/>
                            <w:spacing w:val="-5"/>
                            <w:sz w:val="20"/>
                            <w:szCs w:val="20"/>
                          </w:rPr>
                          <w:t>万元。如附注</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四、</w:t>
                        </w:r>
                        <w:r>
                          <w:rPr>
                            <w:rFonts w:ascii="Times New Roman" w:hAnsi="Times New Roman" w:cs="Times New Roman" w:eastAsia="Times New Roman" w:hint="default"/>
                            <w:sz w:val="20"/>
                            <w:szCs w:val="20"/>
                          </w:rPr>
                          <w:t>22</w:t>
                        </w:r>
                        <w:r>
                          <w:rPr>
                            <w:rFonts w:ascii="宋体" w:hAnsi="宋体" w:cs="宋体" w:eastAsia="宋体" w:hint="default"/>
                            <w:sz w:val="20"/>
                            <w:szCs w:val="20"/>
                          </w:rPr>
                          <w:t>所述的会计政策，奥拓电子公司根据与客</w:t>
                        </w:r>
                        <w:r>
                          <w:rPr>
                            <w:rFonts w:ascii="宋体" w:hAnsi="宋体" w:cs="宋体" w:eastAsia="宋体" w:hint="default"/>
                            <w:spacing w:val="-49"/>
                            <w:sz w:val="20"/>
                            <w:szCs w:val="20"/>
                          </w:rPr>
                          <w:t> </w:t>
                        </w:r>
                        <w:r>
                          <w:rPr>
                            <w:rFonts w:ascii="宋体" w:hAnsi="宋体" w:cs="宋体" w:eastAsia="宋体" w:hint="default"/>
                            <w:spacing w:val="-49"/>
                            <w:sz w:val="20"/>
                            <w:szCs w:val="20"/>
                          </w:rPr>
                        </w:r>
                        <w:r>
                          <w:rPr>
                            <w:rFonts w:ascii="宋体" w:hAnsi="宋体" w:cs="宋体" w:eastAsia="宋体" w:hint="default"/>
                            <w:spacing w:val="-7"/>
                            <w:sz w:val="20"/>
                            <w:szCs w:val="20"/>
                          </w:rPr>
                          <w:t>户签订的销售订单组织生产，委托物流公司运送。</w:t>
                        </w:r>
                        <w:r>
                          <w:rPr>
                            <w:rFonts w:ascii="宋体" w:hAnsi="宋体" w:cs="宋体" w:eastAsia="宋体" w:hint="default"/>
                            <w:spacing w:val="-72"/>
                            <w:sz w:val="20"/>
                            <w:szCs w:val="20"/>
                          </w:rPr>
                          <w:t> </w:t>
                        </w:r>
                        <w:r>
                          <w:rPr>
                            <w:rFonts w:ascii="宋体" w:hAnsi="宋体" w:cs="宋体" w:eastAsia="宋体" w:hint="default"/>
                            <w:spacing w:val="-72"/>
                            <w:sz w:val="20"/>
                            <w:szCs w:val="20"/>
                          </w:rPr>
                        </w:r>
                        <w:r>
                          <w:rPr>
                            <w:rFonts w:ascii="宋体" w:hAnsi="宋体" w:cs="宋体" w:eastAsia="宋体" w:hint="default"/>
                            <w:spacing w:val="2"/>
                            <w:sz w:val="20"/>
                            <w:szCs w:val="20"/>
                          </w:rPr>
                          <w:t>客户在验收时点向奥拓电子公司出具验收单或验</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收报告。奥拓电子公司在收到客户签署的验收单</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或验收报告时点确认营业收入并开具发票。由于</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客户数量众多、交易频繁，客户签署的验收单或</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验收报告存在不能及时送达的可能性，由此可能</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导致该等营业收入存在未能计入恰当会计期间的</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潜在错报，我们着重关注营业收入的完整性和截</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止性，并将其确定为关键审计事项。</w:t>
                        </w:r>
                      </w:p>
                    </w:tc>
                    <w:tc>
                      <w:tcPr>
                        <w:tcW w:w="5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71" w:lineRule="auto"/>
                          <w:ind w:left="2" w:right="0"/>
                          <w:jc w:val="left"/>
                          <w:rPr>
                            <w:rFonts w:ascii="宋体" w:hAnsi="宋体" w:cs="宋体" w:eastAsia="宋体" w:hint="default"/>
                            <w:sz w:val="20"/>
                            <w:szCs w:val="20"/>
                          </w:rPr>
                        </w:pPr>
                        <w:r>
                          <w:rPr>
                            <w:rFonts w:ascii="宋体" w:hAnsi="宋体" w:cs="宋体" w:eastAsia="宋体" w:hint="default"/>
                            <w:spacing w:val="-3"/>
                            <w:sz w:val="20"/>
                            <w:szCs w:val="20"/>
                          </w:rPr>
                          <w:t>我们针对</w:t>
                        </w:r>
                        <w:r>
                          <w:rPr>
                            <w:rFonts w:ascii="Times New Roman" w:hAnsi="Times New Roman" w:cs="Times New Roman" w:eastAsia="Times New Roman" w:hint="default"/>
                            <w:spacing w:val="-3"/>
                            <w:sz w:val="20"/>
                            <w:szCs w:val="20"/>
                          </w:rPr>
                          <w:t>LED</w:t>
                        </w:r>
                        <w:r>
                          <w:rPr>
                            <w:rFonts w:ascii="宋体" w:hAnsi="宋体" w:cs="宋体" w:eastAsia="宋体" w:hint="default"/>
                            <w:spacing w:val="-3"/>
                            <w:sz w:val="20"/>
                            <w:szCs w:val="20"/>
                          </w:rPr>
                          <w:t>视频显示系统、网点智能化集成与设备销售执行</w:t>
                        </w:r>
                        <w:r>
                          <w:rPr>
                            <w:rFonts w:ascii="宋体" w:hAnsi="宋体" w:cs="宋体" w:eastAsia="宋体" w:hint="default"/>
                            <w:spacing w:val="-75"/>
                            <w:sz w:val="20"/>
                            <w:szCs w:val="20"/>
                          </w:rPr>
                          <w:t> </w:t>
                        </w:r>
                        <w:r>
                          <w:rPr>
                            <w:rFonts w:ascii="宋体" w:hAnsi="宋体" w:cs="宋体" w:eastAsia="宋体" w:hint="default"/>
                            <w:spacing w:val="-75"/>
                            <w:sz w:val="20"/>
                            <w:szCs w:val="20"/>
                          </w:rPr>
                        </w:r>
                        <w:r>
                          <w:rPr>
                            <w:rFonts w:ascii="宋体" w:hAnsi="宋体" w:cs="宋体" w:eastAsia="宋体" w:hint="default"/>
                            <w:sz w:val="20"/>
                            <w:szCs w:val="20"/>
                          </w:rPr>
                          <w:t>的主要审计程序包括：</w:t>
                        </w:r>
                      </w:p>
                      <w:p>
                        <w:pPr>
                          <w:pStyle w:val="TableParagraph"/>
                          <w:spacing w:line="271" w:lineRule="auto" w:before="24"/>
                          <w:ind w:left="2" w:right="4"/>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1</w:t>
                        </w:r>
                        <w:r>
                          <w:rPr>
                            <w:rFonts w:ascii="宋体" w:hAnsi="宋体" w:cs="宋体" w:eastAsia="宋体" w:hint="default"/>
                            <w:sz w:val="20"/>
                            <w:szCs w:val="20"/>
                          </w:rPr>
                          <w:t>）了解与评价管理层与收入确认相关的关键内部控制的设</w:t>
                        </w:r>
                        <w:r>
                          <w:rPr>
                            <w:rFonts w:ascii="宋体" w:hAnsi="宋体" w:cs="宋体" w:eastAsia="宋体" w:hint="default"/>
                            <w:spacing w:val="-66"/>
                            <w:sz w:val="20"/>
                            <w:szCs w:val="20"/>
                          </w:rPr>
                          <w:t> </w:t>
                        </w:r>
                        <w:r>
                          <w:rPr>
                            <w:rFonts w:ascii="宋体" w:hAnsi="宋体" w:cs="宋体" w:eastAsia="宋体" w:hint="default"/>
                            <w:spacing w:val="-66"/>
                            <w:sz w:val="20"/>
                            <w:szCs w:val="20"/>
                          </w:rPr>
                        </w:r>
                        <w:r>
                          <w:rPr>
                            <w:rFonts w:ascii="宋体" w:hAnsi="宋体" w:cs="宋体" w:eastAsia="宋体" w:hint="default"/>
                            <w:sz w:val="20"/>
                            <w:szCs w:val="20"/>
                          </w:rPr>
                          <w:t>计与运行的有效性；</w:t>
                        </w:r>
                      </w:p>
                      <w:p>
                        <w:pPr>
                          <w:pStyle w:val="TableParagraph"/>
                          <w:spacing w:line="271" w:lineRule="auto" w:before="24"/>
                          <w:ind w:left="2" w:right="5"/>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2</w:t>
                        </w:r>
                        <w:r>
                          <w:rPr>
                            <w:rFonts w:ascii="宋体" w:hAnsi="宋体" w:cs="宋体" w:eastAsia="宋体" w:hint="default"/>
                            <w:sz w:val="20"/>
                            <w:szCs w:val="20"/>
                          </w:rPr>
                          <w:t>）选取样本了解销售合同或订单，评价收入确认时点是否</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符合会计准则的要求；</w:t>
                        </w:r>
                      </w:p>
                      <w:p>
                        <w:pPr>
                          <w:pStyle w:val="TableParagraph"/>
                          <w:spacing w:line="271" w:lineRule="auto" w:before="24"/>
                          <w:ind w:left="2" w:right="5"/>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3</w:t>
                        </w:r>
                        <w:r>
                          <w:rPr>
                            <w:rFonts w:ascii="宋体" w:hAnsi="宋体" w:cs="宋体" w:eastAsia="宋体" w:hint="default"/>
                            <w:sz w:val="20"/>
                            <w:szCs w:val="20"/>
                          </w:rPr>
                          <w:t>）对收入及毛利情况执行分析程序，判断收入与毛利变动</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的合理性；</w:t>
                        </w:r>
                      </w:p>
                      <w:p>
                        <w:pPr>
                          <w:pStyle w:val="TableParagraph"/>
                          <w:spacing w:line="280" w:lineRule="auto" w:before="24"/>
                          <w:ind w:left="2" w:right="0"/>
                          <w:jc w:val="left"/>
                          <w:rPr>
                            <w:rFonts w:ascii="宋体" w:hAnsi="宋体" w:cs="宋体" w:eastAsia="宋体" w:hint="default"/>
                            <w:sz w:val="20"/>
                            <w:szCs w:val="20"/>
                          </w:rPr>
                        </w:pPr>
                        <w:r>
                          <w:rPr>
                            <w:rFonts w:ascii="宋体" w:hAnsi="宋体" w:cs="宋体" w:eastAsia="宋体" w:hint="default"/>
                            <w:spacing w:val="-3"/>
                            <w:sz w:val="20"/>
                            <w:szCs w:val="20"/>
                          </w:rPr>
                          <w:t>（</w:t>
                        </w:r>
                        <w:r>
                          <w:rPr>
                            <w:rFonts w:ascii="Times New Roman" w:hAnsi="Times New Roman" w:cs="Times New Roman" w:eastAsia="Times New Roman" w:hint="default"/>
                            <w:spacing w:val="-3"/>
                            <w:sz w:val="20"/>
                            <w:szCs w:val="20"/>
                          </w:rPr>
                          <w:t>4</w:t>
                        </w:r>
                        <w:r>
                          <w:rPr>
                            <w:rFonts w:ascii="宋体" w:hAnsi="宋体" w:cs="宋体" w:eastAsia="宋体" w:hint="default"/>
                            <w:spacing w:val="-3"/>
                            <w:sz w:val="20"/>
                            <w:szCs w:val="20"/>
                          </w:rPr>
                          <w:t>）抽取收入确认的会计记录，与相关的销售订单、出库单</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pacing w:val="-3"/>
                            <w:sz w:val="20"/>
                            <w:szCs w:val="20"/>
                          </w:rPr>
                          <w:t>验收单或验收报告等进行检查核对；以及抽取与销售相关的订</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pacing w:val="-7"/>
                            <w:w w:val="100"/>
                            <w:sz w:val="20"/>
                            <w:szCs w:val="20"/>
                          </w:rPr>
                          <w:t>单、出库单、验收单或验收报告等与账面确认的收入进行核对</w:t>
                        </w:r>
                        <w:r>
                          <w:rPr>
                            <w:rFonts w:ascii="宋体" w:hAnsi="宋体" w:cs="宋体" w:eastAsia="宋体" w:hint="default"/>
                            <w:spacing w:val="-89"/>
                            <w:w w:val="100"/>
                            <w:sz w:val="20"/>
                            <w:szCs w:val="20"/>
                          </w:rPr>
                          <w:t> </w:t>
                        </w:r>
                        <w:r>
                          <w:rPr>
                            <w:rFonts w:ascii="宋体" w:hAnsi="宋体" w:cs="宋体" w:eastAsia="宋体" w:hint="default"/>
                            <w:spacing w:val="-89"/>
                            <w:w w:val="100"/>
                            <w:sz w:val="20"/>
                            <w:szCs w:val="20"/>
                          </w:rPr>
                        </w:r>
                        <w:r>
                          <w:rPr>
                            <w:rFonts w:ascii="宋体" w:hAnsi="宋体" w:cs="宋体" w:eastAsia="宋体" w:hint="default"/>
                            <w:sz w:val="20"/>
                            <w:szCs w:val="20"/>
                          </w:rPr>
                          <w:t>从而检查收入确认的完整性；</w:t>
                        </w:r>
                      </w:p>
                      <w:p>
                        <w:pPr>
                          <w:pStyle w:val="TableParagraph"/>
                          <w:spacing w:line="283" w:lineRule="auto" w:before="16"/>
                          <w:ind w:left="2" w:right="1"/>
                          <w:jc w:val="both"/>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5</w:t>
                        </w:r>
                        <w:r>
                          <w:rPr>
                            <w:rFonts w:ascii="宋体" w:hAnsi="宋体" w:cs="宋体" w:eastAsia="宋体" w:hint="default"/>
                            <w:sz w:val="20"/>
                            <w:szCs w:val="20"/>
                          </w:rPr>
                          <w:t>）抽取资产负债表日前后确认的销售收入进行测试，核对</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pacing w:val="-3"/>
                            <w:sz w:val="20"/>
                            <w:szCs w:val="20"/>
                          </w:rPr>
                          <w:t>至订单、出库单、验收单或验收报告；以及抽取资产负债表日</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pacing w:val="-3"/>
                            <w:sz w:val="20"/>
                            <w:szCs w:val="20"/>
                          </w:rPr>
                          <w:t>前后的出库单、验收单或验收报告，核对至资产负债表日前后</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pacing w:val="-3"/>
                            <w:sz w:val="20"/>
                            <w:szCs w:val="20"/>
                          </w:rPr>
                          <w:t>确认的销售收入，从而评估销售收入是否被确认在恰当的会计</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期间；</w:t>
                        </w:r>
                      </w:p>
                      <w:p>
                        <w:pPr>
                          <w:pStyle w:val="TableParagraph"/>
                          <w:spacing w:line="271" w:lineRule="auto" w:before="14"/>
                          <w:ind w:left="2" w:right="5"/>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6</w:t>
                        </w:r>
                        <w:r>
                          <w:rPr>
                            <w:rFonts w:ascii="宋体" w:hAnsi="宋体" w:cs="宋体" w:eastAsia="宋体" w:hint="default"/>
                            <w:sz w:val="20"/>
                            <w:szCs w:val="20"/>
                          </w:rPr>
                          <w:t>）抽取重要客户实施函证程序，以确认相关的销售收入金</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额和应收账款余额；</w:t>
                        </w:r>
                      </w:p>
                      <w:p>
                        <w:pPr>
                          <w:pStyle w:val="TableParagraph"/>
                          <w:spacing w:line="271" w:lineRule="auto" w:before="24"/>
                          <w:ind w:left="2" w:right="5"/>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7</w:t>
                        </w:r>
                        <w:r>
                          <w:rPr>
                            <w:rFonts w:ascii="宋体" w:hAnsi="宋体" w:cs="宋体" w:eastAsia="宋体" w:hint="default"/>
                            <w:sz w:val="20"/>
                            <w:szCs w:val="20"/>
                          </w:rPr>
                          <w:t>）我们抽取资产负债表日后的退货记录，检查销售收入是</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否存在不被恰当计入的可能性。</w:t>
                        </w:r>
                      </w:p>
                    </w:tc>
                  </w:tr>
                  <w:tr>
                    <w:trPr>
                      <w:trHeight w:val="347" w:hRule="exact"/>
                    </w:trPr>
                    <w:tc>
                      <w:tcPr>
                        <w:tcW w:w="96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2" w:right="0"/>
                          <w:jc w:val="left"/>
                          <w:rPr>
                            <w:rFonts w:ascii="宋体" w:hAnsi="宋体" w:cs="宋体" w:eastAsia="宋体" w:hint="default"/>
                            <w:sz w:val="20"/>
                            <w:szCs w:val="20"/>
                          </w:rPr>
                        </w:pPr>
                        <w:r>
                          <w:rPr>
                            <w:rFonts w:ascii="宋体" w:hAnsi="宋体" w:cs="宋体" w:eastAsia="宋体" w:hint="default"/>
                            <w:sz w:val="20"/>
                            <w:szCs w:val="20"/>
                          </w:rPr>
                          <w:t>二、应收账款的计价与分摊</w:t>
                        </w:r>
                      </w:p>
                    </w:tc>
                  </w:tr>
                  <w:tr>
                    <w:trPr>
                      <w:trHeight w:val="2532" w:hRule="exact"/>
                    </w:trPr>
                    <w:tc>
                      <w:tcPr>
                        <w:tcW w:w="4281"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5"/>
                          <w:ind w:left="2" w:right="1" w:firstLine="420"/>
                          <w:jc w:val="both"/>
                          <w:rPr>
                            <w:rFonts w:ascii="宋体" w:hAnsi="宋体" w:cs="宋体" w:eastAsia="宋体" w:hint="default"/>
                            <w:sz w:val="20"/>
                            <w:szCs w:val="20"/>
                          </w:rPr>
                        </w:pPr>
                        <w:r>
                          <w:rPr>
                            <w:rFonts w:ascii="宋体" w:hAnsi="宋体" w:cs="宋体" w:eastAsia="宋体" w:hint="default"/>
                            <w:spacing w:val="2"/>
                            <w:sz w:val="20"/>
                            <w:szCs w:val="20"/>
                          </w:rPr>
                          <w:t>如财务报表附注六、</w:t>
                        </w:r>
                        <w:r>
                          <w:rPr>
                            <w:rFonts w:ascii="Times New Roman" w:hAnsi="Times New Roman" w:cs="Times New Roman" w:eastAsia="Times New Roman" w:hint="default"/>
                            <w:spacing w:val="2"/>
                            <w:sz w:val="20"/>
                            <w:szCs w:val="20"/>
                          </w:rPr>
                          <w:t>3</w:t>
                        </w:r>
                        <w:r>
                          <w:rPr>
                            <w:rFonts w:ascii="Times New Roman" w:hAnsi="Times New Roman" w:cs="Times New Roman" w:eastAsia="Times New Roman" w:hint="default"/>
                            <w:spacing w:val="7"/>
                            <w:sz w:val="20"/>
                            <w:szCs w:val="20"/>
                          </w:rPr>
                          <w:t> </w:t>
                        </w:r>
                        <w:r>
                          <w:rPr>
                            <w:rFonts w:ascii="宋体" w:hAnsi="宋体" w:cs="宋体" w:eastAsia="宋体" w:hint="default"/>
                            <w:sz w:val="20"/>
                            <w:szCs w:val="20"/>
                          </w:rPr>
                          <w:t>所述，截至</w:t>
                        </w:r>
                        <w:r>
                          <w:rPr>
                            <w:rFonts w:ascii="Times New Roman" w:hAnsi="Times New Roman" w:cs="Times New Roman" w:eastAsia="Times New Roman" w:hint="default"/>
                            <w:sz w:val="20"/>
                            <w:szCs w:val="20"/>
                          </w:rPr>
                          <w:t>2018</w:t>
                        </w:r>
                        <w:r>
                          <w:rPr>
                            <w:rFonts w:ascii="宋体" w:hAnsi="宋体" w:cs="宋体" w:eastAsia="宋体" w:hint="default"/>
                            <w:sz w:val="20"/>
                            <w:szCs w:val="20"/>
                          </w:rPr>
                          <w:t>年</w:t>
                        </w:r>
                        <w:r>
                          <w:rPr>
                            <w:rFonts w:ascii="Times New Roman" w:hAnsi="Times New Roman" w:cs="Times New Roman" w:eastAsia="Times New Roman" w:hint="default"/>
                            <w:sz w:val="20"/>
                            <w:szCs w:val="20"/>
                          </w:rPr>
                          <w:t>12</w:t>
                        </w:r>
                        <w:r>
                          <w:rPr>
                            <w:rFonts w:ascii="Times New Roman" w:hAnsi="Times New Roman" w:cs="Times New Roman" w:eastAsia="Times New Roman" w:hint="default"/>
                            <w:w w:val="100"/>
                            <w:sz w:val="20"/>
                            <w:szCs w:val="20"/>
                          </w:rPr>
                          <w:t> </w:t>
                        </w:r>
                        <w:r>
                          <w:rPr>
                            <w:rFonts w:ascii="宋体" w:hAnsi="宋体" w:cs="宋体" w:eastAsia="宋体" w:hint="default"/>
                            <w:spacing w:val="10"/>
                            <w:sz w:val="20"/>
                            <w:szCs w:val="20"/>
                          </w:rPr>
                          <w:t>月</w:t>
                        </w:r>
                        <w:r>
                          <w:rPr>
                            <w:rFonts w:ascii="Times New Roman" w:hAnsi="Times New Roman" w:cs="Times New Roman" w:eastAsia="Times New Roman" w:hint="default"/>
                            <w:spacing w:val="10"/>
                            <w:sz w:val="20"/>
                            <w:szCs w:val="20"/>
                          </w:rPr>
                          <w:t>31</w:t>
                        </w:r>
                        <w:r>
                          <w:rPr>
                            <w:rFonts w:ascii="宋体" w:hAnsi="宋体" w:cs="宋体" w:eastAsia="宋体" w:hint="default"/>
                            <w:spacing w:val="10"/>
                            <w:sz w:val="20"/>
                            <w:szCs w:val="20"/>
                          </w:rPr>
                          <w:t>日止，奥拓电子公司应收账款账面余额计</w:t>
                        </w:r>
                        <w:r>
                          <w:rPr>
                            <w:rFonts w:ascii="宋体" w:hAnsi="宋体" w:cs="宋体" w:eastAsia="宋体" w:hint="default"/>
                            <w:spacing w:val="-58"/>
                            <w:sz w:val="20"/>
                            <w:szCs w:val="20"/>
                          </w:rPr>
                          <w:t> </w:t>
                        </w:r>
                        <w:r>
                          <w:rPr>
                            <w:rFonts w:ascii="宋体" w:hAnsi="宋体" w:cs="宋体" w:eastAsia="宋体" w:hint="default"/>
                            <w:spacing w:val="-58"/>
                            <w:sz w:val="20"/>
                            <w:szCs w:val="20"/>
                          </w:rPr>
                        </w:r>
                        <w:r>
                          <w:rPr>
                            <w:rFonts w:ascii="Times New Roman" w:hAnsi="Times New Roman" w:cs="Times New Roman" w:eastAsia="Times New Roman" w:hint="default"/>
                            <w:spacing w:val="-5"/>
                            <w:w w:val="100"/>
                            <w:sz w:val="20"/>
                            <w:szCs w:val="20"/>
                          </w:rPr>
                          <w:t>86,980</w:t>
                        </w:r>
                        <w:r>
                          <w:rPr>
                            <w:rFonts w:ascii="宋体" w:hAnsi="宋体" w:cs="宋体" w:eastAsia="宋体" w:hint="default"/>
                            <w:spacing w:val="-5"/>
                            <w:w w:val="100"/>
                            <w:sz w:val="20"/>
                            <w:szCs w:val="20"/>
                          </w:rPr>
                          <w:t>万元，其中奥拓电子公司之子公司深圳市千</w:t>
                        </w:r>
                        <w:r>
                          <w:rPr>
                            <w:rFonts w:ascii="宋体" w:hAnsi="宋体" w:cs="宋体" w:eastAsia="宋体" w:hint="default"/>
                            <w:spacing w:val="-79"/>
                            <w:w w:val="100"/>
                            <w:sz w:val="20"/>
                            <w:szCs w:val="20"/>
                          </w:rPr>
                          <w:t> </w:t>
                        </w:r>
                        <w:r>
                          <w:rPr>
                            <w:rFonts w:ascii="宋体" w:hAnsi="宋体" w:cs="宋体" w:eastAsia="宋体" w:hint="default"/>
                            <w:spacing w:val="-79"/>
                            <w:w w:val="100"/>
                            <w:sz w:val="20"/>
                            <w:szCs w:val="20"/>
                          </w:rPr>
                        </w:r>
                        <w:r>
                          <w:rPr>
                            <w:rFonts w:ascii="宋体" w:hAnsi="宋体" w:cs="宋体" w:eastAsia="宋体" w:hint="default"/>
                            <w:spacing w:val="-2"/>
                            <w:sz w:val="20"/>
                            <w:szCs w:val="20"/>
                          </w:rPr>
                          <w:t>百辉照明工程有限公司（以下简称</w:t>
                        </w:r>
                        <w:r>
                          <w:rPr>
                            <w:rFonts w:ascii="Times New Roman" w:hAnsi="Times New Roman" w:cs="Times New Roman" w:eastAsia="Times New Roman" w:hint="default"/>
                            <w:spacing w:val="-2"/>
                            <w:sz w:val="20"/>
                            <w:szCs w:val="20"/>
                          </w:rPr>
                          <w:t>“</w:t>
                        </w:r>
                        <w:r>
                          <w:rPr>
                            <w:rFonts w:ascii="宋体" w:hAnsi="宋体" w:cs="宋体" w:eastAsia="宋体" w:hint="default"/>
                            <w:spacing w:val="-2"/>
                            <w:sz w:val="20"/>
                            <w:szCs w:val="20"/>
                          </w:rPr>
                          <w:t>千百辉照明公</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司</w:t>
                        </w:r>
                        <w:r>
                          <w:rPr>
                            <w:rFonts w:ascii="Times New Roman" w:hAnsi="Times New Roman" w:cs="Times New Roman" w:eastAsia="Times New Roman" w:hint="default"/>
                            <w:sz w:val="20"/>
                            <w:szCs w:val="20"/>
                          </w:rPr>
                          <w:t>”</w:t>
                        </w:r>
                        <w:r>
                          <w:rPr>
                            <w:rFonts w:ascii="宋体" w:hAnsi="宋体" w:cs="宋体" w:eastAsia="宋体" w:hint="default"/>
                            <w:sz w:val="20"/>
                            <w:szCs w:val="20"/>
                          </w:rPr>
                          <w:t>）应收账款账面余额计</w:t>
                        </w:r>
                        <w:r>
                          <w:rPr>
                            <w:rFonts w:ascii="Times New Roman" w:hAnsi="Times New Roman" w:cs="Times New Roman" w:eastAsia="Times New Roman" w:hint="default"/>
                            <w:sz w:val="20"/>
                            <w:szCs w:val="20"/>
                          </w:rPr>
                          <w:t>68,939</w:t>
                        </w:r>
                        <w:r>
                          <w:rPr>
                            <w:rFonts w:ascii="宋体" w:hAnsi="宋体" w:cs="宋体" w:eastAsia="宋体" w:hint="default"/>
                            <w:sz w:val="20"/>
                            <w:szCs w:val="20"/>
                          </w:rPr>
                          <w:t>万元，占年末总</w:t>
                        </w:r>
                        <w:r>
                          <w:rPr>
                            <w:rFonts w:ascii="宋体" w:hAnsi="宋体" w:cs="宋体" w:eastAsia="宋体" w:hint="default"/>
                            <w:spacing w:val="-80"/>
                            <w:sz w:val="20"/>
                            <w:szCs w:val="20"/>
                          </w:rPr>
                          <w:t> </w:t>
                        </w:r>
                        <w:r>
                          <w:rPr>
                            <w:rFonts w:ascii="宋体" w:hAnsi="宋体" w:cs="宋体" w:eastAsia="宋体" w:hint="default"/>
                            <w:spacing w:val="-80"/>
                            <w:sz w:val="20"/>
                            <w:szCs w:val="20"/>
                          </w:rPr>
                        </w:r>
                        <w:r>
                          <w:rPr>
                            <w:rFonts w:ascii="宋体" w:hAnsi="宋体" w:cs="宋体" w:eastAsia="宋体" w:hint="default"/>
                            <w:sz w:val="20"/>
                            <w:szCs w:val="20"/>
                          </w:rPr>
                          <w:t>余额的</w:t>
                        </w:r>
                        <w:r>
                          <w:rPr>
                            <w:rFonts w:ascii="Times New Roman" w:hAnsi="Times New Roman" w:cs="Times New Roman" w:eastAsia="Times New Roman" w:hint="default"/>
                            <w:sz w:val="20"/>
                            <w:szCs w:val="20"/>
                          </w:rPr>
                          <w:t>79.26%</w:t>
                        </w:r>
                        <w:r>
                          <w:rPr>
                            <w:rFonts w:ascii="宋体" w:hAnsi="宋体" w:cs="宋体" w:eastAsia="宋体" w:hint="default"/>
                            <w:sz w:val="20"/>
                            <w:szCs w:val="20"/>
                          </w:rPr>
                          <w:t>。</w:t>
                        </w:r>
                      </w:p>
                      <w:p>
                        <w:pPr>
                          <w:pStyle w:val="TableParagraph"/>
                          <w:spacing w:line="285" w:lineRule="auto" w:before="6"/>
                          <w:ind w:left="2" w:right="4" w:firstLine="420"/>
                          <w:jc w:val="both"/>
                          <w:rPr>
                            <w:rFonts w:ascii="宋体" w:hAnsi="宋体" w:cs="宋体" w:eastAsia="宋体" w:hint="default"/>
                            <w:sz w:val="20"/>
                            <w:szCs w:val="20"/>
                          </w:rPr>
                        </w:pPr>
                        <w:r>
                          <w:rPr>
                            <w:rFonts w:ascii="宋体" w:hAnsi="宋体" w:cs="宋体" w:eastAsia="宋体" w:hint="default"/>
                            <w:sz w:val="20"/>
                            <w:szCs w:val="20"/>
                          </w:rPr>
                          <w:t>千百辉照明公司应收账款主要为应收智能景</w:t>
                        </w:r>
                        <w:r>
                          <w:rPr>
                            <w:rFonts w:ascii="宋体" w:hAnsi="宋体" w:cs="宋体" w:eastAsia="宋体" w:hint="default"/>
                            <w:w w:val="100"/>
                            <w:sz w:val="20"/>
                            <w:szCs w:val="20"/>
                          </w:rPr>
                          <w:t> </w:t>
                        </w:r>
                        <w:r>
                          <w:rPr>
                            <w:rFonts w:ascii="宋体" w:hAnsi="宋体" w:cs="宋体" w:eastAsia="宋体" w:hint="default"/>
                            <w:spacing w:val="5"/>
                            <w:sz w:val="20"/>
                            <w:szCs w:val="20"/>
                          </w:rPr>
                          <w:t>观亮化工程项目的工程款</w:t>
                        </w:r>
                        <w:r>
                          <w:rPr>
                            <w:rFonts w:ascii="Times New Roman" w:hAnsi="Times New Roman" w:cs="Times New Roman" w:eastAsia="Times New Roman" w:hint="default"/>
                            <w:spacing w:val="5"/>
                            <w:sz w:val="20"/>
                            <w:szCs w:val="20"/>
                          </w:rPr>
                          <w:t>,</w:t>
                        </w:r>
                        <w:r>
                          <w:rPr>
                            <w:rFonts w:ascii="Times New Roman" w:hAnsi="Times New Roman" w:cs="Times New Roman" w:eastAsia="Times New Roman" w:hint="default"/>
                            <w:spacing w:val="54"/>
                            <w:sz w:val="20"/>
                            <w:szCs w:val="20"/>
                          </w:rPr>
                          <w:t> </w:t>
                        </w:r>
                        <w:r>
                          <w:rPr>
                            <w:rFonts w:ascii="宋体" w:hAnsi="宋体" w:cs="宋体" w:eastAsia="宋体" w:hint="default"/>
                            <w:spacing w:val="4"/>
                            <w:sz w:val="20"/>
                            <w:szCs w:val="20"/>
                          </w:rPr>
                          <w:t>该等款项主要涉及市</w:t>
                        </w:r>
                      </w:p>
                    </w:tc>
                    <w:tc>
                      <w:tcPr>
                        <w:tcW w:w="5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2" w:right="0"/>
                          <w:jc w:val="left"/>
                          <w:rPr>
                            <w:rFonts w:ascii="宋体" w:hAnsi="宋体" w:cs="宋体" w:eastAsia="宋体" w:hint="default"/>
                            <w:sz w:val="20"/>
                            <w:szCs w:val="20"/>
                          </w:rPr>
                        </w:pPr>
                        <w:r>
                          <w:rPr>
                            <w:rFonts w:ascii="宋体" w:hAnsi="宋体" w:cs="宋体" w:eastAsia="宋体" w:hint="default"/>
                            <w:sz w:val="20"/>
                            <w:szCs w:val="20"/>
                          </w:rPr>
                          <w:t>我们针对应收账款坏账准备执行的主要审计程序包括：</w:t>
                        </w:r>
                      </w:p>
                      <w:p>
                        <w:pPr>
                          <w:pStyle w:val="TableParagraph"/>
                          <w:spacing w:line="271" w:lineRule="auto" w:before="50"/>
                          <w:ind w:left="2" w:right="5"/>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1</w:t>
                        </w:r>
                        <w:r>
                          <w:rPr>
                            <w:rFonts w:ascii="宋体" w:hAnsi="宋体" w:cs="宋体" w:eastAsia="宋体" w:hint="default"/>
                            <w:sz w:val="20"/>
                            <w:szCs w:val="20"/>
                          </w:rPr>
                          <w:t>）对奥拓电子公司信用政策及应收账款管理相关内部控制</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的设计和运行有效性进行了评估和测试；</w:t>
                        </w:r>
                      </w:p>
                      <w:p>
                        <w:pPr>
                          <w:pStyle w:val="TableParagraph"/>
                          <w:spacing w:line="240" w:lineRule="auto" w:before="24"/>
                          <w:ind w:left="2" w:right="0"/>
                          <w:jc w:val="left"/>
                          <w:rPr>
                            <w:rFonts w:ascii="宋体" w:hAnsi="宋体" w:cs="宋体" w:eastAsia="宋体" w:hint="default"/>
                            <w:sz w:val="20"/>
                            <w:szCs w:val="20"/>
                          </w:rPr>
                        </w:pPr>
                        <w:r>
                          <w:rPr>
                            <w:rFonts w:ascii="宋体" w:hAnsi="宋体" w:cs="宋体" w:eastAsia="宋体" w:hint="default"/>
                            <w:spacing w:val="-3"/>
                            <w:sz w:val="20"/>
                            <w:szCs w:val="20"/>
                          </w:rPr>
                          <w:t>（</w:t>
                        </w:r>
                        <w:r>
                          <w:rPr>
                            <w:rFonts w:ascii="Times New Roman" w:hAnsi="Times New Roman" w:cs="Times New Roman" w:eastAsia="Times New Roman" w:hint="default"/>
                            <w:spacing w:val="-3"/>
                            <w:sz w:val="20"/>
                            <w:szCs w:val="20"/>
                          </w:rPr>
                          <w:t>2</w:t>
                        </w:r>
                        <w:r>
                          <w:rPr>
                            <w:rFonts w:ascii="宋体" w:hAnsi="宋体" w:cs="宋体" w:eastAsia="宋体" w:hint="default"/>
                            <w:spacing w:val="-3"/>
                            <w:sz w:val="20"/>
                            <w:szCs w:val="20"/>
                          </w:rPr>
                          <w:t>）分析奥拓电子公司应收账款坏账准备会计估计的合理性</w:t>
                        </w:r>
                      </w:p>
                      <w:p>
                        <w:pPr>
                          <w:pStyle w:val="TableParagraph"/>
                          <w:spacing w:line="271" w:lineRule="auto" w:before="35"/>
                          <w:ind w:left="2" w:right="5"/>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3</w:t>
                        </w:r>
                        <w:r>
                          <w:rPr>
                            <w:rFonts w:ascii="宋体" w:hAnsi="宋体" w:cs="宋体" w:eastAsia="宋体" w:hint="default"/>
                            <w:sz w:val="20"/>
                            <w:szCs w:val="20"/>
                          </w:rPr>
                          <w:t>）比较前期坏账准备计提数和实际发生数，分析应收账款</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坏账准备计提是否充分；</w:t>
                        </w:r>
                      </w:p>
                      <w:p>
                        <w:pPr>
                          <w:pStyle w:val="TableParagraph"/>
                          <w:spacing w:line="271" w:lineRule="auto" w:before="24"/>
                          <w:ind w:left="2" w:right="0"/>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4</w:t>
                        </w:r>
                        <w:r>
                          <w:rPr>
                            <w:rFonts w:ascii="宋体" w:hAnsi="宋体" w:cs="宋体" w:eastAsia="宋体" w:hint="default"/>
                            <w:sz w:val="20"/>
                            <w:szCs w:val="20"/>
                          </w:rPr>
                          <w:t>）通过分析奥拓电子公司应收账款的账龄情况，并抽取大</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pacing w:val="-3"/>
                            <w:sz w:val="20"/>
                            <w:szCs w:val="20"/>
                          </w:rPr>
                          <w:t>额客户执行应收账款函证程序及检查期后回款情况，评价应收</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Heading6"/>
        <w:spacing w:line="240" w:lineRule="auto" w:before="38"/>
        <w:ind w:left="0" w:right="1040"/>
        <w:jc w:val="right"/>
      </w:pPr>
      <w:r>
        <w:rPr>
          <w:w w:val="100"/>
        </w:rPr>
        <w:t>、</w:t>
      </w:r>
    </w:p>
    <w:p>
      <w:pPr>
        <w:spacing w:line="240" w:lineRule="auto" w:before="10"/>
        <w:rPr>
          <w:rFonts w:ascii="宋体" w:hAnsi="宋体" w:cs="宋体" w:eastAsia="宋体" w:hint="default"/>
          <w:sz w:val="24"/>
          <w:szCs w:val="24"/>
        </w:rPr>
      </w:pPr>
    </w:p>
    <w:p>
      <w:pPr>
        <w:pStyle w:val="Heading6"/>
        <w:spacing w:line="240" w:lineRule="auto" w:before="38"/>
        <w:ind w:left="0" w:right="1039"/>
        <w:jc w:val="right"/>
      </w:pPr>
      <w:r>
        <w:rPr>
          <w:w w:val="100"/>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38"/>
        <w:ind w:left="0" w:right="1039"/>
        <w:jc w:val="right"/>
      </w:pPr>
      <w:r>
        <w:rPr>
          <w:w w:val="100"/>
        </w:rPr>
        <w:t>；</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4281"/>
        <w:gridCol w:w="5360"/>
      </w:tblGrid>
      <w:tr>
        <w:trPr>
          <w:trHeight w:val="1907" w:hRule="exact"/>
        </w:trPr>
        <w:tc>
          <w:tcPr>
            <w:tcW w:w="4281" w:type="dxa"/>
            <w:tcBorders>
              <w:top w:val="single" w:sz="6" w:space="0" w:color="000000"/>
              <w:left w:val="single" w:sz="6" w:space="0" w:color="000000"/>
              <w:bottom w:val="single" w:sz="6" w:space="0" w:color="000000"/>
              <w:right w:val="single" w:sz="6" w:space="0" w:color="000000"/>
            </w:tcBorders>
          </w:tcPr>
          <w:p>
            <w:pPr>
              <w:pStyle w:val="TableParagraph"/>
              <w:spacing w:line="283" w:lineRule="auto" w:before="5"/>
              <w:ind w:left="2" w:right="1"/>
              <w:jc w:val="both"/>
              <w:rPr>
                <w:rFonts w:ascii="宋体" w:hAnsi="宋体" w:cs="宋体" w:eastAsia="宋体" w:hint="default"/>
                <w:sz w:val="20"/>
                <w:szCs w:val="20"/>
              </w:rPr>
            </w:pPr>
            <w:r>
              <w:rPr>
                <w:rFonts w:ascii="宋体" w:hAnsi="宋体" w:cs="宋体" w:eastAsia="宋体" w:hint="default"/>
                <w:spacing w:val="2"/>
                <w:sz w:val="20"/>
                <w:szCs w:val="20"/>
              </w:rPr>
              <w:t>政工程项目，相关回款进度受影响因素较多。期</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末，奥拓电子公司管理层需要对该等应收款项当</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中的单项金额</w:t>
            </w:r>
            <w:r>
              <w:rPr>
                <w:rFonts w:ascii="Times New Roman" w:hAnsi="Times New Roman" w:cs="Times New Roman" w:eastAsia="Times New Roman" w:hint="default"/>
                <w:spacing w:val="2"/>
                <w:sz w:val="20"/>
                <w:szCs w:val="20"/>
              </w:rPr>
              <w:t>50</w:t>
            </w:r>
            <w:r>
              <w:rPr>
                <w:rFonts w:ascii="宋体" w:hAnsi="宋体" w:cs="宋体" w:eastAsia="宋体" w:hint="default"/>
                <w:spacing w:val="2"/>
                <w:sz w:val="20"/>
                <w:szCs w:val="20"/>
              </w:rPr>
              <w:t>万以上（含</w:t>
            </w:r>
            <w:r>
              <w:rPr>
                <w:rFonts w:ascii="Times New Roman" w:hAnsi="Times New Roman" w:cs="Times New Roman" w:eastAsia="Times New Roman" w:hint="default"/>
                <w:spacing w:val="2"/>
                <w:sz w:val="20"/>
                <w:szCs w:val="20"/>
              </w:rPr>
              <w:t>50</w:t>
            </w:r>
            <w:r>
              <w:rPr>
                <w:rFonts w:ascii="宋体" w:hAnsi="宋体" w:cs="宋体" w:eastAsia="宋体" w:hint="default"/>
                <w:spacing w:val="2"/>
                <w:sz w:val="20"/>
                <w:szCs w:val="20"/>
              </w:rPr>
              <w:t>万）的款项单独进</w:t>
            </w:r>
            <w:r>
              <w:rPr>
                <w:rFonts w:ascii="宋体" w:hAnsi="宋体" w:cs="宋体" w:eastAsia="宋体" w:hint="default"/>
                <w:spacing w:val="-91"/>
                <w:sz w:val="20"/>
                <w:szCs w:val="20"/>
              </w:rPr>
              <w:t> </w:t>
            </w:r>
            <w:r>
              <w:rPr>
                <w:rFonts w:ascii="宋体" w:hAnsi="宋体" w:cs="宋体" w:eastAsia="宋体" w:hint="default"/>
                <w:spacing w:val="2"/>
                <w:sz w:val="20"/>
                <w:szCs w:val="20"/>
              </w:rPr>
              <w:t>行减值测试，在单独进行减值测试时涉及管理层</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的重大判断和估计。因此我们将该等应收市政工</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程款的计价与分摊确定为关键审计事项。</w:t>
            </w:r>
          </w:p>
        </w:tc>
        <w:tc>
          <w:tcPr>
            <w:tcW w:w="5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2" w:right="0"/>
              <w:jc w:val="left"/>
              <w:rPr>
                <w:rFonts w:ascii="宋体" w:hAnsi="宋体" w:cs="宋体" w:eastAsia="宋体" w:hint="default"/>
                <w:sz w:val="20"/>
                <w:szCs w:val="20"/>
              </w:rPr>
            </w:pPr>
            <w:r>
              <w:rPr>
                <w:rFonts w:ascii="宋体" w:hAnsi="宋体" w:cs="宋体" w:eastAsia="宋体" w:hint="default"/>
                <w:sz w:val="20"/>
                <w:szCs w:val="20"/>
              </w:rPr>
              <w:t>账款坏账准备计提的合理性；</w:t>
            </w:r>
          </w:p>
          <w:p>
            <w:pPr>
              <w:pStyle w:val="TableParagraph"/>
              <w:spacing w:line="271" w:lineRule="auto" w:before="50"/>
              <w:ind w:left="2" w:right="5"/>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5</w:t>
            </w:r>
            <w:r>
              <w:rPr>
                <w:rFonts w:ascii="宋体" w:hAnsi="宋体" w:cs="宋体" w:eastAsia="宋体" w:hint="default"/>
                <w:sz w:val="20"/>
                <w:szCs w:val="20"/>
              </w:rPr>
              <w:t>）获取奥拓电子公司坏账准备计提表，检查计提方法是否</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按照坏账政策执行；重新计算坏账计提金额是否准确。</w:t>
            </w:r>
          </w:p>
        </w:tc>
      </w:tr>
      <w:tr>
        <w:trPr>
          <w:trHeight w:val="347" w:hRule="exact"/>
        </w:trPr>
        <w:tc>
          <w:tcPr>
            <w:tcW w:w="96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2" w:right="0"/>
              <w:jc w:val="left"/>
              <w:rPr>
                <w:rFonts w:ascii="宋体" w:hAnsi="宋体" w:cs="宋体" w:eastAsia="宋体" w:hint="default"/>
                <w:sz w:val="20"/>
                <w:szCs w:val="20"/>
              </w:rPr>
            </w:pPr>
            <w:r>
              <w:rPr>
                <w:rFonts w:ascii="宋体" w:hAnsi="宋体" w:cs="宋体" w:eastAsia="宋体" w:hint="default"/>
                <w:sz w:val="20"/>
                <w:szCs w:val="20"/>
              </w:rPr>
              <w:t>三、商誉减值</w:t>
            </w:r>
          </w:p>
        </w:tc>
      </w:tr>
      <w:tr>
        <w:trPr>
          <w:trHeight w:val="4092" w:hRule="exact"/>
        </w:trPr>
        <w:tc>
          <w:tcPr>
            <w:tcW w:w="4281"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5"/>
              <w:ind w:left="2" w:right="0" w:firstLine="420"/>
              <w:jc w:val="both"/>
              <w:rPr>
                <w:rFonts w:ascii="宋体" w:hAnsi="宋体" w:cs="宋体" w:eastAsia="宋体" w:hint="default"/>
                <w:sz w:val="20"/>
                <w:szCs w:val="20"/>
              </w:rPr>
            </w:pPr>
            <w:r>
              <w:rPr>
                <w:rFonts w:ascii="宋体" w:hAnsi="宋体" w:cs="宋体" w:eastAsia="宋体" w:hint="default"/>
                <w:sz w:val="20"/>
                <w:szCs w:val="20"/>
              </w:rPr>
              <w:t>如财务报表附注六、</w:t>
            </w:r>
            <w:r>
              <w:rPr>
                <w:rFonts w:ascii="Times New Roman" w:hAnsi="Times New Roman" w:cs="Times New Roman" w:eastAsia="Times New Roman" w:hint="default"/>
                <w:sz w:val="20"/>
                <w:szCs w:val="20"/>
              </w:rPr>
              <w:t>13</w:t>
            </w:r>
            <w:r>
              <w:rPr>
                <w:rFonts w:ascii="宋体" w:hAnsi="宋体" w:cs="宋体" w:eastAsia="宋体" w:hint="default"/>
                <w:sz w:val="20"/>
                <w:szCs w:val="20"/>
              </w:rPr>
              <w:t>所述，奥拓电子公司</w:t>
            </w:r>
            <w:r>
              <w:rPr>
                <w:rFonts w:ascii="宋体" w:hAnsi="宋体" w:cs="宋体" w:eastAsia="宋体" w:hint="default"/>
                <w:w w:val="100"/>
                <w:sz w:val="20"/>
                <w:szCs w:val="20"/>
              </w:rPr>
              <w:t> </w:t>
            </w:r>
            <w:r>
              <w:rPr>
                <w:rFonts w:ascii="宋体" w:hAnsi="宋体" w:cs="宋体" w:eastAsia="宋体" w:hint="default"/>
                <w:sz w:val="20"/>
                <w:szCs w:val="20"/>
              </w:rPr>
              <w:t>于</w:t>
            </w:r>
            <w:r>
              <w:rPr>
                <w:rFonts w:ascii="Times New Roman" w:hAnsi="Times New Roman" w:cs="Times New Roman" w:eastAsia="Times New Roman" w:hint="default"/>
                <w:sz w:val="20"/>
                <w:szCs w:val="20"/>
              </w:rPr>
              <w:t>2016</w:t>
            </w:r>
            <w:r>
              <w:rPr>
                <w:rFonts w:ascii="宋体" w:hAnsi="宋体" w:cs="宋体" w:eastAsia="宋体" w:hint="default"/>
                <w:sz w:val="20"/>
                <w:szCs w:val="20"/>
              </w:rPr>
              <w:t>年</w:t>
            </w:r>
            <w:r>
              <w:rPr>
                <w:rFonts w:ascii="Times New Roman" w:hAnsi="Times New Roman" w:cs="Times New Roman" w:eastAsia="Times New Roman" w:hint="default"/>
                <w:sz w:val="20"/>
                <w:szCs w:val="20"/>
              </w:rPr>
              <w:t>12</w:t>
            </w:r>
            <w:r>
              <w:rPr>
                <w:rFonts w:ascii="宋体" w:hAnsi="宋体" w:cs="宋体" w:eastAsia="宋体" w:hint="default"/>
                <w:sz w:val="20"/>
                <w:szCs w:val="20"/>
              </w:rPr>
              <w:t>月完成了对深圳市千百辉工程照明有</w:t>
            </w:r>
            <w:r>
              <w:rPr>
                <w:rFonts w:ascii="宋体" w:hAnsi="宋体" w:cs="宋体" w:eastAsia="宋体" w:hint="default"/>
                <w:spacing w:val="-49"/>
                <w:sz w:val="20"/>
                <w:szCs w:val="20"/>
              </w:rPr>
              <w:t> </w:t>
            </w:r>
            <w:r>
              <w:rPr>
                <w:rFonts w:ascii="宋体" w:hAnsi="宋体" w:cs="宋体" w:eastAsia="宋体" w:hint="default"/>
                <w:spacing w:val="-49"/>
                <w:sz w:val="20"/>
                <w:szCs w:val="20"/>
              </w:rPr>
            </w:r>
            <w:r>
              <w:rPr>
                <w:rFonts w:ascii="宋体" w:hAnsi="宋体" w:cs="宋体" w:eastAsia="宋体" w:hint="default"/>
                <w:spacing w:val="3"/>
                <w:sz w:val="20"/>
                <w:szCs w:val="20"/>
              </w:rPr>
              <w:t>限公司的并购，并因合并产生了</w:t>
            </w:r>
            <w:r>
              <w:rPr>
                <w:rFonts w:ascii="Times New Roman" w:hAnsi="Times New Roman" w:cs="Times New Roman" w:eastAsia="Times New Roman" w:hint="default"/>
                <w:spacing w:val="3"/>
                <w:sz w:val="20"/>
                <w:szCs w:val="20"/>
              </w:rPr>
              <w:t>18,137</w:t>
            </w:r>
            <w:r>
              <w:rPr>
                <w:rFonts w:ascii="宋体" w:hAnsi="宋体" w:cs="宋体" w:eastAsia="宋体" w:hint="default"/>
                <w:spacing w:val="3"/>
                <w:sz w:val="20"/>
                <w:szCs w:val="20"/>
              </w:rPr>
              <w:t>万元的商</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誉。</w:t>
            </w:r>
          </w:p>
          <w:p>
            <w:pPr>
              <w:pStyle w:val="TableParagraph"/>
              <w:spacing w:line="285" w:lineRule="auto" w:before="24"/>
              <w:ind w:left="2" w:right="5" w:firstLine="420"/>
              <w:jc w:val="both"/>
              <w:rPr>
                <w:rFonts w:ascii="宋体" w:hAnsi="宋体" w:cs="宋体" w:eastAsia="宋体" w:hint="default"/>
                <w:sz w:val="20"/>
                <w:szCs w:val="20"/>
              </w:rPr>
            </w:pPr>
            <w:r>
              <w:rPr>
                <w:rFonts w:ascii="宋体" w:hAnsi="宋体" w:cs="宋体" w:eastAsia="宋体" w:hint="default"/>
                <w:sz w:val="20"/>
                <w:szCs w:val="20"/>
              </w:rPr>
              <w:t>奥拓电子公司管理层在对该商誉实施减值测</w:t>
            </w:r>
            <w:r>
              <w:rPr>
                <w:rFonts w:ascii="宋体" w:hAnsi="宋体" w:cs="宋体" w:eastAsia="宋体" w:hint="default"/>
                <w:w w:val="100"/>
                <w:sz w:val="20"/>
                <w:szCs w:val="20"/>
              </w:rPr>
              <w:t> </w:t>
            </w:r>
            <w:r>
              <w:rPr>
                <w:rFonts w:ascii="宋体" w:hAnsi="宋体" w:cs="宋体" w:eastAsia="宋体" w:hint="default"/>
                <w:spacing w:val="2"/>
                <w:sz w:val="20"/>
                <w:szCs w:val="20"/>
              </w:rPr>
              <w:t>试时，将相关资产组的账面价值与其可收回金额</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进行比较，以确定是否需要计提减值。可收回金</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额是采用预计未来现金流量的现值计算所得，需</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要恰当的预测相关资产组未来现金流的长期增长</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率和合理的确定计算相关资产组预计未来现金流</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量现值所釆用的折现率，这涉及管理层的重大估</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2"/>
                <w:sz w:val="20"/>
                <w:szCs w:val="20"/>
              </w:rPr>
              <w:t>计和判断。因此我们将商誉减值确定为关键审计</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事项。</w:t>
            </w:r>
          </w:p>
        </w:tc>
        <w:tc>
          <w:tcPr>
            <w:tcW w:w="5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2" w:right="0"/>
              <w:jc w:val="both"/>
              <w:rPr>
                <w:rFonts w:ascii="宋体" w:hAnsi="宋体" w:cs="宋体" w:eastAsia="宋体" w:hint="default"/>
                <w:sz w:val="20"/>
                <w:szCs w:val="20"/>
              </w:rPr>
            </w:pPr>
            <w:r>
              <w:rPr>
                <w:rFonts w:ascii="宋体" w:hAnsi="宋体" w:cs="宋体" w:eastAsia="宋体" w:hint="default"/>
                <w:sz w:val="20"/>
                <w:szCs w:val="20"/>
              </w:rPr>
              <w:t>我们针对商誉的减值执行的主要审计程序包括：</w:t>
            </w:r>
          </w:p>
          <w:p>
            <w:pPr>
              <w:pStyle w:val="TableParagraph"/>
              <w:spacing w:line="240" w:lineRule="auto" w:before="50"/>
              <w:ind w:left="2" w:right="0"/>
              <w:jc w:val="both"/>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1</w:t>
            </w:r>
            <w:r>
              <w:rPr>
                <w:rFonts w:ascii="宋体" w:hAnsi="宋体" w:cs="宋体" w:eastAsia="宋体" w:hint="default"/>
                <w:sz w:val="20"/>
                <w:szCs w:val="20"/>
              </w:rPr>
              <w:t>）评估管理层商誉减值测试方法的适当性；</w:t>
            </w:r>
          </w:p>
          <w:p>
            <w:pPr>
              <w:pStyle w:val="TableParagraph"/>
              <w:spacing w:line="278" w:lineRule="auto" w:before="35"/>
              <w:ind w:left="2" w:right="140"/>
              <w:jc w:val="both"/>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2</w:t>
            </w:r>
            <w:r>
              <w:rPr>
                <w:rFonts w:ascii="宋体" w:hAnsi="宋体" w:cs="宋体" w:eastAsia="宋体" w:hint="default"/>
                <w:sz w:val="20"/>
                <w:szCs w:val="20"/>
              </w:rPr>
              <w:t>）复核测试管理层减值测试所依据的基础数据，利用内</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pacing w:val="3"/>
                <w:sz w:val="20"/>
                <w:szCs w:val="20"/>
              </w:rPr>
              <w:t>部评估专家评估管理层减值测试中所采用关键假设及判断</w:t>
            </w:r>
            <w:r>
              <w:rPr>
                <w:rFonts w:ascii="宋体" w:hAnsi="宋体" w:cs="宋体" w:eastAsia="宋体" w:hint="default"/>
                <w:spacing w:val="-66"/>
                <w:sz w:val="20"/>
                <w:szCs w:val="20"/>
              </w:rPr>
              <w:t> </w:t>
            </w:r>
            <w:r>
              <w:rPr>
                <w:rFonts w:ascii="宋体" w:hAnsi="宋体" w:cs="宋体" w:eastAsia="宋体" w:hint="default"/>
                <w:spacing w:val="-66"/>
                <w:sz w:val="20"/>
                <w:szCs w:val="20"/>
              </w:rPr>
            </w:r>
            <w:r>
              <w:rPr>
                <w:rFonts w:ascii="宋体" w:hAnsi="宋体" w:cs="宋体" w:eastAsia="宋体" w:hint="default"/>
                <w:spacing w:val="-1"/>
                <w:sz w:val="20"/>
                <w:szCs w:val="20"/>
              </w:rPr>
              <w:t>的合理性，以及了解和评价管理层利用其估值专家的工作；</w:t>
            </w:r>
          </w:p>
          <w:p>
            <w:pPr>
              <w:pStyle w:val="TableParagraph"/>
              <w:spacing w:line="240" w:lineRule="auto" w:before="18"/>
              <w:ind w:left="2" w:right="0"/>
              <w:jc w:val="both"/>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3</w:t>
            </w:r>
            <w:r>
              <w:rPr>
                <w:rFonts w:ascii="宋体" w:hAnsi="宋体" w:cs="宋体" w:eastAsia="宋体" w:hint="default"/>
                <w:sz w:val="20"/>
                <w:szCs w:val="20"/>
              </w:rPr>
              <w:t>）验证商誉减值测试模型的计算准确性；</w:t>
            </w:r>
          </w:p>
          <w:p>
            <w:pPr>
              <w:pStyle w:val="TableParagraph"/>
              <w:spacing w:line="240" w:lineRule="auto" w:before="35"/>
              <w:ind w:left="2" w:right="0"/>
              <w:jc w:val="both"/>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4</w:t>
            </w:r>
            <w:r>
              <w:rPr>
                <w:rFonts w:ascii="宋体" w:hAnsi="宋体" w:cs="宋体" w:eastAsia="宋体" w:hint="default"/>
                <w:sz w:val="20"/>
                <w:szCs w:val="20"/>
              </w:rPr>
              <w:t>）复核与商誉减值相关的披露。</w:t>
            </w:r>
          </w:p>
        </w:tc>
      </w:tr>
    </w:tbl>
    <w:p>
      <w:pPr>
        <w:spacing w:line="240" w:lineRule="auto" w:before="6"/>
        <w:rPr>
          <w:rFonts w:ascii="宋体" w:hAnsi="宋体" w:cs="宋体" w:eastAsia="宋体" w:hint="default"/>
          <w:sz w:val="20"/>
          <w:szCs w:val="20"/>
        </w:rPr>
      </w:pPr>
    </w:p>
    <w:p>
      <w:pPr>
        <w:pStyle w:val="Heading6"/>
        <w:spacing w:line="285" w:lineRule="auto" w:before="38"/>
        <w:ind w:right="1118" w:firstLine="2"/>
        <w:jc w:val="left"/>
      </w:pPr>
      <w:r>
        <w:rPr>
          <w:rFonts w:ascii="宋体" w:hAnsi="宋体" w:cs="宋体" w:eastAsia="宋体" w:hint="default"/>
          <w:b/>
          <w:bCs/>
        </w:rPr>
        <w:t>四、其他信息</w:t>
      </w:r>
      <w:r>
        <w:rPr>
          <w:rFonts w:ascii="宋体" w:hAnsi="宋体" w:cs="宋体" w:eastAsia="宋体" w:hint="default"/>
          <w:b/>
          <w:bCs/>
          <w:w w:val="99"/>
        </w:rPr>
        <w:t> </w:t>
      </w:r>
      <w:r>
        <w:rPr>
          <w:spacing w:val="-2"/>
        </w:rPr>
        <w:t>奥拓电子公司管理层对其他信息负责。其他信息包括</w:t>
      </w:r>
      <w:r>
        <w:rPr>
          <w:rFonts w:ascii="Times New Roman" w:hAnsi="Times New Roman" w:cs="Times New Roman" w:eastAsia="Times New Roman" w:hint="default"/>
          <w:spacing w:val="-2"/>
        </w:rPr>
        <w:t>2018</w:t>
      </w:r>
      <w:r>
        <w:rPr>
          <w:spacing w:val="-2"/>
        </w:rPr>
        <w:t>年年度报告中涵盖的信息，但不包括财务报表和</w:t>
      </w:r>
    </w:p>
    <w:p>
      <w:pPr>
        <w:pStyle w:val="Heading6"/>
        <w:spacing w:line="285" w:lineRule="auto"/>
        <w:ind w:right="1118" w:hanging="480"/>
        <w:jc w:val="left"/>
      </w:pPr>
      <w:r>
        <w:rPr/>
        <w:t>我们的审计报告。</w:t>
      </w:r>
      <w:r>
        <w:rPr>
          <w:w w:val="100"/>
        </w:rPr>
        <w:t> </w:t>
      </w:r>
      <w:r>
        <w:rPr/>
        <w:t>我们对财务报表发表的审计意见不涵盖其他信息，我们也不对其他信息发表任何形式的鉴证结论。</w:t>
      </w:r>
      <w:r>
        <w:rPr>
          <w:w w:val="100"/>
        </w:rPr>
        <w:t> </w:t>
      </w:r>
      <w:r>
        <w:rPr>
          <w:spacing w:val="-2"/>
        </w:rPr>
        <w:t>结合我们对财务报表的审计，我们的责任是阅读其他信息，在此过程中，考虑其他信息是否与财务报表或</w:t>
      </w:r>
    </w:p>
    <w:p>
      <w:pPr>
        <w:pStyle w:val="Heading6"/>
        <w:spacing w:line="285" w:lineRule="auto" w:before="12"/>
        <w:ind w:right="0" w:hanging="480"/>
        <w:jc w:val="left"/>
      </w:pPr>
      <w:r>
        <w:rPr/>
        <w:t>我们在审计过程中了解到的情况存在重大不一致或者似乎存在重大错报。</w:t>
      </w:r>
      <w:r>
        <w:rPr>
          <w:w w:val="100"/>
        </w:rPr>
        <w:t> </w:t>
      </w:r>
      <w:r>
        <w:rPr>
          <w:spacing w:val="-2"/>
        </w:rPr>
        <w:t>基于我们已执行的工作，如果我们确定其他信息存在重大错报，我们应当报告该事实。在这方面，我们无</w:t>
      </w:r>
    </w:p>
    <w:p>
      <w:pPr>
        <w:pStyle w:val="Heading6"/>
        <w:spacing w:line="240" w:lineRule="auto" w:before="12"/>
        <w:ind w:left="154" w:right="0"/>
        <w:jc w:val="left"/>
      </w:pPr>
      <w:r>
        <w:rPr/>
        <w:t>任何事项需要报告。</w:t>
      </w:r>
    </w:p>
    <w:p>
      <w:pPr>
        <w:spacing w:line="240" w:lineRule="auto" w:before="9"/>
        <w:rPr>
          <w:rFonts w:ascii="宋体" w:hAnsi="宋体" w:cs="宋体" w:eastAsia="宋体" w:hint="default"/>
          <w:sz w:val="27"/>
          <w:szCs w:val="27"/>
        </w:rPr>
      </w:pPr>
    </w:p>
    <w:p>
      <w:pPr>
        <w:spacing w:line="285" w:lineRule="auto" w:before="0"/>
        <w:ind w:left="634" w:right="0" w:firstLine="2"/>
        <w:jc w:val="left"/>
        <w:rPr>
          <w:rFonts w:ascii="宋体" w:hAnsi="宋体" w:cs="宋体" w:eastAsia="宋体" w:hint="default"/>
          <w:sz w:val="20"/>
          <w:szCs w:val="20"/>
        </w:rPr>
      </w:pPr>
      <w:r>
        <w:rPr>
          <w:rFonts w:ascii="宋体" w:hAnsi="宋体" w:cs="宋体" w:eastAsia="宋体" w:hint="default"/>
          <w:b/>
          <w:bCs/>
          <w:sz w:val="20"/>
          <w:szCs w:val="20"/>
        </w:rPr>
        <w:t>五、管理层和治理层对财务报表的责任</w:t>
      </w:r>
      <w:r>
        <w:rPr>
          <w:rFonts w:ascii="宋体" w:hAnsi="宋体" w:cs="宋体" w:eastAsia="宋体" w:hint="default"/>
          <w:b/>
          <w:bCs/>
          <w:w w:val="99"/>
          <w:sz w:val="20"/>
          <w:szCs w:val="20"/>
        </w:rPr>
        <w:t> </w:t>
      </w:r>
      <w:r>
        <w:rPr>
          <w:rFonts w:ascii="宋体" w:hAnsi="宋体" w:cs="宋体" w:eastAsia="宋体" w:hint="default"/>
          <w:spacing w:val="-6"/>
          <w:w w:val="100"/>
          <w:sz w:val="20"/>
          <w:szCs w:val="20"/>
        </w:rPr>
        <w:t>奥拓电子公司管理层（以下简称管理层）负责按照企业会计准则的规定编制财务报表，使其实现公允反映，</w:t>
      </w:r>
    </w:p>
    <w:p>
      <w:pPr>
        <w:pStyle w:val="Heading6"/>
        <w:spacing w:line="285" w:lineRule="auto" w:before="12"/>
        <w:ind w:right="0" w:hanging="480"/>
        <w:jc w:val="left"/>
      </w:pPr>
      <w:r>
        <w:rPr/>
        <w:t>并设计、执行和维护必要的内部控制，以使财务报表不存在由于舞弊或错误导致的重大错报。</w:t>
      </w:r>
      <w:r>
        <w:rPr>
          <w:w w:val="100"/>
        </w:rPr>
        <w:t> </w:t>
      </w:r>
      <w:r>
        <w:rPr>
          <w:spacing w:val="-8"/>
          <w:w w:val="100"/>
        </w:rPr>
        <w:t>在编制财务报表时，管理层负责评估奥拓电子公司的持续经营能力，披露与持续经营相关的事项（如适用），</w:t>
      </w:r>
    </w:p>
    <w:p>
      <w:pPr>
        <w:pStyle w:val="Heading6"/>
        <w:spacing w:line="285" w:lineRule="auto" w:before="12"/>
        <w:ind w:right="0" w:hanging="480"/>
        <w:jc w:val="left"/>
      </w:pPr>
      <w:r>
        <w:rPr>
          <w:spacing w:val="-1"/>
        </w:rPr>
        <w:t>并运用持续经营假设，除非管理层计划清算奥拓电子公司、终止运营或别无其他现实的选择。</w:t>
      </w:r>
      <w:r>
        <w:rPr>
          <w:spacing w:val="-69"/>
        </w:rPr>
        <w:t> </w:t>
      </w:r>
      <w:r>
        <w:rPr>
          <w:spacing w:val="-69"/>
        </w:rPr>
      </w:r>
      <w:r>
        <w:rPr/>
        <w:t>治理层负责监督奥拓电子公司的财务报告过程。</w:t>
      </w:r>
    </w:p>
    <w:p>
      <w:pPr>
        <w:spacing w:line="240" w:lineRule="auto" w:before="10"/>
        <w:rPr>
          <w:rFonts w:ascii="宋体" w:hAnsi="宋体" w:cs="宋体" w:eastAsia="宋体" w:hint="default"/>
          <w:sz w:val="24"/>
          <w:szCs w:val="24"/>
        </w:rPr>
      </w:pPr>
    </w:p>
    <w:p>
      <w:pPr>
        <w:spacing w:line="285" w:lineRule="auto" w:before="0"/>
        <w:ind w:left="634" w:right="0" w:firstLine="2"/>
        <w:jc w:val="left"/>
        <w:rPr>
          <w:rFonts w:ascii="宋体" w:hAnsi="宋体" w:cs="宋体" w:eastAsia="宋体" w:hint="default"/>
          <w:sz w:val="20"/>
          <w:szCs w:val="20"/>
        </w:rPr>
      </w:pPr>
      <w:r>
        <w:rPr>
          <w:rFonts w:ascii="宋体" w:hAnsi="宋体" w:cs="宋体" w:eastAsia="宋体" w:hint="default"/>
          <w:b/>
          <w:bCs/>
          <w:sz w:val="20"/>
          <w:szCs w:val="20"/>
        </w:rPr>
        <w:t>六、注册会计师对财务报表审计的责任</w:t>
      </w:r>
      <w:r>
        <w:rPr>
          <w:rFonts w:ascii="宋体" w:hAnsi="宋体" w:cs="宋体" w:eastAsia="宋体" w:hint="default"/>
          <w:b/>
          <w:bCs/>
          <w:w w:val="99"/>
          <w:sz w:val="20"/>
          <w:szCs w:val="20"/>
        </w:rPr>
        <w:t> </w:t>
      </w:r>
      <w:r>
        <w:rPr>
          <w:rFonts w:ascii="宋体" w:hAnsi="宋体" w:cs="宋体" w:eastAsia="宋体" w:hint="default"/>
          <w:spacing w:val="-2"/>
          <w:sz w:val="20"/>
          <w:szCs w:val="20"/>
        </w:rPr>
        <w:t>我们的目标是对财务报表整体是否不存在由于舞弊或错误导致的重大错报获取合理保证，并出具包含审计</w:t>
      </w:r>
    </w:p>
    <w:p>
      <w:pPr>
        <w:pStyle w:val="Heading6"/>
        <w:spacing w:line="285" w:lineRule="auto" w:before="12"/>
        <w:ind w:left="154" w:right="1133"/>
        <w:jc w:val="both"/>
      </w:pPr>
      <w:r>
        <w:rPr/>
        <w:t>意见的审计报告。合理保证是高水平的保证，但并不能保证按照审计准则执行的审计在某一重大错报存在时总</w:t>
      </w:r>
      <w:r>
        <w:rPr>
          <w:spacing w:val="-65"/>
        </w:rPr>
        <w:t> </w:t>
      </w:r>
      <w:r>
        <w:rPr>
          <w:spacing w:val="-65"/>
        </w:rPr>
      </w:r>
      <w:r>
        <w:rPr/>
        <w:t>能发现。错报可能由于舞弊或错误导致，如果合理预期错报单独或汇总起来可能影响财务报表使用者依据财务</w:t>
      </w:r>
      <w:r>
        <w:rPr>
          <w:spacing w:val="-64"/>
        </w:rPr>
        <w:t> </w:t>
      </w:r>
      <w:r>
        <w:rPr>
          <w:spacing w:val="-64"/>
        </w:rPr>
      </w:r>
      <w:r>
        <w:rPr/>
        <w:t>报表作出的经济决策，则通常认为错报是重大的。</w:t>
      </w:r>
    </w:p>
    <w:p>
      <w:pPr>
        <w:pStyle w:val="Heading6"/>
        <w:spacing w:line="240" w:lineRule="auto" w:before="12"/>
        <w:ind w:right="0"/>
        <w:jc w:val="left"/>
      </w:pPr>
      <w:r>
        <w:rPr/>
        <w:t>在按照审计准则执行审计工作的过程中，我们运用职业判断，并保持职业怀疑。同时，我们也执行以下工</w:t>
      </w:r>
    </w:p>
    <w:p>
      <w:pPr>
        <w:pStyle w:val="Heading6"/>
        <w:spacing w:line="240" w:lineRule="auto" w:before="50"/>
        <w:ind w:left="154" w:right="0"/>
        <w:jc w:val="left"/>
      </w:pPr>
      <w:r>
        <w:rPr/>
        <w:t>作：</w:t>
      </w:r>
    </w:p>
    <w:p>
      <w:pPr>
        <w:spacing w:after="0" w:line="240" w:lineRule="auto"/>
        <w:jc w:val="left"/>
        <w:sectPr>
          <w:pgSz w:w="11910" w:h="16840"/>
          <w:pgMar w:header="747" w:footer="979" w:top="1060" w:bottom="1160" w:left="980" w:right="0"/>
        </w:sectPr>
      </w:pPr>
    </w:p>
    <w:p>
      <w:pPr>
        <w:spacing w:line="240" w:lineRule="auto" w:before="1"/>
        <w:rPr>
          <w:rFonts w:ascii="宋体" w:hAnsi="宋体" w:cs="宋体" w:eastAsia="宋体" w:hint="default"/>
          <w:sz w:val="25"/>
          <w:szCs w:val="25"/>
        </w:rPr>
      </w:pPr>
    </w:p>
    <w:p>
      <w:pPr>
        <w:pStyle w:val="Heading6"/>
        <w:spacing w:line="285" w:lineRule="auto" w:before="38"/>
        <w:ind w:left="154" w:right="1032" w:firstLine="480"/>
        <w:jc w:val="left"/>
      </w:pPr>
      <w:r>
        <w:rPr/>
        <w:t>（一）识别和评估由于舞弊或错误导致的财务报表重大错报风险，设计和实施审计程序以应对这些风险，</w:t>
      </w:r>
      <w:r>
        <w:rPr>
          <w:w w:val="100"/>
        </w:rPr>
        <w:t> </w:t>
      </w:r>
      <w:r>
        <w:rPr/>
        <w:t>并获取充分、适当的审计证据，作为发表审计意见的基础。由于舞弊可能涉及串通、伪造、故意遗漏、虚假陈</w:t>
      </w:r>
      <w:r>
        <w:rPr>
          <w:spacing w:val="-65"/>
        </w:rPr>
        <w:t> </w:t>
      </w:r>
      <w:r>
        <w:rPr>
          <w:spacing w:val="-65"/>
        </w:rPr>
      </w:r>
      <w:r>
        <w:rPr/>
        <w:t>述或凌驾于内部控制之上，未能发现由于舞弊导致的重大错报的风险高于未能发现由于错误导致的重大错报的</w:t>
      </w:r>
      <w:r>
        <w:rPr>
          <w:spacing w:val="-65"/>
        </w:rPr>
        <w:t> </w:t>
      </w:r>
      <w:r>
        <w:rPr>
          <w:spacing w:val="-65"/>
        </w:rPr>
      </w:r>
      <w:r>
        <w:rPr/>
        <w:t>风险。</w:t>
      </w:r>
    </w:p>
    <w:p>
      <w:pPr>
        <w:pStyle w:val="Heading6"/>
        <w:spacing w:line="240" w:lineRule="auto" w:before="12"/>
        <w:ind w:right="0"/>
        <w:jc w:val="left"/>
      </w:pPr>
      <w:r>
        <w:rPr/>
        <w:t>（二）了解与审计相关的内部控制，以设计恰当的审计程序，但目的并非对内部控制的有效性发表意见。</w:t>
      </w:r>
    </w:p>
    <w:p>
      <w:pPr>
        <w:pStyle w:val="Heading6"/>
        <w:spacing w:line="240" w:lineRule="auto" w:before="50"/>
        <w:ind w:right="0"/>
        <w:jc w:val="left"/>
      </w:pPr>
      <w:r>
        <w:rPr/>
        <w:t>（三）评价管理层选用会计政策的恰当性和作出会计估计及相关披露的合理性。</w:t>
      </w:r>
    </w:p>
    <w:p>
      <w:pPr>
        <w:pStyle w:val="Heading6"/>
        <w:spacing w:line="285" w:lineRule="auto" w:before="50"/>
        <w:ind w:left="154" w:right="1132" w:firstLine="480"/>
        <w:jc w:val="both"/>
      </w:pPr>
      <w:r>
        <w:rPr>
          <w:spacing w:val="-2"/>
        </w:rPr>
        <w:t>（四）对管理层使用持续经营假设的恰当性得出结论。同时，根据获取的审计证据，就可能导致对奥拓电</w:t>
      </w:r>
      <w:r>
        <w:rPr>
          <w:w w:val="100"/>
        </w:rPr>
        <w:t> </w:t>
      </w:r>
      <w:r>
        <w:rPr/>
        <w:t>子公司持续经营能力产生重大疑虑的事项或情况是否存在重大不确定性得出结论。如果我们得出结论认为存在</w:t>
      </w:r>
      <w:r>
        <w:rPr>
          <w:spacing w:val="-65"/>
        </w:rPr>
        <w:t> </w:t>
      </w:r>
      <w:r>
        <w:rPr>
          <w:spacing w:val="-65"/>
        </w:rPr>
      </w:r>
      <w:r>
        <w:rPr>
          <w:spacing w:val="-4"/>
          <w:w w:val="100"/>
        </w:rPr>
        <w:t>重大不确定性，审计准则要求我们在审计报告中提请报表使用者注意财务报表中的相关披露；如果披露不充分，</w:t>
      </w:r>
      <w:r>
        <w:rPr>
          <w:w w:val="100"/>
        </w:rPr>
        <w:t> </w:t>
      </w:r>
      <w:r>
        <w:rPr/>
        <w:t>我们应当发表非无保留意见。我们的结论基于截至审计报告日可获得的信息。然而，未来的事项或情况可能导</w:t>
      </w:r>
      <w:r>
        <w:rPr>
          <w:spacing w:val="-65"/>
        </w:rPr>
        <w:t> </w:t>
      </w:r>
      <w:r>
        <w:rPr>
          <w:spacing w:val="-65"/>
        </w:rPr>
      </w:r>
      <w:r>
        <w:rPr/>
        <w:t>致奥拓电子公司不能持续经营。</w:t>
      </w:r>
    </w:p>
    <w:p>
      <w:pPr>
        <w:pStyle w:val="Heading6"/>
        <w:spacing w:line="240" w:lineRule="auto" w:before="12"/>
        <w:ind w:right="0"/>
        <w:jc w:val="left"/>
      </w:pPr>
      <w:r>
        <w:rPr/>
        <w:t>（五）评价财务报表的总体列报、结构和内容（包括披露），并评价财务报表是否公允反映相关交易和事</w:t>
      </w:r>
    </w:p>
    <w:p>
      <w:pPr>
        <w:pStyle w:val="Heading6"/>
        <w:spacing w:line="240" w:lineRule="auto" w:before="50"/>
        <w:ind w:left="154" w:right="0"/>
        <w:jc w:val="left"/>
      </w:pPr>
      <w:r>
        <w:rPr/>
        <w:t>项。</w:t>
      </w:r>
    </w:p>
    <w:p>
      <w:pPr>
        <w:pStyle w:val="Heading6"/>
        <w:spacing w:line="240" w:lineRule="auto" w:before="50"/>
        <w:ind w:right="0"/>
        <w:jc w:val="left"/>
      </w:pPr>
      <w:r>
        <w:rPr>
          <w:w w:val="100"/>
        </w:rPr>
        <w:t>（六</w:t>
      </w:r>
      <w:r>
        <w:rPr>
          <w:spacing w:val="-82"/>
          <w:w w:val="100"/>
        </w:rPr>
        <w:t>）</w:t>
      </w:r>
      <w:r>
        <w:rPr>
          <w:w w:val="100"/>
        </w:rPr>
        <w:t>就奥</w:t>
      </w:r>
      <w:r>
        <w:rPr>
          <w:spacing w:val="-2"/>
          <w:w w:val="100"/>
        </w:rPr>
        <w:t>拓</w:t>
      </w:r>
      <w:r>
        <w:rPr>
          <w:w w:val="100"/>
        </w:rPr>
        <w:t>电子公</w:t>
      </w:r>
      <w:r>
        <w:rPr>
          <w:spacing w:val="-2"/>
          <w:w w:val="100"/>
        </w:rPr>
        <w:t>司</w:t>
      </w:r>
      <w:r>
        <w:rPr>
          <w:w w:val="100"/>
        </w:rPr>
        <w:t>中</w:t>
      </w:r>
      <w:r>
        <w:rPr>
          <w:spacing w:val="-2"/>
          <w:w w:val="100"/>
        </w:rPr>
        <w:t>实</w:t>
      </w:r>
      <w:r>
        <w:rPr>
          <w:w w:val="100"/>
        </w:rPr>
        <w:t>体或业</w:t>
      </w:r>
      <w:r>
        <w:rPr>
          <w:spacing w:val="-2"/>
          <w:w w:val="100"/>
        </w:rPr>
        <w:t>务</w:t>
      </w:r>
      <w:r>
        <w:rPr>
          <w:w w:val="100"/>
        </w:rPr>
        <w:t>活</w:t>
      </w:r>
      <w:r>
        <w:rPr>
          <w:spacing w:val="-2"/>
          <w:w w:val="100"/>
        </w:rPr>
        <w:t>动</w:t>
      </w:r>
      <w:r>
        <w:rPr>
          <w:w w:val="100"/>
        </w:rPr>
        <w:t>的财务</w:t>
      </w:r>
      <w:r>
        <w:rPr>
          <w:spacing w:val="-2"/>
          <w:w w:val="100"/>
        </w:rPr>
        <w:t>信</w:t>
      </w:r>
      <w:r>
        <w:rPr>
          <w:w w:val="100"/>
        </w:rPr>
        <w:t>息</w:t>
      </w:r>
      <w:r>
        <w:rPr>
          <w:spacing w:val="-2"/>
          <w:w w:val="100"/>
        </w:rPr>
        <w:t>获</w:t>
      </w:r>
      <w:r>
        <w:rPr>
          <w:w w:val="100"/>
        </w:rPr>
        <w:t>取充</w:t>
      </w:r>
      <w:r>
        <w:rPr>
          <w:spacing w:val="-2"/>
          <w:w w:val="100"/>
        </w:rPr>
        <w:t>分</w:t>
      </w:r>
      <w:r>
        <w:rPr>
          <w:spacing w:val="-81"/>
          <w:w w:val="100"/>
        </w:rPr>
        <w:t>、</w:t>
      </w:r>
      <w:r>
        <w:rPr>
          <w:w w:val="100"/>
        </w:rPr>
        <w:t>适</w:t>
      </w:r>
      <w:r>
        <w:rPr>
          <w:spacing w:val="-2"/>
          <w:w w:val="100"/>
        </w:rPr>
        <w:t>当</w:t>
      </w:r>
      <w:r>
        <w:rPr>
          <w:w w:val="100"/>
        </w:rPr>
        <w:t>的审计</w:t>
      </w:r>
      <w:r>
        <w:rPr>
          <w:spacing w:val="-2"/>
          <w:w w:val="100"/>
        </w:rPr>
        <w:t>证</w:t>
      </w:r>
      <w:r>
        <w:rPr>
          <w:w w:val="100"/>
        </w:rPr>
        <w:t>据</w:t>
      </w:r>
      <w:r>
        <w:rPr>
          <w:spacing w:val="-82"/>
          <w:w w:val="100"/>
        </w:rPr>
        <w:t>，</w:t>
      </w:r>
      <w:r>
        <w:rPr>
          <w:w w:val="100"/>
        </w:rPr>
        <w:t>以对财</w:t>
      </w:r>
      <w:r>
        <w:rPr>
          <w:spacing w:val="-2"/>
          <w:w w:val="100"/>
        </w:rPr>
        <w:t>务</w:t>
      </w:r>
      <w:r>
        <w:rPr>
          <w:w w:val="100"/>
        </w:rPr>
        <w:t>报</w:t>
      </w:r>
      <w:r>
        <w:rPr>
          <w:spacing w:val="-2"/>
          <w:w w:val="100"/>
        </w:rPr>
        <w:t>表</w:t>
      </w:r>
      <w:r>
        <w:rPr>
          <w:w w:val="100"/>
        </w:rPr>
        <w:t>发表意</w:t>
      </w:r>
      <w:r>
        <w:rPr>
          <w:spacing w:val="-2"/>
          <w:w w:val="100"/>
        </w:rPr>
        <w:t>见</w:t>
      </w:r>
      <w:r>
        <w:rPr>
          <w:w w:val="100"/>
        </w:rPr>
        <w:t>。</w:t>
      </w:r>
    </w:p>
    <w:p>
      <w:pPr>
        <w:pStyle w:val="Heading6"/>
        <w:spacing w:line="285" w:lineRule="auto" w:before="50"/>
        <w:ind w:left="624" w:right="0" w:hanging="471"/>
        <w:jc w:val="left"/>
      </w:pPr>
      <w:r>
        <w:rPr/>
        <w:t>我们负责指导、监督和执行集团审计。我们对审计意见承担全部责任。</w:t>
      </w:r>
      <w:r>
        <w:rPr>
          <w:w w:val="100"/>
        </w:rPr>
        <w:t> </w:t>
      </w:r>
      <w:r>
        <w:rPr>
          <w:spacing w:val="-2"/>
        </w:rPr>
        <w:t>我们与治理层就计划的审计范围、时间安排和重大审计发现等事项进行沟通，包括沟通我们在审计中识别</w:t>
      </w:r>
    </w:p>
    <w:p>
      <w:pPr>
        <w:pStyle w:val="Heading6"/>
        <w:spacing w:line="285" w:lineRule="auto" w:before="12"/>
        <w:ind w:right="0" w:hanging="480"/>
        <w:jc w:val="left"/>
      </w:pPr>
      <w:r>
        <w:rPr/>
        <w:t>出的值得关注的内部控制缺陷。</w:t>
      </w:r>
      <w:r>
        <w:rPr>
          <w:w w:val="100"/>
        </w:rPr>
        <w:t> </w:t>
      </w:r>
      <w:r>
        <w:rPr>
          <w:spacing w:val="-2"/>
        </w:rPr>
        <w:t>我们还就已遵守与独立性相关的职业道德要求向治理层提供声明，并与治理层沟通可能被合理认为影响我</w:t>
      </w:r>
    </w:p>
    <w:p>
      <w:pPr>
        <w:pStyle w:val="Heading6"/>
        <w:spacing w:line="285" w:lineRule="auto" w:before="12"/>
        <w:ind w:right="0" w:hanging="480"/>
        <w:jc w:val="left"/>
      </w:pPr>
      <w:r>
        <w:rPr/>
        <w:t>们独立性的所有关系和其他事项，以及相关的防范措施（如适用）。</w:t>
      </w:r>
      <w:r>
        <w:rPr>
          <w:w w:val="100"/>
        </w:rPr>
        <w:t> </w:t>
      </w:r>
      <w:r>
        <w:rPr/>
        <w:t>从与治理层沟通过的事项中，我们确定哪些事项对本期财务报表审计最为重要，因而构成关键审计事项。</w:t>
      </w:r>
    </w:p>
    <w:p>
      <w:pPr>
        <w:pStyle w:val="Heading6"/>
        <w:spacing w:line="285" w:lineRule="auto" w:before="12"/>
        <w:ind w:left="154" w:right="1135"/>
        <w:jc w:val="both"/>
      </w:pPr>
      <w:r>
        <w:rPr/>
        <w:t>我们在审计报告中描述这些事项，除非法律法规禁止公开披露这些事项，或在极少数情形下，如果合理预期在</w:t>
      </w:r>
      <w:r>
        <w:rPr>
          <w:spacing w:val="-65"/>
        </w:rPr>
        <w:t> </w:t>
      </w:r>
      <w:r>
        <w:rPr>
          <w:spacing w:val="-65"/>
        </w:rPr>
      </w:r>
      <w:r>
        <w:rPr/>
        <w:t>审计报告中沟通某事项造成的负面后果超过在公众利益方面产生的益处，我们确定不应在审计报告中沟通该事</w:t>
      </w:r>
      <w:r>
        <w:rPr>
          <w:spacing w:val="-65"/>
        </w:rPr>
        <w:t> </w:t>
      </w:r>
      <w:r>
        <w:rPr>
          <w:spacing w:val="-65"/>
        </w:rPr>
      </w:r>
      <w:r>
        <w:rPr/>
        <w:t>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tbl>
      <w:tblPr>
        <w:tblW w:w="0" w:type="auto"/>
        <w:jc w:val="left"/>
        <w:tblInd w:w="153" w:type="dxa"/>
        <w:tblLayout w:type="fixed"/>
        <w:tblCellMar>
          <w:top w:w="0" w:type="dxa"/>
          <w:left w:w="0" w:type="dxa"/>
          <w:bottom w:w="0" w:type="dxa"/>
          <w:right w:w="0" w:type="dxa"/>
        </w:tblCellMar>
        <w:tblLook w:val="01E0"/>
      </w:tblPr>
      <w:tblGrid>
        <w:gridCol w:w="5004"/>
        <w:gridCol w:w="3610"/>
      </w:tblGrid>
      <w:tr>
        <w:trPr>
          <w:trHeight w:val="347" w:hRule="exact"/>
        </w:trPr>
        <w:tc>
          <w:tcPr>
            <w:tcW w:w="5004" w:type="dxa"/>
            <w:tcBorders>
              <w:top w:val="single" w:sz="6" w:space="0" w:color="000000"/>
              <w:left w:val="nil" w:sz="6" w:space="0" w:color="auto"/>
              <w:bottom w:val="single" w:sz="6" w:space="0" w:color="000000"/>
              <w:right w:val="nil" w:sz="6" w:space="0" w:color="auto"/>
            </w:tcBorders>
          </w:tcPr>
          <w:p>
            <w:pPr>
              <w:pStyle w:val="TableParagraph"/>
              <w:spacing w:line="240" w:lineRule="auto" w:before="5"/>
              <w:ind w:right="924"/>
              <w:jc w:val="center"/>
              <w:rPr>
                <w:rFonts w:ascii="宋体" w:hAnsi="宋体" w:cs="宋体" w:eastAsia="宋体" w:hint="default"/>
                <w:sz w:val="20"/>
                <w:szCs w:val="20"/>
              </w:rPr>
            </w:pPr>
            <w:r>
              <w:rPr>
                <w:rFonts w:ascii="宋体" w:hAnsi="宋体" w:cs="宋体" w:eastAsia="宋体" w:hint="default"/>
                <w:sz w:val="20"/>
                <w:szCs w:val="20"/>
              </w:rPr>
              <w:t>瑞华会计师事务所（特殊普通合伙）</w:t>
            </w:r>
          </w:p>
        </w:tc>
        <w:tc>
          <w:tcPr>
            <w:tcW w:w="3610" w:type="dxa"/>
            <w:tcBorders>
              <w:top w:val="single" w:sz="6" w:space="0" w:color="000000"/>
              <w:left w:val="nil" w:sz="6" w:space="0" w:color="auto"/>
              <w:bottom w:val="single" w:sz="6" w:space="0" w:color="000000"/>
              <w:right w:val="nil" w:sz="6" w:space="0" w:color="auto"/>
            </w:tcBorders>
          </w:tcPr>
          <w:p>
            <w:pPr>
              <w:pStyle w:val="TableParagraph"/>
              <w:spacing w:line="240" w:lineRule="auto" w:before="5"/>
              <w:ind w:left="1364" w:right="0"/>
              <w:jc w:val="left"/>
              <w:rPr>
                <w:rFonts w:ascii="宋体" w:hAnsi="宋体" w:cs="宋体" w:eastAsia="宋体" w:hint="default"/>
                <w:sz w:val="20"/>
                <w:szCs w:val="20"/>
              </w:rPr>
            </w:pPr>
            <w:r>
              <w:rPr>
                <w:rFonts w:ascii="宋体" w:hAnsi="宋体" w:cs="宋体" w:eastAsia="宋体" w:hint="default"/>
                <w:sz w:val="20"/>
                <w:szCs w:val="20"/>
              </w:rPr>
              <w:t>中国注册会计师</w:t>
            </w:r>
            <w:r>
              <w:rPr>
                <w:rFonts w:ascii="宋体" w:hAnsi="宋体" w:cs="宋体" w:eastAsia="宋体" w:hint="default"/>
                <w:spacing w:val="59"/>
                <w:sz w:val="20"/>
                <w:szCs w:val="20"/>
              </w:rPr>
              <w:t> </w:t>
            </w:r>
            <w:r>
              <w:rPr>
                <w:rFonts w:ascii="宋体" w:hAnsi="宋体" w:cs="宋体" w:eastAsia="宋体" w:hint="default"/>
                <w:sz w:val="20"/>
                <w:szCs w:val="20"/>
              </w:rPr>
              <w:t>管盛春</w:t>
            </w:r>
          </w:p>
        </w:tc>
      </w:tr>
      <w:tr>
        <w:trPr>
          <w:trHeight w:val="347" w:hRule="exact"/>
        </w:trPr>
        <w:tc>
          <w:tcPr>
            <w:tcW w:w="5004" w:type="dxa"/>
            <w:tcBorders>
              <w:top w:val="single" w:sz="6" w:space="0" w:color="000000"/>
              <w:left w:val="nil" w:sz="6" w:space="0" w:color="auto"/>
              <w:bottom w:val="single" w:sz="6" w:space="0" w:color="000000"/>
              <w:right w:val="nil" w:sz="6" w:space="0" w:color="auto"/>
            </w:tcBorders>
          </w:tcPr>
          <w:p>
            <w:pPr/>
          </w:p>
        </w:tc>
        <w:tc>
          <w:tcPr>
            <w:tcW w:w="3610" w:type="dxa"/>
            <w:tcBorders>
              <w:top w:val="single" w:sz="6" w:space="0" w:color="000000"/>
              <w:left w:val="nil" w:sz="6" w:space="0" w:color="auto"/>
              <w:bottom w:val="single" w:sz="6" w:space="0" w:color="000000"/>
              <w:right w:val="nil" w:sz="6" w:space="0" w:color="auto"/>
            </w:tcBorders>
          </w:tcPr>
          <w:p>
            <w:pPr>
              <w:pStyle w:val="TableParagraph"/>
              <w:spacing w:line="240" w:lineRule="auto" w:before="5"/>
              <w:ind w:left="141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项目合伙人</w:t>
            </w:r>
            <w:r>
              <w:rPr>
                <w:rFonts w:ascii="Times New Roman" w:hAnsi="Times New Roman" w:cs="Times New Roman" w:eastAsia="Times New Roman" w:hint="default"/>
                <w:sz w:val="20"/>
                <w:szCs w:val="20"/>
              </w:rPr>
              <w:t>)</w:t>
            </w:r>
          </w:p>
        </w:tc>
      </w:tr>
      <w:tr>
        <w:trPr>
          <w:trHeight w:val="659" w:hRule="exact"/>
        </w:trPr>
        <w:tc>
          <w:tcPr>
            <w:tcW w:w="5004" w:type="dxa"/>
            <w:tcBorders>
              <w:top w:val="single" w:sz="6" w:space="0" w:color="000000"/>
              <w:left w:val="nil" w:sz="6" w:space="0" w:color="auto"/>
              <w:bottom w:val="single" w:sz="6" w:space="0" w:color="000000"/>
              <w:right w:val="nil" w:sz="6" w:space="0" w:color="auto"/>
            </w:tcBorders>
          </w:tcPr>
          <w:p>
            <w:pPr>
              <w:pStyle w:val="TableParagraph"/>
              <w:spacing w:line="240" w:lineRule="auto" w:before="5"/>
              <w:ind w:right="925"/>
              <w:jc w:val="center"/>
              <w:rPr>
                <w:rFonts w:ascii="宋体" w:hAnsi="宋体" w:cs="宋体" w:eastAsia="宋体" w:hint="default"/>
                <w:sz w:val="20"/>
                <w:szCs w:val="20"/>
              </w:rPr>
            </w:pPr>
            <w:r>
              <w:rPr>
                <w:rFonts w:ascii="宋体" w:hAnsi="宋体" w:cs="宋体" w:eastAsia="宋体" w:hint="default"/>
                <w:sz w:val="20"/>
                <w:szCs w:val="20"/>
              </w:rPr>
              <w:t>中国</w:t>
            </w:r>
            <w:r>
              <w:rPr>
                <w:rFonts w:ascii="Times New Roman" w:hAnsi="Times New Roman" w:cs="Times New Roman" w:eastAsia="Times New Roman" w:hint="default"/>
                <w:sz w:val="20"/>
                <w:szCs w:val="20"/>
              </w:rPr>
              <w:t>·</w:t>
            </w:r>
            <w:r>
              <w:rPr>
                <w:rFonts w:ascii="宋体" w:hAnsi="宋体" w:cs="宋体" w:eastAsia="宋体" w:hint="default"/>
                <w:sz w:val="20"/>
                <w:szCs w:val="20"/>
              </w:rPr>
              <w:t>北京</w:t>
            </w:r>
          </w:p>
        </w:tc>
        <w:tc>
          <w:tcPr>
            <w:tcW w:w="3610" w:type="dxa"/>
            <w:tcBorders>
              <w:top w:val="single" w:sz="6" w:space="0" w:color="000000"/>
              <w:left w:val="nil" w:sz="6" w:space="0" w:color="auto"/>
              <w:bottom w:val="single" w:sz="6" w:space="0" w:color="000000"/>
              <w:right w:val="nil" w:sz="6" w:space="0" w:color="auto"/>
            </w:tcBorders>
          </w:tcPr>
          <w:p>
            <w:pPr/>
          </w:p>
        </w:tc>
      </w:tr>
      <w:tr>
        <w:trPr>
          <w:trHeight w:val="348" w:hRule="exact"/>
        </w:trPr>
        <w:tc>
          <w:tcPr>
            <w:tcW w:w="5004" w:type="dxa"/>
            <w:tcBorders>
              <w:top w:val="single" w:sz="6" w:space="0" w:color="000000"/>
              <w:left w:val="nil" w:sz="6" w:space="0" w:color="auto"/>
              <w:bottom w:val="single" w:sz="6" w:space="0" w:color="000000"/>
              <w:right w:val="nil" w:sz="6" w:space="0" w:color="auto"/>
            </w:tcBorders>
          </w:tcPr>
          <w:p>
            <w:pPr/>
          </w:p>
        </w:tc>
        <w:tc>
          <w:tcPr>
            <w:tcW w:w="3610" w:type="dxa"/>
            <w:tcBorders>
              <w:top w:val="single" w:sz="6" w:space="0" w:color="000000"/>
              <w:left w:val="nil" w:sz="6" w:space="0" w:color="auto"/>
              <w:bottom w:val="single" w:sz="6" w:space="0" w:color="000000"/>
              <w:right w:val="nil" w:sz="6" w:space="0" w:color="auto"/>
            </w:tcBorders>
          </w:tcPr>
          <w:p>
            <w:pPr>
              <w:pStyle w:val="TableParagraph"/>
              <w:spacing w:line="240" w:lineRule="auto" w:before="5"/>
              <w:ind w:left="1410" w:right="0"/>
              <w:jc w:val="left"/>
              <w:rPr>
                <w:rFonts w:ascii="宋体" w:hAnsi="宋体" w:cs="宋体" w:eastAsia="宋体" w:hint="default"/>
                <w:sz w:val="20"/>
                <w:szCs w:val="20"/>
              </w:rPr>
            </w:pPr>
            <w:r>
              <w:rPr>
                <w:rFonts w:ascii="宋体" w:hAnsi="宋体" w:cs="宋体" w:eastAsia="宋体" w:hint="default"/>
                <w:sz w:val="20"/>
                <w:szCs w:val="20"/>
              </w:rPr>
              <w:t>中国注册会计师  张</w:t>
            </w:r>
            <w:r>
              <w:rPr>
                <w:rFonts w:ascii="宋体" w:hAnsi="宋体" w:cs="宋体" w:eastAsia="宋体" w:hint="default"/>
                <w:spacing w:val="19"/>
                <w:sz w:val="20"/>
                <w:szCs w:val="20"/>
              </w:rPr>
              <w:t> </w:t>
            </w:r>
            <w:r>
              <w:rPr>
                <w:rFonts w:ascii="宋体" w:hAnsi="宋体" w:cs="宋体" w:eastAsia="宋体" w:hint="default"/>
                <w:sz w:val="20"/>
                <w:szCs w:val="20"/>
              </w:rPr>
              <w:t>丽</w:t>
            </w:r>
          </w:p>
        </w:tc>
      </w:tr>
      <w:tr>
        <w:trPr>
          <w:trHeight w:val="347" w:hRule="exact"/>
        </w:trPr>
        <w:tc>
          <w:tcPr>
            <w:tcW w:w="5004" w:type="dxa"/>
            <w:tcBorders>
              <w:top w:val="single" w:sz="6" w:space="0" w:color="000000"/>
              <w:left w:val="nil" w:sz="6" w:space="0" w:color="auto"/>
              <w:bottom w:val="single" w:sz="6" w:space="0" w:color="000000"/>
              <w:right w:val="nil" w:sz="6" w:space="0" w:color="auto"/>
            </w:tcBorders>
          </w:tcPr>
          <w:p>
            <w:pPr>
              <w:pStyle w:val="TableParagraph"/>
              <w:spacing w:line="240" w:lineRule="auto" w:before="4"/>
              <w:ind w:right="924"/>
              <w:jc w:val="center"/>
              <w:rPr>
                <w:rFonts w:ascii="宋体" w:hAnsi="宋体" w:cs="宋体" w:eastAsia="宋体" w:hint="default"/>
                <w:sz w:val="20"/>
                <w:szCs w:val="20"/>
              </w:rPr>
            </w:pPr>
            <w:r>
              <w:rPr>
                <w:rFonts w:ascii="宋体" w:hAnsi="宋体" w:cs="宋体" w:eastAsia="宋体" w:hint="default"/>
                <w:sz w:val="20"/>
                <w:szCs w:val="20"/>
              </w:rPr>
              <w:t>二〇一九年三月二十九日</w:t>
            </w:r>
          </w:p>
        </w:tc>
        <w:tc>
          <w:tcPr>
            <w:tcW w:w="3610" w:type="dxa"/>
            <w:tcBorders>
              <w:top w:val="single" w:sz="6" w:space="0" w:color="000000"/>
              <w:left w:val="nil" w:sz="6" w:space="0" w:color="auto"/>
              <w:bottom w:val="single" w:sz="6" w:space="0" w:color="000000"/>
              <w:right w:val="nil" w:sz="6" w:space="0" w:color="auto"/>
            </w:tcBorders>
          </w:tcPr>
          <w:p>
            <w:pPr/>
          </w:p>
        </w:tc>
      </w:tr>
    </w:tbl>
    <w:p>
      <w:pPr>
        <w:spacing w:after="0"/>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二、财务报表" w:id="158"/>
      <w:bookmarkEnd w:id="158"/>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财务附注中报表的单位为：人民币元</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1、合并资产负债表" w:id="159"/>
      <w:bookmarkEnd w:id="159"/>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240" w:lineRule="auto" w:before="44"/>
        <w:ind w:right="-20"/>
        <w:jc w:val="left"/>
      </w:pPr>
      <w:r>
        <w:rPr/>
        <w:t>编制单位：深圳市奥拓电子股份有限公司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0"/>
        <w:ind w:left="153" w:right="-16"/>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w:t>
      </w:r>
      <w:r>
        <w:rPr>
          <w:spacing w:val="-82"/>
        </w:rPr>
        <w:t>：</w:t>
      </w:r>
      <w:r>
        <w:rPr/>
        <w:t>元</w:t>
      </w:r>
    </w:p>
    <w:p>
      <w:pPr>
        <w:spacing w:after="0" w:line="240" w:lineRule="auto"/>
        <w:jc w:val="left"/>
        <w:sectPr>
          <w:type w:val="continuous"/>
          <w:pgSz w:w="11910" w:h="16840"/>
          <w:pgMar w:top="1060" w:bottom="1160" w:left="980" w:right="0"/>
          <w:cols w:num="3" w:equalWidth="0">
            <w:col w:w="3395" w:space="683"/>
            <w:col w:w="1639" w:space="2205"/>
            <w:col w:w="3008"/>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463,500,284.85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328,155,120.71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8"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12,750.00</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869,801,744.37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514,554,374.65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8,269,122.33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869,801,744.37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506,285,252.32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19,076,353.80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21,044,172.48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30,847,606.67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41,170,233.63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341,850.62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152,566.47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233,094,230.84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231,557,258.67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190,589,070.05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195,771,906.45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1,806,922,040.58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1,332,253,066.59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3,556,443.61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1,177,449.00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26,782,166.04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26,528,401.90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161,777,040.12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164,002,912.81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33,872,888.78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32,628,957.77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190,529,767.81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190,529,767.81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3,138,236.64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3,482,989.10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27,114,094.91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24,497,290.87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2,420,383.39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5,370,729.02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462,191,021.30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461,218,498.28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2,269,113,061.88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1,793,471,564.87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8"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376,800.00</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626,534,420.36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319,851,646.30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42,527,082.79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57,832,410.14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36,781,950.91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31,135,578.58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84,070,061.97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67,358,607.99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61,284,582.69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44,883,009.22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365,644.43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140,995.89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1,187,472.00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339,480.00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951,574,898.72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621,061,252.23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16,513,980.73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8,938,440.10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7,273,589.76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2,133,710.12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23,787,570.49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11,072,150.22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975,362,469.21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632,133,402.45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619,214,834.00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611,385,834.00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208,841,224.84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190,445,838.18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35,282,708.10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17,642,220.00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58,527.18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-898,462.10</w:t>
            </w:r>
            <w:r>
              <w:rPr>
                <w:rFonts w:ascii="Times New Roman"/>
                <w:sz w:val="18"/>
              </w:rPr>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47,223,013.84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44,300,266.13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429,684,583.57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314,661,234.52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1,269,739,475.33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1,142,252,490.73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24,011,117.34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19,085,671.69</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94"/>
        <w:gridCol w:w="3407"/>
        <w:gridCol w:w="296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1,293,750,592.67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1,161,338,162.42</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2,269,113,061.88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1,793,471,564.87</w:t>
            </w:r>
          </w:p>
        </w:tc>
      </w:tr>
    </w:tbl>
    <w:p>
      <w:pPr>
        <w:spacing w:line="240" w:lineRule="auto" w:before="3"/>
        <w:rPr>
          <w:rFonts w:ascii="Times New Roman" w:hAnsi="Times New Roman" w:cs="Times New Roman" w:eastAsia="Times New Roman" w:hint="default"/>
          <w:sz w:val="23"/>
          <w:szCs w:val="23"/>
        </w:rPr>
      </w:pPr>
    </w:p>
    <w:p>
      <w:pPr>
        <w:pStyle w:val="BodyText"/>
        <w:tabs>
          <w:tab w:pos="3420" w:val="left" w:leader="none"/>
          <w:tab w:pos="7561" w:val="left" w:leader="none"/>
        </w:tabs>
        <w:spacing w:line="240" w:lineRule="auto" w:before="44"/>
        <w:ind w:left="0" w:right="1229"/>
        <w:jc w:val="right"/>
      </w:pPr>
      <w:r>
        <w:rPr/>
        <w:t>法定代表人：吴涵渠</w:t>
        <w:tab/>
        <w:t>主管会计工作负责人：彭世新</w:t>
        <w:tab/>
        <w:t>会计机构负责人：马秦勇</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2、母公司资产负债表" w:id="160"/>
      <w:bookmarkEnd w:id="160"/>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193,955,577.49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212,774,086.24</w:t>
            </w:r>
          </w:p>
        </w:tc>
      </w:tr>
      <w:tr>
        <w:trPr>
          <w:trHeight w:val="71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12,750.00</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224,411,359.04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153,714,915.86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224,411,359.04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153,714,915.86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7,112,395.52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30,371,356.46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110,557,439.18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9,028,342.34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240,370.43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87,029.70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3,655,406.34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4,646,784.18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118,267,038.54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80,753,389.67</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657,971,966.11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491,288,874.75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677,635,343.32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684,805,643.00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2,138,318.34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2,217,389.90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29,216,258.52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33,807,678.33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5,066,971.12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2,338,320.66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3,138,236.64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3,482,989.10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3,138,505.97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4,421,332.28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1,921,709.30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2,350,057.22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732,255,343.21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743,423,410.49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1,390,227,309.32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1,234,712,285.24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71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376,800.00</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201,684,452.80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93,043,146.25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9,563,226.33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14,948,268.94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6,217,063.89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7,310,429.83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2,036,973.66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7,534,764.10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124,682,379.20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71,958,403.11</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157,571.46</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592,740.00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339,480.00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384,560,895.88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204,795,012.23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4"/>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452,714.99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1,633,466.85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2,373,589.76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2,133,589.76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2,826,304.75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3,767,056.61</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387,387,200.63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208,562,068.84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619,214,834.00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611,385,834.00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4"/>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206,546,194.45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188,150,807.79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35,282,708.10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17,642,220.00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47,223,013.84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44,300,266.13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165,138,774.50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199,955,528.48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1,002,840,108.69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1,026,150,216.40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1,390,227,309.32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1,234,712,285.24</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0"/>
        <w:jc w:val="left"/>
        <w:rPr>
          <w:b w:val="0"/>
          <w:bCs w:val="0"/>
        </w:rPr>
      </w:pPr>
      <w:bookmarkStart w:name="3、合并利润表" w:id="161"/>
      <w:bookmarkEnd w:id="161"/>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1,573,372,443.96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1,041,124,027.40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1,573,372,443.96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1,041,124,027.40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1,385,788,004.61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921,724,428.55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1,045,999,141.67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627,170,127.19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8,655,571.10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12,916,048.74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146,068,015.45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111,409,964.58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71,262,449.54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61,605,159.45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90,029,318.05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67,494,849.69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-3,814,621.97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14,338,023.29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0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6,463,024.92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2,230,870.54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4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2,920,242.74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1,847,028.33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27,588,130.77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26,790,255.61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15,393,206.27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18,399,376.58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3,057,287.69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2,296,333.02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-364,050.00</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-129,061.91</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205,541,821.40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140,095,308.45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1,276,849.78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1,492,221.40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536,823.44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440,379.91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206,281,847.74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141,147,149.94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21,989,089.93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9,768,039.62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184,292,757.81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131,379,110.32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184,292,757.81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131,379,110.32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179,662,312.16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132,014,114.22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4,630,445.65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-635,003.90</w:t>
            </w:r>
            <w:r>
              <w:rPr>
                <w:rFonts w:ascii="Times New Roman"/>
                <w:sz w:val="18"/>
              </w:rPr>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956,989.28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-100,473.67</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956,989.28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-100,473.67</w:t>
            </w:r>
            <w:r>
              <w:rPr>
                <w:rFonts w:ascii="Times New Roman"/>
                <w:sz w:val="18"/>
              </w:rPr>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82"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36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956,989.28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-100,473.67</w:t>
            </w:r>
            <w:r>
              <w:rPr>
                <w:rFonts w:ascii="Times New Roman"/>
                <w:sz w:val="18"/>
              </w:rPr>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6"/>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956,989.28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-100,473.67</w:t>
            </w:r>
            <w:r>
              <w:rPr>
                <w:rFonts w:ascii="Times New Roman"/>
                <w:sz w:val="18"/>
              </w:rPr>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1"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185,249,747.09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131,278,636.65</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 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180,619,301.44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131,913,640.55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4,630,445.65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-635,003.90</w:t>
            </w:r>
            <w:r>
              <w:rPr>
                <w:rFonts w:ascii="Times New Roman"/>
                <w:sz w:val="18"/>
              </w:rPr>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0.22</w:t>
            </w:r>
          </w:p>
        </w:tc>
      </w:tr>
    </w:tbl>
    <w:p>
      <w:pPr>
        <w:pStyle w:val="BodyText"/>
        <w:tabs>
          <w:tab w:pos="3574" w:val="left" w:leader="none"/>
          <w:tab w:pos="7715" w:val="left" w:leader="none"/>
        </w:tabs>
        <w:spacing w:line="592" w:lineRule="auto" w:before="51"/>
        <w:ind w:right="1229"/>
        <w:jc w:val="both"/>
        <w:rPr>
          <w:rFonts w:ascii="宋体" w:hAnsi="宋体" w:cs="宋体" w:eastAsia="宋体" w:hint="default"/>
          <w:sz w:val="21"/>
          <w:szCs w:val="21"/>
        </w:rPr>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法定代表人：吴涵渠</w:t>
        <w:tab/>
        <w:t>主管会计工作负责人：彭世新</w:t>
        <w:tab/>
        <w:t>会计机构负责人：马秦勇 </w:t>
      </w:r>
      <w:bookmarkStart w:name="4、母公司利润表" w:id="162"/>
      <w:bookmarkEnd w:id="162"/>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before="6"/>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5"/>
              <w:jc w:val="right"/>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487,125,075.61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445,039,481.42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385,317,228.27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330,186,466.90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301"/>
              <w:jc w:val="right"/>
              <w:rPr>
                <w:rFonts w:ascii="宋体" w:hAnsi="宋体" w:cs="宋体" w:eastAsia="宋体" w:hint="default"/>
                <w:sz w:val="18"/>
                <w:szCs w:val="18"/>
              </w:rPr>
            </w:pPr>
            <w:r>
              <w:rPr>
                <w:rFonts w:ascii="宋体" w:hAnsi="宋体" w:cs="宋体" w:eastAsia="宋体" w:hint="default"/>
                <w:sz w:val="18"/>
                <w:szCs w:val="18"/>
              </w:rPr>
              <w:t>税金及附加</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2,250,035.65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4,617,332.24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34,719,405.73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31,287,043.75</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34,826,642.62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19,519,844.16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19,195,926.86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20,452,302.08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-9,441,153.20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11,391,319.28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814,663.13</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2,383,812.85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1,607,629.86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-4,662,994.82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5,094,483.76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7,511,339.28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11,694,216.23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480,678.54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1,251,885.85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-364,050.00</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-44,855.32</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32,503,097.00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35,436,791.33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76,990.36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472,424.49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144,482.22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155,221.61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32,435,605.14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35,753,994.21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3,208,128.01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4,067,705.28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29,227,477.13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31,686,288.93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29,227,477.13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31,686,288.93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29,227,477.13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31,686,288.93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0.05</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0"/>
        <w:jc w:val="left"/>
        <w:rPr>
          <w:b w:val="0"/>
          <w:bCs w:val="0"/>
        </w:rPr>
      </w:pPr>
      <w:bookmarkStart w:name="5、合并现金流量表" w:id="163"/>
      <w:bookmarkEnd w:id="163"/>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1,277,176,110.24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888,861,295.39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29,556,012.60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7,890,430.99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35,526,630.99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22,378,241.54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1,342,258,753.83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919,129,967.92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781,849,570.87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579,483,504.05</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188,849,230.87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151,098,739.37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69,697,113.43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52,856,382.34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108,946,749.04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126,334,335.79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1,149,342,664.21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909,772,961.55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192,916,089.62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9,357,006.37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603,900,000.00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48,185,000.00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3,504,100.87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2,037,852.74</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167,478.75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3,377.49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607,571,579.62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50,226,230.23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22,666,128.74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22,731,064.53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595,606,000.00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168,400,000.00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618,272,128.74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266,131,064.53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-10,700,549.12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-215,904,834.30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21,895,000.00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136,523,933.05</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295,000.00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9,418.04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6,016,366.33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121,904,418.04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242,540,299.38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67,106,599.78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42,857,546.14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5,476,928.10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630,740.00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172,583,527.88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68,488,286.14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-50,679,109.84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174,052,013.24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6,724,558.34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-11,718,572.93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138,260,989.00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-44,214,387.62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320,465,466.19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364,679,853.81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458,726,455.19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320,465,466.19</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4"/>
        <w:spacing w:line="240" w:lineRule="auto" w:before="178"/>
        <w:ind w:right="0"/>
        <w:jc w:val="left"/>
        <w:rPr>
          <w:b w:val="0"/>
          <w:bCs w:val="0"/>
        </w:rPr>
      </w:pPr>
      <w:bookmarkStart w:name="6、母公司现金流量表" w:id="164"/>
      <w:bookmarkEnd w:id="164"/>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473,144,624.44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497,947,254.89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15,991,666.38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3,954,657.81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56,054,003.35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31,301,389.04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545,190,294.17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533,203,301.74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318,787,924.75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384,733,095.70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39,894,903.83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38,588,352.38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12,494,170.89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20,156,542.35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114,638,481.19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36,749,820.00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485,815,480.66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480,227,810.43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59,374,813.51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52,975,491.31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80,500,000.00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34,685,000.00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306,486.33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1,236,391.34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167,478.75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1,760.00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12,595,393.00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93,569,358.08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35,923,151.34</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11,336,096.93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12,700,620.02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149,106,000.00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179,770,500.00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160,442,096.93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267,471,120.02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-66,872,738.85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-231,547,968.68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21,600,000.00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136,223,933.05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282.50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5,470,259.75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61,600,282.50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151,694,192.80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61,525,315.07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40,419,575.60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5,476,928.10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630,740.00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77,002,243.17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41,050,315.60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-15,401,960.67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110,643,877.20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4,081,377.26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-10,869,605.85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-18,818,508.75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-78,798,206.02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212,774,086.24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291,572,292.26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193,955,577.49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212,774,086.24</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7、合并所有者权益变动表" w:id="165"/>
      <w:bookmarkEnd w:id="165"/>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本期金额</w:t>
      </w:r>
    </w:p>
    <w:p>
      <w:pPr>
        <w:pStyle w:val="BodyText"/>
        <w:spacing w:line="240" w:lineRule="auto" w:before="117"/>
        <w:ind w:left="0" w:right="1130"/>
        <w:jc w:val="right"/>
      </w:pPr>
      <w:r>
        <w:rPr/>
        <w:t>单位：元</w:t>
      </w:r>
    </w:p>
    <w:p>
      <w:pPr>
        <w:spacing w:after="0" w:line="240" w:lineRule="auto"/>
        <w:jc w:val="right"/>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415"/>
        <w:gridCol w:w="574"/>
        <w:gridCol w:w="530"/>
        <w:gridCol w:w="532"/>
        <w:gridCol w:w="530"/>
        <w:gridCol w:w="665"/>
        <w:gridCol w:w="665"/>
        <w:gridCol w:w="665"/>
        <w:gridCol w:w="665"/>
        <w:gridCol w:w="664"/>
        <w:gridCol w:w="666"/>
        <w:gridCol w:w="665"/>
        <w:gridCol w:w="665"/>
        <w:gridCol w:w="659"/>
      </w:tblGrid>
      <w:tr>
        <w:trPr>
          <w:trHeight w:val="402" w:hRule="exact"/>
        </w:trPr>
        <w:tc>
          <w:tcPr>
            <w:tcW w:w="1415" w:type="dxa"/>
            <w:vMerge w:val="restart"/>
            <w:tcBorders>
              <w:top w:val="single" w:sz="4" w:space="0" w:color="000000"/>
              <w:left w:val="single" w:sz="4" w:space="0" w:color="000000"/>
              <w:right w:val="single" w:sz="4" w:space="0" w:color="000000"/>
            </w:tcBorders>
            <w:shd w:val="clear" w:color="auto" w:fill="D2D2D2"/>
          </w:tcPr>
          <w:p>
            <w:pPr/>
          </w:p>
        </w:tc>
        <w:tc>
          <w:tcPr>
            <w:tcW w:w="8145"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51" w:hRule="exact"/>
        </w:trPr>
        <w:tc>
          <w:tcPr>
            <w:tcW w:w="1415" w:type="dxa"/>
            <w:vMerge/>
            <w:tcBorders>
              <w:left w:val="single" w:sz="4" w:space="0" w:color="000000"/>
              <w:right w:val="single" w:sz="4" w:space="0" w:color="000000"/>
            </w:tcBorders>
            <w:shd w:val="clear" w:color="auto" w:fill="D2D2D2"/>
          </w:tcPr>
          <w:p>
            <w:pPr/>
          </w:p>
        </w:tc>
        <w:tc>
          <w:tcPr>
            <w:tcW w:w="6821"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6821" w:type="dxa"/>
            <w:gridSpan w:val="11"/>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74"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4" w:type="dxa"/>
            <w:tcBorders>
              <w:top w:val="single" w:sz="4" w:space="0" w:color="000000"/>
              <w:left w:val="single" w:sz="4" w:space="0" w:color="000000"/>
              <w:bottom w:val="nil" w:sz="6" w:space="0" w:color="auto"/>
              <w:right w:val="single" w:sz="4" w:space="0" w:color="000000"/>
            </w:tcBorders>
            <w:shd w:val="clear" w:color="auto" w:fill="D2D2D2"/>
          </w:tcPr>
          <w:p>
            <w:pPr/>
          </w:p>
        </w:tc>
        <w:tc>
          <w:tcPr>
            <w:tcW w:w="666"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6"/>
              <w:ind w:left="56" w:right="5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3"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4"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7"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15" w:type="dxa"/>
            <w:vMerge w:val="restart"/>
            <w:tcBorders>
              <w:top w:val="nil" w:sz="6" w:space="0" w:color="auto"/>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5"/>
              <w:ind w:left="10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9"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9" w:hRule="exact"/>
        </w:trPr>
        <w:tc>
          <w:tcPr>
            <w:tcW w:w="1415" w:type="dxa"/>
            <w:vMerge/>
            <w:tcBorders>
              <w:left w:val="single" w:sz="4" w:space="0" w:color="000000"/>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15" w:type="dxa"/>
            <w:vMerge/>
            <w:tcBorders>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4" w:type="dxa"/>
            <w:vMerge/>
            <w:tcBorders>
              <w:left w:val="single" w:sz="4" w:space="0" w:color="000000"/>
              <w:bottom w:val="nil" w:sz="6" w:space="0" w:color="auto"/>
              <w:right w:val="single" w:sz="4" w:space="0" w:color="000000"/>
            </w:tcBorders>
            <w:shd w:val="clear" w:color="auto" w:fill="D2D2D2"/>
          </w:tcPr>
          <w:p>
            <w:pPr/>
          </w:p>
        </w:tc>
        <w:tc>
          <w:tcPr>
            <w:tcW w:w="666"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15"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4" w:type="dxa"/>
            <w:tcBorders>
              <w:top w:val="nil" w:sz="6" w:space="0" w:color="auto"/>
              <w:left w:val="single" w:sz="4" w:space="0" w:color="000000"/>
              <w:bottom w:val="single" w:sz="4" w:space="0" w:color="000000"/>
              <w:right w:val="single" w:sz="4" w:space="0" w:color="000000"/>
            </w:tcBorders>
            <w:shd w:val="clear" w:color="auto" w:fill="D2D2D2"/>
          </w:tcPr>
          <w:p>
            <w:pPr/>
          </w:p>
        </w:tc>
        <w:tc>
          <w:tcPr>
            <w:tcW w:w="666"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611,38</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5,834.</w:t>
            </w:r>
          </w:p>
          <w:p>
            <w:pPr>
              <w:pStyle w:val="TableParagraph"/>
              <w:spacing w:line="240" w:lineRule="auto" w:before="106"/>
              <w:ind w:left="355"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190,445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,838.18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17,642,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220.00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-898,46</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2.10</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44,300,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266.13</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314,661</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,234.52</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19,085,</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671.69</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1,161,3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38,162.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42</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611,38</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5,834.</w:t>
            </w:r>
          </w:p>
          <w:p>
            <w:pPr>
              <w:pStyle w:val="TableParagraph"/>
              <w:spacing w:line="240" w:lineRule="auto" w:before="106"/>
              <w:ind w:left="355"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190,445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,838.18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17,642,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220.00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-898,46</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2.10</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44,300,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266.13</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314,661</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,234.52</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19,085,</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671.69</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1,161,3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38,162.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42</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5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7,829,</w:t>
            </w:r>
          </w:p>
          <w:p>
            <w:pPr>
              <w:pStyle w:val="TableParagraph"/>
              <w:spacing w:line="240" w:lineRule="auto" w:before="106"/>
              <w:ind w:left="35" w:right="0"/>
              <w:jc w:val="left"/>
              <w:rPr>
                <w:rFonts w:ascii="Times New Roman" w:hAnsi="Times New Roman" w:cs="Times New Roman" w:eastAsia="Times New Roman" w:hint="default"/>
                <w:sz w:val="18"/>
                <w:szCs w:val="18"/>
              </w:rPr>
            </w:pPr>
            <w:r>
              <w:rPr>
                <w:rFonts w:ascii="Times New Roman"/>
                <w:sz w:val="18"/>
              </w:rPr>
              <w:t>000.00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18,395,</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386.66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17,640,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488.10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956,989</w:t>
            </w:r>
          </w:p>
          <w:p>
            <w:pPr>
              <w:pStyle w:val="TableParagraph"/>
              <w:spacing w:line="240" w:lineRule="auto" w:before="106"/>
              <w:ind w:left="406" w:right="0"/>
              <w:jc w:val="left"/>
              <w:rPr>
                <w:rFonts w:ascii="Times New Roman" w:hAnsi="Times New Roman" w:cs="Times New Roman" w:eastAsia="Times New Roman" w:hint="default"/>
                <w:sz w:val="18"/>
                <w:szCs w:val="18"/>
              </w:rPr>
            </w:pPr>
            <w:r>
              <w:rPr>
                <w:rFonts w:ascii="Times New Roman"/>
                <w:sz w:val="18"/>
              </w:rPr>
              <w:t>.28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2,922,7</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47.71</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115,023</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,349.05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4,925,4</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45.65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132,412</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,430.25</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956,989</w:t>
            </w:r>
          </w:p>
          <w:p>
            <w:pPr>
              <w:pStyle w:val="TableParagraph"/>
              <w:spacing w:line="240" w:lineRule="auto" w:before="106"/>
              <w:ind w:left="406" w:right="0"/>
              <w:jc w:val="left"/>
              <w:rPr>
                <w:rFonts w:ascii="Times New Roman" w:hAnsi="Times New Roman" w:cs="Times New Roman" w:eastAsia="Times New Roman" w:hint="default"/>
                <w:sz w:val="18"/>
                <w:szCs w:val="18"/>
              </w:rPr>
            </w:pPr>
            <w:r>
              <w:rPr>
                <w:rFonts w:ascii="Times New Roman"/>
                <w:sz w:val="18"/>
              </w:rPr>
              <w:t>.28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179,662</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,312.16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4,630,4</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45.65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185,249</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,747.09</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7,829,</w:t>
            </w:r>
          </w:p>
          <w:p>
            <w:pPr>
              <w:pStyle w:val="TableParagraph"/>
              <w:spacing w:line="240" w:lineRule="auto" w:before="106"/>
              <w:ind w:left="35" w:right="0"/>
              <w:jc w:val="left"/>
              <w:rPr>
                <w:rFonts w:ascii="Times New Roman" w:hAnsi="Times New Roman" w:cs="Times New Roman" w:eastAsia="Times New Roman" w:hint="default"/>
                <w:sz w:val="18"/>
                <w:szCs w:val="18"/>
              </w:rPr>
            </w:pPr>
            <w:r>
              <w:rPr>
                <w:rFonts w:ascii="Times New Roman"/>
                <w:sz w:val="18"/>
              </w:rPr>
              <w:t>000.00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18,395,</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386.66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17,640,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488.10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295,000</w:t>
            </w:r>
          </w:p>
          <w:p>
            <w:pPr>
              <w:pStyle w:val="TableParagraph"/>
              <w:spacing w:line="240" w:lineRule="auto" w:before="106"/>
              <w:ind w:left="406" w:right="0"/>
              <w:jc w:val="left"/>
              <w:rPr>
                <w:rFonts w:ascii="Times New Roman" w:hAnsi="Times New Roman" w:cs="Times New Roman" w:eastAsia="Times New Roman" w:hint="default"/>
                <w:sz w:val="18"/>
                <w:szCs w:val="18"/>
              </w:rPr>
            </w:pPr>
            <w:r>
              <w:rPr>
                <w:rFonts w:ascii="Times New Roman"/>
                <w:sz w:val="18"/>
              </w:rPr>
              <w:t>.00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 w:right="0"/>
              <w:jc w:val="center"/>
              <w:rPr>
                <w:rFonts w:ascii="Times New Roman" w:hAnsi="Times New Roman" w:cs="Times New Roman" w:eastAsia="Times New Roman" w:hint="default"/>
                <w:sz w:val="18"/>
                <w:szCs w:val="18"/>
              </w:rPr>
            </w:pPr>
            <w:r>
              <w:rPr>
                <w:rFonts w:ascii="Times New Roman"/>
                <w:sz w:val="18"/>
              </w:rPr>
              <w:t>8,878,8</w:t>
            </w:r>
          </w:p>
          <w:p>
            <w:pPr>
              <w:pStyle w:val="TableParagraph"/>
              <w:spacing w:line="240" w:lineRule="auto" w:before="106"/>
              <w:ind w:left="197" w:right="0"/>
              <w:jc w:val="center"/>
              <w:rPr>
                <w:rFonts w:ascii="Times New Roman" w:hAnsi="Times New Roman" w:cs="Times New Roman" w:eastAsia="Times New Roman" w:hint="default"/>
                <w:sz w:val="18"/>
                <w:szCs w:val="18"/>
              </w:rPr>
            </w:pPr>
            <w:r>
              <w:rPr>
                <w:rFonts w:ascii="Times New Roman"/>
                <w:sz w:val="18"/>
              </w:rPr>
              <w:t>98.56</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8,000,</w:t>
            </w:r>
          </w:p>
          <w:p>
            <w:pPr>
              <w:pStyle w:val="TableParagraph"/>
              <w:spacing w:line="240" w:lineRule="auto" w:before="106"/>
              <w:ind w:left="35" w:right="0"/>
              <w:jc w:val="left"/>
              <w:rPr>
                <w:rFonts w:ascii="Times New Roman" w:hAnsi="Times New Roman" w:cs="Times New Roman" w:eastAsia="Times New Roman" w:hint="default"/>
                <w:sz w:val="18"/>
                <w:szCs w:val="18"/>
              </w:rPr>
            </w:pPr>
            <w:r>
              <w:rPr>
                <w:rFonts w:ascii="Times New Roman"/>
                <w:sz w:val="18"/>
              </w:rPr>
              <w:t>000.00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13,600,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295,000</w:t>
            </w:r>
          </w:p>
          <w:p>
            <w:pPr>
              <w:pStyle w:val="TableParagraph"/>
              <w:spacing w:line="240" w:lineRule="auto" w:before="106"/>
              <w:ind w:left="406" w:right="0"/>
              <w:jc w:val="left"/>
              <w:rPr>
                <w:rFonts w:ascii="Times New Roman" w:hAnsi="Times New Roman" w:cs="Times New Roman" w:eastAsia="Times New Roman" w:hint="default"/>
                <w:sz w:val="18"/>
                <w:szCs w:val="18"/>
              </w:rPr>
            </w:pPr>
            <w:r>
              <w:rPr>
                <w:rFonts w:ascii="Times New Roman"/>
                <w:sz w:val="18"/>
              </w:rPr>
              <w:t>.00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21,895,</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-171,0</w:t>
            </w:r>
          </w:p>
          <w:p>
            <w:pPr>
              <w:pStyle w:val="TableParagraph"/>
              <w:spacing w:line="240" w:lineRule="auto" w:before="106"/>
              <w:ind w:left="125"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4,795,3</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86.66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17,640,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488.10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-13,016,</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101.44</w:t>
            </w: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2,922,7</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47.71</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-64,638,</w:t>
            </w:r>
          </w:p>
          <w:p>
            <w:pPr>
              <w:pStyle w:val="TableParagraph"/>
              <w:spacing w:line="240" w:lineRule="auto" w:before="106"/>
              <w:ind w:left="118" w:right="0"/>
              <w:jc w:val="center"/>
              <w:rPr>
                <w:rFonts w:ascii="Times New Roman" w:hAnsi="Times New Roman" w:cs="Times New Roman" w:eastAsia="Times New Roman" w:hint="default"/>
                <w:sz w:val="18"/>
                <w:szCs w:val="18"/>
              </w:rPr>
            </w:pPr>
            <w:r>
              <w:rPr>
                <w:rFonts w:ascii="Times New Roman"/>
                <w:sz w:val="18"/>
              </w:rPr>
              <w:t>963.11</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-61,716,</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215.40</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2,922,7</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47.71</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-2,922,7</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47.71</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36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-61,716,</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215.40</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-61,716,</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215.40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619,21</w:t>
            </w:r>
          </w:p>
          <w:p>
            <w:pPr>
              <w:pStyle w:val="TableParagraph"/>
              <w:spacing w:line="240" w:lineRule="auto" w:before="104"/>
              <w:ind w:left="80" w:right="0"/>
              <w:jc w:val="left"/>
              <w:rPr>
                <w:rFonts w:ascii="Times New Roman" w:hAnsi="Times New Roman" w:cs="Times New Roman" w:eastAsia="Times New Roman" w:hint="default"/>
                <w:sz w:val="18"/>
                <w:szCs w:val="18"/>
              </w:rPr>
            </w:pPr>
            <w:r>
              <w:rPr>
                <w:rFonts w:ascii="Times New Roman"/>
                <w:sz w:val="18"/>
              </w:rPr>
              <w:t>4,834.</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208,841</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,224.84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35,282,</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708.10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58,527.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47,223,</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013.84</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429,684</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,583.57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24,011,</w:t>
            </w:r>
          </w:p>
          <w:p>
            <w:pPr>
              <w:pStyle w:val="TableParagraph"/>
              <w:spacing w:line="240" w:lineRule="auto" w:before="105"/>
              <w:ind w:left="142" w:right="0"/>
              <w:jc w:val="left"/>
              <w:rPr>
                <w:rFonts w:ascii="Times New Roman" w:hAnsi="Times New Roman" w:cs="Times New Roman" w:eastAsia="Times New Roman" w:hint="default"/>
                <w:sz w:val="18"/>
                <w:szCs w:val="18"/>
              </w:rPr>
            </w:pPr>
            <w:r>
              <w:rPr>
                <w:rFonts w:ascii="Times New Roman"/>
                <w:sz w:val="18"/>
              </w:rPr>
              <w:t>117.34</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1,293,7</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50,592.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67</w:t>
            </w:r>
          </w:p>
        </w:tc>
      </w:tr>
    </w:tbl>
    <w:p>
      <w:pPr>
        <w:pStyle w:val="BodyText"/>
        <w:spacing w:line="240" w:lineRule="auto" w:before="51"/>
        <w:ind w:right="0"/>
        <w:jc w:val="left"/>
      </w:pPr>
      <w:r>
        <w:rPr/>
        <w:t>上期金额</w:t>
      </w:r>
    </w:p>
    <w:p>
      <w:pPr>
        <w:pStyle w:val="BodyText"/>
        <w:spacing w:line="240" w:lineRule="auto" w:before="117"/>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27"/>
        <w:gridCol w:w="562"/>
        <w:gridCol w:w="530"/>
        <w:gridCol w:w="532"/>
        <w:gridCol w:w="530"/>
        <w:gridCol w:w="665"/>
        <w:gridCol w:w="665"/>
        <w:gridCol w:w="665"/>
        <w:gridCol w:w="665"/>
        <w:gridCol w:w="665"/>
        <w:gridCol w:w="665"/>
        <w:gridCol w:w="678"/>
        <w:gridCol w:w="652"/>
        <w:gridCol w:w="659"/>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1" w:hRule="exact"/>
        </w:trPr>
        <w:tc>
          <w:tcPr>
            <w:tcW w:w="1427" w:type="dxa"/>
            <w:vMerge/>
            <w:tcBorders>
              <w:left w:val="single" w:sz="4" w:space="0" w:color="000000"/>
              <w:right w:val="single" w:sz="4" w:space="0" w:color="000000"/>
            </w:tcBorders>
            <w:shd w:val="clear" w:color="auto" w:fill="D2D2D2"/>
          </w:tcPr>
          <w:p>
            <w:pPr/>
          </w:p>
        </w:tc>
        <w:tc>
          <w:tcPr>
            <w:tcW w:w="6822"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822" w:type="dxa"/>
            <w:gridSpan w:val="11"/>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8" w:type="dxa"/>
            <w:tcBorders>
              <w:top w:val="single" w:sz="4" w:space="0" w:color="000000"/>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6"/>
              <w:ind w:left="50" w:right="49"/>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3"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7"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53" w:right="6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4"/>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1" w:right="7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9" w:hRule="exact"/>
        </w:trPr>
        <w:tc>
          <w:tcPr>
            <w:tcW w:w="1427"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27"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78" w:type="dxa"/>
            <w:vMerge/>
            <w:tcBorders>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8" w:type="dxa"/>
            <w:tcBorders>
              <w:top w:val="nil" w:sz="6" w:space="0" w:color="auto"/>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396,78</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3,995.</w:t>
            </w:r>
          </w:p>
          <w:p>
            <w:pPr>
              <w:pStyle w:val="TableParagraph"/>
              <w:spacing w:line="240" w:lineRule="auto" w:before="106"/>
              <w:ind w:left="342"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259,911</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,196.58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28,377,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600.00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-797,98</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8.43</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41,131,</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637.24</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226,574</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,804.79</w:t>
            </w:r>
          </w:p>
        </w:tc>
        <w:tc>
          <w:tcPr>
            <w:tcW w:w="65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4,388,4</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73.56</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899,614</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,518.74</w:t>
            </w:r>
          </w:p>
        </w:tc>
      </w:tr>
      <w:tr>
        <w:trPr>
          <w:trHeight w:val="392"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731" w:right="0"/>
              <w:jc w:val="left"/>
              <w:rPr>
                <w:rFonts w:ascii="宋体" w:hAnsi="宋体" w:cs="宋体" w:eastAsia="宋体" w:hint="default"/>
                <w:sz w:val="18"/>
                <w:szCs w:val="18"/>
              </w:rPr>
            </w:pPr>
            <w:r>
              <w:rPr>
                <w:rFonts w:ascii="宋体" w:hAnsi="宋体" w:cs="宋体" w:eastAsia="宋体" w:hint="default"/>
                <w:sz w:val="18"/>
                <w:szCs w:val="18"/>
              </w:rPr>
              <w:t>同一控</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制下企业合并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396,78</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3,995.</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259,911</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,196.58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28,377,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600.00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-797,98</w:t>
            </w:r>
          </w:p>
          <w:p>
            <w:pPr>
              <w:pStyle w:val="TableParagraph"/>
              <w:spacing w:line="240" w:lineRule="auto" w:before="105"/>
              <w:ind w:left="316" w:right="0"/>
              <w:jc w:val="left"/>
              <w:rPr>
                <w:rFonts w:ascii="Times New Roman" w:hAnsi="Times New Roman" w:cs="Times New Roman" w:eastAsia="Times New Roman" w:hint="default"/>
                <w:sz w:val="18"/>
                <w:szCs w:val="18"/>
              </w:rPr>
            </w:pPr>
            <w:r>
              <w:rPr>
                <w:rFonts w:ascii="Times New Roman"/>
                <w:sz w:val="18"/>
              </w:rPr>
              <w:t>8.43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41,131,</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637.24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226,574</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,804.79</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4,388,4</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73.56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899,614</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,518.74</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214,60</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1,839.</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-69,465,</w:t>
            </w:r>
          </w:p>
          <w:p>
            <w:pPr>
              <w:pStyle w:val="TableParagraph"/>
              <w:spacing w:line="240" w:lineRule="auto" w:before="105"/>
              <w:ind w:left="115" w:right="0"/>
              <w:jc w:val="center"/>
              <w:rPr>
                <w:rFonts w:ascii="Times New Roman" w:hAnsi="Times New Roman" w:cs="Times New Roman" w:eastAsia="Times New Roman" w:hint="default"/>
                <w:sz w:val="18"/>
                <w:szCs w:val="18"/>
              </w:rPr>
            </w:pPr>
            <w:r>
              <w:rPr>
                <w:rFonts w:ascii="Times New Roman"/>
                <w:sz w:val="18"/>
              </w:rPr>
              <w:t>358.40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-10,735,</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380.00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-100,47</w:t>
            </w:r>
          </w:p>
          <w:p>
            <w:pPr>
              <w:pStyle w:val="TableParagraph"/>
              <w:spacing w:line="240" w:lineRule="auto" w:before="105"/>
              <w:ind w:left="316" w:right="0"/>
              <w:jc w:val="left"/>
              <w:rPr>
                <w:rFonts w:ascii="Times New Roman" w:hAnsi="Times New Roman" w:cs="Times New Roman" w:eastAsia="Times New Roman" w:hint="default"/>
                <w:sz w:val="18"/>
                <w:szCs w:val="18"/>
              </w:rPr>
            </w:pPr>
            <w:r>
              <w:rPr>
                <w:rFonts w:ascii="Times New Roman"/>
                <w:sz w:val="18"/>
              </w:rPr>
              <w:t>3.67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28.89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88,086,</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429.73</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14,697,</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198.13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261,723</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,643.68</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-100,47</w:t>
            </w:r>
          </w:p>
          <w:p>
            <w:pPr>
              <w:pStyle w:val="TableParagraph"/>
              <w:spacing w:line="240" w:lineRule="auto" w:before="105"/>
              <w:ind w:left="316" w:right="0"/>
              <w:jc w:val="left"/>
              <w:rPr>
                <w:rFonts w:ascii="Times New Roman" w:hAnsi="Times New Roman" w:cs="Times New Roman" w:eastAsia="Times New Roman" w:hint="default"/>
                <w:sz w:val="18"/>
                <w:szCs w:val="18"/>
              </w:rPr>
            </w:pPr>
            <w:r>
              <w:rPr>
                <w:rFonts w:ascii="Times New Roman"/>
                <w:sz w:val="18"/>
              </w:rPr>
              <w:t>3.67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132,014</w:t>
            </w:r>
          </w:p>
          <w:p>
            <w:pPr>
              <w:pStyle w:val="TableParagraph"/>
              <w:spacing w:line="240" w:lineRule="auto" w:before="105"/>
              <w:ind w:left="111" w:right="0"/>
              <w:jc w:val="left"/>
              <w:rPr>
                <w:rFonts w:ascii="Times New Roman" w:hAnsi="Times New Roman" w:cs="Times New Roman" w:eastAsia="Times New Roman" w:hint="default"/>
                <w:sz w:val="18"/>
                <w:szCs w:val="18"/>
              </w:rPr>
            </w:pPr>
            <w:r>
              <w:rPr>
                <w:rFonts w:ascii="Times New Roman"/>
                <w:sz w:val="18"/>
              </w:rPr>
              <w:t>,114.22</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-635,00</w:t>
            </w:r>
          </w:p>
          <w:p>
            <w:pPr>
              <w:pStyle w:val="TableParagraph"/>
              <w:spacing w:line="240" w:lineRule="auto" w:before="105"/>
              <w:ind w:left="304" w:right="0"/>
              <w:jc w:val="left"/>
              <w:rPr>
                <w:rFonts w:ascii="Times New Roman" w:hAnsi="Times New Roman" w:cs="Times New Roman" w:eastAsia="Times New Roman" w:hint="default"/>
                <w:sz w:val="18"/>
                <w:szCs w:val="18"/>
              </w:rPr>
            </w:pPr>
            <w:r>
              <w:rPr>
                <w:rFonts w:ascii="Times New Roman"/>
                <w:sz w:val="18"/>
              </w:rPr>
              <w:t>3.90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131,278</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,636.65</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10,928</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,561.0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134,838</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,659.60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-10,735,</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380.00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15,332,</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202.03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171,834</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,802.63</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10,928</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,561.0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125,408</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,579.60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15,332,</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202.03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151,669</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,342.63</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9,430,0</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80.00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-10,735,</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380.00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20,165,</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460.00</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28.89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-43,927,</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684.49</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-40,759,</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055.60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28.89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28.89</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-40,759,</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055.60</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-40,759,</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055.60</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203,79</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5,278.</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-203,79</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5,278.0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203,79</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5,278.</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-203,79</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5,278.0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left"/>
              <w:rPr>
                <w:rFonts w:ascii="Times New Roman" w:hAnsi="Times New Roman" w:cs="Times New Roman" w:eastAsia="Times New Roman" w:hint="default"/>
                <w:sz w:val="18"/>
                <w:szCs w:val="18"/>
              </w:rPr>
            </w:pPr>
            <w:r>
              <w:rPr>
                <w:rFonts w:ascii="Times New Roman"/>
                <w:sz w:val="18"/>
              </w:rPr>
              <w:t>-122,0</w:t>
            </w:r>
          </w:p>
          <w:p>
            <w:pPr>
              <w:pStyle w:val="TableParagraph"/>
              <w:spacing w:line="240" w:lineRule="auto" w:before="106"/>
              <w:ind w:left="125"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 w:right="0"/>
              <w:jc w:val="left"/>
              <w:rPr>
                <w:rFonts w:ascii="Times New Roman" w:hAnsi="Times New Roman" w:cs="Times New Roman" w:eastAsia="Times New Roman" w:hint="default"/>
                <w:sz w:val="18"/>
                <w:szCs w:val="18"/>
              </w:rPr>
            </w:pPr>
            <w:r>
              <w:rPr>
                <w:rFonts w:ascii="Times New Roman"/>
                <w:sz w:val="18"/>
              </w:rPr>
              <w:t>-508,74</w:t>
            </w:r>
          </w:p>
          <w:p>
            <w:pPr>
              <w:pStyle w:val="TableParagraph"/>
              <w:spacing w:line="240" w:lineRule="auto" w:before="106"/>
              <w:ind w:left="318"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left"/>
              <w:rPr>
                <w:rFonts w:ascii="Times New Roman" w:hAnsi="Times New Roman" w:cs="Times New Roman" w:eastAsia="Times New Roman" w:hint="default"/>
                <w:sz w:val="18"/>
                <w:szCs w:val="18"/>
              </w:rPr>
            </w:pPr>
            <w:r>
              <w:rPr>
                <w:rFonts w:ascii="Times New Roman"/>
                <w:sz w:val="18"/>
              </w:rPr>
              <w:t>-630,74</w:t>
            </w:r>
          </w:p>
          <w:p>
            <w:pPr>
              <w:pStyle w:val="TableParagraph"/>
              <w:spacing w:line="240" w:lineRule="auto" w:before="106"/>
              <w:ind w:left="310" w:right="0"/>
              <w:jc w:val="left"/>
              <w:rPr>
                <w:rFonts w:ascii="Times New Roman" w:hAnsi="Times New Roman" w:cs="Times New Roman" w:eastAsia="Times New Roman" w:hint="default"/>
                <w:sz w:val="18"/>
                <w:szCs w:val="18"/>
              </w:rPr>
            </w:pPr>
            <w:r>
              <w:rPr>
                <w:rFonts w:ascii="Times New Roman"/>
                <w:sz w:val="18"/>
              </w:rPr>
              <w:t>0.00</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left"/>
              <w:rPr>
                <w:rFonts w:ascii="Times New Roman" w:hAnsi="Times New Roman" w:cs="Times New Roman" w:eastAsia="Times New Roman" w:hint="default"/>
                <w:sz w:val="18"/>
                <w:szCs w:val="18"/>
              </w:rPr>
            </w:pPr>
            <w:r>
              <w:rPr>
                <w:rFonts w:ascii="Times New Roman"/>
                <w:sz w:val="18"/>
              </w:rPr>
              <w:t>611,38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5,834.</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190,445</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,838.18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17,642,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220.00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-898,46</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2.10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44,300,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266.13</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314,661</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,234.52</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19,085,</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671.69</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1,161,3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38,162.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42</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0"/>
        <w:jc w:val="left"/>
        <w:rPr>
          <w:b w:val="0"/>
          <w:bCs w:val="0"/>
        </w:rPr>
      </w:pPr>
      <w:bookmarkStart w:name="8、母公司所有者权益变动表" w:id="166"/>
      <w:bookmarkEnd w:id="166"/>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本期金额</w:t>
      </w:r>
    </w:p>
    <w:p>
      <w:pPr>
        <w:pStyle w:val="BodyText"/>
        <w:spacing w:line="240" w:lineRule="auto" w:before="117"/>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18"/>
        <w:gridCol w:w="703"/>
        <w:gridCol w:w="665"/>
        <w:gridCol w:w="665"/>
        <w:gridCol w:w="665"/>
        <w:gridCol w:w="797"/>
        <w:gridCol w:w="798"/>
        <w:gridCol w:w="798"/>
        <w:gridCol w:w="798"/>
        <w:gridCol w:w="797"/>
        <w:gridCol w:w="676"/>
        <w:gridCol w:w="781"/>
      </w:tblGrid>
      <w:tr>
        <w:trPr>
          <w:trHeight w:val="398"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0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1" w:hRule="exact"/>
        </w:trPr>
        <w:tc>
          <w:tcPr>
            <w:tcW w:w="1418" w:type="dxa"/>
            <w:vMerge/>
            <w:tcBorders>
              <w:left w:val="single" w:sz="4" w:space="0" w:color="000000"/>
              <w:bottom w:val="nil" w:sz="6" w:space="0" w:color="auto"/>
              <w:right w:val="single" w:sz="4" w:space="0" w:color="000000"/>
            </w:tcBorders>
            <w:shd w:val="clear" w:color="auto" w:fill="D2D2D2"/>
          </w:tcPr>
          <w:p>
            <w:pPr/>
          </w:p>
        </w:tc>
        <w:tc>
          <w:tcPr>
            <w:tcW w:w="70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2" w:hRule="exact"/>
        </w:trPr>
        <w:tc>
          <w:tcPr>
            <w:tcW w:w="1418" w:type="dxa"/>
            <w:vMerge w:val="restart"/>
            <w:tcBorders>
              <w:top w:val="nil" w:sz="6" w:space="0" w:color="auto"/>
              <w:left w:val="single" w:sz="4" w:space="0" w:color="000000"/>
              <w:right w:val="single" w:sz="4" w:space="0" w:color="000000"/>
            </w:tcBorders>
            <w:shd w:val="clear" w:color="auto" w:fill="D2D2D2"/>
          </w:tcPr>
          <w:p>
            <w:pPr/>
          </w:p>
        </w:tc>
        <w:tc>
          <w:tcPr>
            <w:tcW w:w="703"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5" w:hRule="exact"/>
        </w:trPr>
        <w:tc>
          <w:tcPr>
            <w:tcW w:w="1418" w:type="dxa"/>
            <w:vMerge/>
            <w:tcBorders>
              <w:left w:val="single" w:sz="4" w:space="0" w:color="000000"/>
              <w:bottom w:val="single" w:sz="4" w:space="0" w:color="000000"/>
              <w:right w:val="single" w:sz="4" w:space="0" w:color="000000"/>
            </w:tcBorders>
            <w:shd w:val="clear" w:color="auto" w:fill="D2D2D2"/>
          </w:tcPr>
          <w:p>
            <w:pPr/>
          </w:p>
        </w:tc>
        <w:tc>
          <w:tcPr>
            <w:tcW w:w="70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91"/>
              <w:ind w:left="15" w:right="0"/>
              <w:jc w:val="center"/>
              <w:rPr>
                <w:rFonts w:ascii="Times New Roman" w:hAnsi="Times New Roman" w:cs="Times New Roman" w:eastAsia="Times New Roman" w:hint="default"/>
                <w:sz w:val="18"/>
                <w:szCs w:val="18"/>
              </w:rPr>
            </w:pPr>
            <w:r>
              <w:rPr>
                <w:rFonts w:ascii="Times New Roman"/>
                <w:sz w:val="18"/>
              </w:rPr>
              <w:t>611,385,</w:t>
            </w:r>
          </w:p>
          <w:p>
            <w:pPr>
              <w:pStyle w:val="TableParagraph"/>
              <w:spacing w:line="240" w:lineRule="auto" w:before="106"/>
              <w:ind w:left="144" w:right="0"/>
              <w:jc w:val="center"/>
              <w:rPr>
                <w:rFonts w:ascii="Times New Roman" w:hAnsi="Times New Roman" w:cs="Times New Roman" w:eastAsia="Times New Roman" w:hint="default"/>
                <w:sz w:val="18"/>
                <w:szCs w:val="18"/>
              </w:rPr>
            </w:pPr>
            <w:r>
              <w:rPr>
                <w:rFonts w:ascii="Times New Roman"/>
                <w:sz w:val="18"/>
              </w:rPr>
              <w:t>834.00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188,150,8</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07.79</w:t>
            </w:r>
          </w:p>
        </w:tc>
        <w:tc>
          <w:tcPr>
            <w:tcW w:w="798" w:type="dxa"/>
            <w:vMerge w:val="restart"/>
            <w:tcBorders>
              <w:top w:val="single" w:sz="18" w:space="0" w:color="D2D2D2"/>
              <w:left w:val="single" w:sz="4" w:space="0" w:color="000000"/>
              <w:right w:val="single" w:sz="4" w:space="0" w:color="000000"/>
            </w:tcBorders>
          </w:tcPr>
          <w:p>
            <w:pPr>
              <w:pStyle w:val="TableParagraph"/>
              <w:spacing w:line="240" w:lineRule="auto" w:before="73"/>
              <w:ind w:left="45" w:right="0"/>
              <w:jc w:val="left"/>
              <w:rPr>
                <w:rFonts w:ascii="Times New Roman" w:hAnsi="Times New Roman" w:cs="Times New Roman" w:eastAsia="Times New Roman" w:hint="default"/>
                <w:sz w:val="18"/>
                <w:szCs w:val="18"/>
              </w:rPr>
            </w:pPr>
            <w:r>
              <w:rPr>
                <w:rFonts w:ascii="Times New Roman"/>
                <w:sz w:val="18"/>
              </w:rPr>
              <w:t>17,642,22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vMerge w:val="restart"/>
            <w:tcBorders>
              <w:top w:val="single" w:sz="18" w:space="0" w:color="D2D2D2"/>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44,300,26</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6.13</w:t>
            </w:r>
          </w:p>
        </w:tc>
        <w:tc>
          <w:tcPr>
            <w:tcW w:w="676" w:type="dxa"/>
            <w:vMerge w:val="restart"/>
            <w:tcBorders>
              <w:top w:val="single" w:sz="18" w:space="0" w:color="D2D2D2"/>
              <w:left w:val="single" w:sz="4" w:space="0" w:color="000000"/>
              <w:right w:val="single" w:sz="4" w:space="0" w:color="000000"/>
            </w:tcBorders>
          </w:tcPr>
          <w:p>
            <w:pPr>
              <w:pStyle w:val="TableParagraph"/>
              <w:spacing w:line="240" w:lineRule="auto" w:before="73"/>
              <w:ind w:left="58" w:right="0"/>
              <w:jc w:val="left"/>
              <w:rPr>
                <w:rFonts w:ascii="Times New Roman" w:hAnsi="Times New Roman" w:cs="Times New Roman" w:eastAsia="Times New Roman" w:hint="default"/>
                <w:sz w:val="18"/>
                <w:szCs w:val="18"/>
              </w:rPr>
            </w:pPr>
            <w:r>
              <w:rPr>
                <w:rFonts w:ascii="Times New Roman"/>
                <w:sz w:val="18"/>
              </w:rPr>
              <w:t>199,955</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,528.48</w:t>
            </w:r>
          </w:p>
        </w:tc>
        <w:tc>
          <w:tcPr>
            <w:tcW w:w="781" w:type="dxa"/>
            <w:vMerge w:val="restart"/>
            <w:tcBorders>
              <w:top w:val="single" w:sz="18" w:space="0" w:color="D2D2D2"/>
              <w:left w:val="single" w:sz="4" w:space="0" w:color="000000"/>
              <w:right w:val="single" w:sz="4" w:space="0" w:color="000000"/>
            </w:tcBorders>
          </w:tcPr>
          <w:p>
            <w:pPr>
              <w:pStyle w:val="TableParagraph"/>
              <w:spacing w:line="240" w:lineRule="auto" w:before="73"/>
              <w:ind w:left="4" w:right="0"/>
              <w:jc w:val="center"/>
              <w:rPr>
                <w:rFonts w:ascii="Times New Roman" w:hAnsi="Times New Roman" w:cs="Times New Roman" w:eastAsia="Times New Roman" w:hint="default"/>
                <w:sz w:val="18"/>
                <w:szCs w:val="18"/>
              </w:rPr>
            </w:pPr>
            <w:r>
              <w:rPr>
                <w:rFonts w:ascii="Times New Roman"/>
                <w:sz w:val="18"/>
              </w:rPr>
              <w:t>1,026,150</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,216.40</w:t>
            </w: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91"/>
              <w:ind w:left="15" w:right="0"/>
              <w:jc w:val="center"/>
              <w:rPr>
                <w:rFonts w:ascii="Times New Roman" w:hAnsi="Times New Roman" w:cs="Times New Roman" w:eastAsia="Times New Roman" w:hint="default"/>
                <w:sz w:val="18"/>
                <w:szCs w:val="18"/>
              </w:rPr>
            </w:pPr>
            <w:r>
              <w:rPr>
                <w:rFonts w:ascii="Times New Roman"/>
                <w:sz w:val="18"/>
              </w:rPr>
              <w:t>611,385,</w:t>
            </w:r>
          </w:p>
          <w:p>
            <w:pPr>
              <w:pStyle w:val="TableParagraph"/>
              <w:spacing w:line="240" w:lineRule="auto" w:before="106"/>
              <w:ind w:left="144" w:right="0"/>
              <w:jc w:val="center"/>
              <w:rPr>
                <w:rFonts w:ascii="Times New Roman" w:hAnsi="Times New Roman" w:cs="Times New Roman" w:eastAsia="Times New Roman" w:hint="default"/>
                <w:sz w:val="18"/>
                <w:szCs w:val="18"/>
              </w:rPr>
            </w:pPr>
            <w:r>
              <w:rPr>
                <w:rFonts w:ascii="Times New Roman"/>
                <w:sz w:val="18"/>
              </w:rPr>
              <w:t>834.00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188,150,8</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07.79</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17,642,22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44,300,26</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6.13</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199,955</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,528.48</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1,026,150</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,216.40</w:t>
            </w: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7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7,829,00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18,395,38</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6.66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17,640,48</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8.10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2,922,747</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.71</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 w:right="0"/>
              <w:jc w:val="center"/>
              <w:rPr>
                <w:rFonts w:ascii="Times New Roman" w:hAnsi="Times New Roman" w:cs="Times New Roman" w:eastAsia="Times New Roman" w:hint="default"/>
                <w:sz w:val="18"/>
                <w:szCs w:val="18"/>
              </w:rPr>
            </w:pPr>
            <w:r>
              <w:rPr>
                <w:rFonts w:ascii="Times New Roman"/>
                <w:sz w:val="18"/>
              </w:rPr>
              <w:t>-34,816,</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753.98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-23,310,1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07.71</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29,227,</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477.13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29,227,47</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7.13</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7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7,829,00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18,395,38</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6.66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17,640,48</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8.10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8,583,898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.56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8,000,00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13,600,00</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21,600,00</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-171,00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4,795,386</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.66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17,640,48</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8.10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-13,016,1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01.44</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2,922,747</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.71</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-64,044,</w:t>
            </w:r>
          </w:p>
          <w:p>
            <w:pPr>
              <w:pStyle w:val="TableParagraph"/>
              <w:spacing w:line="240" w:lineRule="auto" w:before="106"/>
              <w:ind w:left="131" w:right="0"/>
              <w:jc w:val="center"/>
              <w:rPr>
                <w:rFonts w:ascii="Times New Roman" w:hAnsi="Times New Roman" w:cs="Times New Roman" w:eastAsia="Times New Roman" w:hint="default"/>
                <w:sz w:val="18"/>
                <w:szCs w:val="18"/>
              </w:rPr>
            </w:pPr>
            <w:r>
              <w:rPr>
                <w:rFonts w:ascii="Times New Roman"/>
                <w:sz w:val="18"/>
              </w:rPr>
              <w:t>231.11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-61,121,4</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83.40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2,922,747</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.71</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-2,922,7</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47.71</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-61,121,</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483.40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-61,121,4</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83.40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619,214,</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834.00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206,546,1</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94.45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35,282,70</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8.10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47,223,01</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3.84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165,138</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,774.50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1,002,840</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,108.69</w:t>
            </w:r>
          </w:p>
        </w:tc>
      </w:tr>
    </w:tbl>
    <w:p>
      <w:pPr>
        <w:pStyle w:val="BodyText"/>
        <w:spacing w:line="240" w:lineRule="auto" w:before="51"/>
        <w:ind w:right="0"/>
        <w:jc w:val="left"/>
      </w:pPr>
      <w:r>
        <w:rPr/>
        <w:t>上期金额</w:t>
      </w:r>
    </w:p>
    <w:p>
      <w:pPr>
        <w:pStyle w:val="BodyText"/>
        <w:spacing w:line="240" w:lineRule="auto" w:before="117"/>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1995"/>
        <w:gridCol w:w="797"/>
        <w:gridCol w:w="798"/>
        <w:gridCol w:w="798"/>
        <w:gridCol w:w="798"/>
        <w:gridCol w:w="797"/>
        <w:gridCol w:w="676"/>
        <w:gridCol w:w="781"/>
      </w:tblGrid>
      <w:tr>
        <w:trPr>
          <w:trHeight w:val="401" w:hRule="exact"/>
        </w:trPr>
        <w:tc>
          <w:tcPr>
            <w:tcW w:w="14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1"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3"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4" w:right="0"/>
              <w:jc w:val="left"/>
              <w:rPr>
                <w:rFonts w:ascii="宋体" w:hAnsi="宋体" w:cs="宋体" w:eastAsia="宋体" w:hint="default"/>
                <w:sz w:val="18"/>
                <w:szCs w:val="18"/>
              </w:rPr>
            </w:pPr>
            <w:r>
              <w:rPr>
                <w:rFonts w:ascii="宋体" w:hAnsi="宋体" w:cs="宋体" w:eastAsia="宋体" w:hint="default"/>
                <w:sz w:val="18"/>
                <w:szCs w:val="18"/>
              </w:rPr>
              <w:t>减：库存</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4" w:right="0"/>
              <w:jc w:val="left"/>
              <w:rPr>
                <w:rFonts w:ascii="宋体" w:hAnsi="宋体" w:cs="宋体" w:eastAsia="宋体" w:hint="default"/>
                <w:sz w:val="18"/>
                <w:szCs w:val="18"/>
              </w:rPr>
            </w:pPr>
            <w:r>
              <w:rPr>
                <w:rFonts w:ascii="宋体" w:hAnsi="宋体" w:cs="宋体" w:eastAsia="宋体" w:hint="default"/>
                <w:sz w:val="18"/>
                <w:szCs w:val="18"/>
              </w:rPr>
              <w:t>其他综合</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62" w:right="0"/>
              <w:jc w:val="left"/>
              <w:rPr>
                <w:rFonts w:ascii="宋体" w:hAnsi="宋体" w:cs="宋体" w:eastAsia="宋体" w:hint="default"/>
                <w:sz w:val="18"/>
                <w:szCs w:val="18"/>
              </w:rPr>
            </w:pPr>
            <w:r>
              <w:rPr>
                <w:rFonts w:ascii="宋体" w:hAnsi="宋体" w:cs="宋体" w:eastAsia="宋体" w:hint="default"/>
                <w:sz w:val="18"/>
                <w:szCs w:val="18"/>
              </w:rPr>
              <w:t>未分配</w:t>
            </w:r>
          </w:p>
        </w:tc>
        <w:tc>
          <w:tcPr>
            <w:tcW w:w="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5" w:right="0"/>
              <w:jc w:val="left"/>
              <w:rPr>
                <w:rFonts w:ascii="宋体" w:hAnsi="宋体" w:cs="宋体" w:eastAsia="宋体" w:hint="default"/>
                <w:sz w:val="18"/>
                <w:szCs w:val="18"/>
              </w:rPr>
            </w:pPr>
            <w:r>
              <w:rPr>
                <w:rFonts w:ascii="宋体" w:hAnsi="宋体" w:cs="宋体" w:eastAsia="宋体" w:hint="default"/>
                <w:sz w:val="18"/>
                <w:szCs w:val="18"/>
              </w:rPr>
              <w:t>所有者权</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418"/>
        <w:gridCol w:w="703"/>
        <w:gridCol w:w="665"/>
        <w:gridCol w:w="665"/>
        <w:gridCol w:w="665"/>
        <w:gridCol w:w="797"/>
        <w:gridCol w:w="798"/>
        <w:gridCol w:w="798"/>
        <w:gridCol w:w="798"/>
        <w:gridCol w:w="797"/>
        <w:gridCol w:w="676"/>
        <w:gridCol w:w="781"/>
      </w:tblGrid>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0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14"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52"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15" w:right="0"/>
              <w:jc w:val="left"/>
              <w:rPr>
                <w:rFonts w:ascii="宋体" w:hAnsi="宋体" w:cs="宋体" w:eastAsia="宋体" w:hint="default"/>
                <w:sz w:val="18"/>
                <w:szCs w:val="18"/>
              </w:rPr>
            </w:pPr>
            <w:r>
              <w:rPr>
                <w:rFonts w:ascii="宋体" w:hAnsi="宋体" w:cs="宋体" w:eastAsia="宋体" w:hint="default"/>
                <w:sz w:val="18"/>
                <w:szCs w:val="18"/>
              </w:rPr>
              <w:t>益合计</w:t>
            </w:r>
          </w:p>
        </w:tc>
      </w:tr>
      <w:tr>
        <w:trPr>
          <w:trHeight w:val="161"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396,783,</w:t>
            </w:r>
          </w:p>
          <w:p>
            <w:pPr>
              <w:pStyle w:val="TableParagraph"/>
              <w:spacing w:line="240" w:lineRule="auto" w:before="106"/>
              <w:ind w:left="144" w:right="0"/>
              <w:jc w:val="center"/>
              <w:rPr>
                <w:rFonts w:ascii="Times New Roman" w:hAnsi="Times New Roman" w:cs="Times New Roman" w:eastAsia="Times New Roman" w:hint="default"/>
                <w:sz w:val="18"/>
                <w:szCs w:val="18"/>
              </w:rPr>
            </w:pPr>
            <w:r>
              <w:rPr>
                <w:rFonts w:ascii="Times New Roman"/>
                <w:sz w:val="18"/>
              </w:rPr>
              <w:t>995.00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257,616,1</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66.19</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28,377,60</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41,131,63</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7.24</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212,196</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,924.04</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879,351,1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22.47</w:t>
            </w: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396,783,</w:t>
            </w:r>
          </w:p>
          <w:p>
            <w:pPr>
              <w:pStyle w:val="TableParagraph"/>
              <w:spacing w:line="240" w:lineRule="auto" w:before="106"/>
              <w:ind w:left="144" w:right="0"/>
              <w:jc w:val="center"/>
              <w:rPr>
                <w:rFonts w:ascii="Times New Roman" w:hAnsi="Times New Roman" w:cs="Times New Roman" w:eastAsia="Times New Roman" w:hint="default"/>
                <w:sz w:val="18"/>
                <w:szCs w:val="18"/>
              </w:rPr>
            </w:pPr>
            <w:r>
              <w:rPr>
                <w:rFonts w:ascii="Times New Roman"/>
                <w:sz w:val="18"/>
              </w:rPr>
              <w:t>995.00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257,616,1</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66.19</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28,377,60</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41,131,63</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7.24</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212,196</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,924.04</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879,351,1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22.47</w:t>
            </w: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7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214,601,</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839.00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-69,465,3</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58.40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-10,735,3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80.00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3,168,628</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.89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 w:right="0"/>
              <w:jc w:val="center"/>
              <w:rPr>
                <w:rFonts w:ascii="Times New Roman" w:hAnsi="Times New Roman" w:cs="Times New Roman" w:eastAsia="Times New Roman" w:hint="default"/>
                <w:sz w:val="18"/>
                <w:szCs w:val="18"/>
              </w:rPr>
            </w:pPr>
            <w:r>
              <w:rPr>
                <w:rFonts w:ascii="Times New Roman"/>
                <w:sz w:val="18"/>
              </w:rPr>
              <w:t>-12,241,</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395.56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146,799,0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93.93</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288.93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31,686,28</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8.93</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7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10,928,5</w:t>
            </w:r>
          </w:p>
          <w:p>
            <w:pPr>
              <w:pStyle w:val="TableParagraph"/>
              <w:spacing w:line="240" w:lineRule="auto" w:before="106"/>
              <w:ind w:left="253" w:right="0"/>
              <w:jc w:val="left"/>
              <w:rPr>
                <w:rFonts w:ascii="Times New Roman" w:hAnsi="Times New Roman" w:cs="Times New Roman" w:eastAsia="Times New Roman" w:hint="default"/>
                <w:sz w:val="18"/>
                <w:szCs w:val="18"/>
              </w:rPr>
            </w:pPr>
            <w:r>
              <w:rPr>
                <w:rFonts w:ascii="Times New Roman"/>
                <w:sz w:val="18"/>
              </w:rPr>
              <w:t>61.00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134,838,6</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59.60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left"/>
              <w:rPr>
                <w:rFonts w:ascii="Times New Roman" w:hAnsi="Times New Roman" w:cs="Times New Roman" w:eastAsia="Times New Roman" w:hint="default"/>
                <w:sz w:val="18"/>
                <w:szCs w:val="18"/>
              </w:rPr>
            </w:pPr>
            <w:r>
              <w:rPr>
                <w:rFonts w:ascii="Times New Roman"/>
                <w:sz w:val="18"/>
              </w:rPr>
              <w:t>-10,735,3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80.00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156,502,6</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00.60</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7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10,928,5</w:t>
            </w:r>
          </w:p>
          <w:p>
            <w:pPr>
              <w:pStyle w:val="TableParagraph"/>
              <w:spacing w:line="240" w:lineRule="auto" w:before="106"/>
              <w:ind w:left="253" w:right="0"/>
              <w:jc w:val="left"/>
              <w:rPr>
                <w:rFonts w:ascii="Times New Roman" w:hAnsi="Times New Roman" w:cs="Times New Roman" w:eastAsia="Times New Roman" w:hint="default"/>
                <w:sz w:val="18"/>
                <w:szCs w:val="18"/>
              </w:rPr>
            </w:pPr>
            <w:r>
              <w:rPr>
                <w:rFonts w:ascii="Times New Roman"/>
                <w:sz w:val="18"/>
              </w:rPr>
              <w:t>61.00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125,408,5</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79.60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9,430,080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-10,735,3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80.00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20,165,46</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3,168,628</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.89</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-43,927,</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684.49</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-40,759,0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55.60</w:t>
            </w: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61"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3,168,628</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.89</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-3,168,6</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28.89</w:t>
            </w:r>
          </w:p>
        </w:tc>
        <w:tc>
          <w:tcPr>
            <w:tcW w:w="781" w:type="dxa"/>
            <w:vMerge w:val="restart"/>
            <w:tcBorders>
              <w:top w:val="single" w:sz="4" w:space="0" w:color="000000"/>
              <w:left w:val="single" w:sz="4" w:space="0" w:color="000000"/>
              <w:right w:val="single" w:sz="4" w:space="0" w:color="000000"/>
            </w:tcBorders>
          </w:tcPr>
          <w:p>
            <w:pP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-40,759,</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055.60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-40,759,0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55.60</w:t>
            </w: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7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203,795,</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278.00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-203,795,</w:t>
            </w:r>
          </w:p>
          <w:p>
            <w:pPr>
              <w:pStyle w:val="TableParagraph"/>
              <w:spacing w:line="240" w:lineRule="auto" w:before="106"/>
              <w:ind w:left="248" w:right="0"/>
              <w:jc w:val="center"/>
              <w:rPr>
                <w:rFonts w:ascii="Times New Roman" w:hAnsi="Times New Roman" w:cs="Times New Roman" w:eastAsia="Times New Roman" w:hint="default"/>
                <w:sz w:val="18"/>
                <w:szCs w:val="18"/>
              </w:rPr>
            </w:pPr>
            <w:r>
              <w:rPr>
                <w:rFonts w:ascii="Times New Roman"/>
                <w:sz w:val="18"/>
              </w:rPr>
              <w:t>278.00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7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203,795,</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278.00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-203,795,</w:t>
            </w:r>
          </w:p>
          <w:p>
            <w:pPr>
              <w:pStyle w:val="TableParagraph"/>
              <w:spacing w:line="240" w:lineRule="auto" w:before="106"/>
              <w:ind w:left="248" w:right="0"/>
              <w:jc w:val="center"/>
              <w:rPr>
                <w:rFonts w:ascii="Times New Roman" w:hAnsi="Times New Roman" w:cs="Times New Roman" w:eastAsia="Times New Roman" w:hint="default"/>
                <w:sz w:val="18"/>
                <w:szCs w:val="18"/>
              </w:rPr>
            </w:pPr>
            <w:r>
              <w:rPr>
                <w:rFonts w:ascii="Times New Roman"/>
                <w:sz w:val="18"/>
              </w:rPr>
              <w:t>278.00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-122,00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-508,740.</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-630,740.</w:t>
            </w:r>
            <w:r>
              <w:rPr>
                <w:rFonts w:ascii="Times New Roman"/>
                <w:sz w:val="18"/>
              </w:rPr>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611,385,</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834.00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188,150,8</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07.79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17,642,22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44,300,26</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6.13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199,955</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,528.48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1,026,150</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,216.40</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0"/>
        <w:jc w:val="both"/>
        <w:rPr>
          <w:b w:val="0"/>
          <w:bCs w:val="0"/>
        </w:rPr>
      </w:pPr>
      <w:bookmarkStart w:name="三、公司基本情况" w:id="167"/>
      <w:bookmarkEnd w:id="167"/>
      <w:r>
        <w:rPr>
          <w:b w:val="0"/>
          <w:bCs w:val="0"/>
        </w:rPr>
      </w:r>
      <w:r>
        <w:rPr/>
        <w:t>三、公司基本情况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一、公司基本情况</w:t>
      </w:r>
    </w:p>
    <w:p>
      <w:pPr>
        <w:pStyle w:val="BodyText"/>
        <w:spacing w:line="357" w:lineRule="auto" w:before="117"/>
        <w:ind w:right="7512"/>
        <w:jc w:val="left"/>
      </w:pPr>
      <w:r>
        <w:rPr/>
        <w:t>（一）公司概况 公司名称：深圳市奥拓电子股份有限公司</w:t>
      </w:r>
    </w:p>
    <w:p>
      <w:pPr>
        <w:pStyle w:val="BodyText"/>
        <w:spacing w:line="340" w:lineRule="auto" w:before="28"/>
        <w:ind w:right="5532"/>
        <w:jc w:val="left"/>
      </w:pPr>
      <w:r>
        <w:rPr/>
        <w:t>住所：深圳市南山区粤海街道学府路</w:t>
      </w:r>
      <w:r>
        <w:rPr>
          <w:rFonts w:ascii="Times New Roman" w:hAnsi="Times New Roman" w:cs="Times New Roman" w:eastAsia="Times New Roman" w:hint="default"/>
        </w:rPr>
        <w:t>63</w:t>
      </w:r>
      <w:r>
        <w:rPr/>
        <w:t>号高新区联合总部大厦</w:t>
      </w:r>
      <w:r>
        <w:rPr>
          <w:rFonts w:ascii="Times New Roman" w:hAnsi="Times New Roman" w:cs="Times New Roman" w:eastAsia="Times New Roman" w:hint="default"/>
        </w:rPr>
        <w:t>10</w:t>
      </w:r>
      <w:r>
        <w:rPr/>
        <w:t>楼 注册资本：</w:t>
      </w:r>
      <w:r>
        <w:rPr>
          <w:rFonts w:ascii="Times New Roman" w:hAnsi="Times New Roman" w:cs="Times New Roman" w:eastAsia="Times New Roman" w:hint="default"/>
        </w:rPr>
        <w:t>619,214,834</w:t>
      </w:r>
      <w:r>
        <w:rPr/>
        <w:t>元</w:t>
      </w:r>
    </w:p>
    <w:p>
      <w:pPr>
        <w:pStyle w:val="BodyText"/>
        <w:spacing w:line="338" w:lineRule="auto" w:before="18"/>
        <w:ind w:right="7512"/>
        <w:jc w:val="left"/>
      </w:pPr>
      <w:r>
        <w:rPr/>
        <w:t>统一社会信用代码：</w:t>
      </w:r>
      <w:r>
        <w:rPr>
          <w:rFonts w:ascii="Times New Roman" w:hAnsi="Times New Roman" w:cs="Times New Roman" w:eastAsia="Times New Roman" w:hint="default"/>
        </w:rPr>
        <w:t>914403001922261931 </w:t>
      </w:r>
      <w:r>
        <w:rPr/>
        <w:t>法定代表人：吴涵渠</w:t>
      </w:r>
    </w:p>
    <w:p>
      <w:pPr>
        <w:pStyle w:val="BodyText"/>
        <w:spacing w:line="357" w:lineRule="auto" w:before="43"/>
        <w:ind w:right="6792"/>
        <w:jc w:val="left"/>
      </w:pPr>
      <w:r>
        <w:rPr/>
        <w:t>（二）公司行业性质、经营范围 所处行业：计算机、通信和其他电子设备制造业。</w:t>
      </w:r>
    </w:p>
    <w:p>
      <w:pPr>
        <w:pStyle w:val="BodyText"/>
        <w:spacing w:line="300" w:lineRule="auto" w:before="26"/>
        <w:ind w:right="0"/>
        <w:jc w:val="left"/>
      </w:pPr>
      <w:r>
        <w:rPr/>
        <w:t>经营范围：电子自助服务设备、金融电子产品、</w:t>
      </w:r>
      <w:r>
        <w:rPr>
          <w:rFonts w:ascii="Times New Roman" w:hAnsi="Times New Roman" w:cs="Times New Roman" w:eastAsia="Times New Roman" w:hint="default"/>
        </w:rPr>
        <w:t>LED</w:t>
      </w:r>
      <w:r>
        <w:rPr>
          <w:rFonts w:ascii="Times New Roman" w:hAnsi="Times New Roman" w:cs="Times New Roman" w:eastAsia="Times New Roman" w:hint="default"/>
          <w:spacing w:val="25"/>
        </w:rPr>
        <w:t> </w:t>
      </w:r>
      <w:r>
        <w:rPr/>
        <w:t>光电产品、电子大屏幕显示屏、智能网点系统、网络平台系统集成、 </w:t>
      </w:r>
      <w:r>
        <w:rPr>
          <w:spacing w:val="-2"/>
        </w:rPr>
        <w:t>电子商务系统集成和计算机软硬件产品的技术开发及销售；人工智能产品的研发、集成、技术服务及销售；经营进出口业务</w:t>
      </w:r>
    </w:p>
    <w:p>
      <w:pPr>
        <w:pStyle w:val="BodyText"/>
        <w:spacing w:line="319" w:lineRule="auto" w:before="31"/>
        <w:ind w:right="1133"/>
        <w:jc w:val="both"/>
      </w:pPr>
      <w:r>
        <w:rPr>
          <w:spacing w:val="-8"/>
        </w:rPr>
        <w:t>（法律、行政法规、国务院决定禁止的项目除外，限制的项目须取得许可后方可经营）；投资兴办实业（具体项目另行申报）；</w:t>
      </w:r>
      <w:r>
        <w:rPr>
          <w:spacing w:val="-88"/>
        </w:rPr>
        <w:t> </w:t>
      </w:r>
      <w:r>
        <w:rPr>
          <w:spacing w:val="-88"/>
        </w:rPr>
      </w:r>
      <w:r>
        <w:rPr>
          <w:spacing w:val="-5"/>
        </w:rPr>
        <w:t>电子设备租赁；电子大屏幕显示屏工程设计与安装；照明工程设计与安装；节能投资与节能改造；从事经营广告业务（法律、</w:t>
      </w:r>
      <w:r>
        <w:rPr>
          <w:spacing w:val="-79"/>
        </w:rPr>
        <w:t> </w:t>
      </w:r>
      <w:r>
        <w:rPr>
          <w:spacing w:val="-79"/>
        </w:rPr>
      </w:r>
      <w:r>
        <w:rPr/>
        <w:t>行政法规规定应进行广告经营审批登记的，另行办理审批登记后方可经营）。</w:t>
      </w:r>
    </w:p>
    <w:p>
      <w:pPr>
        <w:pStyle w:val="BodyText"/>
        <w:spacing w:line="357" w:lineRule="auto" w:before="58"/>
        <w:ind w:right="3742"/>
        <w:jc w:val="left"/>
      </w:pPr>
      <w:r>
        <w:rPr/>
        <w:t>（三）公司主要产品或提供的劳务 电子大屏幕显示屏、</w:t>
      </w:r>
      <w:r>
        <w:rPr>
          <w:rFonts w:ascii="Times New Roman" w:hAnsi="Times New Roman" w:cs="Times New Roman" w:eastAsia="Times New Roman" w:hint="default"/>
        </w:rPr>
        <w:t>LED</w:t>
      </w:r>
      <w:r>
        <w:rPr/>
        <w:t>光电产品、金融电子产品、计算机软件产品的技术开发及销售。</w:t>
      </w:r>
    </w:p>
    <w:p>
      <w:pPr>
        <w:pStyle w:val="BodyText"/>
        <w:spacing w:line="360" w:lineRule="auto" w:before="4"/>
        <w:ind w:right="3462"/>
        <w:jc w:val="left"/>
      </w:pPr>
      <w:r>
        <w:rPr/>
        <w:t>（四）财务报表的批准 本公司财务报表及财务报表附注业经本公司第四届董事会第三次会议于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29</w:t>
      </w:r>
      <w:r>
        <w:rPr/>
        <w:t>日批准。</w:t>
      </w:r>
    </w:p>
    <w:p>
      <w:pPr>
        <w:pStyle w:val="BodyText"/>
        <w:spacing w:line="240" w:lineRule="auto" w:before="1"/>
        <w:ind w:right="0"/>
        <w:jc w:val="both"/>
      </w:pPr>
      <w:r>
        <w:rPr/>
        <w:t>本公司</w:t>
      </w:r>
      <w:r>
        <w:rPr>
          <w:rFonts w:ascii="Times New Roman" w:hAnsi="Times New Roman" w:cs="Times New Roman" w:eastAsia="Times New Roman" w:hint="default"/>
        </w:rPr>
        <w:t>2018</w:t>
      </w:r>
      <w:r>
        <w:rPr/>
        <w:t>年度纳入合并范围的子公司共</w:t>
      </w:r>
      <w:r>
        <w:rPr>
          <w:rFonts w:ascii="Times New Roman" w:hAnsi="Times New Roman" w:cs="Times New Roman" w:eastAsia="Times New Roman" w:hint="default"/>
        </w:rPr>
        <w:t>11</w:t>
      </w:r>
      <w:r>
        <w:rPr/>
        <w:t>户，详见本附注八</w:t>
      </w:r>
      <w:r>
        <w:rPr>
          <w:rFonts w:ascii="Times New Roman" w:hAnsi="Times New Roman" w:cs="Times New Roman" w:eastAsia="Times New Roman" w:hint="default"/>
        </w:rPr>
        <w:t>“</w:t>
      </w:r>
      <w:r>
        <w:rPr/>
        <w:t>在其他主体中的权益</w:t>
      </w:r>
      <w:r>
        <w:rPr>
          <w:rFonts w:ascii="Times New Roman" w:hAnsi="Times New Roman" w:cs="Times New Roman" w:eastAsia="Times New Roman" w:hint="default"/>
        </w:rPr>
        <w:t>”</w:t>
      </w:r>
      <w:r>
        <w:rPr/>
        <w:t>。本公司本年度合并范围比上年度增加</w:t>
      </w:r>
    </w:p>
    <w:p>
      <w:pPr>
        <w:pStyle w:val="BodyText"/>
        <w:spacing w:line="338" w:lineRule="auto" w:before="64"/>
        <w:ind w:right="7622"/>
        <w:jc w:val="left"/>
      </w:pPr>
      <w:r>
        <w:rPr>
          <w:rFonts w:ascii="Times New Roman" w:hAnsi="Times New Roman" w:cs="Times New Roman" w:eastAsia="Times New Roman" w:hint="default"/>
        </w:rPr>
        <w:t>1</w:t>
      </w:r>
      <w:r>
        <w:rPr/>
        <w:t>户，详见本附注七</w:t>
      </w:r>
      <w:r>
        <w:rPr>
          <w:rFonts w:ascii="Times New Roman" w:hAnsi="Times New Roman" w:cs="Times New Roman" w:eastAsia="Times New Roman" w:hint="default"/>
        </w:rPr>
        <w:t>“</w:t>
      </w:r>
      <w:r>
        <w:rPr/>
        <w:t>合并范围的变更</w:t>
      </w:r>
      <w:r>
        <w:rPr>
          <w:rFonts w:ascii="Times New Roman" w:hAnsi="Times New Roman" w:cs="Times New Roman" w:eastAsia="Times New Roman" w:hint="default"/>
        </w:rPr>
        <w:t>”</w:t>
      </w:r>
      <w:r>
        <w:rPr/>
        <w:t>。 无</w:t>
      </w:r>
    </w:p>
    <w:p>
      <w:pPr>
        <w:spacing w:after="0" w:line="338" w:lineRule="auto"/>
        <w:jc w:val="left"/>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both"/>
        <w:rPr>
          <w:b w:val="0"/>
          <w:bCs w:val="0"/>
        </w:rPr>
      </w:pPr>
      <w:bookmarkStart w:name="四、财务报表的编制基础" w:id="168"/>
      <w:bookmarkEnd w:id="168"/>
      <w:r>
        <w:rPr>
          <w:b w:val="0"/>
          <w:bCs w:val="0"/>
        </w:rPr>
      </w:r>
      <w:r>
        <w:rPr/>
        <w:t>四、财务报表的编制基础</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both"/>
        <w:rPr>
          <w:b w:val="0"/>
          <w:bCs w:val="0"/>
        </w:rPr>
      </w:pPr>
      <w:bookmarkStart w:name="1、编制基础" w:id="169"/>
      <w:bookmarkEnd w:id="169"/>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本公司财务报表以持续经营假设为基础</w:t>
      </w:r>
      <w:r>
        <w:rPr>
          <w:spacing w:val="-88"/>
        </w:rPr>
        <w:t>，</w:t>
      </w:r>
      <w:r>
        <w:rPr/>
        <w:t>根据实际发生的交易和事项</w:t>
      </w:r>
      <w:r>
        <w:rPr>
          <w:spacing w:val="-88"/>
        </w:rPr>
        <w:t>，</w:t>
      </w:r>
      <w:r>
        <w:rPr/>
        <w:t>按照财政部发布</w:t>
      </w:r>
      <w:r>
        <w:rPr>
          <w:spacing w:val="-88"/>
        </w:rPr>
        <w:t>的</w:t>
      </w:r>
      <w:r>
        <w:rPr/>
        <w:t>《企业会计准</w:t>
      </w:r>
      <w:r>
        <w:rPr>
          <w:spacing w:val="1"/>
        </w:rPr>
        <w:t>则</w:t>
      </w:r>
      <w:r>
        <w:rPr/>
        <w:t>——基本准则》</w:t>
      </w:r>
    </w:p>
    <w:p>
      <w:pPr>
        <w:pStyle w:val="BodyText"/>
        <w:spacing w:line="319" w:lineRule="auto" w:before="76"/>
        <w:ind w:right="1133"/>
        <w:jc w:val="both"/>
      </w:pPr>
      <w:r>
        <w:rPr/>
        <w:t>（财政部令第</w:t>
      </w:r>
      <w:r>
        <w:rPr>
          <w:rFonts w:ascii="宋体" w:hAnsi="宋体" w:cs="宋体" w:eastAsia="宋体" w:hint="default"/>
        </w:rPr>
        <w:t>33</w:t>
      </w:r>
      <w:r>
        <w:rPr/>
        <w:t>号发布、财政部令第</w:t>
      </w:r>
      <w:r>
        <w:rPr>
          <w:rFonts w:ascii="宋体" w:hAnsi="宋体" w:cs="宋体" w:eastAsia="宋体" w:hint="default"/>
        </w:rPr>
        <w:t>76</w:t>
      </w:r>
      <w:r>
        <w:rPr/>
        <w:t>号修订）、于</w:t>
      </w:r>
      <w:r>
        <w:rPr>
          <w:rFonts w:ascii="宋体" w:hAnsi="宋体" w:cs="宋体" w:eastAsia="宋体" w:hint="default"/>
        </w:rPr>
        <w:t>2006</w:t>
      </w:r>
      <w:r>
        <w:rPr/>
        <w:t>年</w:t>
      </w:r>
      <w:r>
        <w:rPr>
          <w:rFonts w:ascii="宋体" w:hAnsi="宋体" w:cs="宋体" w:eastAsia="宋体" w:hint="default"/>
        </w:rPr>
        <w:t>2</w:t>
      </w:r>
      <w:r>
        <w:rPr/>
        <w:t>月</w:t>
      </w:r>
      <w:r>
        <w:rPr>
          <w:rFonts w:ascii="宋体" w:hAnsi="宋体" w:cs="宋体" w:eastAsia="宋体" w:hint="default"/>
        </w:rPr>
        <w:t>15</w:t>
      </w:r>
      <w:r>
        <w:rPr/>
        <w:t>日及其后颁布和修订的</w:t>
      </w:r>
      <w:r>
        <w:rPr>
          <w:rFonts w:ascii="宋体" w:hAnsi="宋体" w:cs="宋体" w:eastAsia="宋体" w:hint="default"/>
        </w:rPr>
        <w:t>42</w:t>
      </w:r>
      <w:r>
        <w:rPr/>
        <w:t>项具体会计准则、企业会计准则 </w:t>
      </w:r>
      <w:r>
        <w:rPr>
          <w:spacing w:val="-2"/>
        </w:rPr>
        <w:t>应用指南、企业会计准则解释及其他相关规定（以下合称“企业会计准则”），以及中国证券监督管理委员会《公开发行证</w:t>
      </w:r>
      <w:r>
        <w:rPr>
          <w:spacing w:val="-72"/>
        </w:rPr>
        <w:t> </w:t>
      </w:r>
      <w:r>
        <w:rPr>
          <w:spacing w:val="-72"/>
        </w:rPr>
      </w:r>
      <w:r>
        <w:rPr/>
        <w:t>券的公司信息披露编报规则第</w:t>
      </w:r>
      <w:r>
        <w:rPr>
          <w:rFonts w:ascii="宋体" w:hAnsi="宋体" w:cs="宋体" w:eastAsia="宋体" w:hint="default"/>
        </w:rPr>
        <w:t>15</w:t>
      </w:r>
      <w:r>
        <w:rPr/>
        <w:t>号——财务报告的一般规定》（</w:t>
      </w:r>
      <w:r>
        <w:rPr>
          <w:rFonts w:ascii="宋体" w:hAnsi="宋体" w:cs="宋体" w:eastAsia="宋体" w:hint="default"/>
        </w:rPr>
        <w:t>2014</w:t>
      </w:r>
      <w:r>
        <w:rPr/>
        <w:t>年修订）的披露规定编制。</w:t>
      </w:r>
    </w:p>
    <w:p>
      <w:pPr>
        <w:pStyle w:val="BodyText"/>
        <w:spacing w:line="319" w:lineRule="auto" w:before="55"/>
        <w:ind w:right="1130" w:firstLine="360"/>
        <w:jc w:val="both"/>
      </w:pPr>
      <w:r>
        <w:rPr>
          <w:spacing w:val="-5"/>
        </w:rPr>
        <w:t>财政部于</w:t>
      </w:r>
      <w:r>
        <w:rPr>
          <w:rFonts w:ascii="宋体" w:hAnsi="宋体" w:cs="宋体" w:eastAsia="宋体" w:hint="default"/>
          <w:spacing w:val="-5"/>
        </w:rPr>
        <w:t>2018</w:t>
      </w:r>
      <w:r>
        <w:rPr>
          <w:spacing w:val="-5"/>
        </w:rPr>
        <w:t>年</w:t>
      </w:r>
      <w:r>
        <w:rPr>
          <w:rFonts w:ascii="宋体" w:hAnsi="宋体" w:cs="宋体" w:eastAsia="宋体" w:hint="default"/>
          <w:spacing w:val="-5"/>
        </w:rPr>
        <w:t>6</w:t>
      </w:r>
      <w:r>
        <w:rPr>
          <w:spacing w:val="-5"/>
        </w:rPr>
        <w:t>月</w:t>
      </w:r>
      <w:r>
        <w:rPr>
          <w:rFonts w:ascii="宋体" w:hAnsi="宋体" w:cs="宋体" w:eastAsia="宋体" w:hint="default"/>
          <w:spacing w:val="-5"/>
        </w:rPr>
        <w:t>15</w:t>
      </w:r>
      <w:r>
        <w:rPr>
          <w:spacing w:val="-5"/>
        </w:rPr>
        <w:t>日发布了《关于修订印发</w:t>
      </w:r>
      <w:r>
        <w:rPr>
          <w:rFonts w:ascii="宋体" w:hAnsi="宋体" w:cs="宋体" w:eastAsia="宋体" w:hint="default"/>
          <w:spacing w:val="-5"/>
        </w:rPr>
        <w:t>2018</w:t>
      </w:r>
      <w:r>
        <w:rPr>
          <w:spacing w:val="-5"/>
        </w:rPr>
        <w:t>年度一般企业财务报表格式的通知》（财会〔</w:t>
      </w:r>
      <w:r>
        <w:rPr>
          <w:rFonts w:ascii="宋体" w:hAnsi="宋体" w:cs="宋体" w:eastAsia="宋体" w:hint="default"/>
          <w:spacing w:val="-5"/>
        </w:rPr>
        <w:t>2018</w:t>
      </w:r>
      <w:r>
        <w:rPr>
          <w:spacing w:val="-5"/>
        </w:rPr>
        <w:t>〕</w:t>
      </w:r>
      <w:r>
        <w:rPr>
          <w:rFonts w:ascii="宋体" w:hAnsi="宋体" w:cs="宋体" w:eastAsia="宋体" w:hint="default"/>
          <w:spacing w:val="-5"/>
        </w:rPr>
        <w:t>15</w:t>
      </w:r>
      <w:r>
        <w:rPr>
          <w:spacing w:val="-5"/>
        </w:rPr>
        <w:t>号），对一</w:t>
      </w:r>
      <w:r>
        <w:rPr>
          <w:spacing w:val="30"/>
        </w:rPr>
        <w:t> </w:t>
      </w:r>
      <w:r>
        <w:rPr/>
        <w:t>般</w:t>
      </w:r>
      <w:r>
        <w:rPr/>
        <w:t> 企业财务报表格式进行了修订，归并部分资产负债表项目，拆分部分利润表项目；并于</w:t>
      </w: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7</w:t>
      </w:r>
      <w:r>
        <w:rPr/>
        <w:t>日发布了《关于</w:t>
      </w:r>
      <w:r>
        <w:rPr>
          <w:rFonts w:ascii="宋体" w:hAnsi="宋体" w:cs="宋体" w:eastAsia="宋体" w:hint="default"/>
        </w:rPr>
        <w:t>2018 </w:t>
      </w:r>
      <w:r>
        <w:rPr/>
        <w:t>年 </w:t>
      </w:r>
      <w:r>
        <w:rPr>
          <w:spacing w:val="-2"/>
        </w:rPr>
        <w:t>度一般企业财务报表格式有关问题的解读》，明确要求代扣个人所得税手续费返还在“其他收益”列报，实际收到的政府补</w:t>
      </w:r>
      <w:r>
        <w:rPr>
          <w:spacing w:val="-65"/>
        </w:rPr>
        <w:t> </w:t>
      </w:r>
      <w:r>
        <w:rPr>
          <w:spacing w:val="-65"/>
        </w:rPr>
      </w:r>
      <w:r>
        <w:rPr>
          <w:spacing w:val="-2"/>
        </w:rPr>
        <w:t>助，无论是与资产相关还是与收益相关，在编制现金流量表时均作为经营活动产生的现金流量列报等。本公司已经根据新的</w:t>
      </w:r>
      <w:r>
        <w:rPr>
          <w:spacing w:val="-66"/>
        </w:rPr>
        <w:t> </w:t>
      </w:r>
      <w:r>
        <w:rPr>
          <w:spacing w:val="-66"/>
        </w:rPr>
      </w:r>
      <w:r>
        <w:rPr/>
        <w:t>企业财务报表格式的要求编制财务报表，财务报表的列报项目因此发生变更的，已经按照《企业</w:t>
      </w:r>
      <w:r>
        <w:rPr>
          <w:spacing w:val="1"/>
        </w:rPr>
        <w:t> </w:t>
      </w:r>
      <w:r>
        <w:rPr/>
        <w:t>会计准则第</w:t>
      </w:r>
      <w:r>
        <w:rPr>
          <w:rFonts w:ascii="宋体" w:hAnsi="宋体" w:cs="宋体" w:eastAsia="宋体" w:hint="default"/>
        </w:rPr>
        <w:t>30</w:t>
      </w:r>
      <w:r>
        <w:rPr/>
        <w:t>号——财务 报表列报》等的相关规定，对可比期间的比较数据进行调整。</w:t>
      </w:r>
    </w:p>
    <w:p>
      <w:pPr>
        <w:pStyle w:val="BodyText"/>
        <w:spacing w:line="319" w:lineRule="auto" w:before="56"/>
        <w:ind w:right="0" w:firstLine="360"/>
        <w:jc w:val="left"/>
      </w:pPr>
      <w:r>
        <w:rPr>
          <w:spacing w:val="-2"/>
        </w:rPr>
        <w:t>根据企业会计准则的相关规定，本公司会计核算以权责发生制为基础。除某些金融工具外，本财务报表均以历史成本为</w:t>
      </w:r>
      <w:r>
        <w:rPr/>
        <w:t> 计量基础。资产如果发生减值，则按照相关规定计提相应的减值准备。</w:t>
      </w:r>
    </w:p>
    <w:p>
      <w:pPr>
        <w:spacing w:line="240" w:lineRule="auto" w:before="3"/>
        <w:rPr>
          <w:rFonts w:ascii="宋体" w:hAnsi="宋体" w:cs="宋体" w:eastAsia="宋体" w:hint="default"/>
          <w:sz w:val="22"/>
          <w:szCs w:val="22"/>
        </w:rPr>
      </w:pPr>
    </w:p>
    <w:p>
      <w:pPr>
        <w:pStyle w:val="Heading4"/>
        <w:spacing w:line="240" w:lineRule="auto"/>
        <w:ind w:right="0"/>
        <w:jc w:val="both"/>
        <w:rPr>
          <w:b w:val="0"/>
          <w:bCs w:val="0"/>
        </w:rPr>
      </w:pPr>
      <w:bookmarkStart w:name="2、持续经营" w:id="170"/>
      <w:bookmarkEnd w:id="170"/>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both"/>
      </w:pPr>
      <w:r>
        <w:rPr/>
        <w:t>本公司自报告期末起至少</w:t>
      </w:r>
      <w:r>
        <w:rPr>
          <w:rFonts w:ascii="Times New Roman" w:hAnsi="Times New Roman" w:cs="Times New Roman" w:eastAsia="Times New Roman" w:hint="default"/>
        </w:rPr>
        <w:t>12</w:t>
      </w:r>
      <w:r>
        <w:rPr/>
        <w:t>个月内具备持续经营能力，无影响持续经营能力的重大事项。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2"/>
        <w:spacing w:line="240" w:lineRule="auto"/>
        <w:ind w:right="0"/>
        <w:jc w:val="both"/>
        <w:rPr>
          <w:b w:val="0"/>
          <w:bCs w:val="0"/>
        </w:rPr>
      </w:pPr>
      <w:bookmarkStart w:name="五、重要会计政策及会计估计" w:id="171"/>
      <w:bookmarkEnd w:id="171"/>
      <w:r>
        <w:rPr>
          <w:b w:val="0"/>
          <w:bCs w:val="0"/>
        </w:rPr>
      </w:r>
      <w:r>
        <w:rPr/>
        <w:t>五、重要会计政策及会计估计</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2"/>
        <w:jc w:val="left"/>
      </w:pPr>
      <w:r>
        <w:rPr/>
        <w:t>公司是否需要遵守特殊行业的披露要求 否</w:t>
      </w:r>
    </w:p>
    <w:p>
      <w:pPr>
        <w:pStyle w:val="BodyText"/>
        <w:spacing w:line="357" w:lineRule="auto" w:before="26"/>
        <w:ind w:left="444" w:right="0" w:hanging="291"/>
        <w:jc w:val="left"/>
      </w:pPr>
      <w:r>
        <w:rPr/>
        <w:t>具体会计政策和会计估计提示： </w:t>
      </w:r>
      <w:r>
        <w:rPr>
          <w:spacing w:val="-1"/>
        </w:rPr>
        <w:t>本公司及各子公司根据实际生产经营特点，依据相关企业会计准则的规定，对收入确认等交易和事项制定了若干项具体</w:t>
      </w:r>
    </w:p>
    <w:p>
      <w:pPr>
        <w:pStyle w:val="BodyText"/>
        <w:spacing w:line="237" w:lineRule="exact"/>
        <w:ind w:right="0"/>
        <w:jc w:val="both"/>
      </w:pPr>
      <w:r>
        <w:rPr/>
        <w:t>会计政策和会计估计，详见本附注四、</w:t>
      </w:r>
      <w:r>
        <w:rPr>
          <w:rFonts w:ascii="Times New Roman" w:hAnsi="Times New Roman" w:cs="Times New Roman" w:eastAsia="Times New Roman" w:hint="default"/>
        </w:rPr>
        <w:t>22“</w:t>
      </w:r>
      <w:r>
        <w:rPr/>
        <w:t>收入</w:t>
      </w:r>
      <w:r>
        <w:rPr>
          <w:rFonts w:ascii="Times New Roman" w:hAnsi="Times New Roman" w:cs="Times New Roman" w:eastAsia="Times New Roman" w:hint="default"/>
        </w:rPr>
        <w:t>”</w:t>
      </w:r>
      <w:r>
        <w:rPr/>
        <w:t>等各项描述。关于管理层所作出的重大会计判断和估计的说明，请参阅附注</w:t>
      </w:r>
    </w:p>
    <w:p>
      <w:pPr>
        <w:pStyle w:val="BodyText"/>
        <w:spacing w:line="240" w:lineRule="auto" w:before="64"/>
        <w:ind w:right="0"/>
        <w:jc w:val="both"/>
      </w:pPr>
      <w:r>
        <w:rPr/>
        <w:t>四、</w:t>
      </w:r>
      <w:r>
        <w:rPr>
          <w:rFonts w:ascii="宋体" w:hAnsi="宋体" w:cs="宋体" w:eastAsia="宋体" w:hint="default"/>
        </w:rPr>
        <w:t>27</w:t>
      </w:r>
      <w:r>
        <w:rPr>
          <w:rFonts w:ascii="宋体" w:hAnsi="宋体" w:cs="宋体" w:eastAsia="宋体" w:hint="default"/>
          <w:spacing w:val="-45"/>
        </w:rPr>
        <w:t> </w:t>
      </w:r>
      <w:r>
        <w:rPr>
          <w:rFonts w:ascii="Times New Roman" w:hAnsi="Times New Roman" w:cs="Times New Roman" w:eastAsia="Times New Roman" w:hint="default"/>
        </w:rPr>
        <w:t>“</w:t>
      </w:r>
      <w:r>
        <w:rPr/>
        <w:t>重大会计判断和估计</w:t>
      </w:r>
      <w:r>
        <w:rPr>
          <w:rFonts w:ascii="Times New Roman" w:hAnsi="Times New Roman" w:cs="Times New Roman" w:eastAsia="Times New Roman" w:hint="default"/>
        </w:rPr>
        <w:t>”</w:t>
      </w:r>
      <w:r>
        <w:rPr/>
        <w:t>。</w:t>
      </w:r>
    </w:p>
    <w:p>
      <w:pPr>
        <w:spacing w:line="240" w:lineRule="auto" w:before="10"/>
        <w:rPr>
          <w:rFonts w:ascii="宋体" w:hAnsi="宋体" w:cs="宋体" w:eastAsia="宋体" w:hint="default"/>
          <w:sz w:val="25"/>
          <w:szCs w:val="25"/>
        </w:rPr>
      </w:pPr>
    </w:p>
    <w:p>
      <w:pPr>
        <w:pStyle w:val="Heading4"/>
        <w:spacing w:line="240" w:lineRule="auto"/>
        <w:ind w:right="0"/>
        <w:jc w:val="both"/>
        <w:rPr>
          <w:b w:val="0"/>
          <w:bCs w:val="0"/>
        </w:rPr>
      </w:pPr>
      <w:bookmarkStart w:name="1、遵循企业会计准则的声明" w:id="172"/>
      <w:bookmarkEnd w:id="172"/>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0" w:firstLine="360"/>
        <w:jc w:val="left"/>
      </w:pPr>
      <w:r>
        <w:rPr>
          <w:spacing w:val="-2"/>
        </w:rPr>
        <w:t>本公司编制的财务报表符合企业会计准则的要求，真实、完整地反映了本公司</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日的合并及公司财务状况及</w:t>
      </w:r>
      <w:r>
        <w:rPr/>
        <w:t> </w:t>
      </w:r>
      <w:r>
        <w:rPr>
          <w:rFonts w:ascii="Times New Roman" w:hAnsi="Times New Roman" w:cs="Times New Roman" w:eastAsia="Times New Roman" w:hint="default"/>
        </w:rPr>
        <w:t>2018</w:t>
      </w:r>
      <w:r>
        <w:rPr/>
        <w:t>年度的经营成果和现金流量等有关信息。此外，本公司的财务报表在所有重大方面符合中国证券监督管理委员会</w:t>
      </w:r>
      <w:r>
        <w:rPr>
          <w:rFonts w:ascii="Times New Roman" w:hAnsi="Times New Roman" w:cs="Times New Roman" w:eastAsia="Times New Roman" w:hint="default"/>
        </w:rPr>
        <w:t>2014 </w:t>
      </w:r>
      <w:r>
        <w:rPr/>
        <w:t>年修订的《公开发行证券的公司信息披露编报规则第</w:t>
      </w:r>
      <w:r>
        <w:rPr>
          <w:rFonts w:ascii="Times New Roman" w:hAnsi="Times New Roman" w:cs="Times New Roman" w:eastAsia="Times New Roman" w:hint="default"/>
        </w:rPr>
        <w:t>15</w:t>
      </w:r>
      <w:r>
        <w:rPr/>
        <w:t>号－财务报告的一般规定》有关财务报表及其附注的披露要求。</w:t>
      </w:r>
    </w:p>
    <w:p>
      <w:pPr>
        <w:spacing w:line="240" w:lineRule="auto" w:before="13"/>
        <w:rPr>
          <w:rFonts w:ascii="宋体" w:hAnsi="宋体" w:cs="宋体" w:eastAsia="宋体" w:hint="default"/>
          <w:sz w:val="21"/>
          <w:szCs w:val="21"/>
        </w:rPr>
      </w:pPr>
    </w:p>
    <w:p>
      <w:pPr>
        <w:pStyle w:val="Heading4"/>
        <w:spacing w:line="240" w:lineRule="auto"/>
        <w:ind w:right="0"/>
        <w:jc w:val="both"/>
        <w:rPr>
          <w:b w:val="0"/>
          <w:bCs w:val="0"/>
        </w:rPr>
      </w:pPr>
      <w:bookmarkStart w:name="2、会计期间" w:id="173"/>
      <w:bookmarkEnd w:id="173"/>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firstLine="397"/>
        <w:jc w:val="left"/>
      </w:pPr>
      <w:r>
        <w:rPr>
          <w:spacing w:val="-3"/>
        </w:rPr>
        <w:t>本公司的会计期间分为年度和中期，会计中期指短于一个完整的会计年度的报告期间。本公司会计年度采用公历年度，</w:t>
      </w:r>
      <w:r>
        <w:rPr/>
        <w:t> 即每年自</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w:t>
      </w:r>
    </w:p>
    <w:p>
      <w:pPr>
        <w:spacing w:after="0" w:line="319"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3、营业周期" w:id="174"/>
      <w:bookmarkEnd w:id="174"/>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8"/>
        <w:rPr>
          <w:rFonts w:ascii="宋体" w:hAnsi="宋体" w:cs="宋体" w:eastAsia="宋体" w:hint="default"/>
          <w:b/>
          <w:bCs/>
          <w:sz w:val="26"/>
          <w:szCs w:val="26"/>
        </w:rPr>
      </w:pPr>
    </w:p>
    <w:p>
      <w:pPr>
        <w:pStyle w:val="BodyText"/>
        <w:spacing w:line="302" w:lineRule="auto"/>
        <w:ind w:right="1042" w:firstLine="217"/>
        <w:jc w:val="both"/>
      </w:pPr>
      <w:r>
        <w:rPr>
          <w:spacing w:val="-1"/>
        </w:rPr>
        <w:t>正常营业周期是指本公司从购买用于加工的资产起至实现现金或现金等价物的期间。本公司以</w:t>
      </w:r>
      <w:r>
        <w:rPr>
          <w:rFonts w:ascii="Times New Roman" w:hAnsi="Times New Roman" w:cs="Times New Roman" w:eastAsia="Times New Roman" w:hint="default"/>
          <w:spacing w:val="-1"/>
        </w:rPr>
        <w:t>12</w:t>
      </w:r>
      <w:r>
        <w:rPr>
          <w:spacing w:val="-1"/>
        </w:rPr>
        <w:t>个月作为一个营业周期，</w:t>
      </w:r>
      <w:r>
        <w:rPr/>
        <w:t> 并以其作为资产和负债的流动性划分标准。</w:t>
      </w:r>
    </w:p>
    <w:p>
      <w:pPr>
        <w:spacing w:line="240" w:lineRule="auto" w:before="2"/>
        <w:rPr>
          <w:rFonts w:ascii="宋体" w:hAnsi="宋体" w:cs="宋体" w:eastAsia="宋体" w:hint="default"/>
          <w:sz w:val="23"/>
          <w:szCs w:val="23"/>
        </w:rPr>
      </w:pPr>
    </w:p>
    <w:p>
      <w:pPr>
        <w:pStyle w:val="Heading4"/>
        <w:spacing w:line="240" w:lineRule="auto"/>
        <w:ind w:right="0"/>
        <w:jc w:val="left"/>
        <w:rPr>
          <w:b w:val="0"/>
          <w:bCs w:val="0"/>
        </w:rPr>
      </w:pPr>
      <w:bookmarkStart w:name="4、记账本位币" w:id="175"/>
      <w:bookmarkEnd w:id="175"/>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1132" w:firstLine="290"/>
        <w:jc w:val="both"/>
      </w:pPr>
      <w:r>
        <w:rPr>
          <w:spacing w:val="-1"/>
        </w:rPr>
        <w:t>人民币为本公司及境内子公司经营所处的主要经济环境中的货币，本公司及境内子公司以人民币为记账本位币。本公司</w:t>
      </w:r>
      <w:r>
        <w:rPr/>
        <w:t> 之境外子公司以其经营所处的主要经济环境中的货币为记账本位币。本公司编制本财务报表时所采用的货币为人民币。</w:t>
      </w:r>
    </w:p>
    <w:p>
      <w:pPr>
        <w:spacing w:line="240" w:lineRule="auto" w:before="3"/>
        <w:rPr>
          <w:rFonts w:ascii="宋体" w:hAnsi="宋体" w:cs="宋体" w:eastAsia="宋体" w:hint="default"/>
          <w:sz w:val="22"/>
          <w:szCs w:val="22"/>
        </w:rPr>
      </w:pPr>
    </w:p>
    <w:p>
      <w:pPr>
        <w:pStyle w:val="Heading4"/>
        <w:spacing w:line="240" w:lineRule="auto"/>
        <w:ind w:right="0"/>
        <w:jc w:val="left"/>
        <w:rPr>
          <w:b w:val="0"/>
          <w:bCs w:val="0"/>
        </w:rPr>
      </w:pPr>
      <w:bookmarkStart w:name="5、同一控制下和非同一控制下企业合并的会计处理方法" w:id="176"/>
      <w:bookmarkEnd w:id="176"/>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1132" w:firstLine="290"/>
        <w:jc w:val="both"/>
      </w:pPr>
      <w:r>
        <w:rPr>
          <w:spacing w:val="-1"/>
        </w:rPr>
        <w:t>企业合并，是指将两个或两个以上单独的企业合并形成一个报告主体的交易或事项。企业合并分为同一控制下企业合并</w:t>
      </w:r>
      <w:r>
        <w:rPr/>
        <w:t> 和非同一控制下企业合并。</w:t>
      </w:r>
    </w:p>
    <w:p>
      <w:pPr>
        <w:pStyle w:val="BodyText"/>
        <w:spacing w:line="338" w:lineRule="auto" w:before="58"/>
        <w:ind w:left="444" w:right="0" w:hanging="74"/>
        <w:jc w:val="left"/>
      </w:pPr>
      <w:r>
        <w:rPr/>
        <w:t>（</w:t>
      </w:r>
      <w:r>
        <w:rPr>
          <w:rFonts w:ascii="Times New Roman" w:hAnsi="Times New Roman" w:cs="Times New Roman" w:eastAsia="Times New Roman" w:hint="default"/>
        </w:rPr>
        <w:t>1</w:t>
      </w:r>
      <w:r>
        <w:rPr/>
        <w:t>）同一控制下企业合并 </w:t>
      </w:r>
      <w:r>
        <w:rPr>
          <w:spacing w:val="-1"/>
        </w:rPr>
        <w:t>参与合并的企业在合并前后均受同一方或相同的多方最终控制，且该控制并非暂时性的，为同一控制下的企业合并。同</w:t>
      </w:r>
    </w:p>
    <w:p>
      <w:pPr>
        <w:pStyle w:val="BodyText"/>
        <w:spacing w:line="319" w:lineRule="auto" w:before="2"/>
        <w:ind w:right="1127"/>
        <w:jc w:val="left"/>
      </w:pPr>
      <w:r>
        <w:rPr>
          <w:spacing w:val="-5"/>
        </w:rPr>
        <w:t>一控制下的企业合并，在合并日取得对其他参与合并企业控制权的一方为合并方，参与合并的其他企业为被合并方。合并日，</w:t>
      </w:r>
      <w:r>
        <w:rPr>
          <w:spacing w:val="-79"/>
        </w:rPr>
        <w:t> </w:t>
      </w:r>
      <w:r>
        <w:rPr>
          <w:spacing w:val="-79"/>
        </w:rPr>
      </w:r>
      <w:r>
        <w:rPr/>
        <w:t>是指合并方实际取得对被合并方控制权的日期。</w:t>
      </w:r>
    </w:p>
    <w:p>
      <w:pPr>
        <w:pStyle w:val="BodyText"/>
        <w:spacing w:line="319" w:lineRule="auto" w:before="55"/>
        <w:ind w:right="1043" w:firstLine="290"/>
        <w:jc w:val="both"/>
      </w:pPr>
      <w:r>
        <w:rPr/>
        <w:t>合并方取得的资产和负债均按合并日在被合并方的账面价值计量。合并方取得的净资产账面价值与支付的合并对价账面 价值（或发行股份面值总额）的差额，调整资本公积（股本溢价）；资本公积（股本溢价）不足以冲减的，调整留存收益。</w:t>
      </w:r>
    </w:p>
    <w:p>
      <w:pPr>
        <w:pStyle w:val="BodyText"/>
        <w:spacing w:line="240" w:lineRule="auto" w:before="58"/>
        <w:ind w:left="444" w:right="0"/>
        <w:jc w:val="left"/>
      </w:pPr>
      <w:r>
        <w:rPr/>
        <w:t>合并方为进行企业合并发生的各项直接费用，于发生时计入当期损益。</w:t>
      </w:r>
    </w:p>
    <w:p>
      <w:pPr>
        <w:pStyle w:val="BodyText"/>
        <w:spacing w:line="338" w:lineRule="auto" w:before="116"/>
        <w:ind w:left="444" w:right="0" w:hanging="74"/>
        <w:jc w:val="left"/>
      </w:pPr>
      <w:r>
        <w:rPr/>
        <w:t>（</w:t>
      </w:r>
      <w:r>
        <w:rPr>
          <w:rFonts w:ascii="Times New Roman" w:hAnsi="Times New Roman" w:cs="Times New Roman" w:eastAsia="Times New Roman" w:hint="default"/>
        </w:rPr>
        <w:t>2</w:t>
      </w:r>
      <w:r>
        <w:rPr/>
        <w:t>）非同一控制下企业合并 </w:t>
      </w:r>
      <w:r>
        <w:rPr>
          <w:spacing w:val="-1"/>
        </w:rPr>
        <w:t>参与合并的企业在合并前后不受同一方或相同的多方最终控制的，为非同一控制下的企业合并。非同一控制下的企业合</w:t>
      </w:r>
    </w:p>
    <w:p>
      <w:pPr>
        <w:pStyle w:val="BodyText"/>
        <w:spacing w:line="319" w:lineRule="auto" w:before="2"/>
        <w:ind w:right="0"/>
        <w:jc w:val="left"/>
      </w:pPr>
      <w:r>
        <w:rPr>
          <w:spacing w:val="-2"/>
        </w:rPr>
        <w:t>并，在购买日取得对其他参与合并企业控制权的一方为购买方，参与合并的其他企业为被购买方。购买日，是指为购买方实</w:t>
      </w:r>
      <w:r>
        <w:rPr>
          <w:spacing w:val="-66"/>
        </w:rPr>
        <w:t> </w:t>
      </w:r>
      <w:r>
        <w:rPr>
          <w:spacing w:val="-66"/>
        </w:rPr>
      </w:r>
      <w:r>
        <w:rPr/>
        <w:t>际取得对被购买方控制权的日期。</w:t>
      </w:r>
    </w:p>
    <w:p>
      <w:pPr>
        <w:pStyle w:val="BodyText"/>
        <w:spacing w:line="316" w:lineRule="auto" w:before="56"/>
        <w:ind w:right="1131" w:firstLine="290"/>
        <w:jc w:val="both"/>
      </w:pPr>
      <w:r>
        <w:rPr>
          <w:spacing w:val="-1"/>
        </w:rPr>
        <w:t>对于非同一控制下的企业合并，合并成本包含购买日购买方为取得对被购买方的控制权而付出的资产、发生或承担的负</w:t>
      </w:r>
      <w:r>
        <w:rPr/>
        <w:t> </w:t>
      </w:r>
      <w:r>
        <w:rPr>
          <w:spacing w:val="-2"/>
        </w:rPr>
        <w:t>债以及发行的权益性证券的公允价值，为企业合并发生的审计、法律服务、评估咨询等中介费用以及其他管理费用于发生时</w:t>
      </w:r>
      <w:r>
        <w:rPr>
          <w:spacing w:val="-66"/>
        </w:rPr>
        <w:t> </w:t>
      </w:r>
      <w:r>
        <w:rPr>
          <w:spacing w:val="-66"/>
        </w:rPr>
      </w:r>
      <w:r>
        <w:rPr>
          <w:spacing w:val="-2"/>
        </w:rPr>
        <w:t>计入当期损益。购买方作为合并对价发行的权益性证券或债务性证券的交易费用，计入权益性证券或债务性证券的初始确认</w:t>
      </w:r>
      <w:r>
        <w:rPr>
          <w:spacing w:val="-64"/>
        </w:rPr>
        <w:t> </w:t>
      </w:r>
      <w:r>
        <w:rPr>
          <w:spacing w:val="-64"/>
        </w:rPr>
      </w:r>
      <w:r>
        <w:rPr>
          <w:spacing w:val="-2"/>
        </w:rPr>
        <w:t>金额。所涉及的或有对价按其在购买日的公允价值计入合并成本，购买日后</w:t>
      </w:r>
      <w:r>
        <w:rPr>
          <w:rFonts w:ascii="Times New Roman" w:hAnsi="Times New Roman" w:cs="Times New Roman" w:eastAsia="Times New Roman" w:hint="default"/>
          <w:spacing w:val="-2"/>
        </w:rPr>
        <w:t>12</w:t>
      </w:r>
      <w:r>
        <w:rPr>
          <w:spacing w:val="-2"/>
        </w:rPr>
        <w:t>个月内出现对购买日已存在情况的新的或进一</w:t>
      </w:r>
      <w:r>
        <w:rPr>
          <w:spacing w:val="-62"/>
        </w:rPr>
        <w:t> </w:t>
      </w:r>
      <w:r>
        <w:rPr>
          <w:spacing w:val="-2"/>
        </w:rPr>
        <w:t>步证据而需要调整或有对价的，相应调整合并商誉。购买方发生的合并成本及在合并中取得的可辨认净资产按购买日的公允</w:t>
      </w:r>
      <w:r>
        <w:rPr>
          <w:spacing w:val="-64"/>
        </w:rPr>
        <w:t> </w:t>
      </w:r>
      <w:r>
        <w:rPr>
          <w:spacing w:val="-64"/>
        </w:rPr>
      </w:r>
      <w:r>
        <w:rPr>
          <w:spacing w:val="-2"/>
        </w:rPr>
        <w:t>价值计量。合并成本大于合并中取得的被购买方于购买日可辨认净资产公允价值份额的差额，确认为商誉。合并成本小于合</w:t>
      </w:r>
      <w:r>
        <w:rPr>
          <w:spacing w:val="-65"/>
        </w:rPr>
        <w:t> </w:t>
      </w:r>
      <w:r>
        <w:rPr>
          <w:spacing w:val="-65"/>
        </w:rPr>
      </w:r>
      <w:r>
        <w:rPr>
          <w:spacing w:val="-2"/>
        </w:rPr>
        <w:t>并中取得的被购买方可辨认净资产公允价值份额的，首先对取得的被购买方各项可辨认资产、负债及或有负债的公允价值以</w:t>
      </w:r>
      <w:r>
        <w:rPr>
          <w:spacing w:val="-64"/>
        </w:rPr>
        <w:t> </w:t>
      </w:r>
      <w:r>
        <w:rPr>
          <w:spacing w:val="-64"/>
        </w:rPr>
      </w:r>
      <w:r>
        <w:rPr>
          <w:spacing w:val="-2"/>
        </w:rPr>
        <w:t>及合并成本的计量进行复核，复核后合并成本仍小于合并中取得的被购买方可辨认净资产公允价值份额的，其差额计入当期</w:t>
      </w:r>
      <w:r>
        <w:rPr>
          <w:spacing w:val="-64"/>
        </w:rPr>
        <w:t> </w:t>
      </w:r>
      <w:r>
        <w:rPr>
          <w:spacing w:val="-64"/>
        </w:rPr>
      </w:r>
      <w:r>
        <w:rPr/>
        <w:t>损益。</w:t>
      </w:r>
    </w:p>
    <w:p>
      <w:pPr>
        <w:pStyle w:val="BodyText"/>
        <w:spacing w:line="312" w:lineRule="auto" w:before="57"/>
        <w:ind w:right="1130" w:firstLine="290"/>
        <w:jc w:val="both"/>
      </w:pPr>
      <w:r>
        <w:rPr>
          <w:spacing w:val="-1"/>
        </w:rPr>
        <w:t>购买方取得被购买方的可抵扣暂时性差异，在购买日因不符合递延所得税资产确认条件而未予确认的，在购买日后</w:t>
      </w:r>
      <w:r>
        <w:rPr>
          <w:rFonts w:ascii="Times New Roman" w:hAnsi="Times New Roman" w:cs="Times New Roman" w:eastAsia="Times New Roman" w:hint="default"/>
          <w:spacing w:val="-1"/>
        </w:rPr>
        <w:t>12</w:t>
      </w:r>
      <w:r>
        <w:rPr>
          <w:spacing w:val="-1"/>
        </w:rPr>
        <w:t>个</w:t>
      </w:r>
      <w:r>
        <w:rPr/>
        <w:t> </w:t>
      </w:r>
      <w:r>
        <w:rPr>
          <w:spacing w:val="-2"/>
        </w:rPr>
        <w:t>月内，如取得新的或进一步的信息表明购买日的相关情况已经存在，预期被购买方在购买日可抵扣暂时性差异带来的经济利</w:t>
      </w:r>
      <w:r>
        <w:rPr>
          <w:spacing w:val="-64"/>
        </w:rPr>
        <w:t> </w:t>
      </w:r>
      <w:r>
        <w:rPr>
          <w:spacing w:val="-64"/>
        </w:rPr>
      </w:r>
      <w:r>
        <w:rPr>
          <w:spacing w:val="-2"/>
        </w:rPr>
        <w:t>益能够实现的，则确认相关的递延所得税资产，同时减少商誉，商誉不足冲减的，差额部分确认为当期损益；除上述情况以</w:t>
      </w:r>
      <w:r>
        <w:rPr>
          <w:spacing w:val="-66"/>
        </w:rPr>
        <w:t> </w:t>
      </w:r>
      <w:r>
        <w:rPr>
          <w:spacing w:val="-66"/>
        </w:rPr>
      </w:r>
      <w:r>
        <w:rPr/>
        <w:t>外，确认与企业合并相关的递延所得税资产的，计入当期损益。</w:t>
      </w:r>
    </w:p>
    <w:p>
      <w:pPr>
        <w:pStyle w:val="BodyText"/>
        <w:spacing w:line="300" w:lineRule="auto" w:before="61"/>
        <w:ind w:right="1129" w:firstLine="397"/>
        <w:jc w:val="both"/>
      </w:pPr>
      <w:r>
        <w:rPr>
          <w:spacing w:val="-7"/>
        </w:rPr>
        <w:t>通过多次交易分步实现的非同一控制下企业合并，根据《财政部关于印发企业会计准则解释第</w:t>
      </w:r>
      <w:r>
        <w:rPr>
          <w:rFonts w:ascii="Times New Roman" w:hAnsi="Times New Roman" w:cs="Times New Roman" w:eastAsia="Times New Roman" w:hint="default"/>
          <w:spacing w:val="-7"/>
        </w:rPr>
        <w:t>5</w:t>
      </w:r>
      <w:r>
        <w:rPr>
          <w:spacing w:val="-7"/>
        </w:rPr>
        <w:t>号的通知》（财会〔</w:t>
      </w:r>
      <w:r>
        <w:rPr>
          <w:rFonts w:ascii="Times New Roman" w:hAnsi="Times New Roman" w:cs="Times New Roman" w:eastAsia="Times New Roman" w:hint="default"/>
          <w:spacing w:val="-7"/>
        </w:rPr>
        <w:t>2012</w:t>
      </w:r>
      <w:r>
        <w:rPr>
          <w:spacing w:val="-7"/>
        </w:rPr>
        <w:t>〕</w:t>
      </w:r>
      <w:r>
        <w:rPr/>
        <w:t> </w:t>
      </w:r>
      <w:r>
        <w:rPr>
          <w:rFonts w:ascii="Times New Roman" w:hAnsi="Times New Roman" w:cs="Times New Roman" w:eastAsia="Times New Roman" w:hint="default"/>
          <w:spacing w:val="-1"/>
        </w:rPr>
        <w:t>19</w:t>
      </w:r>
      <w:r>
        <w:rPr>
          <w:spacing w:val="-1"/>
        </w:rPr>
        <w:t>号）和《企业会计准则第</w:t>
      </w:r>
      <w:r>
        <w:rPr>
          <w:rFonts w:ascii="Times New Roman" w:hAnsi="Times New Roman" w:cs="Times New Roman" w:eastAsia="Times New Roman" w:hint="default"/>
          <w:spacing w:val="-1"/>
        </w:rPr>
        <w:t>33</w:t>
      </w:r>
      <w:r>
        <w:rPr>
          <w:spacing w:val="-1"/>
        </w:rPr>
        <w:t>号</w:t>
      </w:r>
      <w:r>
        <w:rPr>
          <w:rFonts w:ascii="Times New Roman" w:hAnsi="Times New Roman" w:cs="Times New Roman" w:eastAsia="Times New Roman" w:hint="default"/>
          <w:spacing w:val="-1"/>
        </w:rPr>
        <w:t>——</w:t>
      </w:r>
      <w:r>
        <w:rPr>
          <w:spacing w:val="-1"/>
        </w:rPr>
        <w:t>合并财务报表》第五十一条关于</w:t>
      </w:r>
      <w:r>
        <w:rPr>
          <w:rFonts w:ascii="Times New Roman" w:hAnsi="Times New Roman" w:cs="Times New Roman" w:eastAsia="Times New Roman" w:hint="default"/>
          <w:spacing w:val="-1"/>
        </w:rPr>
        <w:t>“</w:t>
      </w:r>
      <w:r>
        <w:rPr>
          <w:spacing w:val="-1"/>
        </w:rPr>
        <w:t>一揽子交易</w:t>
      </w:r>
      <w:r>
        <w:rPr>
          <w:rFonts w:ascii="Times New Roman" w:hAnsi="Times New Roman" w:cs="Times New Roman" w:eastAsia="Times New Roman" w:hint="default"/>
          <w:spacing w:val="-1"/>
        </w:rPr>
        <w:t>”</w:t>
      </w:r>
      <w:r>
        <w:rPr>
          <w:spacing w:val="-1"/>
        </w:rPr>
        <w:t>的判断标准，属于</w:t>
      </w:r>
      <w:r>
        <w:rPr>
          <w:rFonts w:ascii="Times New Roman" w:hAnsi="Times New Roman" w:cs="Times New Roman" w:eastAsia="Times New Roman" w:hint="default"/>
          <w:spacing w:val="-1"/>
        </w:rPr>
        <w:t>“</w:t>
      </w:r>
      <w:r>
        <w:rPr>
          <w:spacing w:val="-1"/>
        </w:rPr>
        <w:t>一揽子交易</w:t>
      </w:r>
      <w:r>
        <w:rPr>
          <w:rFonts w:ascii="Times New Roman" w:hAnsi="Times New Roman" w:cs="Times New Roman" w:eastAsia="Times New Roman" w:hint="default"/>
          <w:spacing w:val="-1"/>
        </w:rPr>
        <w:t>”</w:t>
      </w:r>
      <w:r>
        <w:rPr>
          <w:spacing w:val="-1"/>
        </w:rPr>
        <w:t>的，参考</w:t>
      </w:r>
      <w:r>
        <w:rPr>
          <w:spacing w:val="-77"/>
        </w:rPr>
        <w:t> </w:t>
      </w:r>
      <w:r>
        <w:rPr>
          <w:spacing w:val="-77"/>
        </w:rPr>
      </w:r>
      <w:r>
        <w:rPr>
          <w:spacing w:val="-1"/>
        </w:rPr>
        <w:t>本部分前面各段描述及本附注四、</w:t>
      </w:r>
      <w:r>
        <w:rPr>
          <w:rFonts w:ascii="Times New Roman" w:hAnsi="Times New Roman" w:cs="Times New Roman" w:eastAsia="Times New Roman" w:hint="default"/>
          <w:spacing w:val="-1"/>
        </w:rPr>
        <w:t>11</w:t>
      </w:r>
      <w:r>
        <w:rPr>
          <w:rFonts w:ascii="Times New Roman" w:hAnsi="Times New Roman" w:cs="Times New Roman" w:eastAsia="Times New Roman" w:hint="default"/>
          <w:spacing w:val="-1"/>
        </w:rPr>
        <w:t>“</w:t>
      </w:r>
      <w:r>
        <w:rPr>
          <w:spacing w:val="-1"/>
        </w:rPr>
        <w:t>长期股权投资</w:t>
      </w:r>
      <w:r>
        <w:rPr>
          <w:rFonts w:ascii="Times New Roman" w:hAnsi="Times New Roman" w:cs="Times New Roman" w:eastAsia="Times New Roman" w:hint="default"/>
          <w:spacing w:val="-1"/>
        </w:rPr>
        <w:t>”</w:t>
      </w:r>
      <w:r>
        <w:rPr>
          <w:spacing w:val="-1"/>
        </w:rPr>
        <w:t>进行会计处理；不属于</w:t>
      </w:r>
      <w:r>
        <w:rPr>
          <w:rFonts w:ascii="Times New Roman" w:hAnsi="Times New Roman" w:cs="Times New Roman" w:eastAsia="Times New Roman" w:hint="default"/>
          <w:spacing w:val="-1"/>
        </w:rPr>
        <w:t>“</w:t>
      </w:r>
      <w:r>
        <w:rPr>
          <w:spacing w:val="-1"/>
        </w:rPr>
        <w:t>一揽子交易</w:t>
      </w:r>
      <w:r>
        <w:rPr>
          <w:rFonts w:ascii="Times New Roman" w:hAnsi="Times New Roman" w:cs="Times New Roman" w:eastAsia="Times New Roman" w:hint="default"/>
          <w:spacing w:val="-1"/>
        </w:rPr>
        <w:t>”</w:t>
      </w:r>
      <w:r>
        <w:rPr>
          <w:spacing w:val="-1"/>
        </w:rPr>
        <w:t>的，区分个别财务报表和合并财务</w:t>
      </w:r>
      <w:r>
        <w:rPr>
          <w:spacing w:val="-78"/>
        </w:rPr>
        <w:t> </w:t>
      </w:r>
      <w:r>
        <w:rPr>
          <w:spacing w:val="-78"/>
        </w:rPr>
      </w:r>
      <w:r>
        <w:rPr/>
        <w:t>报表进行相关会计处理：</w:t>
      </w:r>
    </w:p>
    <w:p>
      <w:pPr>
        <w:pStyle w:val="BodyText"/>
        <w:spacing w:line="240" w:lineRule="auto" w:before="70"/>
        <w:ind w:left="371" w:right="0"/>
        <w:jc w:val="left"/>
      </w:pPr>
      <w:r>
        <w:rPr/>
        <w:t>在个别财务报表中，以购买日之前所持被购买方的股权投资的账面价值与购买日新增投资成本之和，作为该项投资的初</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1132"/>
        <w:jc w:val="both"/>
      </w:pPr>
      <w:r>
        <w:rPr>
          <w:spacing w:val="-2"/>
        </w:rPr>
        <w:t>始投资成本；购买日之前持有的被购买方的股权涉及其他综合收益的，在处置该项投资时将与其相关的其他综合收益采用与</w:t>
      </w:r>
      <w:r>
        <w:rPr>
          <w:spacing w:val="-64"/>
        </w:rPr>
        <w:t> </w:t>
      </w:r>
      <w:r>
        <w:rPr>
          <w:spacing w:val="-64"/>
        </w:rPr>
      </w:r>
      <w:r>
        <w:rPr>
          <w:spacing w:val="-2"/>
        </w:rPr>
        <w:t>被购买方直接处置相关资产或负债相同的基础进行会计处理（即，除了按照权益法核算的在被购买方重新计量设定受益计划</w:t>
      </w:r>
      <w:r>
        <w:rPr>
          <w:spacing w:val="-64"/>
        </w:rPr>
        <w:t> </w:t>
      </w:r>
      <w:r>
        <w:rPr>
          <w:spacing w:val="-64"/>
        </w:rPr>
      </w:r>
      <w:r>
        <w:rPr/>
        <w:t>净负债或净资产导致的变动中的相应份额以外，其余转入当期投资收益）。</w:t>
      </w:r>
    </w:p>
    <w:p>
      <w:pPr>
        <w:pStyle w:val="BodyText"/>
        <w:spacing w:line="319" w:lineRule="auto" w:before="55"/>
        <w:ind w:right="0" w:firstLine="217"/>
        <w:jc w:val="left"/>
      </w:pPr>
      <w:r>
        <w:rPr/>
        <w:t>在合并财务报表中，对于购买日之前持有的被购买方的股权，按照该股权在购买日的公允价值进行重新计量，公允价值 </w:t>
      </w:r>
      <w:r>
        <w:rPr>
          <w:spacing w:val="-2"/>
        </w:rPr>
        <w:t>与其账面价值的差额计入当期投资收益；购买日之前持有的被购买方的股权涉及其他综合收益的，与其相关的其他综合收益</w:t>
      </w:r>
      <w:r>
        <w:rPr>
          <w:spacing w:val="-64"/>
        </w:rPr>
        <w:t> </w:t>
      </w:r>
      <w:r>
        <w:rPr>
          <w:spacing w:val="-64"/>
        </w:rPr>
      </w:r>
      <w:r>
        <w:rPr>
          <w:spacing w:val="-2"/>
        </w:rPr>
        <w:t>应当采用与被购买方直接处置相关资产或负债相同的基础进行会计处理（即，除了按照权益法核算的在被购买方重新计量设</w:t>
      </w:r>
      <w:r>
        <w:rPr>
          <w:spacing w:val="-64"/>
        </w:rPr>
        <w:t> </w:t>
      </w:r>
      <w:r>
        <w:rPr>
          <w:spacing w:val="-64"/>
        </w:rPr>
      </w:r>
      <w:r>
        <w:rPr/>
        <w:t>定受益计划净负债或净资产导致的变动中的相应份额以外，其余转为购买日所属当期投资收益）。</w:t>
      </w:r>
    </w:p>
    <w:p>
      <w:pPr>
        <w:spacing w:line="240" w:lineRule="auto" w:before="4"/>
        <w:rPr>
          <w:rFonts w:ascii="宋体" w:hAnsi="宋体" w:cs="宋体" w:eastAsia="宋体" w:hint="default"/>
          <w:sz w:val="22"/>
          <w:szCs w:val="22"/>
        </w:rPr>
      </w:pPr>
    </w:p>
    <w:p>
      <w:pPr>
        <w:pStyle w:val="Heading4"/>
        <w:spacing w:line="240" w:lineRule="auto"/>
        <w:ind w:right="0"/>
        <w:jc w:val="left"/>
        <w:rPr>
          <w:b w:val="0"/>
          <w:bCs w:val="0"/>
        </w:rPr>
      </w:pPr>
      <w:bookmarkStart w:name="6、合并财务报表的编制方法" w:id="177"/>
      <w:bookmarkEnd w:id="177"/>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left="444" w:right="0" w:hanging="74"/>
        <w:jc w:val="left"/>
      </w:pPr>
      <w:r>
        <w:rPr/>
        <w:t>（</w:t>
      </w:r>
      <w:r>
        <w:rPr>
          <w:rFonts w:ascii="Times New Roman" w:hAnsi="Times New Roman" w:cs="Times New Roman" w:eastAsia="Times New Roman" w:hint="default"/>
        </w:rPr>
        <w:t>1</w:t>
      </w:r>
      <w:r>
        <w:rPr/>
        <w:t>）合并财务报表范围的确定原则 </w:t>
      </w:r>
      <w:r>
        <w:rPr>
          <w:spacing w:val="-1"/>
        </w:rPr>
        <w:t>合并财务报表的合并范围以控制为基础予以确定。控制是指本公司拥有对被投资方的权力，通过参与被投资方的相关活</w:t>
      </w:r>
    </w:p>
    <w:p>
      <w:pPr>
        <w:pStyle w:val="BodyText"/>
        <w:spacing w:line="319" w:lineRule="auto" w:before="2"/>
        <w:ind w:right="0"/>
        <w:jc w:val="left"/>
      </w:pPr>
      <w:r>
        <w:rPr>
          <w:spacing w:val="-2"/>
        </w:rPr>
        <w:t>动而享有可变回报，并且有能力运用对被投资方的权力影响该回报金额。合并范围包括本公司及全部子公司。子公司，是指</w:t>
      </w:r>
      <w:r>
        <w:rPr>
          <w:spacing w:val="-66"/>
        </w:rPr>
        <w:t> </w:t>
      </w:r>
      <w:r>
        <w:rPr>
          <w:spacing w:val="-66"/>
        </w:rPr>
      </w:r>
      <w:r>
        <w:rPr/>
        <w:t>被本公司控制的主体。</w:t>
      </w:r>
    </w:p>
    <w:p>
      <w:pPr>
        <w:pStyle w:val="BodyText"/>
        <w:spacing w:line="240" w:lineRule="auto" w:before="56"/>
        <w:ind w:left="444" w:right="0"/>
        <w:jc w:val="left"/>
      </w:pPr>
      <w:r>
        <w:rPr/>
        <w:t>一旦相关事实和情况的变化导致上述控制定义涉及的相关要素发生了变化，本公司将进行重新评估。</w:t>
      </w:r>
    </w:p>
    <w:p>
      <w:pPr>
        <w:pStyle w:val="BodyText"/>
        <w:spacing w:line="338" w:lineRule="auto" w:before="116"/>
        <w:ind w:left="444" w:right="0" w:hanging="74"/>
        <w:jc w:val="left"/>
      </w:pPr>
      <w:r>
        <w:rPr/>
        <w:t>（</w:t>
      </w:r>
      <w:r>
        <w:rPr>
          <w:rFonts w:ascii="Times New Roman" w:hAnsi="Times New Roman" w:cs="Times New Roman" w:eastAsia="Times New Roman" w:hint="default"/>
        </w:rPr>
        <w:t>2</w:t>
      </w:r>
      <w:r>
        <w:rPr/>
        <w:t>）合并财务报表编制的方法 </w:t>
      </w:r>
      <w:r>
        <w:rPr>
          <w:spacing w:val="-1"/>
        </w:rPr>
        <w:t>从取得子公司的净资产和生产经营决策的实际控制权之日起，本公司开始将其纳入合并范围；从丧失实际控制权之日起</w:t>
      </w:r>
    </w:p>
    <w:p>
      <w:pPr>
        <w:pStyle w:val="BodyText"/>
        <w:spacing w:line="319" w:lineRule="auto" w:before="2"/>
        <w:ind w:right="0"/>
        <w:jc w:val="left"/>
      </w:pPr>
      <w:r>
        <w:rPr>
          <w:spacing w:val="-4"/>
        </w:rPr>
        <w:t>停止纳入合并范围。对于处置的子公司，处置日前的经营成果和现金流量已经适当地包括在合并利润表和合并现金流量表中；</w:t>
      </w:r>
      <w:r>
        <w:rPr>
          <w:spacing w:val="-44"/>
        </w:rPr>
        <w:t> </w:t>
      </w:r>
      <w:r>
        <w:rPr>
          <w:spacing w:val="-44"/>
        </w:rPr>
      </w:r>
      <w:r>
        <w:rPr>
          <w:spacing w:val="-2"/>
        </w:rPr>
        <w:t>当期处置的子公司，不调整合并资产负债表的期初数。非同一控制下企业合并增加的子公司，其购买日后的经营成果及现金</w:t>
      </w:r>
      <w:r>
        <w:rPr>
          <w:spacing w:val="-66"/>
        </w:rPr>
        <w:t> </w:t>
      </w:r>
      <w:r>
        <w:rPr>
          <w:spacing w:val="-66"/>
        </w:rPr>
      </w:r>
      <w:r>
        <w:rPr>
          <w:spacing w:val="-2"/>
        </w:rPr>
        <w:t>流量已经适当地包括在合并利润表和合并现金流量表中，且不调整合并财务报表的期初数和对比数。同一控制下企业合并增</w:t>
      </w:r>
      <w:r>
        <w:rPr>
          <w:spacing w:val="-64"/>
        </w:rPr>
        <w:t> </w:t>
      </w:r>
      <w:r>
        <w:rPr>
          <w:spacing w:val="-64"/>
        </w:rPr>
      </w:r>
      <w:r>
        <w:rPr>
          <w:spacing w:val="-2"/>
        </w:rPr>
        <w:t>加的子公司及吸收合并下的被合并方，其自合并当期期初至合并日的经营成果和现金流量已经适当地包括在合并利润表和合</w:t>
      </w:r>
      <w:r>
        <w:rPr>
          <w:spacing w:val="-64"/>
        </w:rPr>
        <w:t> </w:t>
      </w:r>
      <w:r>
        <w:rPr>
          <w:spacing w:val="-64"/>
        </w:rPr>
      </w:r>
      <w:r>
        <w:rPr/>
        <w:t>并现金流量表中，并且同时调整合并财务报表的对比数。</w:t>
      </w:r>
    </w:p>
    <w:p>
      <w:pPr>
        <w:pStyle w:val="BodyText"/>
        <w:spacing w:line="319" w:lineRule="auto" w:before="56"/>
        <w:ind w:right="1130" w:firstLine="290"/>
        <w:jc w:val="both"/>
      </w:pPr>
      <w:r>
        <w:rPr>
          <w:spacing w:val="-1"/>
        </w:rPr>
        <w:t>在编制合并财务报表时，子公司与本公司采用的会计政策或会计期间不一致的，按照本公司的会计政策和会计期间对子</w:t>
      </w:r>
      <w:r>
        <w:rPr/>
        <w:t> </w:t>
      </w:r>
      <w:r>
        <w:rPr>
          <w:spacing w:val="-2"/>
        </w:rPr>
        <w:t>公司财务报表进行必要的调整。对于非同一控制下企业合并取得的子公司，以购买日可辨认净资产公允价值为基础对其财务</w:t>
      </w:r>
      <w:r>
        <w:rPr>
          <w:spacing w:val="-63"/>
        </w:rPr>
        <w:t> </w:t>
      </w:r>
      <w:r>
        <w:rPr>
          <w:spacing w:val="-63"/>
        </w:rPr>
      </w:r>
      <w:r>
        <w:rPr/>
        <w:t>报表进行调整。</w:t>
      </w:r>
    </w:p>
    <w:p>
      <w:pPr>
        <w:pStyle w:val="BodyText"/>
        <w:spacing w:line="357" w:lineRule="auto" w:before="56"/>
        <w:ind w:left="371" w:right="1175"/>
        <w:jc w:val="left"/>
      </w:pPr>
      <w:r>
        <w:rPr/>
        <w:t>公司内所有重大往来余额、交易及未实现利润在合并财务报表编制时予以抵销。 子公司的股东权益及当期净损益中不属于本公司所拥有的部分分别作为少数股东权益及少数股东损益在合并财务报表中</w:t>
      </w:r>
    </w:p>
    <w:p>
      <w:pPr>
        <w:pStyle w:val="BodyText"/>
        <w:spacing w:line="237" w:lineRule="exact"/>
        <w:ind w:right="0"/>
        <w:jc w:val="left"/>
      </w:pPr>
      <w:r>
        <w:rPr/>
        <w:t>股东权益及净利润项下单独列示。子公司当期净损益中属于少数股东权益的份额，在合并利润表中净利润项目下以</w:t>
      </w:r>
      <w:r>
        <w:rPr>
          <w:rFonts w:ascii="Times New Roman" w:hAnsi="Times New Roman" w:cs="Times New Roman" w:eastAsia="Times New Roman" w:hint="default"/>
        </w:rPr>
        <w:t>“</w:t>
      </w:r>
      <w:r>
        <w:rPr/>
        <w:t>少数股</w:t>
      </w:r>
    </w:p>
    <w:p>
      <w:pPr>
        <w:pStyle w:val="BodyText"/>
        <w:spacing w:line="302" w:lineRule="auto" w:before="63"/>
        <w:ind w:right="1132"/>
        <w:jc w:val="left"/>
      </w:pPr>
      <w:r>
        <w:rPr/>
        <w:t>东损益</w:t>
      </w:r>
      <w:r>
        <w:rPr>
          <w:rFonts w:ascii="Times New Roman" w:hAnsi="Times New Roman" w:cs="Times New Roman" w:eastAsia="Times New Roman" w:hint="default"/>
        </w:rPr>
        <w:t>”</w:t>
      </w:r>
      <w:r>
        <w:rPr/>
        <w:t>项目列示。少数股东分担的子公司的亏损超过了少数股东在该子公司期初股东权益中所享有的份额，冲减少数股东 权益。</w:t>
      </w:r>
    </w:p>
    <w:p>
      <w:pPr>
        <w:pStyle w:val="BodyText"/>
        <w:spacing w:line="312" w:lineRule="auto" w:before="68"/>
        <w:ind w:right="1122" w:firstLine="217"/>
        <w:jc w:val="left"/>
      </w:pPr>
      <w:r>
        <w:rPr/>
        <w:t>当因处置部分股权投资或其他原因丧失了对原有子公司的控制权时，对于剩余股权，按照其在丧失控制权日的公允价值 </w:t>
      </w:r>
      <w:r>
        <w:rPr>
          <w:spacing w:val="-2"/>
        </w:rPr>
        <w:t>进行重新计量。处置股权取得的对价与剩余股权公允价值之和，减去按原持股比例计算应享有原有子公司自购买日开始持续</w:t>
      </w:r>
      <w:r>
        <w:rPr>
          <w:spacing w:val="-64"/>
        </w:rPr>
        <w:t> </w:t>
      </w:r>
      <w:r>
        <w:rPr>
          <w:spacing w:val="-64"/>
        </w:rPr>
      </w:r>
      <w:r>
        <w:rPr>
          <w:spacing w:val="-2"/>
        </w:rPr>
        <w:t>计算的净资产的份额之间的差额，计入丧失控制权当期的投资收益。与原有子公司股权投资相关的其他综合收益，在丧失控</w:t>
      </w:r>
      <w:r>
        <w:rPr>
          <w:spacing w:val="-66"/>
        </w:rPr>
        <w:t> </w:t>
      </w:r>
      <w:r>
        <w:rPr>
          <w:spacing w:val="-66"/>
        </w:rPr>
      </w:r>
      <w:r>
        <w:rPr>
          <w:spacing w:val="-2"/>
        </w:rPr>
        <w:t>制权时采用与被购买方直接处置相关资产或负债相同的基础进行会计处理（即，除了在该原有子公司重新计量设定受益计划</w:t>
      </w:r>
      <w:r>
        <w:rPr>
          <w:spacing w:val="-64"/>
        </w:rPr>
        <w:t> </w:t>
      </w:r>
      <w:r>
        <w:rPr>
          <w:spacing w:val="-64"/>
        </w:rPr>
      </w:r>
      <w:r>
        <w:rPr/>
        <w:t>净负债或净资产导致的变动以外，其余一并转为当期投资收益）。其后，对该部分剩余股权按照《企业会计准则第</w:t>
      </w:r>
      <w:r>
        <w:rPr>
          <w:rFonts w:ascii="Times New Roman" w:hAnsi="Times New Roman" w:cs="Times New Roman" w:eastAsia="Times New Roman" w:hint="default"/>
        </w:rPr>
        <w:t>2</w:t>
      </w:r>
      <w:r>
        <w:rPr/>
        <w:t>号</w:t>
      </w:r>
      <w:r>
        <w:rPr>
          <w:rFonts w:ascii="Times New Roman" w:hAnsi="Times New Roman" w:cs="Times New Roman" w:eastAsia="Times New Roman" w:hint="default"/>
        </w:rPr>
        <w:t>—— </w:t>
      </w:r>
      <w:r>
        <w:rPr/>
        <w:t>长期股权投资》或《企业会计准则第</w:t>
      </w:r>
      <w:r>
        <w:rPr>
          <w:rFonts w:ascii="Times New Roman" w:hAnsi="Times New Roman" w:cs="Times New Roman" w:eastAsia="Times New Roman" w:hint="default"/>
        </w:rPr>
        <w:t>22</w:t>
      </w:r>
      <w:r>
        <w:rPr/>
        <w:t>号</w:t>
      </w:r>
      <w:r>
        <w:rPr>
          <w:rFonts w:ascii="Times New Roman" w:hAnsi="Times New Roman" w:cs="Times New Roman" w:eastAsia="Times New Roman" w:hint="default"/>
        </w:rPr>
        <w:t>——</w:t>
      </w:r>
      <w:r>
        <w:rPr/>
        <w:t>金融工具确认和计量》等相关规定进行后续计量，详见本附注四、</w:t>
      </w:r>
      <w:r>
        <w:rPr>
          <w:rFonts w:ascii="Times New Roman" w:hAnsi="Times New Roman" w:cs="Times New Roman" w:eastAsia="Times New Roman" w:hint="default"/>
        </w:rPr>
        <w:t>11</w:t>
      </w:r>
      <w:r>
        <w:rPr>
          <w:rFonts w:ascii="Times New Roman" w:hAnsi="Times New Roman" w:cs="Times New Roman" w:eastAsia="Times New Roman" w:hint="default"/>
        </w:rPr>
        <w:t>“</w:t>
      </w:r>
      <w:r>
        <w:rPr/>
        <w:t>长期股 权投资</w:t>
      </w:r>
      <w:r>
        <w:rPr>
          <w:rFonts w:ascii="Times New Roman" w:hAnsi="Times New Roman" w:cs="Times New Roman" w:eastAsia="Times New Roman" w:hint="default"/>
        </w:rPr>
        <w:t>”</w:t>
      </w:r>
      <w:r>
        <w:rPr/>
        <w:t>或本附注四、</w:t>
      </w:r>
      <w:r>
        <w:rPr>
          <w:rFonts w:ascii="Times New Roman" w:hAnsi="Times New Roman" w:cs="Times New Roman" w:eastAsia="Times New Roman" w:hint="default"/>
        </w:rPr>
        <w:t>8</w:t>
      </w:r>
      <w:r>
        <w:rPr>
          <w:rFonts w:ascii="Times New Roman" w:hAnsi="Times New Roman" w:cs="Times New Roman" w:eastAsia="Times New Roman" w:hint="default"/>
        </w:rPr>
        <w:t>“</w:t>
      </w:r>
      <w:r>
        <w:rPr/>
        <w:t>金融工具</w:t>
      </w:r>
      <w:r>
        <w:rPr>
          <w:rFonts w:ascii="Times New Roman" w:hAnsi="Times New Roman" w:cs="Times New Roman" w:eastAsia="Times New Roman" w:hint="default"/>
        </w:rPr>
        <w:t>”</w:t>
      </w:r>
      <w:r>
        <w:rPr/>
        <w:t>。</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bookmarkStart w:name="7、合营安排分类及共同经营会计处理方法" w:id="178"/>
      <w:bookmarkEnd w:id="178"/>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371" w:right="0"/>
        <w:jc w:val="left"/>
      </w:pPr>
      <w:r>
        <w:rPr/>
        <w:t>无。</w:t>
      </w:r>
    </w:p>
    <w:p>
      <w:pPr>
        <w:spacing w:after="0" w:line="240"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8、现金及现金等价物的确定标准" w:id="179"/>
      <w:bookmarkEnd w:id="179"/>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1175" w:firstLine="217"/>
        <w:jc w:val="left"/>
      </w:pPr>
      <w:r>
        <w:rPr/>
        <w:t>本公司现金及现金等价物包括库存现金、可以随时用于支付的存款以及本公司持有的期限短（一般为从购买日起，三个 月内到期）、流动性强、易于转换为已知金额的现金、价值变动风险很小的投资。</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4"/>
        <w:spacing w:line="240" w:lineRule="auto"/>
        <w:ind w:right="0"/>
        <w:jc w:val="left"/>
        <w:rPr>
          <w:b w:val="0"/>
          <w:bCs w:val="0"/>
        </w:rPr>
      </w:pPr>
      <w:bookmarkStart w:name="9、外币业务和外币报表折算" w:id="180"/>
      <w:bookmarkEnd w:id="180"/>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left="371" w:right="1175"/>
        <w:jc w:val="left"/>
      </w:pPr>
      <w:r>
        <w:rPr/>
        <w:t>（</w:t>
      </w:r>
      <w:r>
        <w:rPr>
          <w:rFonts w:ascii="Times New Roman" w:hAnsi="Times New Roman" w:cs="Times New Roman" w:eastAsia="Times New Roman" w:hint="default"/>
        </w:rPr>
        <w:t>1</w:t>
      </w:r>
      <w:r>
        <w:rPr/>
        <w:t>）外币交易的折算方法 本公司发生的外币交易在初始确认时，按交易日的即期汇率近似汇率（通常指交易发生日当月月初的汇率）折算为记账</w:t>
      </w:r>
    </w:p>
    <w:p>
      <w:pPr>
        <w:pStyle w:val="BodyText"/>
        <w:spacing w:line="240" w:lineRule="auto" w:before="4"/>
        <w:ind w:right="0"/>
        <w:jc w:val="left"/>
      </w:pPr>
      <w:r>
        <w:rPr/>
        <w:t>本位币金额，但公司发生的外币兑换业务或涉及外币兑换的交易事项，按照实际采用的汇率折算为记账本位币金额。</w:t>
      </w:r>
    </w:p>
    <w:p>
      <w:pPr>
        <w:pStyle w:val="BodyText"/>
        <w:spacing w:line="338" w:lineRule="auto" w:before="116"/>
        <w:ind w:left="371" w:right="1175"/>
        <w:jc w:val="left"/>
      </w:pPr>
      <w:r>
        <w:rPr/>
        <w:t>（</w:t>
      </w:r>
      <w:r>
        <w:rPr>
          <w:rFonts w:ascii="Times New Roman" w:hAnsi="Times New Roman" w:cs="Times New Roman" w:eastAsia="Times New Roman" w:hint="default"/>
        </w:rPr>
        <w:t>2</w:t>
      </w:r>
      <w:r>
        <w:rPr/>
        <w:t>）对于外币货币性项目和外币非货币性项目的折算方法 资产负债表日，对于外币货币性项目采用资产负债表日即期汇率折算，由此产生的汇兑差额，除：①属于与购建符合资</w:t>
      </w:r>
    </w:p>
    <w:p>
      <w:pPr>
        <w:pStyle w:val="BodyText"/>
        <w:spacing w:line="319" w:lineRule="auto" w:before="2"/>
        <w:ind w:right="0"/>
        <w:jc w:val="left"/>
      </w:pPr>
      <w:r>
        <w:rPr>
          <w:spacing w:val="-2"/>
        </w:rPr>
        <w:t>本化条件的资产相关的外币专门借款产生的汇兑差额按照借款费用资本化的原则处理；②可供出售的外币货币性项目除摊余</w:t>
      </w:r>
      <w:r>
        <w:rPr>
          <w:spacing w:val="-64"/>
        </w:rPr>
        <w:t> </w:t>
      </w:r>
      <w:r>
        <w:rPr>
          <w:spacing w:val="-64"/>
        </w:rPr>
      </w:r>
      <w:r>
        <w:rPr/>
        <w:t>成本之外的其他账面余额变动产生的汇兑差额计入其他综合收益之外，均计入当期损益。</w:t>
      </w:r>
    </w:p>
    <w:p>
      <w:pPr>
        <w:pStyle w:val="BodyText"/>
        <w:spacing w:line="319" w:lineRule="auto" w:before="56"/>
        <w:ind w:right="0" w:firstLine="217"/>
        <w:jc w:val="left"/>
      </w:pPr>
      <w:r>
        <w:rPr/>
        <w:t>以历史成本计量的外币非货币性项目，仍采用交易发生日的即期汇率折算的记账本位币金额计量。以公允价值计量的外 </w:t>
      </w:r>
      <w:r>
        <w:rPr>
          <w:spacing w:val="-2"/>
        </w:rPr>
        <w:t>币非货币性项目，采用公允价值确定日的即期汇率折算，折算后的记账本位币金额与原记账本位币金额的差额，作为公允价</w:t>
      </w:r>
      <w:r>
        <w:rPr>
          <w:spacing w:val="-66"/>
        </w:rPr>
        <w:t> </w:t>
      </w:r>
      <w:r>
        <w:rPr>
          <w:spacing w:val="-66"/>
        </w:rPr>
      </w:r>
      <w:r>
        <w:rPr/>
        <w:t>值变动（含汇率变动）处理，计入当期损益或确认为其他综合收益并计入资本公积。</w:t>
      </w:r>
    </w:p>
    <w:p>
      <w:pPr>
        <w:pStyle w:val="BodyText"/>
        <w:spacing w:line="338" w:lineRule="auto" w:before="56"/>
        <w:ind w:left="371" w:right="1175"/>
        <w:jc w:val="left"/>
      </w:pPr>
      <w:r>
        <w:rPr/>
        <w:t>（</w:t>
      </w:r>
      <w:r>
        <w:rPr>
          <w:rFonts w:ascii="Times New Roman" w:hAnsi="Times New Roman" w:cs="Times New Roman" w:eastAsia="Times New Roman" w:hint="default"/>
        </w:rPr>
        <w:t>3</w:t>
      </w:r>
      <w:r>
        <w:rPr/>
        <w:t>）外币财务报表的折算方法 编制合并财务报表涉及境外经营的，如有实质上构成对境外经营净投资的外币货币性项目，因汇率变动而产生的汇兑差</w:t>
      </w:r>
    </w:p>
    <w:p>
      <w:pPr>
        <w:pStyle w:val="BodyText"/>
        <w:spacing w:line="338" w:lineRule="auto" w:before="4"/>
        <w:ind w:left="371" w:right="1175" w:hanging="218"/>
        <w:jc w:val="left"/>
      </w:pPr>
      <w:r>
        <w:rPr/>
        <w:t>额，列入股东权益</w:t>
      </w:r>
      <w:r>
        <w:rPr>
          <w:rFonts w:ascii="Times New Roman" w:hAnsi="Times New Roman" w:cs="Times New Roman" w:eastAsia="Times New Roman" w:hint="default"/>
        </w:rPr>
        <w:t>“</w:t>
      </w:r>
      <w:r>
        <w:rPr/>
        <w:t>外币报表折算差额</w:t>
      </w:r>
      <w:r>
        <w:rPr>
          <w:rFonts w:ascii="Times New Roman" w:hAnsi="Times New Roman" w:cs="Times New Roman" w:eastAsia="Times New Roman" w:hint="default"/>
        </w:rPr>
        <w:t>”</w:t>
      </w:r>
      <w:r>
        <w:rPr/>
        <w:t>项目；处置境外经营时，计入处置当期损益。 境外经营的外币财务报表按以下方法折算为人民币报表：资产负债表中的资产和负债项目，采用资产负债表日的即期汇</w:t>
      </w:r>
    </w:p>
    <w:p>
      <w:pPr>
        <w:pStyle w:val="BodyText"/>
        <w:spacing w:line="314" w:lineRule="auto" w:before="2"/>
        <w:ind w:right="0"/>
        <w:jc w:val="left"/>
      </w:pPr>
      <w:r>
        <w:rPr/>
        <w:t>率折算；股东权益类项目除</w:t>
      </w:r>
      <w:r>
        <w:rPr>
          <w:rFonts w:ascii="Times New Roman" w:hAnsi="Times New Roman" w:cs="Times New Roman" w:eastAsia="Times New Roman" w:hint="default"/>
        </w:rPr>
        <w:t>“</w:t>
      </w:r>
      <w:r>
        <w:rPr/>
        <w:t>未分配利润</w:t>
      </w:r>
      <w:r>
        <w:rPr>
          <w:rFonts w:ascii="Times New Roman" w:hAnsi="Times New Roman" w:cs="Times New Roman" w:eastAsia="Times New Roman" w:hint="default"/>
        </w:rPr>
        <w:t>”</w:t>
      </w:r>
      <w:r>
        <w:rPr/>
        <w:t>项目外，其他项目采用发生时的即期近似汇率折算。利润表中的收入和费用项目，</w:t>
      </w:r>
      <w:r>
        <w:rPr>
          <w:spacing w:val="-69"/>
        </w:rPr>
        <w:t> </w:t>
      </w:r>
      <w:r>
        <w:rPr>
          <w:spacing w:val="-69"/>
        </w:rPr>
      </w:r>
      <w:r>
        <w:rPr>
          <w:spacing w:val="-2"/>
        </w:rPr>
        <w:t>采用交易发生日的即期近似汇率折算。年初未分配利润为上一年折算后的年末未分配利润；年末未分配利润按折算后的利润</w:t>
      </w:r>
      <w:r>
        <w:rPr>
          <w:spacing w:val="-64"/>
        </w:rPr>
        <w:t> </w:t>
      </w:r>
      <w:r>
        <w:rPr>
          <w:spacing w:val="-64"/>
        </w:rPr>
      </w:r>
      <w:r>
        <w:rPr>
          <w:spacing w:val="-2"/>
        </w:rPr>
        <w:t>分配各项目计算列示；折算后资产类项目与负债类项目和股东权益类项目合计数的差额，作为外币报表折算差额，确认为其</w:t>
      </w:r>
      <w:r>
        <w:rPr>
          <w:spacing w:val="-66"/>
        </w:rPr>
        <w:t> </w:t>
      </w:r>
      <w:r>
        <w:rPr>
          <w:spacing w:val="-66"/>
        </w:rPr>
      </w:r>
      <w:r>
        <w:rPr>
          <w:spacing w:val="-2"/>
        </w:rPr>
        <w:t>他综合收益并在资产负债表中股东权益项目下单独列示。处置境外经营并丧失控制权时，将资产负债表中股东权益项目下列</w:t>
      </w:r>
      <w:r>
        <w:rPr>
          <w:spacing w:val="-64"/>
        </w:rPr>
        <w:t> </w:t>
      </w:r>
      <w:r>
        <w:rPr>
          <w:spacing w:val="-64"/>
        </w:rPr>
      </w:r>
      <w:r>
        <w:rPr/>
        <w:t>示的、与该境外经营相关的外币报表折算差额，全部或按处置该境外经营的比例转入处置当期损益。</w:t>
      </w:r>
    </w:p>
    <w:p>
      <w:pPr>
        <w:pStyle w:val="BodyText"/>
        <w:spacing w:line="319" w:lineRule="auto" w:before="59"/>
        <w:ind w:right="1175" w:firstLine="217"/>
        <w:jc w:val="left"/>
      </w:pPr>
      <w:r>
        <w:rPr/>
        <w:t>外币现金流量，采用现金流量发生日的即期近似汇率折算。汇率变动对现金的影响额作为调节项目，在现金流量表中单 独列报。</w:t>
      </w:r>
    </w:p>
    <w:p>
      <w:pPr>
        <w:pStyle w:val="BodyText"/>
        <w:spacing w:line="240" w:lineRule="auto" w:before="56"/>
        <w:ind w:left="371" w:right="0"/>
        <w:jc w:val="left"/>
      </w:pPr>
      <w:r>
        <w:rPr/>
        <w:t>年初余额和上年实际数按照上年财务报表折算后的数额列示。</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10、金融工具" w:id="181"/>
      <w:bookmarkEnd w:id="181"/>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8"/>
        <w:rPr>
          <w:rFonts w:ascii="宋体" w:hAnsi="宋体" w:cs="宋体" w:eastAsia="宋体" w:hint="default"/>
          <w:b/>
          <w:bCs/>
          <w:sz w:val="26"/>
          <w:szCs w:val="26"/>
        </w:rPr>
      </w:pPr>
    </w:p>
    <w:p>
      <w:pPr>
        <w:pStyle w:val="BodyText"/>
        <w:spacing w:line="316" w:lineRule="auto"/>
        <w:ind w:right="0" w:firstLine="360"/>
        <w:jc w:val="left"/>
      </w:pPr>
      <w:r>
        <w:rPr>
          <w:spacing w:val="-2"/>
        </w:rPr>
        <w:t>在本公司成为金融工具合同的一方时确认一项金融资产或金融负债。金融资产和金融负债在初始确认时以公允价值计量。</w:t>
      </w:r>
      <w:r>
        <w:rPr/>
        <w:t> 对于以公允价值计量且其变动计入当期损益的金融资产和金融负债，相关的交易费用直接计入损益，对于其他类别的金融资 产和金融负债，相关交易费用计入初始确认金额。</w:t>
      </w:r>
    </w:p>
    <w:p>
      <w:pPr>
        <w:pStyle w:val="BodyText"/>
        <w:spacing w:line="300" w:lineRule="auto" w:before="19"/>
        <w:ind w:left="514" w:right="0"/>
        <w:jc w:val="left"/>
      </w:pPr>
      <w:r>
        <w:rPr/>
        <w:t>（</w:t>
      </w:r>
      <w:r>
        <w:rPr>
          <w:rFonts w:ascii="Times New Roman" w:hAnsi="Times New Roman" w:cs="Times New Roman" w:eastAsia="Times New Roman" w:hint="default"/>
        </w:rPr>
        <w:t>1</w:t>
      </w:r>
      <w:r>
        <w:rPr/>
        <w:t>）金融资产和金融负债的公允价值确定方法 </w:t>
      </w:r>
      <w:r>
        <w:rPr>
          <w:spacing w:val="-2"/>
        </w:rPr>
        <w:t>公允价值，是指市场参与者在计量日发生的有序交易中，出售一项资产所能收到或者转移一项负债所需支付的价格。金</w:t>
      </w:r>
    </w:p>
    <w:p>
      <w:pPr>
        <w:pStyle w:val="BodyText"/>
        <w:spacing w:line="319" w:lineRule="auto" w:before="30"/>
        <w:ind w:right="1032"/>
        <w:jc w:val="left"/>
      </w:pPr>
      <w:r>
        <w:rPr>
          <w:spacing w:val="-5"/>
        </w:rPr>
        <w:t>融工具存在活跃市场的，本公司采用活跃市场中的报价确定其公允价值。活跃市场中的报价是指易于定期从交易所、经纪商、</w:t>
      </w:r>
      <w:r>
        <w:rPr>
          <w:spacing w:val="-79"/>
        </w:rPr>
        <w:t> </w:t>
      </w:r>
      <w:r>
        <w:rPr>
          <w:spacing w:val="-79"/>
        </w:rPr>
      </w:r>
      <w:r>
        <w:rPr/>
        <w:t>行业协会、定价服务机构等获得的价格，且代表了在公平交易中实际发生的市场交易的价格。金融工具不存在活跃市场的，</w:t>
      </w:r>
      <w:r>
        <w:rPr>
          <w:spacing w:val="-85"/>
        </w:rPr>
        <w:t> </w:t>
      </w:r>
      <w:r>
        <w:rPr>
          <w:spacing w:val="-85"/>
        </w:rPr>
      </w:r>
      <w:r>
        <w:rPr>
          <w:spacing w:val="-2"/>
        </w:rPr>
        <w:t>本公司采用估值技术确定其公允价值。估值技术包括参考熟悉情况并自愿交易的各方最近进行的市场交易中使用的价格、参</w:t>
      </w:r>
      <w:r>
        <w:rPr>
          <w:spacing w:val="-64"/>
        </w:rPr>
        <w:t> </w:t>
      </w:r>
      <w:r>
        <w:rPr>
          <w:spacing w:val="-64"/>
        </w:rPr>
      </w:r>
      <w:r>
        <w:rPr/>
        <w:t>照实质上相同的其他金融工具当前的公允价值、现金流量折现法和期权定价模型等。</w:t>
      </w:r>
    </w:p>
    <w:p>
      <w:pPr>
        <w:pStyle w:val="BodyText"/>
        <w:spacing w:line="240" w:lineRule="auto" w:before="17"/>
        <w:ind w:left="514" w:right="0"/>
        <w:jc w:val="left"/>
      </w:pPr>
      <w:r>
        <w:rPr/>
        <w:t>（</w:t>
      </w:r>
      <w:r>
        <w:rPr>
          <w:rFonts w:ascii="Times New Roman" w:hAnsi="Times New Roman" w:cs="Times New Roman" w:eastAsia="Times New Roman" w:hint="default"/>
        </w:rPr>
        <w:t>2</w:t>
      </w:r>
      <w:r>
        <w:rPr/>
        <w:t>）金融资产的分类、确认和计量</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132" w:firstLine="360"/>
        <w:jc w:val="both"/>
      </w:pPr>
      <w:r>
        <w:rPr>
          <w:spacing w:val="-2"/>
        </w:rPr>
        <w:t>以常规方式买卖金融资产，按交易日进行会计确认和终止确认。金融资产在初始确认时划分为以公允价值计量且其变动</w:t>
      </w:r>
      <w:r>
        <w:rPr/>
        <w:t> 计入当期损益的金融资产、持有至到期投资、贷款和应收款项以及可供出售金融资产。</w:t>
      </w:r>
    </w:p>
    <w:p>
      <w:pPr>
        <w:pStyle w:val="BodyText"/>
        <w:spacing w:line="316" w:lineRule="auto" w:before="19"/>
        <w:ind w:left="514" w:right="0"/>
        <w:jc w:val="left"/>
      </w:pPr>
      <w:r>
        <w:rPr/>
        <w:t>①贷款和应收款项 </w:t>
      </w:r>
      <w:r>
        <w:rPr>
          <w:spacing w:val="-2"/>
        </w:rPr>
        <w:t>是指在活跃市场中没有报价、回收金额固定或可确定的非衍生金融资产。本公司划分为贷款和应收款的金融资产包括应</w:t>
      </w:r>
    </w:p>
    <w:p>
      <w:pPr>
        <w:pStyle w:val="BodyText"/>
        <w:spacing w:line="316" w:lineRule="auto" w:before="19"/>
        <w:ind w:left="514" w:right="0" w:hanging="360"/>
        <w:jc w:val="left"/>
      </w:pPr>
      <w:r>
        <w:rPr/>
        <w:t>收票据、应收账款、应收利息、应收股利及其他应收款等。 </w:t>
      </w:r>
      <w:r>
        <w:rPr>
          <w:spacing w:val="-2"/>
        </w:rPr>
        <w:t>贷款和应收款项采用实际利率法，按摊余成本进行后续计量，在终止确认、发生减值或摊销时产生的利得或损失，计入</w:t>
      </w:r>
    </w:p>
    <w:p>
      <w:pPr>
        <w:pStyle w:val="BodyText"/>
        <w:spacing w:line="240" w:lineRule="auto" w:before="19"/>
        <w:ind w:right="0"/>
        <w:jc w:val="left"/>
      </w:pPr>
      <w:r>
        <w:rPr/>
        <w:t>当期损益。</w:t>
      </w:r>
    </w:p>
    <w:p>
      <w:pPr>
        <w:pStyle w:val="BodyText"/>
        <w:spacing w:line="316" w:lineRule="auto" w:before="76"/>
        <w:ind w:left="514" w:right="1032"/>
        <w:jc w:val="left"/>
      </w:pPr>
      <w:r>
        <w:rPr/>
        <w:t>②可供出售金融资产 包括初始确认时即被指定为可供出售的非衍生金融资产，以及除了以公允价值计量且其变动计入当期损益的金融资产、</w:t>
      </w:r>
    </w:p>
    <w:p>
      <w:pPr>
        <w:pStyle w:val="BodyText"/>
        <w:spacing w:line="316" w:lineRule="auto" w:before="19"/>
        <w:ind w:left="514" w:right="0" w:hanging="360"/>
        <w:jc w:val="left"/>
      </w:pPr>
      <w:r>
        <w:rPr/>
        <w:t>贷款和应收款项、持有至到期投资以外的金融资产。 </w:t>
      </w:r>
      <w:r>
        <w:rPr>
          <w:spacing w:val="-2"/>
        </w:rPr>
        <w:t>可供出售债务工具投资的期末成本按照其摊余成本法确定，即初始确认金额扣除已偿还的本金，加上或减去采用实际利</w:t>
      </w:r>
    </w:p>
    <w:p>
      <w:pPr>
        <w:pStyle w:val="BodyText"/>
        <w:spacing w:line="316" w:lineRule="auto" w:before="19"/>
        <w:ind w:right="1131"/>
        <w:jc w:val="both"/>
      </w:pPr>
      <w:r>
        <w:rPr>
          <w:spacing w:val="-2"/>
        </w:rPr>
        <w:t>率法将该初始确认金额与到期日金额之间的差额进行摊销形成的累计摊销额，并扣除已发生的减值损失后的金额。可供出售</w:t>
      </w:r>
      <w:r>
        <w:rPr>
          <w:spacing w:val="-64"/>
        </w:rPr>
        <w:t> </w:t>
      </w:r>
      <w:r>
        <w:rPr>
          <w:spacing w:val="-64"/>
        </w:rPr>
      </w:r>
      <w:r>
        <w:rPr/>
        <w:t>权益工具投资的期末成本为其初始取得成本。</w:t>
      </w:r>
    </w:p>
    <w:p>
      <w:pPr>
        <w:pStyle w:val="BodyText"/>
        <w:spacing w:line="316" w:lineRule="auto" w:before="19"/>
        <w:ind w:right="1131" w:firstLine="360"/>
        <w:jc w:val="both"/>
      </w:pPr>
      <w:r>
        <w:rPr>
          <w:spacing w:val="-2"/>
        </w:rPr>
        <w:t>可供出售金融资产采用公允价值进行后续计量，公允价值变动形成的利得或损失，除减值损失和外币货币性金融资产与</w:t>
      </w:r>
      <w:r>
        <w:rPr/>
        <w:t> </w:t>
      </w:r>
      <w:r>
        <w:rPr>
          <w:spacing w:val="-2"/>
        </w:rPr>
        <w:t>摊余成本相关的汇兑差额计入当期损益外，确认为其他综合收益，在该金融资产终止确认时转出，计入当期损益。但是，在</w:t>
      </w:r>
      <w:r>
        <w:rPr>
          <w:spacing w:val="-67"/>
        </w:rPr>
        <w:t> </w:t>
      </w:r>
      <w:r>
        <w:rPr>
          <w:spacing w:val="-67"/>
        </w:rPr>
      </w:r>
      <w:r>
        <w:rPr>
          <w:spacing w:val="-2"/>
        </w:rPr>
        <w:t>活跃市场中没有报价且其公允价值不能可靠计量的权益工具投资，以及与该权益工具挂钩并须通过交付该权益工具结算的衍</w:t>
      </w:r>
      <w:r>
        <w:rPr>
          <w:spacing w:val="-64"/>
        </w:rPr>
        <w:t> </w:t>
      </w:r>
      <w:r>
        <w:rPr>
          <w:spacing w:val="-64"/>
        </w:rPr>
      </w:r>
      <w:r>
        <w:rPr/>
        <w:t>生金融资产，按照成本进行后续计量。</w:t>
      </w:r>
    </w:p>
    <w:p>
      <w:pPr>
        <w:pStyle w:val="BodyText"/>
        <w:spacing w:line="316" w:lineRule="auto" w:before="19"/>
        <w:ind w:left="514" w:right="3192"/>
        <w:jc w:val="left"/>
      </w:pPr>
      <w:r>
        <w:rPr/>
        <w:t>可供出售金融资产持有期间取得的利息及被投资单位宣告发放的现金股利，计入投资收益。 公司可供出售金融资产以成本计量。</w:t>
      </w:r>
    </w:p>
    <w:p>
      <w:pPr>
        <w:pStyle w:val="BodyText"/>
        <w:spacing w:line="300" w:lineRule="auto" w:before="19"/>
        <w:ind w:left="514" w:right="0"/>
        <w:jc w:val="left"/>
      </w:pPr>
      <w:r>
        <w:rPr/>
        <w:t>（</w:t>
      </w:r>
      <w:r>
        <w:rPr>
          <w:rFonts w:ascii="Times New Roman" w:hAnsi="Times New Roman" w:cs="Times New Roman" w:eastAsia="Times New Roman" w:hint="default"/>
        </w:rPr>
        <w:t>3</w:t>
      </w:r>
      <w:r>
        <w:rPr/>
        <w:t>）金融资产减值 </w:t>
      </w:r>
      <w:r>
        <w:rPr>
          <w:spacing w:val="-2"/>
        </w:rPr>
        <w:t>除了以公允价值计量且其变动计入当期损益的金融资产外，本公司在每个资产负债表日对其他金融资产的账面价值进行</w:t>
      </w:r>
    </w:p>
    <w:p>
      <w:pPr>
        <w:pStyle w:val="BodyText"/>
        <w:spacing w:line="319" w:lineRule="auto" w:before="31"/>
        <w:ind w:left="514" w:right="0" w:hanging="360"/>
        <w:jc w:val="left"/>
      </w:pPr>
      <w:r>
        <w:rPr/>
        <w:t>检查，有客观证据表明金融资产发生减值的，计提减值准备。 </w:t>
      </w:r>
      <w:r>
        <w:rPr>
          <w:spacing w:val="-2"/>
        </w:rPr>
        <w:t>本公司对单项金额重大的金融资产单独进行减值测试；对单项金额不重大的金融资产，单独进行减值测试或包括在具有</w:t>
      </w:r>
    </w:p>
    <w:p>
      <w:pPr>
        <w:pStyle w:val="BodyText"/>
        <w:spacing w:line="316" w:lineRule="auto" w:before="17"/>
        <w:ind w:right="1131"/>
        <w:jc w:val="both"/>
      </w:pPr>
      <w:r>
        <w:rPr>
          <w:spacing w:val="-2"/>
        </w:rPr>
        <w:t>类似信用风险特征的金融资产组合中进行减值测试。单独测试未发生减值的金融资产（包括单项金额重大和不重大的金融资</w:t>
      </w:r>
      <w:r>
        <w:rPr>
          <w:spacing w:val="-64"/>
        </w:rPr>
        <w:t> </w:t>
      </w:r>
      <w:r>
        <w:rPr>
          <w:spacing w:val="-64"/>
        </w:rPr>
      </w:r>
      <w:r>
        <w:rPr>
          <w:spacing w:val="-2"/>
        </w:rPr>
        <w:t>产），包括在具有类似信用风险特征的金融资产组合中再进行减值测试。已单项确认减值损失的金融资产，不包括在具有类</w:t>
      </w:r>
      <w:r>
        <w:rPr>
          <w:spacing w:val="-66"/>
        </w:rPr>
        <w:t> </w:t>
      </w:r>
      <w:r>
        <w:rPr>
          <w:spacing w:val="-66"/>
        </w:rPr>
      </w:r>
      <w:r>
        <w:rPr/>
        <w:t>似信用风险特征的金融资产组合中进行减值测试。</w:t>
      </w:r>
    </w:p>
    <w:p>
      <w:pPr>
        <w:pStyle w:val="BodyText"/>
        <w:spacing w:line="316" w:lineRule="auto" w:before="19"/>
        <w:ind w:left="514" w:right="0"/>
        <w:jc w:val="left"/>
      </w:pPr>
      <w:r>
        <w:rPr/>
        <w:t>①持有至到期投资、贷款和应收款项减值 </w:t>
      </w:r>
      <w:r>
        <w:rPr>
          <w:spacing w:val="-2"/>
        </w:rPr>
        <w:t>以成本或摊余成本计量的金融资产将其账面价值减记至预计未来现金流量现值，减记金额确认为减值损失，计入当期损</w:t>
      </w:r>
    </w:p>
    <w:p>
      <w:pPr>
        <w:pStyle w:val="BodyText"/>
        <w:spacing w:line="316" w:lineRule="auto" w:before="19"/>
        <w:ind w:right="1131"/>
        <w:jc w:val="both"/>
      </w:pPr>
      <w:r>
        <w:rPr>
          <w:spacing w:val="-2"/>
        </w:rPr>
        <w:t>益。金融资产在确认减值损失后，如有客观证据表明该金融资产价值已恢复，且客观上与确认该损失后发生的事项有关，原</w:t>
      </w:r>
      <w:r>
        <w:rPr>
          <w:spacing w:val="-66"/>
        </w:rPr>
        <w:t> </w:t>
      </w:r>
      <w:r>
        <w:rPr>
          <w:spacing w:val="-66"/>
        </w:rPr>
      </w:r>
      <w:r>
        <w:rPr>
          <w:spacing w:val="-2"/>
        </w:rPr>
        <w:t>确认的减值损失予以转回，金融资产转回减值损失后的账面价值不超过假定不计提减值准备情况下该金融资产在转回日的摊</w:t>
      </w:r>
      <w:r>
        <w:rPr>
          <w:spacing w:val="-64"/>
        </w:rPr>
        <w:t> </w:t>
      </w:r>
      <w:r>
        <w:rPr>
          <w:spacing w:val="-64"/>
        </w:rPr>
      </w:r>
      <w:r>
        <w:rPr/>
        <w:t>余成本。</w:t>
      </w:r>
    </w:p>
    <w:p>
      <w:pPr>
        <w:pStyle w:val="BodyText"/>
        <w:spacing w:line="316" w:lineRule="auto" w:before="19"/>
        <w:ind w:left="514" w:right="0"/>
        <w:jc w:val="left"/>
      </w:pPr>
      <w:r>
        <w:rPr/>
        <w:t>②可供出售金融资产减值 </w:t>
      </w:r>
      <w:r>
        <w:rPr>
          <w:spacing w:val="-2"/>
        </w:rPr>
        <w:t>当综合相关因素判断可供出售权益工具投资公允价值下跌是严重或非暂时性下跌时，表明该可供出售权益工具投资发生</w:t>
      </w:r>
    </w:p>
    <w:p>
      <w:pPr>
        <w:pStyle w:val="BodyText"/>
        <w:spacing w:line="300" w:lineRule="auto" w:before="19"/>
        <w:ind w:left="514" w:right="0" w:hanging="360"/>
        <w:jc w:val="left"/>
      </w:pPr>
      <w:r>
        <w:rPr/>
        <w:t>减值。其中</w:t>
      </w:r>
      <w:r>
        <w:rPr>
          <w:rFonts w:ascii="Times New Roman" w:hAnsi="Times New Roman" w:cs="Times New Roman" w:eastAsia="Times New Roman" w:hint="default"/>
        </w:rPr>
        <w:t>“</w:t>
      </w:r>
      <w:r>
        <w:rPr/>
        <w:t>严重下跌</w:t>
      </w:r>
      <w:r>
        <w:rPr>
          <w:rFonts w:ascii="Times New Roman" w:hAnsi="Times New Roman" w:cs="Times New Roman" w:eastAsia="Times New Roman" w:hint="default"/>
        </w:rPr>
        <w:t>”</w:t>
      </w:r>
      <w:r>
        <w:rPr/>
        <w:t>是指公允价值下跌幅度累计超过</w:t>
      </w:r>
      <w:r>
        <w:rPr>
          <w:rFonts w:ascii="Times New Roman" w:hAnsi="Times New Roman" w:cs="Times New Roman" w:eastAsia="Times New Roman" w:hint="default"/>
        </w:rPr>
        <w:t>20%</w:t>
      </w:r>
      <w:r>
        <w:rPr/>
        <w:t>；</w:t>
      </w:r>
      <w:r>
        <w:rPr>
          <w:rFonts w:ascii="Times New Roman" w:hAnsi="Times New Roman" w:cs="Times New Roman" w:eastAsia="Times New Roman" w:hint="default"/>
        </w:rPr>
        <w:t>“</w:t>
      </w:r>
      <w:r>
        <w:rPr/>
        <w:t>非暂时性下跌</w:t>
      </w:r>
      <w:r>
        <w:rPr>
          <w:rFonts w:ascii="Times New Roman" w:hAnsi="Times New Roman" w:cs="Times New Roman" w:eastAsia="Times New Roman" w:hint="default"/>
        </w:rPr>
        <w:t>”</w:t>
      </w:r>
      <w:r>
        <w:rPr/>
        <w:t>是指公允价值连续下跌时间超过</w:t>
      </w:r>
      <w:r>
        <w:rPr>
          <w:rFonts w:ascii="Times New Roman" w:hAnsi="Times New Roman" w:cs="Times New Roman" w:eastAsia="Times New Roman" w:hint="default"/>
        </w:rPr>
        <w:t>12</w:t>
      </w:r>
      <w:r>
        <w:rPr/>
        <w:t>个月。 </w:t>
      </w:r>
      <w:r>
        <w:rPr>
          <w:spacing w:val="-2"/>
        </w:rPr>
        <w:t>可供出售金融资产发生减值时，将原计入其他综合收益的因公允价值下降形成的累计损失予以转出并计入当期损益，该</w:t>
      </w:r>
    </w:p>
    <w:p>
      <w:pPr>
        <w:pStyle w:val="BodyText"/>
        <w:spacing w:line="316" w:lineRule="auto" w:before="31"/>
        <w:ind w:left="514" w:right="1032" w:hanging="360"/>
        <w:jc w:val="left"/>
      </w:pPr>
      <w:r>
        <w:rPr/>
        <w:t>转出的累计损失为该资产初始取得成本扣除已收回本金和已摊销金额、当前公允价值和原已计入损益的减值损失后的余额。</w:t>
      </w:r>
      <w:r>
        <w:rPr>
          <w:spacing w:val="-85"/>
        </w:rPr>
        <w:t> </w:t>
      </w:r>
      <w:r>
        <w:rPr>
          <w:spacing w:val="-85"/>
        </w:rPr>
      </w:r>
      <w:r>
        <w:rPr>
          <w:spacing w:val="-2"/>
        </w:rPr>
        <w:t>在确认减值损失后，期后如有客观证据表明该金融资产价值已恢复，且客观上与确认该损失后发生的事项有关，原确认</w:t>
      </w:r>
    </w:p>
    <w:p>
      <w:pPr>
        <w:pStyle w:val="BodyText"/>
        <w:spacing w:line="316" w:lineRule="auto" w:before="19"/>
        <w:ind w:right="1132"/>
        <w:jc w:val="both"/>
      </w:pPr>
      <w:r>
        <w:rPr>
          <w:spacing w:val="-2"/>
        </w:rPr>
        <w:t>的减值损失予以转回，可供出售权益工具投资的减值损失转回确认为其他综合收益，可供出售债务工具的减值损失转回计入</w:t>
      </w:r>
      <w:r>
        <w:rPr>
          <w:spacing w:val="-64"/>
        </w:rPr>
        <w:t> </w:t>
      </w:r>
      <w:r>
        <w:rPr>
          <w:spacing w:val="-64"/>
        </w:rPr>
      </w:r>
      <w:r>
        <w:rPr/>
        <w:t>当期损益。</w:t>
      </w:r>
    </w:p>
    <w:p>
      <w:pPr>
        <w:pStyle w:val="BodyText"/>
        <w:spacing w:line="319" w:lineRule="auto" w:before="19"/>
        <w:ind w:right="1131" w:firstLine="360"/>
        <w:jc w:val="both"/>
      </w:pPr>
      <w:r>
        <w:rPr>
          <w:spacing w:val="-2"/>
        </w:rPr>
        <w:t>在活跃市场中没有报价且其公允价值不能可靠计量的权益工具投资，或与该权益工具挂钩并须通过交付该权益工具结算</w:t>
      </w:r>
      <w:r>
        <w:rPr/>
        <w:t> 的衍生金融资产的减值损失，不予转回。</w:t>
      </w:r>
    </w:p>
    <w:p>
      <w:pPr>
        <w:pStyle w:val="BodyText"/>
        <w:spacing w:line="300" w:lineRule="auto" w:before="17"/>
        <w:ind w:left="514" w:right="0"/>
        <w:jc w:val="left"/>
      </w:pPr>
      <w:r>
        <w:rPr/>
        <w:t>（</w:t>
      </w:r>
      <w:r>
        <w:rPr>
          <w:rFonts w:ascii="Times New Roman" w:hAnsi="Times New Roman" w:cs="Times New Roman" w:eastAsia="Times New Roman" w:hint="default"/>
        </w:rPr>
        <w:t>4</w:t>
      </w:r>
      <w:r>
        <w:rPr/>
        <w:t>）金融资产转移的确认依据和计量方法 </w:t>
      </w:r>
      <w:r>
        <w:rPr>
          <w:spacing w:val="-2"/>
        </w:rPr>
        <w:t>满足下列条件之一的金融资产，予以终止确认：①收取该金融资产现金流量的合同权利终止；②该金融资产已转移，且</w:t>
      </w:r>
    </w:p>
    <w:p>
      <w:pPr>
        <w:pStyle w:val="BodyText"/>
        <w:spacing w:line="240" w:lineRule="auto" w:before="31"/>
        <w:ind w:right="0"/>
        <w:jc w:val="left"/>
      </w:pPr>
      <w:r>
        <w:rPr/>
        <w:t>将金融资产所有权上几乎所有的风险和报酬转移给转入方；③该金融资产已转移，虽然企业既没有转移也没有保留金融资产</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left="514" w:right="0" w:hanging="360"/>
        <w:jc w:val="left"/>
      </w:pPr>
      <w:r>
        <w:rPr/>
        <w:t>所有权上几乎所有的风险和报酬，但是放弃了对该金融资产控制。 </w:t>
      </w:r>
      <w:r>
        <w:rPr>
          <w:spacing w:val="-2"/>
        </w:rPr>
        <w:t>若企业既没有转移也没有保留金融资产所有权上几乎所有的风险和报酬，且未放弃对该金融资产的控制的，则按照继续</w:t>
      </w:r>
    </w:p>
    <w:p>
      <w:pPr>
        <w:pStyle w:val="BodyText"/>
        <w:spacing w:line="316" w:lineRule="auto" w:before="19"/>
        <w:ind w:right="0"/>
        <w:jc w:val="left"/>
      </w:pPr>
      <w:r>
        <w:rPr>
          <w:spacing w:val="-2"/>
        </w:rPr>
        <w:t>涉入所转移金融资产的程度确认有关金融资产，并相应确认有关负债。继续涉入所转移金融资产的程度，是指该金融资产价</w:t>
      </w:r>
      <w:r>
        <w:rPr>
          <w:spacing w:val="-66"/>
        </w:rPr>
        <w:t> </w:t>
      </w:r>
      <w:r>
        <w:rPr>
          <w:spacing w:val="-66"/>
        </w:rPr>
      </w:r>
      <w:r>
        <w:rPr/>
        <w:t>值变动使企业面临的风险水平。</w:t>
      </w:r>
    </w:p>
    <w:p>
      <w:pPr>
        <w:pStyle w:val="BodyText"/>
        <w:spacing w:line="316" w:lineRule="auto" w:before="19"/>
        <w:ind w:right="1131" w:firstLine="360"/>
        <w:jc w:val="both"/>
      </w:pPr>
      <w:r>
        <w:rPr>
          <w:spacing w:val="-2"/>
        </w:rPr>
        <w:t>金融资产整体转移满足终止确认条件的，将所转移金融资产的账面价值及因转移而收到的对价与原计入其他综合收益的</w:t>
      </w:r>
      <w:r>
        <w:rPr/>
        <w:t> 公允价值变动累计额之和的差额计入当期损益。</w:t>
      </w:r>
    </w:p>
    <w:p>
      <w:pPr>
        <w:pStyle w:val="BodyText"/>
        <w:spacing w:line="316" w:lineRule="auto" w:before="19"/>
        <w:ind w:right="1131" w:firstLine="360"/>
        <w:jc w:val="both"/>
      </w:pPr>
      <w:r>
        <w:rPr>
          <w:spacing w:val="-2"/>
        </w:rPr>
        <w:t>金融资产部分转移满足终止确认条件的，将所转移金融资产的账面价值在终止确认及未终止确认部分之间按其相对的公</w:t>
      </w:r>
      <w:r>
        <w:rPr/>
        <w:t> </w:t>
      </w:r>
      <w:r>
        <w:rPr>
          <w:spacing w:val="-2"/>
        </w:rPr>
        <w:t>允价值进行分摊，并将因转移而收到的对价与应分摊至终止确认部分的原计入其他综合收益的公允价值变动累计额之和与分</w:t>
      </w:r>
      <w:r>
        <w:rPr>
          <w:spacing w:val="-64"/>
        </w:rPr>
        <w:t> </w:t>
      </w:r>
      <w:r>
        <w:rPr>
          <w:spacing w:val="-64"/>
        </w:rPr>
      </w:r>
      <w:r>
        <w:rPr/>
        <w:t>摊的前述账面金额之差额计入当期损益。</w:t>
      </w:r>
    </w:p>
    <w:p>
      <w:pPr>
        <w:pStyle w:val="BodyText"/>
        <w:spacing w:line="316" w:lineRule="auto" w:before="19"/>
        <w:ind w:right="1130" w:firstLine="360"/>
        <w:jc w:val="both"/>
      </w:pPr>
      <w:r>
        <w:rPr>
          <w:spacing w:val="-2"/>
        </w:rPr>
        <w:t>本公司对采用附追索权方式出售的金融资产，或将持有的金融资产背书转让，需确定该金融资产所有权上几乎所有的风</w:t>
      </w:r>
      <w:r>
        <w:rPr/>
        <w:t> </w:t>
      </w:r>
      <w:r>
        <w:rPr>
          <w:spacing w:val="-2"/>
        </w:rPr>
        <w:t>险和报酬是否已经转移。已将该金融资产所有权上几乎所有的风险和报酬转移给转入方的，终止确认该金融资产；保留了金</w:t>
      </w:r>
      <w:r>
        <w:rPr>
          <w:spacing w:val="-66"/>
        </w:rPr>
        <w:t> </w:t>
      </w:r>
      <w:r>
        <w:rPr>
          <w:spacing w:val="-66"/>
        </w:rPr>
      </w:r>
      <w:r>
        <w:rPr>
          <w:spacing w:val="-2"/>
        </w:rPr>
        <w:t>融资产所有权上几乎所有的风险和报酬的，不终止确认该金融资产；既没有转移也没有保留金融资产所有权上几乎所有的风</w:t>
      </w:r>
      <w:r>
        <w:rPr>
          <w:spacing w:val="-63"/>
        </w:rPr>
        <w:t> </w:t>
      </w:r>
      <w:r>
        <w:rPr>
          <w:spacing w:val="-63"/>
        </w:rPr>
      </w:r>
      <w:r>
        <w:rPr/>
        <w:t>险和报酬的，则继续判断企业是否对该资产保留了控制，并根据前面各段所述的原则进行会计处理。</w:t>
      </w:r>
    </w:p>
    <w:p>
      <w:pPr>
        <w:pStyle w:val="BodyText"/>
        <w:spacing w:line="300" w:lineRule="auto" w:before="19"/>
        <w:ind w:left="514" w:right="1032"/>
        <w:jc w:val="left"/>
      </w:pPr>
      <w:r>
        <w:rPr/>
        <w:t>（</w:t>
      </w:r>
      <w:r>
        <w:rPr>
          <w:rFonts w:ascii="Times New Roman" w:hAnsi="Times New Roman" w:cs="Times New Roman" w:eastAsia="Times New Roman" w:hint="default"/>
        </w:rPr>
        <w:t>5</w:t>
      </w:r>
      <w:r>
        <w:rPr/>
        <w:t>）金融负债的分类和计量 金融负债在初始确认时划分为以公允价值计量且其变动计入当期损益的金融负债和其他金融负债。初始确认金融负债，</w:t>
      </w:r>
    </w:p>
    <w:p>
      <w:pPr>
        <w:pStyle w:val="BodyText"/>
        <w:spacing w:line="316" w:lineRule="auto" w:before="31"/>
        <w:ind w:right="0"/>
        <w:jc w:val="left"/>
      </w:pPr>
      <w:r>
        <w:rPr>
          <w:spacing w:val="-2"/>
        </w:rPr>
        <w:t>以公允价值计量。对于以公允价值计量且其变动计入当期损益的金融负债，相关的交易费用直接计入当期损益，对于其他金</w:t>
      </w:r>
      <w:r>
        <w:rPr>
          <w:spacing w:val="-66"/>
        </w:rPr>
        <w:t> </w:t>
      </w:r>
      <w:r>
        <w:rPr>
          <w:spacing w:val="-66"/>
        </w:rPr>
      </w:r>
      <w:r>
        <w:rPr/>
        <w:t>融负债，相关交易费用计入初始确认金额。本公司金融负债主要为其他金融负债。</w:t>
      </w:r>
    </w:p>
    <w:p>
      <w:pPr>
        <w:pStyle w:val="BodyText"/>
        <w:spacing w:line="240" w:lineRule="auto" w:before="19"/>
        <w:ind w:left="514" w:right="0"/>
        <w:jc w:val="left"/>
      </w:pPr>
      <w:r>
        <w:rPr/>
        <w:t>其他金融负债采用实际利率法，按摊余成本进行后续计量，终止确认或摊销产生的利得或损失计入当期损益。</w:t>
      </w:r>
    </w:p>
    <w:p>
      <w:pPr>
        <w:pStyle w:val="BodyText"/>
        <w:spacing w:line="300" w:lineRule="auto" w:before="76"/>
        <w:ind w:left="514" w:right="0"/>
        <w:jc w:val="left"/>
      </w:pPr>
      <w:r>
        <w:rPr/>
        <w:t>（</w:t>
      </w:r>
      <w:r>
        <w:rPr>
          <w:rFonts w:ascii="Times New Roman" w:hAnsi="Times New Roman" w:cs="Times New Roman" w:eastAsia="Times New Roman" w:hint="default"/>
        </w:rPr>
        <w:t>6</w:t>
      </w:r>
      <w:r>
        <w:rPr/>
        <w:t>）金融负债的终止确认 </w:t>
      </w:r>
      <w:r>
        <w:rPr>
          <w:spacing w:val="-2"/>
        </w:rPr>
        <w:t>金融负债的现时义务全部或部分已经解除的，才能终止确认该金融负债或其一部分。本公司（债务人）与债权人之间签</w:t>
      </w:r>
    </w:p>
    <w:p>
      <w:pPr>
        <w:pStyle w:val="BodyText"/>
        <w:spacing w:line="316" w:lineRule="auto" w:before="31"/>
        <w:ind w:right="0"/>
        <w:jc w:val="left"/>
      </w:pPr>
      <w:r>
        <w:rPr>
          <w:spacing w:val="-2"/>
        </w:rPr>
        <w:t>订协议，以承担新金融负债方式替换现存金融负债，且新金融负债与现存金融负债的合同条款实质上不同的，终止确认现存</w:t>
      </w:r>
      <w:r>
        <w:rPr>
          <w:spacing w:val="-66"/>
        </w:rPr>
        <w:t> </w:t>
      </w:r>
      <w:r>
        <w:rPr>
          <w:spacing w:val="-66"/>
        </w:rPr>
      </w:r>
      <w:r>
        <w:rPr/>
        <w:t>金融负债，并同时确认新金融负债。</w:t>
      </w:r>
    </w:p>
    <w:p>
      <w:pPr>
        <w:pStyle w:val="BodyText"/>
        <w:spacing w:line="316" w:lineRule="auto" w:before="19"/>
        <w:ind w:right="1132" w:firstLine="360"/>
        <w:jc w:val="both"/>
      </w:pPr>
      <w:r>
        <w:rPr>
          <w:spacing w:val="-2"/>
        </w:rPr>
        <w:t>金融负债全部或部分终止确认的，将终止确认部分的账面价值与支付的对价（包括转出的非现金资产或承担的新金融负</w:t>
      </w:r>
      <w:r>
        <w:rPr/>
        <w:t> 债）之间的差额，计入当期损益。</w:t>
      </w:r>
    </w:p>
    <w:p>
      <w:pPr>
        <w:pStyle w:val="BodyText"/>
        <w:spacing w:line="300" w:lineRule="auto" w:before="19"/>
        <w:ind w:left="514" w:right="0"/>
        <w:jc w:val="left"/>
      </w:pPr>
      <w:r>
        <w:rPr/>
        <w:t>（</w:t>
      </w:r>
      <w:r>
        <w:rPr>
          <w:rFonts w:ascii="Times New Roman" w:hAnsi="Times New Roman" w:cs="Times New Roman" w:eastAsia="Times New Roman" w:hint="default"/>
        </w:rPr>
        <w:t>7</w:t>
      </w:r>
      <w:r>
        <w:rPr/>
        <w:t>）金融资产和金融负债的抵销 </w:t>
      </w:r>
      <w:r>
        <w:rPr>
          <w:spacing w:val="-2"/>
        </w:rPr>
        <w:t>当本公司具有抵销已确认金融资产和金融负债的法定权利，且目前可执行该种法定权利，同时本公司计划以净额结算或</w:t>
      </w:r>
    </w:p>
    <w:p>
      <w:pPr>
        <w:pStyle w:val="BodyText"/>
        <w:spacing w:line="316" w:lineRule="auto" w:before="31"/>
        <w:ind w:right="0"/>
        <w:jc w:val="left"/>
      </w:pPr>
      <w:r>
        <w:rPr>
          <w:spacing w:val="-2"/>
        </w:rPr>
        <w:t>同时变现该金融资产和清偿该金融负债时，金融资产和金融负债以相互抵销后的金额在资产负债表内列示。除此以外，金融</w:t>
      </w:r>
      <w:r>
        <w:rPr>
          <w:spacing w:val="-66"/>
        </w:rPr>
        <w:t> </w:t>
      </w:r>
      <w:r>
        <w:rPr>
          <w:spacing w:val="-66"/>
        </w:rPr>
      </w:r>
      <w:r>
        <w:rPr/>
        <w:t>资产和金融负债在资产负债表内分别列示，不予相互抵销。</w:t>
      </w:r>
    </w:p>
    <w:p>
      <w:pPr>
        <w:pStyle w:val="BodyText"/>
        <w:spacing w:line="300" w:lineRule="auto" w:before="19"/>
        <w:ind w:left="514" w:right="1118"/>
        <w:jc w:val="left"/>
      </w:pPr>
      <w:r>
        <w:rPr/>
        <w:t>（</w:t>
      </w:r>
      <w:r>
        <w:rPr>
          <w:rFonts w:ascii="Times New Roman" w:hAnsi="Times New Roman" w:cs="Times New Roman" w:eastAsia="Times New Roman" w:hint="default"/>
        </w:rPr>
        <w:t>8</w:t>
      </w:r>
      <w:r>
        <w:rPr/>
        <w:t>）权益工具 </w:t>
      </w:r>
      <w:r>
        <w:rPr>
          <w:spacing w:val="-2"/>
        </w:rPr>
        <w:t>权益工具是指能证明拥有本公司在扣除所有负债后的资产中的剩余权益的合同。本公司发行（含再融资）、回购、出售</w:t>
      </w:r>
    </w:p>
    <w:p>
      <w:pPr>
        <w:pStyle w:val="BodyText"/>
        <w:spacing w:line="316" w:lineRule="auto" w:before="31"/>
        <w:ind w:left="514" w:right="1032" w:hanging="360"/>
        <w:jc w:val="left"/>
      </w:pPr>
      <w:r>
        <w:rPr>
          <w:spacing w:val="-4"/>
        </w:rPr>
        <w:t>或注销权益工具作为权益的变动处理。本公司不确认权益工具的公允价值变动。与权益性交易相关的交易费用从权益中扣减。</w:t>
      </w:r>
      <w:r>
        <w:rPr>
          <w:spacing w:val="-44"/>
        </w:rPr>
        <w:t> </w:t>
      </w:r>
      <w:r>
        <w:rPr>
          <w:spacing w:val="-44"/>
        </w:rPr>
      </w:r>
      <w:r>
        <w:rPr/>
        <w:t>本公司对权益工具持有方的各种分配（不包括股票股利），减少股东权益。本公司不确认权益工具的公允价值变动额。</w:t>
      </w:r>
    </w:p>
    <w:p>
      <w:pPr>
        <w:spacing w:line="240" w:lineRule="auto" w:before="7"/>
        <w:rPr>
          <w:rFonts w:ascii="宋体" w:hAnsi="宋体" w:cs="宋体" w:eastAsia="宋体" w:hint="default"/>
          <w:sz w:val="22"/>
          <w:szCs w:val="22"/>
        </w:rPr>
      </w:pPr>
    </w:p>
    <w:p>
      <w:pPr>
        <w:pStyle w:val="Heading4"/>
        <w:spacing w:line="240" w:lineRule="auto"/>
        <w:ind w:right="0"/>
        <w:jc w:val="left"/>
        <w:rPr>
          <w:b w:val="0"/>
          <w:bCs w:val="0"/>
        </w:rPr>
      </w:pPr>
      <w:bookmarkStart w:name="11、应收票据及应收账款" w:id="182"/>
      <w:bookmarkEnd w:id="182"/>
      <w:r>
        <w:rPr>
          <w:b w:val="0"/>
          <w:bCs w:val="0"/>
        </w:rPr>
      </w:r>
      <w:r>
        <w:rPr>
          <w:rFonts w:ascii="Times New Roman" w:hAnsi="Times New Roman" w:cs="Times New Roman" w:eastAsia="Times New Roman" w:hint="default"/>
        </w:rPr>
        <w:t>11</w:t>
      </w:r>
      <w:r>
        <w:rPr/>
        <w:t>、应收票据及应收账款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单项金额重大并单独计提坏账准备的应收款项" w:id="183"/>
      <w:bookmarkEnd w:id="183"/>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本公司将金额为人民币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500,000 </w:t>
            </w:r>
            <w:r>
              <w:rPr>
                <w:rFonts w:ascii="宋体" w:hAnsi="宋体" w:cs="宋体" w:eastAsia="宋体" w:hint="default"/>
                <w:sz w:val="18"/>
                <w:szCs w:val="18"/>
              </w:rPr>
              <w:t>元以上的应收账款及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200,000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元以上的其他应收款确认为单项金额重大的应收款项。</w:t>
            </w:r>
          </w:p>
        </w:tc>
      </w:tr>
      <w:tr>
        <w:trPr>
          <w:trHeight w:val="1650"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69"/>
              <w:jc w:val="both"/>
              <w:rPr>
                <w:rFonts w:ascii="宋体" w:hAnsi="宋体" w:cs="宋体" w:eastAsia="宋体" w:hint="default"/>
                <w:sz w:val="18"/>
                <w:szCs w:val="18"/>
              </w:rPr>
            </w:pPr>
            <w:r>
              <w:rPr>
                <w:rFonts w:ascii="宋体" w:hAnsi="宋体" w:cs="宋体" w:eastAsia="宋体" w:hint="default"/>
                <w:sz w:val="18"/>
                <w:szCs w:val="18"/>
              </w:rPr>
              <w:t>本公司对单项金额重大的应收款项单独进行减值测试，单独 测试未发生减值的金融资产，包括在具有类似信用风险特征 的金融资产组合中进行减值测试。单项测试已确认减值损失 的应收款项，不再包括在具有类似信用风险特征的应收款项 组合中进行减值测试。</w:t>
            </w:r>
          </w:p>
        </w:tc>
      </w:tr>
    </w:tbl>
    <w:p>
      <w:pPr>
        <w:spacing w:after="0" w:line="319"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b/>
          <w:bCs/>
          <w:sz w:val="24"/>
          <w:szCs w:val="24"/>
        </w:rPr>
      </w:pPr>
    </w:p>
    <w:p>
      <w:pPr>
        <w:pStyle w:val="Heading4"/>
        <w:spacing w:line="240" w:lineRule="auto" w:before="35"/>
        <w:ind w:right="0"/>
        <w:jc w:val="left"/>
        <w:rPr>
          <w:b w:val="0"/>
          <w:bCs w:val="0"/>
        </w:rPr>
      </w:pPr>
      <w:bookmarkStart w:name="（2）按信用风险特征组合计提坏账准备的应收款项" w:id="184"/>
      <w:bookmarkEnd w:id="184"/>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spacing w:line="240" w:lineRule="auto" w:before="6"/>
        <w:rPr>
          <w:rFonts w:ascii="宋体" w:hAnsi="宋体" w:cs="宋体" w:eastAsia="宋体" w:hint="default"/>
          <w:b/>
          <w:bCs/>
          <w:sz w:val="27"/>
          <w:szCs w:val="27"/>
        </w:rPr>
      </w:pPr>
    </w:p>
    <w:p>
      <w:pPr>
        <w:pStyle w:val="BodyText"/>
        <w:spacing w:line="240" w:lineRule="auto" w:before="44"/>
        <w:ind w:right="0"/>
        <w:jc w:val="left"/>
      </w:pPr>
      <w:r>
        <w:rPr/>
        <w:t>组合中，采用账龄分析法计提坏账准备的：</w:t>
      </w:r>
    </w:p>
    <w:p>
      <w:pPr>
        <w:pStyle w:val="BodyText"/>
        <w:spacing w:line="240" w:lineRule="auto" w:before="116"/>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82"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before="51"/>
        <w:ind w:right="0"/>
        <w:jc w:val="left"/>
      </w:pPr>
      <w:r>
        <w:rPr/>
        <w:t>组合中，采用余额百分比法计提坏账准备的：</w:t>
      </w:r>
    </w:p>
    <w:p>
      <w:pPr>
        <w:pStyle w:val="BodyText"/>
        <w:spacing w:line="338" w:lineRule="auto" w:before="117"/>
        <w:ind w:right="75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w:t>
      </w:r>
    </w:p>
    <w:p>
      <w:pPr>
        <w:pStyle w:val="BodyText"/>
        <w:spacing w:line="240" w:lineRule="auto" w:before="42"/>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注：填写具体组合名称和计提比例。</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3）单项金额不重大但单独计提坏账准备的应收款项" w:id="185"/>
      <w:bookmarkEnd w:id="185"/>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pStyle w:val="BodyText"/>
        <w:spacing w:line="240" w:lineRule="auto" w:before="44"/>
        <w:ind w:left="0" w:right="1139"/>
        <w:jc w:val="right"/>
      </w:pPr>
      <w:r>
        <w:rPr/>
        <w:pict>
          <v:shape style="position:absolute;margin-left:56.459999pt;margin-top:-32.048313pt;width:479.2pt;height:134.35pt;mso-position-horizontal-relative:page;mso-position-vertical-relative:paragraph;z-index:21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85"/>
                    <w:gridCol w:w="4784"/>
                  </w:tblGrid>
                  <w:tr>
                    <w:trPr>
                      <w:trHeight w:val="1963"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69"/>
                          <w:jc w:val="both"/>
                          <w:rPr>
                            <w:rFonts w:ascii="宋体" w:hAnsi="宋体" w:cs="宋体" w:eastAsia="宋体" w:hint="default"/>
                            <w:sz w:val="18"/>
                            <w:szCs w:val="18"/>
                          </w:rPr>
                        </w:pPr>
                        <w:r>
                          <w:rPr>
                            <w:rFonts w:ascii="宋体" w:hAnsi="宋体" w:cs="宋体" w:eastAsia="宋体" w:hint="default"/>
                            <w:sz w:val="18"/>
                            <w:szCs w:val="18"/>
                          </w:rPr>
                          <w:t>本公司对于单项金额虽不重大但具备以下特征的应收款项， 单独进行减值测试，有客观证据表明其发生了减值的，根据 </w:t>
                        </w:r>
                        <w:r>
                          <w:rPr>
                            <w:rFonts w:ascii="宋体" w:hAnsi="宋体" w:cs="宋体" w:eastAsia="宋体" w:hint="default"/>
                            <w:spacing w:val="-2"/>
                            <w:sz w:val="18"/>
                            <w:szCs w:val="18"/>
                          </w:rPr>
                          <w:t>其未来现金流量现值低于其账面价值的差额，确认减值损失</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计提坏账准备：与对方存在争议或涉及诉讼、仲裁的应收款 项；已有明显迹象表明债务人很可能无法履行还款义务的应 收款项；等等。</w:t>
                        </w:r>
                      </w:p>
                    </w:tc>
                  </w:tr>
                  <w:tr>
                    <w:trPr>
                      <w:trHeight w:val="715"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69"/>
                          <w:jc w:val="left"/>
                          <w:rPr>
                            <w:rFonts w:ascii="宋体" w:hAnsi="宋体" w:cs="宋体" w:eastAsia="宋体" w:hint="default"/>
                            <w:sz w:val="18"/>
                            <w:szCs w:val="18"/>
                          </w:rPr>
                        </w:pPr>
                        <w:r>
                          <w:rPr>
                            <w:rFonts w:ascii="宋体" w:hAnsi="宋体" w:cs="宋体" w:eastAsia="宋体" w:hint="default"/>
                            <w:sz w:val="18"/>
                            <w:szCs w:val="18"/>
                          </w:rPr>
                          <w:t>根据其未来现金流量现值低于账面价值的差额，确认减值损 失，计提坏账准备。</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pStyle w:val="Heading4"/>
        <w:spacing w:line="240" w:lineRule="auto" w:before="35"/>
        <w:ind w:right="0"/>
        <w:jc w:val="left"/>
        <w:rPr>
          <w:b w:val="0"/>
          <w:bCs w:val="0"/>
        </w:rPr>
      </w:pPr>
      <w:bookmarkStart w:name="12、存货" w:id="186"/>
      <w:bookmarkEnd w:id="186"/>
      <w:r>
        <w:rPr>
          <w:b w:val="0"/>
          <w:bCs w:val="0"/>
        </w:rPr>
      </w:r>
      <w:r>
        <w:rPr>
          <w:rFonts w:ascii="Times New Roman" w:hAnsi="Times New Roman" w:cs="Times New Roman" w:eastAsia="Times New Roman" w:hint="default"/>
        </w:rPr>
        <w:t>12</w:t>
      </w:r>
      <w:r>
        <w:rPr/>
        <w:t>、存货</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pStyle w:val="BodyText"/>
        <w:spacing w:line="240" w:lineRule="auto" w:before="26"/>
        <w:ind w:left="514" w:right="0"/>
        <w:jc w:val="left"/>
      </w:pPr>
      <w:r>
        <w:rPr/>
        <w:t>（</w:t>
      </w:r>
      <w:r>
        <w:rPr>
          <w:rFonts w:ascii="Times New Roman" w:hAnsi="Times New Roman" w:cs="Times New Roman" w:eastAsia="Times New Roman" w:hint="default"/>
        </w:rPr>
        <w:t>1</w:t>
      </w:r>
      <w:r>
        <w:rPr/>
        <w:t>）存货的分类</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left="514" w:right="0"/>
        <w:jc w:val="left"/>
      </w:pPr>
      <w:r>
        <w:rPr/>
        <w:t>存货主要包括原材料、产成品、发出商品、在产品、工程施工等。</w:t>
      </w:r>
    </w:p>
    <w:p>
      <w:pPr>
        <w:pStyle w:val="BodyText"/>
        <w:spacing w:line="309" w:lineRule="auto" w:before="76"/>
        <w:ind w:left="514" w:right="1032"/>
        <w:jc w:val="left"/>
      </w:pPr>
      <w:r>
        <w:rPr/>
        <w:t>（</w:t>
      </w:r>
      <w:r>
        <w:rPr>
          <w:rFonts w:ascii="Times New Roman" w:hAnsi="Times New Roman" w:cs="Times New Roman" w:eastAsia="Times New Roman" w:hint="default"/>
        </w:rPr>
        <w:t>2</w:t>
      </w:r>
      <w:r>
        <w:rPr/>
        <w:t>）存货取得和发出的计价方法 存货在取得时按实际成本计价，存货成本包括采购成本、加工成本和其他成本。领用和发出时按移动加权平均法计价。</w:t>
      </w:r>
      <w:r>
        <w:rPr>
          <w:spacing w:val="-85"/>
        </w:rPr>
        <w:t> </w:t>
      </w:r>
      <w:r>
        <w:rPr>
          <w:spacing w:val="-85"/>
        </w:rPr>
      </w:r>
      <w:r>
        <w:rPr>
          <w:spacing w:val="-2"/>
        </w:rPr>
        <w:t>建造合同按实际成本计量，包括从合同签订开始至合同完成止所发生的、与执行合同有关的直接费用和间接费用。为订</w:t>
      </w:r>
    </w:p>
    <w:p>
      <w:pPr>
        <w:pStyle w:val="BodyText"/>
        <w:spacing w:line="316" w:lineRule="auto" w:before="24"/>
        <w:ind w:right="0"/>
        <w:jc w:val="left"/>
      </w:pPr>
      <w:r>
        <w:rPr>
          <w:spacing w:val="-2"/>
        </w:rPr>
        <w:t>立合同而发生的差旅费、投标费等，能够单独区分和可靠计量且合同很可能订立的，在取得合同时计入合同成本；未满足上</w:t>
      </w:r>
      <w:r>
        <w:rPr>
          <w:spacing w:val="-66"/>
        </w:rPr>
        <w:t> </w:t>
      </w:r>
      <w:r>
        <w:rPr>
          <w:spacing w:val="-66"/>
        </w:rPr>
      </w:r>
      <w:r>
        <w:rPr/>
        <w:t>述条件的，则计入当期损益。</w:t>
      </w:r>
    </w:p>
    <w:p>
      <w:pPr>
        <w:pStyle w:val="BodyText"/>
        <w:spacing w:line="316" w:lineRule="auto" w:before="19"/>
        <w:ind w:right="1133" w:firstLine="360"/>
        <w:jc w:val="both"/>
      </w:pPr>
      <w:r>
        <w:rPr>
          <w:spacing w:val="-2"/>
        </w:rPr>
        <w:t>在建合同累计已发生的成本和累计已确认的毛利（亏损）与已结算的价款在资产负债表中以抵销后的净额列示。在建合</w:t>
      </w:r>
      <w:r>
        <w:rPr/>
        <w:t> </w:t>
      </w:r>
      <w:r>
        <w:rPr>
          <w:spacing w:val="-2"/>
        </w:rPr>
        <w:t>同累计已发生的成本和累计已确认的毛利（亏损）之和超过已结算价款的部分作为存货列示；在建合同已结算的价款超过累</w:t>
      </w:r>
      <w:r>
        <w:rPr>
          <w:spacing w:val="-66"/>
        </w:rPr>
        <w:t> </w:t>
      </w:r>
      <w:r>
        <w:rPr>
          <w:spacing w:val="-66"/>
        </w:rPr>
      </w:r>
      <w:r>
        <w:rPr/>
        <w:t>计已发生的成本与累计已确认的毛利（亏损）之和的部分作为预收款项列示。</w:t>
      </w:r>
    </w:p>
    <w:p>
      <w:pPr>
        <w:pStyle w:val="BodyText"/>
        <w:spacing w:line="300" w:lineRule="auto" w:before="19"/>
        <w:ind w:left="514" w:right="0"/>
        <w:jc w:val="left"/>
      </w:pPr>
      <w:r>
        <w:rPr/>
        <w:t>（</w:t>
      </w:r>
      <w:r>
        <w:rPr>
          <w:rFonts w:ascii="Times New Roman" w:hAnsi="Times New Roman" w:cs="Times New Roman" w:eastAsia="Times New Roman" w:hint="default"/>
        </w:rPr>
        <w:t>3</w:t>
      </w:r>
      <w:r>
        <w:rPr/>
        <w:t>）存货可变现净值的确认和跌价准备的计提方法 </w:t>
      </w:r>
      <w:r>
        <w:rPr>
          <w:spacing w:val="-2"/>
        </w:rPr>
        <w:t>可变现净值是指在日常活动中，存货的估计售价减去至完工时估计将要发生的成本、估计的销售费用以及相关税费后的</w:t>
      </w:r>
    </w:p>
    <w:p>
      <w:pPr>
        <w:pStyle w:val="BodyText"/>
        <w:spacing w:line="316" w:lineRule="auto" w:before="31"/>
        <w:ind w:left="514" w:right="1032" w:hanging="360"/>
        <w:jc w:val="left"/>
      </w:pPr>
      <w:r>
        <w:rPr/>
        <w:t>金额。在确定存货的可变现净值时，以取得的确凿证据为基础，同时考虑持有存货的目的以及资产负债表日后事项的影响。</w:t>
      </w:r>
      <w:r>
        <w:rPr>
          <w:spacing w:val="-84"/>
        </w:rPr>
        <w:t> </w:t>
      </w:r>
      <w:r>
        <w:rPr>
          <w:spacing w:val="-84"/>
        </w:rPr>
      </w:r>
      <w:r>
        <w:rPr>
          <w:spacing w:val="-2"/>
        </w:rPr>
        <w:t>在资产负债表日，存货按照成本与可变现净值孰低计量。当其可变现净值低于成本时，提取存货跌价准备。存货跌价准</w:t>
      </w:r>
    </w:p>
    <w:p>
      <w:pPr>
        <w:pStyle w:val="BodyText"/>
        <w:spacing w:line="316" w:lineRule="auto" w:before="19"/>
        <w:ind w:left="514" w:right="0" w:hanging="360"/>
        <w:jc w:val="left"/>
      </w:pPr>
      <w:r>
        <w:rPr/>
        <w:t>备通常按单个存货项目的成本高于其可变现净值的差额提取。 </w:t>
      </w:r>
      <w:r>
        <w:rPr>
          <w:spacing w:val="-2"/>
        </w:rPr>
        <w:t>计提存货跌价准备后，如果以前减记存货价值的影响因素已经消失，导致存货的可变现净值高于其账面价值的，在原已</w:t>
      </w:r>
    </w:p>
    <w:p>
      <w:pPr>
        <w:pStyle w:val="BodyText"/>
        <w:spacing w:line="240" w:lineRule="auto" w:before="19"/>
        <w:ind w:right="0"/>
        <w:jc w:val="left"/>
      </w:pPr>
      <w:r>
        <w:rPr/>
        <w:t>计提的存货跌价准备金额内予以转回，转回的金额计入当期损益。</w:t>
      </w:r>
    </w:p>
    <w:p>
      <w:pPr>
        <w:pStyle w:val="BodyText"/>
        <w:spacing w:line="240" w:lineRule="auto" w:before="76"/>
        <w:ind w:left="514" w:right="0"/>
        <w:jc w:val="left"/>
      </w:pPr>
      <w:r>
        <w:rPr/>
        <w:t>（</w:t>
      </w:r>
      <w:r>
        <w:rPr>
          <w:rFonts w:ascii="Times New Roman" w:hAnsi="Times New Roman" w:cs="Times New Roman" w:eastAsia="Times New Roman" w:hint="default"/>
        </w:rPr>
        <w:t>4</w:t>
      </w:r>
      <w:r>
        <w:rPr/>
        <w:t>）存货的盘存制度为永续盘存制。</w:t>
      </w:r>
    </w:p>
    <w:p>
      <w:pPr>
        <w:pStyle w:val="BodyText"/>
        <w:spacing w:line="300" w:lineRule="auto" w:before="63"/>
        <w:ind w:left="514" w:right="7152"/>
        <w:jc w:val="left"/>
      </w:pPr>
      <w:r>
        <w:rPr/>
        <w:t>（</w:t>
      </w:r>
      <w:r>
        <w:rPr>
          <w:rFonts w:ascii="Times New Roman" w:hAnsi="Times New Roman" w:cs="Times New Roman" w:eastAsia="Times New Roman" w:hint="default"/>
        </w:rPr>
        <w:t>5</w:t>
      </w:r>
      <w:r>
        <w:rPr/>
        <w:t>）低值易耗品和包装物的摊销方法 低值易耗品于领用时按一次摊销法摊销。</w:t>
      </w:r>
    </w:p>
    <w:p>
      <w:pPr>
        <w:spacing w:line="240" w:lineRule="auto" w:before="6"/>
        <w:rPr>
          <w:rFonts w:ascii="宋体" w:hAnsi="宋体" w:cs="宋体" w:eastAsia="宋体" w:hint="default"/>
          <w:sz w:val="23"/>
          <w:szCs w:val="23"/>
        </w:rPr>
      </w:pPr>
    </w:p>
    <w:p>
      <w:pPr>
        <w:pStyle w:val="Heading4"/>
        <w:spacing w:line="240" w:lineRule="auto"/>
        <w:ind w:right="0"/>
        <w:jc w:val="left"/>
        <w:rPr>
          <w:b w:val="0"/>
          <w:bCs w:val="0"/>
        </w:rPr>
      </w:pPr>
      <w:bookmarkStart w:name="13、持有待售资产" w:id="187"/>
      <w:bookmarkEnd w:id="187"/>
      <w:r>
        <w:rPr>
          <w:b w:val="0"/>
          <w:bCs w:val="0"/>
        </w:rPr>
      </w:r>
      <w:r>
        <w:rPr>
          <w:rFonts w:ascii="Times New Roman" w:hAnsi="Times New Roman" w:cs="Times New Roman" w:eastAsia="Times New Roman" w:hint="default"/>
        </w:rPr>
        <w:t>13</w:t>
      </w:r>
      <w:r>
        <w:rPr/>
        <w:t>、持有待售资产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14、长期股权投资" w:id="188"/>
      <w:bookmarkEnd w:id="188"/>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2" w:firstLine="360"/>
        <w:jc w:val="both"/>
      </w:pPr>
      <w:r>
        <w:rPr>
          <w:spacing w:val="-2"/>
        </w:rPr>
        <w:t>本部分所指的长期股权投资是指本公司对被投资单位具有控制、共同控制或重大影响的长期股权投资。本公司对被投资</w:t>
      </w:r>
      <w:r>
        <w:rPr/>
        <w:t> </w:t>
      </w:r>
      <w:r>
        <w:rPr>
          <w:spacing w:val="-2"/>
        </w:rPr>
        <w:t>单位不具有控制、共同控制或重大影响的长期股权投资，作为可供出售金融资产或以公允价值计量且其变动计入当期损益的</w:t>
      </w:r>
      <w:r>
        <w:rPr>
          <w:spacing w:val="-64"/>
        </w:rPr>
        <w:t> </w:t>
      </w:r>
      <w:r>
        <w:rPr>
          <w:spacing w:val="-64"/>
        </w:rPr>
      </w:r>
      <w:r>
        <w:rPr/>
        <w:t>金融资产核算，其会计政策详见附注四、</w:t>
      </w:r>
      <w:r>
        <w:rPr>
          <w:rFonts w:ascii="Times New Roman" w:hAnsi="Times New Roman" w:cs="Times New Roman" w:eastAsia="Times New Roman" w:hint="default"/>
        </w:rPr>
        <w:t>8</w:t>
      </w:r>
      <w:r>
        <w:rPr>
          <w:rFonts w:ascii="Times New Roman" w:hAnsi="Times New Roman" w:cs="Times New Roman" w:eastAsia="Times New Roman" w:hint="default"/>
        </w:rPr>
        <w:t>“</w:t>
      </w:r>
      <w:r>
        <w:rPr/>
        <w:t>金融工具</w:t>
      </w:r>
      <w:r>
        <w:rPr>
          <w:rFonts w:ascii="Times New Roman" w:hAnsi="Times New Roman" w:cs="Times New Roman" w:eastAsia="Times New Roman" w:hint="default"/>
        </w:rPr>
        <w:t>”</w:t>
      </w:r>
      <w:r>
        <w:rPr/>
        <w:t>。</w:t>
      </w:r>
    </w:p>
    <w:p>
      <w:pPr>
        <w:pStyle w:val="BodyText"/>
        <w:spacing w:line="316" w:lineRule="auto"/>
        <w:ind w:right="1132" w:firstLine="360"/>
        <w:jc w:val="both"/>
      </w:pPr>
      <w:r>
        <w:rPr>
          <w:spacing w:val="-2"/>
        </w:rPr>
        <w:t>共同控制，是指本公司按照相关约定对某项安排所共有的控制，并且该安排的相关活动必须经过分享控制权的参与方一</w:t>
      </w:r>
      <w:r>
        <w:rPr/>
        <w:t> </w:t>
      </w:r>
      <w:r>
        <w:rPr>
          <w:spacing w:val="-2"/>
        </w:rPr>
        <w:t>致同意后才能决策。重大影响，是指本公司对被投资单位的财务和经营政策有参与决策的权力，但并不能够控制或者与其他</w:t>
      </w:r>
      <w:r>
        <w:rPr>
          <w:spacing w:val="-66"/>
        </w:rPr>
        <w:t> </w:t>
      </w:r>
      <w:r>
        <w:rPr>
          <w:spacing w:val="-66"/>
        </w:rPr>
      </w:r>
      <w:r>
        <w:rPr/>
        <w:t>方一起共同控制这些政策的制定。</w:t>
      </w:r>
    </w:p>
    <w:p>
      <w:pPr>
        <w:pStyle w:val="BodyText"/>
        <w:spacing w:line="300" w:lineRule="auto" w:before="19"/>
        <w:ind w:left="514" w:right="0"/>
        <w:jc w:val="left"/>
      </w:pPr>
      <w:r>
        <w:rPr/>
        <w:t>（</w:t>
      </w:r>
      <w:r>
        <w:rPr>
          <w:rFonts w:ascii="Times New Roman" w:hAnsi="Times New Roman" w:cs="Times New Roman" w:eastAsia="Times New Roman" w:hint="default"/>
        </w:rPr>
        <w:t>1</w:t>
      </w:r>
      <w:r>
        <w:rPr/>
        <w:t>）投资成本的确定 </w:t>
      </w:r>
      <w:r>
        <w:rPr>
          <w:spacing w:val="-2"/>
        </w:rPr>
        <w:t>对于同一控制下的企业合并取得的长期股权投资，在合并日按照被合并方股东权益在最终控制方合并财务报表中的账面</w:t>
      </w:r>
    </w:p>
    <w:p>
      <w:pPr>
        <w:pStyle w:val="BodyText"/>
        <w:spacing w:line="314" w:lineRule="auto" w:before="31"/>
        <w:ind w:right="1032"/>
        <w:jc w:val="left"/>
      </w:pPr>
      <w:r>
        <w:rPr>
          <w:spacing w:val="-2"/>
        </w:rPr>
        <w:t>价值的份额作为长期股权投资的初始投资成本。长期股权投资初始投资成本与支付的现金、转让的非现金资产以及所承担债</w:t>
      </w:r>
      <w:r>
        <w:rPr>
          <w:spacing w:val="-64"/>
        </w:rPr>
        <w:t> </w:t>
      </w:r>
      <w:r>
        <w:rPr>
          <w:spacing w:val="-64"/>
        </w:rPr>
      </w:r>
      <w:r>
        <w:rPr>
          <w:spacing w:val="-2"/>
        </w:rPr>
        <w:t>务账面价值之间的差额，调整资本公积；资本公积不足冲减的，调整留存收益。以发行权益性证券作为合并对价的，在合并</w:t>
      </w:r>
      <w:r>
        <w:rPr>
          <w:spacing w:val="-66"/>
        </w:rPr>
        <w:t> </w:t>
      </w:r>
      <w:r>
        <w:rPr>
          <w:spacing w:val="-66"/>
        </w:rPr>
      </w:r>
      <w:r>
        <w:rPr>
          <w:spacing w:val="-2"/>
        </w:rPr>
        <w:t>日按照被合并方股东权益在最终控制方合并财务报表中的账面价值的份额作为长期股权投资的初始投资成本，按照发行股份</w:t>
      </w:r>
      <w:r>
        <w:rPr>
          <w:spacing w:val="-64"/>
        </w:rPr>
        <w:t> </w:t>
      </w:r>
      <w:r>
        <w:rPr>
          <w:spacing w:val="-64"/>
        </w:rPr>
      </w:r>
      <w:r>
        <w:rPr>
          <w:spacing w:val="-5"/>
        </w:rPr>
        <w:t>的面值总额作为股本，长期股权投资初始投资成本与所发行股份面值总额之间的差额，调整资本公积；资本公积不足冲减的，</w:t>
      </w:r>
      <w:r>
        <w:rPr>
          <w:spacing w:val="-79"/>
        </w:rPr>
        <w:t> </w:t>
      </w:r>
      <w:r>
        <w:rPr>
          <w:spacing w:val="-79"/>
        </w:rPr>
      </w:r>
      <w:r>
        <w:rPr/>
        <w:t>调整留存收益。通过多次交易分步取得同一控制下被合并方的股权，最终形成同一控制下企业合并的，应分别是否属于</w:t>
      </w:r>
      <w:r>
        <w:rPr>
          <w:rFonts w:ascii="Times New Roman" w:hAnsi="Times New Roman" w:cs="Times New Roman" w:eastAsia="Times New Roman" w:hint="default"/>
        </w:rPr>
        <w:t>“</w:t>
      </w:r>
      <w:r>
        <w:rPr/>
        <w:t>一</w:t>
      </w:r>
      <w:r>
        <w:rPr>
          <w:spacing w:val="-73"/>
        </w:rPr>
        <w:t> </w:t>
      </w:r>
      <w:r>
        <w:rPr>
          <w:spacing w:val="-3"/>
        </w:rPr>
        <w:t>揽子交易</w:t>
      </w:r>
      <w:r>
        <w:rPr>
          <w:rFonts w:ascii="Times New Roman" w:hAnsi="Times New Roman" w:cs="Times New Roman" w:eastAsia="Times New Roman" w:hint="default"/>
          <w:spacing w:val="-3"/>
        </w:rPr>
        <w:t>”</w:t>
      </w:r>
      <w:r>
        <w:rPr>
          <w:spacing w:val="-3"/>
        </w:rPr>
        <w:t>进行处理：属于</w:t>
      </w:r>
      <w:r>
        <w:rPr>
          <w:rFonts w:ascii="Times New Roman" w:hAnsi="Times New Roman" w:cs="Times New Roman" w:eastAsia="Times New Roman" w:hint="default"/>
          <w:spacing w:val="-3"/>
        </w:rPr>
        <w:t>“</w:t>
      </w:r>
      <w:r>
        <w:rPr>
          <w:spacing w:val="-3"/>
        </w:rPr>
        <w:t>一揽子交易</w:t>
      </w:r>
      <w:r>
        <w:rPr>
          <w:rFonts w:ascii="Times New Roman" w:hAnsi="Times New Roman" w:cs="Times New Roman" w:eastAsia="Times New Roman" w:hint="default"/>
          <w:spacing w:val="-3"/>
        </w:rPr>
        <w:t>”</w:t>
      </w:r>
      <w:r>
        <w:rPr>
          <w:spacing w:val="-3"/>
        </w:rPr>
        <w:t>的，将各项交易作为一项取得控制权的交易进行会计处理。不属于</w:t>
      </w:r>
      <w:r>
        <w:rPr>
          <w:rFonts w:ascii="Times New Roman" w:hAnsi="Times New Roman" w:cs="Times New Roman" w:eastAsia="Times New Roman" w:hint="default"/>
          <w:spacing w:val="-3"/>
        </w:rPr>
        <w:t>“</w:t>
      </w:r>
      <w:r>
        <w:rPr>
          <w:spacing w:val="-3"/>
        </w:rPr>
        <w:t>一揽子交易</w:t>
      </w:r>
      <w:r>
        <w:rPr>
          <w:rFonts w:ascii="Times New Roman" w:hAnsi="Times New Roman" w:cs="Times New Roman" w:eastAsia="Times New Roman" w:hint="default"/>
          <w:spacing w:val="-3"/>
        </w:rPr>
        <w:t>”</w:t>
      </w:r>
      <w:r>
        <w:rPr>
          <w:spacing w:val="-3"/>
        </w:rPr>
        <w:t>的，</w:t>
      </w:r>
      <w:r>
        <w:rPr>
          <w:spacing w:val="-42"/>
        </w:rPr>
        <w:t> </w:t>
      </w:r>
      <w:r>
        <w:rPr/>
        <w:t>在合并日按照应享有被合并方股东权益在最终控制方合并财务报表中的账面价值的份额作为长期股权投资的初始投资成本，</w:t>
      </w:r>
      <w:r>
        <w:rPr>
          <w:spacing w:val="-85"/>
        </w:rPr>
        <w:t> </w:t>
      </w:r>
      <w:r>
        <w:rPr>
          <w:spacing w:val="-85"/>
        </w:rPr>
      </w:r>
      <w:r>
        <w:rPr/>
        <w:t>长期股权投资初始投资成本与达到合并前的长期股权投资账面价值加上合并日进一步取得股份新支付对价的账面价值之和</w:t>
      </w:r>
      <w:r>
        <w:rPr>
          <w:spacing w:val="-9"/>
        </w:rPr>
        <w:t> </w:t>
      </w:r>
      <w:r>
        <w:rPr>
          <w:spacing w:val="-9"/>
        </w:rPr>
      </w:r>
      <w:r>
        <w:rPr>
          <w:spacing w:val="-2"/>
        </w:rPr>
        <w:t>的差额，调整资本公积；资本公积不足冲减的，调整留存收益。合并日之前持有的股权投资因采用权益法核算或为可供出售</w:t>
      </w:r>
      <w:r>
        <w:rPr>
          <w:spacing w:val="-66"/>
        </w:rPr>
        <w:t> </w:t>
      </w:r>
      <w:r>
        <w:rPr>
          <w:spacing w:val="-66"/>
        </w:rPr>
      </w:r>
      <w:r>
        <w:rPr/>
        <w:t>金融资产而确认的其他综合收益，暂不进行会计处理。</w:t>
      </w:r>
    </w:p>
    <w:p>
      <w:pPr>
        <w:pStyle w:val="BodyText"/>
        <w:spacing w:line="240" w:lineRule="auto" w:before="20"/>
        <w:ind w:left="514" w:right="0"/>
        <w:jc w:val="left"/>
      </w:pPr>
      <w:r>
        <w:rPr/>
        <w:t>对于非同一控制下的企业合并取得的长期股权投资，在购买日按照合并成本作为长期股权投资的初始投资成本，合并成</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2" w:lineRule="auto" w:before="44"/>
        <w:ind w:right="1040"/>
        <w:jc w:val="left"/>
      </w:pPr>
      <w:r>
        <w:rPr>
          <w:spacing w:val="-5"/>
        </w:rPr>
        <w:t>本包括购买方付出的资产、发生或承担的负债、发行的权益性证券的公允价值之和。通过多次交易分步取得被购买方的股权，</w:t>
      </w:r>
      <w:r>
        <w:rPr>
          <w:spacing w:val="-79"/>
        </w:rPr>
        <w:t> </w:t>
      </w:r>
      <w:r>
        <w:rPr>
          <w:spacing w:val="-79"/>
        </w:rPr>
      </w:r>
      <w:r>
        <w:rPr/>
        <w:t>最终形成非同一控制下的企业合并的，应分别是否属于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进行处理：属于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的，将各项交易作为一项 </w:t>
      </w:r>
      <w:r>
        <w:rPr>
          <w:spacing w:val="-3"/>
          <w:w w:val="100"/>
        </w:rPr>
        <w:t>取得控制权的交易进行会计处理。不属于</w:t>
      </w:r>
      <w:r>
        <w:rPr>
          <w:rFonts w:ascii="Times New Roman" w:hAnsi="Times New Roman" w:cs="Times New Roman" w:eastAsia="Times New Roman" w:hint="default"/>
          <w:spacing w:val="-3"/>
          <w:w w:val="100"/>
        </w:rPr>
        <w:t>“</w:t>
      </w:r>
      <w:r>
        <w:rPr>
          <w:spacing w:val="-3"/>
          <w:w w:val="100"/>
        </w:rPr>
        <w:t>一揽子交易</w:t>
      </w:r>
      <w:r>
        <w:rPr>
          <w:rFonts w:ascii="Times New Roman" w:hAnsi="Times New Roman" w:cs="Times New Roman" w:eastAsia="Times New Roman" w:hint="default"/>
          <w:spacing w:val="-3"/>
          <w:w w:val="100"/>
        </w:rPr>
        <w:t>”</w:t>
      </w:r>
      <w:r>
        <w:rPr>
          <w:spacing w:val="-3"/>
          <w:w w:val="100"/>
        </w:rPr>
        <w:t>的，按照原持有被购买方的股权投资账面价值加上新增投资成本之和，</w:t>
      </w:r>
      <w:r>
        <w:rPr>
          <w:spacing w:val="-76"/>
          <w:w w:val="100"/>
        </w:rPr>
        <w:t> </w:t>
      </w:r>
      <w:r>
        <w:rPr>
          <w:spacing w:val="-76"/>
          <w:w w:val="100"/>
        </w:rPr>
      </w:r>
      <w:r>
        <w:rPr>
          <w:spacing w:val="-2"/>
        </w:rPr>
        <w:t>作为改按成本法核算的长期股权投资的初始投资成本。原持有的股权采用权益法核算的，相关其他综合收益暂不进行会计处</w:t>
      </w:r>
      <w:r>
        <w:rPr>
          <w:spacing w:val="-64"/>
        </w:rPr>
        <w:t> </w:t>
      </w:r>
      <w:r>
        <w:rPr>
          <w:spacing w:val="-64"/>
        </w:rPr>
      </w:r>
      <w:r>
        <w:rPr>
          <w:spacing w:val="-2"/>
        </w:rPr>
        <w:t>理。原持有股权投资为可供出售金融资产的，其公允价值与账面价值之间的差额，以及原计入其他综合收益的累计公允价值</w:t>
      </w:r>
      <w:r>
        <w:rPr>
          <w:spacing w:val="-66"/>
        </w:rPr>
        <w:t> </w:t>
      </w:r>
      <w:r>
        <w:rPr>
          <w:spacing w:val="-66"/>
        </w:rPr>
      </w:r>
      <w:r>
        <w:rPr/>
        <w:t>变动转入当期损益。</w:t>
      </w:r>
    </w:p>
    <w:p>
      <w:pPr>
        <w:pStyle w:val="BodyText"/>
        <w:spacing w:line="316" w:lineRule="auto" w:before="22"/>
        <w:ind w:right="1133" w:firstLine="360"/>
        <w:jc w:val="both"/>
      </w:pPr>
      <w:r>
        <w:rPr>
          <w:spacing w:val="-2"/>
        </w:rPr>
        <w:t>合并方或购买方为企业合并发生的审计、法律服务、评估咨询等中介费用以及其他相关管理费用，于发生时计入当期损</w:t>
      </w:r>
      <w:r>
        <w:rPr/>
        <w:t> 益。</w:t>
      </w:r>
    </w:p>
    <w:p>
      <w:pPr>
        <w:pStyle w:val="BodyText"/>
        <w:spacing w:line="314" w:lineRule="auto" w:before="19"/>
        <w:ind w:right="1132" w:firstLine="360"/>
        <w:jc w:val="both"/>
      </w:pPr>
      <w:r>
        <w:rPr>
          <w:spacing w:val="-2"/>
        </w:rPr>
        <w:t>除企业合并形成的长期股权投资外的其他股权投资，按成本进行初始计量，该成本视长期股权投资取得方式的不同，分</w:t>
      </w:r>
      <w:r>
        <w:rPr/>
        <w:t> </w:t>
      </w:r>
      <w:r>
        <w:rPr>
          <w:spacing w:val="-2"/>
        </w:rPr>
        <w:t>别按照本公司实际支付的现金购买价款、本公司发行的权益性证券的公允价值、投资合同或协议约定的价值、非货币性资产</w:t>
      </w:r>
      <w:r>
        <w:rPr>
          <w:spacing w:val="-66"/>
        </w:rPr>
        <w:t> </w:t>
      </w:r>
      <w:r>
        <w:rPr>
          <w:spacing w:val="-66"/>
        </w:rPr>
      </w:r>
      <w:r>
        <w:rPr>
          <w:spacing w:val="-2"/>
        </w:rPr>
        <w:t>交换交易中换出资产的公允价值或原账面价值、该项长期股权投资自身的公允价值等方式确定。与取得长期股权投资直接相</w:t>
      </w:r>
      <w:r>
        <w:rPr>
          <w:spacing w:val="-64"/>
        </w:rPr>
        <w:t> </w:t>
      </w:r>
      <w:r>
        <w:rPr>
          <w:spacing w:val="-64"/>
        </w:rPr>
      </w:r>
      <w:r>
        <w:rPr>
          <w:spacing w:val="-2"/>
        </w:rPr>
        <w:t>关的费用、税金及其他必要支出也计入投资成本。对于因追加投资能够对被投资单位实施重大影响或实施共同控制但不构成</w:t>
      </w:r>
      <w:r>
        <w:rPr>
          <w:spacing w:val="-64"/>
        </w:rPr>
        <w:t> </w:t>
      </w:r>
      <w:r>
        <w:rPr>
          <w:spacing w:val="-64"/>
        </w:rPr>
      </w:r>
      <w:r>
        <w:rPr>
          <w:spacing w:val="-2"/>
        </w:rPr>
        <w:t>控制的，长期股权投资成本为按照《企业会计准则第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金融工具确认和计量》确定的原持有股权投资的公允价值加上</w:t>
      </w:r>
      <w:r>
        <w:rPr>
          <w:spacing w:val="-64"/>
        </w:rPr>
        <w:t> </w:t>
      </w:r>
      <w:r>
        <w:rPr>
          <w:spacing w:val="-64"/>
        </w:rPr>
      </w:r>
      <w:r>
        <w:rPr/>
        <w:t>新增投资成本之和。</w:t>
      </w:r>
    </w:p>
    <w:p>
      <w:pPr>
        <w:pStyle w:val="BodyText"/>
        <w:spacing w:line="300" w:lineRule="auto" w:before="20"/>
        <w:ind w:left="514" w:right="0"/>
        <w:jc w:val="left"/>
      </w:pPr>
      <w:r>
        <w:rPr/>
        <w:t>（</w:t>
      </w:r>
      <w:r>
        <w:rPr>
          <w:rFonts w:ascii="Times New Roman" w:hAnsi="Times New Roman" w:cs="Times New Roman" w:eastAsia="Times New Roman" w:hint="default"/>
        </w:rPr>
        <w:t>2</w:t>
      </w:r>
      <w:r>
        <w:rPr/>
        <w:t>）后续计量及损益确认方法 </w:t>
      </w:r>
      <w:r>
        <w:rPr>
          <w:spacing w:val="-2"/>
        </w:rPr>
        <w:t>对被投资单位具有共同控制（构成共同经营者除外）或重大影响的长期股权投资，采用权益法核算。此外，公司财务报</w:t>
      </w:r>
    </w:p>
    <w:p>
      <w:pPr>
        <w:pStyle w:val="BodyText"/>
        <w:spacing w:line="240" w:lineRule="auto" w:before="31"/>
        <w:ind w:right="0"/>
        <w:jc w:val="left"/>
      </w:pPr>
      <w:r>
        <w:rPr/>
        <w:t>表采用成本法核算能够对被投资单位实施控制的长期股权投资。</w:t>
      </w:r>
    </w:p>
    <w:p>
      <w:pPr>
        <w:pStyle w:val="BodyText"/>
        <w:spacing w:line="316" w:lineRule="auto" w:before="76"/>
        <w:ind w:left="514" w:right="0"/>
        <w:jc w:val="left"/>
      </w:pPr>
      <w:r>
        <w:rPr/>
        <w:t>①成本法核算的长期股权投资 </w:t>
      </w:r>
      <w:r>
        <w:rPr>
          <w:spacing w:val="-2"/>
        </w:rPr>
        <w:t>采用成本法核算时，长期股权投资按初始投资成本计价，追加或收回投资调整长期股权投资的成本。除取得投资时实际</w:t>
      </w:r>
    </w:p>
    <w:p>
      <w:pPr>
        <w:pStyle w:val="BodyText"/>
        <w:spacing w:line="316" w:lineRule="auto" w:before="19"/>
        <w:ind w:right="0"/>
        <w:jc w:val="left"/>
      </w:pPr>
      <w:r>
        <w:rPr>
          <w:spacing w:val="-2"/>
        </w:rPr>
        <w:t>支付的价款或者对价中包含的已宣告但尚未发放的现金股利或者利润外，当期投资收益按照享有被投资单位宣告发放的现金</w:t>
      </w:r>
      <w:r>
        <w:rPr>
          <w:spacing w:val="-64"/>
        </w:rPr>
        <w:t> </w:t>
      </w:r>
      <w:r>
        <w:rPr>
          <w:spacing w:val="-64"/>
        </w:rPr>
      </w:r>
      <w:r>
        <w:rPr/>
        <w:t>股利或利润确认。</w:t>
      </w:r>
    </w:p>
    <w:p>
      <w:pPr>
        <w:pStyle w:val="BodyText"/>
        <w:spacing w:line="319" w:lineRule="auto" w:before="19"/>
        <w:ind w:left="514" w:right="0"/>
        <w:jc w:val="left"/>
      </w:pPr>
      <w:r>
        <w:rPr/>
        <w:t>②权益法核算的长期股权投资 </w:t>
      </w:r>
      <w:r>
        <w:rPr>
          <w:spacing w:val="-2"/>
        </w:rPr>
        <w:t>采用权益法核算时，长期股权投资的初始投资成本大于投资时应享有被投资单位可辨认净资产公允价值份额的，不调整</w:t>
      </w:r>
    </w:p>
    <w:p>
      <w:pPr>
        <w:pStyle w:val="BodyText"/>
        <w:spacing w:line="316" w:lineRule="auto" w:before="17"/>
        <w:ind w:right="0"/>
        <w:jc w:val="left"/>
      </w:pPr>
      <w:r>
        <w:rPr>
          <w:spacing w:val="-2"/>
        </w:rPr>
        <w:t>长期股权投资的初始投资成本；初始投资成本小于投资时应享有被投资单位可辨认净资产公允价值份额的，其差额计入当期</w:t>
      </w:r>
      <w:r>
        <w:rPr>
          <w:spacing w:val="-64"/>
        </w:rPr>
        <w:t> </w:t>
      </w:r>
      <w:r>
        <w:rPr>
          <w:spacing w:val="-64"/>
        </w:rPr>
      </w:r>
      <w:r>
        <w:rPr/>
        <w:t>损益，同时调整长期股权投资的成本。</w:t>
      </w:r>
    </w:p>
    <w:p>
      <w:pPr>
        <w:pStyle w:val="BodyText"/>
        <w:spacing w:line="316" w:lineRule="auto" w:before="19"/>
        <w:ind w:right="1032" w:firstLine="360"/>
        <w:jc w:val="left"/>
      </w:pPr>
      <w:r>
        <w:rPr>
          <w:spacing w:val="-2"/>
        </w:rPr>
        <w:t>采用权益法核算时，按照应享有或应分担的被投资单位实现的净损益和其他综合收益的份额，分别确认投资收益和其他</w:t>
      </w:r>
      <w:r>
        <w:rPr/>
        <w:t> </w:t>
      </w:r>
      <w:r>
        <w:rPr>
          <w:spacing w:val="-2"/>
        </w:rPr>
        <w:t>综合收益，同时调整长期股权投资的账面价值；按照被投资单位宣告分派的利润或现金股利计算应享有的部分，相应减少长</w:t>
      </w:r>
      <w:r>
        <w:rPr>
          <w:spacing w:val="-66"/>
        </w:rPr>
        <w:t> </w:t>
      </w:r>
      <w:r>
        <w:rPr>
          <w:spacing w:val="-66"/>
        </w:rPr>
      </w:r>
      <w:r>
        <w:rPr>
          <w:spacing w:val="-2"/>
        </w:rPr>
        <w:t>期股权投资的账面价值；对于被投资单位除净损益、其他综合收益和利润分配以外所有者权益的其他变动，调整长期股权投</w:t>
      </w:r>
      <w:r>
        <w:rPr>
          <w:spacing w:val="-66"/>
        </w:rPr>
        <w:t> </w:t>
      </w:r>
      <w:r>
        <w:rPr>
          <w:spacing w:val="-66"/>
        </w:rPr>
      </w:r>
      <w:r>
        <w:rPr>
          <w:spacing w:val="-2"/>
        </w:rPr>
        <w:t>资的账面价值并计入资本公积。在确认应享有被投资单位净损益的份额时，以取得投资时被投资单位各项可辨认资产等的公</w:t>
      </w:r>
      <w:r>
        <w:rPr>
          <w:spacing w:val="-64"/>
        </w:rPr>
        <w:t> </w:t>
      </w:r>
      <w:r>
        <w:rPr>
          <w:spacing w:val="-64"/>
        </w:rPr>
      </w:r>
      <w:r>
        <w:rPr>
          <w:spacing w:val="-2"/>
        </w:rPr>
        <w:t>允价值为基础，对被投资单位的净利润进行调整后确认。被投资单位采用的会计政策及会计期间与本公司不一致的，按照本</w:t>
      </w:r>
      <w:r>
        <w:rPr>
          <w:spacing w:val="-66"/>
        </w:rPr>
        <w:t> </w:t>
      </w:r>
      <w:r>
        <w:rPr>
          <w:spacing w:val="-66"/>
        </w:rPr>
      </w:r>
      <w:r>
        <w:rPr>
          <w:spacing w:val="-2"/>
        </w:rPr>
        <w:t>公司的会计政策及会计期间对被投资单位的财务报表进行调整，并据以确认投资收益和其他综合收益。对于本公司与联营企</w:t>
      </w:r>
      <w:r>
        <w:rPr>
          <w:spacing w:val="-64"/>
        </w:rPr>
        <w:t> </w:t>
      </w:r>
      <w:r>
        <w:rPr>
          <w:spacing w:val="-64"/>
        </w:rPr>
      </w:r>
      <w:r>
        <w:rPr>
          <w:spacing w:val="-2"/>
        </w:rPr>
        <w:t>业及合营企业之间发生的交易，投出或出售的资产不构成业务的，未实现内部交易损益按照享有的比例计算归属于本公司的</w:t>
      </w:r>
      <w:r>
        <w:rPr>
          <w:spacing w:val="-64"/>
        </w:rPr>
        <w:t> </w:t>
      </w:r>
      <w:r>
        <w:rPr>
          <w:spacing w:val="-64"/>
        </w:rPr>
      </w:r>
      <w:r>
        <w:rPr>
          <w:spacing w:val="-5"/>
        </w:rPr>
        <w:t>部分予以抵销，在此基础上确认投资损益。但本公司与被投资单位发生的未实现内部交易损失，属于所转让资产减值损失的，</w:t>
      </w:r>
      <w:r>
        <w:rPr>
          <w:spacing w:val="-79"/>
        </w:rPr>
        <w:t> </w:t>
      </w:r>
      <w:r>
        <w:rPr>
          <w:spacing w:val="-79"/>
        </w:rPr>
      </w:r>
      <w:r>
        <w:rPr>
          <w:spacing w:val="-2"/>
        </w:rPr>
        <w:t>不予以抵销。本公司向合营企业或联营企业投出的资产构成业务的，投资方因此取得长期股权投资但未取得控制权的，以投</w:t>
      </w:r>
      <w:r>
        <w:rPr>
          <w:spacing w:val="-66"/>
        </w:rPr>
        <w:t> </w:t>
      </w:r>
      <w:r>
        <w:rPr>
          <w:spacing w:val="-66"/>
        </w:rPr>
      </w:r>
      <w:r>
        <w:rPr/>
        <w:t>出业务的公允价值作为新增长期股权投资的初始投资成本，初始投资成本与投出业务的账面价值之差，全额计入当期损益。</w:t>
      </w:r>
      <w:r>
        <w:rPr>
          <w:spacing w:val="-85"/>
        </w:rPr>
        <w:t> </w:t>
      </w:r>
      <w:r>
        <w:rPr>
          <w:spacing w:val="-85"/>
        </w:rPr>
      </w:r>
      <w:r>
        <w:rPr>
          <w:spacing w:val="-2"/>
        </w:rPr>
        <w:t>本公司向合营企业或联营企业出售的资产构成业务的，取得的对价与业务的账面价值之差，全额计入当期损益。本公司自联</w:t>
      </w:r>
      <w:r>
        <w:rPr>
          <w:spacing w:val="-66"/>
        </w:rPr>
        <w:t> </w:t>
      </w:r>
      <w:r>
        <w:rPr>
          <w:spacing w:val="-66"/>
        </w:rPr>
      </w:r>
      <w:r>
        <w:rPr>
          <w:spacing w:val="-2"/>
        </w:rPr>
        <w:t>营企业及合营企业购入的资产构成业务的，按《企业会计准则第</w:t>
      </w:r>
      <w:r>
        <w:rPr>
          <w:rFonts w:ascii="Times New Roman" w:hAnsi="Times New Roman" w:cs="Times New Roman" w:eastAsia="Times New Roman" w:hint="default"/>
          <w:spacing w:val="-2"/>
        </w:rPr>
        <w:t>20</w:t>
      </w:r>
      <w:r>
        <w:rPr>
          <w:spacing w:val="-2"/>
        </w:rPr>
        <w:t>号</w:t>
      </w:r>
      <w:r>
        <w:rPr>
          <w:rFonts w:ascii="Times New Roman" w:hAnsi="Times New Roman" w:cs="Times New Roman" w:eastAsia="Times New Roman" w:hint="default"/>
          <w:spacing w:val="-2"/>
        </w:rPr>
        <w:t>——</w:t>
      </w:r>
      <w:r>
        <w:rPr>
          <w:spacing w:val="-2"/>
        </w:rPr>
        <w:t>企业合并》的规定进行会计处理，全额确认与交易</w:t>
      </w:r>
      <w:r>
        <w:rPr>
          <w:spacing w:val="-64"/>
        </w:rPr>
        <w:t> </w:t>
      </w:r>
      <w:r>
        <w:rPr>
          <w:spacing w:val="-64"/>
        </w:rPr>
      </w:r>
      <w:r>
        <w:rPr/>
        <w:t>相关的利得或损失。</w:t>
      </w:r>
    </w:p>
    <w:p>
      <w:pPr>
        <w:pStyle w:val="BodyText"/>
        <w:spacing w:line="319" w:lineRule="auto" w:before="19"/>
        <w:ind w:right="1131" w:firstLine="360"/>
        <w:jc w:val="both"/>
      </w:pPr>
      <w:r>
        <w:rPr>
          <w:spacing w:val="-2"/>
        </w:rPr>
        <w:t>在确认应分担被投资单位发生的净亏损时，以长期股权投资的账面价值和其他实质上构成对被投资单位净投资的长期权</w:t>
      </w:r>
      <w:r>
        <w:rPr/>
        <w:t> </w:t>
      </w:r>
      <w:r>
        <w:rPr>
          <w:spacing w:val="-2"/>
        </w:rPr>
        <w:t>益减记至零为限。此外，如本公司对被投资单位负有承担额外损失的义务，则按预计承担的义务确认预计负债，计入当期投</w:t>
      </w:r>
      <w:r>
        <w:rPr>
          <w:spacing w:val="-66"/>
        </w:rPr>
        <w:t> </w:t>
      </w:r>
      <w:r>
        <w:rPr>
          <w:spacing w:val="-66"/>
        </w:rPr>
      </w:r>
      <w:r>
        <w:rPr/>
        <w:t>资损失。被投资单位以后期间实现净利润的，本公司在收益分享额弥补未确认的亏损分担额后，恢复确认收益分享额。</w:t>
      </w:r>
    </w:p>
    <w:p>
      <w:pPr>
        <w:pStyle w:val="BodyText"/>
        <w:spacing w:line="316" w:lineRule="auto" w:before="17"/>
        <w:ind w:left="514" w:right="0"/>
        <w:jc w:val="left"/>
      </w:pPr>
      <w:r>
        <w:rPr/>
        <w:t>③收购少数股权 </w:t>
      </w:r>
      <w:r>
        <w:rPr>
          <w:spacing w:val="-2"/>
        </w:rPr>
        <w:t>在编制合并财务报表时，因购买少数股权新增的长期股权投资与按照新增持股比例计算应享有子公司自购买日（或合并</w:t>
      </w:r>
    </w:p>
    <w:p>
      <w:pPr>
        <w:pStyle w:val="BodyText"/>
        <w:spacing w:line="240" w:lineRule="auto" w:before="19"/>
        <w:ind w:right="0"/>
        <w:jc w:val="left"/>
      </w:pPr>
      <w:r>
        <w:rPr/>
        <w:t>日）开始持续计算的净资产份额之间的差额，调整资本公积，资本公积不足冲减的，调整留存收益。</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left="514" w:right="0"/>
        <w:jc w:val="left"/>
      </w:pPr>
      <w:r>
        <w:rPr/>
        <w:t>④处置长期股权投资 </w:t>
      </w:r>
      <w:r>
        <w:rPr>
          <w:spacing w:val="-2"/>
        </w:rPr>
        <w:t>在合并财务报表中，母公司在不丧失控制权的情况下部分处置对子公司的长期股权投资，处置价款与处置长期股权投资</w:t>
      </w:r>
    </w:p>
    <w:p>
      <w:pPr>
        <w:pStyle w:val="BodyText"/>
        <w:spacing w:line="316" w:lineRule="auto" w:before="19"/>
        <w:ind w:right="0"/>
        <w:jc w:val="left"/>
      </w:pPr>
      <w:r>
        <w:rPr>
          <w:spacing w:val="-2"/>
        </w:rPr>
        <w:t>相对应享有子公司净资产的差额计入股东权益；母公司部分处置对子公司的长期股权投资导致丧失对子公司控制权的，按本</w:t>
      </w:r>
      <w:r>
        <w:rPr>
          <w:spacing w:val="-64"/>
        </w:rPr>
        <w:t> </w:t>
      </w:r>
      <w:r>
        <w:rPr>
          <w:spacing w:val="-64"/>
        </w:rPr>
      </w:r>
      <w:r>
        <w:rPr/>
        <w:t>附注四、</w:t>
      </w:r>
      <w:r>
        <w:rPr>
          <w:rFonts w:ascii="Times New Roman" w:hAnsi="Times New Roman" w:cs="Times New Roman" w:eastAsia="Times New Roman" w:hint="default"/>
        </w:rPr>
        <w:t>5.</w:t>
      </w: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w:t>
      </w:r>
      <w:r>
        <w:rPr/>
        <w:t>合并财务报表编制的方法</w:t>
      </w:r>
      <w:r>
        <w:rPr>
          <w:rFonts w:ascii="Times New Roman" w:hAnsi="Times New Roman" w:cs="Times New Roman" w:eastAsia="Times New Roman" w:hint="default"/>
        </w:rPr>
        <w:t>”</w:t>
      </w:r>
      <w:r>
        <w:rPr/>
        <w:t>中所述的相关会计政策处理。</w:t>
      </w:r>
    </w:p>
    <w:p>
      <w:pPr>
        <w:pStyle w:val="BodyText"/>
        <w:spacing w:line="316" w:lineRule="auto"/>
        <w:ind w:left="514" w:right="0"/>
        <w:jc w:val="left"/>
      </w:pPr>
      <w:r>
        <w:rPr/>
        <w:t>其他情形下的长期股权投资处置，对于处置的股权，其账面价值与实际取得价款的差额，计入当期损益。 </w:t>
      </w:r>
      <w:r>
        <w:rPr>
          <w:spacing w:val="-2"/>
        </w:rPr>
        <w:t>采用权益法核算的长期股权投资，处置后的剩余股权仍采用权益法核算的，在处置时将原计入股东权益的其他综合收益</w:t>
      </w:r>
    </w:p>
    <w:p>
      <w:pPr>
        <w:pStyle w:val="BodyText"/>
        <w:spacing w:line="316" w:lineRule="auto" w:before="19"/>
        <w:ind w:right="0"/>
        <w:jc w:val="left"/>
      </w:pPr>
      <w:r>
        <w:rPr>
          <w:spacing w:val="-2"/>
        </w:rPr>
        <w:t>部分按相应的比例采用与被投资单位直接处置相关资产或负债相同的基础进行会计处理。因被投资方除净损益、其他综合收</w:t>
      </w:r>
      <w:r>
        <w:rPr>
          <w:spacing w:val="-64"/>
        </w:rPr>
        <w:t> </w:t>
      </w:r>
      <w:r>
        <w:rPr>
          <w:spacing w:val="-64"/>
        </w:rPr>
      </w:r>
      <w:r>
        <w:rPr/>
        <w:t>益和利润分配以外的其他所有者权益变动而确认的所有者权益，按比例结转入当期损益。</w:t>
      </w:r>
    </w:p>
    <w:p>
      <w:pPr>
        <w:pStyle w:val="BodyText"/>
        <w:spacing w:line="316" w:lineRule="auto" w:before="19"/>
        <w:ind w:right="1131" w:firstLine="360"/>
        <w:jc w:val="both"/>
      </w:pPr>
      <w:r>
        <w:rPr>
          <w:spacing w:val="-2"/>
        </w:rPr>
        <w:t>采用成本法核算的长期股权投资，处置后剩余股权仍采用成本法核算的，其在取得对被投资单位的控制之前因采用权益</w:t>
      </w:r>
      <w:r>
        <w:rPr/>
        <w:t> </w:t>
      </w:r>
      <w:r>
        <w:rPr>
          <w:spacing w:val="-2"/>
        </w:rPr>
        <w:t>法核算或金融工具确认和计量准则核算而确认的其他综合收益，采用与被投资单位直接处置相关资产或负债相同的基础进行</w:t>
      </w:r>
      <w:r>
        <w:rPr>
          <w:spacing w:val="-64"/>
        </w:rPr>
        <w:t> </w:t>
      </w:r>
      <w:r>
        <w:rPr>
          <w:spacing w:val="-64"/>
        </w:rPr>
      </w:r>
      <w:r>
        <w:rPr>
          <w:spacing w:val="-2"/>
        </w:rPr>
        <w:t>会计处理，并按比例结转当期损益；因采用权益法核算而确认的被投资单位净资产中除净损益、其他综合收益和利润分配以</w:t>
      </w:r>
      <w:r>
        <w:rPr>
          <w:spacing w:val="-66"/>
        </w:rPr>
        <w:t> </w:t>
      </w:r>
      <w:r>
        <w:rPr>
          <w:spacing w:val="-66"/>
        </w:rPr>
      </w:r>
      <w:r>
        <w:rPr/>
        <w:t>外的其他所有者权益变动按比例结转当期损益。</w:t>
      </w:r>
    </w:p>
    <w:p>
      <w:pPr>
        <w:pStyle w:val="BodyText"/>
        <w:spacing w:line="316" w:lineRule="auto" w:before="19"/>
        <w:ind w:right="1131" w:firstLine="360"/>
        <w:jc w:val="both"/>
      </w:pPr>
      <w:r>
        <w:rPr>
          <w:spacing w:val="-2"/>
        </w:rPr>
        <w:t>本公司因处置部分股权投资丧失了对被投资单位的控制的，在编制个别财务报表时，处置后的剩余股权能够对被投资单</w:t>
      </w:r>
      <w:r>
        <w:rPr/>
        <w:t> </w:t>
      </w:r>
      <w:r>
        <w:rPr>
          <w:spacing w:val="-2"/>
        </w:rPr>
        <w:t>位实施共同控制或施加重大影响的，改按权益法核算，并对该剩余股权视同自取得时即采用权益法核算进行调整；处置后的</w:t>
      </w:r>
      <w:r>
        <w:rPr>
          <w:spacing w:val="-66"/>
        </w:rPr>
        <w:t> </w:t>
      </w:r>
      <w:r>
        <w:rPr>
          <w:spacing w:val="-66"/>
        </w:rPr>
      </w:r>
      <w:r>
        <w:rPr>
          <w:spacing w:val="-2"/>
        </w:rPr>
        <w:t>剩余股权不能对被投资单位实施共同控制或施加重大影响的，改按金融工具确认和计量准则的有关规定进行会计处理，其在</w:t>
      </w:r>
      <w:r>
        <w:rPr>
          <w:spacing w:val="-64"/>
        </w:rPr>
        <w:t> </w:t>
      </w:r>
      <w:r>
        <w:rPr>
          <w:spacing w:val="-64"/>
        </w:rPr>
      </w:r>
      <w:r>
        <w:rPr>
          <w:spacing w:val="-2"/>
        </w:rPr>
        <w:t>丧失控制之日的公允价值与账面价值之间的差额计入当期损益。对于本公司取得对被投资单位的控制之前，因采用权益法核</w:t>
      </w:r>
      <w:r>
        <w:rPr>
          <w:spacing w:val="-64"/>
        </w:rPr>
        <w:t> </w:t>
      </w:r>
      <w:r>
        <w:rPr>
          <w:spacing w:val="-64"/>
        </w:rPr>
      </w:r>
      <w:r>
        <w:rPr>
          <w:spacing w:val="-2"/>
        </w:rPr>
        <w:t>算或金融工具确认和计量准则核算而确认的其他综合收益，在丧失对被投资单位控制时采用与被投资单位直接处置相关资产</w:t>
      </w:r>
      <w:r>
        <w:rPr>
          <w:spacing w:val="-64"/>
        </w:rPr>
        <w:t> </w:t>
      </w:r>
      <w:r>
        <w:rPr>
          <w:spacing w:val="-64"/>
        </w:rPr>
      </w:r>
      <w:r>
        <w:rPr>
          <w:spacing w:val="-2"/>
        </w:rPr>
        <w:t>或负债相同的基础进行会计处理，因采用权益法核算而确认的被投资单位净资产中除净损益、其他综合收益和利润分配以外</w:t>
      </w:r>
      <w:r>
        <w:rPr>
          <w:spacing w:val="-64"/>
        </w:rPr>
        <w:t> </w:t>
      </w:r>
      <w:r>
        <w:rPr>
          <w:spacing w:val="-64"/>
        </w:rPr>
      </w:r>
      <w:r>
        <w:rPr>
          <w:spacing w:val="-2"/>
        </w:rPr>
        <w:t>的其他所有者权益变动在丧失对被投资单位控制时结转入当期损益。其中，处置后的剩余股权采用权益法核算的，其他综合</w:t>
      </w:r>
      <w:r>
        <w:rPr>
          <w:spacing w:val="-66"/>
        </w:rPr>
        <w:t> </w:t>
      </w:r>
      <w:r>
        <w:rPr>
          <w:spacing w:val="-66"/>
        </w:rPr>
      </w:r>
      <w:r>
        <w:rPr>
          <w:spacing w:val="-2"/>
        </w:rPr>
        <w:t>收益和其他所有者权益按比例结转；处置后的剩余股权改按金融工具确认和计量准则进行会计处理的，其他综合收益和其他</w:t>
      </w:r>
      <w:r>
        <w:rPr>
          <w:spacing w:val="-64"/>
        </w:rPr>
        <w:t> </w:t>
      </w:r>
      <w:r>
        <w:rPr>
          <w:spacing w:val="-64"/>
        </w:rPr>
      </w:r>
      <w:r>
        <w:rPr/>
        <w:t>所有者权益全部结转。</w:t>
      </w:r>
    </w:p>
    <w:p>
      <w:pPr>
        <w:pStyle w:val="BodyText"/>
        <w:spacing w:line="319" w:lineRule="auto" w:before="19"/>
        <w:ind w:right="1032" w:firstLine="360"/>
        <w:jc w:val="left"/>
      </w:pPr>
      <w:r>
        <w:rPr>
          <w:spacing w:val="-2"/>
        </w:rPr>
        <w:t>本公司因处置部分股权投资丧失了对被投资单位的共同控制或重大影响的，处置后的剩余股权改按金融工具确认和计量</w:t>
      </w:r>
      <w:r>
        <w:rPr/>
        <w:t> </w:t>
      </w:r>
      <w:r>
        <w:rPr>
          <w:spacing w:val="-2"/>
        </w:rPr>
        <w:t>准则核算，其在丧失共同控制或重大影响之日的公允价值与账面价值之间的差额计入当期损益。原股权投资因采用权益法核</w:t>
      </w:r>
      <w:r>
        <w:rPr>
          <w:spacing w:val="-64"/>
        </w:rPr>
        <w:t> </w:t>
      </w:r>
      <w:r>
        <w:rPr>
          <w:spacing w:val="-64"/>
        </w:rPr>
      </w:r>
      <w:r>
        <w:rPr/>
        <w:t>算而确认的其他综合收益，在终止采用权益法核算时采用与被投资单位直接处置相关资产或负债相同的基础进行会计处理，</w:t>
      </w:r>
      <w:r>
        <w:rPr>
          <w:spacing w:val="-85"/>
        </w:rPr>
        <w:t> </w:t>
      </w:r>
      <w:r>
        <w:rPr>
          <w:spacing w:val="-85"/>
        </w:rPr>
      </w:r>
      <w:r>
        <w:rPr>
          <w:spacing w:val="-2"/>
        </w:rPr>
        <w:t>因被投资方除净损益、其他综合收益和利润分配以外的其他所有者权益变动而确认的所有者权益，在终止采用权益法时全部</w:t>
      </w:r>
      <w:r>
        <w:rPr>
          <w:spacing w:val="-64"/>
        </w:rPr>
        <w:t> </w:t>
      </w:r>
      <w:r>
        <w:rPr>
          <w:spacing w:val="-64"/>
        </w:rPr>
      </w:r>
      <w:r>
        <w:rPr/>
        <w:t>转入当期投资收益。</w:t>
      </w:r>
    </w:p>
    <w:p>
      <w:pPr>
        <w:pStyle w:val="BodyText"/>
        <w:spacing w:line="316" w:lineRule="auto" w:before="17"/>
        <w:ind w:right="1131" w:firstLine="360"/>
        <w:jc w:val="both"/>
      </w:pPr>
      <w:r>
        <w:rPr>
          <w:spacing w:val="-2"/>
        </w:rPr>
        <w:t>本公司通过多次交易分步处置对子公司股权投资直至丧失控制权，如果上述交易属于一揽子交易的，将各项交易作为一</w:t>
      </w:r>
      <w:r>
        <w:rPr/>
        <w:t> </w:t>
      </w:r>
      <w:r>
        <w:rPr>
          <w:spacing w:val="-2"/>
        </w:rPr>
        <w:t>项处置子公司股权投资并丧失控制权的交易进行会计处理，在丧失控制权之前每一次处置价款与所处置的股权对应的长期股</w:t>
      </w:r>
      <w:r>
        <w:rPr>
          <w:spacing w:val="-64"/>
        </w:rPr>
        <w:t> </w:t>
      </w:r>
      <w:r>
        <w:rPr>
          <w:spacing w:val="-64"/>
        </w:rPr>
      </w:r>
      <w:r>
        <w:rPr/>
        <w:t>权投资账面价值之间的差额，先确认为其他综合收益，到丧失控制权时再一并转入丧失控制权的当期损益。</w:t>
      </w:r>
    </w:p>
    <w:p>
      <w:pPr>
        <w:spacing w:line="240" w:lineRule="auto" w:before="7"/>
        <w:rPr>
          <w:rFonts w:ascii="宋体" w:hAnsi="宋体" w:cs="宋体" w:eastAsia="宋体" w:hint="default"/>
          <w:sz w:val="22"/>
          <w:szCs w:val="22"/>
        </w:rPr>
      </w:pPr>
    </w:p>
    <w:p>
      <w:pPr>
        <w:pStyle w:val="Heading4"/>
        <w:spacing w:line="240" w:lineRule="auto"/>
        <w:ind w:right="0"/>
        <w:jc w:val="left"/>
        <w:rPr>
          <w:b w:val="0"/>
          <w:bCs w:val="0"/>
        </w:rPr>
      </w:pPr>
      <w:bookmarkStart w:name="15、投资性房地产" w:id="189"/>
      <w:bookmarkEnd w:id="189"/>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8952"/>
        <w:jc w:val="left"/>
      </w:pPr>
      <w:r>
        <w:rPr/>
        <w:t>投资性房地产计量模式 成本法计量 折旧或摊销方法</w:t>
      </w:r>
    </w:p>
    <w:p>
      <w:pPr>
        <w:pStyle w:val="BodyText"/>
        <w:spacing w:line="319" w:lineRule="auto" w:before="25"/>
        <w:ind w:right="1032" w:firstLine="217"/>
        <w:jc w:val="left"/>
      </w:pPr>
      <w:r>
        <w:rPr/>
        <w:t>投资性房地产是指为赚取租金或资本增值，或两者兼有而持有的房地产。包括已出租的土地使用权、持有并准备增值后 </w:t>
      </w:r>
      <w:r>
        <w:rPr>
          <w:spacing w:val="-2"/>
        </w:rPr>
        <w:t>转让的土地使用权、已出租的建筑物等。投资性房地产按成本进行初始计量。与投资性房地产有关的后续支出，如果与该资</w:t>
      </w:r>
      <w:r>
        <w:rPr>
          <w:spacing w:val="-65"/>
        </w:rPr>
        <w:t> </w:t>
      </w:r>
      <w:r>
        <w:rPr>
          <w:spacing w:val="-65"/>
        </w:rPr>
      </w:r>
      <w:r>
        <w:rPr/>
        <w:t>产有关的经济利益很可能流入且其成本能可靠地计量，则计入投资性房地产成本。其他后续支出，在发生时计入当期损益。</w:t>
      </w:r>
    </w:p>
    <w:p>
      <w:pPr>
        <w:pStyle w:val="BodyText"/>
        <w:spacing w:line="348" w:lineRule="auto" w:before="56"/>
        <w:ind w:left="371" w:right="1175"/>
        <w:jc w:val="left"/>
      </w:pPr>
      <w:r>
        <w:rPr/>
        <w:t>本公司采用成本模式对投资性房地产进行后续计量，并按照与房屋建筑物或土地使用权一致的政策进行折旧或摊销。 投资性房地产的减值测试方法和减值准备计提方法详见附注四</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rFonts w:ascii="Times New Roman" w:hAnsi="Times New Roman" w:cs="Times New Roman" w:eastAsia="Times New Roman" w:hint="default"/>
        </w:rPr>
        <w:t>“</w:t>
      </w:r>
      <w:r>
        <w:rPr/>
        <w:t>长期资产减值</w:t>
      </w:r>
      <w:r>
        <w:rPr>
          <w:rFonts w:ascii="Times New Roman" w:hAnsi="Times New Roman" w:cs="Times New Roman" w:eastAsia="Times New Roman" w:hint="default"/>
        </w:rPr>
        <w:t>”</w:t>
      </w:r>
      <w:r>
        <w:rPr/>
        <w:t>。 自用房地产或存货转换为投资性房地产或投资性房地产转换为自用房地产时，按转换前的账面价值作为转换后的入账价</w:t>
      </w:r>
    </w:p>
    <w:p>
      <w:pPr>
        <w:pStyle w:val="BodyText"/>
        <w:spacing w:line="232" w:lineRule="exact"/>
        <w:ind w:right="0"/>
        <w:jc w:val="left"/>
      </w:pPr>
      <w:r>
        <w:rPr/>
        <w:t>值。</w:t>
      </w:r>
    </w:p>
    <w:p>
      <w:pPr>
        <w:pStyle w:val="BodyText"/>
        <w:spacing w:line="316" w:lineRule="auto" w:before="115"/>
        <w:ind w:right="0" w:firstLine="217"/>
        <w:jc w:val="left"/>
      </w:pPr>
      <w:r>
        <w:rPr/>
        <w:t>投资性房地产的用途改变为自用时，自改变之日起，将该投资性房地产转换为固定资产或无形资产。自用房地产的用途 </w:t>
      </w:r>
      <w:r>
        <w:rPr>
          <w:spacing w:val="-2"/>
        </w:rPr>
        <w:t>改变为赚取租金或资本增值时，自改变之日起，将固定资产或无形资产转换为投资性房地产。发生转换时，转换为采用成本</w:t>
      </w:r>
    </w:p>
    <w:p>
      <w:pPr>
        <w:spacing w:after="0" w:line="316"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57" w:lineRule="auto" w:before="44"/>
        <w:ind w:left="371" w:right="1175" w:hanging="218"/>
        <w:jc w:val="left"/>
      </w:pPr>
      <w:r>
        <w:rPr/>
        <w:t>模式计量的投资性房地产的，以转换前的账面价值作为转换后的入账价值。 当投资性房地产被处置、或者永久退出使用且预计不能从其处置中取得经济利益时，终止确认该项投资性房地产。投资</w:t>
      </w:r>
    </w:p>
    <w:p>
      <w:pPr>
        <w:pStyle w:val="BodyText"/>
        <w:spacing w:line="225" w:lineRule="exact"/>
        <w:ind w:right="0"/>
        <w:jc w:val="left"/>
      </w:pPr>
      <w:r>
        <w:rPr/>
        <w:t>性房地产出售、转让、报废或毁损的处置收入扣除其账面价值和相关税费后计入当期损益。</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16、固定资产" w:id="190"/>
      <w:bookmarkEnd w:id="190"/>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确认条件" w:id="191"/>
      <w:bookmarkEnd w:id="191"/>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固定资产是指为生产商品、提供劳务、出租或经营管理而持有的，使用寿命超过一个会计年度的有形资产。</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2）折旧方法" w:id="192"/>
      <w:bookmarkEnd w:id="192"/>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2.25%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9-18%</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9-18%</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18%</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18%</w:t>
            </w:r>
          </w:p>
        </w:tc>
      </w:tr>
    </w:tbl>
    <w:p>
      <w:pPr>
        <w:pStyle w:val="BodyText"/>
        <w:spacing w:line="240" w:lineRule="auto" w:before="10"/>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3）融资租入固定资产的认定依据、计价和折旧方法" w:id="193"/>
      <w:bookmarkEnd w:id="193"/>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17、在建工程" w:id="194"/>
      <w:bookmarkEnd w:id="194"/>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pStyle w:val="BodyText"/>
        <w:spacing w:line="319" w:lineRule="auto" w:before="28"/>
        <w:ind w:right="1132" w:firstLine="290"/>
        <w:jc w:val="both"/>
      </w:pPr>
      <w:r>
        <w:rPr>
          <w:spacing w:val="-1"/>
        </w:rPr>
        <w:t>在建工程成本按实际工程支出确定，包括在建期间发生的各项工程支出、工程达到预定可使用状态前的资本化的借款费</w:t>
      </w:r>
      <w:r>
        <w:rPr/>
        <w:t> 用以及其他相关费用等。在建工程在达到预定可使用状态后结转为固定资产。</w:t>
      </w:r>
    </w:p>
    <w:p>
      <w:pPr>
        <w:pStyle w:val="BodyText"/>
        <w:spacing w:line="240" w:lineRule="auto" w:before="56"/>
        <w:ind w:left="444" w:right="0"/>
        <w:jc w:val="left"/>
      </w:pPr>
      <w:r>
        <w:rPr/>
        <w:t>在建工程的减值测试方法和减值准备计提方法详见附注四</w:t>
      </w:r>
      <w:r>
        <w:rPr>
          <w:rFonts w:ascii="Times New Roman" w:hAnsi="Times New Roman" w:cs="Times New Roman" w:eastAsia="Times New Roman" w:hint="default"/>
        </w:rPr>
        <w:t>.18</w:t>
      </w:r>
      <w:r>
        <w:rPr>
          <w:rFonts w:ascii="Times New Roman" w:hAnsi="Times New Roman" w:cs="Times New Roman" w:eastAsia="Times New Roman" w:hint="default"/>
        </w:rPr>
        <w:t>“</w:t>
      </w:r>
      <w:r>
        <w:rPr/>
        <w:t>长期资产减值</w:t>
      </w:r>
      <w:r>
        <w:rPr>
          <w:rFonts w:ascii="Times New Roman" w:hAnsi="Times New Roman" w:cs="Times New Roman" w:eastAsia="Times New Roman" w:hint="default"/>
        </w:rPr>
        <w:t>”</w:t>
      </w:r>
      <w:r>
        <w:rPr/>
        <w:t>。</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18、借款费用" w:id="195"/>
      <w:bookmarkEnd w:id="195"/>
      <w:r>
        <w:rPr>
          <w:b w:val="0"/>
          <w:bCs w:val="0"/>
        </w:rPr>
      </w:r>
      <w:r>
        <w:rPr>
          <w:rFonts w:ascii="Times New Roman" w:hAnsi="Times New Roman" w:cs="Times New Roman" w:eastAsia="Times New Roman" w:hint="default"/>
        </w:rPr>
        <w:t>18</w:t>
      </w:r>
      <w:r>
        <w:rPr/>
        <w:t>、借款费用</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1132" w:firstLine="290"/>
        <w:jc w:val="both"/>
      </w:pPr>
      <w:r>
        <w:rPr>
          <w:spacing w:val="-1"/>
        </w:rPr>
        <w:t>借款费用包括借款利息、折价或溢价的摊销、辅助费用以及因外币借款而发生的汇兑差额等。可直接归属于符合资本化</w:t>
      </w:r>
      <w:r>
        <w:rPr/>
        <w:t> </w:t>
      </w:r>
      <w:r>
        <w:rPr>
          <w:spacing w:val="-2"/>
        </w:rPr>
        <w:t>条件的资产的购建或者生产的借款费用，在资产支出已经发生、借款费用已经发生、为使资产达到预定可使用或可销售状态</w:t>
      </w:r>
      <w:r>
        <w:rPr>
          <w:spacing w:val="-66"/>
        </w:rPr>
        <w:t> </w:t>
      </w:r>
      <w:r>
        <w:rPr>
          <w:spacing w:val="-66"/>
        </w:rPr>
      </w:r>
      <w:r>
        <w:rPr>
          <w:spacing w:val="-2"/>
        </w:rPr>
        <w:t>所必要的购建或生产活动已经开始时，开始资本化；构建或者生产的符合资本化条件的资产达到预定可使用状态或者可销售</w:t>
      </w:r>
      <w:r>
        <w:rPr>
          <w:spacing w:val="-64"/>
        </w:rPr>
        <w:t> </w:t>
      </w:r>
      <w:r>
        <w:rPr>
          <w:spacing w:val="-64"/>
        </w:rPr>
      </w:r>
      <w:r>
        <w:rPr/>
        <w:t>状态时，停止资本化。其余借款费用在发生当期确认为费用。</w:t>
      </w:r>
    </w:p>
    <w:p>
      <w:pPr>
        <w:pStyle w:val="BodyText"/>
        <w:spacing w:line="319" w:lineRule="auto" w:before="56"/>
        <w:ind w:right="1131" w:firstLine="290"/>
        <w:jc w:val="both"/>
      </w:pPr>
      <w:r>
        <w:rPr>
          <w:spacing w:val="-1"/>
        </w:rPr>
        <w:t>专门借款当期实际发生的利息费用，减去尚未动用的借款资金存入银行取得的利息收入或进行暂时性投资取得的投资收</w:t>
      </w:r>
      <w:r>
        <w:rPr/>
        <w:t> </w:t>
      </w:r>
      <w:r>
        <w:rPr>
          <w:spacing w:val="-2"/>
        </w:rPr>
        <w:t>益后的金额予以资本化；一般借款根据累计资产支出超过专门借款部分的资产支出加权平均数乘以所占用一般借款的资本化</w:t>
      </w:r>
      <w:r>
        <w:rPr>
          <w:spacing w:val="-64"/>
        </w:rPr>
        <w:t> </w:t>
      </w:r>
      <w:r>
        <w:rPr>
          <w:spacing w:val="-64"/>
        </w:rPr>
      </w:r>
      <w:r>
        <w:rPr/>
        <w:t>率，确定资本化金额。资本化率根据一般借款的加权平均利率计算确定。</w:t>
      </w:r>
    </w:p>
    <w:p>
      <w:pPr>
        <w:pStyle w:val="BodyText"/>
        <w:spacing w:line="240" w:lineRule="auto" w:before="58"/>
        <w:ind w:left="444" w:right="0"/>
        <w:jc w:val="left"/>
      </w:pPr>
      <w:r>
        <w:rPr/>
        <w:t>资本化期间内，外币专门借款的汇兑差额全部予以资本化；外币一般借款的汇兑差额计入当期损益。</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0"/>
        <w:jc w:val="left"/>
      </w:pPr>
      <w:r>
        <w:rPr>
          <w:spacing w:val="-2"/>
        </w:rPr>
        <w:t>符合资本化条件的资产指需要经过相当长时间的购建或者生产活动才能达到预定可使用或可销售状态的固定资产、投资性房</w:t>
      </w:r>
      <w:r>
        <w:rPr>
          <w:spacing w:val="-64"/>
        </w:rPr>
        <w:t> </w:t>
      </w:r>
      <w:r>
        <w:rPr>
          <w:spacing w:val="-64"/>
        </w:rPr>
      </w:r>
      <w:r>
        <w:rPr/>
        <w:t>地产和存货等资产。</w:t>
      </w:r>
    </w:p>
    <w:p>
      <w:pPr>
        <w:pStyle w:val="BodyText"/>
        <w:spacing w:line="302" w:lineRule="auto" w:before="55"/>
        <w:ind w:right="1192" w:firstLine="290"/>
        <w:jc w:val="left"/>
      </w:pPr>
      <w:r>
        <w:rPr/>
        <w:t>如果符合资本化条件的资产在购建或生产过程中发生非正常中断、并且中断时间连续超过</w:t>
      </w:r>
      <w:r>
        <w:rPr>
          <w:rFonts w:ascii="Times New Roman" w:hAnsi="Times New Roman" w:cs="Times New Roman" w:eastAsia="Times New Roman" w:hint="default"/>
        </w:rPr>
        <w:t>3</w:t>
      </w:r>
      <w:r>
        <w:rPr/>
        <w:t>个月的，暂停借款费用的资 本化，直至资产的购建或生产活动重新开始。</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4"/>
          <w:szCs w:val="14"/>
        </w:rPr>
      </w:pPr>
    </w:p>
    <w:p>
      <w:pPr>
        <w:pStyle w:val="Heading4"/>
        <w:spacing w:line="240" w:lineRule="auto"/>
        <w:ind w:right="0"/>
        <w:jc w:val="left"/>
        <w:rPr>
          <w:b w:val="0"/>
          <w:bCs w:val="0"/>
        </w:rPr>
      </w:pPr>
      <w:bookmarkStart w:name="19、生物资产" w:id="196"/>
      <w:bookmarkEnd w:id="196"/>
      <w:r>
        <w:rPr>
          <w:b w:val="0"/>
          <w:bCs w:val="0"/>
        </w:rPr>
      </w:r>
      <w:r>
        <w:rPr>
          <w:rFonts w:ascii="Times New Roman" w:hAnsi="Times New Roman" w:cs="Times New Roman" w:eastAsia="Times New Roman" w:hint="default"/>
        </w:rPr>
        <w:t>19</w:t>
      </w:r>
      <w:r>
        <w:rPr/>
        <w:t>、生物资产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20、油气资产" w:id="197"/>
      <w:bookmarkEnd w:id="197"/>
      <w:r>
        <w:rPr>
          <w:b w:val="0"/>
          <w:bCs w:val="0"/>
        </w:rPr>
      </w:r>
      <w:r>
        <w:rPr>
          <w:rFonts w:ascii="Times New Roman" w:hAnsi="Times New Roman" w:cs="Times New Roman" w:eastAsia="Times New Roman" w:hint="default"/>
        </w:rPr>
        <w:t>20</w:t>
      </w:r>
      <w:r>
        <w:rPr/>
        <w:t>、油气资产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21、无形资产" w:id="198"/>
      <w:bookmarkEnd w:id="198"/>
      <w:r>
        <w:rPr>
          <w:b w:val="0"/>
          <w:bCs w:val="0"/>
        </w:rPr>
      </w:r>
      <w:r>
        <w:rPr>
          <w:rFonts w:ascii="Times New Roman" w:hAnsi="Times New Roman" w:cs="Times New Roman" w:eastAsia="Times New Roman" w:hint="default"/>
        </w:rPr>
        <w:t>21</w:t>
      </w:r>
      <w:r>
        <w:rPr/>
        <w:t>、无形资产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计价方法、使用寿命、减值测试" w:id="199"/>
      <w:bookmarkEnd w:id="199"/>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left="371" w:right="4595" w:hanging="72"/>
        <w:jc w:val="left"/>
      </w:pPr>
      <w:r>
        <w:rPr/>
        <w:t>（</w:t>
      </w:r>
      <w:r>
        <w:rPr>
          <w:rFonts w:ascii="Times New Roman" w:hAnsi="Times New Roman" w:cs="Times New Roman" w:eastAsia="Times New Roman" w:hint="default"/>
        </w:rPr>
        <w:t>1</w:t>
      </w:r>
      <w:r>
        <w:rPr/>
        <w:t>）无形资产 无形资产是指本公司拥有或者控制的没有实物形态的可辨认非货币性资产。</w:t>
      </w:r>
    </w:p>
    <w:p>
      <w:pPr>
        <w:pStyle w:val="BodyText"/>
        <w:spacing w:line="319" w:lineRule="auto" w:before="42"/>
        <w:ind w:right="0"/>
        <w:jc w:val="left"/>
      </w:pPr>
      <w:r>
        <w:rPr>
          <w:spacing w:val="-2"/>
        </w:rPr>
        <w:t>无形资产按成本进行初始计量。与无形资产有关的支出，如果相关的经济利益很可能流入本公司且其成本能可靠地计量，则</w:t>
      </w:r>
      <w:r>
        <w:rPr>
          <w:spacing w:val="-66"/>
        </w:rPr>
        <w:t> </w:t>
      </w:r>
      <w:r>
        <w:rPr>
          <w:spacing w:val="-66"/>
        </w:rPr>
      </w:r>
      <w:r>
        <w:rPr/>
        <w:t>计入无形资产成本。除此以外的其他项目的支出，在发生时计入当期损益。</w:t>
      </w:r>
    </w:p>
    <w:p>
      <w:pPr>
        <w:pStyle w:val="BodyText"/>
        <w:spacing w:line="319" w:lineRule="auto" w:before="56"/>
        <w:ind w:right="0" w:firstLine="217"/>
        <w:jc w:val="left"/>
      </w:pPr>
      <w:r>
        <w:rPr/>
        <w:t>取得的土地使用权通常作为无形资产核算。自行开发建造厂房等建筑物，相关的土地使用权支出和建筑物建造成本则分 </w:t>
      </w:r>
      <w:r>
        <w:rPr>
          <w:spacing w:val="-2"/>
        </w:rPr>
        <w:t>别作为无形资产和固定资产核算。如为外购的房屋及建筑物，则将有关价款在土地使用权和建筑物之间进行分配，难以合理</w:t>
      </w:r>
      <w:r>
        <w:rPr>
          <w:spacing w:val="-66"/>
        </w:rPr>
        <w:t> </w:t>
      </w:r>
      <w:r>
        <w:rPr>
          <w:spacing w:val="-66"/>
        </w:rPr>
      </w:r>
      <w:r>
        <w:rPr/>
        <w:t>分配的，全部作为固定资产处理。</w:t>
      </w:r>
    </w:p>
    <w:p>
      <w:pPr>
        <w:pStyle w:val="BodyText"/>
        <w:spacing w:line="319" w:lineRule="auto" w:before="55"/>
        <w:ind w:right="1175" w:firstLine="217"/>
        <w:jc w:val="left"/>
      </w:pPr>
      <w:r>
        <w:rPr/>
        <w:t>使用寿命有限的无形资产自可供使用时起，对其原值在其预计使用寿命内采用直线法分期平均摊销。使用寿命不确定的 无形资产不予摊销。</w:t>
      </w:r>
    </w:p>
    <w:p>
      <w:pPr>
        <w:pStyle w:val="BodyText"/>
        <w:spacing w:line="319" w:lineRule="auto" w:before="56"/>
        <w:ind w:right="0" w:firstLine="217"/>
        <w:jc w:val="left"/>
      </w:pPr>
      <w:r>
        <w:rPr/>
        <w:t>期末，对使用寿命有限的无形资产的使用寿命和摊销方法进行复核，如发生变更则作为会计估计变更处理。此外，还对 </w:t>
      </w:r>
      <w:r>
        <w:rPr>
          <w:spacing w:val="-2"/>
        </w:rPr>
        <w:t>使用寿命不确定的无形资产的使用寿命进行复核，如果有证据表明该无形资产为企业带来经济利益的期限是可预见的，则估</w:t>
      </w:r>
      <w:r>
        <w:rPr>
          <w:spacing w:val="-64"/>
        </w:rPr>
        <w:t> </w:t>
      </w:r>
      <w:r>
        <w:rPr>
          <w:spacing w:val="-64"/>
        </w:rPr>
      </w:r>
      <w:r>
        <w:rPr/>
        <w:t>计其使用寿命并按照使用寿命有限的无形资产的摊销政策进行摊销。</w:t>
      </w:r>
    </w:p>
    <w:p>
      <w:pPr>
        <w:pStyle w:val="BodyText"/>
        <w:spacing w:line="240" w:lineRule="auto" w:before="56"/>
        <w:ind w:left="371" w:right="0"/>
        <w:jc w:val="left"/>
      </w:pPr>
      <w:r>
        <w:rPr/>
        <w:t>土地使用权按</w:t>
      </w:r>
      <w:r>
        <w:rPr>
          <w:rFonts w:ascii="Times New Roman" w:hAnsi="Times New Roman" w:cs="Times New Roman" w:eastAsia="Times New Roman" w:hint="default"/>
        </w:rPr>
        <w:t>50</w:t>
      </w:r>
      <w:r>
        <w:rPr/>
        <w:t>年，专利权按</w:t>
      </w:r>
      <w:r>
        <w:rPr>
          <w:rFonts w:ascii="Times New Roman" w:hAnsi="Times New Roman" w:cs="Times New Roman" w:eastAsia="Times New Roman" w:hint="default"/>
        </w:rPr>
        <w:t>5-10</w:t>
      </w:r>
      <w:r>
        <w:rPr/>
        <w:t>年摊销。</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2）内部研究开发支出会计政策" w:id="200"/>
      <w:bookmarkEnd w:id="200"/>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299" w:right="0"/>
        <w:jc w:val="left"/>
      </w:pPr>
      <w:r>
        <w:rPr/>
        <w:t>本公司内部研究开发项目的支出均计入当期损益。</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22、长期资产减值" w:id="201"/>
      <w:bookmarkEnd w:id="201"/>
      <w:r>
        <w:rPr>
          <w:b w:val="0"/>
          <w:bCs w:val="0"/>
        </w:rPr>
      </w:r>
      <w:r>
        <w:rPr>
          <w:rFonts w:ascii="Times New Roman" w:hAnsi="Times New Roman" w:cs="Times New Roman" w:eastAsia="Times New Roman" w:hint="default"/>
        </w:rPr>
        <w:t>22</w:t>
      </w:r>
      <w:r>
        <w:rPr/>
        <w:t>、长期资产减值</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1132" w:firstLine="290"/>
        <w:jc w:val="both"/>
      </w:pPr>
      <w:r>
        <w:rPr>
          <w:spacing w:val="-1"/>
        </w:rPr>
        <w:t>对于固定资产、在建工程、使用寿命有限的无形资产、以成本模式计量的投资性房地产及对子公司、合营企业、联营企</w:t>
      </w:r>
      <w:r>
        <w:rPr/>
        <w:t> </w:t>
      </w:r>
      <w:r>
        <w:rPr>
          <w:spacing w:val="-2"/>
        </w:rPr>
        <w:t>业的长期股权投资等非流动非金融资产，本公司于资产负债表日判断是否存在减值迹象。如存在减值迹象的，则估计其可收</w:t>
      </w:r>
      <w:r>
        <w:rPr>
          <w:spacing w:val="-66"/>
        </w:rPr>
        <w:t> </w:t>
      </w:r>
      <w:r>
        <w:rPr>
          <w:spacing w:val="-66"/>
        </w:rPr>
      </w:r>
      <w:r>
        <w:rPr>
          <w:spacing w:val="-2"/>
        </w:rPr>
        <w:t>回金额，进行减值测试。商誉、使用寿命不确定的无形资产和尚未达到可使用状态的无形资产，无论是否存在减值迹象，每</w:t>
      </w:r>
      <w:r>
        <w:rPr>
          <w:spacing w:val="-66"/>
        </w:rPr>
        <w:t> </w:t>
      </w:r>
      <w:r>
        <w:rPr>
          <w:spacing w:val="-66"/>
        </w:rPr>
      </w:r>
      <w:r>
        <w:rPr/>
        <w:t>年均进行减值测试。</w:t>
      </w:r>
    </w:p>
    <w:p>
      <w:pPr>
        <w:pStyle w:val="BodyText"/>
        <w:spacing w:line="316" w:lineRule="auto" w:before="55"/>
        <w:ind w:right="0" w:firstLine="290"/>
        <w:jc w:val="left"/>
      </w:pPr>
      <w:r>
        <w:rPr>
          <w:spacing w:val="-1"/>
        </w:rPr>
        <w:t>减值测试结果表明资产的可收回金额低于其账面价值的，按其差额计提减值准备并计入减值损失。可收回金额为资产的</w:t>
      </w:r>
      <w:r>
        <w:rPr/>
        <w:t> </w:t>
      </w:r>
      <w:r>
        <w:rPr>
          <w:spacing w:val="-2"/>
        </w:rPr>
        <w:t>公允价值减去处置费用后的净额与资产预计未来现金流量的现值两者之间的较高者。资产的公允价值根据公平交易中销售协</w:t>
      </w:r>
    </w:p>
    <w:p>
      <w:pPr>
        <w:spacing w:after="0" w:line="316"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0"/>
        <w:jc w:val="left"/>
      </w:pPr>
      <w:r>
        <w:rPr>
          <w:spacing w:val="-2"/>
        </w:rPr>
        <w:t>议价格确定；不存在销售协议但存在资产活跃市场的，公允价值按照该资产的买方出价确定；不存在销售协议和资产活跃市</w:t>
      </w:r>
      <w:r>
        <w:rPr>
          <w:spacing w:val="-66"/>
        </w:rPr>
        <w:t> </w:t>
      </w:r>
      <w:r>
        <w:rPr>
          <w:spacing w:val="-66"/>
        </w:rPr>
      </w:r>
      <w:r>
        <w:rPr>
          <w:spacing w:val="-2"/>
        </w:rPr>
        <w:t>场的，则以可获取的最佳信息为基础估计资产的公允价值。处置费用包括与资产处置有关的法律费用、相关税费、搬运费以</w:t>
      </w:r>
      <w:r>
        <w:rPr>
          <w:spacing w:val="-66"/>
        </w:rPr>
        <w:t> </w:t>
      </w:r>
      <w:r>
        <w:rPr>
          <w:spacing w:val="-66"/>
        </w:rPr>
      </w:r>
      <w:r>
        <w:rPr>
          <w:spacing w:val="-2"/>
        </w:rPr>
        <w:t>及为使资产达到可销售状态所发生的直接费用。资产预计未来现金流量的现值，按照资产在持续使用过程中和最终处置时所</w:t>
      </w:r>
      <w:r>
        <w:rPr>
          <w:spacing w:val="-64"/>
        </w:rPr>
        <w:t> </w:t>
      </w:r>
      <w:r>
        <w:rPr>
          <w:spacing w:val="-64"/>
        </w:rPr>
      </w:r>
      <w:r>
        <w:rPr>
          <w:spacing w:val="-4"/>
        </w:rPr>
        <w:t>产生的预计未来现金流量，选择恰当的折现率对其进行折现后的金额加以确定。资产减值准备按单项资产为基础计算并确认，</w:t>
      </w:r>
      <w:r>
        <w:rPr>
          <w:spacing w:val="-44"/>
        </w:rPr>
        <w:t> </w:t>
      </w:r>
      <w:r>
        <w:rPr>
          <w:spacing w:val="-44"/>
        </w:rPr>
      </w:r>
      <w:r>
        <w:rPr>
          <w:spacing w:val="-2"/>
        </w:rPr>
        <w:t>如果难以对单项资产的可收回金额进行估计的，以该资产所属的资产组确定资产组的可收回金额。资产组是能够独立产生现</w:t>
      </w:r>
      <w:r>
        <w:rPr>
          <w:spacing w:val="-64"/>
        </w:rPr>
        <w:t> </w:t>
      </w:r>
      <w:r>
        <w:rPr>
          <w:spacing w:val="-64"/>
        </w:rPr>
      </w:r>
      <w:r>
        <w:rPr/>
        <w:t>金流入的最小资产组合。</w:t>
      </w:r>
    </w:p>
    <w:p>
      <w:pPr>
        <w:pStyle w:val="BodyText"/>
        <w:spacing w:line="319" w:lineRule="auto" w:before="55"/>
        <w:ind w:right="1131" w:firstLine="290"/>
        <w:jc w:val="both"/>
      </w:pPr>
      <w:r>
        <w:rPr>
          <w:spacing w:val="-1"/>
        </w:rPr>
        <w:t>在财务报表中单独列示的商誉，在进行减值测试时，将商誉的账面价值分摊至预期从企业合并的协同效应中受益的资产</w:t>
      </w:r>
      <w:r>
        <w:rPr/>
        <w:t> </w:t>
      </w:r>
      <w:r>
        <w:rPr>
          <w:spacing w:val="-2"/>
        </w:rPr>
        <w:t>组或资产组组合。测试结果表明包含分摊的商誉的资产组或资产组组合的可收回金额低于其账面价值的，确认相应的减值损</w:t>
      </w:r>
      <w:r>
        <w:rPr>
          <w:spacing w:val="-64"/>
        </w:rPr>
        <w:t> </w:t>
      </w:r>
      <w:r>
        <w:rPr>
          <w:spacing w:val="-64"/>
        </w:rPr>
      </w:r>
      <w:r>
        <w:rPr>
          <w:spacing w:val="-2"/>
        </w:rPr>
        <w:t>失。减值损失金额先抵减分摊至该资产组或资产组组合的商誉的账面价值，再根据资产组或资产组组合中除商誉以外的其他</w:t>
      </w:r>
      <w:r>
        <w:rPr>
          <w:spacing w:val="-64"/>
        </w:rPr>
        <w:t> </w:t>
      </w:r>
      <w:r>
        <w:rPr>
          <w:spacing w:val="-64"/>
        </w:rPr>
      </w:r>
      <w:r>
        <w:rPr/>
        <w:t>各项资产的账面价值所占比重，按比例抵减其他各项资产的账面价值。</w:t>
      </w:r>
    </w:p>
    <w:p>
      <w:pPr>
        <w:pStyle w:val="BodyText"/>
        <w:spacing w:line="240" w:lineRule="auto" w:before="58"/>
        <w:ind w:left="444" w:right="0"/>
        <w:jc w:val="left"/>
      </w:pPr>
      <w:r>
        <w:rPr/>
        <w:t>上述资产减值损失一经确认，以后期间不予转回价值得以恢复的部分。</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3、长期待摊费用" w:id="202"/>
      <w:bookmarkEnd w:id="202"/>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1132" w:firstLine="290"/>
        <w:jc w:val="both"/>
      </w:pPr>
      <w:r>
        <w:rPr>
          <w:spacing w:val="-1"/>
        </w:rPr>
        <w:t>长期待摊费用为已经发生但应由报告期和以后各期负担的分摊期限在一年以上的各项费用。本公司的长期待摊费用主要</w:t>
      </w:r>
      <w:r>
        <w:rPr/>
        <w:t> 包括装修费。长期待摊费用在预计受益期间按直线法摊销。</w:t>
      </w:r>
    </w:p>
    <w:p>
      <w:pPr>
        <w:spacing w:line="240" w:lineRule="auto" w:before="3"/>
        <w:rPr>
          <w:rFonts w:ascii="宋体" w:hAnsi="宋体" w:cs="宋体" w:eastAsia="宋体" w:hint="default"/>
          <w:sz w:val="22"/>
          <w:szCs w:val="22"/>
        </w:rPr>
      </w:pPr>
    </w:p>
    <w:p>
      <w:pPr>
        <w:pStyle w:val="Heading4"/>
        <w:spacing w:line="240" w:lineRule="auto"/>
        <w:ind w:right="0"/>
        <w:jc w:val="left"/>
        <w:rPr>
          <w:b w:val="0"/>
          <w:bCs w:val="0"/>
        </w:rPr>
      </w:pPr>
      <w:bookmarkStart w:name="24、职工薪酬" w:id="203"/>
      <w:bookmarkEnd w:id="203"/>
      <w:r>
        <w:rPr>
          <w:b w:val="0"/>
          <w:bCs w:val="0"/>
        </w:rPr>
      </w:r>
      <w:r>
        <w:rPr>
          <w:rFonts w:ascii="Times New Roman" w:hAnsi="Times New Roman" w:cs="Times New Roman" w:eastAsia="Times New Roman" w:hint="default"/>
        </w:rPr>
        <w:t>24</w:t>
      </w:r>
      <w:r>
        <w:rPr/>
        <w:t>、职工薪酬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短期薪酬的会计处理方法" w:id="204"/>
      <w:bookmarkEnd w:id="204"/>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1132" w:firstLine="290"/>
        <w:jc w:val="both"/>
      </w:pPr>
      <w:r>
        <w:rPr>
          <w:spacing w:val="-4"/>
        </w:rPr>
        <w:t>本公司职工薪酬主要包括短期职工薪酬、离职后福利、辞退福利以及其他长期职工福利。其中：短期薪酬主要包括工资、</w:t>
      </w:r>
      <w:r>
        <w:rPr/>
        <w:t> </w:t>
      </w:r>
      <w:r>
        <w:rPr>
          <w:spacing w:val="-2"/>
        </w:rPr>
        <w:t>奖金、津贴和补贴、职工福利费、医疗保险费、生育保险费、工伤保险费、住房公积金、工会经费和职工教育经费、非货币</w:t>
      </w:r>
      <w:r>
        <w:rPr>
          <w:spacing w:val="-67"/>
        </w:rPr>
        <w:t> </w:t>
      </w:r>
      <w:r>
        <w:rPr>
          <w:spacing w:val="-67"/>
        </w:rPr>
      </w:r>
      <w:r>
        <w:rPr>
          <w:spacing w:val="-2"/>
        </w:rPr>
        <w:t>性福利等。本公司在职工为本公司提供服务的会计期间将实际发生的短期职工薪酬确认为负债，并计入当期损益或相关资产</w:t>
      </w:r>
      <w:r>
        <w:rPr>
          <w:spacing w:val="-64"/>
        </w:rPr>
        <w:t> </w:t>
      </w:r>
      <w:r>
        <w:rPr>
          <w:spacing w:val="-64"/>
        </w:rPr>
      </w:r>
      <w:r>
        <w:rPr/>
        <w:t>成本。其中非货币性福利按公允价值计量。</w:t>
      </w:r>
    </w:p>
    <w:p>
      <w:pPr>
        <w:spacing w:line="240" w:lineRule="auto" w:before="3"/>
        <w:rPr>
          <w:rFonts w:ascii="宋体" w:hAnsi="宋体" w:cs="宋体" w:eastAsia="宋体" w:hint="default"/>
          <w:sz w:val="22"/>
          <w:szCs w:val="22"/>
        </w:rPr>
      </w:pPr>
    </w:p>
    <w:p>
      <w:pPr>
        <w:pStyle w:val="Heading4"/>
        <w:spacing w:line="240" w:lineRule="auto"/>
        <w:ind w:right="0"/>
        <w:jc w:val="left"/>
        <w:rPr>
          <w:b w:val="0"/>
          <w:bCs w:val="0"/>
        </w:rPr>
      </w:pPr>
      <w:bookmarkStart w:name="（2）离职后福利的会计处理方法" w:id="205"/>
      <w:bookmarkEnd w:id="205"/>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1194" w:firstLine="217"/>
        <w:jc w:val="both"/>
      </w:pPr>
      <w:r>
        <w:rPr/>
        <w:t>离职后福利主要包括设定提存计划。设定提存计划主要包括基本养老保险、失业保险以及年金等，相应的应缴存金额于 发生时计入相关资产成本或当期损益。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4"/>
        <w:spacing w:line="240" w:lineRule="auto"/>
        <w:ind w:right="0"/>
        <w:jc w:val="left"/>
        <w:rPr>
          <w:b w:val="0"/>
          <w:bCs w:val="0"/>
        </w:rPr>
      </w:pPr>
      <w:bookmarkStart w:name="（3）辞退福利的会计处理方法" w:id="206"/>
      <w:bookmarkEnd w:id="206"/>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1131" w:firstLine="290"/>
        <w:jc w:val="both"/>
      </w:pPr>
      <w:r>
        <w:rPr>
          <w:spacing w:val="-1"/>
        </w:rPr>
        <w:t>在职工劳动合同到期之前解除与职工的劳动关系，或为鼓励职工自愿接受裁减而提出给予补偿的建议，在本公司不能单</w:t>
      </w:r>
      <w:r>
        <w:rPr/>
        <w:t> </w:t>
      </w:r>
      <w:r>
        <w:rPr>
          <w:spacing w:val="-2"/>
        </w:rPr>
        <w:t>方面撤回因解除劳动关系计划或裁减建议所提供的辞退福利时，和本公司确认与涉及支付辞退福利的重组相关的成本两者孰</w:t>
      </w:r>
      <w:r>
        <w:rPr>
          <w:spacing w:val="-64"/>
        </w:rPr>
        <w:t> </w:t>
      </w:r>
      <w:r>
        <w:rPr>
          <w:spacing w:val="-64"/>
        </w:rPr>
      </w:r>
      <w:r>
        <w:rPr>
          <w:spacing w:val="-5"/>
        </w:rPr>
        <w:t>早日，确认辞退福利产生的职工薪酬负债，并计入当期损益。但辞退福利预期在年度报告期结束后十二个月不能完全支付的，</w:t>
      </w:r>
      <w:r>
        <w:rPr>
          <w:spacing w:val="-78"/>
        </w:rPr>
        <w:t> </w:t>
      </w:r>
      <w:r>
        <w:rPr>
          <w:spacing w:val="-78"/>
        </w:rPr>
      </w:r>
      <w:r>
        <w:rPr/>
        <w:t>按照其他长期职工薪酬处理。</w:t>
      </w:r>
    </w:p>
    <w:p>
      <w:pPr>
        <w:pStyle w:val="BodyText"/>
        <w:spacing w:line="319" w:lineRule="auto" w:before="56"/>
        <w:ind w:right="1133" w:firstLine="290"/>
        <w:jc w:val="both"/>
      </w:pPr>
      <w:r>
        <w:rPr>
          <w:spacing w:val="-1"/>
        </w:rPr>
        <w:t>职工内部退休计划采用上述辞退福利相同的原则处理。本公司将自职工停止提供服务日至正常退休日的期间拟支付的内</w:t>
      </w:r>
      <w:r>
        <w:rPr/>
        <w:t> 退人员工资和缴纳的社会保险费等，在符合预计负债确认条件时，计入当期损益（辞退福利）。</w:t>
      </w:r>
    </w:p>
    <w:p>
      <w:pPr>
        <w:spacing w:line="240" w:lineRule="auto" w:before="3"/>
        <w:rPr>
          <w:rFonts w:ascii="宋体" w:hAnsi="宋体" w:cs="宋体" w:eastAsia="宋体" w:hint="default"/>
          <w:sz w:val="22"/>
          <w:szCs w:val="22"/>
        </w:rPr>
      </w:pPr>
    </w:p>
    <w:p>
      <w:pPr>
        <w:pStyle w:val="Heading4"/>
        <w:spacing w:line="240" w:lineRule="auto"/>
        <w:ind w:right="0"/>
        <w:jc w:val="left"/>
        <w:rPr>
          <w:b w:val="0"/>
          <w:bCs w:val="0"/>
        </w:rPr>
      </w:pPr>
      <w:bookmarkStart w:name="（4）其他长期职工福利的会计处理方法" w:id="207"/>
      <w:bookmarkEnd w:id="207"/>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371" w:right="0"/>
        <w:jc w:val="left"/>
      </w:pPr>
      <w:r>
        <w:rPr/>
        <w:t>本公司向职工提供的其他长期职工福利，符合设定提存计划的，按照设定提存计划进行会计处理，除此之外按照设定收</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益计划进行会计处理。</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5、预计负债" w:id="208"/>
      <w:bookmarkEnd w:id="208"/>
      <w:r>
        <w:rPr>
          <w:b w:val="0"/>
          <w:bCs w:val="0"/>
        </w:rPr>
      </w:r>
      <w:r>
        <w:rPr>
          <w:rFonts w:ascii="Times New Roman" w:hAnsi="Times New Roman" w:cs="Times New Roman" w:eastAsia="Times New Roman" w:hint="default"/>
        </w:rPr>
        <w:t>25</w:t>
      </w:r>
      <w:r>
        <w:rPr/>
        <w:t>、预计负债</w:t>
      </w:r>
      <w:r>
        <w:rPr>
          <w:b w:val="0"/>
          <w:bCs w:val="0"/>
        </w:rPr>
      </w:r>
    </w:p>
    <w:p>
      <w:pPr>
        <w:spacing w:line="240" w:lineRule="auto" w:before="8"/>
        <w:rPr>
          <w:rFonts w:ascii="宋体" w:hAnsi="宋体" w:cs="宋体" w:eastAsia="宋体" w:hint="default"/>
          <w:b/>
          <w:bCs/>
          <w:sz w:val="26"/>
          <w:szCs w:val="26"/>
        </w:rPr>
      </w:pPr>
    </w:p>
    <w:p>
      <w:pPr>
        <w:pStyle w:val="BodyText"/>
        <w:spacing w:line="302" w:lineRule="auto"/>
        <w:ind w:right="1131" w:firstLine="290"/>
        <w:jc w:val="both"/>
      </w:pPr>
      <w:r>
        <w:rPr>
          <w:spacing w:val="-1"/>
        </w:rPr>
        <w:t>当与或有事项相关的义务同时符合以下条件，确认为预计负债：（</w:t>
      </w:r>
      <w:r>
        <w:rPr>
          <w:rFonts w:ascii="Times New Roman" w:hAnsi="Times New Roman" w:cs="Times New Roman" w:eastAsia="Times New Roman" w:hint="default"/>
          <w:spacing w:val="-1"/>
        </w:rPr>
        <w:t>1</w:t>
      </w:r>
      <w:r>
        <w:rPr>
          <w:spacing w:val="-1"/>
        </w:rPr>
        <w:t>）该义务是本公司承担的现时义务；（</w:t>
      </w:r>
      <w:r>
        <w:rPr>
          <w:rFonts w:ascii="Times New Roman" w:hAnsi="Times New Roman" w:cs="Times New Roman" w:eastAsia="Times New Roman" w:hint="default"/>
          <w:spacing w:val="-1"/>
        </w:rPr>
        <w:t>2</w:t>
      </w:r>
      <w:r>
        <w:rPr>
          <w:spacing w:val="-1"/>
        </w:rPr>
        <w:t>）履行该义</w:t>
      </w:r>
      <w:r>
        <w:rPr/>
        <w:t> 务很可能导致经济利益流出；（</w:t>
      </w:r>
      <w:r>
        <w:rPr>
          <w:rFonts w:ascii="Times New Roman" w:hAnsi="Times New Roman" w:cs="Times New Roman" w:eastAsia="Times New Roman" w:hint="default"/>
        </w:rPr>
        <w:t>3</w:t>
      </w:r>
      <w:r>
        <w:rPr/>
        <w:t>）该义务的金额能够可靠地计量。</w:t>
      </w:r>
    </w:p>
    <w:p>
      <w:pPr>
        <w:pStyle w:val="BodyText"/>
        <w:spacing w:line="357" w:lineRule="auto" w:before="50"/>
        <w:ind w:left="444" w:right="0"/>
        <w:jc w:val="left"/>
      </w:pPr>
      <w:r>
        <w:rPr/>
        <w:t>本公司预计负债按履行相关现时义务所需的支出的最佳估计数进行初始计量。 </w:t>
      </w:r>
      <w:r>
        <w:rPr>
          <w:spacing w:val="-1"/>
        </w:rPr>
        <w:t>本公司在确定最佳估计数时，综合考虑与或有事项有关的风险、不确定性和货币时间价值等因素。对于货币时间价值影</w:t>
      </w:r>
    </w:p>
    <w:p>
      <w:pPr>
        <w:pStyle w:val="BodyText"/>
        <w:spacing w:line="357" w:lineRule="auto"/>
        <w:ind w:left="444" w:right="0" w:hanging="291"/>
        <w:jc w:val="left"/>
      </w:pPr>
      <w:r>
        <w:rPr/>
        <w:t>响重大的，通过对相关未来现金流出进行折现后确定最佳估计数。 </w:t>
      </w:r>
      <w:r>
        <w:rPr>
          <w:spacing w:val="-1"/>
        </w:rPr>
        <w:t>最佳估计数分别以下情况处理：所需支出存在一个连续范围（或区间），且该范围内各种结果发生的可能性相同的，则</w:t>
      </w:r>
    </w:p>
    <w:p>
      <w:pPr>
        <w:pStyle w:val="BodyText"/>
        <w:spacing w:line="357" w:lineRule="auto"/>
        <w:ind w:left="444" w:right="0" w:hanging="291"/>
        <w:jc w:val="left"/>
      </w:pPr>
      <w:r>
        <w:rPr/>
        <w:t>最佳估计数按照该范围的中间值即上下限金额的平均数确定。 </w:t>
      </w:r>
      <w:r>
        <w:rPr>
          <w:spacing w:val="-1"/>
        </w:rPr>
        <w:t>所需支出不存在一个连续范围（或区间），或虽然存在一个连续范围但该范围内各种结果发生的可能性不相同的，如或</w:t>
      </w:r>
    </w:p>
    <w:p>
      <w:pPr>
        <w:pStyle w:val="BodyText"/>
        <w:spacing w:line="224" w:lineRule="exact"/>
        <w:ind w:right="0"/>
        <w:jc w:val="left"/>
      </w:pPr>
      <w:r>
        <w:rPr/>
        <w:t>有事项涉及单个项目的，则最佳估计数按照最可能发生金额确定；如或有事项涉及多个项目的，最佳估计数按各种可能结果</w:t>
      </w:r>
    </w:p>
    <w:p>
      <w:pPr>
        <w:pStyle w:val="BodyText"/>
        <w:spacing w:line="357" w:lineRule="auto" w:before="77"/>
        <w:ind w:left="449" w:right="0" w:hanging="296"/>
        <w:jc w:val="left"/>
      </w:pPr>
      <w:r>
        <w:rPr/>
        <w:t>及相关概率计算确定。 本公司清偿预计负债所需支出全部或部分预期由第三方补偿的，补偿金额在基本确定能够收到时，作为资产单独确认，</w:t>
      </w:r>
    </w:p>
    <w:p>
      <w:pPr>
        <w:pStyle w:val="BodyText"/>
        <w:spacing w:line="225" w:lineRule="exact"/>
        <w:ind w:right="0"/>
        <w:jc w:val="left"/>
      </w:pPr>
      <w:r>
        <w:rPr/>
        <w:t>确认的补偿金额不超过预计负债的账面价值。</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6、股份支付" w:id="209"/>
      <w:bookmarkEnd w:id="209"/>
      <w:r>
        <w:rPr>
          <w:b w:val="0"/>
          <w:bCs w:val="0"/>
        </w:rPr>
      </w:r>
      <w:r>
        <w:rPr>
          <w:rFonts w:ascii="Times New Roman" w:hAnsi="Times New Roman" w:cs="Times New Roman" w:eastAsia="Times New Roman" w:hint="default"/>
        </w:rPr>
        <w:t>26</w:t>
      </w:r>
      <w:r>
        <w:rPr/>
        <w:t>、股份支付</w:t>
      </w:r>
      <w:r>
        <w:rPr>
          <w:b w:val="0"/>
          <w:bCs w:val="0"/>
        </w:rPr>
      </w:r>
    </w:p>
    <w:p>
      <w:pPr>
        <w:spacing w:line="240" w:lineRule="auto" w:before="9"/>
        <w:rPr>
          <w:rFonts w:ascii="宋体" w:hAnsi="宋体" w:cs="宋体" w:eastAsia="宋体" w:hint="default"/>
          <w:b/>
          <w:bCs/>
          <w:sz w:val="26"/>
          <w:szCs w:val="26"/>
        </w:rPr>
      </w:pPr>
    </w:p>
    <w:p>
      <w:pPr>
        <w:pStyle w:val="BodyText"/>
        <w:spacing w:line="352" w:lineRule="auto"/>
        <w:ind w:left="516" w:right="1118" w:hanging="72"/>
        <w:jc w:val="left"/>
      </w:pPr>
      <w:r>
        <w:rPr/>
        <w:t>（</w:t>
      </w:r>
      <w:r>
        <w:rPr>
          <w:rFonts w:ascii="Times New Roman" w:hAnsi="Times New Roman" w:cs="Times New Roman" w:eastAsia="Times New Roman" w:hint="default"/>
        </w:rPr>
        <w:t>1</w:t>
      </w:r>
      <w:r>
        <w:rPr/>
        <w:t>）股份支付的会计处理方法 股份支付是为了获取职工或其他方提供服务而授予权益工具或者承担以权益工具为基础确定的负债的交易。 以权益结算的股份支付 </w:t>
      </w:r>
      <w:r>
        <w:rPr>
          <w:spacing w:val="-2"/>
        </w:rPr>
        <w:t>用以换取职工提供的服务的权益结算的股份支付，以授予职工权益工具在授予日的公允价值计量。该公允价值的金额在</w:t>
      </w:r>
    </w:p>
    <w:p>
      <w:pPr>
        <w:pStyle w:val="BodyText"/>
        <w:spacing w:line="319" w:lineRule="auto"/>
        <w:ind w:right="0"/>
        <w:jc w:val="left"/>
      </w:pPr>
      <w:r>
        <w:rPr>
          <w:spacing w:val="-2"/>
        </w:rPr>
        <w:t>完成等待期内的服务或达到规定业绩条件才可行权的情况下，在等待期内以对可行权权益工具数量的最佳估计为基础，按直</w:t>
      </w:r>
      <w:r>
        <w:rPr>
          <w:spacing w:val="-64"/>
        </w:rPr>
        <w:t> </w:t>
      </w:r>
      <w:r>
        <w:rPr>
          <w:spacing w:val="-64"/>
        </w:rPr>
      </w:r>
      <w:r>
        <w:rPr/>
        <w:t>线法计算计入相关成本或费用</w:t>
      </w:r>
      <w:r>
        <w:rPr>
          <w:rFonts w:ascii="Times New Roman" w:hAnsi="Times New Roman" w:cs="Times New Roman" w:eastAsia="Times New Roman" w:hint="default"/>
        </w:rPr>
        <w:t>/</w:t>
      </w:r>
      <w:r>
        <w:rPr/>
        <w:t>在授予后立即可行权时，在授予日计入相关成本或费用，相应增加资本公积。</w:t>
      </w:r>
    </w:p>
    <w:p>
      <w:pPr>
        <w:pStyle w:val="BodyText"/>
        <w:spacing w:line="319" w:lineRule="auto" w:before="35"/>
        <w:ind w:right="1132" w:firstLine="362"/>
        <w:jc w:val="both"/>
      </w:pPr>
      <w:r>
        <w:rPr>
          <w:spacing w:val="-2"/>
        </w:rPr>
        <w:t>在等待期内每个资产负债表日，本公司根据最新取得的可行权职工人数变动等后续信息做出最佳估计，修正预计可行权</w:t>
      </w:r>
      <w:r>
        <w:rPr/>
        <w:t> 的权益工具数量。上述估计的影响计入当期相关成本或费用，并相应调整资本公积。</w:t>
      </w:r>
    </w:p>
    <w:p>
      <w:pPr>
        <w:pStyle w:val="BodyText"/>
        <w:spacing w:line="319" w:lineRule="auto" w:before="55"/>
        <w:ind w:right="1133" w:firstLine="362"/>
        <w:jc w:val="both"/>
      </w:pPr>
      <w:r>
        <w:rPr>
          <w:spacing w:val="-2"/>
        </w:rPr>
        <w:t>用以换取其他方服务的权益结算的股份支付，如果其他方服务的公允价值能够可靠计量，按照其他方服务在取得日的公</w:t>
      </w:r>
      <w:r>
        <w:rPr/>
        <w:t> </w:t>
      </w:r>
      <w:r>
        <w:rPr>
          <w:spacing w:val="-2"/>
        </w:rPr>
        <w:t>允价值计量，如果其他方服务的公允价值不能可靠计量，但权益工具的公允价值能够可靠计量的，按照权益工具在服务取得</w:t>
      </w:r>
      <w:r>
        <w:rPr>
          <w:spacing w:val="-66"/>
        </w:rPr>
        <w:t> </w:t>
      </w:r>
      <w:r>
        <w:rPr>
          <w:spacing w:val="-66"/>
        </w:rPr>
      </w:r>
      <w:r>
        <w:rPr/>
        <w:t>日的公允价值计量，计入相关成本或费用，相应增加股东权益。</w:t>
      </w:r>
    </w:p>
    <w:p>
      <w:pPr>
        <w:pStyle w:val="BodyText"/>
        <w:spacing w:line="338" w:lineRule="auto" w:before="58"/>
        <w:ind w:left="444" w:right="0" w:hanging="74"/>
        <w:jc w:val="left"/>
      </w:pPr>
      <w:r>
        <w:rPr/>
        <w:t>（</w:t>
      </w:r>
      <w:r>
        <w:rPr>
          <w:rFonts w:ascii="Times New Roman" w:hAnsi="Times New Roman" w:cs="Times New Roman" w:eastAsia="Times New Roman" w:hint="default"/>
        </w:rPr>
        <w:t>2</w:t>
      </w:r>
      <w:r>
        <w:rPr/>
        <w:t>）修改、终止股份支付计划的相关会计处理 </w:t>
      </w:r>
      <w:r>
        <w:rPr>
          <w:spacing w:val="-1"/>
        </w:rPr>
        <w:t>本公司对股份支付计划进行修改时，若修改增加了所授予权益工具的公允价值，按照权益工具公允价值的增加相应确认</w:t>
      </w:r>
    </w:p>
    <w:p>
      <w:pPr>
        <w:pStyle w:val="BodyText"/>
        <w:spacing w:line="319" w:lineRule="auto" w:before="2"/>
        <w:ind w:right="1132"/>
        <w:jc w:val="both"/>
      </w:pPr>
      <w:r>
        <w:rPr>
          <w:spacing w:val="-2"/>
        </w:rPr>
        <w:t>取得服务的增加。权益工具公允价值的增加是指修改前后的权益工具在修改日的公允价值之间的差额。若修改减少了股份支</w:t>
      </w:r>
      <w:r>
        <w:rPr>
          <w:spacing w:val="-64"/>
        </w:rPr>
        <w:t> </w:t>
      </w:r>
      <w:r>
        <w:rPr>
          <w:spacing w:val="-64"/>
        </w:rPr>
      </w:r>
      <w:r>
        <w:rPr>
          <w:spacing w:val="-2"/>
        </w:rPr>
        <w:t>付公允价值总额或采用了其他不利于职工的方式，则仍继续对取得的服务进行会计处理，视同该变更从未发生，除非本公司</w:t>
      </w:r>
      <w:r>
        <w:rPr>
          <w:spacing w:val="-66"/>
        </w:rPr>
        <w:t> </w:t>
      </w:r>
      <w:r>
        <w:rPr>
          <w:spacing w:val="-66"/>
        </w:rPr>
      </w:r>
      <w:r>
        <w:rPr/>
        <w:t>取消了部分或全部已授予的权益工具。</w:t>
      </w:r>
    </w:p>
    <w:p>
      <w:pPr>
        <w:pStyle w:val="BodyText"/>
        <w:spacing w:line="319" w:lineRule="auto" w:before="55"/>
        <w:ind w:right="1132" w:firstLine="290"/>
        <w:jc w:val="both"/>
      </w:pPr>
      <w:r>
        <w:rPr>
          <w:spacing w:val="-1"/>
        </w:rPr>
        <w:t>在等待期内，如果取消了授予的权益工具，本公司对取消所授予的权益性工具作为加速行权处理，将剩余等待期内应确</w:t>
      </w:r>
      <w:r>
        <w:rPr/>
        <w:t> </w:t>
      </w:r>
      <w:r>
        <w:rPr>
          <w:spacing w:val="-2"/>
        </w:rPr>
        <w:t>认的金额立即计入当期损益，同时确认资本公积。职工或其他方能够选择满足非可行权条件但在等待期内未满足的，本公司</w:t>
      </w:r>
      <w:r>
        <w:rPr>
          <w:spacing w:val="-65"/>
        </w:rPr>
        <w:t> </w:t>
      </w:r>
      <w:r>
        <w:rPr>
          <w:spacing w:val="-65"/>
        </w:rPr>
      </w:r>
      <w:r>
        <w:rPr/>
        <w:t>将其作为授予权益工具的取消处理。</w:t>
      </w:r>
    </w:p>
    <w:p>
      <w:pPr>
        <w:pStyle w:val="BodyText"/>
        <w:spacing w:line="319" w:lineRule="auto" w:before="57"/>
        <w:ind w:right="1132" w:firstLine="290"/>
        <w:jc w:val="both"/>
      </w:pPr>
      <w:r>
        <w:rPr>
          <w:spacing w:val="-1"/>
        </w:rPr>
        <w:t>本公司内各企业之间发生的股份支付交易，接受服务企业和结算企业不是同一企业的，在接受服务企业和结算企业各自</w:t>
      </w:r>
      <w:r>
        <w:rPr/>
        <w:t> 的个别财务报表中对该股份支付交易的确认和计量，比照上述原则处理。</w:t>
      </w:r>
    </w:p>
    <w:p>
      <w:pPr>
        <w:spacing w:after="0" w:line="319" w:lineRule="auto"/>
        <w:jc w:val="both"/>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27、优先股、永续债等其他金融工具" w:id="210"/>
      <w:bookmarkEnd w:id="210"/>
      <w:r>
        <w:rPr>
          <w:b w:val="0"/>
          <w:bCs w:val="0"/>
        </w:rPr>
      </w:r>
      <w:r>
        <w:rPr>
          <w:rFonts w:ascii="Times New Roman" w:hAnsi="Times New Roman" w:cs="Times New Roman" w:eastAsia="Times New Roman" w:hint="default"/>
        </w:rPr>
        <w:t>27</w:t>
      </w:r>
      <w:r>
        <w:rPr/>
        <w:t>、优先股、永续债等其他金融工具</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28、收入" w:id="211"/>
      <w:bookmarkEnd w:id="211"/>
      <w:r>
        <w:rPr>
          <w:b w:val="0"/>
          <w:bCs w:val="0"/>
        </w:rPr>
      </w:r>
      <w:r>
        <w:rPr>
          <w:rFonts w:ascii="Times New Roman" w:hAnsi="Times New Roman" w:cs="Times New Roman" w:eastAsia="Times New Roman" w:hint="default"/>
        </w:rPr>
        <w:t>28</w:t>
      </w:r>
      <w:r>
        <w:rPr/>
        <w:t>、收入</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pStyle w:val="BodyText"/>
        <w:spacing w:line="338" w:lineRule="auto" w:before="29"/>
        <w:ind w:left="444" w:right="0" w:hanging="74"/>
        <w:jc w:val="left"/>
      </w:pPr>
      <w:r>
        <w:rPr/>
        <w:t>（</w:t>
      </w:r>
      <w:r>
        <w:rPr>
          <w:rFonts w:ascii="Times New Roman" w:hAnsi="Times New Roman" w:cs="Times New Roman" w:eastAsia="Times New Roman" w:hint="default"/>
        </w:rPr>
        <w:t>1</w:t>
      </w:r>
      <w:r>
        <w:rPr/>
        <w:t>）商品销售收入 </w:t>
      </w:r>
      <w:r>
        <w:rPr>
          <w:spacing w:val="-1"/>
        </w:rPr>
        <w:t>在已将商品所有权上的主要风险和报酬转移给买方，既没有保留通常与所有权相联系的继续管理权，也没有对已售商品</w:t>
      </w:r>
    </w:p>
    <w:p>
      <w:pPr>
        <w:pStyle w:val="BodyText"/>
        <w:spacing w:line="319" w:lineRule="auto" w:before="2"/>
        <w:ind w:right="0"/>
        <w:jc w:val="left"/>
      </w:pPr>
      <w:r>
        <w:rPr>
          <w:spacing w:val="-2"/>
        </w:rPr>
        <w:t>实施有效控制，收入的金额能够可靠地计量，相关的经济利益很可能流入企业，相关的已发生或将发生的成本能够可靠地计</w:t>
      </w:r>
      <w:r>
        <w:rPr>
          <w:spacing w:val="-66"/>
        </w:rPr>
        <w:t> </w:t>
      </w:r>
      <w:r>
        <w:rPr>
          <w:spacing w:val="-66"/>
        </w:rPr>
      </w:r>
      <w:r>
        <w:rPr/>
        <w:t>量时，确认商品销售收入的实现。</w:t>
      </w:r>
    </w:p>
    <w:p>
      <w:pPr>
        <w:pStyle w:val="BodyText"/>
        <w:spacing w:line="319" w:lineRule="auto" w:before="55"/>
        <w:ind w:right="1131" w:firstLine="290"/>
        <w:jc w:val="both"/>
      </w:pPr>
      <w:r>
        <w:rPr>
          <w:spacing w:val="-1"/>
        </w:rPr>
        <w:t>境内销售：通常于取得客户验收单时点确认销售收入；境外销售：根据销售合同约定，在所有权的风险和报酬转移的时</w:t>
      </w:r>
      <w:r>
        <w:rPr/>
        <w:t> 点确认产品销售收入，通常于客户验收确认或完成出口报关手续，根据报关单据上记载的有效时点确认销售收入。</w:t>
      </w:r>
    </w:p>
    <w:p>
      <w:pPr>
        <w:pStyle w:val="BodyText"/>
        <w:spacing w:line="338" w:lineRule="auto" w:before="58"/>
        <w:ind w:left="444" w:right="0" w:hanging="74"/>
        <w:jc w:val="left"/>
      </w:pPr>
      <w:r>
        <w:rPr/>
        <w:t>（</w:t>
      </w:r>
      <w:r>
        <w:rPr>
          <w:rFonts w:ascii="Times New Roman" w:hAnsi="Times New Roman" w:cs="Times New Roman" w:eastAsia="Times New Roman" w:hint="default"/>
        </w:rPr>
        <w:t>2</w:t>
      </w:r>
      <w:r>
        <w:rPr/>
        <w:t>）提供劳务收入 </w:t>
      </w:r>
      <w:r>
        <w:rPr>
          <w:spacing w:val="-1"/>
        </w:rPr>
        <w:t>在提供劳务交易的结果能够可靠估计的情况下，于资产负债表日按照完工百分比法确认提供的劳务收入。劳务交易的完</w:t>
      </w:r>
    </w:p>
    <w:p>
      <w:pPr>
        <w:pStyle w:val="BodyText"/>
        <w:spacing w:line="357" w:lineRule="auto" w:before="4"/>
        <w:ind w:left="449" w:right="0" w:hanging="296"/>
        <w:jc w:val="left"/>
      </w:pPr>
      <w:r>
        <w:rPr/>
        <w:t>工进度按已经发生的劳务成本占估计总成本的比例确定。 提供劳务交易的结果能够可靠估计是指同时满足：①收入的金额能够可靠地计量；②相关的经济利益很可能流入企业；</w:t>
      </w:r>
    </w:p>
    <w:p>
      <w:pPr>
        <w:pStyle w:val="BodyText"/>
        <w:spacing w:line="357" w:lineRule="auto"/>
        <w:ind w:left="444" w:right="0" w:hanging="291"/>
        <w:jc w:val="left"/>
      </w:pPr>
      <w:r>
        <w:rPr/>
        <w:t>③交易的完工程度能够可靠地确定；④交易中已发生和将发生的成本能够可靠地计量。 </w:t>
      </w:r>
      <w:r>
        <w:rPr>
          <w:spacing w:val="-1"/>
        </w:rPr>
        <w:t>如果提供劳务交易的结果不能够可靠估计，则按已经发生并预计能够得到补偿的劳务成本金额确认提供的劳务收入，并</w:t>
      </w:r>
    </w:p>
    <w:p>
      <w:pPr>
        <w:pStyle w:val="BodyText"/>
        <w:spacing w:line="357" w:lineRule="auto"/>
        <w:ind w:left="444" w:right="0" w:hanging="291"/>
        <w:jc w:val="left"/>
      </w:pPr>
      <w:r>
        <w:rPr/>
        <w:t>将已发生的劳务成本作为当期费用。已经发生的劳务成本如预计不能得到补偿的，则不确认收入。 </w:t>
      </w:r>
      <w:r>
        <w:rPr>
          <w:spacing w:val="-1"/>
        </w:rPr>
        <w:t>本公司与其他企业签订的合同或协议包括销售商品和提供劳务时，如销售商品部分和提供劳务部分能够区分并单独计量</w:t>
      </w:r>
    </w:p>
    <w:p>
      <w:pPr>
        <w:pStyle w:val="BodyText"/>
        <w:spacing w:line="224" w:lineRule="exact"/>
        <w:ind w:right="0"/>
        <w:jc w:val="left"/>
      </w:pPr>
      <w:r>
        <w:rPr/>
        <w:t>的，将销售商品部分和提供劳务部分分别处理；如销售商品部分和提供劳务部分不能够区分，或虽能区分但不能够单独计量</w:t>
      </w:r>
    </w:p>
    <w:p>
      <w:pPr>
        <w:pStyle w:val="BodyText"/>
        <w:spacing w:line="240" w:lineRule="auto" w:before="77"/>
        <w:ind w:right="0"/>
        <w:jc w:val="left"/>
      </w:pPr>
      <w:r>
        <w:rPr/>
        <w:t>的，将该合同全部作为销售商品处理。</w:t>
      </w:r>
    </w:p>
    <w:p>
      <w:pPr>
        <w:pStyle w:val="BodyText"/>
        <w:spacing w:line="338" w:lineRule="auto" w:before="116"/>
        <w:ind w:left="444" w:right="0"/>
        <w:jc w:val="left"/>
      </w:pPr>
      <w:r>
        <w:rPr/>
        <w:t>（</w:t>
      </w:r>
      <w:r>
        <w:rPr>
          <w:rFonts w:ascii="Times New Roman" w:hAnsi="Times New Roman" w:cs="Times New Roman" w:eastAsia="Times New Roman" w:hint="default"/>
        </w:rPr>
        <w:t>3</w:t>
      </w:r>
      <w:r>
        <w:rPr/>
        <w:t>）建造合同收入 </w:t>
      </w:r>
      <w:r>
        <w:rPr>
          <w:spacing w:val="-1"/>
        </w:rPr>
        <w:t>在建造合同的结果能够可靠估计的情况下，于资产负债表日按照完工百分比法确认合同收入和合同费用。合同完工进度</w:t>
      </w:r>
    </w:p>
    <w:p>
      <w:pPr>
        <w:pStyle w:val="BodyText"/>
        <w:spacing w:line="357" w:lineRule="auto" w:before="4"/>
        <w:ind w:left="444" w:right="1028" w:hanging="291"/>
        <w:jc w:val="left"/>
      </w:pPr>
      <w:r>
        <w:rPr/>
        <w:t>按累计实际发生的合同成本占合同预计总成本的比例确定。 </w:t>
      </w:r>
      <w:r>
        <w:rPr>
          <w:spacing w:val="-2"/>
        </w:rPr>
        <w:t>建造合同的结果能够可靠估计是指同时满足：①合同总收入能够可靠地计量；②与合同相关的经济利益很可能流入企业；</w:t>
      </w:r>
    </w:p>
    <w:p>
      <w:pPr>
        <w:pStyle w:val="BodyText"/>
        <w:spacing w:line="357" w:lineRule="auto"/>
        <w:ind w:left="371" w:right="1175" w:hanging="218"/>
        <w:jc w:val="left"/>
      </w:pPr>
      <w:r>
        <w:rPr/>
        <w:t>③实际发生的合同成本能够清楚地区分和可靠地计量；④合同完工进度和为完成合同尚需发生的成本能够可靠地确定。 如建造合同的结果不能可靠地估计，但合同成本能够收回的，合同收入根据能够收回的实际合同成本予以确认，合同成</w:t>
      </w:r>
    </w:p>
    <w:p>
      <w:pPr>
        <w:pStyle w:val="BodyText"/>
        <w:spacing w:line="224" w:lineRule="exact"/>
        <w:ind w:right="0"/>
        <w:jc w:val="left"/>
      </w:pPr>
      <w:r>
        <w:rPr/>
        <w:t>本在其发生的当期确认为合同费用；合同成本不可能收回的，在发生时立即确认为合同费用，不确认合同收入。使建造合同</w:t>
      </w:r>
    </w:p>
    <w:p>
      <w:pPr>
        <w:pStyle w:val="BodyText"/>
        <w:spacing w:line="357" w:lineRule="auto" w:before="77"/>
        <w:ind w:left="371" w:right="0" w:hanging="218"/>
        <w:jc w:val="left"/>
      </w:pPr>
      <w:r>
        <w:rPr/>
        <w:t>的结果不能可靠估计的不确定因素不复存在的，按照完工百分比法确定与建造合同有关的收入和费用。 合同预计总成本超过合同总收入的，将预计损失确认为当期费用。 </w:t>
      </w:r>
      <w:r>
        <w:rPr>
          <w:spacing w:val="-2"/>
        </w:rPr>
        <w:t>在建合同累计已发生的成本和累计已确认的毛利</w:t>
      </w:r>
      <w:r>
        <w:rPr>
          <w:rFonts w:ascii="Times New Roman" w:hAnsi="Times New Roman" w:cs="Times New Roman" w:eastAsia="Times New Roman" w:hint="default"/>
          <w:spacing w:val="-2"/>
        </w:rPr>
        <w:t>(</w:t>
      </w:r>
      <w:r>
        <w:rPr>
          <w:spacing w:val="-2"/>
        </w:rPr>
        <w:t>亏损</w:t>
      </w:r>
      <w:r>
        <w:rPr>
          <w:rFonts w:ascii="Times New Roman" w:hAnsi="Times New Roman" w:cs="Times New Roman" w:eastAsia="Times New Roman" w:hint="default"/>
          <w:spacing w:val="-2"/>
        </w:rPr>
        <w:t>)</w:t>
      </w:r>
      <w:r>
        <w:rPr>
          <w:spacing w:val="-2"/>
        </w:rPr>
        <w:t>与已结算的价款在资产负债表中以抵销后的净额列示。在建合同累</w:t>
      </w:r>
    </w:p>
    <w:p>
      <w:pPr>
        <w:pStyle w:val="BodyText"/>
        <w:spacing w:line="214" w:lineRule="exact"/>
        <w:ind w:right="0"/>
        <w:jc w:val="left"/>
      </w:pPr>
      <w:r>
        <w:rPr/>
        <w:t>计已发生的成本和累计已确认的毛利</w:t>
      </w:r>
      <w:r>
        <w:rPr>
          <w:rFonts w:ascii="Times New Roman" w:hAnsi="Times New Roman" w:cs="Times New Roman" w:eastAsia="Times New Roman" w:hint="default"/>
        </w:rPr>
        <w:t>(</w:t>
      </w:r>
      <w:r>
        <w:rPr/>
        <w:t>亏损</w:t>
      </w:r>
      <w:r>
        <w:rPr>
          <w:rFonts w:ascii="Times New Roman" w:hAnsi="Times New Roman" w:cs="Times New Roman" w:eastAsia="Times New Roman" w:hint="default"/>
        </w:rPr>
        <w:t>)</w:t>
      </w:r>
      <w:r>
        <w:rPr/>
        <w:t>之和超过已结算价款的部分作为存货列示；在建合同已结算的价款超过累计已发</w:t>
      </w:r>
    </w:p>
    <w:p>
      <w:pPr>
        <w:pStyle w:val="BodyText"/>
        <w:spacing w:line="240" w:lineRule="auto" w:before="64"/>
        <w:ind w:right="0"/>
        <w:jc w:val="left"/>
      </w:pPr>
      <w:r>
        <w:rPr/>
        <w:t>生的成本与累计已确认的毛利</w:t>
      </w:r>
      <w:r>
        <w:rPr>
          <w:rFonts w:ascii="Times New Roman" w:hAnsi="Times New Roman" w:cs="Times New Roman" w:eastAsia="Times New Roman" w:hint="default"/>
        </w:rPr>
        <w:t>(</w:t>
      </w:r>
      <w:r>
        <w:rPr/>
        <w:t>亏损</w:t>
      </w:r>
      <w:r>
        <w:rPr>
          <w:rFonts w:ascii="Times New Roman" w:hAnsi="Times New Roman" w:cs="Times New Roman" w:eastAsia="Times New Roman" w:hint="default"/>
        </w:rPr>
        <w:t>)</w:t>
      </w:r>
      <w:r>
        <w:rPr/>
        <w:t>之和的部分作为预收款项列示。</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29、政府补助" w:id="212"/>
      <w:bookmarkEnd w:id="212"/>
      <w:r>
        <w:rPr>
          <w:b w:val="0"/>
          <w:bCs w:val="0"/>
        </w:rPr>
      </w:r>
      <w:r>
        <w:rPr>
          <w:rFonts w:ascii="Times New Roman" w:hAnsi="Times New Roman" w:cs="Times New Roman" w:eastAsia="Times New Roman" w:hint="default"/>
        </w:rPr>
        <w:t>29</w:t>
      </w:r>
      <w:r>
        <w:rPr/>
        <w:t>、政府补助</w:t>
      </w:r>
      <w:r>
        <w:rPr>
          <w:b w:val="0"/>
          <w:bCs w:val="0"/>
        </w:rPr>
      </w:r>
    </w:p>
    <w:p>
      <w:pPr>
        <w:spacing w:line="240" w:lineRule="auto" w:before="8"/>
        <w:rPr>
          <w:rFonts w:ascii="宋体" w:hAnsi="宋体" w:cs="宋体" w:eastAsia="宋体" w:hint="default"/>
          <w:b/>
          <w:bCs/>
          <w:sz w:val="26"/>
          <w:szCs w:val="26"/>
        </w:rPr>
      </w:pPr>
    </w:p>
    <w:p>
      <w:pPr>
        <w:pStyle w:val="BodyText"/>
        <w:spacing w:line="316" w:lineRule="auto"/>
        <w:ind w:right="1131" w:firstLine="290"/>
        <w:jc w:val="both"/>
      </w:pPr>
      <w:r>
        <w:rPr>
          <w:spacing w:val="-1"/>
        </w:rPr>
        <w:t>政府补助是指本公司从政府无偿取得货币性资产和非货币性资产，不包括政府作为所有者投入的资本。政府补助分为与</w:t>
      </w:r>
      <w:r>
        <w:rPr/>
        <w:t> </w:t>
      </w:r>
      <w:r>
        <w:rPr>
          <w:spacing w:val="-2"/>
        </w:rPr>
        <w:t>资产相关的政府补助和与收益相关的政府补助。本公司将所取得的用于购建或以其他方式形成长期资产的政府补助界定为与</w:t>
      </w:r>
      <w:r>
        <w:rPr>
          <w:spacing w:val="-64"/>
        </w:rPr>
        <w:t> </w:t>
      </w:r>
      <w:r>
        <w:rPr>
          <w:spacing w:val="-64"/>
        </w:rPr>
      </w:r>
      <w:r>
        <w:rPr>
          <w:spacing w:val="-2"/>
        </w:rPr>
        <w:t>资产相关的政府补助；其余政府补助界定为与收益相关的政府补助。若政府文件未明确规定补助对象，则采用以下方式将补</w:t>
      </w:r>
      <w:r>
        <w:rPr>
          <w:spacing w:val="-66"/>
        </w:rPr>
        <w:t> </w:t>
      </w:r>
      <w:r>
        <w:rPr>
          <w:spacing w:val="-66"/>
        </w:rPr>
      </w:r>
      <w:r>
        <w:rPr/>
        <w:t>助款划分为与收益相关的政府补助和与资产相关的政府补助：（</w:t>
      </w:r>
      <w:r>
        <w:rPr>
          <w:rFonts w:ascii="Times New Roman" w:hAnsi="Times New Roman" w:cs="Times New Roman" w:eastAsia="Times New Roman" w:hint="default"/>
        </w:rPr>
        <w:t>1</w:t>
      </w:r>
      <w:r>
        <w:rPr/>
        <w:t>）政府文件明确了补助所针对的特定项目的，根据该特定</w:t>
      </w:r>
    </w:p>
    <w:p>
      <w:pPr>
        <w:spacing w:after="0" w:line="316"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0"/>
        <w:jc w:val="left"/>
      </w:pPr>
      <w:r>
        <w:rPr>
          <w:spacing w:val="-2"/>
        </w:rPr>
        <w:t>项目的预算中将形成资产的支出金额和计入费用的支出金额的相对比例进行划分，对该划分比例需在每个资产负债表日进行</w:t>
      </w:r>
      <w:r>
        <w:rPr>
          <w:spacing w:val="-64"/>
        </w:rPr>
        <w:t> </w:t>
      </w:r>
      <w:r>
        <w:rPr>
          <w:spacing w:val="-64"/>
        </w:rPr>
      </w:r>
      <w:r>
        <w:rPr/>
        <w:t>复核，必要时进行变更；（</w:t>
      </w:r>
      <w:r>
        <w:rPr>
          <w:rFonts w:ascii="Times New Roman" w:hAnsi="Times New Roman" w:cs="Times New Roman" w:eastAsia="Times New Roman" w:hint="default"/>
        </w:rPr>
        <w:t>2</w:t>
      </w:r>
      <w:r>
        <w:rPr/>
        <w:t>）政府文件中对用途仅作一般性表述，没有指明特定项目的，作为与收益相关的政府补助。</w:t>
      </w:r>
    </w:p>
    <w:p>
      <w:pPr>
        <w:pStyle w:val="BodyText"/>
        <w:spacing w:line="319" w:lineRule="auto" w:before="35"/>
        <w:ind w:right="1131" w:firstLine="290"/>
        <w:jc w:val="both"/>
      </w:pPr>
      <w:r>
        <w:rPr>
          <w:spacing w:val="-1"/>
        </w:rPr>
        <w:t>政府补助为货币性资产的，按照收到或应收的金额计量。政府补助为非货币性资产的，按照公允价值计量；公允价值不</w:t>
      </w:r>
      <w:r>
        <w:rPr/>
        <w:t> 能够可靠取得的，按照名义金额计量。按照名义金额计量的政府补助，直接计入当期损益。</w:t>
      </w:r>
    </w:p>
    <w:p>
      <w:pPr>
        <w:pStyle w:val="BodyText"/>
        <w:spacing w:line="316" w:lineRule="auto" w:before="57"/>
        <w:ind w:right="1042" w:firstLine="290"/>
        <w:jc w:val="both"/>
      </w:pPr>
      <w:r>
        <w:rPr/>
        <w:t>本公司对于政府补助通常在实际收到时，按照实收金额予以确认和计量。但对于期末有确凿证据表明能够符合财政扶持 </w:t>
      </w:r>
      <w:r>
        <w:rPr>
          <w:spacing w:val="-4"/>
        </w:rPr>
        <w:t>政策规定的相关条件预计能够收到财政扶持资金，按照应收的金额计量。按照应收金额计量的政府补助应同时符合以下条件：</w:t>
      </w:r>
    </w:p>
    <w:p>
      <w:pPr>
        <w:pStyle w:val="BodyText"/>
        <w:spacing w:line="304" w:lineRule="auto" w:before="19"/>
        <w:ind w:left="0" w:right="1131"/>
        <w:jc w:val="right"/>
      </w:pPr>
      <w:r>
        <w:rPr>
          <w:spacing w:val="-4"/>
        </w:rPr>
        <w:t>（</w:t>
      </w:r>
      <w:r>
        <w:rPr>
          <w:rFonts w:ascii="Times New Roman" w:hAnsi="Times New Roman" w:cs="Times New Roman" w:eastAsia="Times New Roman" w:hint="default"/>
          <w:spacing w:val="-4"/>
        </w:rPr>
        <w:t>1</w:t>
      </w:r>
      <w:r>
        <w:rPr>
          <w:spacing w:val="-4"/>
        </w:rPr>
        <w:t>）应收补助款的金额已经过有权政府部门发文确认，或者可根据正式发布的财政资金管理办法的有关规定自行合理测算，</w:t>
      </w:r>
      <w:r>
        <w:rPr>
          <w:spacing w:val="-53"/>
        </w:rPr>
        <w:t> </w:t>
      </w:r>
      <w:r>
        <w:rPr>
          <w:spacing w:val="-53"/>
        </w:rPr>
      </w:r>
      <w:r>
        <w:rPr/>
        <w:t>且预计其金额不存在重大不确定性；（</w:t>
      </w:r>
      <w:r>
        <w:rPr>
          <w:rFonts w:ascii="Times New Roman" w:hAnsi="Times New Roman" w:cs="Times New Roman" w:eastAsia="Times New Roman" w:hint="default"/>
        </w:rPr>
        <w:t>2</w:t>
      </w:r>
      <w:r>
        <w:rPr/>
        <w:t>）所依据的是当地财政部门正式发布并按照《政府信息公开条例》的规定予以主动 </w:t>
      </w:r>
      <w:r>
        <w:rPr>
          <w:spacing w:val="-2"/>
        </w:rPr>
        <w:t>公开的财政扶持项目及其财政资金管理办法，且该管理办法应当是普惠性的（任何符合规定条件的企业均可申请），而不是</w:t>
      </w:r>
      <w:r>
        <w:rPr>
          <w:spacing w:val="-75"/>
        </w:rPr>
        <w:t> </w:t>
      </w:r>
      <w:r>
        <w:rPr>
          <w:spacing w:val="-75"/>
        </w:rPr>
      </w:r>
      <w:r>
        <w:rPr/>
        <w:t>专门针对特定企业制定的；（</w:t>
      </w:r>
      <w:r>
        <w:rPr>
          <w:rFonts w:ascii="Times New Roman" w:hAnsi="Times New Roman" w:cs="Times New Roman" w:eastAsia="Times New Roman" w:hint="default"/>
        </w:rPr>
        <w:t>3</w:t>
      </w:r>
      <w:r>
        <w:rPr/>
        <w:t>）相关的补助款批文中已明确承诺了拨付期限，且该款项的拨付是有相应财政预算作为保障 </w:t>
      </w:r>
      <w:r>
        <w:rPr>
          <w:spacing w:val="-7"/>
        </w:rPr>
        <w:t>的，因而可以合理保证其可在规定期限内收到；（</w:t>
      </w:r>
      <w:r>
        <w:rPr>
          <w:rFonts w:ascii="Times New Roman" w:hAnsi="Times New Roman" w:cs="Times New Roman" w:eastAsia="Times New Roman" w:hint="default"/>
          <w:spacing w:val="-7"/>
        </w:rPr>
        <w:t>4</w:t>
      </w:r>
      <w:r>
        <w:rPr>
          <w:spacing w:val="-7"/>
        </w:rPr>
        <w:t>）根据本公司和该补助事项的具体情况，应满足的其他相关条件（如有）。</w:t>
      </w:r>
    </w:p>
    <w:p>
      <w:pPr>
        <w:pStyle w:val="BodyText"/>
        <w:spacing w:line="319" w:lineRule="auto" w:before="47"/>
        <w:ind w:right="1133" w:firstLine="290"/>
        <w:jc w:val="both"/>
      </w:pPr>
      <w:r>
        <w:rPr>
          <w:spacing w:val="-4"/>
        </w:rPr>
        <w:t>与资产相关的政府补助，确认为递延收益，并在相关资产的使用寿命内平均分配计入当期损益。与收益相关的政府补助，</w:t>
      </w:r>
      <w:r>
        <w:rPr/>
        <w:t> </w:t>
      </w:r>
      <w:r>
        <w:rPr>
          <w:spacing w:val="-2"/>
        </w:rPr>
        <w:t>用于补偿以后期间的相关费用和损失的，确认为递延收益，并在确认相关费用的期间计入当期损益；用于补偿已经发生的相</w:t>
      </w:r>
      <w:r>
        <w:rPr>
          <w:spacing w:val="-66"/>
        </w:rPr>
        <w:t> </w:t>
      </w:r>
      <w:r>
        <w:rPr>
          <w:spacing w:val="-66"/>
        </w:rPr>
      </w:r>
      <w:r>
        <w:rPr/>
        <w:t>关费用和损失的，直接计入当期损益。</w:t>
      </w:r>
    </w:p>
    <w:p>
      <w:pPr>
        <w:pStyle w:val="BodyText"/>
        <w:spacing w:line="319" w:lineRule="auto" w:before="55"/>
        <w:ind w:right="1194" w:firstLine="217"/>
        <w:jc w:val="both"/>
      </w:pPr>
      <w:r>
        <w:rPr/>
        <w:t>同时包含与资产相关部分和与收益相关部分的政府补助，区分不同部分分别进行会计处理；难以区分的，将其整体归类 为与收益相关的政府补助。</w:t>
      </w:r>
    </w:p>
    <w:p>
      <w:pPr>
        <w:pStyle w:val="BodyText"/>
        <w:spacing w:line="338" w:lineRule="auto" w:before="56"/>
        <w:ind w:right="0" w:firstLine="217"/>
        <w:jc w:val="left"/>
      </w:pPr>
      <w:r>
        <w:rPr/>
        <w:t>与本公司日常活动相关的政府补助，按照经济业务的实质，计入其他收益或冲减相关成本费用；与日常活动无关的政府 补助，计入营业外收支。 </w:t>
      </w:r>
      <w:r>
        <w:rPr>
          <w:spacing w:val="-2"/>
        </w:rPr>
        <w:t>已确认的政府补助需要返还时，存在相关递延收益余额的，冲减相关递延收益账面余额，超出部分计入当期损益；不存在相</w:t>
      </w:r>
    </w:p>
    <w:p>
      <w:pPr>
        <w:pStyle w:val="BodyText"/>
        <w:spacing w:line="240" w:lineRule="auto" w:before="4"/>
        <w:ind w:right="0"/>
        <w:jc w:val="left"/>
      </w:pPr>
      <w:r>
        <w:rPr/>
        <w:t>关递延收益的，直接计入当期损益。</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30、递延所得税资产/递延所得税负债" w:id="213"/>
      <w:bookmarkEnd w:id="213"/>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9"/>
        <w:rPr>
          <w:rFonts w:ascii="宋体" w:hAnsi="宋体" w:cs="宋体" w:eastAsia="宋体" w:hint="default"/>
          <w:b/>
          <w:bCs/>
          <w:sz w:val="26"/>
          <w:szCs w:val="26"/>
        </w:rPr>
      </w:pPr>
    </w:p>
    <w:p>
      <w:pPr>
        <w:pStyle w:val="BodyText"/>
        <w:spacing w:line="324" w:lineRule="auto"/>
        <w:ind w:right="1118" w:firstLine="217"/>
        <w:jc w:val="left"/>
      </w:pPr>
      <w:r>
        <w:rPr/>
        <w:t>（</w:t>
      </w:r>
      <w:r>
        <w:rPr>
          <w:rFonts w:ascii="Times New Roman" w:hAnsi="Times New Roman" w:cs="Times New Roman" w:eastAsia="Times New Roman" w:hint="default"/>
        </w:rPr>
        <w:t>1</w:t>
      </w:r>
      <w:r>
        <w:rPr/>
        <w:t>）当期所得税 </w:t>
      </w:r>
      <w:r>
        <w:rPr>
          <w:spacing w:val="-2"/>
        </w:rPr>
        <w:t>资产负债表日，对于当期和以前期间形成的当期所得税负债（或资产），以按照税法规定计算的预期应交纳（或返还）的所</w:t>
      </w:r>
      <w:r>
        <w:rPr>
          <w:spacing w:val="-68"/>
        </w:rPr>
        <w:t> </w:t>
      </w:r>
      <w:r>
        <w:rPr>
          <w:spacing w:val="-68"/>
        </w:rPr>
      </w:r>
      <w:r>
        <w:rPr>
          <w:spacing w:val="-2"/>
        </w:rPr>
        <w:t>得税金额计量。计算当期所得税费用所依据的应纳税所得额系根据有关税法规定对本报告期税前会计利润作相应调整后计算</w:t>
      </w:r>
      <w:r>
        <w:rPr>
          <w:spacing w:val="-63"/>
        </w:rPr>
        <w:t> </w:t>
      </w:r>
      <w:r>
        <w:rPr>
          <w:spacing w:val="-63"/>
        </w:rPr>
      </w:r>
      <w:r>
        <w:rPr/>
        <w:t>得出。</w:t>
      </w:r>
    </w:p>
    <w:p>
      <w:pPr>
        <w:pStyle w:val="BodyText"/>
        <w:spacing w:line="338" w:lineRule="auto" w:before="54"/>
        <w:ind w:left="444" w:right="0" w:hanging="74"/>
        <w:jc w:val="left"/>
      </w:pPr>
      <w:r>
        <w:rPr/>
        <w:t>（</w:t>
      </w:r>
      <w:r>
        <w:rPr>
          <w:rFonts w:ascii="Times New Roman" w:hAnsi="Times New Roman" w:cs="Times New Roman" w:eastAsia="Times New Roman" w:hint="default"/>
        </w:rPr>
        <w:t>2</w:t>
      </w:r>
      <w:r>
        <w:rPr/>
        <w:t>）递延所得税资产及递延所得税负债 </w:t>
      </w:r>
      <w:r>
        <w:rPr>
          <w:spacing w:val="-1"/>
        </w:rPr>
        <w:t>某些资产、负债项目的账面价值与其计税基础之间的差额，以及未作为资产和负债确认但按照税法规定可以确定其计税</w:t>
      </w:r>
    </w:p>
    <w:p>
      <w:pPr>
        <w:pStyle w:val="BodyText"/>
        <w:spacing w:line="319" w:lineRule="auto" w:before="2"/>
        <w:ind w:right="1118"/>
        <w:jc w:val="left"/>
      </w:pPr>
      <w:r>
        <w:rPr>
          <w:spacing w:val="-2"/>
        </w:rPr>
        <w:t>基础的项目的账面价值与计税基础之间的差额产生的暂时性差异，采用资产负债表债务法确认递延所得税资产及递延所得税</w:t>
      </w:r>
      <w:r>
        <w:rPr>
          <w:spacing w:val="-64"/>
        </w:rPr>
        <w:t> </w:t>
      </w:r>
      <w:r>
        <w:rPr>
          <w:spacing w:val="-64"/>
        </w:rPr>
      </w:r>
      <w:r>
        <w:rPr/>
        <w:t>负债。</w:t>
      </w:r>
    </w:p>
    <w:p>
      <w:pPr>
        <w:pStyle w:val="BodyText"/>
        <w:spacing w:line="319" w:lineRule="auto" w:before="55"/>
        <w:ind w:right="1131" w:firstLine="290"/>
        <w:jc w:val="both"/>
      </w:pPr>
      <w:r>
        <w:rPr>
          <w:spacing w:val="-1"/>
        </w:rPr>
        <w:t>与商誉的初始确认有关，以及与既不是企业合并、发生时也不影响会计利润和应纳税所得额（或可抵扣亏损）的交易中</w:t>
      </w:r>
      <w:r>
        <w:rPr/>
        <w:t> </w:t>
      </w:r>
      <w:r>
        <w:rPr>
          <w:spacing w:val="-2"/>
        </w:rPr>
        <w:t>产生的资产或负债的初始确认有关的应纳税暂时性差异，不予确认有关的递延所得税负债。此外，对与子公司、联营企业及</w:t>
      </w:r>
      <w:r>
        <w:rPr>
          <w:spacing w:val="-66"/>
        </w:rPr>
        <w:t> </w:t>
      </w:r>
      <w:r>
        <w:rPr>
          <w:spacing w:val="-66"/>
        </w:rPr>
      </w:r>
      <w:r>
        <w:rPr>
          <w:spacing w:val="-2"/>
        </w:rPr>
        <w:t>合营企业投资相关的应纳税暂时性差异，如果本公司能够控制暂时性差异转回的时间，而且该暂时性差异在可预见的未来很</w:t>
      </w:r>
      <w:r>
        <w:rPr>
          <w:spacing w:val="-64"/>
        </w:rPr>
        <w:t> </w:t>
      </w:r>
      <w:r>
        <w:rPr>
          <w:spacing w:val="-64"/>
        </w:rPr>
      </w:r>
      <w:r>
        <w:rPr>
          <w:spacing w:val="-2"/>
        </w:rPr>
        <w:t>可能不会转回，也不予确认有关的递延所得税负债。除上述例外情况，本公司确认其他所有应纳税暂时性差异产生的递延所</w:t>
      </w:r>
      <w:r>
        <w:rPr>
          <w:spacing w:val="-66"/>
        </w:rPr>
        <w:t> </w:t>
      </w:r>
      <w:r>
        <w:rPr>
          <w:spacing w:val="-66"/>
        </w:rPr>
      </w:r>
      <w:r>
        <w:rPr/>
        <w:t>得税负债。</w:t>
      </w:r>
    </w:p>
    <w:p>
      <w:pPr>
        <w:pStyle w:val="BodyText"/>
        <w:spacing w:line="319" w:lineRule="auto" w:before="56"/>
        <w:ind w:right="1131" w:firstLine="290"/>
        <w:jc w:val="both"/>
      </w:pPr>
      <w:r>
        <w:rPr>
          <w:spacing w:val="-1"/>
        </w:rPr>
        <w:t>与既不是企业合并、发生时也不影响会计利润和应纳税所得额（或可抵扣亏损）的交易中产生的资产或负债的初始确认</w:t>
      </w:r>
      <w:r>
        <w:rPr/>
        <w:t> </w:t>
      </w:r>
      <w:r>
        <w:rPr>
          <w:spacing w:val="-2"/>
        </w:rPr>
        <w:t>有关的可抵扣暂时性差异，不予确认有关的递延所得税资产。此外，对与子公司、联营企业及合营企业投资相关的可抵扣暂</w:t>
      </w:r>
      <w:r>
        <w:rPr>
          <w:spacing w:val="-66"/>
        </w:rPr>
        <w:t> </w:t>
      </w:r>
      <w:r>
        <w:rPr>
          <w:spacing w:val="-66"/>
        </w:rPr>
      </w:r>
      <w:r>
        <w:rPr>
          <w:spacing w:val="-2"/>
        </w:rPr>
        <w:t>时性差异，如果暂时性差异在可预见的未来不是很可能转回，或者未来不是很可能获得用来抵扣可抵扣暂时性差异的应纳税</w:t>
      </w:r>
      <w:r>
        <w:rPr>
          <w:spacing w:val="-64"/>
        </w:rPr>
        <w:t> </w:t>
      </w:r>
      <w:r>
        <w:rPr>
          <w:spacing w:val="-64"/>
        </w:rPr>
      </w:r>
      <w:r>
        <w:rPr>
          <w:spacing w:val="-2"/>
        </w:rPr>
        <w:t>所得额，不予确认有关的递延所得税资产。除上述例外情况，本公司以很可能取得用来抵扣可抵扣暂时性差异的应纳税所得</w:t>
      </w:r>
      <w:r>
        <w:rPr>
          <w:spacing w:val="-66"/>
        </w:rPr>
        <w:t> </w:t>
      </w:r>
      <w:r>
        <w:rPr>
          <w:spacing w:val="-66"/>
        </w:rPr>
      </w:r>
      <w:r>
        <w:rPr/>
        <w:t>额为限，确认其他可抵扣暂时性差异产生的递延所得税资产。</w:t>
      </w:r>
    </w:p>
    <w:p>
      <w:pPr>
        <w:pStyle w:val="BodyText"/>
        <w:spacing w:line="319" w:lineRule="auto" w:before="55"/>
        <w:ind w:right="1133" w:firstLine="290"/>
        <w:jc w:val="both"/>
      </w:pPr>
      <w:r>
        <w:rPr>
          <w:spacing w:val="-1"/>
        </w:rPr>
        <w:t>对于能够结转以后年度的可抵扣亏损和税款抵减，以很可能获得用来抵扣可抵扣亏损和税款抵减的未来应纳税所得额为</w:t>
      </w:r>
      <w:r>
        <w:rPr/>
        <w:t> 限，确认相应的递延所得税资产。</w:t>
      </w:r>
    </w:p>
    <w:p>
      <w:pPr>
        <w:spacing w:after="0" w:line="319"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38" w:lineRule="auto" w:before="44"/>
        <w:ind w:right="0" w:firstLine="290"/>
        <w:jc w:val="left"/>
      </w:pPr>
      <w:r>
        <w:rPr>
          <w:spacing w:val="-1"/>
        </w:rPr>
        <w:t>资产负债表日，对于递延所得税资产和递延所得税负债，根据税法规定，按照预期收回相关资产或清偿相关负债期间的</w:t>
      </w:r>
      <w:r>
        <w:rPr/>
        <w:t> 适用税率计量。 </w:t>
      </w:r>
      <w:r>
        <w:rPr>
          <w:spacing w:val="-2"/>
        </w:rPr>
        <w:t>于资产负债表日，对递延所得税资产的账面价值进行复核，如果未来很可能无法获得足够的应纳税所得额用以抵扣递延所得</w:t>
      </w:r>
    </w:p>
    <w:p>
      <w:pPr>
        <w:pStyle w:val="BodyText"/>
        <w:spacing w:line="240" w:lineRule="auto" w:before="4"/>
        <w:ind w:right="0"/>
        <w:jc w:val="left"/>
      </w:pPr>
      <w:r>
        <w:rPr/>
        <w:t>税资产的利益，则减记递延所得税资产的账面价值。在很可能获得足够的应纳税所得额时，减记的金额予以转回。</w:t>
      </w:r>
    </w:p>
    <w:p>
      <w:pPr>
        <w:pStyle w:val="BodyText"/>
        <w:spacing w:line="338" w:lineRule="auto" w:before="117"/>
        <w:ind w:left="444" w:right="7042"/>
        <w:jc w:val="left"/>
      </w:pPr>
      <w:r>
        <w:rPr/>
        <w:t>（</w:t>
      </w:r>
      <w:r>
        <w:rPr>
          <w:rFonts w:ascii="Times New Roman" w:hAnsi="Times New Roman" w:cs="Times New Roman" w:eastAsia="Times New Roman" w:hint="default"/>
        </w:rPr>
        <w:t>3</w:t>
      </w:r>
      <w:r>
        <w:rPr/>
        <w:t>）所得税费用 所得税费用包括当期所得税和递延所得税。</w:t>
      </w:r>
    </w:p>
    <w:p>
      <w:pPr>
        <w:pStyle w:val="BodyText"/>
        <w:spacing w:line="319" w:lineRule="auto" w:before="41"/>
        <w:ind w:right="0"/>
        <w:jc w:val="left"/>
      </w:pPr>
      <w:r>
        <w:rPr>
          <w:spacing w:val="-2"/>
        </w:rPr>
        <w:t>除确认为其他综合收益或直接计入股东权益的交易和事项相关的当期所得税和递延所得税计入其他综合收益或股东权益，以</w:t>
      </w:r>
      <w:r>
        <w:rPr>
          <w:spacing w:val="-64"/>
        </w:rPr>
        <w:t> </w:t>
      </w:r>
      <w:r>
        <w:rPr>
          <w:spacing w:val="-64"/>
        </w:rPr>
      </w:r>
      <w:r>
        <w:rPr/>
        <w:t>及企业合并产生的递延所得税调整商誉的账面价值外，其余当期所得税和递延所得税费用或收益计入当期损益。</w:t>
      </w:r>
    </w:p>
    <w:p>
      <w:pPr>
        <w:pStyle w:val="BodyText"/>
        <w:spacing w:line="338" w:lineRule="auto" w:before="58"/>
        <w:ind w:left="444" w:right="0" w:hanging="74"/>
        <w:jc w:val="left"/>
      </w:pPr>
      <w:r>
        <w:rPr/>
        <w:t>（</w:t>
      </w:r>
      <w:r>
        <w:rPr>
          <w:rFonts w:ascii="Times New Roman" w:hAnsi="Times New Roman" w:cs="Times New Roman" w:eastAsia="Times New Roman" w:hint="default"/>
        </w:rPr>
        <w:t>4</w:t>
      </w:r>
      <w:r>
        <w:rPr/>
        <w:t>）所得税的抵销 </w:t>
      </w:r>
      <w:r>
        <w:rPr>
          <w:spacing w:val="-1"/>
        </w:rPr>
        <w:t>当拥有以净额结算的法定权利，且意图以净额结算或取得资产、清偿负债同时进行时，本公司当期所得税资产及当期所</w:t>
      </w:r>
    </w:p>
    <w:p>
      <w:pPr>
        <w:pStyle w:val="BodyText"/>
        <w:spacing w:line="357" w:lineRule="auto" w:before="4"/>
        <w:ind w:left="444" w:right="0" w:hanging="291"/>
        <w:jc w:val="left"/>
      </w:pPr>
      <w:r>
        <w:rPr/>
        <w:t>得税负债以抵销后的净额列报。 </w:t>
      </w:r>
      <w:r>
        <w:rPr>
          <w:spacing w:val="-1"/>
        </w:rPr>
        <w:t>当拥有以净额结算当期所得税资产及当期所得税负债的法定权利，且递延所得税资产及递延所得税负债是与同一税收征</w:t>
      </w:r>
    </w:p>
    <w:p>
      <w:pPr>
        <w:pStyle w:val="BodyText"/>
        <w:spacing w:line="224" w:lineRule="exact"/>
        <w:ind w:right="0"/>
        <w:jc w:val="left"/>
      </w:pPr>
      <w:r>
        <w:rPr/>
        <w:t>管部门对同一纳税主体征收的所得税相关或者是对不同的纳税主体相关</w:t>
      </w:r>
      <w:r>
        <w:rPr>
          <w:spacing w:val="-82"/>
        </w:rPr>
        <w:t>，</w:t>
      </w:r>
      <w:r>
        <w:rPr/>
        <w:t>但在未来每一具有重要性的递延所得税资产及负债</w:t>
      </w:r>
    </w:p>
    <w:p>
      <w:pPr>
        <w:pStyle w:val="BodyText"/>
        <w:spacing w:line="319" w:lineRule="auto" w:before="76"/>
        <w:ind w:right="0"/>
        <w:jc w:val="left"/>
      </w:pPr>
      <w:r>
        <w:rPr>
          <w:spacing w:val="-2"/>
        </w:rPr>
        <w:t>转回的期间内，涉及的纳税主体意图以净额结算当期所得税资产和负债或是同时取得资产、清偿负债时，本公司递延所得税</w:t>
      </w:r>
      <w:r>
        <w:rPr>
          <w:spacing w:val="-66"/>
        </w:rPr>
        <w:t> </w:t>
      </w:r>
      <w:r>
        <w:rPr>
          <w:spacing w:val="-66"/>
        </w:rPr>
      </w:r>
      <w:r>
        <w:rPr/>
        <w:t>资产及递延所得税负债以抵销后的净额列报。</w:t>
      </w:r>
    </w:p>
    <w:p>
      <w:pPr>
        <w:spacing w:line="240" w:lineRule="auto" w:before="4"/>
        <w:rPr>
          <w:rFonts w:ascii="宋体" w:hAnsi="宋体" w:cs="宋体" w:eastAsia="宋体" w:hint="default"/>
          <w:sz w:val="22"/>
          <w:szCs w:val="22"/>
        </w:rPr>
      </w:pPr>
    </w:p>
    <w:p>
      <w:pPr>
        <w:pStyle w:val="Heading4"/>
        <w:spacing w:line="240" w:lineRule="auto"/>
        <w:ind w:right="0"/>
        <w:jc w:val="left"/>
        <w:rPr>
          <w:b w:val="0"/>
          <w:bCs w:val="0"/>
        </w:rPr>
      </w:pPr>
      <w:bookmarkStart w:name="31、租赁" w:id="214"/>
      <w:bookmarkEnd w:id="214"/>
      <w:r>
        <w:rPr>
          <w:b w:val="0"/>
          <w:bCs w:val="0"/>
        </w:rPr>
      </w:r>
      <w:r>
        <w:rPr>
          <w:rFonts w:ascii="Times New Roman" w:hAnsi="Times New Roman" w:cs="Times New Roman" w:eastAsia="Times New Roman" w:hint="default"/>
        </w:rPr>
        <w:t>31</w:t>
      </w:r>
      <w:r>
        <w:rPr/>
        <w:t>、租赁</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经营租赁的会计处理方法" w:id="215"/>
      <w:bookmarkEnd w:id="215"/>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firstLine="290"/>
        <w:jc w:val="left"/>
      </w:pPr>
      <w:r>
        <w:rPr>
          <w:spacing w:val="-1"/>
        </w:rPr>
        <w:t>融资租赁为实质上转移了与资产所有权有关的全部风险和报酬的租赁，其所有权最终可能转移，也可能不转移。融资租</w:t>
      </w:r>
      <w:r>
        <w:rPr/>
        <w:t> 赁以外的其他租赁为经营租赁。本公司的租赁为作为承租人的经营租赁。</w:t>
      </w:r>
    </w:p>
    <w:p>
      <w:pPr>
        <w:pStyle w:val="BodyText"/>
        <w:spacing w:line="319" w:lineRule="auto" w:before="56"/>
        <w:ind w:right="0" w:firstLine="290"/>
        <w:jc w:val="left"/>
      </w:pPr>
      <w:r>
        <w:rPr>
          <w:spacing w:val="-1"/>
        </w:rPr>
        <w:t>经营租赁的租金支出在租赁期内的各个期间按直线法计入相关资产成本或当期损益。初始直接费用计入当期损益。或有</w:t>
      </w:r>
      <w:r>
        <w:rPr/>
        <w:t> 租金于实际发生时计入当期损益。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4"/>
        <w:spacing w:line="240" w:lineRule="auto"/>
        <w:ind w:right="0"/>
        <w:jc w:val="left"/>
        <w:rPr>
          <w:b w:val="0"/>
          <w:bCs w:val="0"/>
        </w:rPr>
      </w:pPr>
      <w:bookmarkStart w:name="（2）融资租赁的会计处理方法" w:id="216"/>
      <w:bookmarkEnd w:id="216"/>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32、其他重要的会计政策和会计估计" w:id="217"/>
      <w:bookmarkEnd w:id="217"/>
      <w:r>
        <w:rPr>
          <w:b w:val="0"/>
          <w:bCs w:val="0"/>
        </w:rPr>
      </w:r>
      <w:r>
        <w:rPr>
          <w:rFonts w:ascii="Times New Roman" w:hAnsi="Times New Roman" w:cs="Times New Roman" w:eastAsia="Times New Roman" w:hint="default"/>
        </w:rPr>
        <w:t>32</w:t>
      </w:r>
      <w:r>
        <w:rPr/>
        <w:t>、其他重要的会计政策和会计估计</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33、重要会计政策和会计估计变更" w:id="218"/>
      <w:bookmarkEnd w:id="218"/>
      <w:r>
        <w:rPr>
          <w:b w:val="0"/>
          <w:bCs w:val="0"/>
        </w:rPr>
      </w:r>
      <w:r>
        <w:rPr>
          <w:rFonts w:ascii="Times New Roman" w:hAnsi="Times New Roman" w:cs="Times New Roman" w:eastAsia="Times New Roman" w:hint="default"/>
        </w:rPr>
        <w:t>33</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重要会计政策变更" w:id="219"/>
      <w:bookmarkEnd w:id="219"/>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1"/>
        <w:gridCol w:w="3190"/>
        <w:gridCol w:w="3189"/>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986"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日发布了《关</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于修订印发</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年度一般企业财务报表</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格式的通知》</w:t>
            </w:r>
            <w:r>
              <w:rPr>
                <w:rFonts w:ascii="Times New Roman" w:hAnsi="Times New Roman" w:cs="Times New Roman" w:eastAsia="Times New Roman" w:hint="default"/>
                <w:sz w:val="18"/>
                <w:szCs w:val="18"/>
              </w:rPr>
              <w:t>(</w:t>
            </w:r>
            <w:r>
              <w:rPr>
                <w:rFonts w:ascii="宋体" w:hAnsi="宋体" w:cs="宋体" w:eastAsia="宋体" w:hint="default"/>
                <w:sz w:val="18"/>
                <w:szCs w:val="18"/>
              </w:rPr>
              <w:t>财会</w:t>
            </w:r>
            <w:r>
              <w:rPr>
                <w:rFonts w:ascii="Times New Roman" w:hAnsi="Times New Roman" w:cs="Times New Roman" w:eastAsia="Times New Roman" w:hint="default"/>
                <w:sz w:val="18"/>
                <w:szCs w:val="18"/>
              </w:rPr>
              <w:t>(2018) 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对一般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50"/>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日，公司召开的第三届 董事会第三十四次会议、第三届监事会 第二十七次会议审议通过了《关于会计</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3194"/>
        <w:gridCol w:w="3190"/>
        <w:gridCol w:w="3189"/>
      </w:tblGrid>
      <w:tr>
        <w:trPr>
          <w:trHeight w:val="3171" w:hRule="exact"/>
        </w:trPr>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both"/>
              <w:rPr>
                <w:rFonts w:ascii="宋体" w:hAnsi="宋体" w:cs="宋体" w:eastAsia="宋体" w:hint="default"/>
                <w:sz w:val="18"/>
                <w:szCs w:val="18"/>
              </w:rPr>
            </w:pPr>
            <w:r>
              <w:rPr>
                <w:rFonts w:ascii="宋体" w:hAnsi="宋体" w:cs="宋体" w:eastAsia="宋体" w:hint="default"/>
                <w:sz w:val="18"/>
                <w:szCs w:val="18"/>
              </w:rPr>
              <w:t>企业财务报表格式进行了修订，归并部 分资产负债表项目，拆分部分利润表项 目：并于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日发布了《关于</w:t>
            </w:r>
          </w:p>
          <w:p>
            <w:pPr>
              <w:pStyle w:val="TableParagraph"/>
              <w:spacing w:line="309" w:lineRule="auto"/>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年度一般企业财务报表格式有关问 题的解读》</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本公司已经根据新的企业财 务报表格式的要求编制财务报表，财务 报表的列报项目因此发生变更的，已经 按照《企业会计准则第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号－财务报表 列报》等的相关规定，对可比期间的比 较数据进行调整。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95"/>
              <w:jc w:val="left"/>
              <w:rPr>
                <w:rFonts w:ascii="宋体" w:hAnsi="宋体" w:cs="宋体" w:eastAsia="宋体" w:hint="default"/>
                <w:sz w:val="18"/>
                <w:szCs w:val="18"/>
              </w:rPr>
            </w:pPr>
            <w:r>
              <w:rPr>
                <w:rFonts w:ascii="宋体" w:hAnsi="宋体" w:cs="宋体" w:eastAsia="宋体" w:hint="default"/>
                <w:sz w:val="18"/>
                <w:szCs w:val="18"/>
              </w:rPr>
              <w:t>政策变更的议案》公司独立董事、监事 发表了同意的独立意见。</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以上会计政策变更需要对公司</w:t>
      </w:r>
      <w:r>
        <w:rPr>
          <w:rFonts w:ascii="Times New Roman" w:hAnsi="Times New Roman" w:cs="Times New Roman" w:eastAsia="Times New Roman" w:hint="default"/>
        </w:rPr>
        <w:t>2017</w:t>
      </w:r>
      <w:r>
        <w:rPr/>
        <w:t>年度可比财务数据进行追溯调整，追溯调整对公司</w:t>
      </w:r>
      <w:r>
        <w:rPr>
          <w:rFonts w:ascii="Times New Roman" w:hAnsi="Times New Roman" w:cs="Times New Roman" w:eastAsia="Times New Roman" w:hint="default"/>
        </w:rPr>
        <w:t>2017</w:t>
      </w:r>
      <w:r>
        <w:rPr/>
        <w:t>年度合并财务报表具体影响如下：</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146" w:type="dxa"/>
        <w:tblLayout w:type="fixed"/>
        <w:tblCellMar>
          <w:top w:w="0" w:type="dxa"/>
          <w:left w:w="0" w:type="dxa"/>
          <w:bottom w:w="0" w:type="dxa"/>
          <w:right w:w="0" w:type="dxa"/>
        </w:tblCellMar>
        <w:tblLook w:val="01E0"/>
      </w:tblPr>
      <w:tblGrid>
        <w:gridCol w:w="2410"/>
        <w:gridCol w:w="2518"/>
        <w:gridCol w:w="2303"/>
        <w:gridCol w:w="2410"/>
      </w:tblGrid>
      <w:tr>
        <w:trPr>
          <w:trHeight w:val="427" w:hRule="exact"/>
        </w:trPr>
        <w:tc>
          <w:tcPr>
            <w:tcW w:w="2410" w:type="dxa"/>
            <w:vMerge w:val="restart"/>
            <w:tcBorders>
              <w:top w:val="single" w:sz="6" w:space="0" w:color="000000"/>
              <w:left w:val="single" w:sz="6" w:space="0" w:color="000000"/>
              <w:right w:val="single" w:sz="6" w:space="0" w:color="000000"/>
            </w:tcBorders>
          </w:tcPr>
          <w:p>
            <w:pPr>
              <w:pStyle w:val="TableParagraph"/>
              <w:spacing w:line="240" w:lineRule="auto" w:before="62"/>
              <w:ind w:left="567" w:right="0"/>
              <w:jc w:val="left"/>
              <w:rPr>
                <w:rFonts w:ascii="宋体" w:hAnsi="宋体" w:cs="宋体" w:eastAsia="宋体" w:hint="default"/>
                <w:sz w:val="18"/>
                <w:szCs w:val="18"/>
              </w:rPr>
            </w:pPr>
            <w:r>
              <w:rPr>
                <w:rFonts w:ascii="宋体" w:hAnsi="宋体" w:cs="宋体" w:eastAsia="宋体" w:hint="default"/>
                <w:sz w:val="18"/>
                <w:szCs w:val="18"/>
              </w:rPr>
              <w:t>资产负债类项目</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2303" w:type="dxa"/>
            <w:vMerge w:val="restart"/>
            <w:tcBorders>
              <w:top w:val="single" w:sz="6" w:space="0" w:color="000000"/>
              <w:left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调整金额</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5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r>
      <w:tr>
        <w:trPr>
          <w:trHeight w:val="427" w:hRule="exact"/>
        </w:trPr>
        <w:tc>
          <w:tcPr>
            <w:tcW w:w="2410" w:type="dxa"/>
            <w:vMerge/>
            <w:tcBorders>
              <w:left w:val="single" w:sz="6" w:space="0" w:color="000000"/>
              <w:bottom w:val="single" w:sz="6" w:space="0" w:color="000000"/>
              <w:right w:val="single" w:sz="6" w:space="0" w:color="000000"/>
            </w:tcBorders>
          </w:tcPr>
          <w:p>
            <w:pP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21" w:right="0"/>
              <w:jc w:val="left"/>
              <w:rPr>
                <w:rFonts w:ascii="宋体" w:hAnsi="宋体" w:cs="宋体" w:eastAsia="宋体" w:hint="default"/>
                <w:sz w:val="18"/>
                <w:szCs w:val="18"/>
              </w:rPr>
            </w:pPr>
            <w:r>
              <w:rPr>
                <w:rFonts w:ascii="宋体" w:hAnsi="宋体" w:cs="宋体" w:eastAsia="宋体" w:hint="default"/>
                <w:sz w:val="18"/>
                <w:szCs w:val="18"/>
              </w:rPr>
              <w:t>调整列报前金额</w:t>
            </w:r>
          </w:p>
        </w:tc>
        <w:tc>
          <w:tcPr>
            <w:tcW w:w="2303" w:type="dxa"/>
            <w:vMerge/>
            <w:tcBorders>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566" w:right="0"/>
              <w:jc w:val="left"/>
              <w:rPr>
                <w:rFonts w:ascii="宋体" w:hAnsi="宋体" w:cs="宋体" w:eastAsia="宋体" w:hint="default"/>
                <w:sz w:val="18"/>
                <w:szCs w:val="18"/>
              </w:rPr>
            </w:pPr>
            <w:r>
              <w:rPr>
                <w:rFonts w:ascii="宋体" w:hAnsi="宋体" w:cs="宋体" w:eastAsia="宋体" w:hint="default"/>
                <w:sz w:val="18"/>
                <w:szCs w:val="18"/>
              </w:rPr>
              <w:t>调整列报后金额</w:t>
            </w:r>
          </w:p>
        </w:tc>
      </w:tr>
      <w:tr>
        <w:trPr>
          <w:trHeight w:val="426"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8,269,122.33</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-8,269,122.33</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506,285,252.32</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-506,285,252.32</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514,554,374.65</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514,554,374.65</w:t>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152,566.47</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5"/>
                <w:sz w:val="18"/>
              </w:rPr>
              <w:t>-152,566.47</w:t>
            </w:r>
            <w:r>
              <w:rPr>
                <w:rFonts w:ascii="Times New Roman"/>
                <w:sz w:val="18"/>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41,017,667.16</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152,566.47</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41,170,233.63</w:t>
            </w:r>
          </w:p>
        </w:tc>
      </w:tr>
      <w:tr>
        <w:trPr>
          <w:trHeight w:val="428"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52,382,104.11</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-52,382,104.11</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6"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267,469,542.19</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-267,469,542.19</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319,851,646.30</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319,851,646.30</w:t>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140,995.89</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5"/>
                <w:sz w:val="18"/>
              </w:rPr>
              <w:t>-140,995.89</w:t>
            </w:r>
            <w:r>
              <w:rPr>
                <w:rFonts w:ascii="Times New Roman"/>
                <w:sz w:val="18"/>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339,480.00</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5"/>
                <w:sz w:val="18"/>
              </w:rPr>
              <w:t>-339,480.00</w:t>
            </w:r>
            <w:r>
              <w:rPr>
                <w:rFonts w:ascii="Times New Roman"/>
                <w:sz w:val="18"/>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44,402,533.33</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480,475.89</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44,883,009.22</w:t>
            </w:r>
          </w:p>
        </w:tc>
      </w:tr>
      <w:tr>
        <w:trPr>
          <w:trHeight w:val="427" w:hRule="exact"/>
        </w:trPr>
        <w:tc>
          <w:tcPr>
            <w:tcW w:w="2410" w:type="dxa"/>
            <w:vMerge w:val="restart"/>
            <w:tcBorders>
              <w:top w:val="single" w:sz="6" w:space="0" w:color="000000"/>
              <w:left w:val="single" w:sz="6" w:space="0" w:color="000000"/>
              <w:right w:val="single" w:sz="6" w:space="0" w:color="000000"/>
            </w:tcBorders>
          </w:tcPr>
          <w:p>
            <w:pPr>
              <w:pStyle w:val="TableParagraph"/>
              <w:spacing w:line="240" w:lineRule="auto" w:before="62"/>
              <w:ind w:left="747" w:right="0"/>
              <w:jc w:val="left"/>
              <w:rPr>
                <w:rFonts w:ascii="宋体" w:hAnsi="宋体" w:cs="宋体" w:eastAsia="宋体" w:hint="default"/>
                <w:sz w:val="18"/>
                <w:szCs w:val="18"/>
              </w:rPr>
            </w:pPr>
            <w:r>
              <w:rPr>
                <w:rFonts w:ascii="宋体" w:hAnsi="宋体" w:cs="宋体" w:eastAsia="宋体" w:hint="default"/>
                <w:sz w:val="18"/>
                <w:szCs w:val="18"/>
              </w:rPr>
              <w:t>损益类项目</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2303" w:type="dxa"/>
            <w:vMerge w:val="restart"/>
            <w:tcBorders>
              <w:top w:val="single" w:sz="6" w:space="0" w:color="000000"/>
              <w:left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调整金额</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5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r>
      <w:tr>
        <w:trPr>
          <w:trHeight w:val="426" w:hRule="exact"/>
        </w:trPr>
        <w:tc>
          <w:tcPr>
            <w:tcW w:w="2410" w:type="dxa"/>
            <w:vMerge/>
            <w:tcBorders>
              <w:left w:val="single" w:sz="6" w:space="0" w:color="000000"/>
              <w:bottom w:val="single" w:sz="6" w:space="0" w:color="000000"/>
              <w:right w:val="single" w:sz="6" w:space="0" w:color="000000"/>
            </w:tcBorders>
          </w:tcPr>
          <w:p>
            <w:pP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621" w:right="0"/>
              <w:jc w:val="left"/>
              <w:rPr>
                <w:rFonts w:ascii="宋体" w:hAnsi="宋体" w:cs="宋体" w:eastAsia="宋体" w:hint="default"/>
                <w:sz w:val="18"/>
                <w:szCs w:val="18"/>
              </w:rPr>
            </w:pPr>
            <w:r>
              <w:rPr>
                <w:rFonts w:ascii="宋体" w:hAnsi="宋体" w:cs="宋体" w:eastAsia="宋体" w:hint="default"/>
                <w:sz w:val="18"/>
                <w:szCs w:val="18"/>
              </w:rPr>
              <w:t>调整列报前金额</w:t>
            </w:r>
          </w:p>
        </w:tc>
        <w:tc>
          <w:tcPr>
            <w:tcW w:w="2303" w:type="dxa"/>
            <w:vMerge/>
            <w:tcBorders>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566" w:right="0"/>
              <w:jc w:val="left"/>
              <w:rPr>
                <w:rFonts w:ascii="宋体" w:hAnsi="宋体" w:cs="宋体" w:eastAsia="宋体" w:hint="default"/>
                <w:sz w:val="18"/>
                <w:szCs w:val="18"/>
              </w:rPr>
            </w:pPr>
            <w:r>
              <w:rPr>
                <w:rFonts w:ascii="宋体" w:hAnsi="宋体" w:cs="宋体" w:eastAsia="宋体" w:hint="default"/>
                <w:sz w:val="18"/>
                <w:szCs w:val="18"/>
              </w:rPr>
              <w:t>调整列报后金额</w:t>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129,100,009.14</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-67,494,849.69</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61,605,159.45</w:t>
            </w:r>
          </w:p>
        </w:tc>
      </w:tr>
      <w:tr>
        <w:trPr>
          <w:trHeight w:val="428"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67,494,849.69</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67,494,849.69</w:t>
            </w:r>
          </w:p>
        </w:tc>
      </w:tr>
    </w:tbl>
    <w:p>
      <w:pPr>
        <w:pStyle w:val="Heading3"/>
        <w:spacing w:line="275" w:lineRule="exact" w:before="0"/>
        <w:ind w:right="0"/>
        <w:jc w:val="left"/>
      </w:pPr>
      <w:r>
        <w:rPr/>
        <w:t>注：说明受重要影响的报表项目名称和金额。</w:t>
      </w:r>
    </w:p>
    <w:p>
      <w:pPr>
        <w:spacing w:line="240" w:lineRule="auto" w:before="9"/>
        <w:rPr>
          <w:rFonts w:ascii="宋体" w:hAnsi="宋体" w:cs="宋体" w:eastAsia="宋体" w:hint="default"/>
          <w:sz w:val="24"/>
          <w:szCs w:val="24"/>
        </w:rPr>
      </w:pPr>
    </w:p>
    <w:p>
      <w:pPr>
        <w:pStyle w:val="Heading4"/>
        <w:spacing w:line="240" w:lineRule="auto"/>
        <w:ind w:right="0"/>
        <w:jc w:val="left"/>
        <w:rPr>
          <w:b w:val="0"/>
          <w:bCs w:val="0"/>
        </w:rPr>
      </w:pPr>
      <w:bookmarkStart w:name="（2）重要会计估计变更" w:id="220"/>
      <w:bookmarkEnd w:id="220"/>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397"/>
        <w:gridCol w:w="2388"/>
        <w:gridCol w:w="2392"/>
        <w:gridCol w:w="2392"/>
      </w:tblGrid>
      <w:tr>
        <w:trPr>
          <w:trHeight w:val="402" w:hRule="exact"/>
        </w:trPr>
        <w:tc>
          <w:tcPr>
            <w:tcW w:w="23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2" w:right="0"/>
              <w:jc w:val="left"/>
              <w:rPr>
                <w:rFonts w:ascii="宋体" w:hAnsi="宋体" w:cs="宋体" w:eastAsia="宋体" w:hint="default"/>
                <w:sz w:val="18"/>
                <w:szCs w:val="18"/>
              </w:rPr>
            </w:pPr>
            <w:r>
              <w:rPr>
                <w:rFonts w:ascii="宋体" w:hAnsi="宋体" w:cs="宋体" w:eastAsia="宋体" w:hint="default"/>
                <w:sz w:val="18"/>
                <w:szCs w:val="18"/>
              </w:rPr>
              <w:t>会计估计变更的内容和原因</w:t>
            </w:r>
          </w:p>
        </w:tc>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0" w:right="0"/>
              <w:jc w:val="left"/>
              <w:rPr>
                <w:rFonts w:ascii="宋体" w:hAnsi="宋体" w:cs="宋体" w:eastAsia="宋体" w:hint="default"/>
                <w:sz w:val="18"/>
                <w:szCs w:val="18"/>
              </w:rPr>
            </w:pPr>
            <w:r>
              <w:rPr>
                <w:rFonts w:ascii="宋体" w:hAnsi="宋体" w:cs="宋体" w:eastAsia="宋体" w:hint="default"/>
                <w:sz w:val="18"/>
                <w:szCs w:val="18"/>
              </w:rPr>
              <w:t>开始适用的时点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714"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会计估计变更内容</w:t>
            </w:r>
            <w:r>
              <w:rPr>
                <w:rFonts w:ascii="宋体" w:hAnsi="宋体" w:cs="宋体" w:eastAsia="宋体" w:hint="default"/>
                <w:spacing w:val="-9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12</w:t>
            </w:r>
            <w:r>
              <w:rPr>
                <w:rFonts w:ascii="Times New Roman" w:hAnsi="Times New Roman" w:cs="Times New Roman" w:eastAsia="Times New Roman" w:hint="default"/>
                <w:sz w:val="18"/>
                <w:szCs w:val="18"/>
              </w:rPr>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90"/>
                <w:sz w:val="18"/>
                <w:szCs w:val="18"/>
              </w:rPr>
              <w:t>，</w:t>
            </w:r>
            <w:r>
              <w:rPr>
                <w:rFonts w:ascii="宋体" w:hAnsi="宋体" w:cs="宋体" w:eastAsia="宋体" w:hint="default"/>
                <w:sz w:val="18"/>
                <w:szCs w:val="18"/>
              </w:rPr>
              <w:t>本</w:t>
            </w:r>
            <w:r>
              <w:rPr>
                <w:rFonts w:ascii="宋体" w:hAnsi="宋体" w:cs="宋体" w:eastAsia="宋体" w:hint="default"/>
                <w:spacing w:val="1"/>
                <w:sz w:val="18"/>
                <w:szCs w:val="18"/>
              </w:rPr>
              <w:t>公</w:t>
            </w:r>
            <w:r>
              <w:rPr>
                <w:rFonts w:ascii="宋体" w:hAnsi="宋体" w:cs="宋体" w:eastAsia="宋体" w:hint="default"/>
                <w:sz w:val="18"/>
                <w:szCs w:val="18"/>
              </w:rPr>
              <w:t>司董事会审议通</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71"/>
              <w:ind w:left="22"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日，第三届董</w:t>
            </w:r>
            <w:r>
              <w:rPr>
                <w:rFonts w:ascii="宋体" w:hAnsi="宋体" w:cs="宋体" w:eastAsia="宋体" w:hint="default"/>
                <w:sz w:val="18"/>
                <w:szCs w:val="18"/>
              </w:rPr>
              <w:t> 事会第三十四次会议审议通</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本次会计估计变更采用未来 适用法。</w:t>
            </w:r>
          </w:p>
        </w:tc>
      </w:tr>
    </w:tbl>
    <w:p>
      <w:pPr>
        <w:spacing w:after="0" w:line="319"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2399"/>
        <w:gridCol w:w="2388"/>
        <w:gridCol w:w="2392"/>
        <w:gridCol w:w="2392"/>
      </w:tblGrid>
      <w:tr>
        <w:trPr>
          <w:trHeight w:val="10035" w:hRule="exact"/>
        </w:trPr>
        <w:tc>
          <w:tcPr>
            <w:tcW w:w="239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过《关于会计估计变更的议 </w:t>
            </w:r>
            <w:r>
              <w:rPr>
                <w:rFonts w:ascii="宋体" w:hAnsi="宋体" w:cs="宋体" w:eastAsia="宋体" w:hint="default"/>
                <w:spacing w:val="-13"/>
                <w:sz w:val="18"/>
                <w:szCs w:val="18"/>
              </w:rPr>
              <w:t>案》。将本公司应收款项当中的</w:t>
            </w:r>
            <w:r>
              <w:rPr>
                <w:rFonts w:ascii="宋体" w:hAnsi="宋体" w:cs="宋体" w:eastAsia="宋体" w:hint="default"/>
                <w:sz w:val="18"/>
                <w:szCs w:val="18"/>
              </w:rPr>
              <w:t> 账龄为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年的应收款项的坏 账准备的计提比例由</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变更 为</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、将账龄组合中</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年以</w:t>
            </w:r>
            <w:r>
              <w:rPr>
                <w:rFonts w:ascii="宋体" w:hAnsi="宋体" w:cs="宋体" w:eastAsia="宋体" w:hint="default"/>
                <w:spacing w:val="1"/>
                <w:sz w:val="18"/>
                <w:szCs w:val="18"/>
              </w:rPr>
              <w:t> </w:t>
            </w:r>
            <w:r>
              <w:rPr>
                <w:rFonts w:ascii="宋体" w:hAnsi="宋体" w:cs="宋体" w:eastAsia="宋体" w:hint="default"/>
                <w:sz w:val="18"/>
                <w:szCs w:val="18"/>
              </w:rPr>
              <w:t>上应收款项减值准备计提比例</w:t>
            </w:r>
            <w:r>
              <w:rPr>
                <w:rFonts w:ascii="宋体" w:hAnsi="宋体" w:cs="宋体" w:eastAsia="宋体" w:hint="default"/>
                <w:sz w:val="18"/>
                <w:szCs w:val="18"/>
              </w:rPr>
              <w:t> 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变更为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，并将对 本公司合并范围内关联方之间 形成的应收款项原按照组合计 提坏账准备更改为作为合并报 表范围内关联方组合，单独进 行减值测试，对于单独减值测 试不存在减值迹象的，不再按 照账龄组合计提坏账准备。会 计估计变更原因：本公司将账 龄组合中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年应收款项的坏 账准备计提比例由</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变更为 </w:t>
            </w:r>
            <w:r>
              <w:rPr>
                <w:rFonts w:ascii="Times New Roman" w:hAnsi="Times New Roman" w:cs="Times New Roman" w:eastAsia="Times New Roman" w:hint="default"/>
                <w:sz w:val="18"/>
                <w:szCs w:val="18"/>
              </w:rPr>
              <w:t>20%</w:t>
            </w:r>
            <w:r>
              <w:rPr>
                <w:rFonts w:ascii="宋体" w:hAnsi="宋体" w:cs="宋体" w:eastAsia="宋体" w:hint="default"/>
                <w:sz w:val="18"/>
                <w:szCs w:val="18"/>
              </w:rPr>
              <w:t>，主要原因是本公司购并 本公司之子公司千百辉照明工 </w:t>
            </w:r>
            <w:r>
              <w:rPr>
                <w:rFonts w:ascii="宋体" w:hAnsi="宋体" w:cs="宋体" w:eastAsia="宋体" w:hint="default"/>
                <w:spacing w:val="-6"/>
                <w:w w:val="100"/>
                <w:sz w:val="18"/>
                <w:szCs w:val="18"/>
              </w:rPr>
              <w:t>程有限公司（以下简称</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千百辉</w:t>
            </w:r>
            <w:r>
              <w:rPr>
                <w:rFonts w:ascii="宋体" w:hAnsi="宋体" w:cs="宋体" w:eastAsia="宋体" w:hint="default"/>
                <w:sz w:val="18"/>
                <w:szCs w:val="18"/>
              </w:rPr>
              <w:t> </w:t>
            </w:r>
            <w:r>
              <w:rPr>
                <w:rFonts w:ascii="宋体" w:hAnsi="宋体" w:cs="宋体" w:eastAsia="宋体" w:hint="default"/>
                <w:spacing w:val="-7"/>
                <w:w w:val="100"/>
                <w:sz w:val="18"/>
                <w:szCs w:val="18"/>
              </w:rPr>
              <w:t>公司</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），由于本公司与千百辉</w:t>
            </w:r>
            <w:r>
              <w:rPr>
                <w:rFonts w:ascii="宋体" w:hAnsi="宋体" w:cs="宋体" w:eastAsia="宋体" w:hint="default"/>
                <w:spacing w:val="-83"/>
                <w:w w:val="100"/>
                <w:sz w:val="18"/>
                <w:szCs w:val="18"/>
              </w:rPr>
              <w:t> </w:t>
            </w:r>
            <w:r>
              <w:rPr>
                <w:rFonts w:ascii="宋体" w:hAnsi="宋体" w:cs="宋体" w:eastAsia="宋体" w:hint="default"/>
                <w:spacing w:val="-83"/>
                <w:w w:val="100"/>
                <w:sz w:val="18"/>
                <w:szCs w:val="18"/>
              </w:rPr>
            </w:r>
            <w:r>
              <w:rPr>
                <w:rFonts w:ascii="宋体" w:hAnsi="宋体" w:cs="宋体" w:eastAsia="宋体" w:hint="default"/>
                <w:sz w:val="18"/>
                <w:szCs w:val="18"/>
              </w:rPr>
              <w:t>公司的客户结构不同。本公司 的应收款项主要是应收金融电 子产品款，客户主要为金融机 构；千百辉公司的应收款项主 要是应收市政工程景观灯光工 程款，主要为政府市政工程， 相关应收款项回款时间主要集 中于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年账期，因政府信用 原因，发生坏账损失的可能性 较小，原政策中的计提比例相 应偏高。</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95"/>
              <w:jc w:val="left"/>
              <w:rPr>
                <w:rFonts w:ascii="宋体" w:hAnsi="宋体" w:cs="宋体" w:eastAsia="宋体" w:hint="default"/>
                <w:sz w:val="18"/>
                <w:szCs w:val="18"/>
              </w:rPr>
            </w:pPr>
            <w:r>
              <w:rPr>
                <w:rFonts w:ascii="宋体" w:hAnsi="宋体" w:cs="宋体" w:eastAsia="宋体" w:hint="default"/>
                <w:sz w:val="18"/>
                <w:szCs w:val="18"/>
              </w:rPr>
              <w:t>过《关于会计估计变更的议 </w:t>
            </w:r>
            <w:r>
              <w:rPr>
                <w:rFonts w:ascii="宋体" w:hAnsi="宋体" w:cs="宋体" w:eastAsia="宋体" w:hint="default"/>
                <w:spacing w:val="-30"/>
                <w:sz w:val="18"/>
                <w:szCs w:val="18"/>
              </w:rPr>
              <w:t>案》。</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10"/>
        <w:ind w:right="0"/>
        <w:jc w:val="left"/>
      </w:pPr>
      <w:r>
        <w:rPr/>
        <w:t>受影响的报表项目名称和金额：</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3040"/>
        <w:gridCol w:w="3131"/>
        <w:gridCol w:w="3470"/>
      </w:tblGrid>
      <w:tr>
        <w:trPr>
          <w:trHeight w:val="347" w:hRule="exact"/>
        </w:trPr>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报表项目</w:t>
            </w:r>
          </w:p>
        </w:tc>
        <w:tc>
          <w:tcPr>
            <w:tcW w:w="3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3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347" w:hRule="exact"/>
        </w:trPr>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7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-1,690,178.23</w:t>
            </w:r>
          </w:p>
        </w:tc>
        <w:tc>
          <w:tcPr>
            <w:tcW w:w="3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-4,082,847.07</w:t>
            </w:r>
          </w:p>
        </w:tc>
      </w:tr>
      <w:tr>
        <w:trPr>
          <w:trHeight w:val="347" w:hRule="exact"/>
        </w:trPr>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7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-236,847.47</w:t>
            </w:r>
          </w:p>
        </w:tc>
        <w:tc>
          <w:tcPr>
            <w:tcW w:w="3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-7,858,092.40</w:t>
            </w:r>
          </w:p>
        </w:tc>
      </w:tr>
      <w:tr>
        <w:trPr>
          <w:trHeight w:val="348" w:hRule="exact"/>
        </w:trPr>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7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-89,273.32</w:t>
            </w:r>
          </w:p>
        </w:tc>
        <w:tc>
          <w:tcPr>
            <w:tcW w:w="3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-1,791,140.92</w:t>
            </w:r>
          </w:p>
        </w:tc>
      </w:tr>
      <w:tr>
        <w:trPr>
          <w:trHeight w:val="347" w:hRule="exact"/>
        </w:trPr>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7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-1,927,025.70</w:t>
            </w:r>
          </w:p>
        </w:tc>
        <w:tc>
          <w:tcPr>
            <w:tcW w:w="3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-11,940,939.46</w:t>
            </w:r>
          </w:p>
        </w:tc>
      </w:tr>
      <w:tr>
        <w:trPr>
          <w:trHeight w:val="347" w:hRule="exact"/>
        </w:trPr>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75"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3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-89,273.32</w:t>
            </w:r>
          </w:p>
        </w:tc>
        <w:tc>
          <w:tcPr>
            <w:tcW w:w="3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-1,791,140.92</w:t>
            </w:r>
          </w:p>
        </w:tc>
      </w:tr>
      <w:tr>
        <w:trPr>
          <w:trHeight w:val="348" w:hRule="exact"/>
        </w:trPr>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7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2,016,299.02</w:t>
            </w:r>
          </w:p>
        </w:tc>
        <w:tc>
          <w:tcPr>
            <w:tcW w:w="3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13,732,080.38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34、其他" w:id="221"/>
      <w:bookmarkEnd w:id="221"/>
      <w:r>
        <w:rPr>
          <w:b w:val="0"/>
          <w:bCs w:val="0"/>
        </w:rPr>
      </w:r>
      <w:r>
        <w:rPr>
          <w:rFonts w:ascii="Times New Roman" w:hAnsi="Times New Roman" w:cs="Times New Roman" w:eastAsia="Times New Roman" w:hint="default"/>
        </w:rPr>
        <w:t>34</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六、税项" w:id="222"/>
      <w:bookmarkEnd w:id="222"/>
      <w:r>
        <w:rPr>
          <w:b w:val="0"/>
          <w:bCs w:val="0"/>
        </w:rPr>
      </w:r>
      <w:r>
        <w:rPr/>
        <w:t>六、税项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主要税种及税率" w:id="223"/>
      <w:bookmarkEnd w:id="223"/>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销售货物及租赁业务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16%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按实际缴纳的流转税计缴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建筑安装服务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10%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维护业务、设计业务、软件服务业务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按实际缴纳的流转税计缴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3%</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按实际缴纳的流转税计缴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w:t>
            </w:r>
          </w:p>
        </w:tc>
      </w:tr>
    </w:tbl>
    <w:p>
      <w:pPr>
        <w:pStyle w:val="BodyText"/>
        <w:spacing w:line="240" w:lineRule="auto" w:before="51"/>
        <w:ind w:right="0"/>
        <w:jc w:val="left"/>
      </w:pPr>
      <w:r>
        <w:rPr/>
        <w:t>存在不同企业所得税税率纳税主体的，披露情况说明</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深圳市奥拓软件技术有限公司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深圳市奥拓光电科技有限公司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深圳前海奥拓投资有限公司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深圳市奥拓体育文化发展有限公司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北京市奥拓电子科技有限公司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上海奥拓翰明计算机科技有限公司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深圳市奥拓电子股份有限公司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南京奥拓电子科技有限公司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惠州市奥拓电子科技有限公司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深圳市千百辉照明工程有限公司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深圳市奥拓立翔光电科技有限公司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深圳前海奥拓体育文化投资有限公司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武汉市奥拓智能科技有限公司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税收优惠" w:id="224"/>
      <w:bookmarkEnd w:id="224"/>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371" w:right="0"/>
        <w:jc w:val="left"/>
      </w:pPr>
      <w:r>
        <w:rPr/>
        <w:t>（</w:t>
      </w:r>
      <w:r>
        <w:rPr>
          <w:rFonts w:ascii="Times New Roman" w:hAnsi="Times New Roman" w:cs="Times New Roman" w:eastAsia="Times New Roman" w:hint="default"/>
        </w:rPr>
        <w:t>1</w:t>
      </w:r>
      <w:r>
        <w:rPr/>
        <w:t>）企业所得税</w:t>
      </w:r>
    </w:p>
    <w:p>
      <w:pPr>
        <w:pStyle w:val="BodyText"/>
        <w:spacing w:line="302" w:lineRule="auto" w:before="101"/>
        <w:ind w:right="1118" w:firstLine="578"/>
        <w:jc w:val="left"/>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31</w:t>
      </w:r>
      <w:r>
        <w:rPr>
          <w:spacing w:val="-2"/>
        </w:rPr>
        <w:t>日，本公司经重新认定为高新技术企业，有效期三年，企业所得税率为</w:t>
      </w:r>
      <w:r>
        <w:rPr>
          <w:rFonts w:ascii="Times New Roman" w:hAnsi="Times New Roman" w:cs="Times New Roman" w:eastAsia="Times New Roman" w:hint="default"/>
          <w:spacing w:val="-2"/>
        </w:rPr>
        <w:t>15%</w:t>
      </w:r>
      <w:r>
        <w:rPr>
          <w:spacing w:val="-2"/>
        </w:rPr>
        <w:t>，已向深圳市南山区地方税</w:t>
      </w:r>
      <w:r>
        <w:rPr/>
        <w:t> 务局备案。</w:t>
      </w:r>
    </w:p>
    <w:p>
      <w:pPr>
        <w:pStyle w:val="BodyText"/>
        <w:spacing w:line="240" w:lineRule="auto" w:before="69"/>
        <w:ind w:left="732" w:right="0"/>
        <w:jc w:val="left"/>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日，本公司之全资子公司惠州奥拓经认定为高新技术企业，有效期三年，企业所得税率</w:t>
      </w:r>
      <w:r>
        <w:rPr>
          <w:rFonts w:ascii="Times New Roman" w:hAnsi="Times New Roman" w:cs="Times New Roman" w:eastAsia="Times New Roman" w:hint="default"/>
        </w:rPr>
        <w:t>15%</w:t>
      </w:r>
      <w:r>
        <w:rPr/>
        <w:t>。</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2" w:lineRule="auto" w:before="44"/>
        <w:ind w:right="1132" w:firstLine="578"/>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27</w:t>
      </w:r>
      <w:r>
        <w:rPr>
          <w:spacing w:val="-2"/>
        </w:rPr>
        <w:t>日，本公司之全资子公司南京奥拓经重新认定为高新技术企业，有效期三年，企业所得税率</w:t>
      </w:r>
      <w:r>
        <w:rPr>
          <w:rFonts w:ascii="Times New Roman" w:hAnsi="Times New Roman" w:cs="Times New Roman" w:eastAsia="Times New Roman" w:hint="default"/>
          <w:spacing w:val="-2"/>
        </w:rPr>
        <w:t>15%</w:t>
      </w:r>
      <w:r>
        <w:rPr>
          <w:spacing w:val="-2"/>
        </w:rPr>
        <w:t>，已由</w:t>
      </w:r>
      <w:r>
        <w:rPr/>
        <w:t> 南京雨花区国税局核准备案；</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月南京奥拓经认定为科技型中小企业，有效期三年，研发费用按</w:t>
      </w:r>
      <w:r>
        <w:rPr>
          <w:rFonts w:ascii="Times New Roman" w:hAnsi="Times New Roman" w:cs="Times New Roman" w:eastAsia="Times New Roman" w:hint="default"/>
        </w:rPr>
        <w:t>75%</w:t>
      </w:r>
      <w:r>
        <w:rPr/>
        <w:t>加计扣除。</w:t>
      </w:r>
    </w:p>
    <w:p>
      <w:pPr>
        <w:pStyle w:val="BodyText"/>
        <w:spacing w:line="240" w:lineRule="auto" w:before="50"/>
        <w:ind w:left="444" w:right="0"/>
        <w:jc w:val="left"/>
      </w:pPr>
      <w:r>
        <w:rPr/>
        <w:t>本公司之全资孙公司南京奥拓软件企业所得税享受两免三减半优惠政策，已由南京雨花区国税局核准备案。</w:t>
      </w:r>
    </w:p>
    <w:p>
      <w:pPr>
        <w:pStyle w:val="BodyText"/>
        <w:spacing w:line="302" w:lineRule="auto" w:before="116"/>
        <w:ind w:right="1132" w:firstLine="578"/>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23</w:t>
      </w:r>
      <w:r>
        <w:rPr>
          <w:spacing w:val="-2"/>
        </w:rPr>
        <w:t>日，孙公司奥拓翰明经复审认定为国家高新技术企业，有效期三年，企业所得税率</w:t>
      </w:r>
      <w:r>
        <w:rPr>
          <w:rFonts w:ascii="Times New Roman" w:hAnsi="Times New Roman" w:cs="Times New Roman" w:eastAsia="Times New Roman" w:hint="default"/>
          <w:spacing w:val="-2"/>
        </w:rPr>
        <w:t>15%</w:t>
      </w:r>
      <w:r>
        <w:rPr>
          <w:spacing w:val="-2"/>
        </w:rPr>
        <w:t>，已由上海市地</w:t>
      </w:r>
      <w:r>
        <w:rPr/>
        <w:t> </w:t>
      </w:r>
      <w:r>
        <w:rPr>
          <w:spacing w:val="-1"/>
        </w:rPr>
        <w:t>方税务局长宁区分局第七税务所核准备案；</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月，奥拓翰明经认定为科技型中小企业，有效期三年，研发费用按</w:t>
      </w:r>
      <w:r>
        <w:rPr>
          <w:rFonts w:ascii="Times New Roman" w:hAnsi="Times New Roman" w:cs="Times New Roman" w:eastAsia="Times New Roman" w:hint="default"/>
          <w:spacing w:val="-1"/>
        </w:rPr>
        <w:t>75%</w:t>
      </w:r>
      <w:r>
        <w:rPr>
          <w:rFonts w:ascii="Times New Roman" w:hAnsi="Times New Roman" w:cs="Times New Roman" w:eastAsia="Times New Roman" w:hint="default"/>
          <w:spacing w:val="-43"/>
        </w:rPr>
        <w:t> </w:t>
      </w:r>
      <w:r>
        <w:rPr/>
        <w:t>加计扣除。</w:t>
      </w:r>
    </w:p>
    <w:p>
      <w:pPr>
        <w:pStyle w:val="BodyText"/>
        <w:spacing w:line="302" w:lineRule="auto" w:before="68"/>
        <w:ind w:right="1132" w:firstLine="578"/>
        <w:jc w:val="both"/>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15</w:t>
      </w:r>
      <w:r>
        <w:rPr>
          <w:spacing w:val="-2"/>
        </w:rPr>
        <w:t>日，本公司之全资子公司千百辉经认定为国家高新技术企业，有效期三年，企业所得税率</w:t>
      </w:r>
      <w:r>
        <w:rPr>
          <w:rFonts w:ascii="Times New Roman" w:hAnsi="Times New Roman" w:cs="Times New Roman" w:eastAsia="Times New Roman" w:hint="default"/>
          <w:spacing w:val="-2"/>
        </w:rPr>
        <w:t>15%</w:t>
      </w:r>
      <w:r>
        <w:rPr>
          <w:spacing w:val="-2"/>
        </w:rPr>
        <w:t>，已向深</w:t>
      </w:r>
      <w:r>
        <w:rPr/>
        <w:t> 圳市福田区地方税务局备案。</w:t>
      </w:r>
    </w:p>
    <w:p>
      <w:pPr>
        <w:pStyle w:val="BodyText"/>
        <w:spacing w:line="240" w:lineRule="auto" w:before="69"/>
        <w:ind w:left="516" w:right="0"/>
        <w:jc w:val="left"/>
      </w:pPr>
      <w:r>
        <w:rPr/>
        <w:t>（</w:t>
      </w:r>
      <w:r>
        <w:rPr>
          <w:rFonts w:ascii="Times New Roman" w:hAnsi="Times New Roman" w:cs="Times New Roman" w:eastAsia="Times New Roman" w:hint="default"/>
        </w:rPr>
        <w:t>2</w:t>
      </w:r>
      <w:r>
        <w:rPr/>
        <w:t>）增值税</w:t>
      </w:r>
    </w:p>
    <w:p>
      <w:pPr>
        <w:pStyle w:val="BodyText"/>
        <w:spacing w:line="300" w:lineRule="auto" w:before="102"/>
        <w:ind w:right="1027" w:firstLine="578"/>
        <w:jc w:val="left"/>
      </w:pPr>
      <w:r>
        <w:rPr>
          <w:rFonts w:ascii="Times New Roman" w:hAnsi="Times New Roman" w:cs="Times New Roman" w:eastAsia="Times New Roman" w:hint="default"/>
        </w:rPr>
        <w:t>2005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日，深圳市奥拓软件技术有限公司（以下简称</w:t>
      </w:r>
      <w:r>
        <w:rPr>
          <w:rFonts w:ascii="Times New Roman" w:hAnsi="Times New Roman" w:cs="Times New Roman" w:eastAsia="Times New Roman" w:hint="default"/>
        </w:rPr>
        <w:t>“</w:t>
      </w:r>
      <w:r>
        <w:rPr/>
        <w:t>奥拓软件</w:t>
      </w:r>
      <w:r>
        <w:rPr>
          <w:rFonts w:ascii="Times New Roman" w:hAnsi="Times New Roman" w:cs="Times New Roman" w:eastAsia="Times New Roman" w:hint="default"/>
        </w:rPr>
        <w:t>”</w:t>
      </w:r>
      <w:r>
        <w:rPr/>
        <w:t>）经深圳市科技和信息局认定为软件企业。 根据国发</w:t>
      </w:r>
      <w:r>
        <w:rPr>
          <w:rFonts w:ascii="Times New Roman" w:hAnsi="Times New Roman" w:cs="Times New Roman" w:eastAsia="Times New Roman" w:hint="default"/>
        </w:rPr>
        <w:t>[2011]4</w:t>
      </w:r>
      <w:r>
        <w:rPr/>
        <w:t>号《国务院关于印发进一步鼓励软件产业和集成电路产业发展若干政策的通知》及财税</w:t>
      </w:r>
      <w:r>
        <w:rPr>
          <w:rFonts w:ascii="Times New Roman" w:hAnsi="Times New Roman" w:cs="Times New Roman" w:eastAsia="Times New Roman" w:hint="default"/>
        </w:rPr>
        <w:t>[2011]100</w:t>
      </w:r>
      <w:r>
        <w:rPr/>
        <w:t>号文件， </w:t>
      </w:r>
      <w:r>
        <w:rPr>
          <w:spacing w:val="-1"/>
        </w:rPr>
        <w:t>奥拓软件销售其自行开发生产的软件产品，对增值税实际税负超过</w:t>
      </w:r>
      <w:r>
        <w:rPr>
          <w:rFonts w:ascii="Times New Roman" w:hAnsi="Times New Roman" w:cs="Times New Roman" w:eastAsia="Times New Roman" w:hint="default"/>
          <w:spacing w:val="-1"/>
        </w:rPr>
        <w:t>3%</w:t>
      </w:r>
      <w:r>
        <w:rPr>
          <w:spacing w:val="-1"/>
        </w:rPr>
        <w:t>的部分继续享受软件行业增值税即征即退的优惠政策。</w:t>
      </w:r>
    </w:p>
    <w:p>
      <w:pPr>
        <w:pStyle w:val="BodyText"/>
        <w:spacing w:line="300" w:lineRule="auto" w:before="51"/>
        <w:ind w:right="1131" w:firstLine="578"/>
        <w:jc w:val="both"/>
      </w:pP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18</w:t>
      </w:r>
      <w:r>
        <w:rPr>
          <w:spacing w:val="-1"/>
        </w:rPr>
        <w:t>日，南京奥拓软件技术有限公司（以下简称</w:t>
      </w:r>
      <w:r>
        <w:rPr>
          <w:rFonts w:ascii="Times New Roman" w:hAnsi="Times New Roman" w:cs="Times New Roman" w:eastAsia="Times New Roman" w:hint="default"/>
          <w:spacing w:val="-1"/>
        </w:rPr>
        <w:t>“</w:t>
      </w:r>
      <w:r>
        <w:rPr>
          <w:spacing w:val="-1"/>
        </w:rPr>
        <w:t>南京软件</w:t>
      </w:r>
      <w:r>
        <w:rPr>
          <w:rFonts w:ascii="Times New Roman" w:hAnsi="Times New Roman" w:cs="Times New Roman" w:eastAsia="Times New Roman" w:hint="default"/>
          <w:spacing w:val="-1"/>
        </w:rPr>
        <w:t>”</w:t>
      </w:r>
      <w:r>
        <w:rPr>
          <w:spacing w:val="-1"/>
        </w:rPr>
        <w:t>）经江苏省软件行业协会认定为软件企业。根据</w:t>
      </w:r>
      <w:r>
        <w:rPr/>
        <w:t> 国发</w:t>
      </w:r>
      <w:r>
        <w:rPr>
          <w:rFonts w:ascii="Times New Roman" w:hAnsi="Times New Roman" w:cs="Times New Roman" w:eastAsia="Times New Roman" w:hint="default"/>
        </w:rPr>
        <w:t>[2011]4</w:t>
      </w:r>
      <w:r>
        <w:rPr/>
        <w:t>号《国务院关于印发进一步鼓励软件产业和集成电路产业发展若干政策的通知》及财税</w:t>
      </w:r>
      <w:r>
        <w:rPr>
          <w:rFonts w:ascii="Times New Roman" w:hAnsi="Times New Roman" w:cs="Times New Roman" w:eastAsia="Times New Roman" w:hint="default"/>
        </w:rPr>
        <w:t>[2011]100</w:t>
      </w:r>
      <w:r>
        <w:rPr/>
        <w:t>号文件，南京 软件销售其自行开发生产的软件产品，对增值税实际税负超过</w:t>
      </w:r>
      <w:r>
        <w:rPr>
          <w:rFonts w:ascii="Times New Roman" w:hAnsi="Times New Roman" w:cs="Times New Roman" w:eastAsia="Times New Roman" w:hint="default"/>
        </w:rPr>
        <w:t>3%</w:t>
      </w:r>
      <w:r>
        <w:rPr/>
        <w:t>的部分享受软件行业增值税即征即退的优惠政策。</w:t>
      </w:r>
    </w:p>
    <w:p>
      <w:pPr>
        <w:spacing w:line="240" w:lineRule="auto" w:before="12"/>
        <w:rPr>
          <w:rFonts w:ascii="宋体" w:hAnsi="宋体" w:cs="宋体" w:eastAsia="宋体" w:hint="default"/>
          <w:sz w:val="21"/>
          <w:szCs w:val="21"/>
        </w:rPr>
      </w:pPr>
    </w:p>
    <w:p>
      <w:pPr>
        <w:pStyle w:val="Heading4"/>
        <w:spacing w:line="240" w:lineRule="auto"/>
        <w:ind w:right="0"/>
        <w:jc w:val="left"/>
        <w:rPr>
          <w:b w:val="0"/>
          <w:bCs w:val="0"/>
        </w:rPr>
      </w:pPr>
      <w:bookmarkStart w:name="3、其他" w:id="225"/>
      <w:bookmarkEnd w:id="225"/>
      <w:r>
        <w:rPr>
          <w:b w:val="0"/>
          <w:bCs w:val="0"/>
        </w:rPr>
      </w:r>
      <w:r>
        <w:rPr>
          <w:rFonts w:ascii="Times New Roman" w:hAnsi="Times New Roman" w:cs="Times New Roman" w:eastAsia="Times New Roman" w:hint="default"/>
        </w:rPr>
        <w:t>3</w:t>
      </w:r>
      <w:r>
        <w:rPr/>
        <w:t>、其他</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七、合并财务报表项目注释" w:id="226"/>
      <w:bookmarkEnd w:id="226"/>
      <w:r>
        <w:rPr>
          <w:b w:val="0"/>
          <w:bCs w:val="0"/>
        </w:rPr>
      </w:r>
      <w:r>
        <w:rPr/>
        <w:t>七、合并财务报表项目注释</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货币资金" w:id="227"/>
      <w:bookmarkEnd w:id="227"/>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216,081.35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234,091.31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453,410,162.03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320,231,374.88</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9,874,041.47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7,689,654.52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463,500,284.85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328,155,120.71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29,614,645.27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33,840,451.01</w:t>
            </w:r>
          </w:p>
        </w:tc>
      </w:tr>
    </w:tbl>
    <w:p>
      <w:pPr>
        <w:pStyle w:val="BodyText"/>
        <w:spacing w:line="360" w:lineRule="auto" w:before="51"/>
        <w:ind w:right="1482"/>
        <w:jc w:val="left"/>
      </w:pPr>
      <w:r>
        <w:rPr/>
        <w:t>其他说明 年末其他货币资金中</w:t>
      </w:r>
      <w:r>
        <w:rPr>
          <w:rFonts w:ascii="Times New Roman" w:hAnsi="Times New Roman" w:cs="Times New Roman" w:eastAsia="Times New Roman" w:hint="default"/>
        </w:rPr>
        <w:t>4,773,829.66</w:t>
      </w:r>
      <w:r>
        <w:rPr/>
        <w:t>元为受限保证金，</w:t>
      </w:r>
      <w:r>
        <w:rPr>
          <w:rFonts w:ascii="Times New Roman" w:hAnsi="Times New Roman" w:cs="Times New Roman" w:eastAsia="Times New Roman" w:hint="default"/>
        </w:rPr>
        <w:t>5,100,211.81</w:t>
      </w:r>
      <w:r>
        <w:rPr/>
        <w:t>元为证券账户资金；期初其他货币资金均为受限资金。</w:t>
      </w:r>
    </w:p>
    <w:p>
      <w:pPr>
        <w:spacing w:line="240" w:lineRule="auto" w:before="1"/>
        <w:rPr>
          <w:rFonts w:ascii="宋体" w:hAnsi="宋体" w:cs="宋体" w:eastAsia="宋体" w:hint="default"/>
          <w:sz w:val="18"/>
          <w:szCs w:val="18"/>
        </w:rPr>
      </w:pPr>
    </w:p>
    <w:p>
      <w:pPr>
        <w:pStyle w:val="Heading4"/>
        <w:spacing w:line="240" w:lineRule="auto"/>
        <w:ind w:right="0"/>
        <w:jc w:val="left"/>
        <w:rPr>
          <w:b w:val="0"/>
          <w:bCs w:val="0"/>
        </w:rPr>
      </w:pPr>
      <w:bookmarkStart w:name="2、以公允价值计量且其变动计入当期损益的金融资产" w:id="228"/>
      <w:bookmarkEnd w:id="228"/>
      <w:r>
        <w:rPr>
          <w:b w:val="0"/>
          <w:bCs w:val="0"/>
        </w:rPr>
      </w: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60" w:lineRule="auto" w:before="51"/>
        <w:ind w:right="9852"/>
        <w:jc w:val="left"/>
      </w:pPr>
      <w:r>
        <w:rPr/>
        <w:t>其他说明： 无。</w:t>
      </w:r>
    </w:p>
    <w:p>
      <w:pPr>
        <w:spacing w:after="0" w:line="36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3、衍生金融资产" w:id="229"/>
      <w:bookmarkEnd w:id="229"/>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12,750.00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12,750.00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4、应收票据及应收账款" w:id="230"/>
      <w:bookmarkEnd w:id="230"/>
      <w:r>
        <w:rPr>
          <w:b w:val="0"/>
          <w:bCs w:val="0"/>
        </w:rPr>
      </w:r>
      <w:r>
        <w:rPr>
          <w:rFonts w:ascii="Times New Roman" w:hAnsi="Times New Roman" w:cs="Times New Roman" w:eastAsia="Times New Roman" w:hint="default"/>
        </w:rPr>
        <w:t>4</w:t>
      </w:r>
      <w:r>
        <w:rPr/>
        <w:t>、应收票据及应收账款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8,269,122.33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869,801,744.37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506,285,252.32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869,801,744.37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514,554,374.65</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1）应收票据" w:id="231"/>
      <w:bookmarkEnd w:id="231"/>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应收票据分类列示</w:t>
      </w:r>
    </w:p>
    <w:p>
      <w:pPr>
        <w:pStyle w:val="BodyText"/>
        <w:spacing w:line="240" w:lineRule="auto" w:before="102"/>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2,630,660.00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5,638,462.33</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8,269,122.33</w:t>
            </w:r>
          </w:p>
        </w:tc>
      </w:tr>
    </w:tbl>
    <w:p>
      <w:pPr>
        <w:pStyle w:val="BodyText"/>
        <w:spacing w:line="240" w:lineRule="auto" w:before="51"/>
        <w:ind w:right="0"/>
        <w:jc w:val="left"/>
      </w:pPr>
      <w:r>
        <w:rPr>
          <w:rFonts w:ascii="Times New Roman" w:hAnsi="Times New Roman" w:cs="Times New Roman" w:eastAsia="Times New Roman" w:hint="default"/>
        </w:rPr>
        <w:t>2)</w:t>
      </w:r>
      <w:r>
        <w:rPr/>
        <w:t>期末公司已质押的应收票据</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pStyle w:val="BodyText"/>
        <w:spacing w:line="240" w:lineRule="auto" w:before="51"/>
        <w:ind w:right="0"/>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9,107,793.00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9,107,793.00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rFonts w:ascii="Times New Roman" w:hAnsi="Times New Roman" w:cs="Times New Roman" w:eastAsia="Times New Roman" w:hint="default"/>
        </w:rPr>
        <w:t>4)</w:t>
      </w:r>
      <w:r>
        <w:rPr/>
        <w:t>期末公司因出票人未履约而将其转应收账款的票据</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pStyle w:val="BodyText"/>
        <w:spacing w:line="240" w:lineRule="auto" w:before="52"/>
        <w:ind w:right="0"/>
        <w:jc w:val="left"/>
      </w:pPr>
      <w:r>
        <w:rPr/>
        <w:t>其他说明</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无。</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应收账款" w:id="232"/>
      <w:bookmarkEnd w:id="232"/>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应收账款分类披露</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940,980,</w:t>
            </w:r>
          </w:p>
          <w:p>
            <w:pPr>
              <w:pStyle w:val="TableParagraph"/>
              <w:spacing w:line="240" w:lineRule="auto" w:before="105"/>
              <w:ind w:left="200" w:right="0"/>
              <w:jc w:val="center"/>
              <w:rPr>
                <w:rFonts w:ascii="Times New Roman" w:hAnsi="Times New Roman" w:cs="Times New Roman" w:eastAsia="Times New Roman" w:hint="default"/>
                <w:sz w:val="18"/>
                <w:szCs w:val="18"/>
              </w:rPr>
            </w:pPr>
            <w:r>
              <w:rPr>
                <w:rFonts w:ascii="Times New Roman"/>
                <w:sz w:val="18"/>
              </w:rPr>
              <w:t>535.35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71,178,7</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90.98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7.56%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869,801,7</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44.37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550,883</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,636.87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44,598,38</w:t>
            </w:r>
          </w:p>
          <w:p>
            <w:pPr>
              <w:pStyle w:val="TableParagraph"/>
              <w:spacing w:line="240" w:lineRule="auto" w:before="105"/>
              <w:ind w:left="465" w:right="0"/>
              <w:jc w:val="left"/>
              <w:rPr>
                <w:rFonts w:ascii="Times New Roman" w:hAnsi="Times New Roman" w:cs="Times New Roman" w:eastAsia="Times New Roman" w:hint="default"/>
                <w:sz w:val="18"/>
                <w:szCs w:val="18"/>
              </w:rPr>
            </w:pPr>
            <w:r>
              <w:rPr>
                <w:rFonts w:ascii="Times New Roman"/>
                <w:sz w:val="18"/>
              </w:rPr>
              <w:t>4.55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8.10%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506,285,25</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2.32</w:t>
            </w:r>
          </w:p>
        </w:tc>
      </w:tr>
      <w:tr>
        <w:trPr>
          <w:trHeight w:val="161"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940,980,</w:t>
            </w:r>
          </w:p>
          <w:p>
            <w:pPr>
              <w:pStyle w:val="TableParagraph"/>
              <w:spacing w:line="240" w:lineRule="auto" w:before="105"/>
              <w:ind w:left="205" w:right="0"/>
              <w:jc w:val="center"/>
              <w:rPr>
                <w:rFonts w:ascii="Times New Roman" w:hAnsi="Times New Roman" w:cs="Times New Roman" w:eastAsia="Times New Roman" w:hint="default"/>
                <w:sz w:val="18"/>
                <w:szCs w:val="18"/>
              </w:rPr>
            </w:pPr>
            <w:r>
              <w:rPr>
                <w:rFonts w:ascii="Times New Roman"/>
                <w:sz w:val="18"/>
              </w:rPr>
              <w:t>535.35</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71,178,7</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90.98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7.56%</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869,801,7</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44.37</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550,883</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,636.87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44,598,38</w:t>
            </w:r>
          </w:p>
          <w:p>
            <w:pPr>
              <w:pStyle w:val="TableParagraph"/>
              <w:spacing w:line="240" w:lineRule="auto" w:before="105"/>
              <w:ind w:left="465" w:right="0"/>
              <w:jc w:val="left"/>
              <w:rPr>
                <w:rFonts w:ascii="Times New Roman" w:hAnsi="Times New Roman" w:cs="Times New Roman" w:eastAsia="Times New Roman" w:hint="default"/>
                <w:sz w:val="18"/>
                <w:szCs w:val="18"/>
              </w:rPr>
            </w:pPr>
            <w:r>
              <w:rPr>
                <w:rFonts w:ascii="Times New Roman"/>
                <w:sz w:val="18"/>
              </w:rPr>
              <w:t>4.55</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8.10%</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506,285,25</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2.32</w:t>
            </w:r>
          </w:p>
        </w:tc>
      </w:tr>
      <w:tr>
        <w:trPr>
          <w:trHeight w:val="392"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pStyle w:val="BodyText"/>
        <w:spacing w:line="240" w:lineRule="auto" w:before="51"/>
        <w:ind w:right="-20"/>
        <w:jc w:val="left"/>
      </w:pPr>
      <w:r>
        <w:rPr/>
        <w:t>期末单项金额重大并单项计提坏账准备的应收账款：</w:t>
      </w:r>
    </w:p>
    <w:p>
      <w:pPr>
        <w:pStyle w:val="BodyText"/>
        <w:spacing w:line="338" w:lineRule="auto" w:before="117"/>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组合中，按账龄分析法计提坏账准备的应收账款：</w:t>
      </w:r>
    </w:p>
    <w:p>
      <w:pPr>
        <w:pStyle w:val="BodyText"/>
        <w:spacing w:line="240" w:lineRule="auto" w:before="42"/>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295" w:space="4535"/>
            <w:col w:w="2100"/>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75"/>
        <w:gridCol w:w="2398"/>
        <w:gridCol w:w="2392"/>
        <w:gridCol w:w="2392"/>
      </w:tblGrid>
      <w:tr>
        <w:trPr>
          <w:trHeight w:val="206" w:hRule="exact"/>
        </w:trPr>
        <w:tc>
          <w:tcPr>
            <w:tcW w:w="23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1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3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账龄</w:t>
            </w:r>
          </w:p>
        </w:tc>
        <w:tc>
          <w:tcPr>
            <w:tcW w:w="7182"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375" w:type="dxa"/>
            <w:vMerge/>
            <w:tcBorders>
              <w:left w:val="single" w:sz="4" w:space="0" w:color="000000"/>
              <w:bottom w:val="nil" w:sz="6" w:space="0" w:color="auto"/>
              <w:right w:val="single" w:sz="4" w:space="0" w:color="000000"/>
            </w:tcBorders>
            <w:shd w:val="clear" w:color="auto" w:fill="D2D2D2"/>
          </w:tcPr>
          <w:p>
            <w:pPr/>
          </w:p>
        </w:tc>
        <w:tc>
          <w:tcPr>
            <w:tcW w:w="23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0" w:hRule="exact"/>
        </w:trPr>
        <w:tc>
          <w:tcPr>
            <w:tcW w:w="2375"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8"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707,732,871.50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35,389,000.89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182,715,641.98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18,271,564.21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30,288,034.27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6,057,606.86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13,304,875.74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6,652,437.88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4,261,861.46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2,130,930.74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2,677,250.40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2,677,250.40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940,980,535.35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71,178,790.98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7.56%</w:t>
            </w:r>
          </w:p>
        </w:tc>
      </w:tr>
    </w:tbl>
    <w:p>
      <w:pPr>
        <w:pStyle w:val="BodyText"/>
        <w:spacing w:line="360" w:lineRule="auto" w:before="51"/>
        <w:ind w:right="8772"/>
        <w:jc w:val="left"/>
      </w:pPr>
      <w:r>
        <w:rPr/>
        <w:t>确定该组合依据的说明： 无。</w:t>
      </w:r>
    </w:p>
    <w:p>
      <w:pPr>
        <w:spacing w:line="240" w:lineRule="auto" w:before="0"/>
        <w:rPr>
          <w:rFonts w:ascii="宋体" w:hAnsi="宋体" w:cs="宋体" w:eastAsia="宋体" w:hint="default"/>
          <w:sz w:val="18"/>
          <w:szCs w:val="18"/>
        </w:rPr>
      </w:pPr>
    </w:p>
    <w:p>
      <w:pPr>
        <w:pStyle w:val="BodyText"/>
        <w:spacing w:line="240" w:lineRule="auto" w:before="142"/>
        <w:ind w:right="0"/>
        <w:jc w:val="left"/>
      </w:pPr>
      <w:r>
        <w:rPr/>
        <w:t>组合中，采用余额百分比法计提坏账准备的应收账款：</w:t>
      </w:r>
    </w:p>
    <w:p>
      <w:pPr>
        <w:pStyle w:val="BodyText"/>
        <w:spacing w:line="348" w:lineRule="auto" w:before="117"/>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组合中，采用其他方法计提坏账准备的应收账款： 无。</w:t>
      </w:r>
    </w:p>
    <w:p>
      <w:pPr>
        <w:spacing w:after="0" w:line="348" w:lineRule="auto"/>
        <w:jc w:val="left"/>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747" w:footer="979" w:top="1060" w:bottom="1160" w:left="980" w:right="0"/>
        </w:sectPr>
      </w:pPr>
    </w:p>
    <w:p>
      <w:pPr>
        <w:pStyle w:val="BodyText"/>
        <w:spacing w:line="240" w:lineRule="auto" w:before="44"/>
        <w:ind w:right="-14"/>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2"/>
        <w:ind w:right="-14"/>
        <w:jc w:val="left"/>
      </w:pPr>
      <w:r>
        <w:rPr/>
        <w:t>本期计提坏账准备金额</w:t>
      </w:r>
      <w:r>
        <w:rPr>
          <w:spacing w:val="-47"/>
        </w:rPr>
        <w:t> </w:t>
      </w:r>
      <w:r>
        <w:rPr>
          <w:rFonts w:ascii="Times New Roman" w:hAnsi="Times New Roman" w:cs="Times New Roman" w:eastAsia="Times New Roman" w:hint="default"/>
        </w:rPr>
        <w:t>27,277,788.47</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left="153" w:right="0"/>
        <w:jc w:val="left"/>
      </w:pPr>
      <w:r>
        <w:rPr/>
        <w:t>单位： 元</w:t>
      </w:r>
    </w:p>
    <w:p>
      <w:pPr>
        <w:spacing w:after="0" w:line="240" w:lineRule="auto"/>
        <w:jc w:val="left"/>
        <w:sectPr>
          <w:type w:val="continuous"/>
          <w:pgSz w:w="11910" w:h="16840"/>
          <w:pgMar w:top="1060" w:bottom="1160" w:left="980" w:right="0"/>
          <w:cols w:num="2" w:equalWidth="0">
            <w:col w:w="6544" w:space="2285"/>
            <w:col w:w="210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60"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52"/>
        <w:ind w:right="0"/>
        <w:jc w:val="left"/>
      </w:pPr>
      <w:r>
        <w:rPr>
          <w:rFonts w:ascii="Times New Roman" w:hAnsi="Times New Roman" w:cs="Times New Roman" w:eastAsia="Times New Roman" w:hint="default"/>
        </w:rPr>
        <w:t>3)</w:t>
      </w:r>
      <w:r>
        <w:rPr/>
        <w:t>本期实际核销的应收账款情况</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697,382.04</w:t>
            </w:r>
          </w:p>
        </w:tc>
      </w:tr>
    </w:tbl>
    <w:p>
      <w:pPr>
        <w:pStyle w:val="BodyText"/>
        <w:spacing w:line="240" w:lineRule="auto" w:before="51"/>
        <w:ind w:right="0"/>
        <w:jc w:val="left"/>
      </w:pPr>
      <w:r>
        <w:rPr/>
        <w:t>其中重要的应收账款核销情况：</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23"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pStyle w:val="BodyText"/>
        <w:spacing w:line="360" w:lineRule="auto" w:before="51"/>
        <w:ind w:right="9132"/>
        <w:jc w:val="left"/>
      </w:pPr>
      <w:r>
        <w:rPr/>
        <w:t>应收账款核销说明： 无。</w:t>
      </w:r>
    </w:p>
    <w:p>
      <w:pPr>
        <w:spacing w:line="240" w:lineRule="auto" w:before="0"/>
        <w:rPr>
          <w:rFonts w:ascii="宋体" w:hAnsi="宋体" w:cs="宋体" w:eastAsia="宋体" w:hint="default"/>
          <w:sz w:val="18"/>
          <w:szCs w:val="18"/>
        </w:rPr>
      </w:pPr>
    </w:p>
    <w:p>
      <w:pPr>
        <w:pStyle w:val="BodyText"/>
        <w:spacing w:line="338" w:lineRule="auto" w:before="142"/>
        <w:ind w:left="454" w:right="0" w:hanging="300"/>
        <w:jc w:val="left"/>
      </w:pPr>
      <w:r>
        <w:rPr>
          <w:rFonts w:ascii="Times New Roman" w:hAnsi="Times New Roman" w:cs="Times New Roman" w:eastAsia="Times New Roman" w:hint="default"/>
        </w:rPr>
        <w:t>4)</w:t>
      </w:r>
      <w:r>
        <w:rPr/>
        <w:t>按欠款方归集的期末余额前五名的应收账款情况</w:t>
      </w:r>
      <w:r>
        <w:rPr>
          <w:w w:val="99"/>
        </w:rPr>
        <w:t> </w:t>
      </w:r>
      <w:r>
        <w:rPr>
          <w:spacing w:val="-2"/>
        </w:rPr>
        <w:t>本公司本年按欠款方归集的年末余额前五名应收账款汇总金额为</w:t>
      </w:r>
      <w:r>
        <w:rPr>
          <w:rFonts w:ascii="Times New Roman" w:hAnsi="Times New Roman" w:cs="Times New Roman" w:eastAsia="Times New Roman" w:hint="default"/>
          <w:spacing w:val="-2"/>
        </w:rPr>
        <w:t>319,699,469.89</w:t>
      </w:r>
      <w:r>
        <w:rPr>
          <w:spacing w:val="-2"/>
        </w:rPr>
        <w:t>元，占应收账款年末余额合计数的比例为</w:t>
      </w:r>
    </w:p>
    <w:p>
      <w:pPr>
        <w:pStyle w:val="BodyText"/>
        <w:spacing w:line="230" w:lineRule="exact"/>
        <w:ind w:right="0"/>
        <w:jc w:val="left"/>
      </w:pPr>
      <w:r>
        <w:rPr>
          <w:rFonts w:ascii="Times New Roman" w:hAnsi="Times New Roman" w:cs="Times New Roman" w:eastAsia="Times New Roman" w:hint="default"/>
        </w:rPr>
        <w:t>33.98%</w:t>
      </w:r>
      <w:r>
        <w:rPr/>
        <w:t>，相应计提的坏账准备年末余额汇总金额为</w:t>
      </w:r>
      <w:r>
        <w:rPr>
          <w:rFonts w:ascii="Times New Roman" w:hAnsi="Times New Roman" w:cs="Times New Roman" w:eastAsia="Times New Roman" w:hint="default"/>
        </w:rPr>
        <w:t>15,984,973.49</w:t>
      </w:r>
      <w:r>
        <w:rPr/>
        <w:t>元。</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BodyText"/>
        <w:spacing w:line="340" w:lineRule="auto"/>
        <w:ind w:right="6792"/>
        <w:jc w:val="left"/>
      </w:pPr>
      <w:r>
        <w:rPr>
          <w:rFonts w:ascii="Times New Roman" w:hAnsi="Times New Roman" w:cs="Times New Roman" w:eastAsia="Times New Roman" w:hint="default"/>
        </w:rPr>
        <w:t>5)</w:t>
      </w:r>
      <w:r>
        <w:rPr/>
        <w:t>因金融资产转移而终止确认的应收账款</w:t>
      </w:r>
      <w:r>
        <w:rPr>
          <w:w w:val="99"/>
        </w:rPr>
        <w:t> </w:t>
      </w:r>
      <w:r>
        <w:rPr/>
        <w:t>本年无因金融资产转移而终止确认的应收账款。</w:t>
      </w:r>
    </w:p>
    <w:p>
      <w:pPr>
        <w:spacing w:line="240" w:lineRule="auto" w:before="0"/>
        <w:rPr>
          <w:rFonts w:ascii="宋体" w:hAnsi="宋体" w:cs="宋体" w:eastAsia="宋体" w:hint="default"/>
          <w:sz w:val="18"/>
          <w:szCs w:val="18"/>
        </w:rPr>
      </w:pPr>
    </w:p>
    <w:p>
      <w:pPr>
        <w:pStyle w:val="BodyText"/>
        <w:spacing w:line="348" w:lineRule="auto" w:before="156"/>
        <w:ind w:right="6252"/>
        <w:jc w:val="left"/>
      </w:pPr>
      <w:r>
        <w:rPr>
          <w:rFonts w:ascii="Times New Roman" w:hAnsi="Times New Roman" w:cs="Times New Roman" w:eastAsia="Times New Roman" w:hint="default"/>
        </w:rPr>
        <w:t>6)</w:t>
      </w:r>
      <w:r>
        <w:rPr/>
        <w:t>转移应收账款且继续涉入形成的资产、负债金额</w:t>
      </w:r>
      <w:r>
        <w:rPr>
          <w:w w:val="99"/>
        </w:rPr>
        <w:t> </w:t>
      </w:r>
      <w:r>
        <w:rPr/>
        <w:t>本年无转移应收账款且继续涉入形成的资产、负债金额。</w:t>
      </w:r>
      <w:r>
        <w:rPr>
          <w:w w:val="99"/>
        </w:rPr>
        <w:t> </w:t>
      </w:r>
      <w:r>
        <w:rPr/>
        <w:t>其他说明：</w:t>
      </w:r>
    </w:p>
    <w:p>
      <w:pPr>
        <w:pStyle w:val="BodyText"/>
        <w:spacing w:line="240" w:lineRule="auto" w:before="35"/>
        <w:ind w:right="0"/>
        <w:jc w:val="left"/>
      </w:pPr>
      <w:r>
        <w:rPr/>
        <w:t>无。</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5、预付款项" w:id="233"/>
      <w:bookmarkEnd w:id="233"/>
      <w:r>
        <w:rPr>
          <w:b w:val="0"/>
          <w:bCs w:val="0"/>
        </w:rPr>
      </w:r>
      <w:r>
        <w:rPr>
          <w:rFonts w:ascii="Times New Roman" w:hAnsi="Times New Roman" w:cs="Times New Roman" w:eastAsia="Times New Roman" w:hint="default"/>
        </w:rPr>
        <w:t>5</w:t>
      </w:r>
      <w:r>
        <w:rPr/>
        <w:t>、预付款项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预付款项按账龄列示" w:id="234"/>
      <w:bookmarkEnd w:id="234"/>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01"/>
        <w:gridCol w:w="1916"/>
        <w:gridCol w:w="1914"/>
        <w:gridCol w:w="1914"/>
        <w:gridCol w:w="1915"/>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账龄</w:t>
            </w:r>
          </w:p>
        </w:tc>
        <w:tc>
          <w:tcPr>
            <w:tcW w:w="3830"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17,881,511.78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93.74%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20,775,849.65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98.73%</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1,176,939.35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228,322.83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1.08%</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17,902.67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5"/>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left="848" w:right="0"/>
              <w:jc w:val="left"/>
              <w:rPr>
                <w:rFonts w:ascii="Times New Roman" w:hAnsi="Times New Roman" w:cs="Times New Roman" w:eastAsia="Times New Roman" w:hint="default"/>
                <w:sz w:val="18"/>
                <w:szCs w:val="18"/>
              </w:rPr>
            </w:pPr>
            <w:r>
              <w:rPr>
                <w:rFonts w:ascii="Times New Roman"/>
                <w:sz w:val="18"/>
              </w:rPr>
              <w:t>19,076,353.80</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21,044,172.48</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w:t>
      </w:r>
    </w:p>
    <w:p>
      <w:pPr>
        <w:spacing w:line="240" w:lineRule="auto" w:before="11"/>
        <w:rPr>
          <w:rFonts w:ascii="宋体" w:hAnsi="宋体" w:cs="宋体" w:eastAsia="宋体" w:hint="default"/>
          <w:sz w:val="25"/>
          <w:szCs w:val="25"/>
        </w:rPr>
      </w:pPr>
    </w:p>
    <w:p>
      <w:pPr>
        <w:pStyle w:val="Heading4"/>
        <w:spacing w:line="240" w:lineRule="auto"/>
        <w:ind w:right="0"/>
        <w:jc w:val="left"/>
        <w:rPr>
          <w:b w:val="0"/>
          <w:bCs w:val="0"/>
        </w:rPr>
      </w:pPr>
      <w:bookmarkStart w:name="（2）按预付对象归集的期末余额前五名的预付款情况" w:id="235"/>
      <w:bookmarkEnd w:id="235"/>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本公司按预付对象归集的年末余额前五名预付账款汇总金额为</w:t>
      </w:r>
      <w:r>
        <w:rPr>
          <w:rFonts w:ascii="Times New Roman" w:hAnsi="Times New Roman" w:cs="Times New Roman" w:eastAsia="Times New Roman" w:hint="default"/>
        </w:rPr>
        <w:t>6,736,717.75</w:t>
      </w:r>
      <w:r>
        <w:rPr/>
        <w:t>元，占预付账款年末余额合计数的比例为</w:t>
      </w:r>
      <w:r>
        <w:rPr>
          <w:rFonts w:ascii="Times New Roman" w:hAnsi="Times New Roman" w:cs="Times New Roman" w:eastAsia="Times New Roman" w:hint="default"/>
        </w:rPr>
        <w:t>35.31%</w:t>
      </w:r>
      <w:r>
        <w:rPr/>
        <w:t>。</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BodyText"/>
        <w:spacing w:line="357" w:lineRule="auto"/>
        <w:ind w:right="1392"/>
        <w:jc w:val="left"/>
      </w:pPr>
      <w:r>
        <w:rPr/>
        <w:t>注：按预付对象集中度，汇总或分别披露期末余额前五名的预付款项的期末余额及占预付款项期末余额合计数的比例。 其他说明：</w:t>
      </w:r>
    </w:p>
    <w:p>
      <w:pPr>
        <w:pStyle w:val="BodyText"/>
        <w:spacing w:line="240" w:lineRule="auto" w:before="29"/>
        <w:ind w:right="0"/>
        <w:jc w:val="left"/>
      </w:pPr>
      <w:r>
        <w:rPr/>
        <w:t>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7"/>
          <w:szCs w:val="17"/>
        </w:rPr>
      </w:pPr>
    </w:p>
    <w:p>
      <w:pPr>
        <w:pStyle w:val="Heading4"/>
        <w:spacing w:line="240" w:lineRule="auto"/>
        <w:ind w:right="0"/>
        <w:jc w:val="left"/>
        <w:rPr>
          <w:b w:val="0"/>
          <w:bCs w:val="0"/>
        </w:rPr>
      </w:pPr>
      <w:bookmarkStart w:name="6、其他应收款" w:id="236"/>
      <w:bookmarkEnd w:id="236"/>
      <w:r>
        <w:rPr>
          <w:b w:val="0"/>
          <w:bCs w:val="0"/>
        </w:rPr>
      </w:r>
      <w:r>
        <w:rPr>
          <w:rFonts w:ascii="Times New Roman" w:hAnsi="Times New Roman" w:cs="Times New Roman" w:eastAsia="Times New Roman" w:hint="default"/>
        </w:rPr>
        <w:t>6</w:t>
      </w:r>
      <w:r>
        <w:rPr/>
        <w:t>、其他应收款</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341,850.62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152,566.47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30,505,756.05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41,017,667.16</w:t>
            </w:r>
          </w:p>
        </w:tc>
      </w:tr>
      <w:tr>
        <w:trPr>
          <w:trHeight w:val="40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30,847,606.67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41,170,233.63</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1）应收利息" w:id="237"/>
      <w:bookmarkEnd w:id="237"/>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应收利息分类</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3"/>
        <w:gridCol w:w="3189"/>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341,850.62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152,566.47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341,850.62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152,566.47</w:t>
            </w:r>
          </w:p>
        </w:tc>
      </w:tr>
    </w:tbl>
    <w:p>
      <w:pPr>
        <w:pStyle w:val="BodyText"/>
        <w:spacing w:line="240" w:lineRule="auto" w:before="51"/>
        <w:ind w:right="0"/>
        <w:jc w:val="left"/>
      </w:pPr>
      <w:r>
        <w:rPr>
          <w:rFonts w:ascii="Times New Roman" w:hAnsi="Times New Roman" w:cs="Times New Roman" w:eastAsia="Times New Roman" w:hint="default"/>
        </w:rPr>
        <w:t>2)</w:t>
      </w:r>
      <w:r>
        <w:rPr/>
        <w:t>重要逾期利息</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03"/>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71" w:right="39"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pStyle w:val="BodyText"/>
        <w:spacing w:line="360" w:lineRule="auto" w:before="51"/>
        <w:ind w:right="9852"/>
        <w:jc w:val="left"/>
      </w:pPr>
      <w:r>
        <w:rPr/>
        <w:t>其他说明： 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42"/>
        <w:ind w:right="0"/>
        <w:jc w:val="left"/>
        <w:rPr>
          <w:b w:val="0"/>
          <w:bCs w:val="0"/>
        </w:rPr>
      </w:pPr>
      <w:bookmarkStart w:name="（2）应收股利" w:id="238"/>
      <w:bookmarkEnd w:id="238"/>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应收股利</w:t>
      </w:r>
    </w:p>
    <w:p>
      <w:pPr>
        <w:pStyle w:val="BodyText"/>
        <w:spacing w:line="240" w:lineRule="auto" w:before="103"/>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77"/>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rFonts w:ascii="Times New Roman" w:hAnsi="Times New Roman" w:cs="Times New Roman" w:eastAsia="Times New Roman" w:hint="default"/>
        </w:rPr>
        <w:t>2)</w:t>
      </w:r>
      <w:r>
        <w:rPr/>
        <w:t>重要的账龄超过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年的应收股利</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03"/>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71" w:right="39"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pStyle w:val="BodyText"/>
        <w:spacing w:line="357" w:lineRule="auto" w:before="52"/>
        <w:ind w:right="9852"/>
        <w:jc w:val="left"/>
      </w:pPr>
      <w:r>
        <w:rPr/>
        <w:t>其他说明： 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44"/>
        <w:ind w:right="0"/>
        <w:jc w:val="left"/>
        <w:rPr>
          <w:b w:val="0"/>
          <w:bCs w:val="0"/>
        </w:rPr>
      </w:pPr>
      <w:bookmarkStart w:name="（3）其他应收款" w:id="239"/>
      <w:bookmarkEnd w:id="239"/>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其他应收款分类披露</w:t>
      </w:r>
    </w:p>
    <w:p>
      <w:pPr>
        <w:pStyle w:val="BodyText"/>
        <w:spacing w:line="240" w:lineRule="auto" w:before="102"/>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11"/>
        <w:gridCol w:w="775"/>
        <w:gridCol w:w="762"/>
        <w:gridCol w:w="762"/>
        <w:gridCol w:w="762"/>
        <w:gridCol w:w="790"/>
        <w:gridCol w:w="654"/>
        <w:gridCol w:w="762"/>
        <w:gridCol w:w="813"/>
        <w:gridCol w:w="932"/>
        <w:gridCol w:w="932"/>
      </w:tblGrid>
      <w:tr>
        <w:trPr>
          <w:trHeight w:val="403" w:hRule="exact"/>
        </w:trPr>
        <w:tc>
          <w:tcPr>
            <w:tcW w:w="1611" w:type="dxa"/>
            <w:vMerge w:val="restart"/>
            <w:tcBorders>
              <w:top w:val="single" w:sz="4" w:space="0" w:color="000000"/>
              <w:left w:val="single" w:sz="4" w:space="0" w:color="000000"/>
              <w:right w:val="single" w:sz="4" w:space="0" w:color="000000"/>
            </w:tcBorders>
            <w:shd w:val="clear" w:color="auto" w:fill="D2D2D2"/>
          </w:tcPr>
          <w:p>
            <w:pPr/>
          </w:p>
        </w:tc>
        <w:tc>
          <w:tcPr>
            <w:tcW w:w="385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1" w:hRule="exact"/>
        </w:trPr>
        <w:tc>
          <w:tcPr>
            <w:tcW w:w="1611" w:type="dxa"/>
            <w:vMerge/>
            <w:tcBorders>
              <w:left w:val="single" w:sz="4" w:space="0" w:color="000000"/>
              <w:bottom w:val="nil" w:sz="6" w:space="0" w:color="auto"/>
              <w:right w:val="single" w:sz="4" w:space="0" w:color="000000"/>
            </w:tcBorders>
            <w:shd w:val="clear" w:color="auto" w:fill="D2D2D2"/>
          </w:tcPr>
          <w:p>
            <w:pPr/>
          </w:p>
        </w:tc>
        <w:tc>
          <w:tcPr>
            <w:tcW w:w="153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11" w:type="dxa"/>
            <w:vMerge/>
            <w:tcBorders>
              <w:left w:val="single" w:sz="4" w:space="0" w:color="000000"/>
              <w:bottom w:val="single" w:sz="4" w:space="0" w:color="FFFFFF"/>
              <w:right w:val="single" w:sz="4" w:space="0" w:color="000000"/>
            </w:tcBorders>
            <w:shd w:val="clear" w:color="auto" w:fill="D2D2D2"/>
          </w:tcPr>
          <w:p>
            <w:pPr/>
          </w:p>
        </w:tc>
        <w:tc>
          <w:tcPr>
            <w:tcW w:w="775"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11" w:type="dxa"/>
            <w:vMerge w:val="restart"/>
            <w:tcBorders>
              <w:top w:val="single" w:sz="4" w:space="0" w:color="FFFFFF"/>
              <w:left w:val="single" w:sz="4" w:space="0" w:color="000000"/>
              <w:right w:val="single" w:sz="4" w:space="0" w:color="000000"/>
            </w:tcBorders>
            <w:shd w:val="clear" w:color="auto" w:fill="D2D2D2"/>
          </w:tcPr>
          <w:p>
            <w:pPr/>
          </w:p>
        </w:tc>
        <w:tc>
          <w:tcPr>
            <w:tcW w:w="775"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11" w:type="dxa"/>
            <w:vMerge/>
            <w:tcBorders>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1"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9" w:right="0"/>
              <w:jc w:val="left"/>
              <w:rPr>
                <w:rFonts w:ascii="Times New Roman" w:hAnsi="Times New Roman" w:cs="Times New Roman" w:eastAsia="Times New Roman" w:hint="default"/>
                <w:sz w:val="18"/>
                <w:szCs w:val="18"/>
              </w:rPr>
            </w:pPr>
            <w:r>
              <w:rPr>
                <w:rFonts w:ascii="Times New Roman"/>
                <w:sz w:val="18"/>
              </w:rPr>
              <w:t>33,916,3</w:t>
            </w:r>
          </w:p>
          <w:p>
            <w:pPr>
              <w:pStyle w:val="TableParagraph"/>
              <w:spacing w:line="240" w:lineRule="auto" w:before="105"/>
              <w:ind w:left="325" w:right="0"/>
              <w:jc w:val="left"/>
              <w:rPr>
                <w:rFonts w:ascii="Times New Roman" w:hAnsi="Times New Roman" w:cs="Times New Roman" w:eastAsia="Times New Roman" w:hint="default"/>
                <w:sz w:val="18"/>
                <w:szCs w:val="18"/>
              </w:rPr>
            </w:pPr>
            <w:r>
              <w:rPr>
                <w:rFonts w:ascii="Times New Roman"/>
                <w:sz w:val="18"/>
              </w:rPr>
              <w:t>58.55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99.74%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3,410,60</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2.50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53" w:right="0"/>
              <w:jc w:val="center"/>
              <w:rPr>
                <w:rFonts w:ascii="Times New Roman" w:hAnsi="Times New Roman" w:cs="Times New Roman" w:eastAsia="Times New Roman" w:hint="default"/>
                <w:sz w:val="18"/>
                <w:szCs w:val="18"/>
              </w:rPr>
            </w:pPr>
            <w:r>
              <w:rPr>
                <w:rFonts w:ascii="Times New Roman"/>
                <w:sz w:val="18"/>
              </w:rPr>
              <w:t>10.06%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30,505,75</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6.05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44,438,</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487.96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99.80%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3,420,820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7.70%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41,017,667.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16</w:t>
            </w: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4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87,990.0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0.26%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87,990.0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100.00%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42" w:right="0"/>
              <w:jc w:val="left"/>
              <w:rPr>
                <w:rFonts w:ascii="Times New Roman" w:hAnsi="Times New Roman" w:cs="Times New Roman" w:eastAsia="Times New Roman" w:hint="default"/>
                <w:sz w:val="18"/>
                <w:szCs w:val="18"/>
              </w:rPr>
            </w:pPr>
            <w:r>
              <w:rPr>
                <w:rFonts w:ascii="Times New Roman"/>
                <w:sz w:val="18"/>
              </w:rPr>
              <w:t>0.00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87,990.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0.20%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87,990.00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84" w:right="0"/>
              <w:jc w:val="left"/>
              <w:rPr>
                <w:rFonts w:ascii="Times New Roman" w:hAnsi="Times New Roman" w:cs="Times New Roman" w:eastAsia="Times New Roman" w:hint="default"/>
                <w:sz w:val="18"/>
                <w:szCs w:val="18"/>
              </w:rPr>
            </w:pPr>
            <w:r>
              <w:rPr>
                <w:rFonts w:ascii="Times New Roman"/>
                <w:sz w:val="18"/>
              </w:rPr>
              <w:t>0.00</w:t>
            </w:r>
          </w:p>
        </w:tc>
      </w:tr>
      <w:tr>
        <w:trPr>
          <w:trHeight w:val="162"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240" w:lineRule="auto" w:before="92"/>
              <w:ind w:left="105" w:right="0"/>
              <w:jc w:val="left"/>
              <w:rPr>
                <w:rFonts w:ascii="Times New Roman" w:hAnsi="Times New Roman" w:cs="Times New Roman" w:eastAsia="Times New Roman" w:hint="default"/>
                <w:sz w:val="18"/>
                <w:szCs w:val="18"/>
              </w:rPr>
            </w:pPr>
            <w:r>
              <w:rPr>
                <w:rFonts w:ascii="Times New Roman"/>
                <w:sz w:val="18"/>
              </w:rPr>
              <w:t>34,004,3</w:t>
            </w:r>
          </w:p>
          <w:p>
            <w:pPr>
              <w:pStyle w:val="TableParagraph"/>
              <w:spacing w:line="240" w:lineRule="auto" w:before="105"/>
              <w:ind w:left="330" w:right="0"/>
              <w:jc w:val="left"/>
              <w:rPr>
                <w:rFonts w:ascii="Times New Roman" w:hAnsi="Times New Roman" w:cs="Times New Roman" w:eastAsia="Times New Roman" w:hint="default"/>
                <w:sz w:val="18"/>
                <w:szCs w:val="18"/>
              </w:rPr>
            </w:pPr>
            <w:r>
              <w:rPr>
                <w:rFonts w:ascii="Times New Roman"/>
                <w:sz w:val="18"/>
              </w:rPr>
              <w:t>48.55</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2"/>
              <w:ind w:left="98" w:right="0"/>
              <w:jc w:val="left"/>
              <w:rPr>
                <w:rFonts w:ascii="Times New Roman" w:hAnsi="Times New Roman" w:cs="Times New Roman" w:eastAsia="Times New Roman" w:hint="default"/>
                <w:sz w:val="18"/>
                <w:szCs w:val="18"/>
              </w:rPr>
            </w:pPr>
            <w:r>
              <w:rPr>
                <w:rFonts w:ascii="Times New Roman"/>
                <w:sz w:val="18"/>
              </w:rPr>
              <w:t>3,498,59</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2.50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10.29%</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2"/>
              <w:ind w:left="37" w:right="0"/>
              <w:jc w:val="left"/>
              <w:rPr>
                <w:rFonts w:ascii="Times New Roman" w:hAnsi="Times New Roman" w:cs="Times New Roman" w:eastAsia="Times New Roman" w:hint="default"/>
                <w:sz w:val="18"/>
                <w:szCs w:val="18"/>
              </w:rPr>
            </w:pPr>
            <w:r>
              <w:rPr>
                <w:rFonts w:ascii="Times New Roman"/>
                <w:sz w:val="18"/>
              </w:rPr>
              <w:t>30,505,75</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6.05</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2"/>
              <w:ind w:left="80" w:right="0"/>
              <w:jc w:val="left"/>
              <w:rPr>
                <w:rFonts w:ascii="Times New Roman" w:hAnsi="Times New Roman" w:cs="Times New Roman" w:eastAsia="Times New Roman" w:hint="default"/>
                <w:sz w:val="18"/>
                <w:szCs w:val="18"/>
              </w:rPr>
            </w:pPr>
            <w:r>
              <w:rPr>
                <w:rFonts w:ascii="Times New Roman"/>
                <w:sz w:val="18"/>
              </w:rPr>
              <w:t>44,526,</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477.96</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3,508,810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.80</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7.88%</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41,017,667.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16</w:t>
            </w:r>
          </w:p>
        </w:tc>
      </w:tr>
      <w:tr>
        <w:trPr>
          <w:trHeight w:val="391"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2"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pStyle w:val="BodyText"/>
        <w:spacing w:line="240" w:lineRule="auto" w:before="51"/>
        <w:ind w:right="-20"/>
        <w:jc w:val="left"/>
      </w:pPr>
      <w:r>
        <w:rPr/>
        <w:t>期末单项金额重大并单项计提坏账准备的其他应收款：</w:t>
      </w:r>
    </w:p>
    <w:p>
      <w:pPr>
        <w:pStyle w:val="BodyText"/>
        <w:spacing w:line="340" w:lineRule="auto" w:before="116"/>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组合中，按账龄分析法计提坏账准备的其他应收款：</w:t>
      </w:r>
    </w:p>
    <w:p>
      <w:pPr>
        <w:pStyle w:val="BodyText"/>
        <w:spacing w:line="240" w:lineRule="auto" w:before="40"/>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475" w:space="4355"/>
            <w:col w:w="2100"/>
          </w:cols>
        </w:sectPr>
      </w:pP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74"/>
        <w:gridCol w:w="2399"/>
        <w:gridCol w:w="2392"/>
        <w:gridCol w:w="2392"/>
      </w:tblGrid>
      <w:tr>
        <w:trPr>
          <w:trHeight w:val="206" w:hRule="exact"/>
        </w:trPr>
        <w:tc>
          <w:tcPr>
            <w:tcW w:w="2374" w:type="dxa"/>
            <w:tcBorders>
              <w:top w:val="single" w:sz="4" w:space="0" w:color="000000"/>
              <w:left w:val="single" w:sz="4" w:space="0" w:color="000000"/>
              <w:bottom w:val="nil" w:sz="6" w:space="0" w:color="auto"/>
              <w:right w:val="single" w:sz="4" w:space="0" w:color="000000"/>
            </w:tcBorders>
            <w:shd w:val="clear" w:color="auto" w:fill="D2D2D2"/>
          </w:tcPr>
          <w:p>
            <w:pPr/>
          </w:p>
        </w:tc>
        <w:tc>
          <w:tcPr>
            <w:tcW w:w="718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3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账龄</w:t>
            </w:r>
          </w:p>
        </w:tc>
        <w:tc>
          <w:tcPr>
            <w:tcW w:w="7183"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374" w:type="dxa"/>
            <w:vMerge/>
            <w:tcBorders>
              <w:left w:val="single" w:sz="4" w:space="0" w:color="000000"/>
              <w:bottom w:val="nil" w:sz="6" w:space="0" w:color="auto"/>
              <w:right w:val="single" w:sz="4" w:space="0" w:color="000000"/>
            </w:tcBorders>
            <w:shd w:val="clear" w:color="auto" w:fill="D2D2D2"/>
          </w:tcPr>
          <w:p>
            <w:pPr/>
          </w:p>
        </w:tc>
        <w:tc>
          <w:tcPr>
            <w:tcW w:w="23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74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74"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9"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21,420,265.02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1,069,878.01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7,365,624.62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736,562.46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3,621,124.73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724,224.94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873,639.18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436,819.59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385,175.00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192,587.50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1"/>
        <w:gridCol w:w="2394"/>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250,530.00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250,530.00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33,916,358.55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3,410,602.50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10.06%</w:t>
            </w:r>
          </w:p>
        </w:tc>
      </w:tr>
    </w:tbl>
    <w:p>
      <w:pPr>
        <w:pStyle w:val="BodyText"/>
        <w:spacing w:line="360" w:lineRule="auto" w:before="51"/>
        <w:ind w:right="8772"/>
        <w:jc w:val="left"/>
      </w:pPr>
      <w:r>
        <w:rPr/>
        <w:t>确定该组合依据的说明： 无。</w:t>
      </w:r>
    </w:p>
    <w:p>
      <w:pPr>
        <w:spacing w:line="240" w:lineRule="auto" w:before="6"/>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747" w:footer="979" w:top="1060" w:bottom="1160" w:left="980" w:right="0"/>
        </w:sectPr>
      </w:pPr>
    </w:p>
    <w:p>
      <w:pPr>
        <w:pStyle w:val="BodyText"/>
        <w:spacing w:line="240" w:lineRule="auto" w:before="44"/>
        <w:ind w:right="-15"/>
        <w:jc w:val="left"/>
      </w:pPr>
      <w:r>
        <w:rPr/>
        <w:t>组合中，采用余额百分比法计提坏账准备的其他应收款：</w:t>
      </w:r>
    </w:p>
    <w:p>
      <w:pPr>
        <w:pStyle w:val="BodyText"/>
        <w:spacing w:line="338" w:lineRule="auto" w:before="117"/>
        <w:ind w:right="192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组合中，采用其他方法计提坏账准备的其他应收款：</w:t>
      </w:r>
    </w:p>
    <w:p>
      <w:pPr>
        <w:pStyle w:val="BodyText"/>
        <w:spacing w:line="240" w:lineRule="auto" w:before="43"/>
        <w:ind w:right="-15"/>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right="-15"/>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2"/>
        <w:ind w:right="-15"/>
        <w:jc w:val="left"/>
      </w:pPr>
      <w:r>
        <w:rPr/>
        <w:t>本期计提坏账准备金额</w:t>
      </w:r>
      <w:r>
        <w:rPr>
          <w:rFonts w:ascii="Times New Roman" w:hAnsi="Times New Roman" w:cs="Times New Roman" w:eastAsia="Times New Roman" w:hint="default"/>
        </w:rPr>
        <w:t>-10,218.30</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3"/>
        <w:ind w:left="153" w:right="0"/>
        <w:jc w:val="left"/>
      </w:pPr>
      <w:r>
        <w:rPr/>
        <w:t>单位： 元</w:t>
      </w:r>
    </w:p>
    <w:p>
      <w:pPr>
        <w:spacing w:after="0" w:line="240" w:lineRule="auto"/>
        <w:jc w:val="left"/>
        <w:sectPr>
          <w:type w:val="continuous"/>
          <w:pgSz w:w="11910" w:h="16840"/>
          <w:pgMar w:top="1060" w:bottom="1160" w:left="980" w:right="0"/>
          <w:cols w:num="2" w:equalWidth="0">
            <w:col w:w="6244" w:space="2585"/>
            <w:col w:w="210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60"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52"/>
        <w:ind w:right="0"/>
        <w:jc w:val="left"/>
      </w:pPr>
      <w:r>
        <w:rPr/>
        <w:t>无。</w:t>
      </w:r>
    </w:p>
    <w:p>
      <w:pPr>
        <w:spacing w:line="240" w:lineRule="auto" w:before="11"/>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type w:val="continuous"/>
          <w:pgSz w:w="11910" w:h="16840"/>
          <w:pgMar w:top="1060" w:bottom="1160" w:left="980" w:right="0"/>
        </w:sectPr>
      </w:pPr>
    </w:p>
    <w:p>
      <w:pPr>
        <w:pStyle w:val="Heading3"/>
        <w:spacing w:line="240" w:lineRule="auto"/>
        <w:ind w:right="-20"/>
        <w:jc w:val="left"/>
      </w:pPr>
      <w:r>
        <w:rPr>
          <w:rFonts w:ascii="Times New Roman" w:hAnsi="Times New Roman" w:cs="Times New Roman" w:eastAsia="Times New Roman" w:hint="default"/>
        </w:rPr>
        <w:t>3)</w:t>
      </w:r>
      <w:r>
        <w:rPr/>
        <w:t>本期实际核销的其他应收款情况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0"/>
        <w:rPr>
          <w:rFonts w:ascii="宋体" w:hAnsi="宋体" w:cs="宋体" w:eastAsia="宋体" w:hint="default"/>
          <w:sz w:val="14"/>
          <w:szCs w:val="14"/>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3715" w:space="511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pStyle w:val="BodyText"/>
        <w:spacing w:line="240" w:lineRule="auto" w:before="51"/>
        <w:ind w:right="0"/>
        <w:jc w:val="left"/>
      </w:pPr>
      <w:r>
        <w:rPr/>
        <w:t>其中重要的其他应收款核销情况：</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21"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pStyle w:val="BodyText"/>
        <w:spacing w:line="357" w:lineRule="auto" w:before="52"/>
        <w:ind w:right="8952"/>
        <w:jc w:val="left"/>
      </w:pPr>
      <w:r>
        <w:rPr/>
        <w:t>其他应收款核销说明： 无。</w:t>
      </w:r>
    </w:p>
    <w:p>
      <w:pPr>
        <w:spacing w:line="240" w:lineRule="auto" w:before="9"/>
        <w:rPr>
          <w:rFonts w:ascii="宋体" w:hAnsi="宋体" w:cs="宋体" w:eastAsia="宋体" w:hint="default"/>
          <w:sz w:val="25"/>
          <w:szCs w:val="25"/>
        </w:rPr>
      </w:pPr>
    </w:p>
    <w:p>
      <w:pPr>
        <w:pStyle w:val="BodyText"/>
        <w:spacing w:line="240" w:lineRule="auto" w:before="44"/>
        <w:ind w:right="0"/>
        <w:jc w:val="left"/>
      </w:pPr>
      <w:r>
        <w:rPr>
          <w:rFonts w:ascii="Times New Roman" w:hAnsi="Times New Roman" w:cs="Times New Roman" w:eastAsia="Times New Roman" w:hint="default"/>
        </w:rPr>
        <w:t>4)</w:t>
      </w:r>
      <w:r>
        <w:rPr/>
        <w:t>其他应收款按款项性质分类情况</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应收出口退税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1,497,933.22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4,919,553.37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5,187,697.67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3,086,564.82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18,170,520.32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28,792,097.49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9,148,197.34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7,728,262.28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34,004,348.55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44,526,477.96</w:t>
            </w:r>
          </w:p>
        </w:tc>
      </w:tr>
    </w:tbl>
    <w:p>
      <w:pPr>
        <w:pStyle w:val="BodyText"/>
        <w:spacing w:line="240" w:lineRule="auto" w:before="51"/>
        <w:ind w:right="0"/>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5"/>
        <w:gridCol w:w="1594"/>
        <w:gridCol w:w="1594"/>
        <w:gridCol w:w="1594"/>
        <w:gridCol w:w="1596"/>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2"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73" w:right="0"/>
              <w:jc w:val="left"/>
              <w:rPr>
                <w:rFonts w:ascii="宋体" w:hAnsi="宋体" w:cs="宋体" w:eastAsia="宋体" w:hint="default"/>
                <w:sz w:val="18"/>
                <w:szCs w:val="18"/>
              </w:rPr>
            </w:pPr>
            <w:r>
              <w:rPr>
                <w:rFonts w:ascii="宋体" w:hAnsi="宋体" w:cs="宋体" w:eastAsia="宋体" w:hint="default"/>
                <w:sz w:val="18"/>
                <w:szCs w:val="18"/>
              </w:rPr>
              <w:t>占其他应收款期末</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1"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36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71"/>
              <w:jc w:val="right"/>
              <w:rPr>
                <w:rFonts w:ascii="宋体" w:hAnsi="宋体" w:cs="宋体" w:eastAsia="宋体" w:hint="default"/>
                <w:sz w:val="18"/>
                <w:szCs w:val="18"/>
              </w:rPr>
            </w:pPr>
            <w:r>
              <w:rPr>
                <w:rFonts w:ascii="宋体" w:hAnsi="宋体" w:cs="宋体" w:eastAsia="宋体" w:hint="default"/>
                <w:sz w:val="18"/>
                <w:szCs w:val="18"/>
              </w:rPr>
              <w:t>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福建闽东建设发展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15.29%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260,000.00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广州奥迪通用照明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550,000.00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青岛市市政建设管 理处</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6.32%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107,500.00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深圳国立商事认证 中心</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押金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2,073,032.60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103,651.63</w:t>
            </w:r>
          </w:p>
        </w:tc>
      </w:tr>
      <w:tr>
        <w:trPr>
          <w:trHeight w:val="1026"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慈溪市公共资源交 易中心政府采购保 证金专户</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5.29%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180,000.00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13,973,032.60</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41.09%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1,201,151.63</w:t>
            </w:r>
          </w:p>
        </w:tc>
      </w:tr>
    </w:tbl>
    <w:p>
      <w:pPr>
        <w:pStyle w:val="BodyText"/>
        <w:spacing w:line="240" w:lineRule="auto" w:before="51"/>
        <w:ind w:right="0"/>
        <w:jc w:val="left"/>
      </w:pPr>
      <w:r>
        <w:rPr>
          <w:rFonts w:ascii="Times New Roman" w:hAnsi="Times New Roman" w:cs="Times New Roman" w:eastAsia="Times New Roman" w:hint="default"/>
        </w:rPr>
        <w:t>6)</w:t>
      </w:r>
      <w:r>
        <w:rPr/>
        <w:t>涉及政府补助的应收款项</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4"/>
        <w:gridCol w:w="1914"/>
        <w:gridCol w:w="1914"/>
        <w:gridCol w:w="1905"/>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3" w:right="39"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bl>
    <w:p>
      <w:pPr>
        <w:pStyle w:val="BodyText"/>
        <w:spacing w:line="240" w:lineRule="auto" w:before="51"/>
        <w:ind w:right="0"/>
        <w:jc w:val="left"/>
      </w:pPr>
      <w:r>
        <w:rPr/>
        <w:t>公司本年不存在涉及政府补助的应收款项。</w:t>
      </w:r>
    </w:p>
    <w:p>
      <w:pPr>
        <w:spacing w:line="240" w:lineRule="auto" w:before="0"/>
        <w:rPr>
          <w:rFonts w:ascii="宋体" w:hAnsi="宋体" w:cs="宋体" w:eastAsia="宋体" w:hint="default"/>
          <w:sz w:val="18"/>
          <w:szCs w:val="18"/>
        </w:rPr>
      </w:pPr>
    </w:p>
    <w:p>
      <w:pPr>
        <w:pStyle w:val="Heading3"/>
        <w:spacing w:line="240" w:lineRule="auto" w:before="143"/>
        <w:ind w:right="0"/>
        <w:jc w:val="left"/>
      </w:pPr>
      <w:r>
        <w:rPr>
          <w:rFonts w:ascii="Times New Roman" w:hAnsi="Times New Roman" w:cs="Times New Roman" w:eastAsia="Times New Roman" w:hint="default"/>
        </w:rPr>
        <w:t>7)</w:t>
      </w:r>
      <w:r>
        <w:rPr/>
        <w:t>因金融资产转移而终止确认的其他应收款</w:t>
      </w:r>
    </w:p>
    <w:p>
      <w:pPr>
        <w:pStyle w:val="BodyText"/>
        <w:spacing w:line="240" w:lineRule="auto" w:before="70"/>
        <w:ind w:right="0"/>
        <w:jc w:val="left"/>
      </w:pPr>
      <w:r>
        <w:rPr/>
        <w:t>公司本年不存在因金融资产转移而终止确认的其他应收款。</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348" w:lineRule="auto"/>
        <w:ind w:right="5352"/>
        <w:jc w:val="left"/>
      </w:pPr>
      <w:r>
        <w:rPr>
          <w:rFonts w:ascii="Times New Roman" w:hAnsi="Times New Roman" w:cs="Times New Roman" w:eastAsia="Times New Roman" w:hint="default"/>
        </w:rPr>
        <w:t>8)</w:t>
      </w:r>
      <w:r>
        <w:rPr/>
        <w:t>转移其他应收款且继续涉入形成的资产、负债金额</w:t>
      </w:r>
      <w:r>
        <w:rPr>
          <w:w w:val="99"/>
        </w:rPr>
        <w:t> </w:t>
      </w:r>
      <w:r>
        <w:rPr/>
        <w:t>公司本年不存在转移其他应收款且继续涉入形成的资产、负债金额。</w:t>
      </w:r>
      <w:r>
        <w:rPr>
          <w:w w:val="99"/>
        </w:rPr>
        <w:t> </w:t>
      </w:r>
      <w:r>
        <w:rPr/>
        <w:t>其他说明：</w:t>
      </w:r>
    </w:p>
    <w:p>
      <w:pPr>
        <w:pStyle w:val="BodyText"/>
        <w:spacing w:line="240" w:lineRule="auto" w:before="35"/>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7、存货" w:id="240"/>
      <w:bookmarkEnd w:id="240"/>
      <w:r>
        <w:rPr>
          <w:b w:val="0"/>
          <w:bCs w:val="0"/>
        </w:rPr>
      </w:r>
      <w:r>
        <w:rPr>
          <w:rFonts w:ascii="Times New Roman" w:hAnsi="Times New Roman" w:cs="Times New Roman" w:eastAsia="Times New Roman" w:hint="default"/>
        </w:rPr>
        <w:t>7</w:t>
      </w:r>
      <w:r>
        <w:rPr/>
        <w:t>、存货</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7512"/>
        <w:jc w:val="left"/>
      </w:pPr>
      <w:r>
        <w:rPr/>
        <w:t>公司是否需要遵守房地产行业的披露要求 否</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bookmarkStart w:name="（1）存货分类" w:id="241"/>
      <w:bookmarkEnd w:id="241"/>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201"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48,044,026.13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1,435,839.22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46,608,186.91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48,106,736.95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1,292,754.35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46,813,982.60</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60,314,811.58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565,373.62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59,749,437.96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47,049,615.78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116,230.92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46,933,384.86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57"/>
        <w:gridCol w:w="1379"/>
        <w:gridCol w:w="1367"/>
        <w:gridCol w:w="1367"/>
        <w:gridCol w:w="1368"/>
        <w:gridCol w:w="1367"/>
        <w:gridCol w:w="1367"/>
      </w:tblGrid>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50,857,127.23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2,637,492.98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48,219,634.25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46,491,914.25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6,688,294.05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39,803,620.20</w:t>
            </w:r>
          </w:p>
        </w:tc>
      </w:tr>
      <w:tr>
        <w:trPr>
          <w:trHeight w:val="1026"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2"/>
              <w:jc w:val="both"/>
              <w:rPr>
                <w:rFonts w:ascii="宋体" w:hAnsi="宋体" w:cs="宋体" w:eastAsia="宋体" w:hint="default"/>
                <w:sz w:val="18"/>
                <w:szCs w:val="18"/>
              </w:rPr>
            </w:pPr>
            <w:r>
              <w:rPr>
                <w:rFonts w:ascii="宋体" w:hAnsi="宋体" w:cs="宋体" w:eastAsia="宋体" w:hint="default"/>
                <w:sz w:val="18"/>
                <w:szCs w:val="18"/>
              </w:rPr>
              <w:t>建造合同形成的 已完工未结算资 产</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40,585,384.31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40,585,384.31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66,514,975.51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66,514,975.51</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38,933,618.80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1,002,031.39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37,931,587.41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31,949,392.02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458,096.52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31,491,295.50</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238,734,968.05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5,640,737.21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233,094,230.84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240,112,634.51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8,555,375.84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231,557,258.67</w:t>
            </w:r>
          </w:p>
        </w:tc>
      </w:tr>
    </w:tbl>
    <w:p>
      <w:pPr>
        <w:pStyle w:val="BodyText"/>
        <w:spacing w:line="340" w:lineRule="auto" w:before="51"/>
        <w:ind w:right="2473"/>
        <w:jc w:val="left"/>
      </w:pPr>
      <w:r>
        <w:rPr/>
        <w:t>公司是否需遵守《深圳证券交易所行业信息披露指引第</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上市公司从事种业、种植业务》的披露要求 否</w:t>
      </w:r>
    </w:p>
    <w:p>
      <w:pPr>
        <w:pStyle w:val="BodyText"/>
        <w:spacing w:line="340" w:lineRule="auto" w:before="40"/>
        <w:ind w:right="2751"/>
        <w:jc w:val="left"/>
      </w:pPr>
      <w:r>
        <w:rPr/>
        <w:t>公司需遵守《深圳证券交易所行业信息披露指引第</w:t>
      </w:r>
      <w:r>
        <w:rPr>
          <w:spacing w:val="-4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上市公司从事珠宝相关业务》的披露要求 否</w:t>
      </w:r>
    </w:p>
    <w:p>
      <w:pPr>
        <w:spacing w:line="240" w:lineRule="auto" w:before="12"/>
        <w:rPr>
          <w:rFonts w:ascii="宋体" w:hAnsi="宋体" w:cs="宋体" w:eastAsia="宋体" w:hint="default"/>
          <w:sz w:val="20"/>
          <w:szCs w:val="20"/>
        </w:rPr>
      </w:pPr>
    </w:p>
    <w:p>
      <w:pPr>
        <w:pStyle w:val="Heading4"/>
        <w:spacing w:line="240" w:lineRule="auto"/>
        <w:ind w:right="0"/>
        <w:jc w:val="left"/>
        <w:rPr>
          <w:b w:val="0"/>
          <w:bCs w:val="0"/>
        </w:rPr>
      </w:pPr>
      <w:bookmarkStart w:name="（2）存货跌价准备" w:id="242"/>
      <w:bookmarkEnd w:id="242"/>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2735" w:type="dxa"/>
            <w:gridSpan w:val="2"/>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right w:val="single" w:sz="4" w:space="0" w:color="000000"/>
            </w:tcBorders>
            <w:shd w:val="clear" w:color="auto" w:fill="D2D2D2"/>
          </w:tcPr>
          <w:p>
            <w:pPr/>
          </w:p>
        </w:tc>
      </w:tr>
      <w:tr>
        <w:trPr>
          <w:trHeight w:val="202"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68" w:type="dxa"/>
            <w:vMerge/>
            <w:tcBorders>
              <w:left w:val="single" w:sz="4" w:space="0" w:color="000000"/>
              <w:bottom w:val="nil" w:sz="6" w:space="0" w:color="auto"/>
              <w:right w:val="single" w:sz="4" w:space="0" w:color="000000"/>
            </w:tcBorders>
            <w:shd w:val="clear" w:color="auto" w:fill="D2D2D2"/>
          </w:tcPr>
          <w:p>
            <w:pP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9"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right w:val="single" w:sz="4" w:space="0" w:color="000000"/>
            </w:tcBorders>
            <w:shd w:val="clear" w:color="auto" w:fill="D2D2D2"/>
          </w:tcPr>
          <w:p>
            <w:pPr/>
          </w:p>
        </w:tc>
      </w:tr>
      <w:tr>
        <w:trPr>
          <w:trHeight w:val="205"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1,292,754.35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143,084.87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1,435,839.22</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116,230.92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449,142.70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565,373.62</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6,688,294.05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-1,044,737.29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3,006,063.78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2,637,492.98</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458,096.52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773,070.32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229,135.45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1,002,031.39</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8,555,375.84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320,560.60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3,235,199.23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5,640,737.21</w:t>
            </w:r>
          </w:p>
        </w:tc>
      </w:tr>
    </w:tbl>
    <w:p>
      <w:pPr>
        <w:pStyle w:val="BodyText"/>
        <w:spacing w:line="240" w:lineRule="auto" w:before="10"/>
        <w:ind w:right="0"/>
        <w:jc w:val="left"/>
      </w:pPr>
      <w:r>
        <w:rPr/>
        <w:t>存货跌价准备计提依据及本年转回或转销原因</w:t>
      </w:r>
    </w:p>
    <w:p>
      <w:pPr>
        <w:spacing w:line="240" w:lineRule="auto" w:before="6"/>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1702"/>
        <w:gridCol w:w="2694"/>
        <w:gridCol w:w="2408"/>
        <w:gridCol w:w="2694"/>
      </w:tblGrid>
      <w:tr>
        <w:trPr>
          <w:trHeight w:val="769"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56"/>
              <w:ind w:left="981" w:right="531" w:hanging="450"/>
              <w:jc w:val="left"/>
              <w:rPr>
                <w:rFonts w:ascii="宋体" w:hAnsi="宋体" w:cs="宋体" w:eastAsia="宋体" w:hint="default"/>
                <w:sz w:val="18"/>
                <w:szCs w:val="18"/>
              </w:rPr>
            </w:pPr>
            <w:r>
              <w:rPr>
                <w:rFonts w:ascii="宋体" w:hAnsi="宋体" w:cs="宋体" w:eastAsia="宋体" w:hint="default"/>
                <w:sz w:val="18"/>
                <w:szCs w:val="18"/>
              </w:rPr>
              <w:t>计提存货跌价准备的 具体依据</w:t>
            </w:r>
          </w:p>
        </w:tc>
        <w:tc>
          <w:tcPr>
            <w:tcW w:w="24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本年转回存货跌价准备的原因</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本年转销存货跌价准备的原因</w:t>
            </w:r>
          </w:p>
        </w:tc>
      </w:tr>
      <w:tr>
        <w:trPr>
          <w:trHeight w:val="34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可变现净值低于成本</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生产领用</w:t>
            </w:r>
          </w:p>
        </w:tc>
      </w:tr>
      <w:tr>
        <w:trPr>
          <w:trHeight w:val="34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可变现净值低于成本</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销售</w:t>
            </w:r>
          </w:p>
        </w:tc>
      </w:tr>
      <w:tr>
        <w:trPr>
          <w:trHeight w:val="34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可变现净值低于成本</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销售</w:t>
            </w:r>
          </w:p>
        </w:tc>
      </w:tr>
      <w:tr>
        <w:trPr>
          <w:trHeight w:val="34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可变现净值低于成本</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4"/>
        <w:spacing w:line="240" w:lineRule="auto" w:before="35"/>
        <w:ind w:right="0"/>
        <w:jc w:val="left"/>
        <w:rPr>
          <w:b w:val="0"/>
          <w:bCs w:val="0"/>
        </w:rPr>
      </w:pPr>
      <w:bookmarkStart w:name="（3）存货期末余额含有借款费用资本化金额的说明" w:id="243"/>
      <w:bookmarkEnd w:id="243"/>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4）期末建造合同形成的已完工未结算资产情况" w:id="244"/>
      <w:bookmarkEnd w:id="244"/>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累计已发生成本</w:t>
            </w:r>
          </w:p>
        </w:tc>
        <w:tc>
          <w:tcPr>
            <w:tcW w:w="47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780,747,601.54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累计已确认毛利</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234,085,551.44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已办理结算的金额</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974,247,768.67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建造合同形成的已完工未结算资产</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40,585,384.31</w:t>
            </w:r>
          </w:p>
        </w:tc>
      </w:tr>
    </w:tbl>
    <w:p>
      <w:pPr>
        <w:pStyle w:val="BodyText"/>
        <w:spacing w:line="360" w:lineRule="auto" w:before="51"/>
        <w:ind w:right="9852"/>
        <w:jc w:val="left"/>
      </w:pPr>
      <w:r>
        <w:rPr/>
        <w:t>其他说明： 无。</w:t>
      </w:r>
    </w:p>
    <w:p>
      <w:pPr>
        <w:spacing w:line="240" w:lineRule="auto" w:before="11"/>
        <w:rPr>
          <w:rFonts w:ascii="宋体" w:hAnsi="宋体" w:cs="宋体" w:eastAsia="宋体" w:hint="default"/>
          <w:sz w:val="19"/>
          <w:szCs w:val="19"/>
        </w:rPr>
      </w:pPr>
    </w:p>
    <w:p>
      <w:pPr>
        <w:pStyle w:val="Heading4"/>
        <w:spacing w:line="240" w:lineRule="auto"/>
        <w:ind w:right="0"/>
        <w:jc w:val="left"/>
        <w:rPr>
          <w:b w:val="0"/>
          <w:bCs w:val="0"/>
        </w:rPr>
      </w:pPr>
      <w:bookmarkStart w:name="8、持有待售资产" w:id="245"/>
      <w:bookmarkEnd w:id="245"/>
      <w:r>
        <w:rPr>
          <w:b w:val="0"/>
          <w:bCs w:val="0"/>
        </w:rPr>
      </w:r>
      <w:r>
        <w:rPr>
          <w:rFonts w:ascii="Times New Roman" w:hAnsi="Times New Roman" w:cs="Times New Roman" w:eastAsia="Times New Roman" w:hint="default"/>
        </w:rPr>
        <w:t>8</w:t>
      </w:r>
      <w:r>
        <w:rPr/>
        <w:t>、持有待售资产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4"/>
        <w:gridCol w:w="1914"/>
        <w:gridCol w:w="1914"/>
        <w:gridCol w:w="1905"/>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2"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2"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pStyle w:val="BodyText"/>
        <w:spacing w:line="357" w:lineRule="auto" w:before="52"/>
        <w:ind w:right="9852"/>
        <w:jc w:val="left"/>
      </w:pPr>
      <w:r>
        <w:rPr/>
        <w:t>其他说明： 无。</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bookmarkStart w:name="9、一年内到期的非流动资产" w:id="246"/>
      <w:bookmarkEnd w:id="246"/>
      <w:r>
        <w:rPr>
          <w:b w:val="0"/>
          <w:bCs w:val="0"/>
        </w:rPr>
      </w:r>
      <w:r>
        <w:rPr>
          <w:rFonts w:ascii="Times New Roman" w:hAnsi="Times New Roman" w:cs="Times New Roman" w:eastAsia="Times New Roman" w:hint="default"/>
        </w:rPr>
        <w:t>9</w:t>
      </w:r>
      <w:r>
        <w:rPr/>
        <w:t>、一年内到期的非流动资产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60" w:lineRule="auto" w:before="51"/>
        <w:ind w:right="9852"/>
        <w:jc w:val="left"/>
      </w:pPr>
      <w:r>
        <w:rPr/>
        <w:t>其他说明： 无。</w:t>
      </w:r>
    </w:p>
    <w:p>
      <w:pPr>
        <w:spacing w:line="240" w:lineRule="auto" w:before="12"/>
        <w:rPr>
          <w:rFonts w:ascii="宋体" w:hAnsi="宋体" w:cs="宋体" w:eastAsia="宋体" w:hint="default"/>
          <w:sz w:val="19"/>
          <w:szCs w:val="19"/>
        </w:rPr>
      </w:pPr>
    </w:p>
    <w:p>
      <w:pPr>
        <w:pStyle w:val="Heading4"/>
        <w:spacing w:line="240" w:lineRule="auto"/>
        <w:ind w:right="0"/>
        <w:jc w:val="left"/>
        <w:rPr>
          <w:b w:val="0"/>
          <w:bCs w:val="0"/>
        </w:rPr>
      </w:pPr>
      <w:bookmarkStart w:name="10、其他流动资产" w:id="247"/>
      <w:bookmarkEnd w:id="247"/>
      <w:r>
        <w:rPr>
          <w:b w:val="0"/>
          <w:bCs w:val="0"/>
        </w:rPr>
      </w:r>
      <w:r>
        <w:rPr>
          <w:rFonts w:ascii="Times New Roman" w:hAnsi="Times New Roman" w:cs="Times New Roman" w:eastAsia="Times New Roman" w:hint="default"/>
        </w:rPr>
        <w:t>10</w:t>
      </w:r>
      <w:r>
        <w:rPr/>
        <w:t>、其他流动资产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153,106,000.00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164,400,000.00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待抵扣增值税进项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27,226,278.00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14,858,267.53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预缴增值税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7,238,067.28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16,513,638.92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其他一年内到期的待摊费用</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3,018,724.77</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190,589,070.05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195,771,906.45</w:t>
            </w:r>
          </w:p>
        </w:tc>
      </w:tr>
    </w:tbl>
    <w:p>
      <w:pPr>
        <w:pStyle w:val="BodyText"/>
        <w:spacing w:line="357" w:lineRule="auto" w:before="51"/>
        <w:ind w:right="7332"/>
        <w:jc w:val="left"/>
      </w:pPr>
      <w:r>
        <w:rPr/>
        <w:t>其他说明： 预缴增值税系支付已发生纳税义务的税金。</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bookmarkStart w:name="11、可供出售金融资产" w:id="248"/>
      <w:bookmarkEnd w:id="248"/>
      <w:r>
        <w:rPr>
          <w:b w:val="0"/>
          <w:bCs w:val="0"/>
        </w:rPr>
      </w:r>
      <w:r>
        <w:rPr>
          <w:rFonts w:ascii="Times New Roman" w:hAnsi="Times New Roman" w:cs="Times New Roman" w:eastAsia="Times New Roman" w:hint="default"/>
        </w:rPr>
        <w:t>11</w:t>
      </w:r>
      <w:r>
        <w:rPr/>
        <w:t>、可供出售金融资产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可供出售金融资产情况" w:id="249"/>
      <w:bookmarkEnd w:id="249"/>
      <w:r>
        <w:rPr>
          <w:b w:val="0"/>
          <w:bCs w:val="0"/>
        </w:rPr>
      </w: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001"/>
        <w:gridCol w:w="1195"/>
        <w:gridCol w:w="1196"/>
        <w:gridCol w:w="1196"/>
        <w:gridCol w:w="1248"/>
        <w:gridCol w:w="1367"/>
        <w:gridCol w:w="1364"/>
      </w:tblGrid>
      <w:tr>
        <w:trPr>
          <w:trHeight w:val="402" w:hRule="exact"/>
        </w:trPr>
        <w:tc>
          <w:tcPr>
            <w:tcW w:w="20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7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001"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000"/>
        <w:gridCol w:w="1196"/>
        <w:gridCol w:w="1196"/>
        <w:gridCol w:w="1196"/>
        <w:gridCol w:w="1248"/>
        <w:gridCol w:w="1367"/>
        <w:gridCol w:w="1367"/>
      </w:tblGrid>
      <w:tr>
        <w:trPr>
          <w:trHeight w:val="402"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13,000,000.00</w:t>
            </w:r>
          </w:p>
        </w:tc>
      </w:tr>
      <w:tr>
        <w:trPr>
          <w:trHeight w:val="402"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13,000,000.00</w:t>
            </w:r>
          </w:p>
        </w:tc>
      </w:tr>
      <w:tr>
        <w:trPr>
          <w:trHeight w:val="402"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13,000,000.00</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2）期末按公允价值计量的可供出售金融资产" w:id="250"/>
      <w:bookmarkEnd w:id="250"/>
      <w:r>
        <w:rPr>
          <w:b w:val="0"/>
          <w:bCs w:val="0"/>
        </w:rPr>
      </w: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25"/>
        <w:gridCol w:w="1903"/>
        <w:gridCol w:w="1903"/>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25" w:type="dxa"/>
            <w:tcBorders>
              <w:top w:val="single" w:sz="4" w:space="0" w:color="000000"/>
              <w:left w:val="single" w:sz="4" w:space="0" w:color="000000"/>
              <w:bottom w:val="single" w:sz="4" w:space="0" w:color="000000"/>
              <w:right w:val="single" w:sz="13" w:space="0" w:color="E0FFFF"/>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0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3）期末按成本计量的可供出售金融资产" w:id="251"/>
      <w:bookmarkEnd w:id="251"/>
      <w:r>
        <w:rPr>
          <w:b w:val="0"/>
          <w:bCs w:val="0"/>
        </w:rPr>
      </w: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402" w:hRule="exact"/>
        </w:trPr>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5"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49" w:right="68"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3" w:hRule="exact"/>
        </w:trPr>
        <w:tc>
          <w:tcPr>
            <w:tcW w:w="863" w:type="dxa"/>
            <w:vMerge/>
            <w:tcBorders>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vMerge/>
            <w:tcBorders>
              <w:left w:val="single" w:sz="4" w:space="0" w:color="000000"/>
              <w:bottom w:val="single" w:sz="4" w:space="0" w:color="000000"/>
              <w:right w:val="single" w:sz="4" w:space="0" w:color="000000"/>
            </w:tcBorders>
            <w:shd w:val="clear" w:color="auto" w:fill="D2D2D2"/>
          </w:tcPr>
          <w:p>
            <w:pPr/>
          </w:p>
        </w:tc>
        <w:tc>
          <w:tcPr>
            <w:tcW w:w="870" w:type="dxa"/>
            <w:vMerge/>
            <w:tcBorders>
              <w:left w:val="single" w:sz="4" w:space="0" w:color="000000"/>
              <w:bottom w:val="single" w:sz="4" w:space="0" w:color="000000"/>
              <w:right w:val="single" w:sz="4" w:space="0" w:color="000000"/>
            </w:tcBorders>
            <w:shd w:val="clear" w:color="auto" w:fill="D2D2D2"/>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8"/>
              <w:jc w:val="both"/>
              <w:rPr>
                <w:rFonts w:ascii="宋体" w:hAnsi="宋体" w:cs="宋体" w:eastAsia="宋体" w:hint="default"/>
                <w:sz w:val="18"/>
                <w:szCs w:val="18"/>
              </w:rPr>
            </w:pPr>
            <w:r>
              <w:rPr>
                <w:rFonts w:ascii="宋体" w:hAnsi="宋体" w:cs="宋体" w:eastAsia="宋体" w:hint="default"/>
                <w:sz w:val="18"/>
                <w:szCs w:val="18"/>
              </w:rPr>
              <w:t>深圳市鹏 鼎创盈金 融信息服 务股份有 限公司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72" w:right="0"/>
              <w:jc w:val="left"/>
              <w:rPr>
                <w:rFonts w:ascii="Times New Roman" w:hAnsi="Times New Roman" w:cs="Times New Roman" w:eastAsia="Times New Roman" w:hint="default"/>
                <w:sz w:val="18"/>
                <w:szCs w:val="18"/>
              </w:rPr>
            </w:pPr>
            <w:r>
              <w:rPr>
                <w:rFonts w:ascii="Times New Roman"/>
                <w:sz w:val="18"/>
              </w:rPr>
              <w:t>1.34%</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108"/>
              <w:jc w:val="both"/>
              <w:rPr>
                <w:rFonts w:ascii="宋体" w:hAnsi="宋体" w:cs="宋体" w:eastAsia="宋体" w:hint="default"/>
                <w:sz w:val="18"/>
                <w:szCs w:val="18"/>
              </w:rPr>
            </w:pPr>
            <w:r>
              <w:rPr>
                <w:rFonts w:ascii="宋体" w:hAnsi="宋体" w:cs="宋体" w:eastAsia="宋体" w:hint="default"/>
                <w:sz w:val="18"/>
                <w:szCs w:val="18"/>
              </w:rPr>
              <w:t>深圳市热 炼控股有 限责任公 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372" w:right="0"/>
              <w:jc w:val="left"/>
              <w:rPr>
                <w:rFonts w:ascii="Times New Roman" w:hAnsi="Times New Roman" w:cs="Times New Roman" w:eastAsia="Times New Roman" w:hint="default"/>
                <w:sz w:val="18"/>
                <w:szCs w:val="18"/>
              </w:rPr>
            </w:pPr>
            <w:r>
              <w:rPr>
                <w:rFonts w:ascii="Times New Roman"/>
                <w:sz w:val="18"/>
              </w:rPr>
              <w:t>6.00%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4）报告期内可供出售金融资产减值的变动情况" w:id="252"/>
      <w:bookmarkEnd w:id="252"/>
      <w:r>
        <w:rPr>
          <w:b w:val="0"/>
          <w:bCs w:val="0"/>
        </w:rPr>
      </w: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25"/>
        <w:gridCol w:w="1903"/>
        <w:gridCol w:w="1903"/>
      </w:tblGrid>
      <w:tr>
        <w:trPr>
          <w:trHeight w:val="403"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25" w:type="dxa"/>
            <w:tcBorders>
              <w:top w:val="single" w:sz="4" w:space="0" w:color="000000"/>
              <w:left w:val="single" w:sz="4" w:space="0" w:color="000000"/>
              <w:bottom w:val="single" w:sz="4" w:space="0" w:color="000000"/>
              <w:right w:val="single" w:sz="13" w:space="0" w:color="E0FFFF"/>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0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5）可供出售权益工具期末公允价值严重下跌或非暂时性下跌但未计提减值准备的相关说" w:id="253"/>
      <w:bookmarkEnd w:id="253"/>
      <w:r>
        <w:rPr>
          <w:b w:val="0"/>
          <w:bCs w:val="0"/>
        </w:rPr>
      </w: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08" w:right="48" w:hanging="360"/>
              <w:jc w:val="left"/>
              <w:rPr>
                <w:rFonts w:ascii="宋体" w:hAnsi="宋体" w:cs="宋体" w:eastAsia="宋体" w:hint="default"/>
                <w:sz w:val="18"/>
                <w:szCs w:val="18"/>
              </w:rPr>
            </w:pPr>
            <w:r>
              <w:rPr>
                <w:rFonts w:ascii="宋体" w:hAnsi="宋体" w:cs="宋体" w:eastAsia="宋体" w:hint="default"/>
                <w:sz w:val="18"/>
                <w:szCs w:val="18"/>
              </w:rPr>
              <w:t>可供出售权益工 具项目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7" w:right="47"/>
              <w:jc w:val="left"/>
              <w:rPr>
                <w:rFonts w:ascii="宋体" w:hAnsi="宋体" w:cs="宋体" w:eastAsia="宋体" w:hint="default"/>
                <w:sz w:val="18"/>
                <w:szCs w:val="18"/>
              </w:rPr>
            </w:pPr>
            <w:r>
              <w:rPr>
                <w:rFonts w:ascii="宋体" w:hAnsi="宋体" w:cs="宋体" w:eastAsia="宋体" w:hint="default"/>
                <w:sz w:val="18"/>
                <w:szCs w:val="18"/>
              </w:rPr>
              <w:t>公允价值相对于 成本的下跌幅度</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持续下跌时间</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（个月）</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 w:right="0"/>
              <w:jc w:val="left"/>
              <w:rPr>
                <w:rFonts w:ascii="宋体" w:hAnsi="宋体" w:cs="宋体" w:eastAsia="宋体" w:hint="default"/>
                <w:sz w:val="18"/>
                <w:szCs w:val="18"/>
              </w:rPr>
            </w:pPr>
            <w:r>
              <w:rPr>
                <w:rFonts w:ascii="宋体" w:hAnsi="宋体" w:cs="宋体" w:eastAsia="宋体" w:hint="default"/>
                <w:sz w:val="18"/>
                <w:szCs w:val="18"/>
              </w:rPr>
              <w:t>已计提减值金额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z w:val="18"/>
                <w:szCs w:val="18"/>
              </w:rPr>
              <w:t>未计提减值原因</w:t>
            </w:r>
          </w:p>
        </w:tc>
      </w:tr>
    </w:tbl>
    <w:p>
      <w:pPr>
        <w:pStyle w:val="BodyText"/>
        <w:spacing w:line="360" w:lineRule="auto" w:before="51"/>
        <w:ind w:right="10032"/>
        <w:jc w:val="left"/>
      </w:pPr>
      <w:r>
        <w:rPr/>
        <w:t>其他说明 无。</w:t>
      </w:r>
    </w:p>
    <w:p>
      <w:pPr>
        <w:spacing w:after="0" w:line="36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12、持有至到期投资" w:id="254"/>
      <w:bookmarkEnd w:id="254"/>
      <w:r>
        <w:rPr>
          <w:b w:val="0"/>
          <w:bCs w:val="0"/>
        </w:rPr>
      </w:r>
      <w:r>
        <w:rPr>
          <w:rFonts w:ascii="Times New Roman" w:hAnsi="Times New Roman" w:cs="Times New Roman" w:eastAsia="Times New Roman" w:hint="default"/>
        </w:rPr>
        <w:t>12</w:t>
      </w:r>
      <w:r>
        <w:rPr/>
        <w:t>、持有至到期投资</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持有至到期投资情况" w:id="255"/>
      <w:bookmarkEnd w:id="255"/>
      <w:r>
        <w:rPr>
          <w:b w:val="0"/>
          <w:bCs w:val="0"/>
        </w:rPr>
      </w:r>
      <w:r>
        <w:rPr/>
        <w:t>（</w:t>
      </w:r>
      <w:r>
        <w:rPr>
          <w:rFonts w:ascii="Times New Roman" w:hAnsi="Times New Roman" w:cs="Times New Roman" w:eastAsia="Times New Roman" w:hint="default"/>
        </w:rPr>
        <w:t>1</w:t>
      </w:r>
      <w:r>
        <w:rPr/>
        <w:t>）持有至到期投资情况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2）期末重要的持有至到期投资" w:id="256"/>
      <w:bookmarkEnd w:id="256"/>
      <w:r>
        <w:rPr>
          <w:b w:val="0"/>
          <w:bCs w:val="0"/>
        </w:rPr>
      </w:r>
      <w:r>
        <w:rPr/>
        <w:t>（</w:t>
      </w:r>
      <w:r>
        <w:rPr>
          <w:rFonts w:ascii="Times New Roman" w:hAnsi="Times New Roman" w:cs="Times New Roman" w:eastAsia="Times New Roman" w:hint="default"/>
        </w:rPr>
        <w:t>2</w:t>
      </w:r>
      <w:r>
        <w:rPr/>
        <w:t>）期末重要的持有至到期投资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0" w:right="0"/>
              <w:jc w:val="left"/>
              <w:rPr>
                <w:rFonts w:ascii="宋体" w:hAnsi="宋体" w:cs="宋体" w:eastAsia="宋体" w:hint="default"/>
                <w:sz w:val="18"/>
                <w:szCs w:val="18"/>
              </w:rPr>
            </w:pPr>
            <w:r>
              <w:rPr>
                <w:rFonts w:ascii="宋体" w:hAnsi="宋体" w:cs="宋体" w:eastAsia="宋体" w:hint="default"/>
                <w:sz w:val="18"/>
                <w:szCs w:val="18"/>
              </w:rPr>
              <w:t>债券项目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到期日</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3）本期重分类的持有至到期投资" w:id="257"/>
      <w:bookmarkEnd w:id="257"/>
      <w:r>
        <w:rPr>
          <w:b w:val="0"/>
          <w:bCs w:val="0"/>
        </w:rPr>
      </w:r>
      <w:r>
        <w:rPr/>
        <w:t>（</w:t>
      </w:r>
      <w:r>
        <w:rPr>
          <w:rFonts w:ascii="Times New Roman" w:hAnsi="Times New Roman" w:cs="Times New Roman" w:eastAsia="Times New Roman" w:hint="default"/>
        </w:rPr>
        <w:t>3</w:t>
      </w:r>
      <w:r>
        <w:rPr/>
        <w:t>）本期重分类的持有至到期投资</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60" w:lineRule="auto"/>
        <w:ind w:right="10032"/>
        <w:jc w:val="left"/>
      </w:pPr>
      <w:r>
        <w:rPr/>
        <w:t>其他说明 无。</w:t>
      </w:r>
    </w:p>
    <w:p>
      <w:pPr>
        <w:spacing w:line="240" w:lineRule="auto" w:before="11"/>
        <w:rPr>
          <w:rFonts w:ascii="宋体" w:hAnsi="宋体" w:cs="宋体" w:eastAsia="宋体" w:hint="default"/>
          <w:sz w:val="19"/>
          <w:szCs w:val="19"/>
        </w:rPr>
      </w:pPr>
    </w:p>
    <w:p>
      <w:pPr>
        <w:pStyle w:val="Heading4"/>
        <w:spacing w:line="240" w:lineRule="auto"/>
        <w:ind w:right="0"/>
        <w:jc w:val="left"/>
        <w:rPr>
          <w:b w:val="0"/>
          <w:bCs w:val="0"/>
        </w:rPr>
      </w:pPr>
      <w:bookmarkStart w:name="13、长期应收款" w:id="258"/>
      <w:bookmarkEnd w:id="258"/>
      <w:r>
        <w:rPr>
          <w:b w:val="0"/>
          <w:bCs w:val="0"/>
        </w:rPr>
      </w:r>
      <w:r>
        <w:rPr>
          <w:rFonts w:ascii="Times New Roman" w:hAnsi="Times New Roman" w:cs="Times New Roman" w:eastAsia="Times New Roman" w:hint="default"/>
        </w:rPr>
        <w:t>13</w:t>
      </w:r>
      <w:r>
        <w:rPr/>
        <w:t>、长期应收款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长期应收款情况" w:id="259"/>
      <w:bookmarkEnd w:id="259"/>
      <w:r>
        <w:rPr>
          <w:b w:val="0"/>
          <w:bCs w:val="0"/>
        </w:rPr>
      </w:r>
      <w:r>
        <w:rPr/>
        <w:t>（</w:t>
      </w:r>
      <w:r>
        <w:rPr>
          <w:rFonts w:ascii="Times New Roman" w:hAnsi="Times New Roman" w:cs="Times New Roman" w:eastAsia="Times New Roman" w:hint="default"/>
        </w:rPr>
        <w:t>1</w:t>
      </w:r>
      <w:r>
        <w:rPr/>
        <w:t>）长期应收款情况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03"/>
        <w:gridCol w:w="1168"/>
        <w:gridCol w:w="1167"/>
        <w:gridCol w:w="1168"/>
        <w:gridCol w:w="1166"/>
        <w:gridCol w:w="1169"/>
        <w:gridCol w:w="1164"/>
        <w:gridCol w:w="1165"/>
      </w:tblGrid>
      <w:tr>
        <w:trPr>
          <w:trHeight w:val="402" w:hRule="exact"/>
        </w:trPr>
        <w:tc>
          <w:tcPr>
            <w:tcW w:w="14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2" w:hRule="exact"/>
        </w:trPr>
        <w:tc>
          <w:tcPr>
            <w:tcW w:w="1403" w:type="dxa"/>
            <w:vMerge/>
            <w:tcBorders>
              <w:left w:val="single" w:sz="4" w:space="0" w:color="000000"/>
              <w:bottom w:val="single" w:sz="4" w:space="0" w:color="000000"/>
              <w:right w:val="single" w:sz="4" w:space="0" w:color="000000"/>
            </w:tcBorders>
            <w:shd w:val="clear" w:color="auto" w:fill="D2D2D2"/>
          </w:tcPr>
          <w:p>
            <w:pP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因金融资产转移而终止确认的长期应收款" w:id="260"/>
      <w:bookmarkEnd w:id="260"/>
      <w:r>
        <w:rPr>
          <w:b w:val="0"/>
          <w:bCs w:val="0"/>
        </w:rPr>
      </w: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7"/>
          <w:szCs w:val="17"/>
        </w:rPr>
      </w:pPr>
    </w:p>
    <w:p>
      <w:pPr>
        <w:pStyle w:val="Heading4"/>
        <w:spacing w:line="240" w:lineRule="auto"/>
        <w:ind w:right="0"/>
        <w:jc w:val="left"/>
        <w:rPr>
          <w:b w:val="0"/>
          <w:bCs w:val="0"/>
        </w:rPr>
      </w:pPr>
      <w:bookmarkStart w:name="（3）转移长期应收款且继续涉入形成的资产、负债金额" w:id="261"/>
      <w:bookmarkEnd w:id="261"/>
      <w:r>
        <w:rPr>
          <w:b w:val="0"/>
          <w:bCs w:val="0"/>
        </w:rPr>
      </w: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60" w:lineRule="auto"/>
        <w:ind w:right="10032"/>
        <w:jc w:val="left"/>
      </w:pPr>
      <w:r>
        <w:rPr/>
        <w:t>其他说明 无。</w:t>
      </w:r>
    </w:p>
    <w:p>
      <w:pPr>
        <w:spacing w:after="0" w:line="36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14、长期股权投资" w:id="262"/>
      <w:bookmarkEnd w:id="262"/>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02" w:right="33"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1"/>
              <w:jc w:val="both"/>
              <w:rPr>
                <w:rFonts w:ascii="宋体" w:hAnsi="宋体" w:cs="宋体" w:eastAsia="宋体" w:hint="default"/>
                <w:sz w:val="18"/>
                <w:szCs w:val="18"/>
              </w:rPr>
            </w:pPr>
            <w:r>
              <w:rPr>
                <w:rFonts w:ascii="宋体" w:hAnsi="宋体" w:cs="宋体" w:eastAsia="宋体" w:hint="default"/>
                <w:sz w:val="18"/>
                <w:szCs w:val="18"/>
              </w:rPr>
              <w:t>内蒙古中 基智慧城 市建设有 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1,177,449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-621,005.</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3,556,443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.61</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796"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9" w:space="0" w:color="D2D2D2"/>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1,177,449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w w:val="95"/>
                <w:sz w:val="18"/>
              </w:rPr>
              <w:t>-621,005.</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39</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3,556,443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.61</w:t>
            </w:r>
          </w:p>
        </w:tc>
        <w:tc>
          <w:tcPr>
            <w:tcW w:w="798" w:type="dxa"/>
            <w:vMerge w:val="restart"/>
            <w:tcBorders>
              <w:top w:val="single" w:sz="4" w:space="0" w:color="000000"/>
              <w:left w:val="single" w:sz="4" w:space="0" w:color="000000"/>
              <w:right w:val="single" w:sz="4" w:space="0" w:color="000000"/>
            </w:tcBorders>
          </w:tcPr>
          <w:p>
            <w:pPr/>
          </w:p>
        </w:tc>
      </w:tr>
      <w:tr>
        <w:trPr>
          <w:trHeight w:val="391" w:hRule="exact"/>
        </w:trPr>
        <w:tc>
          <w:tcPr>
            <w:tcW w:w="7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vMerge/>
            <w:tcBorders>
              <w:left w:val="single" w:sz="9" w:space="0" w:color="D2D2D2"/>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161" w:hRule="exact"/>
        </w:trPr>
        <w:tc>
          <w:tcPr>
            <w:tcW w:w="796"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9" w:space="0" w:color="D2D2D2"/>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401"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62" w:hRule="exact"/>
        </w:trPr>
        <w:tc>
          <w:tcPr>
            <w:tcW w:w="796"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9" w:space="0" w:color="D2D2D2"/>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1,177,449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w w:val="95"/>
                <w:sz w:val="18"/>
              </w:rPr>
              <w:t>-621,005.</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39</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3,556,443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.61</w:t>
            </w:r>
          </w:p>
        </w:tc>
        <w:tc>
          <w:tcPr>
            <w:tcW w:w="798" w:type="dxa"/>
            <w:vMerge w:val="restart"/>
            <w:tcBorders>
              <w:top w:val="single" w:sz="4" w:space="0" w:color="000000"/>
              <w:left w:val="single" w:sz="4" w:space="0" w:color="000000"/>
              <w:right w:val="single" w:sz="4" w:space="0" w:color="000000"/>
            </w:tcBorders>
          </w:tcPr>
          <w:p>
            <w:pPr/>
          </w:p>
        </w:tc>
      </w:tr>
      <w:tr>
        <w:trPr>
          <w:trHeight w:val="391" w:hRule="exact"/>
        </w:trPr>
        <w:tc>
          <w:tcPr>
            <w:tcW w:w="7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vMerge/>
            <w:tcBorders>
              <w:left w:val="single" w:sz="9" w:space="0" w:color="D2D2D2"/>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162" w:hRule="exact"/>
        </w:trPr>
        <w:tc>
          <w:tcPr>
            <w:tcW w:w="796"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9" w:space="0" w:color="D2D2D2"/>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bl>
    <w:p>
      <w:pPr>
        <w:pStyle w:val="BodyText"/>
        <w:spacing w:line="357" w:lineRule="auto" w:before="51"/>
        <w:ind w:right="10032"/>
        <w:jc w:val="left"/>
      </w:pPr>
      <w:r>
        <w:rPr/>
        <w:t>其他说明 无。</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bookmarkStart w:name="15、投资性房地产" w:id="263"/>
      <w:bookmarkEnd w:id="263"/>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采用成本计量模式的投资性房地产" w:id="264"/>
      <w:bookmarkEnd w:id="264"/>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2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27,837,677.95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27,837,677.95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729,307.46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729,307.46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729,307.46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729,307.46</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29"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）存货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固定资产</w:t>
            </w:r>
          </w:p>
          <w:p>
            <w:pPr>
              <w:pStyle w:val="TableParagraph"/>
              <w:spacing w:line="240" w:lineRule="auto" w:before="6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54"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）企业合并增加</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28"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28"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28"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28,566,985.41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28,566,985.41</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1,309,276.05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1,309,276.05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475,543.32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475,543.32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7"/>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475,543.32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475,543.32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1,784,819.37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1,784,819.37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7"/>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26,782,166.04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26,782,166.04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26,528,401.90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26,528,401.90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采用公允价值计量模式的投资性房地产" w:id="265"/>
      <w:bookmarkEnd w:id="265"/>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bookmarkStart w:name="（3）未办妥产权证书的投资性房地产情况" w:id="266"/>
      <w:bookmarkEnd w:id="266"/>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bl>
    <w:p>
      <w:pPr>
        <w:pStyle w:val="BodyText"/>
        <w:spacing w:line="360" w:lineRule="auto" w:before="51"/>
        <w:ind w:right="10032"/>
        <w:jc w:val="left"/>
      </w:pPr>
      <w:r>
        <w:rPr/>
        <w:t>其他说明 无。</w:t>
      </w:r>
    </w:p>
    <w:p>
      <w:pPr>
        <w:spacing w:after="0" w:line="36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86"/>
        <w:ind w:right="0"/>
        <w:jc w:val="left"/>
        <w:rPr>
          <w:b w:val="0"/>
          <w:bCs w:val="0"/>
        </w:rPr>
      </w:pPr>
      <w:bookmarkStart w:name="16、固定资产" w:id="267"/>
      <w:bookmarkEnd w:id="267"/>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71"/>
        <w:gridCol w:w="3200"/>
        <w:gridCol w:w="318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161,777,040.12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164,002,912.81</w:t>
            </w:r>
          </w:p>
        </w:tc>
      </w:tr>
      <w:tr>
        <w:trPr>
          <w:trHeight w:val="403"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161,777,040.12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164,002,912.81</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1）固定资产情况" w:id="268"/>
      <w:bookmarkEnd w:id="268"/>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13" w:space="0" w:color="D2D2D2"/>
              <w:bottom w:val="single" w:sz="4" w:space="0" w:color="000000"/>
              <w:right w:val="single" w:sz="4" w:space="0" w:color="000000"/>
            </w:tcBorders>
            <w:shd w:val="clear" w:color="auto" w:fill="E0FFFF"/>
          </w:tcPr>
          <w:p>
            <w:pPr>
              <w:pStyle w:val="TableParagraph"/>
              <w:spacing w:line="240" w:lineRule="auto" w:before="51"/>
              <w:ind w:left="137"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119,257,469.45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46,340,914.40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7,617,941.32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35,927,151.66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5,017,308.40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214,160,785.23</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17,750,418.85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1,018,056.98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3,970,016.92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222,751.27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22,961,244.02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17,750,418.85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1,018,056.98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3,970,016.92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222,751.27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22,961,244.02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4,737,048.00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460,934.92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5,661,368.40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1,632,939.45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12,492,290.77</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4,737,048.00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460,934.92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5,661,368.40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1,632,939.45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12,492,290.77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119,257,469.45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59,354,285.25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8,175,063.38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34,235,800.18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3,607,120.22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224,629,738.48</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10,184,323.95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16,714,470.68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4,474,911.03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16,811,501.14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1,972,665.62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50,157,872.42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2,686,961.28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6,949,918.18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694,051.37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5,325,386.46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449,390.89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16,105,708.18</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2,686,961.28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6,949,918.18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694,051.37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5,325,386.46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449,390.89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16,105,708.18</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668,593.52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179,764.52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2,373,303.57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189,220.63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3,410,882.24</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63"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668,593.52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179,764.52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2,373,303.57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189,220.63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3,410,882.24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36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报废</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12,871,285.23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22,995,795.34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4,989,197.88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19,763,584.03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2,232,835.88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62,852,698.36</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106,386,184.22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36,358,489.91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3,185,865.50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14,472,216.15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1,374,284.34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161,777,040.12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109,073,145.50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29,626,443.72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3,143,030.29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19,115,650.52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3,044,642.78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164,002,912.81</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暂时闲置的固定资产情况" w:id="269"/>
      <w:bookmarkEnd w:id="269"/>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3）通过融资租赁租入的固定资产情况" w:id="270"/>
      <w:bookmarkEnd w:id="270"/>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4）通过经营租赁租出的固定资产" w:id="271"/>
      <w:bookmarkEnd w:id="271"/>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5）未办妥产权证书的固定资产情况" w:id="272"/>
      <w:bookmarkEnd w:id="272"/>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多用途乘用车别克牌</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SGM6531UAAA</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235,917.00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摇号未中签暂时无法办理</w:t>
            </w:r>
          </w:p>
        </w:tc>
      </w:tr>
    </w:tbl>
    <w:p>
      <w:pPr>
        <w:pStyle w:val="BodyText"/>
        <w:spacing w:line="360" w:lineRule="auto" w:before="51"/>
        <w:ind w:right="10032"/>
        <w:jc w:val="left"/>
      </w:pPr>
      <w:r>
        <w:rPr/>
        <w:t>其他说明 无。</w:t>
      </w:r>
    </w:p>
    <w:p>
      <w:pPr>
        <w:spacing w:line="240" w:lineRule="auto" w:before="11"/>
        <w:rPr>
          <w:rFonts w:ascii="宋体" w:hAnsi="宋体" w:cs="宋体" w:eastAsia="宋体" w:hint="default"/>
          <w:sz w:val="19"/>
          <w:szCs w:val="19"/>
        </w:rPr>
      </w:pPr>
    </w:p>
    <w:p>
      <w:pPr>
        <w:pStyle w:val="Heading4"/>
        <w:spacing w:line="240" w:lineRule="auto"/>
        <w:ind w:right="0"/>
        <w:jc w:val="left"/>
        <w:rPr>
          <w:b w:val="0"/>
          <w:bCs w:val="0"/>
        </w:rPr>
      </w:pPr>
      <w:bookmarkStart w:name="（6）固定资产清理" w:id="273"/>
      <w:bookmarkEnd w:id="273"/>
      <w:r>
        <w:rPr>
          <w:b w:val="0"/>
          <w:bCs w:val="0"/>
        </w:rPr>
      </w:r>
      <w:r>
        <w:rPr/>
        <w:t>（</w:t>
      </w:r>
      <w:r>
        <w:rPr>
          <w:rFonts w:ascii="Times New Roman" w:hAnsi="Times New Roman" w:cs="Times New Roman" w:eastAsia="Times New Roman" w:hint="default"/>
        </w:rPr>
        <w:t>6</w:t>
      </w:r>
      <w:r>
        <w:rPr/>
        <w:t>）固定资产清理</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7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2"/>
        <w:ind w:right="10032"/>
        <w:jc w:val="left"/>
      </w:pPr>
      <w:r>
        <w:rPr/>
        <w:t>其他说明 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44"/>
        <w:ind w:right="0"/>
        <w:jc w:val="left"/>
        <w:rPr>
          <w:b w:val="0"/>
          <w:bCs w:val="0"/>
        </w:rPr>
      </w:pPr>
      <w:bookmarkStart w:name="17、在建工程" w:id="274"/>
      <w:bookmarkEnd w:id="274"/>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895"/>
        <w:gridCol w:w="3815"/>
        <w:gridCol w:w="3858"/>
      </w:tblGrid>
      <w:tr>
        <w:trPr>
          <w:trHeight w:val="402"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1）在建工程情况" w:id="275"/>
      <w:bookmarkEnd w:id="275"/>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重要在建工程项目本期变动情况" w:id="276"/>
      <w:bookmarkEnd w:id="276"/>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338"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0" w:right="90" w:hanging="180"/>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92" w:right="91"/>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92"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92"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2" w:right="93"/>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0"/>
              <w:jc w:val="center"/>
              <w:rPr>
                <w:rFonts w:ascii="宋体" w:hAnsi="宋体" w:cs="宋体" w:eastAsia="宋体" w:hint="default"/>
                <w:sz w:val="18"/>
                <w:szCs w:val="18"/>
              </w:rPr>
            </w:pPr>
            <w:r>
              <w:rPr>
                <w:rFonts w:ascii="宋体" w:hAnsi="宋体" w:cs="宋体" w:eastAsia="宋体" w:hint="default"/>
                <w:spacing w:val="-10"/>
                <w:sz w:val="18"/>
                <w:szCs w:val="18"/>
              </w:rPr>
              <w:t>其中：本</w:t>
            </w:r>
            <w:r>
              <w:rPr>
                <w:rFonts w:ascii="宋体" w:hAnsi="宋体" w:cs="宋体" w:eastAsia="宋体" w:hint="default"/>
                <w:sz w:val="18"/>
                <w:szCs w:val="18"/>
              </w:rPr>
              <w:t> 期利息 资本化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3）本期计提在建工程减值准备情况" w:id="277"/>
      <w:bookmarkEnd w:id="277"/>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7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pStyle w:val="BodyText"/>
        <w:spacing w:line="357" w:lineRule="auto" w:before="52"/>
        <w:ind w:right="10032"/>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4）工程物资" w:id="278"/>
      <w:bookmarkEnd w:id="278"/>
      <w:r>
        <w:rPr>
          <w:b w:val="0"/>
          <w:bCs w:val="0"/>
        </w:rPr>
      </w:r>
      <w:r>
        <w:rPr/>
        <w:t>（</w:t>
      </w:r>
      <w:r>
        <w:rPr>
          <w:rFonts w:ascii="Times New Roman" w:hAnsi="Times New Roman" w:cs="Times New Roman" w:eastAsia="Times New Roman" w:hint="default"/>
        </w:rPr>
        <w:t>4</w:t>
      </w:r>
      <w:r>
        <w:rPr/>
        <w:t>）工程物资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133"/>
        <w:gridCol w:w="1328"/>
        <w:gridCol w:w="1329"/>
        <w:gridCol w:w="1196"/>
        <w:gridCol w:w="1196"/>
        <w:gridCol w:w="1196"/>
        <w:gridCol w:w="1193"/>
      </w:tblGrid>
      <w:tr>
        <w:trPr>
          <w:trHeight w:val="402" w:hRule="exact"/>
        </w:trPr>
        <w:tc>
          <w:tcPr>
            <w:tcW w:w="2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5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133" w:type="dxa"/>
            <w:vMerge/>
            <w:tcBorders>
              <w:left w:val="single" w:sz="4" w:space="0" w:color="000000"/>
              <w:bottom w:val="single" w:sz="4" w:space="0" w:color="000000"/>
              <w:right w:val="single" w:sz="4" w:space="0" w:color="000000"/>
            </w:tcBorders>
            <w:shd w:val="clear" w:color="auto" w:fill="D2D2D2"/>
          </w:tcPr>
          <w:p>
            <w:pPr/>
          </w:p>
        </w:tc>
        <w:tc>
          <w:tcPr>
            <w:tcW w:w="1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9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52"/>
        <w:ind w:right="9852"/>
        <w:jc w:val="left"/>
      </w:pPr>
      <w:r>
        <w:rPr/>
        <w:t>其他说明： 无。</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bookmarkStart w:name="18、生产性生物资产" w:id="279"/>
      <w:bookmarkEnd w:id="279"/>
      <w:r>
        <w:rPr>
          <w:b w:val="0"/>
          <w:bCs w:val="0"/>
        </w:rPr>
      </w:r>
      <w:r>
        <w:rPr>
          <w:rFonts w:ascii="Times New Roman" w:hAnsi="Times New Roman" w:cs="Times New Roman" w:eastAsia="Times New Roman" w:hint="default"/>
        </w:rPr>
        <w:t>18</w:t>
      </w:r>
      <w:r>
        <w:rPr/>
        <w:t>、生产性生物资产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采用成本计量模式的生产性生物资产" w:id="280"/>
      <w:bookmarkEnd w:id="280"/>
      <w:r>
        <w:rPr>
          <w:b w:val="0"/>
          <w:bCs w:val="0"/>
        </w:rPr>
      </w: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2）采用公允价值计量模式的生产性生物资产" w:id="281"/>
      <w:bookmarkEnd w:id="281"/>
      <w:r>
        <w:rPr>
          <w:b w:val="0"/>
          <w:bCs w:val="0"/>
        </w:rPr>
      </w: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19、油气资产" w:id="282"/>
      <w:bookmarkEnd w:id="282"/>
      <w:r>
        <w:rPr>
          <w:b w:val="0"/>
          <w:bCs w:val="0"/>
        </w:rPr>
      </w:r>
      <w:r>
        <w:rPr>
          <w:rFonts w:ascii="Times New Roman" w:hAnsi="Times New Roman" w:cs="Times New Roman" w:eastAsia="Times New Roman" w:hint="default"/>
        </w:rPr>
        <w:t>19</w:t>
      </w:r>
      <w:r>
        <w:rPr/>
        <w:t>、油气资产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20、无形资产" w:id="283"/>
      <w:bookmarkEnd w:id="283"/>
      <w:r>
        <w:rPr>
          <w:b w:val="0"/>
          <w:bCs w:val="0"/>
        </w:rPr>
      </w:r>
      <w:r>
        <w:rPr>
          <w:rFonts w:ascii="Times New Roman" w:hAnsi="Times New Roman" w:cs="Times New Roman" w:eastAsia="Times New Roman" w:hint="default"/>
        </w:rPr>
        <w:t>20</w:t>
      </w:r>
      <w:r>
        <w:rPr/>
        <w:t>、无形资产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无形资产情况" w:id="284"/>
      <w:bookmarkEnd w:id="284"/>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173"/>
        <w:gridCol w:w="1207"/>
        <w:gridCol w:w="1196"/>
        <w:gridCol w:w="1197"/>
        <w:gridCol w:w="1195"/>
        <w:gridCol w:w="1197"/>
        <w:gridCol w:w="1196"/>
        <w:gridCol w:w="1195"/>
      </w:tblGrid>
      <w:tr>
        <w:trPr>
          <w:trHeight w:val="402"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23"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3"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195" w:type="dxa"/>
            <w:tcBorders>
              <w:top w:val="single" w:sz="4" w:space="0" w:color="000000"/>
              <w:left w:val="single" w:sz="13" w:space="0" w:color="D2D2D2"/>
              <w:bottom w:val="single" w:sz="4" w:space="0" w:color="000000"/>
              <w:right w:val="single" w:sz="4" w:space="0" w:color="000000"/>
            </w:tcBorders>
            <w:shd w:val="clear" w:color="auto" w:fill="E0FFFF"/>
          </w:tcPr>
          <w:p>
            <w:pPr>
              <w:pStyle w:val="TableParagraph"/>
              <w:spacing w:line="240" w:lineRule="auto" w:before="52"/>
              <w:ind w:left="220" w:right="0"/>
              <w:jc w:val="left"/>
              <w:rPr>
                <w:rFonts w:ascii="宋体" w:hAnsi="宋体" w:cs="宋体" w:eastAsia="宋体" w:hint="default"/>
                <w:sz w:val="18"/>
                <w:szCs w:val="18"/>
              </w:rPr>
            </w:pPr>
            <w:r>
              <w:rPr>
                <w:rFonts w:ascii="宋体" w:hAnsi="宋体" w:cs="宋体" w:eastAsia="宋体" w:hint="default"/>
                <w:sz w:val="18"/>
                <w:szCs w:val="18"/>
              </w:rPr>
              <w:t>外购软件</w:t>
            </w:r>
          </w:p>
        </w:tc>
        <w:tc>
          <w:tcPr>
            <w:tcW w:w="119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商标</w:t>
            </w:r>
          </w:p>
        </w:tc>
        <w:tc>
          <w:tcPr>
            <w:tcW w:w="119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207" w:type="dxa"/>
            <w:tcBorders>
              <w:top w:val="single" w:sz="4" w:space="0" w:color="000000"/>
              <w:left w:val="single" w:sz="13" w:space="0" w:color="D2D2D2"/>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2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21,081,894.45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10,909,855.18</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3,696,939.60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4,877,014.22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131,699.80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40,697,403.25</w:t>
            </w:r>
          </w:p>
        </w:tc>
      </w:tr>
      <w:tr>
        <w:trPr>
          <w:trHeight w:val="714"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114"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 加金额</w:t>
            </w:r>
          </w:p>
        </w:tc>
        <w:tc>
          <w:tcPr>
            <w:tcW w:w="1207" w:type="dxa"/>
            <w:tcBorders>
              <w:top w:val="single" w:sz="4" w:space="0" w:color="000000"/>
              <w:left w:val="single" w:sz="13" w:space="0" w:color="D2D2D2"/>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805,364.31</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3,036,372.85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8,485.85</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3,850,223.01</w:t>
            </w:r>
          </w:p>
        </w:tc>
      </w:tr>
      <w:tr>
        <w:trPr>
          <w:trHeight w:val="714"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37"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）购</w:t>
            </w:r>
            <w:r>
              <w:rPr>
                <w:rFonts w:ascii="宋体" w:hAnsi="宋体" w:cs="宋体" w:eastAsia="宋体" w:hint="default"/>
                <w:sz w:val="18"/>
                <w:szCs w:val="18"/>
              </w:rPr>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207" w:type="dxa"/>
            <w:tcBorders>
              <w:top w:val="single" w:sz="4" w:space="0" w:color="000000"/>
              <w:left w:val="single" w:sz="13" w:space="0" w:color="D2D2D2"/>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805,364.31</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3,036,372.85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8,485.85</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3,850,223.01</w:t>
            </w:r>
          </w:p>
        </w:tc>
      </w:tr>
      <w:tr>
        <w:trPr>
          <w:trHeight w:val="714"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23" w:firstLine="526"/>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）内</w:t>
            </w:r>
            <w:r>
              <w:rPr>
                <w:rFonts w:ascii="宋体" w:hAnsi="宋体" w:cs="宋体" w:eastAsia="宋体" w:hint="default"/>
                <w:spacing w:val="-15"/>
                <w:sz w:val="18"/>
                <w:szCs w:val="18"/>
              </w:rPr>
              <w:t> </w:t>
            </w:r>
            <w:r>
              <w:rPr>
                <w:rFonts w:ascii="宋体" w:hAnsi="宋体" w:cs="宋体" w:eastAsia="宋体" w:hint="default"/>
                <w:sz w:val="18"/>
                <w:szCs w:val="18"/>
              </w:rPr>
              <w:t>部研发</w:t>
            </w:r>
          </w:p>
        </w:tc>
        <w:tc>
          <w:tcPr>
            <w:tcW w:w="1207" w:type="dxa"/>
            <w:tcBorders>
              <w:top w:val="single" w:sz="4" w:space="0" w:color="000000"/>
              <w:left w:val="single" w:sz="13" w:space="0" w:color="D2D2D2"/>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23" w:firstLine="526"/>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3</w:t>
            </w:r>
            <w:r>
              <w:rPr>
                <w:rFonts w:ascii="宋体" w:hAnsi="宋体" w:cs="宋体" w:eastAsia="宋体" w:hint="default"/>
                <w:spacing w:val="-8"/>
                <w:sz w:val="18"/>
                <w:szCs w:val="18"/>
              </w:rPr>
              <w:t>）企</w:t>
            </w:r>
            <w:r>
              <w:rPr>
                <w:rFonts w:ascii="宋体" w:hAnsi="宋体" w:cs="宋体" w:eastAsia="宋体" w:hint="default"/>
                <w:spacing w:val="-15"/>
                <w:sz w:val="18"/>
                <w:szCs w:val="18"/>
              </w:rPr>
              <w:t> </w:t>
            </w:r>
            <w:r>
              <w:rPr>
                <w:rFonts w:ascii="宋体" w:hAnsi="宋体" w:cs="宋体" w:eastAsia="宋体" w:hint="default"/>
                <w:sz w:val="18"/>
                <w:szCs w:val="18"/>
              </w:rPr>
              <w:t>业合并增加</w:t>
            </w:r>
          </w:p>
        </w:tc>
        <w:tc>
          <w:tcPr>
            <w:tcW w:w="1207" w:type="dxa"/>
            <w:tcBorders>
              <w:top w:val="single" w:sz="4" w:space="0" w:color="000000"/>
              <w:left w:val="single" w:sz="13" w:space="0" w:color="D2D2D2"/>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73" w:type="dxa"/>
            <w:tcBorders>
              <w:top w:val="single" w:sz="4" w:space="0" w:color="000000"/>
              <w:left w:val="single" w:sz="4" w:space="0" w:color="000000"/>
              <w:bottom w:val="single" w:sz="12" w:space="0" w:color="D2D2D2"/>
              <w:right w:val="single" w:sz="4" w:space="0" w:color="000000"/>
            </w:tcBorders>
            <w:shd w:val="clear" w:color="auto" w:fill="E0FFFF"/>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p>
        </w:tc>
        <w:tc>
          <w:tcPr>
            <w:tcW w:w="120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72,392.74</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102,371.49</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174,764.23</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197"/>
        <w:gridCol w:w="1195"/>
        <w:gridCol w:w="1196"/>
        <w:gridCol w:w="1197"/>
        <w:gridCol w:w="1195"/>
        <w:gridCol w:w="1197"/>
        <w:gridCol w:w="1196"/>
        <w:gridCol w:w="1195"/>
      </w:tblGrid>
      <w:tr>
        <w:trPr>
          <w:trHeight w:val="36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）处</w:t>
            </w:r>
            <w:r>
              <w:rPr>
                <w:rFonts w:ascii="宋体" w:hAnsi="宋体" w:cs="宋体" w:eastAsia="宋体"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72,392.74</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102,371.49</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174,764.23</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21,081,894.45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11,642,826.75</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6,630,940.96</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4,885,500.07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131,699.80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44,372,862.03</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2,882,791.23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2,467,461.48</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2,195,835.71</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467,482.08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54,874.98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8,068,445.48</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 加金额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421,643.26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1,104,269.92</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477,242.35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500,669.75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26,339.98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2,530,165.26</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）计</w:t>
            </w:r>
            <w:r>
              <w:rPr>
                <w:rFonts w:ascii="宋体" w:hAnsi="宋体" w:cs="宋体" w:eastAsia="宋体"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421,643.26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1,104,269.92</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477,242.35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500,669.75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26,339.98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2,530,165.26</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 少金额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66,742.74</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31,894.75</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98,637.49</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）处</w:t>
            </w:r>
            <w:r>
              <w:rPr>
                <w:rFonts w:ascii="宋体" w:hAnsi="宋体" w:cs="宋体" w:eastAsia="宋体"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66,742.74</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31,894.75</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98,637.49</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3,304,434.49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3,504,988.66</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2,641,183.31</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968,151.83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81,214.96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10,499,973.25</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 加金额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）计</w:t>
            </w:r>
            <w:r>
              <w:rPr>
                <w:rFonts w:ascii="宋体" w:hAnsi="宋体" w:cs="宋体" w:eastAsia="宋体"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 少金额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）处置</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17,777,459.96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8,137,838.09</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3,989,757.65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3,917,348.24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50,484.84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33,872,888.78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197"/>
        <w:gridCol w:w="1195"/>
        <w:gridCol w:w="1196"/>
        <w:gridCol w:w="1197"/>
        <w:gridCol w:w="1195"/>
        <w:gridCol w:w="1197"/>
        <w:gridCol w:w="1196"/>
        <w:gridCol w:w="1195"/>
      </w:tblGrid>
      <w:tr>
        <w:trPr>
          <w:trHeight w:val="36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面价值</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 面价值</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18,199,103.22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8,442,393.70</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18" w:right="0"/>
              <w:jc w:val="left"/>
              <w:rPr>
                <w:rFonts w:ascii="Times New Roman" w:hAnsi="Times New Roman" w:cs="Times New Roman" w:eastAsia="Times New Roman" w:hint="default"/>
                <w:sz w:val="18"/>
                <w:szCs w:val="18"/>
              </w:rPr>
            </w:pPr>
            <w:r>
              <w:rPr>
                <w:rFonts w:ascii="Times New Roman"/>
                <w:sz w:val="18"/>
              </w:rPr>
              <w:t>1,501,103.89</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4,409,532.14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2" w:right="0"/>
              <w:jc w:val="left"/>
              <w:rPr>
                <w:rFonts w:ascii="Times New Roman" w:hAnsi="Times New Roman" w:cs="Times New Roman" w:eastAsia="Times New Roman" w:hint="default"/>
                <w:sz w:val="18"/>
                <w:szCs w:val="18"/>
              </w:rPr>
            </w:pPr>
            <w:r>
              <w:rPr>
                <w:rFonts w:ascii="Times New Roman"/>
                <w:sz w:val="18"/>
              </w:rPr>
              <w:t>76,824.82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32,628,957.77</w:t>
            </w:r>
          </w:p>
        </w:tc>
      </w:tr>
    </w:tbl>
    <w:p>
      <w:pPr>
        <w:pStyle w:val="BodyText"/>
        <w:spacing w:line="240" w:lineRule="auto" w:before="51"/>
        <w:ind w:right="0"/>
        <w:jc w:val="left"/>
      </w:pPr>
      <w:r>
        <w:rPr/>
        <w:t>本期末通过公司内部研发形成的无形资产占无形资产余额的比例。</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2）未办妥产权证书的土地使用权情况" w:id="285"/>
      <w:bookmarkEnd w:id="285"/>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pStyle w:val="BodyText"/>
        <w:spacing w:line="357" w:lineRule="auto" w:before="51"/>
        <w:ind w:right="7332"/>
        <w:jc w:val="left"/>
      </w:pPr>
      <w:r>
        <w:rPr/>
        <w:t>其他说明： 公司无未办妥产权证书的土地使用权情况。</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1、开发支出" w:id="286"/>
      <w:bookmarkEnd w:id="286"/>
      <w:r>
        <w:rPr>
          <w:b w:val="0"/>
          <w:bCs w:val="0"/>
        </w:rPr>
      </w:r>
      <w:r>
        <w:rPr>
          <w:rFonts w:ascii="Times New Roman" w:hAnsi="Times New Roman" w:cs="Times New Roman" w:eastAsia="Times New Roman" w:hint="default"/>
        </w:rPr>
        <w:t>21</w:t>
      </w:r>
      <w:r>
        <w:rPr/>
        <w:t>、开发支出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4"/>
        <w:gridCol w:w="1063"/>
        <w:gridCol w:w="3189"/>
        <w:gridCol w:w="3190"/>
        <w:gridCol w:w="1063"/>
      </w:tblGrid>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60" w:lineRule="auto" w:before="51"/>
        <w:ind w:right="9852"/>
        <w:jc w:val="left"/>
      </w:pPr>
      <w:r>
        <w:rPr/>
        <w:t>其他说明 无。</w:t>
      </w:r>
    </w:p>
    <w:p>
      <w:pPr>
        <w:spacing w:line="240" w:lineRule="auto" w:before="11"/>
        <w:rPr>
          <w:rFonts w:ascii="宋体" w:hAnsi="宋体" w:cs="宋体" w:eastAsia="宋体" w:hint="default"/>
          <w:sz w:val="19"/>
          <w:szCs w:val="19"/>
        </w:rPr>
      </w:pPr>
    </w:p>
    <w:p>
      <w:pPr>
        <w:pStyle w:val="Heading4"/>
        <w:spacing w:line="240" w:lineRule="auto"/>
        <w:ind w:right="0"/>
        <w:jc w:val="left"/>
        <w:rPr>
          <w:b w:val="0"/>
          <w:bCs w:val="0"/>
        </w:rPr>
      </w:pPr>
      <w:bookmarkStart w:name="22、商誉" w:id="287"/>
      <w:bookmarkEnd w:id="287"/>
      <w:r>
        <w:rPr>
          <w:b w:val="0"/>
          <w:bCs w:val="0"/>
        </w:rPr>
      </w:r>
      <w:r>
        <w:rPr>
          <w:rFonts w:ascii="Times New Roman" w:hAnsi="Times New Roman" w:cs="Times New Roman" w:eastAsia="Times New Roman" w:hint="default"/>
        </w:rPr>
        <w:t>22</w:t>
      </w:r>
      <w:r>
        <w:rPr/>
        <w:t>、商誉</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商誉账面原值" w:id="288"/>
      <w:bookmarkEnd w:id="288"/>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1026"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8" w:right="36"/>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2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026"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22" w:right="61"/>
              <w:jc w:val="both"/>
              <w:rPr>
                <w:rFonts w:ascii="宋体" w:hAnsi="宋体" w:cs="宋体" w:eastAsia="宋体" w:hint="default"/>
                <w:sz w:val="18"/>
                <w:szCs w:val="18"/>
              </w:rPr>
            </w:pPr>
            <w:r>
              <w:rPr>
                <w:rFonts w:ascii="宋体" w:hAnsi="宋体" w:cs="宋体" w:eastAsia="宋体" w:hint="default"/>
                <w:sz w:val="18"/>
                <w:szCs w:val="18"/>
              </w:rPr>
              <w:t>上海奥拓翰明计 算机科技有限公 司</w:t>
            </w:r>
          </w:p>
        </w:tc>
        <w:tc>
          <w:tcPr>
            <w:tcW w:w="1378"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9,163,592.38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9,163,592.38</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深圳市千百辉照 明工程有限公司</w:t>
            </w:r>
          </w:p>
        </w:tc>
        <w:tc>
          <w:tcPr>
            <w:tcW w:w="1378"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181,366,175.43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181,366,175.43</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190,529,767.81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190,529,767.81</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商誉减值准备" w:id="289"/>
      <w:bookmarkEnd w:id="289"/>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2735"/>
        <w:gridCol w:w="2734"/>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8" w:right="47"/>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240" w:lineRule="auto" w:before="52"/>
        <w:ind w:right="0"/>
        <w:jc w:val="left"/>
      </w:pPr>
      <w:r>
        <w:rPr/>
        <w:t>商誉所在资产组或资产组组合的相关信息</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316" w:lineRule="auto"/>
        <w:ind w:right="0"/>
        <w:jc w:val="left"/>
      </w:pPr>
      <w:r>
        <w:rPr>
          <w:spacing w:val="-2"/>
        </w:rPr>
        <w:t>说明商誉减值测试过程、关键参数（如预计未来现金流量现值时的预测期增长率、稳定期增长率、利润率、折现率、预测期</w:t>
      </w:r>
      <w:r>
        <w:rPr>
          <w:spacing w:val="-68"/>
        </w:rPr>
        <w:t> </w:t>
      </w:r>
      <w:r>
        <w:rPr>
          <w:spacing w:val="-68"/>
        </w:rPr>
      </w:r>
      <w:r>
        <w:rPr/>
        <w:t>等）及商誉减值损失的确认方法：</w:t>
      </w:r>
    </w:p>
    <w:p>
      <w:pPr>
        <w:pStyle w:val="BodyText"/>
        <w:spacing w:line="319" w:lineRule="auto" w:before="58"/>
        <w:ind w:right="0" w:firstLine="360"/>
        <w:jc w:val="left"/>
      </w:pPr>
      <w:r>
        <w:rPr>
          <w:spacing w:val="-2"/>
        </w:rPr>
        <w:t>商誉的减值测试方法和减值准备计提方法：企业合并形成的商誉测试时首先对不包含商誉的子公司单独作为一个资产组</w:t>
      </w:r>
      <w:r>
        <w:rPr/>
        <w:t> 进行减值测试，计算可收回金额，并与相关账面价值相比较，确认相应的减值损失。</w:t>
      </w:r>
    </w:p>
    <w:p>
      <w:pPr>
        <w:pStyle w:val="BodyText"/>
        <w:spacing w:line="240" w:lineRule="auto" w:before="17"/>
        <w:ind w:left="514" w:right="0"/>
        <w:jc w:val="left"/>
      </w:pPr>
      <w:r>
        <w:rPr/>
        <w:t>报告期商誉减值测试无需计提减值准备。</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BodyText"/>
        <w:spacing w:line="357" w:lineRule="auto"/>
        <w:ind w:right="9132"/>
        <w:jc w:val="left"/>
      </w:pPr>
      <w:r>
        <w:rPr/>
        <w:t>商誉减值测试的影响 其他说明</w:t>
      </w:r>
    </w:p>
    <w:p>
      <w:pPr>
        <w:pStyle w:val="BodyText"/>
        <w:spacing w:line="240" w:lineRule="auto" w:before="29"/>
        <w:ind w:right="0"/>
        <w:jc w:val="left"/>
      </w:pPr>
      <w:r>
        <w:rPr/>
        <w:t>无。</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3、长期待摊费用" w:id="290"/>
      <w:bookmarkEnd w:id="290"/>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装修费用</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3,482,989.10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555,216.73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899,969.19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3,138,236.64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3,482,989.10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555,216.73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899,969.19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3,138,236.64</w:t>
            </w:r>
          </w:p>
        </w:tc>
      </w:tr>
    </w:tbl>
    <w:p>
      <w:pPr>
        <w:pStyle w:val="BodyText"/>
        <w:spacing w:line="360" w:lineRule="auto" w:before="51"/>
        <w:ind w:right="10032"/>
        <w:jc w:val="left"/>
      </w:pPr>
      <w:r>
        <w:rPr/>
        <w:t>其他说明 无。</w:t>
      </w:r>
    </w:p>
    <w:p>
      <w:pPr>
        <w:spacing w:line="240" w:lineRule="auto" w:before="12"/>
        <w:rPr>
          <w:rFonts w:ascii="宋体" w:hAnsi="宋体" w:cs="宋体" w:eastAsia="宋体" w:hint="default"/>
          <w:sz w:val="19"/>
          <w:szCs w:val="19"/>
        </w:rPr>
      </w:pPr>
    </w:p>
    <w:p>
      <w:pPr>
        <w:pStyle w:val="Heading4"/>
        <w:spacing w:line="240" w:lineRule="auto"/>
        <w:ind w:right="0"/>
        <w:jc w:val="left"/>
        <w:rPr>
          <w:b w:val="0"/>
          <w:bCs w:val="0"/>
        </w:rPr>
      </w:pPr>
      <w:bookmarkStart w:name="24、递延所得税资产/递延所得税负债" w:id="291"/>
      <w:bookmarkEnd w:id="291"/>
      <w:r>
        <w:rPr>
          <w:b w:val="0"/>
          <w:bCs w:val="0"/>
        </w:rPr>
      </w:r>
      <w:r>
        <w:rPr>
          <w:rFonts w:ascii="Times New Roman" w:hAnsi="Times New Roman" w:cs="Times New Roman" w:eastAsia="Times New Roman" w:hint="default"/>
        </w:rPr>
        <w:t>24</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未经抵销的递延所得税资产" w:id="292"/>
      <w:bookmarkEnd w:id="292"/>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205"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9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12"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6"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80,318,120.69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12,154,566.14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56,608,059.01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10,219,634.81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13,516,171.70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2,027,425.76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6,166,394.40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924,959.16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44,614,910.87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8,472,979.44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56,044,699.40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10,206,805.32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16,513,980.73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2,587,730.11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8,938,440.10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1,368,741.12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递延收益</w:t>
            </w:r>
            <w:r>
              <w:rPr>
                <w:rFonts w:ascii="Times New Roman" w:hAnsi="Times New Roman" w:cs="Times New Roman" w:eastAsia="Times New Roman" w:hint="default"/>
                <w:sz w:val="18"/>
                <w:szCs w:val="18"/>
              </w:rPr>
              <w:t>-</w:t>
            </w:r>
            <w:r>
              <w:rPr>
                <w:rFonts w:ascii="宋体" w:hAnsi="宋体" w:cs="宋体" w:eastAsia="宋体" w:hint="default"/>
                <w:sz w:val="18"/>
                <w:szCs w:val="18"/>
              </w:rPr>
              <w:t>政府补助</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7,273,589.76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1,091,038.46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2,133,589.76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320,038.46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等待期股权支付成本</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5,202,366.66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780,355.00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9,714,080.00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1,457,112.00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167,439,140.41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27,114,094.91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139,605,262.67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24,497,290.87</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未经抵销的递延所得税负债" w:id="293"/>
      <w:bookmarkEnd w:id="293"/>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3831"/>
        <w:gridCol w:w="3817"/>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非同一控制企业合并资 产评估增值</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可供出售金融资产公允 价值变动</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19" w:lineRule="auto" w:before="51"/>
        <w:ind w:right="1118"/>
        <w:jc w:val="left"/>
      </w:pPr>
      <w:r>
        <w:rPr>
          <w:spacing w:val="-2"/>
        </w:rPr>
        <w:t>注：按暂时性差异的类别列示未经抵销的递延所得税资产或递延所得税负债期初余额、期末余额，以及相应的暂时性差异金</w:t>
      </w:r>
      <w:r>
        <w:rPr>
          <w:spacing w:val="-66"/>
        </w:rPr>
        <w:t> </w:t>
      </w:r>
      <w:r>
        <w:rPr>
          <w:spacing w:val="-66"/>
        </w:rPr>
      </w:r>
      <w:r>
        <w:rPr/>
        <w:t>额。</w:t>
      </w:r>
    </w:p>
    <w:p>
      <w:pPr>
        <w:spacing w:line="240" w:lineRule="auto" w:before="3"/>
        <w:rPr>
          <w:rFonts w:ascii="宋体" w:hAnsi="宋体" w:cs="宋体" w:eastAsia="宋体" w:hint="default"/>
          <w:sz w:val="22"/>
          <w:szCs w:val="22"/>
        </w:rPr>
      </w:pPr>
    </w:p>
    <w:p>
      <w:pPr>
        <w:pStyle w:val="Heading4"/>
        <w:spacing w:line="240" w:lineRule="auto"/>
        <w:ind w:right="0"/>
        <w:jc w:val="left"/>
        <w:rPr>
          <w:b w:val="0"/>
          <w:bCs w:val="0"/>
        </w:rPr>
      </w:pPr>
      <w:bookmarkStart w:name="（3）以抵销后净额列示的递延所得税资产或负债" w:id="294"/>
      <w:bookmarkEnd w:id="294"/>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161"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413"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41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2" w:hRule="exact"/>
        </w:trPr>
        <w:tc>
          <w:tcPr>
            <w:tcW w:w="19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r>
      <w:tr>
        <w:trPr>
          <w:trHeight w:val="161"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2" w:right="0"/>
              <w:jc w:val="left"/>
              <w:rPr>
                <w:rFonts w:ascii="Times New Roman" w:hAnsi="Times New Roman" w:cs="Times New Roman" w:eastAsia="Times New Roman" w:hint="default"/>
                <w:sz w:val="18"/>
                <w:szCs w:val="18"/>
              </w:rPr>
            </w:pPr>
            <w:r>
              <w:rPr>
                <w:rFonts w:ascii="Times New Roman"/>
                <w:sz w:val="18"/>
              </w:rPr>
              <w:t>27,114,094.91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5" w:right="0"/>
              <w:jc w:val="left"/>
              <w:rPr>
                <w:rFonts w:ascii="Times New Roman" w:hAnsi="Times New Roman" w:cs="Times New Roman" w:eastAsia="Times New Roman" w:hint="default"/>
                <w:sz w:val="18"/>
                <w:szCs w:val="18"/>
              </w:rPr>
            </w:pPr>
            <w:r>
              <w:rPr>
                <w:rFonts w:ascii="Times New Roman"/>
                <w:sz w:val="18"/>
              </w:rPr>
              <w:t>24,497,290.87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4）未确认递延所得税资产明细" w:id="295"/>
      <w:bookmarkEnd w:id="295"/>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194"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54,512.18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2,051,370.55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2,989,304.23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2,051,370.55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3,043,816.41</w:t>
            </w:r>
          </w:p>
        </w:tc>
      </w:tr>
    </w:tbl>
    <w:p>
      <w:pPr>
        <w:pStyle w:val="BodyText"/>
        <w:spacing w:line="316" w:lineRule="auto" w:before="51"/>
        <w:ind w:right="1118"/>
        <w:jc w:val="left"/>
      </w:pPr>
      <w:r>
        <w:rPr>
          <w:spacing w:val="-2"/>
        </w:rPr>
        <w:t>注：列示由于未来能否获得足够的应纳税所得额具有不确定性，因此没有确认为递延所得税资产的可抵扣暂时性差异和可抵</w:t>
      </w:r>
      <w:r>
        <w:rPr>
          <w:spacing w:val="-64"/>
        </w:rPr>
        <w:t> </w:t>
      </w:r>
      <w:r>
        <w:rPr>
          <w:spacing w:val="-64"/>
        </w:rPr>
      </w:r>
      <w:r>
        <w:rPr/>
        <w:t>扣亏损。</w:t>
      </w:r>
    </w:p>
    <w:p>
      <w:pPr>
        <w:spacing w:line="240" w:lineRule="auto" w:before="6"/>
        <w:rPr>
          <w:rFonts w:ascii="宋体" w:hAnsi="宋体" w:cs="宋体" w:eastAsia="宋体" w:hint="default"/>
          <w:sz w:val="22"/>
          <w:szCs w:val="22"/>
        </w:rPr>
      </w:pPr>
    </w:p>
    <w:p>
      <w:pPr>
        <w:pStyle w:val="Heading4"/>
        <w:spacing w:line="240" w:lineRule="auto"/>
        <w:ind w:right="0"/>
        <w:jc w:val="left"/>
        <w:rPr>
          <w:b w:val="0"/>
          <w:bCs w:val="0"/>
        </w:rPr>
      </w:pPr>
      <w:bookmarkStart w:name="（5）未确认递延所得税资产的可抵扣亏损将于以下年度到期" w:id="296"/>
      <w:bookmarkEnd w:id="296"/>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961,793.46</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1,158,776.13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1,158,776.13</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732,053.50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732,053.50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1,263.47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1,263.47</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128,031.60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135,417.67</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31,245.85</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2,051,370.55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4" w:right="0"/>
              <w:jc w:val="left"/>
              <w:rPr>
                <w:rFonts w:ascii="Times New Roman" w:hAnsi="Times New Roman" w:cs="Times New Roman" w:eastAsia="Times New Roman" w:hint="default"/>
                <w:sz w:val="18"/>
                <w:szCs w:val="18"/>
              </w:rPr>
            </w:pPr>
            <w:r>
              <w:rPr>
                <w:rFonts w:ascii="Times New Roman"/>
                <w:sz w:val="18"/>
              </w:rPr>
              <w:t>2,989,304.23</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60" w:lineRule="auto" w:before="51"/>
        <w:ind w:right="1212"/>
        <w:jc w:val="left"/>
      </w:pPr>
      <w:r>
        <w:rPr/>
        <w:t>注：无法在资产负债表日确定全部可抵扣亏损情况的，可只填写能确定部分的金额及其到期年度，并在备注栏予以说明。 其他说明：</w:t>
      </w:r>
    </w:p>
    <w:p>
      <w:pPr>
        <w:pStyle w:val="BodyText"/>
        <w:spacing w:line="240" w:lineRule="auto" w:before="26"/>
        <w:ind w:right="0"/>
        <w:jc w:val="left"/>
      </w:pPr>
      <w:r>
        <w:rPr/>
        <w:t>无。</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25、其他非流动资产" w:id="297"/>
      <w:bookmarkEnd w:id="297"/>
      <w:r>
        <w:rPr>
          <w:b w:val="0"/>
          <w:bCs w:val="0"/>
        </w:rPr>
      </w:r>
      <w:r>
        <w:rPr>
          <w:rFonts w:ascii="Times New Roman" w:hAnsi="Times New Roman" w:cs="Times New Roman" w:eastAsia="Times New Roman" w:hint="default"/>
        </w:rPr>
        <w:t>25</w:t>
      </w:r>
      <w:r>
        <w:rPr/>
        <w:t>、其他非流动资产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预付长期资产款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2,420,383.39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5,370,729.02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2,420,383.39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5,370,729.02</w:t>
            </w:r>
          </w:p>
        </w:tc>
      </w:tr>
    </w:tbl>
    <w:p>
      <w:pPr>
        <w:pStyle w:val="BodyText"/>
        <w:spacing w:line="360" w:lineRule="auto" w:before="51"/>
        <w:ind w:right="9852"/>
        <w:jc w:val="left"/>
      </w:pPr>
      <w:r>
        <w:rPr/>
        <w:t>其他说明： 无。</w:t>
      </w:r>
    </w:p>
    <w:p>
      <w:pPr>
        <w:spacing w:line="240" w:lineRule="auto" w:before="11"/>
        <w:rPr>
          <w:rFonts w:ascii="宋体" w:hAnsi="宋体" w:cs="宋体" w:eastAsia="宋体" w:hint="default"/>
          <w:sz w:val="19"/>
          <w:szCs w:val="19"/>
        </w:rPr>
      </w:pPr>
    </w:p>
    <w:p>
      <w:pPr>
        <w:pStyle w:val="Heading4"/>
        <w:spacing w:line="240" w:lineRule="auto"/>
        <w:ind w:right="0"/>
        <w:jc w:val="left"/>
        <w:rPr>
          <w:b w:val="0"/>
          <w:bCs w:val="0"/>
        </w:rPr>
      </w:pPr>
      <w:bookmarkStart w:name="26、短期借款" w:id="298"/>
      <w:bookmarkEnd w:id="298"/>
      <w:r>
        <w:rPr>
          <w:b w:val="0"/>
          <w:bCs w:val="0"/>
        </w:rPr>
      </w:r>
      <w:r>
        <w:rPr>
          <w:rFonts w:ascii="Times New Roman" w:hAnsi="Times New Roman" w:cs="Times New Roman" w:eastAsia="Times New Roman" w:hint="default"/>
        </w:rPr>
        <w:t>26</w:t>
      </w:r>
      <w:r>
        <w:rPr/>
        <w:t>、短期借款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短期借款分类" w:id="299"/>
      <w:bookmarkEnd w:id="299"/>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票据贴现</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100,000,000.00</w:t>
            </w:r>
          </w:p>
        </w:tc>
      </w:tr>
    </w:tbl>
    <w:p>
      <w:pPr>
        <w:pStyle w:val="BodyText"/>
        <w:spacing w:line="357" w:lineRule="auto" w:before="51"/>
        <w:ind w:left="514" w:right="8952" w:hanging="360"/>
        <w:jc w:val="left"/>
      </w:pPr>
      <w:r>
        <w:rPr/>
        <w:t>短期借款分类的说明： 保证借款：</w:t>
      </w:r>
    </w:p>
    <w:p>
      <w:pPr>
        <w:pStyle w:val="BodyText"/>
        <w:spacing w:line="237" w:lineRule="exact"/>
        <w:ind w:right="0" w:firstLine="360"/>
        <w:jc w:val="left"/>
        <w:rPr>
          <w:rFonts w:ascii="Times New Roman" w:hAnsi="Times New Roman" w:cs="Times New Roman" w:eastAsia="Times New Roman" w:hint="default"/>
        </w:rPr>
      </w:pPr>
      <w:r>
        <w:rPr/>
        <w:t>①保证借款</w:t>
      </w:r>
      <w:r>
        <w:rPr>
          <w:rFonts w:ascii="Times New Roman" w:hAnsi="Times New Roman" w:cs="Times New Roman" w:eastAsia="Times New Roman" w:hint="default"/>
        </w:rPr>
        <w:t>4,000</w:t>
      </w:r>
      <w:r>
        <w:rPr/>
        <w:t>万系深圳市奥拓电子股份有限公司为支付货款而与中国农业银行股份有限公司深圳南山支行签订</w:t>
      </w:r>
      <w:r>
        <w:rPr>
          <w:rFonts w:ascii="Times New Roman" w:hAnsi="Times New Roman" w:cs="Times New Roman" w:eastAsia="Times New Roman" w:hint="default"/>
        </w:rPr>
        <w:t>4,000</w:t>
      </w:r>
    </w:p>
    <w:p>
      <w:pPr>
        <w:pStyle w:val="BodyText"/>
        <w:spacing w:line="300" w:lineRule="auto" w:before="63"/>
        <w:ind w:right="1129"/>
        <w:jc w:val="both"/>
      </w:pPr>
      <w:r>
        <w:rPr/>
        <w:t>万借款合同。本次借款是在深圳市奥拓电子股份有限公司与中国农业银行股份有限公司深圳南山支行于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15</w:t>
      </w:r>
      <w:r>
        <w:rPr/>
        <w:t>日签订</w:t>
      </w:r>
      <w:r>
        <w:rPr>
          <w:spacing w:val="-81"/>
        </w:rPr>
        <w:t> </w:t>
      </w:r>
      <w:r>
        <w:rPr>
          <w:spacing w:val="-5"/>
        </w:rPr>
        <w:t>最高额综合授信合同（合同编号：</w:t>
      </w:r>
      <w:r>
        <w:rPr>
          <w:rFonts w:ascii="Times New Roman" w:hAnsi="Times New Roman" w:cs="Times New Roman" w:eastAsia="Times New Roman" w:hint="default"/>
          <w:spacing w:val="-5"/>
        </w:rPr>
        <w:t>81200201800003870</w:t>
      </w:r>
      <w:r>
        <w:rPr>
          <w:spacing w:val="-5"/>
        </w:rPr>
        <w:t>）下完成，合同约定，中国农业银行提供</w:t>
      </w:r>
      <w:r>
        <w:rPr>
          <w:rFonts w:ascii="Times New Roman" w:hAnsi="Times New Roman" w:cs="Times New Roman" w:eastAsia="Times New Roman" w:hint="default"/>
          <w:spacing w:val="-5"/>
        </w:rPr>
        <w:t>1</w:t>
      </w:r>
      <w:r>
        <w:rPr>
          <w:spacing w:val="-5"/>
        </w:rPr>
        <w:t>亿元授信额度，可用于贷款、</w:t>
      </w:r>
      <w:r>
        <w:rPr>
          <w:spacing w:val="-34"/>
        </w:rPr>
        <w:t> </w:t>
      </w:r>
      <w:r>
        <w:rPr>
          <w:spacing w:val="-34"/>
        </w:rPr>
      </w:r>
      <w:r>
        <w:rPr>
          <w:spacing w:val="-2"/>
        </w:rPr>
        <w:t>商业汇票承兑等业务，授信期限自</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15</w:t>
      </w:r>
      <w:r>
        <w:rPr>
          <w:spacing w:val="-2"/>
        </w:rPr>
        <w:t>日至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14</w:t>
      </w:r>
      <w:r>
        <w:rPr>
          <w:spacing w:val="-2"/>
        </w:rPr>
        <w:t>日。本合同由吴涵渠提供连带责任保证，向中国农业银行出</w:t>
      </w:r>
      <w:r>
        <w:rPr>
          <w:spacing w:val="-52"/>
        </w:rPr>
        <w:t> </w:t>
      </w:r>
      <w:r>
        <w:rPr>
          <w:spacing w:val="-52"/>
        </w:rPr>
      </w:r>
      <w:r>
        <w:rPr/>
        <w:t>具最高额保证合同（编号：</w:t>
      </w:r>
      <w:r>
        <w:rPr>
          <w:rFonts w:ascii="Times New Roman" w:hAnsi="Times New Roman" w:cs="Times New Roman" w:eastAsia="Times New Roman" w:hint="default"/>
        </w:rPr>
        <w:t>81100520180000915</w:t>
      </w:r>
      <w:r>
        <w:rPr/>
        <w:t>）。</w:t>
      </w:r>
    </w:p>
    <w:p>
      <w:pPr>
        <w:pStyle w:val="BodyText"/>
        <w:spacing w:line="300" w:lineRule="auto" w:before="13"/>
        <w:ind w:right="1032" w:firstLine="360"/>
        <w:jc w:val="left"/>
      </w:pPr>
      <w:r>
        <w:rPr/>
        <w:t>②保证借款</w:t>
      </w:r>
      <w:r>
        <w:rPr>
          <w:rFonts w:ascii="Times New Roman" w:hAnsi="Times New Roman" w:cs="Times New Roman" w:eastAsia="Times New Roman" w:hint="default"/>
        </w:rPr>
        <w:t>4,000</w:t>
      </w:r>
      <w:r>
        <w:rPr/>
        <w:t>万系深圳市千百辉照明工程有限公司为支付货款先后与招商银行签订</w:t>
      </w:r>
      <w:r>
        <w:rPr>
          <w:rFonts w:ascii="Times New Roman" w:hAnsi="Times New Roman" w:cs="Times New Roman" w:eastAsia="Times New Roman" w:hint="default"/>
        </w:rPr>
        <w:t>3,000</w:t>
      </w:r>
      <w:r>
        <w:rPr/>
        <w:t>万、</w:t>
      </w:r>
      <w:r>
        <w:rPr>
          <w:rFonts w:ascii="Times New Roman" w:hAnsi="Times New Roman" w:cs="Times New Roman" w:eastAsia="Times New Roman" w:hint="default"/>
        </w:rPr>
        <w:t>1,000</w:t>
      </w:r>
      <w:r>
        <w:rPr/>
        <w:t>万流动资金贷款合 </w:t>
      </w:r>
      <w:r>
        <w:rPr>
          <w:spacing w:val="2"/>
        </w:rPr>
        <w:t>同。此</w:t>
      </w:r>
      <w:r>
        <w:rPr>
          <w:rFonts w:ascii="Times New Roman" w:hAnsi="Times New Roman" w:cs="Times New Roman" w:eastAsia="Times New Roman" w:hint="default"/>
          <w:spacing w:val="2"/>
        </w:rPr>
        <w:t>2</w:t>
      </w:r>
      <w:r>
        <w:rPr>
          <w:spacing w:val="2"/>
        </w:rPr>
        <w:t>份贷款合同是在深圳市千百辉照明工程有限公司</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7</w:t>
      </w:r>
      <w:r>
        <w:rPr>
          <w:spacing w:val="2"/>
        </w:rPr>
        <w:t>日与招商银行深圳分行签订的《授信协议》（编号：</w:t>
      </w:r>
      <w:r>
        <w:rPr>
          <w:spacing w:val="-42"/>
        </w:rPr>
        <w:t> </w:t>
      </w:r>
      <w:r>
        <w:rPr>
          <w:rFonts w:ascii="Times New Roman" w:hAnsi="Times New Roman" w:cs="Times New Roman" w:eastAsia="Times New Roman" w:hint="default"/>
        </w:rPr>
        <w:t>755XY2018016156</w:t>
      </w:r>
      <w:r>
        <w:rPr/>
        <w:t>）下完成的。授信协议约定招商银行为深圳市千百辉照明工程有限公司提供人民币</w:t>
      </w:r>
      <w:r>
        <w:rPr>
          <w:rFonts w:ascii="Times New Roman" w:hAnsi="Times New Roman" w:cs="Times New Roman" w:eastAsia="Times New Roman" w:hint="default"/>
        </w:rPr>
        <w:t>14,000</w:t>
      </w:r>
      <w:r>
        <w:rPr/>
        <w:t>万的授信额度。</w:t>
      </w:r>
      <w:r>
        <w:rPr>
          <w:spacing w:val="-35"/>
        </w:rPr>
        <w:t> </w:t>
      </w:r>
      <w:r>
        <w:rPr>
          <w:spacing w:val="-2"/>
        </w:rPr>
        <w:t>授信期间为</w:t>
      </w:r>
      <w:r>
        <w:rPr>
          <w:rFonts w:ascii="Times New Roman" w:hAnsi="Times New Roman" w:cs="Times New Roman" w:eastAsia="Times New Roman" w:hint="default"/>
          <w:spacing w:val="-2"/>
        </w:rPr>
        <w:t>12</w:t>
      </w:r>
      <w:r>
        <w:rPr>
          <w:spacing w:val="-2"/>
        </w:rPr>
        <w:t>个月，即自</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8</w:t>
      </w:r>
      <w:r>
        <w:rPr>
          <w:spacing w:val="-2"/>
        </w:rPr>
        <w:t>日起到</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7</w:t>
      </w:r>
      <w:r>
        <w:rPr>
          <w:spacing w:val="-2"/>
        </w:rPr>
        <w:t>日止。本授信协议由深圳市奥拓电子股份有限公司、沈永健、周维君</w:t>
      </w:r>
      <w:r>
        <w:rPr>
          <w:spacing w:val="-53"/>
        </w:rPr>
        <w:t> </w:t>
      </w:r>
      <w:r>
        <w:rPr>
          <w:spacing w:val="-53"/>
        </w:rPr>
      </w:r>
      <w:r>
        <w:rPr/>
        <w:t>作</w:t>
      </w:r>
      <w:r>
        <w:rPr>
          <w:spacing w:val="-63"/>
        </w:rPr>
        <w:t> </w:t>
      </w:r>
      <w:r>
        <w:rPr/>
        <w:t>为</w:t>
      </w:r>
      <w:r>
        <w:rPr>
          <w:spacing w:val="-63"/>
        </w:rPr>
        <w:t> </w:t>
      </w:r>
      <w:r>
        <w:rPr/>
        <w:t>连</w:t>
      </w:r>
      <w:r>
        <w:rPr>
          <w:spacing w:val="-63"/>
        </w:rPr>
        <w:t> </w:t>
      </w:r>
      <w:r>
        <w:rPr/>
        <w:t>带</w:t>
      </w:r>
      <w:r>
        <w:rPr>
          <w:spacing w:val="-63"/>
        </w:rPr>
        <w:t> </w:t>
      </w:r>
      <w:r>
        <w:rPr/>
        <w:t>责</w:t>
      </w:r>
      <w:r>
        <w:rPr>
          <w:spacing w:val="-64"/>
        </w:rPr>
        <w:t> </w:t>
      </w:r>
      <w:r>
        <w:rPr/>
        <w:t>任</w:t>
      </w:r>
      <w:r>
        <w:rPr>
          <w:spacing w:val="-63"/>
        </w:rPr>
        <w:t> </w:t>
      </w:r>
      <w:r>
        <w:rPr/>
        <w:t>保</w:t>
      </w:r>
      <w:r>
        <w:rPr>
          <w:spacing w:val="-63"/>
        </w:rPr>
        <w:t> </w:t>
      </w:r>
      <w:r>
        <w:rPr/>
        <w:t>证</w:t>
      </w:r>
      <w:r>
        <w:rPr>
          <w:spacing w:val="-63"/>
        </w:rPr>
        <w:t> </w:t>
      </w:r>
      <w:r>
        <w:rPr/>
        <w:t>人</w:t>
      </w:r>
      <w:r>
        <w:rPr>
          <w:spacing w:val="-63"/>
        </w:rPr>
        <w:t> </w:t>
      </w:r>
      <w:r>
        <w:rPr/>
        <w:t>，</w:t>
      </w:r>
      <w:r>
        <w:rPr>
          <w:spacing w:val="-64"/>
        </w:rPr>
        <w:t> </w:t>
      </w:r>
      <w:r>
        <w:rPr/>
        <w:t>担</w:t>
      </w:r>
      <w:r>
        <w:rPr>
          <w:spacing w:val="-63"/>
        </w:rPr>
        <w:t> </w:t>
      </w:r>
      <w:r>
        <w:rPr/>
        <w:t>保</w:t>
      </w:r>
      <w:r>
        <w:rPr>
          <w:spacing w:val="-63"/>
        </w:rPr>
        <w:t> </w:t>
      </w:r>
      <w:r>
        <w:rPr/>
        <w:t>额</w:t>
      </w:r>
      <w:r>
        <w:rPr>
          <w:spacing w:val="-63"/>
        </w:rPr>
        <w:t> </w:t>
      </w:r>
      <w:r>
        <w:rPr/>
        <w:t>度</w:t>
      </w:r>
      <w:r>
        <w:rPr>
          <w:spacing w:val="-60"/>
        </w:rPr>
        <w:t> </w:t>
      </w:r>
      <w:r>
        <w:rPr>
          <w:rFonts w:ascii="Times New Roman" w:hAnsi="Times New Roman" w:cs="Times New Roman" w:eastAsia="Times New Roman" w:hint="default"/>
        </w:rPr>
        <w:t>14,000</w:t>
      </w:r>
      <w:r>
        <w:rPr>
          <w:rFonts w:ascii="Times New Roman" w:hAnsi="Times New Roman" w:cs="Times New Roman" w:eastAsia="Times New Roman" w:hint="default"/>
          <w:spacing w:val="-17"/>
        </w:rPr>
        <w:t> </w:t>
      </w:r>
      <w:r>
        <w:rPr/>
        <w:t>万</w:t>
      </w:r>
      <w:r>
        <w:rPr>
          <w:spacing w:val="-63"/>
        </w:rPr>
        <w:t> </w:t>
      </w:r>
      <w:r>
        <w:rPr/>
        <w:t>元</w:t>
      </w:r>
      <w:r>
        <w:rPr>
          <w:spacing w:val="-63"/>
        </w:rPr>
        <w:t> </w:t>
      </w:r>
      <w:r>
        <w:rPr/>
        <w:t>，</w:t>
      </w:r>
      <w:r>
        <w:rPr>
          <w:spacing w:val="-63"/>
        </w:rPr>
        <w:t> </w:t>
      </w:r>
      <w:r>
        <w:rPr/>
        <w:t>分</w:t>
      </w:r>
      <w:r>
        <w:rPr>
          <w:spacing w:val="-64"/>
        </w:rPr>
        <w:t> </w:t>
      </w:r>
      <w:r>
        <w:rPr/>
        <w:t>别</w:t>
      </w:r>
      <w:r>
        <w:rPr>
          <w:spacing w:val="-63"/>
        </w:rPr>
        <w:t> </w:t>
      </w:r>
      <w:r>
        <w:rPr/>
        <w:t>签</w:t>
      </w:r>
      <w:r>
        <w:rPr>
          <w:spacing w:val="-63"/>
        </w:rPr>
        <w:t> </w:t>
      </w:r>
      <w:r>
        <w:rPr/>
        <w:t>订</w:t>
      </w:r>
      <w:r>
        <w:rPr>
          <w:spacing w:val="-63"/>
        </w:rPr>
        <w:t> </w:t>
      </w:r>
      <w:r>
        <w:rPr/>
        <w:t>最</w:t>
      </w:r>
      <w:r>
        <w:rPr>
          <w:spacing w:val="-63"/>
        </w:rPr>
        <w:t> </w:t>
      </w:r>
      <w:r>
        <w:rPr/>
        <w:t>高</w:t>
      </w:r>
      <w:r>
        <w:rPr>
          <w:spacing w:val="-64"/>
        </w:rPr>
        <w:t> </w:t>
      </w:r>
      <w:r>
        <w:rPr/>
        <w:t>额</w:t>
      </w:r>
      <w:r>
        <w:rPr>
          <w:spacing w:val="-63"/>
        </w:rPr>
        <w:t> </w:t>
      </w:r>
      <w:r>
        <w:rPr/>
        <w:t>不</w:t>
      </w:r>
      <w:r>
        <w:rPr>
          <w:spacing w:val="-63"/>
        </w:rPr>
        <w:t> </w:t>
      </w:r>
      <w:r>
        <w:rPr/>
        <w:t>可</w:t>
      </w:r>
      <w:r>
        <w:rPr>
          <w:spacing w:val="-63"/>
        </w:rPr>
        <w:t> </w:t>
      </w:r>
      <w:r>
        <w:rPr/>
        <w:t>撤</w:t>
      </w:r>
      <w:r>
        <w:rPr>
          <w:spacing w:val="-63"/>
        </w:rPr>
        <w:t> </w:t>
      </w:r>
      <w:r>
        <w:rPr/>
        <w:t>销</w:t>
      </w:r>
      <w:r>
        <w:rPr>
          <w:spacing w:val="-64"/>
        </w:rPr>
        <w:t> </w:t>
      </w:r>
      <w:r>
        <w:rPr/>
        <w:t>担</w:t>
      </w:r>
      <w:r>
        <w:rPr>
          <w:spacing w:val="-63"/>
        </w:rPr>
        <w:t> </w:t>
      </w:r>
      <w:r>
        <w:rPr/>
        <w:t>保</w:t>
      </w:r>
      <w:r>
        <w:rPr>
          <w:spacing w:val="-63"/>
        </w:rPr>
        <w:t> </w:t>
      </w:r>
      <w:r>
        <w:rPr/>
        <w:t>书</w:t>
      </w:r>
      <w:r>
        <w:rPr>
          <w:spacing w:val="-63"/>
        </w:rPr>
        <w:t> </w:t>
      </w:r>
      <w:r>
        <w:rPr/>
        <w:t>（</w:t>
      </w:r>
      <w:r>
        <w:rPr>
          <w:spacing w:val="-63"/>
        </w:rPr>
        <w:t> </w:t>
      </w:r>
      <w:r>
        <w:rPr/>
        <w:t>编</w:t>
      </w:r>
      <w:r>
        <w:rPr>
          <w:spacing w:val="-64"/>
        </w:rPr>
        <w:t> </w:t>
      </w:r>
      <w:r>
        <w:rPr/>
        <w:t>号</w:t>
      </w:r>
      <w:r>
        <w:rPr>
          <w:spacing w:val="-63"/>
        </w:rPr>
        <w:t> </w:t>
      </w:r>
      <w:r>
        <w:rPr/>
        <w:t>：</w:t>
      </w:r>
      <w:r>
        <w:rPr>
          <w:spacing w:val="-58"/>
        </w:rPr>
        <w:t> </w:t>
      </w:r>
      <w:r>
        <w:rPr>
          <w:rFonts w:ascii="Times New Roman" w:hAnsi="Times New Roman" w:cs="Times New Roman" w:eastAsia="Times New Roman" w:hint="default"/>
        </w:rPr>
        <w:t>755XY201801615603</w:t>
      </w:r>
      <w:r>
        <w:rPr>
          <w:rFonts w:ascii="Times New Roman" w:hAnsi="Times New Roman" w:cs="Times New Roman" w:eastAsia="Times New Roman" w:hint="default"/>
          <w:spacing w:val="-19"/>
        </w:rPr>
        <w:t> </w:t>
      </w:r>
      <w:r>
        <w:rPr/>
        <w:t>、 </w:t>
      </w:r>
      <w:r>
        <w:rPr>
          <w:rFonts w:ascii="Times New Roman" w:hAnsi="Times New Roman" w:cs="Times New Roman" w:eastAsia="Times New Roman" w:hint="default"/>
        </w:rPr>
        <w:t>755XY201801615604</w:t>
      </w:r>
      <w:r>
        <w:rPr/>
        <w:t>、</w:t>
      </w:r>
      <w:r>
        <w:rPr>
          <w:rFonts w:ascii="Times New Roman" w:hAnsi="Times New Roman" w:cs="Times New Roman" w:eastAsia="Times New Roman" w:hint="default"/>
        </w:rPr>
        <w:t>755XY201801615605</w:t>
      </w:r>
      <w:r>
        <w:rPr/>
        <w:t>）。</w:t>
      </w:r>
    </w:p>
    <w:p>
      <w:pPr>
        <w:spacing w:line="240" w:lineRule="auto" w:before="1"/>
        <w:rPr>
          <w:rFonts w:ascii="宋体" w:hAnsi="宋体" w:cs="宋体" w:eastAsia="宋体" w:hint="default"/>
          <w:sz w:val="22"/>
          <w:szCs w:val="22"/>
        </w:rPr>
      </w:pPr>
    </w:p>
    <w:p>
      <w:pPr>
        <w:pStyle w:val="Heading4"/>
        <w:spacing w:line="240" w:lineRule="auto"/>
        <w:ind w:right="0"/>
        <w:jc w:val="both"/>
        <w:rPr>
          <w:b w:val="0"/>
          <w:bCs w:val="0"/>
        </w:rPr>
      </w:pPr>
      <w:bookmarkStart w:name="（2）已逾期未偿还的短期借款情况" w:id="300"/>
      <w:bookmarkEnd w:id="300"/>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both"/>
      </w:pPr>
      <w:r>
        <w:rPr/>
        <w:t>本期末已逾期未偿还的短期借款总额为</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元，其中重要的已逾期未偿还的短期借款情况如下：</w:t>
      </w:r>
    </w:p>
    <w:p>
      <w:pPr>
        <w:spacing w:after="0" w:line="240" w:lineRule="auto"/>
        <w:jc w:val="both"/>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逾期利率</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2"/>
              <w:ind w:right="8"/>
              <w:jc w:val="right"/>
              <w:rPr>
                <w:rFonts w:ascii="Times New Roman" w:hAnsi="Times New Roman" w:cs="Times New Roman" w:eastAsia="Times New Roman" w:hint="default"/>
                <w:sz w:val="18"/>
                <w:szCs w:val="18"/>
              </w:rPr>
            </w:pPr>
            <w:r>
              <w:rPr>
                <w:rFonts w:ascii="Times New Roman"/>
                <w:sz w:val="18"/>
              </w:rPr>
              <w:t>0.00</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7、以公允价值计量且其变动计入当期损益的金融负债" w:id="301"/>
      <w:bookmarkEnd w:id="301"/>
      <w:r>
        <w:rPr>
          <w:b w:val="0"/>
          <w:bCs w:val="0"/>
        </w:rPr>
      </w:r>
      <w:r>
        <w:rPr>
          <w:rFonts w:ascii="Times New Roman" w:hAnsi="Times New Roman" w:cs="Times New Roman" w:eastAsia="Times New Roman" w:hint="default"/>
        </w:rPr>
        <w:t>27</w:t>
      </w:r>
      <w:r>
        <w:rPr/>
        <w:t>、以公允价值计量且其变动计入当期损益的金融负债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8、衍生金融负债" w:id="302"/>
      <w:bookmarkEnd w:id="302"/>
      <w:r>
        <w:rPr>
          <w:b w:val="0"/>
          <w:bCs w:val="0"/>
        </w:rPr>
      </w:r>
      <w:r>
        <w:rPr>
          <w:rFonts w:ascii="Times New Roman" w:hAnsi="Times New Roman" w:cs="Times New Roman" w:eastAsia="Times New Roman" w:hint="default"/>
        </w:rPr>
        <w:t>28</w:t>
      </w:r>
      <w:r>
        <w:rPr/>
        <w:t>、衍生金融负债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376,800.00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376,800.00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9、应付票据及应付账款" w:id="303"/>
      <w:bookmarkEnd w:id="303"/>
      <w:r>
        <w:rPr>
          <w:b w:val="0"/>
          <w:bCs w:val="0"/>
        </w:rPr>
      </w:r>
      <w:r>
        <w:rPr>
          <w:rFonts w:ascii="Times New Roman" w:hAnsi="Times New Roman" w:cs="Times New Roman" w:eastAsia="Times New Roman" w:hint="default"/>
        </w:rPr>
        <w:t>29</w:t>
      </w:r>
      <w:r>
        <w:rPr/>
        <w:t>、应付票据及应付账款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30,590,360.43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52,382,104.11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595,944,059.93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267,469,542.19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626,534,420.36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319,851,646.30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1）应付票据分类列示" w:id="304"/>
      <w:bookmarkEnd w:id="304"/>
      <w:r>
        <w:rPr>
          <w:b w:val="0"/>
          <w:bCs w:val="0"/>
        </w:rPr>
      </w:r>
      <w:r>
        <w:rPr/>
        <w:t>（</w:t>
      </w:r>
      <w:r>
        <w:rPr>
          <w:rFonts w:ascii="Times New Roman" w:hAnsi="Times New Roman" w:cs="Times New Roman" w:eastAsia="Times New Roman" w:hint="default"/>
        </w:rPr>
        <w:t>1</w:t>
      </w:r>
      <w:r>
        <w:rPr/>
        <w:t>）应付票据分类列示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30,590,360.43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52,382,104.11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30,590,360.43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52,382,104.11</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本期末已到期未支付的应付票据总额为元。</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应付账款列示" w:id="305"/>
      <w:bookmarkEnd w:id="305"/>
      <w:r>
        <w:rPr>
          <w:b w:val="0"/>
          <w:bCs w:val="0"/>
        </w:rPr>
      </w:r>
      <w:r>
        <w:rPr/>
        <w:t>（</w:t>
      </w:r>
      <w:r>
        <w:rPr>
          <w:rFonts w:ascii="Times New Roman" w:hAnsi="Times New Roman" w:cs="Times New Roman" w:eastAsia="Times New Roman" w:hint="default"/>
        </w:rPr>
        <w:t>2</w:t>
      </w:r>
      <w:r>
        <w:rPr/>
        <w:t>）应付账款列示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采购款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595,944,059.93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267,469,542.19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595,944,059.93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267,469,542.19</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3）账龄超过1年的重要应付账款" w:id="306"/>
      <w:bookmarkEnd w:id="306"/>
      <w:r>
        <w:rPr>
          <w:b w:val="0"/>
          <w:bCs w:val="0"/>
        </w:rPr>
      </w:r>
      <w:r>
        <w:rPr/>
        <w:t>（</w:t>
      </w:r>
      <w:r>
        <w:rPr>
          <w:rFonts w:ascii="Times New Roman" w:hAnsi="Times New Roman" w:cs="Times New Roman" w:eastAsia="Times New Roman" w:hint="default"/>
        </w:rPr>
        <w:t>3</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年的重要应付账款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357" w:lineRule="auto" w:before="51"/>
        <w:ind w:right="7782"/>
        <w:jc w:val="left"/>
      </w:pPr>
      <w:r>
        <w:rPr/>
        <w:t>其他说明： 年末无账龄超过</w:t>
      </w:r>
      <w:r>
        <w:rPr>
          <w:rFonts w:ascii="Times New Roman" w:hAnsi="Times New Roman" w:cs="Times New Roman" w:eastAsia="Times New Roman" w:hint="default"/>
        </w:rPr>
        <w:t>1</w:t>
      </w:r>
      <w:r>
        <w:rPr/>
        <w:t>年的重要应付账款。</w:t>
      </w:r>
    </w:p>
    <w:p>
      <w:pPr>
        <w:spacing w:line="240" w:lineRule="auto" w:before="5"/>
        <w:rPr>
          <w:rFonts w:ascii="宋体" w:hAnsi="宋体" w:cs="宋体" w:eastAsia="宋体" w:hint="default"/>
          <w:sz w:val="18"/>
          <w:szCs w:val="18"/>
        </w:rPr>
      </w:pPr>
    </w:p>
    <w:p>
      <w:pPr>
        <w:pStyle w:val="Heading4"/>
        <w:spacing w:line="240" w:lineRule="auto"/>
        <w:ind w:right="0"/>
        <w:jc w:val="left"/>
        <w:rPr>
          <w:b w:val="0"/>
          <w:bCs w:val="0"/>
        </w:rPr>
      </w:pPr>
      <w:bookmarkStart w:name="30、预收款项" w:id="307"/>
      <w:bookmarkEnd w:id="307"/>
      <w:r>
        <w:rPr>
          <w:b w:val="0"/>
          <w:bCs w:val="0"/>
        </w:rPr>
      </w:r>
      <w:r>
        <w:rPr>
          <w:rFonts w:ascii="Times New Roman" w:hAnsi="Times New Roman" w:cs="Times New Roman" w:eastAsia="Times New Roman" w:hint="default"/>
        </w:rPr>
        <w:t>30</w:t>
      </w:r>
      <w:r>
        <w:rPr/>
        <w:t>、预收款项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预收款项列示" w:id="308"/>
      <w:bookmarkEnd w:id="308"/>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42,527,082.79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57,832,410.14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42,527,082.79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57,832,410.14</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账龄超过1年的重要预收款项" w:id="309"/>
      <w:bookmarkEnd w:id="309"/>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年的重要预收款项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3）期末建造合同形成的已结算未完工项目情况" w:id="310"/>
      <w:bookmarkEnd w:id="310"/>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pStyle w:val="BodyText"/>
        <w:spacing w:line="357" w:lineRule="auto" w:before="51"/>
        <w:ind w:right="7782"/>
        <w:jc w:val="left"/>
      </w:pPr>
      <w:r>
        <w:rPr/>
        <w:t>其他说明： 年末无账龄超过</w:t>
      </w:r>
      <w:r>
        <w:rPr>
          <w:rFonts w:ascii="Times New Roman" w:hAnsi="Times New Roman" w:cs="Times New Roman" w:eastAsia="Times New Roman" w:hint="default"/>
        </w:rPr>
        <w:t>1</w:t>
      </w:r>
      <w:r>
        <w:rPr/>
        <w:t>年的重要预收款项。</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31、应付职工薪酬" w:id="311"/>
      <w:bookmarkEnd w:id="311"/>
      <w:r>
        <w:rPr>
          <w:b w:val="0"/>
          <w:bCs w:val="0"/>
        </w:rPr>
      </w:r>
      <w:r>
        <w:rPr>
          <w:rFonts w:ascii="Times New Roman" w:hAnsi="Times New Roman" w:cs="Times New Roman" w:eastAsia="Times New Roman" w:hint="default"/>
        </w:rPr>
        <w:t>31</w:t>
      </w:r>
      <w:r>
        <w:rPr/>
        <w:t>、应付职工薪酬</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应付职工薪酬列示" w:id="312"/>
      <w:bookmarkEnd w:id="312"/>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31,121,432.29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186,197,965.26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180,547,169.09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36,772,228.46</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9"/>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14,146.29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8,004,889.08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8,009,312.92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9,722.45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71,500.00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71,500.00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66"/>
              <w:jc w:val="left"/>
              <w:rPr>
                <w:rFonts w:ascii="宋体" w:hAnsi="宋体" w:cs="宋体" w:eastAsia="宋体" w:hint="default"/>
                <w:sz w:val="18"/>
                <w:szCs w:val="18"/>
              </w:rPr>
            </w:pPr>
            <w:r>
              <w:rPr>
                <w:rFonts w:ascii="宋体" w:hAnsi="宋体" w:cs="宋体" w:eastAsia="宋体" w:hint="default"/>
                <w:sz w:val="18"/>
                <w:szCs w:val="18"/>
              </w:rPr>
              <w:t>四、一年内到期的其他 福利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179,547.30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179,547.30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31,135,578.58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194,453,901.64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188,807,529.31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36,781,950.91</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短期薪酬列示" w:id="313"/>
      <w:bookmarkEnd w:id="313"/>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9"/>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补贴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31,108,596.89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172,691,454.36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167,078,770.85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36,721,280.40</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5,626,282.62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5,624,421.16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8,161.46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6,240.40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3,797,231.50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3,767,638.50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35,833.40</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6"/>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5,964.87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3,274,159.48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3,244,652.36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35,471.99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5"/>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275.53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215,392.43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215,306.55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361.41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5"/>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307,679.59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307,679.59</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3,483,262.57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3,479,893.58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3,368.99</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9"/>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、工会经费和职工教育</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经费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295.00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599,734.21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596,445.00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3,584.21</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31,121,432.29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186,197,965.26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180,547,169.09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36,772,228.46</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3）设定提存计划列示" w:id="314"/>
      <w:bookmarkEnd w:id="314"/>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6,574.38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7,736,400.70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7,734,117.40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8,857.68</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7,571.91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268,488.38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275,195.52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864.77</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14,146.29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8,004,889.08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8,009,312.92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9,722.45</w:t>
            </w:r>
          </w:p>
        </w:tc>
      </w:tr>
    </w:tbl>
    <w:p>
      <w:pPr>
        <w:pStyle w:val="BodyText"/>
        <w:spacing w:line="240" w:lineRule="auto" w:before="51"/>
        <w:ind w:right="0"/>
        <w:jc w:val="left"/>
      </w:pPr>
      <w:r>
        <w:rPr/>
        <w:t>其他说明：</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032"/>
        <w:jc w:val="left"/>
      </w:pPr>
      <w:r>
        <w:rPr/>
        <w:t>本公司按规定参加由政府机构设立的养老保险、失业保险计划。除上述每月缴存费用外，本公司不再承担进一步支付义务。</w:t>
      </w:r>
      <w:r>
        <w:rPr>
          <w:spacing w:val="-85"/>
        </w:rPr>
        <w:t> </w:t>
      </w:r>
      <w:r>
        <w:rPr>
          <w:spacing w:val="-85"/>
        </w:rPr>
      </w:r>
      <w:r>
        <w:rPr/>
        <w:t>相应的支出于发生时计入当期损益或相关资产的成本。</w:t>
      </w:r>
    </w:p>
    <w:p>
      <w:pPr>
        <w:spacing w:line="240" w:lineRule="auto" w:before="7"/>
        <w:rPr>
          <w:rFonts w:ascii="宋体" w:hAnsi="宋体" w:cs="宋体" w:eastAsia="宋体" w:hint="default"/>
          <w:sz w:val="22"/>
          <w:szCs w:val="22"/>
        </w:rPr>
      </w:pPr>
    </w:p>
    <w:p>
      <w:pPr>
        <w:pStyle w:val="Heading4"/>
        <w:spacing w:line="240" w:lineRule="auto"/>
        <w:ind w:right="0"/>
        <w:jc w:val="left"/>
        <w:rPr>
          <w:b w:val="0"/>
          <w:bCs w:val="0"/>
        </w:rPr>
      </w:pPr>
      <w:bookmarkStart w:name="32、应交税费" w:id="315"/>
      <w:bookmarkEnd w:id="315"/>
      <w:r>
        <w:rPr>
          <w:b w:val="0"/>
          <w:bCs w:val="0"/>
        </w:rPr>
      </w:r>
      <w:r>
        <w:rPr>
          <w:rFonts w:ascii="Times New Roman" w:hAnsi="Times New Roman" w:cs="Times New Roman" w:eastAsia="Times New Roman" w:hint="default"/>
        </w:rPr>
        <w:t>32</w:t>
      </w:r>
      <w:r>
        <w:rPr/>
        <w:t>、应交税费</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54,153,053.51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44,738,446.78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23,066,164.75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16,670,172.06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456,333.67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508,221.29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3,066,085.29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2,970,336.15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1,314,036.52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1,273,001.17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872,233.53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848,667.45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1,142,154.70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349,763.09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84,070,061.97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67,358,607.99</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3、其他应付款" w:id="316"/>
      <w:bookmarkEnd w:id="316"/>
      <w:r>
        <w:rPr>
          <w:b w:val="0"/>
          <w:bCs w:val="0"/>
        </w:rPr>
      </w:r>
      <w:r>
        <w:rPr>
          <w:rFonts w:ascii="Times New Roman" w:hAnsi="Times New Roman" w:cs="Times New Roman" w:eastAsia="Times New Roman" w:hint="default"/>
        </w:rPr>
        <w:t>33</w:t>
      </w:r>
      <w:r>
        <w:rPr/>
        <w:t>、其他应付款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365,644.43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140,995.89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1,187,472.00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339,480.00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59,731,466.26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44,402,533.33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61,284,582.69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44,883,009.22</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1）应付利息" w:id="317"/>
      <w:bookmarkEnd w:id="317"/>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59"/>
        <w:gridCol w:w="3210"/>
        <w:gridCol w:w="3189"/>
      </w:tblGrid>
      <w:tr>
        <w:trPr>
          <w:trHeight w:val="402" w:hRule="exact"/>
        </w:trPr>
        <w:tc>
          <w:tcPr>
            <w:tcW w:w="31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365,644.43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140,995.89</w:t>
            </w:r>
          </w:p>
        </w:tc>
      </w:tr>
      <w:tr>
        <w:trPr>
          <w:trHeight w:val="402" w:hRule="exact"/>
        </w:trPr>
        <w:tc>
          <w:tcPr>
            <w:tcW w:w="31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365,644.43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140,995.89</w:t>
            </w:r>
          </w:p>
        </w:tc>
      </w:tr>
    </w:tbl>
    <w:p>
      <w:pPr>
        <w:pStyle w:val="BodyText"/>
        <w:spacing w:line="240" w:lineRule="auto" w:before="51"/>
        <w:ind w:right="0"/>
        <w:jc w:val="left"/>
      </w:pPr>
      <w:r>
        <w:rPr/>
        <w:t>重要的已逾期未支付的利息情况：</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pStyle w:val="BodyText"/>
        <w:spacing w:line="357" w:lineRule="auto" w:before="51"/>
        <w:ind w:right="9852"/>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2）应付股利" w:id="318"/>
      <w:bookmarkEnd w:id="318"/>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1,187,472.00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339,480.00</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1,187,472.00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339,480.00</w:t>
            </w:r>
          </w:p>
        </w:tc>
      </w:tr>
    </w:tbl>
    <w:p>
      <w:pPr>
        <w:pStyle w:val="BodyText"/>
        <w:spacing w:line="338" w:lineRule="auto" w:before="51"/>
        <w:ind w:right="4994"/>
        <w:jc w:val="left"/>
      </w:pPr>
      <w:r>
        <w:rPr/>
        <w:t>其他说明，包括重要的超过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年未支付的应付股利，应披露未支付原因： 无。</w:t>
      </w:r>
    </w:p>
    <w:p>
      <w:pPr>
        <w:spacing w:line="240" w:lineRule="auto" w:before="4"/>
        <w:rPr>
          <w:rFonts w:ascii="宋体" w:hAnsi="宋体" w:cs="宋体" w:eastAsia="宋体" w:hint="default"/>
          <w:sz w:val="21"/>
          <w:szCs w:val="21"/>
        </w:rPr>
      </w:pPr>
    </w:p>
    <w:p>
      <w:pPr>
        <w:pStyle w:val="Heading4"/>
        <w:spacing w:line="240" w:lineRule="auto"/>
        <w:ind w:right="0"/>
        <w:jc w:val="left"/>
        <w:rPr>
          <w:b w:val="0"/>
          <w:bCs w:val="0"/>
        </w:rPr>
      </w:pPr>
      <w:bookmarkStart w:name="（3）其他应付款" w:id="319"/>
      <w:bookmarkEnd w:id="319"/>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按款项性质列示其他应付款</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设备购置款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1,165,089.74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1,942,256.09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5,169,790.00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3,830,151.49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质量保证金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68,292.00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939,466.22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待支付费用款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15,193,575.78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14,250,267.61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股权激励计划回购义务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30,383,760.00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17,642,220.00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7,750,958.74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5,798,171.92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59,731,466.26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44,402,533.33</w:t>
            </w:r>
          </w:p>
        </w:tc>
      </w:tr>
    </w:tbl>
    <w:p>
      <w:pPr>
        <w:pStyle w:val="BodyText"/>
        <w:spacing w:line="240" w:lineRule="auto" w:before="51"/>
        <w:ind w:right="0"/>
        <w:jc w:val="left"/>
      </w:pPr>
      <w:r>
        <w:rPr>
          <w:rFonts w:ascii="Times New Roman" w:hAnsi="Times New Roman" w:cs="Times New Roman" w:eastAsia="Times New Roman" w:hint="default"/>
        </w:rPr>
        <w:t>2)</w:t>
      </w:r>
      <w:r>
        <w:rPr/>
        <w:t>账龄超过</w:t>
      </w:r>
      <w:r>
        <w:rPr>
          <w:spacing w:val="-46"/>
        </w:rPr>
        <w:t> </w:t>
      </w:r>
      <w:r>
        <w:rPr>
          <w:rFonts w:ascii="Times New Roman" w:hAnsi="Times New Roman" w:cs="Times New Roman" w:eastAsia="Times New Roman" w:hint="default"/>
        </w:rPr>
        <w:t>1 </w:t>
      </w:r>
      <w:r>
        <w:rPr/>
        <w:t>年的重要其他应付款</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357" w:lineRule="auto" w:before="52"/>
        <w:ind w:right="7602"/>
        <w:jc w:val="left"/>
      </w:pPr>
      <w:r>
        <w:rPr/>
        <w:t>其他说明 年末无账龄超过</w:t>
      </w:r>
      <w:r>
        <w:rPr>
          <w:rFonts w:ascii="Times New Roman" w:hAnsi="Times New Roman" w:cs="Times New Roman" w:eastAsia="Times New Roman" w:hint="default"/>
        </w:rPr>
        <w:t>1</w:t>
      </w:r>
      <w:r>
        <w:rPr/>
        <w:t>年的重要其他应付款。</w:t>
      </w:r>
    </w:p>
    <w:p>
      <w:pPr>
        <w:spacing w:line="240" w:lineRule="auto" w:before="5"/>
        <w:rPr>
          <w:rFonts w:ascii="宋体" w:hAnsi="宋体" w:cs="宋体" w:eastAsia="宋体" w:hint="default"/>
          <w:sz w:val="18"/>
          <w:szCs w:val="18"/>
        </w:rPr>
      </w:pPr>
    </w:p>
    <w:p>
      <w:pPr>
        <w:pStyle w:val="Heading4"/>
        <w:spacing w:line="240" w:lineRule="auto"/>
        <w:ind w:right="0"/>
        <w:jc w:val="left"/>
        <w:rPr>
          <w:b w:val="0"/>
          <w:bCs w:val="0"/>
        </w:rPr>
      </w:pPr>
      <w:bookmarkStart w:name="34、持有待售负债" w:id="320"/>
      <w:bookmarkEnd w:id="320"/>
      <w:r>
        <w:rPr>
          <w:b w:val="0"/>
          <w:bCs w:val="0"/>
        </w:rPr>
      </w:r>
      <w:r>
        <w:rPr>
          <w:rFonts w:ascii="Times New Roman" w:hAnsi="Times New Roman" w:cs="Times New Roman" w:eastAsia="Times New Roman" w:hint="default"/>
        </w:rPr>
        <w:t>34</w:t>
      </w:r>
      <w:r>
        <w:rPr/>
        <w:t>、持有待售负债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5、一年内到期的非流动负债" w:id="321"/>
      <w:bookmarkEnd w:id="321"/>
      <w:r>
        <w:rPr>
          <w:b w:val="0"/>
          <w:bCs w:val="0"/>
        </w:rPr>
      </w:r>
      <w:r>
        <w:rPr>
          <w:rFonts w:ascii="Times New Roman" w:hAnsi="Times New Roman" w:cs="Times New Roman" w:eastAsia="Times New Roman" w:hint="default"/>
        </w:rPr>
        <w:t>35</w:t>
      </w:r>
      <w:r>
        <w:rPr/>
        <w:t>、一年内到期的非流动负债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57" w:lineRule="auto" w:before="44"/>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6、其他流动负债" w:id="322"/>
      <w:bookmarkEnd w:id="322"/>
      <w:r>
        <w:rPr>
          <w:b w:val="0"/>
          <w:bCs w:val="0"/>
        </w:rPr>
      </w:r>
      <w:r>
        <w:rPr>
          <w:rFonts w:ascii="Times New Roman" w:hAnsi="Times New Roman" w:cs="Times New Roman" w:eastAsia="Times New Roman" w:hint="default"/>
        </w:rPr>
        <w:t>36</w:t>
      </w:r>
      <w:r>
        <w:rPr/>
        <w:t>、其他流动负债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t>短期应付债券的增减变动：</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98"/>
        <w:gridCol w:w="798"/>
        <w:gridCol w:w="798"/>
        <w:gridCol w:w="798"/>
        <w:gridCol w:w="798"/>
        <w:gridCol w:w="798"/>
        <w:gridCol w:w="798"/>
        <w:gridCol w:w="798"/>
        <w:gridCol w:w="798"/>
        <w:gridCol w:w="798"/>
        <w:gridCol w:w="798"/>
        <w:gridCol w:w="798"/>
      </w:tblGrid>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债券期限</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本期发行</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23" w:right="32" w:hanging="90"/>
              <w:jc w:val="left"/>
              <w:rPr>
                <w:rFonts w:ascii="宋体" w:hAnsi="宋体" w:cs="宋体" w:eastAsia="宋体" w:hint="default"/>
                <w:sz w:val="18"/>
                <w:szCs w:val="18"/>
              </w:rPr>
            </w:pPr>
            <w:r>
              <w:rPr>
                <w:rFonts w:ascii="宋体" w:hAnsi="宋体" w:cs="宋体" w:eastAsia="宋体" w:hint="default"/>
                <w:sz w:val="18"/>
                <w:szCs w:val="18"/>
              </w:rPr>
              <w:t>按面值计 提利息</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03" w:right="33" w:hanging="270"/>
              <w:jc w:val="left"/>
              <w:rPr>
                <w:rFonts w:ascii="宋体" w:hAnsi="宋体" w:cs="宋体" w:eastAsia="宋体" w:hint="default"/>
                <w:sz w:val="18"/>
                <w:szCs w:val="18"/>
              </w:rPr>
            </w:pPr>
            <w:r>
              <w:rPr>
                <w:rFonts w:ascii="宋体" w:hAnsi="宋体" w:cs="宋体" w:eastAsia="宋体" w:hint="default"/>
                <w:sz w:val="18"/>
                <w:szCs w:val="18"/>
              </w:rPr>
              <w:t>溢折价摊 销</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本期偿还</w:t>
            </w:r>
          </w:p>
        </w:tc>
        <w:tc>
          <w:tcPr>
            <w:tcW w:w="79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7、长期借款" w:id="323"/>
      <w:bookmarkEnd w:id="323"/>
      <w:r>
        <w:rPr>
          <w:b w:val="0"/>
          <w:bCs w:val="0"/>
        </w:rPr>
      </w:r>
      <w:r>
        <w:rPr>
          <w:rFonts w:ascii="Times New Roman" w:hAnsi="Times New Roman" w:cs="Times New Roman" w:eastAsia="Times New Roman" w:hint="default"/>
        </w:rPr>
        <w:t>37</w:t>
      </w:r>
      <w:r>
        <w:rPr/>
        <w:t>、长期借款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长期借款分类" w:id="324"/>
      <w:bookmarkEnd w:id="324"/>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8952"/>
        <w:jc w:val="left"/>
      </w:pPr>
      <w:r>
        <w:rPr/>
        <w:t>长期借款分类的说明： 无。</w:t>
      </w:r>
    </w:p>
    <w:p>
      <w:pPr>
        <w:pStyle w:val="BodyText"/>
        <w:spacing w:line="357" w:lineRule="auto" w:before="29"/>
        <w:ind w:right="8592"/>
        <w:jc w:val="left"/>
      </w:pPr>
      <w:r>
        <w:rPr/>
        <w:t>其他说明，包括利率区间：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8、应付债券" w:id="325"/>
      <w:bookmarkEnd w:id="325"/>
      <w:r>
        <w:rPr>
          <w:b w:val="0"/>
          <w:bCs w:val="0"/>
        </w:rPr>
      </w:r>
      <w:r>
        <w:rPr>
          <w:rFonts w:ascii="Times New Roman" w:hAnsi="Times New Roman" w:cs="Times New Roman" w:eastAsia="Times New Roman" w:hint="default"/>
        </w:rPr>
        <w:t>38</w:t>
      </w:r>
      <w:r>
        <w:rPr/>
        <w:t>、应付债券</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应付债券" w:id="326"/>
      <w:bookmarkEnd w:id="326"/>
      <w:r>
        <w:rPr>
          <w:b w:val="0"/>
          <w:bCs w:val="0"/>
        </w:rPr>
      </w:r>
      <w:r>
        <w:rPr/>
        <w:t>（</w:t>
      </w:r>
      <w:r>
        <w:rPr>
          <w:rFonts w:ascii="Times New Roman" w:hAnsi="Times New Roman" w:cs="Times New Roman" w:eastAsia="Times New Roman" w:hint="default"/>
        </w:rPr>
        <w:t>1</w:t>
      </w:r>
      <w:r>
        <w:rPr/>
        <w:t>）应付债券</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应付债券的增减变动（不包括划分为金融负债的优先股、永续债等其他金融工具）" w:id="327"/>
      <w:bookmarkEnd w:id="327"/>
      <w:r>
        <w:rPr>
          <w:b w:val="0"/>
          <w:bCs w:val="0"/>
        </w:rPr>
      </w: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24"/>
          <w:szCs w:val="24"/>
        </w:rPr>
      </w:pPr>
    </w:p>
    <w:p>
      <w:pPr>
        <w:pStyle w:val="Heading4"/>
        <w:spacing w:line="240" w:lineRule="auto" w:before="35"/>
        <w:ind w:right="0"/>
        <w:jc w:val="left"/>
        <w:rPr>
          <w:b w:val="0"/>
          <w:bCs w:val="0"/>
        </w:rPr>
      </w:pPr>
      <w:bookmarkStart w:name="（3）可转换公司债券的转股条件、转股时间说明" w:id="328"/>
      <w:bookmarkEnd w:id="328"/>
      <w:r>
        <w:rPr>
          <w:b w:val="0"/>
          <w:bCs w:val="0"/>
        </w:rPr>
      </w: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4）划分为金融负债的其他金融工具说明" w:id="329"/>
      <w:bookmarkEnd w:id="329"/>
      <w:r>
        <w:rPr>
          <w:b w:val="0"/>
          <w:bCs w:val="0"/>
        </w:rPr>
      </w: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57" w:lineRule="auto" w:before="44"/>
        <w:ind w:right="-20"/>
        <w:jc w:val="left"/>
      </w:pPr>
      <w:r>
        <w:rPr/>
        <w:t>期末发行在外的优先股、永续债等其他金融工具基本情况 无。 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left="153" w:right="0"/>
        <w:jc w:val="left"/>
      </w:pPr>
      <w:r>
        <w:rPr/>
        <w:t>单位： 元</w:t>
      </w:r>
    </w:p>
    <w:p>
      <w:pPr>
        <w:spacing w:after="0" w:line="240" w:lineRule="auto"/>
        <w:jc w:val="left"/>
        <w:sectPr>
          <w:type w:val="continuous"/>
          <w:pgSz w:w="11910" w:h="16840"/>
          <w:pgMar w:top="1060" w:bottom="1160" w:left="980" w:right="0"/>
          <w:cols w:num="2" w:equalWidth="0">
            <w:col w:w="4655" w:space="4175"/>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51"/>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6"/>
              <w:ind w:left="166" w:right="77" w:hanging="90"/>
              <w:jc w:val="left"/>
              <w:rPr>
                <w:rFonts w:ascii="宋体" w:hAnsi="宋体" w:cs="宋体" w:eastAsia="宋体" w:hint="default"/>
                <w:sz w:val="18"/>
                <w:szCs w:val="18"/>
              </w:rPr>
            </w:pPr>
            <w:r>
              <w:rPr>
                <w:rFonts w:ascii="宋体" w:hAnsi="宋体" w:cs="宋体" w:eastAsia="宋体" w:hint="default"/>
                <w:sz w:val="18"/>
                <w:szCs w:val="18"/>
              </w:rPr>
              <w:t>发行在外的 金融工具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2"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52"/>
        <w:ind w:right="7512"/>
        <w:jc w:val="left"/>
      </w:pPr>
      <w:r>
        <w:rPr/>
        <w:t>其他金融工具划分为金融负债的依据说明 无。</w:t>
      </w:r>
    </w:p>
    <w:p>
      <w:pPr>
        <w:pStyle w:val="BodyText"/>
        <w:spacing w:line="357" w:lineRule="auto" w:before="29"/>
        <w:ind w:right="100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9、长期应付款" w:id="330"/>
      <w:bookmarkEnd w:id="330"/>
      <w:r>
        <w:rPr>
          <w:b w:val="0"/>
          <w:bCs w:val="0"/>
        </w:rPr>
      </w:r>
      <w:r>
        <w:rPr>
          <w:rFonts w:ascii="Times New Roman" w:hAnsi="Times New Roman" w:cs="Times New Roman" w:eastAsia="Times New Roman" w:hint="default"/>
        </w:rPr>
        <w:t>39</w:t>
      </w:r>
      <w:r>
        <w:rPr/>
        <w:t>、长期应付款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1）按款项性质列示长期应付款" w:id="331"/>
      <w:bookmarkEnd w:id="331"/>
      <w:r>
        <w:rPr>
          <w:b w:val="0"/>
          <w:bCs w:val="0"/>
        </w:rPr>
      </w: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2"/>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专项应付款" w:id="332"/>
      <w:bookmarkEnd w:id="332"/>
      <w:r>
        <w:rPr>
          <w:b w:val="0"/>
          <w:bCs w:val="0"/>
        </w:rPr>
      </w:r>
      <w:r>
        <w:rPr/>
        <w:t>（</w:t>
      </w:r>
      <w:r>
        <w:rPr>
          <w:rFonts w:ascii="Times New Roman" w:hAnsi="Times New Roman" w:cs="Times New Roman" w:eastAsia="Times New Roman" w:hint="default"/>
        </w:rPr>
        <w:t>2</w:t>
      </w:r>
      <w:r>
        <w:rPr/>
        <w:t>）专项应付款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单位：人民币元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40、长期应付职工薪酬" w:id="333"/>
      <w:bookmarkEnd w:id="333"/>
      <w:r>
        <w:rPr>
          <w:b w:val="0"/>
          <w:bCs w:val="0"/>
        </w:rPr>
      </w:r>
      <w:r>
        <w:rPr>
          <w:rFonts w:ascii="Times New Roman" w:hAnsi="Times New Roman" w:cs="Times New Roman" w:eastAsia="Times New Roman" w:hint="default"/>
        </w:rPr>
        <w:t>40</w:t>
      </w:r>
      <w:r>
        <w:rPr/>
        <w:t>、长期应付职工薪酬</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长期应付职工薪酬表" w:id="334"/>
      <w:bookmarkEnd w:id="334"/>
      <w:r>
        <w:rPr>
          <w:b w:val="0"/>
          <w:bCs w:val="0"/>
        </w:rPr>
      </w:r>
      <w:r>
        <w:rPr/>
        <w:t>（</w:t>
      </w:r>
      <w:r>
        <w:rPr>
          <w:rFonts w:ascii="Times New Roman" w:hAnsi="Times New Roman" w:cs="Times New Roman" w:eastAsia="Times New Roman" w:hint="default"/>
        </w:rPr>
        <w:t>1</w:t>
      </w:r>
      <w:r>
        <w:rPr/>
        <w:t>）长期应付职工薪酬表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2）设定受益计划变动情况" w:id="335"/>
      <w:bookmarkEnd w:id="335"/>
      <w:r>
        <w:rPr>
          <w:b w:val="0"/>
          <w:bCs w:val="0"/>
        </w:rPr>
      </w:r>
      <w:r>
        <w:rPr/>
        <w:t>（</w:t>
      </w:r>
      <w:r>
        <w:rPr>
          <w:rFonts w:ascii="Times New Roman" w:hAnsi="Times New Roman" w:cs="Times New Roman" w:eastAsia="Times New Roman" w:hint="default"/>
        </w:rPr>
        <w:t>2</w:t>
      </w:r>
      <w:r>
        <w:rPr/>
        <w:t>）设定受益计划变动情况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设定受益计划义务现值：</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right="0"/>
        <w:jc w:val="left"/>
      </w:pPr>
      <w:r>
        <w:rPr/>
        <w:t>计划资产：</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right="0"/>
        <w:jc w:val="left"/>
      </w:pPr>
      <w:r>
        <w:rPr/>
        <w:t>设定受益计划净负债（净资产）</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52"/>
        <w:ind w:right="3552"/>
        <w:jc w:val="left"/>
      </w:pPr>
      <w:r>
        <w:rPr/>
        <w:t>设定受益计划的内容及与之相关风险、对公司未来现金流量、时间和不确定性的影响说明： 无。</w:t>
      </w:r>
    </w:p>
    <w:p>
      <w:pPr>
        <w:pStyle w:val="BodyText"/>
        <w:spacing w:line="357" w:lineRule="auto" w:before="29"/>
        <w:ind w:right="6612"/>
        <w:jc w:val="left"/>
      </w:pPr>
      <w:r>
        <w:rPr/>
        <w:t>设定受益计划重大精算假设及敏感性分析结果说明： 无。</w:t>
      </w:r>
    </w:p>
    <w:p>
      <w:pPr>
        <w:pStyle w:val="BodyText"/>
        <w:spacing w:line="357" w:lineRule="auto" w:before="29"/>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41、预计负债" w:id="336"/>
      <w:bookmarkEnd w:id="336"/>
      <w:r>
        <w:rPr>
          <w:b w:val="0"/>
          <w:bCs w:val="0"/>
        </w:rPr>
      </w:r>
      <w:r>
        <w:rPr>
          <w:rFonts w:ascii="Times New Roman" w:hAnsi="Times New Roman" w:cs="Times New Roman" w:eastAsia="Times New Roman" w:hint="default"/>
        </w:rPr>
        <w:t>41</w:t>
      </w:r>
      <w:r>
        <w:rPr/>
        <w:t>、预计负债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6"/>
        <w:gridCol w:w="2408"/>
        <w:gridCol w:w="2392"/>
        <w:gridCol w:w="2392"/>
      </w:tblGrid>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4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16,513,980.73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8,938,440.10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预提质量保证金</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16,513,980.73</w:t>
            </w:r>
          </w:p>
        </w:tc>
        <w:tc>
          <w:tcPr>
            <w:tcW w:w="2392"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8,938,440.10</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6072"/>
        <w:jc w:val="left"/>
      </w:pPr>
      <w:r>
        <w:rPr/>
        <w:t>其他说明，包括重要预计负债的相关重要假设、估计说明：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42、递延收益" w:id="337"/>
      <w:bookmarkEnd w:id="337"/>
      <w:r>
        <w:rPr>
          <w:b w:val="0"/>
          <w:bCs w:val="0"/>
        </w:rPr>
      </w:r>
      <w:r>
        <w:rPr>
          <w:rFonts w:ascii="Times New Roman" w:hAnsi="Times New Roman" w:cs="Times New Roman" w:eastAsia="Times New Roman" w:hint="default"/>
        </w:rPr>
        <w:t>42</w:t>
      </w:r>
      <w:r>
        <w:rPr/>
        <w:t>、递延收益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2,133,710.12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1,000,120.36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7,273,589.76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见下表</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2,133,710.12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1,000,120.36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7,273,589.76</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涉及政府补助的项目：</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56" w:right="74"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5" w:right="76"/>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2" w:lineRule="auto"/>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bl>
    <w:p>
      <w:pPr>
        <w:spacing w:after="0" w:line="302"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96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文化创意资 助款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裸眼</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3D</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显示 技术工程实 </w:t>
            </w:r>
            <w:r>
              <w:rPr>
                <w:rFonts w:ascii="宋体" w:hAnsi="宋体" w:cs="宋体" w:eastAsia="宋体" w:hint="default"/>
                <w:spacing w:val="-13"/>
                <w:sz w:val="18"/>
                <w:szCs w:val="18"/>
              </w:rPr>
              <w:t>验室项目（注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2,133,589.76</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1,133,589.76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4"/>
              <w:jc w:val="left"/>
              <w:rPr>
                <w:rFonts w:ascii="宋体" w:hAnsi="宋体" w:cs="宋体" w:eastAsia="宋体" w:hint="default"/>
                <w:sz w:val="18"/>
                <w:szCs w:val="18"/>
              </w:rPr>
            </w:pPr>
            <w:r>
              <w:rPr>
                <w:rFonts w:ascii="宋体" w:hAnsi="宋体" w:cs="宋体" w:eastAsia="宋体" w:hint="default"/>
                <w:sz w:val="18"/>
                <w:szCs w:val="18"/>
              </w:rPr>
              <w:t>大众体育场 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O2O</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智能 服务系统研 发及产业化 项目（注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1,240,000.00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基于大数据 的智慧银行 系统研发及 产业化项目</w:t>
            </w:r>
          </w:p>
          <w:p>
            <w:pPr>
              <w:pStyle w:val="TableParagraph"/>
              <w:spacing w:line="240" w:lineRule="auto" w:before="20"/>
              <w:ind w:left="22" w:right="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4,900,000.00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120.36</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5" w:right="0"/>
              <w:jc w:val="left"/>
              <w:rPr>
                <w:rFonts w:ascii="Times New Roman" w:hAnsi="Times New Roman" w:cs="Times New Roman" w:eastAsia="Times New Roman" w:hint="default"/>
                <w:sz w:val="18"/>
                <w:szCs w:val="18"/>
              </w:rPr>
            </w:pPr>
            <w:r>
              <w:rPr>
                <w:rFonts w:ascii="Times New Roman"/>
                <w:sz w:val="18"/>
              </w:rPr>
              <w:t>120.36</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bl>
    <w:p>
      <w:pPr>
        <w:pStyle w:val="BodyText"/>
        <w:spacing w:line="357" w:lineRule="auto" w:before="51"/>
        <w:ind w:right="1118"/>
        <w:jc w:val="left"/>
      </w:pPr>
      <w:r>
        <w:rPr/>
        <w:t>其他说明： 注</w:t>
      </w:r>
      <w:r>
        <w:rPr>
          <w:rFonts w:ascii="Times New Roman" w:hAnsi="Times New Roman" w:cs="Times New Roman" w:eastAsia="Times New Roman" w:hint="default"/>
        </w:rPr>
        <w:t>1</w:t>
      </w:r>
      <w:r>
        <w:rPr/>
        <w:t>、根据深圳市发展和改革委员会深发改</w:t>
      </w:r>
      <w:r>
        <w:rPr>
          <w:rFonts w:ascii="Times New Roman" w:hAnsi="Times New Roman" w:cs="Times New Roman" w:eastAsia="Times New Roman" w:hint="default"/>
        </w:rPr>
        <w:t>[2013]263</w:t>
      </w:r>
      <w:r>
        <w:rPr/>
        <w:t>号</w:t>
      </w:r>
      <w:r>
        <w:rPr>
          <w:rFonts w:ascii="Times New Roman" w:hAnsi="Times New Roman" w:cs="Times New Roman" w:eastAsia="Times New Roman" w:hint="default"/>
        </w:rPr>
        <w:t>“</w:t>
      </w:r>
      <w:r>
        <w:rPr/>
        <w:t>深圳市发展改革委关于深圳市奥拓电子股份有限公司深圳奥拓电子</w:t>
      </w:r>
    </w:p>
    <w:p>
      <w:pPr>
        <w:pStyle w:val="BodyText"/>
        <w:spacing w:line="214" w:lineRule="exact"/>
        <w:ind w:right="0"/>
        <w:jc w:val="left"/>
      </w:pPr>
      <w:r>
        <w:rPr>
          <w:rFonts w:ascii="Times New Roman" w:hAnsi="Times New Roman" w:cs="Times New Roman" w:eastAsia="Times New Roman" w:hint="default"/>
          <w:spacing w:val="-1"/>
        </w:rPr>
        <w:t>LED</w:t>
      </w:r>
      <w:r>
        <w:rPr>
          <w:spacing w:val="-1"/>
        </w:rPr>
        <w:t>裸眼</w:t>
      </w:r>
      <w:r>
        <w:rPr>
          <w:rFonts w:ascii="Times New Roman" w:hAnsi="Times New Roman" w:cs="Times New Roman" w:eastAsia="Times New Roman" w:hint="default"/>
          <w:spacing w:val="-1"/>
        </w:rPr>
        <w:t>3D</w:t>
      </w:r>
      <w:r>
        <w:rPr>
          <w:spacing w:val="-1"/>
        </w:rPr>
        <w:t>显示技术工程实验室项目资金申请报告的批复</w:t>
      </w:r>
      <w:r>
        <w:rPr>
          <w:rFonts w:ascii="Times New Roman" w:hAnsi="Times New Roman" w:cs="Times New Roman" w:eastAsia="Times New Roman" w:hint="default"/>
          <w:spacing w:val="-1"/>
        </w:rPr>
        <w:t>”</w:t>
      </w:r>
      <w:r>
        <w:rPr>
          <w:spacing w:val="-1"/>
        </w:rPr>
        <w:t>，</w:t>
      </w:r>
      <w:r>
        <w:rPr>
          <w:spacing w:val="-14"/>
        </w:rPr>
        <w:t> </w:t>
      </w:r>
      <w:r>
        <w:rPr>
          <w:spacing w:val="-2"/>
        </w:rPr>
        <w:t>获取的项目资助款</w:t>
      </w:r>
      <w:r>
        <w:rPr>
          <w:rFonts w:ascii="Times New Roman" w:hAnsi="Times New Roman" w:cs="Times New Roman" w:eastAsia="Times New Roman" w:hint="default"/>
          <w:spacing w:val="-2"/>
        </w:rPr>
        <w:t>500</w:t>
      </w:r>
      <w:r>
        <w:rPr>
          <w:spacing w:val="-2"/>
        </w:rPr>
        <w:t>万。该项目</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29</w:t>
      </w:r>
      <w:r>
        <w:rPr>
          <w:spacing w:val="-2"/>
        </w:rPr>
        <w:t>日已验收，截至</w:t>
      </w:r>
    </w:p>
    <w:p>
      <w:pPr>
        <w:pStyle w:val="BodyText"/>
        <w:spacing w:line="300" w:lineRule="auto" w:before="63"/>
        <w:ind w:right="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日，递延收益余额为</w:t>
      </w:r>
      <w:r>
        <w:rPr>
          <w:rFonts w:ascii="Times New Roman" w:hAnsi="Times New Roman" w:cs="Times New Roman" w:eastAsia="Times New Roman" w:hint="default"/>
        </w:rPr>
        <w:t>1,133,589.76</w:t>
      </w:r>
      <w:r>
        <w:rPr/>
        <w:t>元。 </w:t>
      </w:r>
      <w:r>
        <w:rPr>
          <w:spacing w:val="-2"/>
        </w:rPr>
        <w:t>注</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3</w:t>
      </w:r>
      <w:r>
        <w:rPr>
          <w:spacing w:val="-2"/>
        </w:rPr>
        <w:t>月根据深圳市财政委员会、中国深圳市委宣传部等部门通知（深财科【</w:t>
      </w:r>
      <w:r>
        <w:rPr>
          <w:rFonts w:ascii="Times New Roman" w:hAnsi="Times New Roman" w:cs="Times New Roman" w:eastAsia="Times New Roman" w:hint="default"/>
          <w:spacing w:val="-2"/>
        </w:rPr>
        <w:t>2018</w:t>
      </w:r>
      <w:r>
        <w:rPr>
          <w:spacing w:val="-2"/>
        </w:rPr>
        <w:t>】</w:t>
      </w:r>
      <w:r>
        <w:rPr>
          <w:rFonts w:ascii="Times New Roman" w:hAnsi="Times New Roman" w:cs="Times New Roman" w:eastAsia="Times New Roman" w:hint="default"/>
          <w:spacing w:val="-2"/>
        </w:rPr>
        <w:t>17</w:t>
      </w:r>
      <w:r>
        <w:rPr>
          <w:spacing w:val="-2"/>
        </w:rPr>
        <w:t>号），为扶持深圳市奥拓电子</w:t>
      </w:r>
      <w:r>
        <w:rPr>
          <w:spacing w:val="-57"/>
        </w:rPr>
        <w:t> </w:t>
      </w:r>
      <w:r>
        <w:rPr>
          <w:spacing w:val="-57"/>
        </w:rPr>
      </w:r>
      <w:r>
        <w:rPr>
          <w:spacing w:val="-2"/>
        </w:rPr>
        <w:t>股份有限公司大众体育场馆</w:t>
      </w:r>
      <w:r>
        <w:rPr>
          <w:rFonts w:ascii="Times New Roman" w:hAnsi="Times New Roman" w:cs="Times New Roman" w:eastAsia="Times New Roman" w:hint="default"/>
          <w:spacing w:val="-2"/>
        </w:rPr>
        <w:t>O2O</w:t>
      </w:r>
      <w:r>
        <w:rPr>
          <w:spacing w:val="-2"/>
        </w:rPr>
        <w:t>智能服务系统研发及产业化项目，收到深圳市文体旅游局原创项目研发和非遗产业化资助资</w:t>
      </w:r>
      <w:r>
        <w:rPr>
          <w:spacing w:val="-54"/>
        </w:rPr>
        <w:t> </w:t>
      </w:r>
      <w:r>
        <w:rPr>
          <w:spacing w:val="-54"/>
        </w:rPr>
      </w:r>
      <w:r>
        <w:rPr/>
        <w:t>金</w:t>
      </w:r>
      <w:r>
        <w:rPr>
          <w:rFonts w:ascii="Times New Roman" w:hAnsi="Times New Roman" w:cs="Times New Roman" w:eastAsia="Times New Roman" w:hint="default"/>
        </w:rPr>
        <w:t>1,240,000</w:t>
      </w:r>
      <w:r>
        <w:rPr/>
        <w:t>元，截至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日，暂未验收。 </w:t>
      </w:r>
      <w:r>
        <w:rPr>
          <w:spacing w:val="-1"/>
        </w:rPr>
        <w:t>注</w:t>
      </w:r>
      <w:r>
        <w:rPr>
          <w:rFonts w:ascii="Times New Roman" w:hAnsi="Times New Roman" w:cs="Times New Roman" w:eastAsia="Times New Roman" w:hint="default"/>
          <w:spacing w:val="-1"/>
        </w:rPr>
        <w:t>3</w:t>
      </w:r>
      <w:r>
        <w:rPr>
          <w:spacing w:val="-1"/>
        </w:rPr>
        <w:t>、根据南京市财政局宁财企【</w:t>
      </w:r>
      <w:r>
        <w:rPr>
          <w:rFonts w:ascii="Times New Roman" w:hAnsi="Times New Roman" w:cs="Times New Roman" w:eastAsia="Times New Roman" w:hint="default"/>
          <w:spacing w:val="-1"/>
        </w:rPr>
        <w:t>2018</w:t>
      </w:r>
      <w:r>
        <w:rPr>
          <w:spacing w:val="-1"/>
        </w:rPr>
        <w:t>】</w:t>
      </w:r>
      <w:r>
        <w:rPr>
          <w:rFonts w:ascii="Times New Roman" w:hAnsi="Times New Roman" w:cs="Times New Roman" w:eastAsia="Times New Roman" w:hint="default"/>
          <w:spacing w:val="-1"/>
        </w:rPr>
        <w:t>45</w:t>
      </w:r>
      <w:r>
        <w:rPr>
          <w:spacing w:val="-1"/>
        </w:rPr>
        <w:t>号</w:t>
      </w:r>
      <w:r>
        <w:rPr>
          <w:rFonts w:ascii="Times New Roman" w:hAnsi="Times New Roman" w:cs="Times New Roman" w:eastAsia="Times New Roman" w:hint="default"/>
          <w:spacing w:val="-1"/>
        </w:rPr>
        <w:t>“</w:t>
      </w:r>
      <w:r>
        <w:rPr>
          <w:spacing w:val="-1"/>
        </w:rPr>
        <w:t>南京奥拓电子科技有限公司基于大数据的智慧银行系统研发及产业化项目</w:t>
      </w:r>
      <w:r>
        <w:rPr>
          <w:rFonts w:ascii="Times New Roman" w:hAnsi="Times New Roman" w:cs="Times New Roman" w:eastAsia="Times New Roman" w:hint="default"/>
          <w:spacing w:val="-1"/>
        </w:rPr>
        <w:t>”,</w:t>
      </w:r>
      <w:r>
        <w:rPr>
          <w:spacing w:val="-1"/>
        </w:rPr>
        <w:t>获</w:t>
      </w:r>
      <w:r>
        <w:rPr>
          <w:spacing w:val="-48"/>
        </w:rPr>
        <w:t> </w:t>
      </w:r>
      <w:r>
        <w:rPr/>
        <w:t>取的项目资助款</w:t>
      </w:r>
      <w:r>
        <w:rPr>
          <w:rFonts w:ascii="Times New Roman" w:hAnsi="Times New Roman" w:cs="Times New Roman" w:eastAsia="Times New Roman" w:hint="default"/>
        </w:rPr>
        <w:t>700</w:t>
      </w:r>
      <w:r>
        <w:rPr/>
        <w:t>万，该资助金</w:t>
      </w:r>
      <w:r>
        <w:rPr>
          <w:rFonts w:ascii="Times New Roman" w:hAnsi="Times New Roman" w:cs="Times New Roman" w:eastAsia="Times New Roman" w:hint="default"/>
        </w:rPr>
        <w:t>70%</w:t>
      </w:r>
      <w:r>
        <w:rPr/>
        <w:t>已预拨给本公司，截至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日，暂未验收。</w:t>
      </w:r>
    </w:p>
    <w:p>
      <w:pPr>
        <w:spacing w:line="240" w:lineRule="auto" w:before="1"/>
        <w:rPr>
          <w:rFonts w:ascii="宋体" w:hAnsi="宋体" w:cs="宋体" w:eastAsia="宋体" w:hint="default"/>
          <w:sz w:val="22"/>
          <w:szCs w:val="22"/>
        </w:rPr>
      </w:pPr>
    </w:p>
    <w:p>
      <w:pPr>
        <w:pStyle w:val="Heading4"/>
        <w:spacing w:line="240" w:lineRule="auto"/>
        <w:ind w:right="0"/>
        <w:jc w:val="left"/>
        <w:rPr>
          <w:b w:val="0"/>
          <w:bCs w:val="0"/>
        </w:rPr>
      </w:pPr>
      <w:bookmarkStart w:name="43、其他非流动负债" w:id="338"/>
      <w:bookmarkEnd w:id="338"/>
      <w:r>
        <w:rPr>
          <w:b w:val="0"/>
          <w:bCs w:val="0"/>
        </w:rPr>
      </w:r>
      <w:r>
        <w:rPr>
          <w:rFonts w:ascii="Times New Roman" w:hAnsi="Times New Roman" w:cs="Times New Roman" w:eastAsia="Times New Roman" w:hint="default"/>
        </w:rPr>
        <w:t>43</w:t>
      </w:r>
      <w:r>
        <w:rPr/>
        <w:t>、其他非流动负债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2"/>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44、股本" w:id="339"/>
      <w:bookmarkEnd w:id="339"/>
      <w:r>
        <w:rPr>
          <w:b w:val="0"/>
          <w:bCs w:val="0"/>
        </w:rPr>
      </w:r>
      <w:r>
        <w:rPr>
          <w:rFonts w:ascii="Times New Roman" w:hAnsi="Times New Roman" w:cs="Times New Roman" w:eastAsia="Times New Roman" w:hint="default"/>
        </w:rPr>
        <w:t>44</w:t>
      </w:r>
      <w:r>
        <w:rPr/>
        <w:t>、股本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208"/>
        <w:gridCol w:w="1184"/>
        <w:gridCol w:w="1197"/>
        <w:gridCol w:w="1195"/>
        <w:gridCol w:w="1197"/>
        <w:gridCol w:w="1184"/>
        <w:gridCol w:w="1207"/>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8"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8"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0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58" w:type="dxa"/>
            <w:gridSpan w:val="5"/>
            <w:vMerge/>
            <w:tcBorders>
              <w:left w:val="single" w:sz="4" w:space="0" w:color="000000"/>
              <w:bottom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4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0"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0"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07"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20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20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611,385,834.00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7" w:right="0"/>
              <w:jc w:val="left"/>
              <w:rPr>
                <w:rFonts w:ascii="Times New Roman" w:hAnsi="Times New Roman" w:cs="Times New Roman" w:eastAsia="Times New Roman" w:hint="default"/>
                <w:sz w:val="18"/>
                <w:szCs w:val="18"/>
              </w:rPr>
            </w:pPr>
            <w:r>
              <w:rPr>
                <w:rFonts w:ascii="Times New Roman"/>
                <w:sz w:val="18"/>
              </w:rPr>
              <w:t>8,000,000.00</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3" w:right="0"/>
              <w:jc w:val="left"/>
              <w:rPr>
                <w:rFonts w:ascii="Times New Roman" w:hAnsi="Times New Roman" w:cs="Times New Roman" w:eastAsia="Times New Roman" w:hint="default"/>
                <w:sz w:val="18"/>
                <w:szCs w:val="18"/>
              </w:rPr>
            </w:pPr>
            <w:r>
              <w:rPr>
                <w:rFonts w:ascii="Times New Roman"/>
                <w:sz w:val="18"/>
              </w:rPr>
              <w:t>-171,000.00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8" w:right="0"/>
              <w:jc w:val="left"/>
              <w:rPr>
                <w:rFonts w:ascii="Times New Roman" w:hAnsi="Times New Roman" w:cs="Times New Roman" w:eastAsia="Times New Roman" w:hint="default"/>
                <w:sz w:val="18"/>
                <w:szCs w:val="18"/>
              </w:rPr>
            </w:pPr>
            <w:r>
              <w:rPr>
                <w:rFonts w:ascii="Times New Roman"/>
                <w:sz w:val="18"/>
              </w:rPr>
              <w:t>7,829,000.00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619,214,834.00</w:t>
            </w:r>
          </w:p>
        </w:tc>
      </w:tr>
    </w:tbl>
    <w:p>
      <w:pPr>
        <w:pStyle w:val="BodyText"/>
        <w:spacing w:line="240" w:lineRule="auto" w:before="51"/>
        <w:ind w:right="0"/>
        <w:jc w:val="left"/>
      </w:pPr>
      <w:r>
        <w:rPr/>
        <w:t>其他说明：</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4" w:lineRule="auto" w:before="44"/>
        <w:ind w:right="0"/>
        <w:jc w:val="left"/>
      </w:pPr>
      <w:r>
        <w:rPr>
          <w:spacing w:val="-1"/>
        </w:rPr>
        <w:t>（</w:t>
      </w:r>
      <w:r>
        <w:rPr>
          <w:rFonts w:ascii="Times New Roman" w:hAnsi="Times New Roman" w:cs="Times New Roman" w:eastAsia="Times New Roman" w:hint="default"/>
          <w:spacing w:val="-1"/>
        </w:rPr>
        <w:t>1</w:t>
      </w:r>
      <w:r>
        <w:rPr>
          <w:spacing w:val="-1"/>
        </w:rPr>
        <w:t>）本年股本增加</w:t>
      </w:r>
      <w:r>
        <w:rPr>
          <w:rFonts w:ascii="Times New Roman" w:hAnsi="Times New Roman" w:cs="Times New Roman" w:eastAsia="Times New Roman" w:hint="default"/>
          <w:spacing w:val="-1"/>
        </w:rPr>
        <w:t>8,000,000.00</w:t>
      </w:r>
      <w:r>
        <w:rPr>
          <w:spacing w:val="-1"/>
        </w:rPr>
        <w:t>元，系根据公司</w:t>
      </w:r>
      <w:r>
        <w:rPr>
          <w:rFonts w:ascii="Times New Roman" w:hAnsi="Times New Roman" w:cs="Times New Roman" w:eastAsia="Times New Roman" w:hint="default"/>
          <w:spacing w:val="-1"/>
        </w:rPr>
        <w:t>2018</w:t>
      </w:r>
      <w:r>
        <w:rPr>
          <w:spacing w:val="-1"/>
        </w:rPr>
        <w:t>年第二次临时股东大会审议通过的《深圳市奥拓电子股份有限公司</w:t>
      </w:r>
      <w:r>
        <w:rPr>
          <w:rFonts w:ascii="Times New Roman" w:hAnsi="Times New Roman" w:cs="Times New Roman" w:eastAsia="Times New Roman" w:hint="default"/>
          <w:spacing w:val="-1"/>
        </w:rPr>
        <w:t>2018</w:t>
      </w:r>
      <w:r>
        <w:rPr>
          <w:rFonts w:ascii="Times New Roman" w:hAnsi="Times New Roman" w:cs="Times New Roman" w:eastAsia="Times New Roman" w:hint="default"/>
          <w:spacing w:val="-23"/>
        </w:rPr>
        <w:t> </w:t>
      </w:r>
      <w:r>
        <w:rPr>
          <w:spacing w:val="-2"/>
        </w:rPr>
        <w:t>年限制性股票激励计划》，第三届董事会第三十二次会议审议通过的《关于向激励对象授予限制性股票的议案》、《关于调</w:t>
      </w:r>
      <w:r>
        <w:rPr>
          <w:spacing w:val="-66"/>
        </w:rPr>
        <w:t> </w:t>
      </w:r>
      <w:r>
        <w:rPr>
          <w:spacing w:val="-66"/>
        </w:rPr>
      </w:r>
      <w:r>
        <w:rPr>
          <w:spacing w:val="-2"/>
        </w:rPr>
        <w:t>整</w:t>
      </w:r>
      <w:r>
        <w:rPr>
          <w:rFonts w:ascii="Times New Roman" w:hAnsi="Times New Roman" w:cs="Times New Roman" w:eastAsia="Times New Roman" w:hint="default"/>
          <w:spacing w:val="-2"/>
        </w:rPr>
        <w:t>2018</w:t>
      </w:r>
      <w:r>
        <w:rPr>
          <w:spacing w:val="-2"/>
        </w:rPr>
        <w:t>年股权激励计划授予对象数量的议案》以及第三届董事会第三十三次会议审议通过的《关于调整</w:t>
      </w:r>
      <w:r>
        <w:rPr>
          <w:rFonts w:ascii="Times New Roman" w:hAnsi="Times New Roman" w:cs="Times New Roman" w:eastAsia="Times New Roman" w:hint="default"/>
          <w:spacing w:val="-2"/>
        </w:rPr>
        <w:t>2018</w:t>
      </w:r>
      <w:r>
        <w:rPr>
          <w:spacing w:val="-2"/>
        </w:rPr>
        <w:t>年股权激励计划</w:t>
      </w:r>
      <w:r>
        <w:rPr>
          <w:spacing w:val="-56"/>
        </w:rPr>
        <w:t> </w:t>
      </w:r>
      <w:r>
        <w:rPr/>
        <w:t>授予对象数量的议案》，公司向</w:t>
      </w:r>
      <w:r>
        <w:rPr>
          <w:rFonts w:ascii="Times New Roman" w:hAnsi="Times New Roman" w:cs="Times New Roman" w:eastAsia="Times New Roman" w:hint="default"/>
        </w:rPr>
        <w:t>147</w:t>
      </w:r>
      <w:r>
        <w:rPr/>
        <w:t>名激励对象授予</w:t>
      </w:r>
      <w:r>
        <w:rPr>
          <w:rFonts w:ascii="Times New Roman" w:hAnsi="Times New Roman" w:cs="Times New Roman" w:eastAsia="Times New Roman" w:hint="default"/>
        </w:rPr>
        <w:t>8,000,000</w:t>
      </w:r>
      <w:r>
        <w:rPr/>
        <w:t>股限制性股票，授予价格为</w:t>
      </w:r>
      <w:r>
        <w:rPr>
          <w:rFonts w:ascii="Times New Roman" w:hAnsi="Times New Roman" w:cs="Times New Roman" w:eastAsia="Times New Roman" w:hint="default"/>
        </w:rPr>
        <w:t>2.70</w:t>
      </w:r>
      <w:r>
        <w:rPr/>
        <w:t>元</w:t>
      </w:r>
      <w:r>
        <w:rPr>
          <w:rFonts w:ascii="Times New Roman" w:hAnsi="Times New Roman" w:cs="Times New Roman" w:eastAsia="Times New Roman" w:hint="default"/>
        </w:rPr>
        <w:t>/</w:t>
      </w:r>
      <w:r>
        <w:rPr/>
        <w:t>股。增加注册资本人民币 </w:t>
      </w:r>
      <w:r>
        <w:rPr>
          <w:rFonts w:ascii="Times New Roman" w:hAnsi="Times New Roman" w:cs="Times New Roman" w:eastAsia="Times New Roman" w:hint="default"/>
        </w:rPr>
        <w:t>8,000,000</w:t>
      </w:r>
      <w:r>
        <w:rPr/>
        <w:t>元。本次变更业经瑞华验字</w:t>
      </w:r>
      <w:r>
        <w:rPr>
          <w:rFonts w:ascii="Times New Roman" w:hAnsi="Times New Roman" w:cs="Times New Roman" w:eastAsia="Times New Roman" w:hint="default"/>
        </w:rPr>
        <w:t>[2018]48170002</w:t>
      </w:r>
      <w:r>
        <w:rPr/>
        <w:t>号验证。</w:t>
      </w:r>
    </w:p>
    <w:p>
      <w:pPr>
        <w:pStyle w:val="BodyText"/>
        <w:spacing w:line="300" w:lineRule="auto" w:before="47"/>
        <w:ind w:right="1132"/>
        <w:jc w:val="both"/>
      </w:pPr>
      <w:r>
        <w:rPr>
          <w:spacing w:val="-2"/>
        </w:rPr>
        <w:t>（</w:t>
      </w:r>
      <w:r>
        <w:rPr>
          <w:rFonts w:ascii="Times New Roman" w:hAnsi="Times New Roman" w:cs="Times New Roman" w:eastAsia="Times New Roman" w:hint="default"/>
          <w:spacing w:val="-2"/>
        </w:rPr>
        <w:t>2</w:t>
      </w:r>
      <w:r>
        <w:rPr>
          <w:spacing w:val="-2"/>
        </w:rPr>
        <w:t>）本年减少股本</w:t>
      </w:r>
      <w:r>
        <w:rPr>
          <w:rFonts w:ascii="Times New Roman" w:hAnsi="Times New Roman" w:cs="Times New Roman" w:eastAsia="Times New Roman" w:hint="default"/>
          <w:spacing w:val="-2"/>
        </w:rPr>
        <w:t>171,000.00</w:t>
      </w:r>
      <w:r>
        <w:rPr>
          <w:spacing w:val="-2"/>
        </w:rPr>
        <w:t>元，系根据公司于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w:t>
      </w:r>
      <w:r>
        <w:rPr>
          <w:spacing w:val="-2"/>
        </w:rPr>
        <w:t>日召开的的第三届董事会第二十五次会议决议通过的《关于回购</w:t>
      </w:r>
      <w:r>
        <w:rPr>
          <w:spacing w:val="-50"/>
        </w:rPr>
        <w:t> </w:t>
      </w:r>
      <w:r>
        <w:rPr>
          <w:spacing w:val="-50"/>
        </w:rPr>
      </w:r>
      <w:r>
        <w:rPr>
          <w:spacing w:val="-2"/>
        </w:rPr>
        <w:t>注销部分限制性股票的议案》，公司对</w:t>
      </w:r>
      <w:r>
        <w:rPr>
          <w:rFonts w:ascii="Times New Roman" w:hAnsi="Times New Roman" w:cs="Times New Roman" w:eastAsia="Times New Roman" w:hint="default"/>
          <w:spacing w:val="-2"/>
        </w:rPr>
        <w:t>13</w:t>
      </w:r>
      <w:r>
        <w:rPr>
          <w:spacing w:val="-2"/>
        </w:rPr>
        <w:t>名离职激励对象持有的尚未解锁的全部限制性股票进行回购注销。本次合计回购注</w:t>
      </w:r>
      <w:r>
        <w:rPr>
          <w:spacing w:val="-64"/>
        </w:rPr>
        <w:t> </w:t>
      </w:r>
      <w:r>
        <w:rPr>
          <w:spacing w:val="-64"/>
        </w:rPr>
      </w:r>
      <w:r>
        <w:rPr/>
        <w:t>销限制性股票</w:t>
      </w:r>
      <w:r>
        <w:rPr>
          <w:rFonts w:ascii="Times New Roman" w:hAnsi="Times New Roman" w:cs="Times New Roman" w:eastAsia="Times New Roman" w:hint="default"/>
        </w:rPr>
        <w:t>171,000</w:t>
      </w:r>
      <w:r>
        <w:rPr/>
        <w:t>股，减少注册资本人民币</w:t>
      </w:r>
      <w:r>
        <w:rPr>
          <w:rFonts w:ascii="Times New Roman" w:hAnsi="Times New Roman" w:cs="Times New Roman" w:eastAsia="Times New Roman" w:hint="default"/>
        </w:rPr>
        <w:t>171,000</w:t>
      </w:r>
      <w:r>
        <w:rPr/>
        <w:t>元。本次减资业经瑞华验字</w:t>
      </w:r>
      <w:r>
        <w:rPr>
          <w:rFonts w:ascii="Times New Roman" w:hAnsi="Times New Roman" w:cs="Times New Roman" w:eastAsia="Times New Roman" w:hint="default"/>
        </w:rPr>
        <w:t>[2018]48190002</w:t>
      </w:r>
      <w:r>
        <w:rPr/>
        <w:t>号验证。</w:t>
      </w:r>
    </w:p>
    <w:p>
      <w:pPr>
        <w:spacing w:line="240" w:lineRule="auto" w:before="13"/>
        <w:rPr>
          <w:rFonts w:ascii="宋体" w:hAnsi="宋体" w:cs="宋体" w:eastAsia="宋体" w:hint="default"/>
          <w:sz w:val="21"/>
          <w:szCs w:val="21"/>
        </w:rPr>
      </w:pPr>
    </w:p>
    <w:p>
      <w:pPr>
        <w:pStyle w:val="Heading4"/>
        <w:spacing w:line="240" w:lineRule="auto"/>
        <w:ind w:right="0"/>
        <w:jc w:val="left"/>
        <w:rPr>
          <w:b w:val="0"/>
          <w:bCs w:val="0"/>
        </w:rPr>
      </w:pPr>
      <w:bookmarkStart w:name="45、其他权益工具" w:id="340"/>
      <w:bookmarkEnd w:id="340"/>
      <w:r>
        <w:rPr>
          <w:b w:val="0"/>
          <w:bCs w:val="0"/>
        </w:rPr>
      </w:r>
      <w:r>
        <w:rPr>
          <w:rFonts w:ascii="Times New Roman" w:hAnsi="Times New Roman" w:cs="Times New Roman" w:eastAsia="Times New Roman" w:hint="default"/>
        </w:rPr>
        <w:t>45</w:t>
      </w:r>
      <w:r>
        <w:rPr/>
        <w:t>、其他权益工具</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期末发行在外的优先股、永续债等其他金融工具基本情况" w:id="341"/>
      <w:bookmarkEnd w:id="341"/>
      <w:r>
        <w:rPr>
          <w:b w:val="0"/>
          <w:bCs w:val="0"/>
        </w:rPr>
      </w: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2）期末发行在外的优先股、永续债等金融工具变动情况表" w:id="342"/>
      <w:bookmarkEnd w:id="342"/>
      <w:r>
        <w:rPr>
          <w:b w:val="0"/>
          <w:bCs w:val="0"/>
        </w:rPr>
      </w: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51"/>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66" w:right="77" w:hanging="90"/>
              <w:jc w:val="left"/>
              <w:rPr>
                <w:rFonts w:ascii="宋体" w:hAnsi="宋体" w:cs="宋体" w:eastAsia="宋体" w:hint="default"/>
                <w:sz w:val="18"/>
                <w:szCs w:val="18"/>
              </w:rPr>
            </w:pPr>
            <w:r>
              <w:rPr>
                <w:rFonts w:ascii="宋体" w:hAnsi="宋体" w:cs="宋体" w:eastAsia="宋体" w:hint="default"/>
                <w:sz w:val="18"/>
                <w:szCs w:val="18"/>
              </w:rPr>
              <w:t>发行在外的 金融工具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2"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51"/>
        <w:ind w:right="4632"/>
        <w:jc w:val="left"/>
      </w:pPr>
      <w:r>
        <w:rPr/>
        <w:t>其他权益工具本期增减变动情况、变动原因说明，以及相关会计处理的依据： 无。</w:t>
      </w:r>
    </w:p>
    <w:p>
      <w:pPr>
        <w:pStyle w:val="BodyText"/>
        <w:spacing w:line="357" w:lineRule="auto" w:before="29"/>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46、资本公积" w:id="343"/>
      <w:bookmarkEnd w:id="343"/>
      <w:r>
        <w:rPr>
          <w:b w:val="0"/>
          <w:bCs w:val="0"/>
        </w:rPr>
      </w:r>
      <w:r>
        <w:rPr>
          <w:rFonts w:ascii="Times New Roman" w:hAnsi="Times New Roman" w:cs="Times New Roman" w:eastAsia="Times New Roman" w:hint="default"/>
        </w:rPr>
        <w:t>46</w:t>
      </w:r>
      <w:r>
        <w:rPr/>
        <w:t>、资本公积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168,280,958.18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406,980.00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181,473,978.18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22,164,880.00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5,202,366.66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27,367,246.66</w:t>
            </w:r>
          </w:p>
        </w:tc>
      </w:tr>
      <w:tr>
        <w:trPr>
          <w:trHeight w:val="1026"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其中：以权益结算的股 份支付权益工具公允价 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22,164,880.00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5,202,366.66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27,367,246.66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190,445,838.18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18,802,366.66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406,980.00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208,841,224.84</w:t>
            </w:r>
          </w:p>
        </w:tc>
      </w:tr>
    </w:tbl>
    <w:p>
      <w:pPr>
        <w:pStyle w:val="BodyText"/>
        <w:spacing w:line="240" w:lineRule="auto" w:before="51"/>
        <w:ind w:right="0"/>
        <w:jc w:val="left"/>
      </w:pPr>
      <w:r>
        <w:rPr/>
        <w:t>其他说明，包括本期增减变动情况、变动原因说明：</w:t>
      </w:r>
    </w:p>
    <w:p>
      <w:pPr>
        <w:pStyle w:val="BodyText"/>
        <w:spacing w:line="240" w:lineRule="auto" w:before="117"/>
        <w:ind w:right="0"/>
        <w:jc w:val="left"/>
      </w:pPr>
      <w:r>
        <w:rPr/>
        <w:t>（</w:t>
      </w:r>
      <w:r>
        <w:rPr>
          <w:rFonts w:ascii="Times New Roman" w:hAnsi="Times New Roman" w:cs="Times New Roman" w:eastAsia="Times New Roman" w:hint="default"/>
        </w:rPr>
        <w:t>1</w:t>
      </w:r>
      <w:r>
        <w:rPr/>
        <w:t>）本年增加资本公积</w:t>
      </w:r>
      <w:r>
        <w:rPr>
          <w:rFonts w:ascii="Times New Roman" w:hAnsi="Times New Roman" w:cs="Times New Roman" w:eastAsia="Times New Roman" w:hint="default"/>
        </w:rPr>
        <w:t>13,600,000</w:t>
      </w:r>
      <w:r>
        <w:rPr/>
        <w:t>元系附注六、</w:t>
      </w:r>
      <w:r>
        <w:rPr>
          <w:rFonts w:ascii="Times New Roman" w:hAnsi="Times New Roman" w:cs="Times New Roman" w:eastAsia="Times New Roman" w:hint="default"/>
        </w:rPr>
        <w:t>26</w:t>
      </w:r>
      <w:r>
        <w:rPr/>
        <w:t>（</w:t>
      </w:r>
      <w:r>
        <w:rPr>
          <w:rFonts w:ascii="Times New Roman" w:hAnsi="Times New Roman" w:cs="Times New Roman" w:eastAsia="Times New Roman" w:hint="default"/>
        </w:rPr>
        <w:t>1</w:t>
      </w:r>
      <w:r>
        <w:rPr/>
        <w:t>）所述的股权激励认购款转增资本公积。</w:t>
      </w:r>
    </w:p>
    <w:p>
      <w:pPr>
        <w:pStyle w:val="BodyText"/>
        <w:spacing w:line="240" w:lineRule="auto" w:before="103"/>
        <w:ind w:right="0"/>
        <w:jc w:val="left"/>
      </w:pPr>
      <w:r>
        <w:rPr/>
        <w:t>（</w:t>
      </w:r>
      <w:r>
        <w:rPr>
          <w:rFonts w:ascii="Times New Roman" w:hAnsi="Times New Roman" w:cs="Times New Roman" w:eastAsia="Times New Roman" w:hint="default"/>
        </w:rPr>
        <w:t>2</w:t>
      </w:r>
      <w:r>
        <w:rPr/>
        <w:t>）本年减少资本公积</w:t>
      </w:r>
      <w:r>
        <w:rPr>
          <w:rFonts w:ascii="Times New Roman" w:hAnsi="Times New Roman" w:cs="Times New Roman" w:eastAsia="Times New Roman" w:hint="default"/>
        </w:rPr>
        <w:t>406,980</w:t>
      </w:r>
      <w:r>
        <w:rPr/>
        <w:t>元系附注六、</w:t>
      </w:r>
      <w:r>
        <w:rPr>
          <w:rFonts w:ascii="Times New Roman" w:hAnsi="Times New Roman" w:cs="Times New Roman" w:eastAsia="Times New Roman" w:hint="default"/>
        </w:rPr>
        <w:t>26</w:t>
      </w:r>
      <w:r>
        <w:rPr/>
        <w:t>（</w:t>
      </w:r>
      <w:r>
        <w:rPr>
          <w:rFonts w:ascii="Times New Roman" w:hAnsi="Times New Roman" w:cs="Times New Roman" w:eastAsia="Times New Roman" w:hint="default"/>
        </w:rPr>
        <w:t>2</w:t>
      </w:r>
      <w:r>
        <w:rPr/>
        <w:t>）所述的股权激励对象的股份予以注销减少资本公积</w:t>
      </w:r>
    </w:p>
    <w:p>
      <w:pPr>
        <w:pStyle w:val="BodyText"/>
        <w:spacing w:line="240" w:lineRule="auto" w:before="103"/>
        <w:ind w:right="0"/>
        <w:jc w:val="left"/>
      </w:pPr>
      <w:r>
        <w:rPr/>
        <w:t>（</w:t>
      </w:r>
      <w:r>
        <w:rPr>
          <w:rFonts w:ascii="Times New Roman" w:hAnsi="Times New Roman" w:cs="Times New Roman" w:eastAsia="Times New Roman" w:hint="default"/>
        </w:rPr>
        <w:t>3</w:t>
      </w:r>
      <w:r>
        <w:rPr/>
        <w:t>）本年增加资本公积</w:t>
      </w:r>
      <w:r>
        <w:rPr>
          <w:rFonts w:ascii="Times New Roman" w:hAnsi="Times New Roman" w:cs="Times New Roman" w:eastAsia="Times New Roman" w:hint="default"/>
        </w:rPr>
        <w:t>5,202,366.66</w:t>
      </w:r>
      <w:r>
        <w:rPr/>
        <w:t>元系本期限制性股票摊销成本增加资本公积。</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47、库存股" w:id="344"/>
      <w:bookmarkEnd w:id="344"/>
      <w:r>
        <w:rPr>
          <w:b w:val="0"/>
          <w:bCs w:val="0"/>
        </w:rPr>
      </w:r>
      <w:r>
        <w:rPr>
          <w:rFonts w:ascii="Times New Roman" w:hAnsi="Times New Roman" w:cs="Times New Roman" w:eastAsia="Times New Roman" w:hint="default"/>
        </w:rPr>
        <w:t>47</w:t>
      </w:r>
      <w:r>
        <w:rPr/>
        <w:t>、库存股</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年股权激励计划</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17,642,220.00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8,858,460.00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8,783,760.00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年股权激励计划</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21,600,000.00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21,600,000.00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年股份回购</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4,898,948.10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4,898,948.10</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17,642,220.00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26,498,948.10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8,858,460.00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35,282,708.10</w:t>
            </w:r>
          </w:p>
        </w:tc>
      </w:tr>
    </w:tbl>
    <w:p>
      <w:pPr>
        <w:pStyle w:val="BodyText"/>
        <w:spacing w:line="240" w:lineRule="auto" w:before="51"/>
        <w:ind w:right="0"/>
        <w:jc w:val="left"/>
      </w:pPr>
      <w:r>
        <w:rPr/>
        <w:t>其他说明，包括本期增减变动情况、变动原因说明：</w:t>
      </w:r>
    </w:p>
    <w:p>
      <w:pPr>
        <w:pStyle w:val="BodyText"/>
        <w:spacing w:line="240" w:lineRule="auto" w:before="116"/>
        <w:ind w:right="0"/>
        <w:jc w:val="left"/>
      </w:pPr>
      <w:r>
        <w:rPr/>
        <w:t>（</w:t>
      </w:r>
      <w:r>
        <w:rPr>
          <w:rFonts w:ascii="Times New Roman" w:hAnsi="Times New Roman" w:cs="Times New Roman" w:eastAsia="Times New Roman" w:hint="default"/>
        </w:rPr>
        <w:t>1</w:t>
      </w:r>
      <w:r>
        <w:rPr/>
        <w:t>）本年增加库存股</w:t>
      </w:r>
      <w:r>
        <w:rPr>
          <w:rFonts w:ascii="Times New Roman" w:hAnsi="Times New Roman" w:cs="Times New Roman" w:eastAsia="Times New Roman" w:hint="default"/>
        </w:rPr>
        <w:t>21,600,000</w:t>
      </w:r>
      <w:r>
        <w:rPr/>
        <w:t>元，系附注六、</w:t>
      </w:r>
      <w:r>
        <w:rPr>
          <w:rFonts w:ascii="Times New Roman" w:hAnsi="Times New Roman" w:cs="Times New Roman" w:eastAsia="Times New Roman" w:hint="default"/>
        </w:rPr>
        <w:t>26</w:t>
      </w:r>
      <w:r>
        <w:rPr/>
        <w:t>（</w:t>
      </w:r>
      <w:r>
        <w:rPr>
          <w:rFonts w:ascii="Times New Roman" w:hAnsi="Times New Roman" w:cs="Times New Roman" w:eastAsia="Times New Roman" w:hint="default"/>
        </w:rPr>
        <w:t>1</w:t>
      </w:r>
      <w:r>
        <w:rPr/>
        <w:t>）所述的股权激励认购款转增资本公积。</w:t>
      </w:r>
    </w:p>
    <w:p>
      <w:pPr>
        <w:pStyle w:val="BodyText"/>
        <w:spacing w:line="302" w:lineRule="auto" w:before="102"/>
        <w:ind w:right="0"/>
        <w:jc w:val="left"/>
      </w:pPr>
      <w:r>
        <w:rPr>
          <w:spacing w:val="-2"/>
        </w:rPr>
        <w:t>（</w:t>
      </w:r>
      <w:r>
        <w:rPr>
          <w:rFonts w:ascii="Times New Roman" w:hAnsi="Times New Roman" w:cs="Times New Roman" w:eastAsia="Times New Roman" w:hint="default"/>
          <w:spacing w:val="-2"/>
        </w:rPr>
        <w:t>2</w:t>
      </w:r>
      <w:r>
        <w:rPr>
          <w:spacing w:val="-2"/>
        </w:rPr>
        <w:t>）本年增加库存股</w:t>
      </w:r>
      <w:r>
        <w:rPr>
          <w:rFonts w:ascii="Times New Roman" w:hAnsi="Times New Roman" w:cs="Times New Roman" w:eastAsia="Times New Roman" w:hint="default"/>
          <w:spacing w:val="-2"/>
        </w:rPr>
        <w:t>4,898,948.10</w:t>
      </w:r>
      <w:r>
        <w:rPr>
          <w:spacing w:val="-2"/>
        </w:rPr>
        <w:t>元，</w:t>
      </w:r>
      <w:r>
        <w:rPr>
          <w:spacing w:val="-42"/>
        </w:rPr>
        <w:t> </w:t>
      </w:r>
      <w:r>
        <w:rPr>
          <w:spacing w:val="-2"/>
        </w:rPr>
        <w:t>系按第三届董事会第三十一次会议审议通过的《关于</w:t>
      </w:r>
      <w:r>
        <w:rPr>
          <w:rFonts w:ascii="Times New Roman" w:hAnsi="Times New Roman" w:cs="Times New Roman" w:eastAsia="Times New Roman" w:hint="default"/>
          <w:spacing w:val="-2"/>
        </w:rPr>
        <w:t>&lt;</w:t>
      </w:r>
      <w:r>
        <w:rPr>
          <w:spacing w:val="-2"/>
        </w:rPr>
        <w:t>回购公司股份的预案</w:t>
      </w:r>
      <w:r>
        <w:rPr>
          <w:rFonts w:ascii="Times New Roman" w:hAnsi="Times New Roman" w:cs="Times New Roman" w:eastAsia="Times New Roman" w:hint="default"/>
          <w:spacing w:val="-2"/>
        </w:rPr>
        <w:t>&gt;</w:t>
      </w:r>
      <w:r>
        <w:rPr>
          <w:spacing w:val="-2"/>
        </w:rPr>
        <w:t>的议案》</w:t>
      </w:r>
      <w:r>
        <w:rPr>
          <w:spacing w:val="-81"/>
        </w:rPr>
        <w:t> </w:t>
      </w:r>
      <w:r>
        <w:rPr/>
        <w:t>回购股份</w:t>
      </w:r>
      <w:r>
        <w:rPr>
          <w:rFonts w:ascii="Times New Roman" w:hAnsi="Times New Roman" w:cs="Times New Roman" w:eastAsia="Times New Roman" w:hint="default"/>
        </w:rPr>
        <w:t>999,971</w:t>
      </w:r>
      <w:r>
        <w:rPr/>
        <w:t>股所致。</w:t>
      </w:r>
    </w:p>
    <w:p>
      <w:pPr>
        <w:pStyle w:val="BodyText"/>
        <w:spacing w:line="302" w:lineRule="auto" w:before="49"/>
        <w:ind w:right="0"/>
        <w:jc w:val="left"/>
      </w:pPr>
      <w:r>
        <w:rPr>
          <w:spacing w:val="-2"/>
        </w:rPr>
        <w:t>（</w:t>
      </w:r>
      <w:r>
        <w:rPr>
          <w:rFonts w:ascii="Times New Roman" w:hAnsi="Times New Roman" w:cs="Times New Roman" w:eastAsia="Times New Roman" w:hint="default"/>
          <w:spacing w:val="-2"/>
        </w:rPr>
        <w:t>3</w:t>
      </w:r>
      <w:r>
        <w:rPr>
          <w:spacing w:val="-2"/>
        </w:rPr>
        <w:t>）本年减少库存股</w:t>
      </w:r>
      <w:r>
        <w:rPr>
          <w:rFonts w:ascii="Times New Roman" w:hAnsi="Times New Roman" w:cs="Times New Roman" w:eastAsia="Times New Roman" w:hint="default"/>
          <w:spacing w:val="-2"/>
        </w:rPr>
        <w:t>8,280,480.00</w:t>
      </w:r>
      <w:r>
        <w:rPr>
          <w:spacing w:val="-2"/>
        </w:rPr>
        <w:t>元，系</w:t>
      </w:r>
      <w:r>
        <w:rPr>
          <w:rFonts w:ascii="Times New Roman" w:hAnsi="Times New Roman" w:cs="Times New Roman" w:eastAsia="Times New Roman" w:hint="default"/>
          <w:spacing w:val="-2"/>
        </w:rPr>
        <w:t>2016</w:t>
      </w:r>
      <w:r>
        <w:rPr>
          <w:spacing w:val="-2"/>
        </w:rPr>
        <w:t>年限制性股票激励计划第一个解锁期解锁</w:t>
      </w:r>
      <w:r>
        <w:rPr>
          <w:rFonts w:ascii="Times New Roman" w:hAnsi="Times New Roman" w:cs="Times New Roman" w:eastAsia="Times New Roman" w:hint="default"/>
          <w:spacing w:val="-2"/>
        </w:rPr>
        <w:t>288,000</w:t>
      </w:r>
      <w:r>
        <w:rPr>
          <w:spacing w:val="-2"/>
        </w:rPr>
        <w:t>股以及</w:t>
      </w:r>
      <w:r>
        <w:rPr>
          <w:rFonts w:ascii="Times New Roman" w:hAnsi="Times New Roman" w:cs="Times New Roman" w:eastAsia="Times New Roman" w:hint="default"/>
          <w:spacing w:val="-2"/>
        </w:rPr>
        <w:t>2016</w:t>
      </w:r>
      <w:r>
        <w:rPr>
          <w:spacing w:val="-2"/>
        </w:rPr>
        <w:t>年限制性股票激励</w:t>
      </w:r>
      <w:r>
        <w:rPr>
          <w:spacing w:val="-40"/>
        </w:rPr>
        <w:t> </w:t>
      </w:r>
      <w:r>
        <w:rPr/>
        <w:t>计划第二个解锁期解锁</w:t>
      </w:r>
      <w:r>
        <w:rPr>
          <w:rFonts w:ascii="Times New Roman" w:hAnsi="Times New Roman" w:cs="Times New Roman" w:eastAsia="Times New Roman" w:hint="default"/>
        </w:rPr>
        <w:t>2,100,600</w:t>
      </w:r>
      <w:r>
        <w:rPr/>
        <w:t>股。</w:t>
      </w:r>
    </w:p>
    <w:p>
      <w:pPr>
        <w:pStyle w:val="BodyText"/>
        <w:spacing w:line="240" w:lineRule="auto" w:before="49"/>
        <w:ind w:right="0"/>
        <w:jc w:val="left"/>
      </w:pPr>
      <w:r>
        <w:rPr>
          <w:spacing w:val="-4"/>
        </w:rPr>
        <w:t>（</w:t>
      </w:r>
      <w:r>
        <w:rPr>
          <w:rFonts w:ascii="Times New Roman" w:hAnsi="Times New Roman" w:cs="Times New Roman" w:eastAsia="Times New Roman" w:hint="default"/>
          <w:spacing w:val="-4"/>
        </w:rPr>
        <w:t>4</w:t>
      </w:r>
      <w:r>
        <w:rPr>
          <w:spacing w:val="-4"/>
        </w:rPr>
        <w:t>）本年减少库存股</w:t>
      </w:r>
      <w:r>
        <w:rPr>
          <w:rFonts w:ascii="Times New Roman" w:hAnsi="Times New Roman" w:cs="Times New Roman" w:eastAsia="Times New Roman" w:hint="default"/>
          <w:spacing w:val="-4"/>
        </w:rPr>
        <w:t>577,980.00</w:t>
      </w:r>
      <w:r>
        <w:rPr>
          <w:spacing w:val="-4"/>
        </w:rPr>
        <w:t>元（</w:t>
      </w:r>
      <w:r>
        <w:rPr>
          <w:rFonts w:ascii="Times New Roman" w:hAnsi="Times New Roman" w:cs="Times New Roman" w:eastAsia="Times New Roman" w:hint="default"/>
          <w:spacing w:val="-4"/>
        </w:rPr>
        <w:t>171,000</w:t>
      </w:r>
      <w:r>
        <w:rPr>
          <w:spacing w:val="-4"/>
        </w:rPr>
        <w:t>股），系附注六、</w:t>
      </w:r>
      <w:r>
        <w:rPr>
          <w:rFonts w:ascii="Times New Roman" w:hAnsi="Times New Roman" w:cs="Times New Roman" w:eastAsia="Times New Roman" w:hint="default"/>
          <w:spacing w:val="-4"/>
        </w:rPr>
        <w:t>26</w:t>
      </w:r>
      <w:r>
        <w:rPr>
          <w:spacing w:val="-4"/>
        </w:rPr>
        <w:t>（</w:t>
      </w:r>
      <w:r>
        <w:rPr>
          <w:rFonts w:ascii="Times New Roman" w:hAnsi="Times New Roman" w:cs="Times New Roman" w:eastAsia="Times New Roman" w:hint="default"/>
          <w:spacing w:val="-4"/>
        </w:rPr>
        <w:t>2</w:t>
      </w:r>
      <w:r>
        <w:rPr>
          <w:spacing w:val="-4"/>
        </w:rPr>
        <w:t>）所述的股权激励对象的股份予以回购注销减少库存股。</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3"/>
          <w:szCs w:val="13"/>
        </w:rPr>
      </w:pPr>
    </w:p>
    <w:p>
      <w:pPr>
        <w:pStyle w:val="Heading4"/>
        <w:spacing w:line="240" w:lineRule="auto"/>
        <w:ind w:right="0"/>
        <w:jc w:val="left"/>
        <w:rPr>
          <w:b w:val="0"/>
          <w:bCs w:val="0"/>
        </w:rPr>
      </w:pPr>
      <w:bookmarkStart w:name="48、其他综合收益" w:id="345"/>
      <w:bookmarkEnd w:id="345"/>
      <w:r>
        <w:rPr>
          <w:b w:val="0"/>
          <w:bCs w:val="0"/>
        </w:rPr>
      </w:r>
      <w:r>
        <w:rPr>
          <w:rFonts w:ascii="Times New Roman" w:hAnsi="Times New Roman" w:cs="Times New Roman" w:eastAsia="Times New Roman" w:hint="default"/>
        </w:rPr>
        <w:t>48</w:t>
      </w:r>
      <w:r>
        <w:rPr/>
        <w:t>、其他综合收益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811"/>
        <w:gridCol w:w="1070"/>
        <w:gridCol w:w="935"/>
        <w:gridCol w:w="1152"/>
        <w:gridCol w:w="935"/>
        <w:gridCol w:w="936"/>
        <w:gridCol w:w="935"/>
        <w:gridCol w:w="796"/>
      </w:tblGrid>
      <w:tr>
        <w:trPr>
          <w:trHeight w:val="398" w:hRule="exact"/>
        </w:trPr>
        <w:tc>
          <w:tcPr>
            <w:tcW w:w="2811" w:type="dxa"/>
            <w:vMerge w:val="restart"/>
            <w:tcBorders>
              <w:top w:val="single" w:sz="4" w:space="0" w:color="000000"/>
              <w:left w:val="single" w:sz="4" w:space="0" w:color="000000"/>
              <w:right w:val="single" w:sz="4" w:space="0" w:color="000000"/>
            </w:tcBorders>
            <w:shd w:val="clear" w:color="auto" w:fill="D2D2D2"/>
          </w:tcPr>
          <w:p>
            <w:pPr/>
          </w:p>
        </w:tc>
        <w:tc>
          <w:tcPr>
            <w:tcW w:w="1070" w:type="dxa"/>
            <w:vMerge w:val="restart"/>
            <w:tcBorders>
              <w:top w:val="single" w:sz="4" w:space="0" w:color="000000"/>
              <w:left w:val="single" w:sz="4" w:space="0" w:color="000000"/>
              <w:right w:val="single" w:sz="4" w:space="0" w:color="000000"/>
            </w:tcBorders>
            <w:shd w:val="clear" w:color="auto" w:fill="D2D2D2"/>
          </w:tcPr>
          <w:p>
            <w:pPr/>
          </w:p>
        </w:tc>
        <w:tc>
          <w:tcPr>
            <w:tcW w:w="48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6" w:type="dxa"/>
            <w:vMerge w:val="restart"/>
            <w:tcBorders>
              <w:top w:val="single" w:sz="4" w:space="0" w:color="000000"/>
              <w:left w:val="single" w:sz="4" w:space="0" w:color="000000"/>
              <w:right w:val="single" w:sz="4" w:space="0" w:color="000000"/>
            </w:tcBorders>
            <w:shd w:val="clear" w:color="auto" w:fill="D2D2D2"/>
          </w:tcPr>
          <w:p>
            <w:pPr/>
          </w:p>
        </w:tc>
      </w:tr>
      <w:tr>
        <w:trPr>
          <w:trHeight w:val="121" w:hRule="exact"/>
        </w:trPr>
        <w:tc>
          <w:tcPr>
            <w:tcW w:w="2811" w:type="dxa"/>
            <w:vMerge/>
            <w:tcBorders>
              <w:left w:val="single" w:sz="4" w:space="0" w:color="000000"/>
              <w:bottom w:val="nil" w:sz="6" w:space="0" w:color="auto"/>
              <w:right w:val="single" w:sz="4" w:space="0" w:color="000000"/>
            </w:tcBorders>
            <w:shd w:val="clear" w:color="auto" w:fill="D2D2D2"/>
          </w:tcPr>
          <w:p>
            <w:pPr/>
          </w:p>
        </w:tc>
        <w:tc>
          <w:tcPr>
            <w:tcW w:w="1070" w:type="dxa"/>
            <w:vMerge/>
            <w:tcBorders>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2"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30" w:right="30"/>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5" w:type="dxa"/>
            <w:tcBorders>
              <w:top w:val="single" w:sz="4" w:space="0" w:color="000000"/>
              <w:left w:val="single" w:sz="4" w:space="0" w:color="000000"/>
              <w:bottom w:val="nil" w:sz="6" w:space="0" w:color="auto"/>
              <w:right w:val="single" w:sz="4" w:space="0" w:color="000000"/>
            </w:tcBorders>
            <w:shd w:val="clear" w:color="auto" w:fill="D2D2D2"/>
          </w:tcPr>
          <w:p>
            <w:pPr/>
          </w:p>
        </w:tc>
        <w:tc>
          <w:tcPr>
            <w:tcW w:w="93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2" w:right="101"/>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6" w:type="dxa"/>
            <w:vMerge/>
            <w:tcBorders>
              <w:left w:val="single" w:sz="4" w:space="0" w:color="000000"/>
              <w:bottom w:val="nil" w:sz="6" w:space="0" w:color="auto"/>
              <w:right w:val="single" w:sz="4" w:space="0" w:color="000000"/>
            </w:tcBorders>
            <w:shd w:val="clear" w:color="auto" w:fill="D2D2D2"/>
          </w:tcPr>
          <w:p>
            <w:pPr/>
          </w:p>
        </w:tc>
      </w:tr>
      <w:tr>
        <w:trPr>
          <w:trHeight w:val="369" w:hRule="exact"/>
        </w:trPr>
        <w:tc>
          <w:tcPr>
            <w:tcW w:w="28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3"/>
              <w:ind w:left="282" w:right="23"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3"/>
              <w:ind w:left="102" w:right="102"/>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5" w:type="dxa"/>
            <w:vMerge/>
            <w:tcBorders>
              <w:left w:val="single" w:sz="4" w:space="0" w:color="000000"/>
              <w:right w:val="single" w:sz="4" w:space="0" w:color="000000"/>
            </w:tcBorders>
            <w:shd w:val="clear" w:color="auto" w:fill="D2D2D2"/>
          </w:tcPr>
          <w:p>
            <w:pPr/>
          </w:p>
        </w:tc>
        <w:tc>
          <w:tcPr>
            <w:tcW w:w="7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9"/>
              <w:ind w:left="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2811" w:type="dxa"/>
            <w:vMerge w:val="restart"/>
            <w:tcBorders>
              <w:top w:val="nil" w:sz="6" w:space="0" w:color="auto"/>
              <w:left w:val="single" w:sz="4" w:space="0" w:color="000000"/>
              <w:right w:val="single" w:sz="4" w:space="0" w:color="000000"/>
            </w:tcBorders>
            <w:shd w:val="clear" w:color="auto" w:fill="D2D2D2"/>
          </w:tcPr>
          <w:p>
            <w:pPr/>
          </w:p>
        </w:tc>
        <w:tc>
          <w:tcPr>
            <w:tcW w:w="1070" w:type="dxa"/>
            <w:vMerge w:val="restart"/>
            <w:tcBorders>
              <w:top w:val="nil" w:sz="6" w:space="0" w:color="auto"/>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tcBorders>
              <w:left w:val="single" w:sz="4" w:space="0" w:color="000000"/>
              <w:bottom w:val="nil" w:sz="6" w:space="0" w:color="auto"/>
              <w:right w:val="single" w:sz="4" w:space="0" w:color="000000"/>
            </w:tcBorders>
            <w:shd w:val="clear" w:color="auto" w:fill="D2D2D2"/>
          </w:tcPr>
          <w:p>
            <w:pPr/>
          </w:p>
        </w:tc>
        <w:tc>
          <w:tcPr>
            <w:tcW w:w="936" w:type="dxa"/>
            <w:vMerge/>
            <w:tcBorders>
              <w:left w:val="single" w:sz="4" w:space="0" w:color="000000"/>
              <w:bottom w:val="nil" w:sz="6" w:space="0" w:color="auto"/>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796"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2811" w:type="dxa"/>
            <w:vMerge/>
            <w:tcBorders>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single" w:sz="4" w:space="0" w:color="000000"/>
              <w:right w:val="single" w:sz="4" w:space="0" w:color="000000"/>
            </w:tcBorders>
            <w:shd w:val="clear" w:color="auto" w:fill="D2D2D2"/>
          </w:tcPr>
          <w:p>
            <w:pPr/>
          </w:p>
        </w:tc>
        <w:tc>
          <w:tcPr>
            <w:tcW w:w="93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79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76"/>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 益</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-898,462.10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956,989.28</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956,989.28</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58,527.18</w:t>
            </w:r>
          </w:p>
        </w:tc>
      </w:tr>
      <w:tr>
        <w:trPr>
          <w:trHeight w:val="402"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53" w:right="0"/>
              <w:jc w:val="left"/>
              <w:rPr>
                <w:rFonts w:ascii="Times New Roman" w:hAnsi="Times New Roman" w:cs="Times New Roman" w:eastAsia="Times New Roman" w:hint="default"/>
                <w:sz w:val="18"/>
                <w:szCs w:val="18"/>
              </w:rPr>
            </w:pPr>
            <w:r>
              <w:rPr>
                <w:rFonts w:ascii="Times New Roman"/>
                <w:sz w:val="18"/>
              </w:rPr>
              <w:t>-898,462.10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956,989.28</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956,989.28</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58,527.18</w:t>
            </w:r>
          </w:p>
        </w:tc>
      </w:tr>
      <w:tr>
        <w:trPr>
          <w:trHeight w:val="402"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53" w:right="0"/>
              <w:jc w:val="left"/>
              <w:rPr>
                <w:rFonts w:ascii="Times New Roman" w:hAnsi="Times New Roman" w:cs="Times New Roman" w:eastAsia="Times New Roman" w:hint="default"/>
                <w:sz w:val="18"/>
                <w:szCs w:val="18"/>
              </w:rPr>
            </w:pPr>
            <w:r>
              <w:rPr>
                <w:rFonts w:ascii="Times New Roman"/>
                <w:sz w:val="18"/>
              </w:rPr>
              <w:t>-898,462.10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956,989.28</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956,989.28</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58,527.18</w:t>
            </w:r>
          </w:p>
        </w:tc>
      </w:tr>
    </w:tbl>
    <w:p>
      <w:pPr>
        <w:pStyle w:val="BodyText"/>
        <w:spacing w:line="360" w:lineRule="auto" w:before="51"/>
        <w:ind w:right="4092"/>
        <w:jc w:val="left"/>
      </w:pPr>
      <w:r>
        <w:rPr/>
        <w:t>其他说明，包括对现金流量套期损益的有效部分转为被套期项目初始确认金额调整： 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41"/>
        <w:ind w:right="0"/>
        <w:jc w:val="left"/>
        <w:rPr>
          <w:b w:val="0"/>
          <w:bCs w:val="0"/>
        </w:rPr>
      </w:pPr>
      <w:bookmarkStart w:name="49、专项储备" w:id="346"/>
      <w:bookmarkEnd w:id="346"/>
      <w:r>
        <w:rPr>
          <w:b w:val="0"/>
          <w:bCs w:val="0"/>
        </w:rPr>
      </w:r>
      <w:r>
        <w:rPr>
          <w:rFonts w:ascii="Times New Roman" w:hAnsi="Times New Roman" w:cs="Times New Roman" w:eastAsia="Times New Roman" w:hint="default"/>
        </w:rPr>
        <w:t>49</w:t>
      </w:r>
      <w:r>
        <w:rPr/>
        <w:t>、专项储备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57" w:lineRule="auto" w:before="51"/>
        <w:ind w:right="6612"/>
        <w:jc w:val="left"/>
      </w:pPr>
      <w:r>
        <w:rPr/>
        <w:t>其他说明，包括本期增减变动情况、变动原因说明：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50、盈余公积" w:id="347"/>
      <w:bookmarkEnd w:id="347"/>
      <w:r>
        <w:rPr>
          <w:b w:val="0"/>
          <w:bCs w:val="0"/>
        </w:rPr>
      </w:r>
      <w:r>
        <w:rPr>
          <w:rFonts w:ascii="Times New Roman" w:hAnsi="Times New Roman" w:cs="Times New Roman" w:eastAsia="Times New Roman" w:hint="default"/>
        </w:rPr>
        <w:t>50</w:t>
      </w:r>
      <w:r>
        <w:rPr/>
        <w:t>、盈余公积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44,300,266.13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2,922,747.71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47,223,013.84</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44,300,266.13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2,922,747.71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47,223,013.84</w:t>
            </w:r>
          </w:p>
        </w:tc>
      </w:tr>
    </w:tbl>
    <w:p>
      <w:pPr>
        <w:pStyle w:val="BodyText"/>
        <w:spacing w:line="240" w:lineRule="auto" w:before="51"/>
        <w:ind w:right="0"/>
        <w:jc w:val="left"/>
      </w:pPr>
      <w:r>
        <w:rPr/>
        <w:t>盈余公积说明，包括本期增减变动情况、变动原因说明：</w:t>
      </w:r>
    </w:p>
    <w:p>
      <w:pPr>
        <w:pStyle w:val="BodyText"/>
        <w:spacing w:line="300" w:lineRule="auto" w:before="115"/>
        <w:ind w:right="0"/>
        <w:jc w:val="left"/>
      </w:pPr>
      <w:r>
        <w:rPr>
          <w:spacing w:val="-1"/>
        </w:rPr>
        <w:t>注：根据公司法、章程的规定，本公司按净利润的</w:t>
      </w:r>
      <w:r>
        <w:rPr>
          <w:rFonts w:ascii="Times New Roman" w:hAnsi="Times New Roman" w:cs="Times New Roman" w:eastAsia="Times New Roman" w:hint="default"/>
          <w:spacing w:val="-1"/>
        </w:rPr>
        <w:t>10%</w:t>
      </w:r>
      <w:r>
        <w:rPr>
          <w:spacing w:val="-1"/>
        </w:rPr>
        <w:t>提取法定盈余公积金。法定盈余公积累计达到本公司注册资本</w:t>
      </w:r>
      <w:r>
        <w:rPr>
          <w:rFonts w:ascii="Times New Roman" w:hAnsi="Times New Roman" w:cs="Times New Roman" w:eastAsia="Times New Roman" w:hint="default"/>
          <w:spacing w:val="-1"/>
        </w:rPr>
        <w:t>50%</w:t>
      </w:r>
      <w:r>
        <w:rPr>
          <w:spacing w:val="-1"/>
        </w:rPr>
        <w:t>以</w:t>
      </w:r>
      <w:r>
        <w:rPr>
          <w:spacing w:val="-57"/>
        </w:rPr>
        <w:t> </w:t>
      </w:r>
      <w:r>
        <w:rPr/>
        <w:t>上，可不再提取。</w:t>
      </w:r>
    </w:p>
    <w:p>
      <w:pPr>
        <w:spacing w:line="240" w:lineRule="auto" w:before="6"/>
        <w:rPr>
          <w:rFonts w:ascii="宋体" w:hAnsi="宋体" w:cs="宋体" w:eastAsia="宋体" w:hint="default"/>
          <w:sz w:val="23"/>
          <w:szCs w:val="23"/>
        </w:rPr>
      </w:pPr>
    </w:p>
    <w:p>
      <w:pPr>
        <w:pStyle w:val="Heading4"/>
        <w:spacing w:line="240" w:lineRule="auto"/>
        <w:ind w:right="0"/>
        <w:jc w:val="left"/>
        <w:rPr>
          <w:b w:val="0"/>
          <w:bCs w:val="0"/>
        </w:rPr>
      </w:pPr>
      <w:bookmarkStart w:name="51、未分配利润" w:id="348"/>
      <w:bookmarkEnd w:id="348"/>
      <w:r>
        <w:rPr>
          <w:b w:val="0"/>
          <w:bCs w:val="0"/>
        </w:rPr>
      </w:r>
      <w:r>
        <w:rPr>
          <w:rFonts w:ascii="Times New Roman" w:hAnsi="Times New Roman" w:cs="Times New Roman" w:eastAsia="Times New Roman" w:hint="default"/>
        </w:rPr>
        <w:t>51</w:t>
      </w:r>
      <w:r>
        <w:rPr/>
        <w:t>、未分配利润</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714"/>
        <w:gridCol w:w="2936"/>
        <w:gridCol w:w="2919"/>
      </w:tblGrid>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314,661,234.52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226,574,804.79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314,661,234.52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226,574,804.79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179,662,312.16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132,014,114.22</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2,922,747.71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3,168,628.89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61,716,215.40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40,759,055.60</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429,684,583.57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314,661,234.52</w:t>
            </w:r>
          </w:p>
        </w:tc>
      </w:tr>
    </w:tbl>
    <w:p>
      <w:pPr>
        <w:pStyle w:val="BodyText"/>
        <w:spacing w:line="240" w:lineRule="auto" w:before="51"/>
        <w:ind w:right="0"/>
        <w:jc w:val="left"/>
      </w:pPr>
      <w:r>
        <w:rPr/>
        <w:t>调整期初未分配利润明细：</w:t>
      </w:r>
    </w:p>
    <w:p>
      <w:pPr>
        <w:pStyle w:val="BodyText"/>
        <w:spacing w:line="240" w:lineRule="auto" w:before="117"/>
        <w:ind w:right="0"/>
        <w:jc w:val="left"/>
      </w:pPr>
      <w:r>
        <w:rPr>
          <w:rFonts w:ascii="Times New Roman" w:hAnsi="Times New Roman" w:cs="Times New Roman" w:eastAsia="Times New Roman" w:hint="default"/>
        </w:rPr>
        <w:t>1)</w:t>
      </w:r>
      <w:r>
        <w:rPr/>
        <w:t>、由于《企业会计准则》及其相关新规定进行追溯调整，影响期初未分配利润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2"/>
        <w:ind w:right="0"/>
        <w:jc w:val="left"/>
      </w:pPr>
      <w:r>
        <w:rPr>
          <w:rFonts w:ascii="Times New Roman" w:hAnsi="Times New Roman" w:cs="Times New Roman" w:eastAsia="Times New Roman" w:hint="default"/>
        </w:rPr>
        <w:t>2)</w:t>
      </w:r>
      <w:r>
        <w:rPr/>
        <w:t>、由于会计政策变更，影响期初未分配利润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2"/>
        <w:ind w:right="0"/>
        <w:jc w:val="left"/>
      </w:pPr>
      <w:r>
        <w:rPr>
          <w:rFonts w:ascii="Times New Roman" w:hAnsi="Times New Roman" w:cs="Times New Roman" w:eastAsia="Times New Roman" w:hint="default"/>
        </w:rPr>
        <w:t>3)</w:t>
      </w:r>
      <w:r>
        <w:rPr/>
        <w:t>、由于重大会计差错更正，影响期初未分配利润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0"/>
        <w:jc w:val="left"/>
      </w:pPr>
      <w:r>
        <w:rPr>
          <w:rFonts w:ascii="Times New Roman" w:hAnsi="Times New Roman" w:cs="Times New Roman" w:eastAsia="Times New Roman" w:hint="default"/>
        </w:rPr>
        <w:t>4)</w:t>
      </w:r>
      <w:r>
        <w:rPr/>
        <w:t>、由于同一控制导致的合并范围变更，影响期初未分配利润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2"/>
        <w:ind w:right="0"/>
        <w:jc w:val="left"/>
      </w:pPr>
      <w:r>
        <w:rPr>
          <w:rFonts w:ascii="Times New Roman" w:hAnsi="Times New Roman" w:cs="Times New Roman" w:eastAsia="Times New Roman" w:hint="default"/>
        </w:rPr>
        <w:t>5)</w:t>
      </w:r>
      <w:r>
        <w:rPr/>
        <w:t>、其他调整合计影响期初未分配利润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52、营业收入和营业成本" w:id="349"/>
      <w:bookmarkEnd w:id="349"/>
      <w:r>
        <w:rPr>
          <w:b w:val="0"/>
          <w:bCs w:val="0"/>
        </w:rPr>
      </w:r>
      <w:r>
        <w:rPr>
          <w:rFonts w:ascii="Times New Roman" w:hAnsi="Times New Roman" w:cs="Times New Roman" w:eastAsia="Times New Roman" w:hint="default"/>
        </w:rPr>
        <w:t>52</w:t>
      </w:r>
      <w:r>
        <w:rPr/>
        <w:t>、营业收入和营业成本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01"/>
        <w:gridCol w:w="1917"/>
        <w:gridCol w:w="1914"/>
        <w:gridCol w:w="1914"/>
        <w:gridCol w:w="1914"/>
      </w:tblGrid>
      <w:tr>
        <w:trPr>
          <w:trHeight w:val="205"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1,572,121,194.59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1,045,539,725.34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1,040,701,094.84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627,038,761.25</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1,251,249.37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459,416.33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422,932.56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131,365.94</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1,573,372,443.96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1,045,999,141.67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1,041,124,027.40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627,170,127.19</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53、税金及附加" w:id="350"/>
      <w:bookmarkEnd w:id="350"/>
      <w:r>
        <w:rPr>
          <w:b w:val="0"/>
          <w:bCs w:val="0"/>
        </w:rPr>
      </w:r>
      <w:r>
        <w:rPr>
          <w:rFonts w:ascii="Times New Roman" w:hAnsi="Times New Roman" w:cs="Times New Roman" w:eastAsia="Times New Roman" w:hint="default"/>
        </w:rPr>
        <w:t>53</w:t>
      </w:r>
      <w:r>
        <w:rPr/>
        <w:t>、税金及附加</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3,704,194.72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5,772,729.58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2,787,508.66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4,136,679.36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1,148,790.70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1,148,790.71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169,984.22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181,593.84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10,320.00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13,140.00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652,234.36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828,432.16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206"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3,273.96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182,538.44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831,409.13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8,655,571.10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12,916,048.74</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54、销售费用" w:id="351"/>
      <w:bookmarkEnd w:id="351"/>
      <w:r>
        <w:rPr>
          <w:b w:val="0"/>
          <w:bCs w:val="0"/>
        </w:rPr>
      </w:r>
      <w:r>
        <w:rPr>
          <w:rFonts w:ascii="Times New Roman" w:hAnsi="Times New Roman" w:cs="Times New Roman" w:eastAsia="Times New Roman" w:hint="default"/>
        </w:rPr>
        <w:t>54</w:t>
      </w:r>
      <w:r>
        <w:rPr/>
        <w:t>、销售费用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工资及福利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75,975,593.31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55,597,164.85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维护费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20,183,184.64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17,996,543.86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8,401,197.21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7,840,526.49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7,703,284.46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5,926,074.48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展览费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7,260,322.03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4,697,784.20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安装费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5,643,848.79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4,474,568.73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5,211,114.59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3,531,319.18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4,764,252.06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3,773,593.05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3,800,901.12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2,951,891.64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7,124,317.24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4,620,498.10</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146,068,015.45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111,409,964.58</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55、管理费用" w:id="352"/>
      <w:bookmarkEnd w:id="352"/>
      <w:r>
        <w:rPr>
          <w:b w:val="0"/>
          <w:bCs w:val="0"/>
        </w:rPr>
      </w:r>
      <w:r>
        <w:rPr>
          <w:rFonts w:ascii="Times New Roman" w:hAnsi="Times New Roman" w:cs="Times New Roman" w:eastAsia="Times New Roman" w:hint="default"/>
        </w:rPr>
        <w:t>55</w:t>
      </w:r>
      <w:r>
        <w:rPr/>
        <w:t>、管理费用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工资及福利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33,951,541.63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26,143,560.48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咨询费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10,769,783.08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9,487,858.69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7,148,722.70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5,652,391.78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4,564,459.99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6,599,720.00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3,874,040.24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3,910,641.92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3,201,478.45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3,164,643.69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2,573,156.59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1,351,962.30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1,968,560.61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1,598,941.64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786,794.00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1,075,532.43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2,423,912.25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2,619,906.52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71,262,449.54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61,605,159.45</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56、研发费用" w:id="353"/>
      <w:bookmarkEnd w:id="353"/>
      <w:r>
        <w:rPr>
          <w:b w:val="0"/>
          <w:bCs w:val="0"/>
        </w:rPr>
      </w:r>
      <w:r>
        <w:rPr>
          <w:rFonts w:ascii="Times New Roman" w:hAnsi="Times New Roman" w:cs="Times New Roman" w:eastAsia="Times New Roman" w:hint="default"/>
        </w:rPr>
        <w:t>56</w:t>
      </w:r>
      <w:r>
        <w:rPr/>
        <w:t>、研发费用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工资及福利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45,002,338.58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35,408,629.89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技术开发费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32,521,240.02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18,667,060.71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3,292,404.41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2,883,618.82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3,066,591.10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3,379,709.14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低值易耗品摊销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1,385,624.95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78,491.06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1,195,294.93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1,337,831.82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1,159,267.90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996,763.15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检测及认证费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1,035,678.95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1,071,796.81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股权激励费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637,906.67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2,830,360.00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732,970.54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840,588.29</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90,029,318.05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67,494,849.69</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57、财务费用" w:id="354"/>
      <w:bookmarkEnd w:id="354"/>
      <w:r>
        <w:rPr>
          <w:b w:val="0"/>
          <w:bCs w:val="0"/>
        </w:rPr>
      </w:r>
      <w:r>
        <w:rPr>
          <w:rFonts w:ascii="Times New Roman" w:hAnsi="Times New Roman" w:cs="Times New Roman" w:eastAsia="Times New Roman" w:hint="default"/>
        </w:rPr>
        <w:t>57</w:t>
      </w:r>
      <w:r>
        <w:rPr/>
        <w:t>、财务费用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6,463,024.92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2,230,870.54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2,920,242.74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1,847,028.33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-7,823,602.94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13,110,461.53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手续费及其他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466,198.79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843,719.55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-3,814,621.97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14,338,023.29</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58、资产减值损失" w:id="355"/>
      <w:bookmarkEnd w:id="355"/>
      <w:r>
        <w:rPr>
          <w:b w:val="0"/>
          <w:bCs w:val="0"/>
        </w:rPr>
      </w:r>
      <w:r>
        <w:rPr>
          <w:rFonts w:ascii="Times New Roman" w:hAnsi="Times New Roman" w:cs="Times New Roman" w:eastAsia="Times New Roman" w:hint="default"/>
        </w:rPr>
        <w:t>58</w:t>
      </w:r>
      <w:r>
        <w:rPr/>
        <w:t>、资产减值损失</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27,267,570.17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23,329,597.79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320,560.60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3,460,657.82</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27,588,130.77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26,790,255.61</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59、其他收益" w:id="356"/>
      <w:bookmarkEnd w:id="356"/>
      <w:r>
        <w:rPr>
          <w:b w:val="0"/>
          <w:bCs w:val="0"/>
        </w:rPr>
      </w:r>
      <w:r>
        <w:rPr>
          <w:rFonts w:ascii="Times New Roman" w:hAnsi="Times New Roman" w:cs="Times New Roman" w:eastAsia="Times New Roman" w:hint="default"/>
        </w:rPr>
        <w:t>59</w:t>
      </w:r>
      <w:r>
        <w:rPr/>
        <w:t>、其他收益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软件退税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3,200,687.46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3,443,357.95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12,192,518.81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14,956,018.63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15,393,206.27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18,399,376.58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713"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77"/>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7"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6"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4"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2" w:right="131"/>
              <w:jc w:val="both"/>
              <w:rPr>
                <w:rFonts w:ascii="宋体" w:hAnsi="宋体" w:cs="宋体" w:eastAsia="宋体" w:hint="default"/>
                <w:sz w:val="18"/>
                <w:szCs w:val="18"/>
              </w:rPr>
            </w:pPr>
            <w:r>
              <w:rPr>
                <w:rFonts w:ascii="宋体" w:hAnsi="宋体" w:cs="宋体" w:eastAsia="宋体" w:hint="default"/>
                <w:sz w:val="18"/>
                <w:szCs w:val="18"/>
              </w:rPr>
              <w:t>深圳市科技 创新委员会 高新区科研 第二批第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次资助费</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22" w:right="127"/>
              <w:jc w:val="left"/>
              <w:rPr>
                <w:rFonts w:ascii="宋体" w:hAnsi="宋体" w:cs="宋体" w:eastAsia="宋体" w:hint="default"/>
                <w:sz w:val="18"/>
                <w:szCs w:val="18"/>
              </w:rPr>
            </w:pPr>
            <w:r>
              <w:rPr>
                <w:rFonts w:ascii="宋体" w:hAnsi="宋体" w:cs="宋体" w:eastAsia="宋体" w:hint="default"/>
                <w:sz w:val="18"/>
                <w:szCs w:val="18"/>
              </w:rPr>
              <w:t>深圳市科技 创新委员会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宋体" w:hAnsi="宋体" w:cs="宋体" w:eastAsia="宋体" w:hint="default"/>
                <w:sz w:val="20"/>
                <w:szCs w:val="20"/>
              </w:rPr>
            </w:pPr>
            <w:r>
              <w:rPr>
                <w:rFonts w:ascii="宋体" w:hAnsi="宋体" w:cs="宋体" w:eastAsia="宋体" w:hint="default"/>
                <w:position w:val="-11"/>
                <w:sz w:val="20"/>
                <w:szCs w:val="20"/>
              </w:rPr>
              <w:pict>
                <v:group style="width:52.7pt;height:31.2pt;mso-position-horizontal-relative:char;mso-position-vertical-relative:line" coordorigin="0,0" coordsize="1054,624">
                  <v:group style="position:absolute;left:0;top:0;width:1054;height:624" coordorigin="0,0" coordsize="1054,624">
                    <v:shape style="position:absolute;left:0;top:0;width:1054;height:624" coordorigin="0,0" coordsize="1054,624" path="m0,624l1054,624,1054,0,0,0,0,624xe" filled="true" fillcolor="#ffffff" stroked="false">
                      <v:path arrowok="t"/>
                      <v:fill type="solid"/>
                    </v:shape>
                  </v:group>
                </v:group>
              </w:pict>
            </w:r>
            <w:r>
              <w:rPr>
                <w:rFonts w:ascii="宋体" w:hAnsi="宋体" w:cs="宋体" w:eastAsia="宋体"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1,718,000.00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11"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2" w:right="87"/>
              <w:jc w:val="left"/>
              <w:rPr>
                <w:rFonts w:ascii="宋体" w:hAnsi="宋体" w:cs="宋体" w:eastAsia="宋体" w:hint="default"/>
                <w:sz w:val="18"/>
                <w:szCs w:val="18"/>
              </w:rPr>
            </w:pPr>
            <w:r>
              <w:rPr>
                <w:rFonts w:ascii="宋体" w:hAnsi="宋体" w:cs="宋体" w:eastAsia="宋体" w:hint="default"/>
                <w:sz w:val="18"/>
                <w:szCs w:val="18"/>
              </w:rPr>
              <w:t>深圳市南山 区财政局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年度文 化产业发展 分项资金资</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316" w:lineRule="auto"/>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3"/>
              <w:jc w:val="right"/>
              <w:rPr>
                <w:rFonts w:ascii="Times New Roman" w:hAnsi="Times New Roman" w:cs="Times New Roman" w:eastAsia="Times New Roman" w:hint="default"/>
                <w:sz w:val="18"/>
                <w:szCs w:val="18"/>
              </w:rPr>
            </w:pPr>
            <w:r>
              <w:rPr>
                <w:rFonts w:ascii="Times New Roman"/>
                <w:spacing w:val="-1"/>
                <w:sz w:val="18"/>
              </w:rPr>
              <w:t>1,000,000.00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6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助款</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9"/>
              <w:jc w:val="left"/>
              <w:rPr>
                <w:rFonts w:ascii="宋体" w:hAnsi="宋体" w:cs="宋体" w:eastAsia="宋体" w:hint="default"/>
                <w:sz w:val="18"/>
                <w:szCs w:val="18"/>
              </w:rPr>
            </w:pP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LED </w:t>
            </w:r>
            <w:r>
              <w:rPr>
                <w:rFonts w:ascii="宋体" w:hAnsi="宋体" w:cs="宋体" w:eastAsia="宋体" w:hint="default"/>
                <w:sz w:val="18"/>
                <w:szCs w:val="18"/>
              </w:rPr>
              <w:t>裸眼</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3D</w:t>
            </w:r>
          </w:p>
          <w:p>
            <w:pPr>
              <w:pStyle w:val="TableParagraph"/>
              <w:spacing w:line="319" w:lineRule="auto" w:before="61"/>
              <w:ind w:left="22" w:right="131"/>
              <w:jc w:val="both"/>
              <w:rPr>
                <w:rFonts w:ascii="宋体" w:hAnsi="宋体" w:cs="宋体" w:eastAsia="宋体" w:hint="default"/>
                <w:sz w:val="18"/>
                <w:szCs w:val="18"/>
              </w:rPr>
            </w:pPr>
            <w:r>
              <w:rPr>
                <w:rFonts w:ascii="宋体" w:hAnsi="宋体" w:cs="宋体" w:eastAsia="宋体" w:hint="default"/>
                <w:sz w:val="18"/>
                <w:szCs w:val="18"/>
              </w:rPr>
              <w:t>显示技术工 程实验室项 目</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27"/>
              <w:jc w:val="left"/>
              <w:rPr>
                <w:rFonts w:ascii="宋体" w:hAnsi="宋体" w:cs="宋体" w:eastAsia="宋体" w:hint="default"/>
                <w:sz w:val="18"/>
                <w:szCs w:val="18"/>
              </w:rPr>
            </w:pPr>
            <w:r>
              <w:rPr>
                <w:rFonts w:ascii="宋体" w:hAnsi="宋体" w:cs="宋体" w:eastAsia="宋体" w:hint="default"/>
                <w:sz w:val="18"/>
                <w:szCs w:val="18"/>
              </w:rPr>
              <w:t>深圳市财政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1,000,000.00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31"/>
              <w:jc w:val="both"/>
              <w:rPr>
                <w:rFonts w:ascii="宋体" w:hAnsi="宋体" w:cs="宋体" w:eastAsia="宋体" w:hint="default"/>
                <w:sz w:val="18"/>
                <w:szCs w:val="18"/>
              </w:rPr>
            </w:pPr>
            <w:r>
              <w:rPr>
                <w:rFonts w:ascii="宋体" w:hAnsi="宋体" w:cs="宋体" w:eastAsia="宋体" w:hint="default"/>
                <w:sz w:val="18"/>
                <w:szCs w:val="18"/>
              </w:rPr>
              <w:t>收深圳市南 山区财政局 工业增加值 奖励</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3"/>
              <w:jc w:val="right"/>
              <w:rPr>
                <w:rFonts w:ascii="Times New Roman" w:hAnsi="Times New Roman" w:cs="Times New Roman" w:eastAsia="Times New Roman" w:hint="default"/>
                <w:sz w:val="18"/>
                <w:szCs w:val="18"/>
              </w:rPr>
            </w:pPr>
            <w:r>
              <w:rPr>
                <w:rFonts w:ascii="Times New Roman"/>
                <w:spacing w:val="-1"/>
                <w:sz w:val="18"/>
              </w:rPr>
              <w:t>1,000,000.00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87"/>
              <w:jc w:val="both"/>
              <w:rPr>
                <w:rFonts w:ascii="宋体" w:hAnsi="宋体" w:cs="宋体" w:eastAsia="宋体" w:hint="default"/>
                <w:sz w:val="18"/>
                <w:szCs w:val="18"/>
              </w:rPr>
            </w:pPr>
            <w:r>
              <w:rPr>
                <w:rFonts w:ascii="宋体" w:hAnsi="宋体" w:cs="宋体" w:eastAsia="宋体" w:hint="default"/>
                <w:sz w:val="18"/>
                <w:szCs w:val="18"/>
              </w:rPr>
              <w:t>深圳市科技 创新委员会 高新区科研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年度资 助费</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27"/>
              <w:jc w:val="left"/>
              <w:rPr>
                <w:rFonts w:ascii="宋体" w:hAnsi="宋体" w:cs="宋体" w:eastAsia="宋体" w:hint="default"/>
                <w:sz w:val="18"/>
                <w:szCs w:val="18"/>
              </w:rPr>
            </w:pPr>
            <w:r>
              <w:rPr>
                <w:rFonts w:ascii="宋体" w:hAnsi="宋体" w:cs="宋体" w:eastAsia="宋体" w:hint="default"/>
                <w:sz w:val="18"/>
                <w:szCs w:val="18"/>
              </w:rPr>
              <w:t>深圳市科技 创新委员会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pt;mso-position-horizontal-relative:char;mso-position-vertical-relative:line" coordorigin="0,0" coordsize="1054,624">
                  <v:group style="position:absolute;left:0;top:0;width:1054;height:624" coordorigin="0,0" coordsize="1054,624">
                    <v:shape style="position:absolute;left:0;top:0;width:1054;height:624" coordorigin="0,0" coordsize="1054,624"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809,000.00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87"/>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年度南 京市软件和 信息服务业 发展专项资 金第一批项 目及资金计 划</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9" w:lineRule="auto"/>
              <w:ind w:left="22" w:right="127"/>
              <w:jc w:val="both"/>
              <w:rPr>
                <w:rFonts w:ascii="宋体" w:hAnsi="宋体" w:cs="宋体" w:eastAsia="宋体" w:hint="default"/>
                <w:sz w:val="18"/>
                <w:szCs w:val="18"/>
              </w:rPr>
            </w:pPr>
            <w:r>
              <w:rPr>
                <w:rFonts w:ascii="宋体" w:hAnsi="宋体" w:cs="宋体" w:eastAsia="宋体" w:hint="default"/>
                <w:sz w:val="18"/>
                <w:szCs w:val="18"/>
              </w:rPr>
              <w:t>南京市雨花 经济开发区 管理委员会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2"/>
              <w:jc w:val="right"/>
              <w:rPr>
                <w:rFonts w:ascii="Times New Roman" w:hAnsi="Times New Roman" w:cs="Times New Roman" w:eastAsia="Times New Roman" w:hint="default"/>
                <w:sz w:val="18"/>
                <w:szCs w:val="18"/>
              </w:rPr>
            </w:pPr>
            <w:r>
              <w:rPr>
                <w:rFonts w:ascii="Times New Roman"/>
                <w:sz w:val="18"/>
              </w:rPr>
              <w:t>800,000.00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收到惠州市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年省级 促进经济发 </w:t>
            </w:r>
            <w:r>
              <w:rPr>
                <w:rFonts w:ascii="宋体" w:hAnsi="宋体" w:cs="宋体" w:eastAsia="宋体" w:hint="default"/>
                <w:spacing w:val="-12"/>
                <w:sz w:val="18"/>
                <w:szCs w:val="18"/>
              </w:rPr>
              <w:t>展专项（企业</w:t>
            </w:r>
            <w:r>
              <w:rPr>
                <w:rFonts w:ascii="宋体" w:hAnsi="宋体" w:cs="宋体" w:eastAsia="宋体" w:hint="default"/>
                <w:sz w:val="18"/>
                <w:szCs w:val="18"/>
              </w:rPr>
              <w:t> 技术改造用 途）资金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22" w:right="127"/>
              <w:jc w:val="left"/>
              <w:rPr>
                <w:rFonts w:ascii="宋体" w:hAnsi="宋体" w:cs="宋体" w:eastAsia="宋体" w:hint="default"/>
                <w:sz w:val="18"/>
                <w:szCs w:val="18"/>
              </w:rPr>
            </w:pPr>
            <w:r>
              <w:rPr>
                <w:rFonts w:ascii="宋体" w:hAnsi="宋体" w:cs="宋体" w:eastAsia="宋体" w:hint="default"/>
                <w:sz w:val="18"/>
                <w:szCs w:val="18"/>
              </w:rPr>
              <w:t>大亚湾财政 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5"/>
                <w:sz w:val="20"/>
                <w:szCs w:val="20"/>
              </w:rPr>
              <w:pict>
                <v:group style="width:52.7pt;height:39pt;mso-position-horizontal-relative:char;mso-position-vertical-relative:line" coordorigin="0,0" coordsize="1054,780">
                  <v:group style="position:absolute;left:0;top:0;width:1054;height:780" coordorigin="0,0" coordsize="1054,780">
                    <v:shape style="position:absolute;left:0;top:0;width:1054;height:780" coordorigin="0,0" coordsize="1054,780" path="m0,780l1054,780,1054,0,0,0,0,780xe" filled="true" fillcolor="#ffffff" stroked="false">
                      <v:path arrowok="t"/>
                      <v:fill type="solid"/>
                    </v:shape>
                  </v:group>
                </v:group>
              </w:pict>
            </w:r>
            <w:r>
              <w:rPr>
                <w:rFonts w:ascii="Times New Roman" w:hAnsi="Times New Roman" w:cs="Times New Roman" w:eastAsia="Times New Roman" w:hint="default"/>
                <w:position w:val="-1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583,500.00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05"/>
              <w:ind w:left="22" w:right="71"/>
              <w:jc w:val="left"/>
              <w:rPr>
                <w:rFonts w:ascii="宋体" w:hAnsi="宋体" w:cs="宋体" w:eastAsia="宋体" w:hint="default"/>
                <w:sz w:val="18"/>
                <w:szCs w:val="18"/>
              </w:rPr>
            </w:pPr>
            <w:r>
              <w:rPr>
                <w:rFonts w:ascii="宋体" w:hAnsi="宋体" w:cs="宋体" w:eastAsia="宋体" w:hint="default"/>
                <w:sz w:val="18"/>
                <w:szCs w:val="18"/>
              </w:rPr>
              <w:t>收到政府补 助</w:t>
            </w:r>
            <w:r>
              <w:rPr>
                <w:rFonts w:ascii="Times New Roman" w:hAnsi="Times New Roman" w:cs="Times New Roman" w:eastAsia="Times New Roman" w:hint="default"/>
                <w:sz w:val="18"/>
                <w:szCs w:val="18"/>
              </w:rPr>
              <w:t>-</w:t>
            </w:r>
            <w:r>
              <w:rPr>
                <w:rFonts w:ascii="宋体" w:hAnsi="宋体" w:cs="宋体" w:eastAsia="宋体" w:hint="default"/>
                <w:sz w:val="18"/>
                <w:szCs w:val="18"/>
              </w:rPr>
              <w:t>企业参加 展会活动资 助项目</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2"/>
              <w:jc w:val="right"/>
              <w:rPr>
                <w:rFonts w:ascii="Times New Roman" w:hAnsi="Times New Roman" w:cs="Times New Roman" w:eastAsia="Times New Roman" w:hint="default"/>
                <w:sz w:val="18"/>
                <w:szCs w:val="18"/>
              </w:rPr>
            </w:pPr>
            <w:r>
              <w:rPr>
                <w:rFonts w:ascii="Times New Roman"/>
                <w:sz w:val="18"/>
              </w:rPr>
              <w:t>548,900.00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42"/>
              <w:jc w:val="left"/>
              <w:rPr>
                <w:rFonts w:ascii="宋体" w:hAnsi="宋体" w:cs="宋体" w:eastAsia="宋体" w:hint="default"/>
                <w:sz w:val="18"/>
                <w:szCs w:val="18"/>
              </w:rPr>
            </w:pPr>
            <w:r>
              <w:rPr>
                <w:rFonts w:ascii="宋体" w:hAnsi="宋体" w:cs="宋体" w:eastAsia="宋体" w:hint="default"/>
                <w:sz w:val="18"/>
                <w:szCs w:val="18"/>
              </w:rPr>
              <w:t>收到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惠州市企业 研发省级财 政补助资金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27"/>
              <w:jc w:val="left"/>
              <w:rPr>
                <w:rFonts w:ascii="宋体" w:hAnsi="宋体" w:cs="宋体" w:eastAsia="宋体" w:hint="default"/>
                <w:sz w:val="18"/>
                <w:szCs w:val="18"/>
              </w:rPr>
            </w:pPr>
            <w:r>
              <w:rPr>
                <w:rFonts w:ascii="宋体" w:hAnsi="宋体" w:cs="宋体" w:eastAsia="宋体" w:hint="default"/>
                <w:sz w:val="18"/>
                <w:szCs w:val="18"/>
              </w:rPr>
              <w:t>大亚湾财政 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5pt;mso-position-horizontal-relative:char;mso-position-vertical-relative:line" coordorigin="0,0" coordsize="1054,469">
                  <v:group style="position:absolute;left:0;top:0;width:1054;height:469" coordorigin="0,0" coordsize="1054,469">
                    <v:shape style="position:absolute;left:0;top:0;width:1054;height:469" coordorigin="0,0" coordsize="1054,469"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543,300.00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86"/>
              <w:jc w:val="both"/>
              <w:rPr>
                <w:rFonts w:ascii="宋体" w:hAnsi="宋体" w:cs="宋体" w:eastAsia="宋体" w:hint="default"/>
                <w:sz w:val="18"/>
                <w:szCs w:val="18"/>
              </w:rPr>
            </w:pPr>
            <w:r>
              <w:rPr>
                <w:rFonts w:ascii="宋体" w:hAnsi="宋体" w:cs="宋体" w:eastAsia="宋体" w:hint="default"/>
                <w:sz w:val="18"/>
                <w:szCs w:val="18"/>
              </w:rPr>
              <w:t>江苏省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年度科技发 展计划和科 技经费发放</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27"/>
              <w:jc w:val="both"/>
              <w:rPr>
                <w:rFonts w:ascii="宋体" w:hAnsi="宋体" w:cs="宋体" w:eastAsia="宋体" w:hint="default"/>
                <w:sz w:val="18"/>
                <w:szCs w:val="18"/>
              </w:rPr>
            </w:pPr>
            <w:r>
              <w:rPr>
                <w:rFonts w:ascii="宋体" w:hAnsi="宋体" w:cs="宋体" w:eastAsia="宋体" w:hint="default"/>
                <w:sz w:val="18"/>
                <w:szCs w:val="18"/>
              </w:rPr>
              <w:t>南京市雨花 经济开发区 管理委员会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539,800.00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深圳市财政 局个人所得 税手续费返 还</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27"/>
              <w:jc w:val="left"/>
              <w:rPr>
                <w:rFonts w:ascii="宋体" w:hAnsi="宋体" w:cs="宋体" w:eastAsia="宋体" w:hint="default"/>
                <w:sz w:val="18"/>
                <w:szCs w:val="18"/>
              </w:rPr>
            </w:pPr>
            <w:r>
              <w:rPr>
                <w:rFonts w:ascii="宋体" w:hAnsi="宋体" w:cs="宋体" w:eastAsia="宋体" w:hint="default"/>
                <w:sz w:val="18"/>
                <w:szCs w:val="18"/>
              </w:rPr>
              <w:t>深圳市财政 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个税返还</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29"/>
              <w:jc w:val="left"/>
              <w:rPr>
                <w:rFonts w:ascii="宋体" w:hAnsi="宋体" w:cs="宋体" w:eastAsia="宋体" w:hint="default"/>
                <w:sz w:val="18"/>
                <w:szCs w:val="18"/>
              </w:rPr>
            </w:pPr>
            <w:r>
              <w:rPr>
                <w:rFonts w:ascii="宋体" w:hAnsi="宋体" w:cs="宋体" w:eastAsia="宋体" w:hint="default"/>
                <w:sz w:val="18"/>
                <w:szCs w:val="18"/>
              </w:rPr>
              <w:t>个税手续费 返还</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516,283.96</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深圳市福田 区支持科技 创新发展研 发项目补助</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27"/>
              <w:jc w:val="both"/>
              <w:rPr>
                <w:rFonts w:ascii="宋体" w:hAnsi="宋体" w:cs="宋体" w:eastAsia="宋体" w:hint="default"/>
                <w:sz w:val="18"/>
                <w:szCs w:val="18"/>
              </w:rPr>
            </w:pPr>
            <w:r>
              <w:rPr>
                <w:rFonts w:ascii="宋体" w:hAnsi="宋体" w:cs="宋体" w:eastAsia="宋体" w:hint="default"/>
                <w:sz w:val="18"/>
                <w:szCs w:val="18"/>
              </w:rPr>
              <w:t>深圳市福田 区国库支付 中心</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503,300.00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89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收深圳市科 技创新委员 会</w:t>
            </w:r>
          </w:p>
          <w:p>
            <w:pPr>
              <w:pStyle w:val="TableParagraph"/>
              <w:spacing w:line="240" w:lineRule="auto" w:before="19"/>
              <w:ind w:left="22"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BTWzY5B</w:t>
            </w:r>
          </w:p>
          <w:p>
            <w:pPr>
              <w:pStyle w:val="TableParagraph"/>
              <w:spacing w:line="316" w:lineRule="auto" w:before="63"/>
              <w:ind w:left="22" w:right="131"/>
              <w:jc w:val="both"/>
              <w:rPr>
                <w:rFonts w:ascii="宋体" w:hAnsi="宋体" w:cs="宋体" w:eastAsia="宋体" w:hint="default"/>
                <w:sz w:val="18"/>
                <w:szCs w:val="18"/>
              </w:rPr>
            </w:pPr>
            <w:r>
              <w:rPr>
                <w:rFonts w:ascii="宋体" w:hAnsi="宋体" w:cs="宋体" w:eastAsia="宋体" w:hint="default"/>
                <w:sz w:val="18"/>
                <w:szCs w:val="18"/>
              </w:rPr>
              <w:t>计财处科学 技术奖深府 </w:t>
            </w:r>
            <w:r>
              <w:rPr>
                <w:rFonts w:ascii="Times New Roman" w:hAnsi="Times New Roman" w:cs="Times New Roman" w:eastAsia="Times New Roman" w:hint="default"/>
                <w:sz w:val="18"/>
                <w:szCs w:val="18"/>
              </w:rPr>
              <w:t>201862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p>
            <w:pPr>
              <w:pStyle w:val="TableParagraph"/>
              <w:spacing w:line="248" w:lineRule="exact"/>
              <w:ind w:left="22" w:right="0"/>
              <w:jc w:val="both"/>
              <w:rPr>
                <w:rFonts w:ascii="宋体" w:hAnsi="宋体" w:cs="宋体" w:eastAsia="宋体" w:hint="default"/>
                <w:sz w:val="18"/>
                <w:szCs w:val="18"/>
              </w:rPr>
            </w:pPr>
            <w:r>
              <w:rPr>
                <w:rFonts w:ascii="Times New Roman" w:hAnsi="Times New Roman" w:cs="Times New Roman" w:eastAsia="Times New Roman" w:hint="default"/>
                <w:spacing w:val="-15"/>
                <w:sz w:val="18"/>
                <w:szCs w:val="18"/>
              </w:rPr>
              <w:t>20180293</w:t>
            </w:r>
            <w:r>
              <w:rPr>
                <w:rFonts w:ascii="宋体" w:hAnsi="宋体" w:cs="宋体" w:eastAsia="宋体" w:hint="default"/>
                <w:spacing w:val="-15"/>
                <w:sz w:val="18"/>
                <w:szCs w:val="18"/>
              </w:rPr>
              <w:t>）补</w:t>
            </w:r>
            <w:r>
              <w:rPr>
                <w:rFonts w:ascii="宋体" w:hAnsi="宋体" w:cs="宋体" w:eastAsia="宋体" w:hint="default"/>
                <w:sz w:val="18"/>
                <w:szCs w:val="18"/>
              </w:rPr>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助</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8"/>
              <w:ind w:left="22" w:right="127"/>
              <w:jc w:val="left"/>
              <w:rPr>
                <w:rFonts w:ascii="宋体" w:hAnsi="宋体" w:cs="宋体" w:eastAsia="宋体" w:hint="default"/>
                <w:sz w:val="18"/>
                <w:szCs w:val="18"/>
              </w:rPr>
            </w:pPr>
            <w:r>
              <w:rPr>
                <w:rFonts w:ascii="宋体" w:hAnsi="宋体" w:cs="宋体" w:eastAsia="宋体" w:hint="default"/>
                <w:sz w:val="18"/>
                <w:szCs w:val="18"/>
              </w:rPr>
              <w:t>深圳市科技 创新委员会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24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4"/>
                <w:sz w:val="20"/>
                <w:szCs w:val="20"/>
              </w:rPr>
              <w:pict>
                <v:group style="width:52.7pt;height:62.4pt;mso-position-horizontal-relative:char;mso-position-vertical-relative:line" coordorigin="0,0" coordsize="1054,1248">
                  <v:group style="position:absolute;left:0;top:0;width:1054;height:1248" coordorigin="0,0" coordsize="1054,1248">
                    <v:shape style="position:absolute;left:0;top:0;width:1054;height:1248" coordorigin="0,0" coordsize="1054,1248" path="m0,1248l1054,1248,1054,0,0,0,0,1248xe" filled="true" fillcolor="#ffffff" stroked="false">
                      <v:path arrowok="t"/>
                      <v:fill type="solid"/>
                    </v:shape>
                  </v:group>
                </v:group>
              </w:pict>
            </w:r>
            <w:r>
              <w:rPr>
                <w:rFonts w:ascii="Times New Roman" w:hAnsi="Times New Roman" w:cs="Times New Roman" w:eastAsia="Times New Roman" w:hint="default"/>
                <w:position w:val="-24"/>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31"/>
              <w:jc w:val="left"/>
              <w:rPr>
                <w:rFonts w:ascii="宋体" w:hAnsi="宋体" w:cs="宋体" w:eastAsia="宋体" w:hint="default"/>
                <w:sz w:val="18"/>
                <w:szCs w:val="18"/>
              </w:rPr>
            </w:pPr>
            <w:r>
              <w:rPr>
                <w:rFonts w:ascii="宋体" w:hAnsi="宋体" w:cs="宋体" w:eastAsia="宋体" w:hint="default"/>
                <w:sz w:val="18"/>
                <w:szCs w:val="18"/>
              </w:rPr>
              <w:t>其他小额政 府补助</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5pt;mso-position-horizontal-relative:char;mso-position-vertical-relative:line" coordorigin="0,0" coordsize="1054,469">
                  <v:group style="position:absolute;left:0;top:0;width:1054;height:469" coordorigin="0,0" coordsize="1054,469">
                    <v:shape style="position:absolute;left:0;top:0;width:1054;height:469" coordorigin="0,0" coordsize="1054,469"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2,130,434.85</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31"/>
              <w:jc w:val="both"/>
              <w:rPr>
                <w:rFonts w:ascii="宋体" w:hAnsi="宋体" w:cs="宋体" w:eastAsia="宋体" w:hint="default"/>
                <w:sz w:val="18"/>
                <w:szCs w:val="18"/>
              </w:rPr>
            </w:pPr>
            <w:r>
              <w:rPr>
                <w:rFonts w:ascii="宋体" w:hAnsi="宋体" w:cs="宋体" w:eastAsia="宋体" w:hint="default"/>
                <w:sz w:val="18"/>
                <w:szCs w:val="18"/>
              </w:rPr>
              <w:t>收深圳市南 山财政局工 业增长奖励</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3,000,000.00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87"/>
              <w:jc w:val="left"/>
              <w:rPr>
                <w:rFonts w:ascii="宋体" w:hAnsi="宋体" w:cs="宋体" w:eastAsia="宋体" w:hint="default"/>
                <w:sz w:val="18"/>
                <w:szCs w:val="18"/>
              </w:rPr>
            </w:pPr>
            <w:r>
              <w:rPr>
                <w:rFonts w:ascii="宋体" w:hAnsi="宋体" w:cs="宋体" w:eastAsia="宋体" w:hint="default"/>
                <w:sz w:val="18"/>
                <w:szCs w:val="18"/>
              </w:rPr>
              <w:t>收深圳市财 政委员会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产业转 型升级专项 资金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27"/>
              <w:jc w:val="left"/>
              <w:rPr>
                <w:rFonts w:ascii="宋体" w:hAnsi="宋体" w:cs="宋体" w:eastAsia="宋体" w:hint="default"/>
                <w:sz w:val="18"/>
                <w:szCs w:val="18"/>
              </w:rPr>
            </w:pPr>
            <w:r>
              <w:rPr>
                <w:rFonts w:ascii="宋体" w:hAnsi="宋体" w:cs="宋体" w:eastAsia="宋体" w:hint="default"/>
                <w:sz w:val="18"/>
                <w:szCs w:val="18"/>
              </w:rPr>
              <w:t>深圳市财政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pt;mso-position-horizontal-relative:char;mso-position-vertical-relative:line" coordorigin="0,0" coordsize="1054,624">
                  <v:group style="position:absolute;left:0;top:0;width:1054;height:624" coordorigin="0,0" coordsize="1054,624">
                    <v:shape style="position:absolute;left:0;top:0;width:1054;height:624" coordorigin="0,0" coordsize="1054,624"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2,350,000.00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大尺寸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 </w:t>
            </w:r>
            <w:r>
              <w:rPr>
                <w:rFonts w:ascii="宋体" w:hAnsi="宋体" w:cs="宋体" w:eastAsia="宋体" w:hint="default"/>
                <w:sz w:val="18"/>
                <w:szCs w:val="18"/>
              </w:rPr>
              <w:t>裸眼立体显 示政府</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 </w:t>
            </w:r>
            <w:r>
              <w:rPr>
                <w:rFonts w:ascii="宋体" w:hAnsi="宋体" w:cs="宋体" w:eastAsia="宋体" w:hint="default"/>
                <w:sz w:val="18"/>
                <w:szCs w:val="18"/>
              </w:rPr>
              <w:t>万项目已验 收确认收入</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27"/>
              <w:jc w:val="left"/>
              <w:rPr>
                <w:rFonts w:ascii="宋体" w:hAnsi="宋体" w:cs="宋体" w:eastAsia="宋体" w:hint="default"/>
                <w:sz w:val="18"/>
                <w:szCs w:val="18"/>
              </w:rPr>
            </w:pPr>
            <w:r>
              <w:rPr>
                <w:rFonts w:ascii="宋体" w:hAnsi="宋体" w:cs="宋体" w:eastAsia="宋体" w:hint="default"/>
                <w:sz w:val="18"/>
                <w:szCs w:val="18"/>
              </w:rPr>
              <w:t>深圳市南山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pt;mso-position-horizontal-relative:char;mso-position-vertical-relative:line" coordorigin="0,0" coordsize="1054,624">
                  <v:group style="position:absolute;left:0;top:0;width:1054;height:624" coordorigin="0,0" coordsize="1054,624">
                    <v:shape style="position:absolute;left:0;top:0;width:1054;height:624" coordorigin="0,0" coordsize="1054,624"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2,000,000.00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131"/>
              <w:jc w:val="left"/>
              <w:rPr>
                <w:rFonts w:ascii="宋体" w:hAnsi="宋体" w:cs="宋体" w:eastAsia="宋体" w:hint="default"/>
                <w:sz w:val="18"/>
                <w:szCs w:val="18"/>
              </w:rPr>
            </w:pPr>
            <w:r>
              <w:rPr>
                <w:rFonts w:ascii="宋体" w:hAnsi="宋体" w:cs="宋体" w:eastAsia="宋体" w:hint="default"/>
                <w:sz w:val="18"/>
                <w:szCs w:val="18"/>
              </w:rPr>
              <w:t>收深圳市科 技创新委员</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7"/>
              <w:jc w:val="left"/>
              <w:rPr>
                <w:rFonts w:ascii="宋体" w:hAnsi="宋体" w:cs="宋体" w:eastAsia="宋体" w:hint="default"/>
                <w:sz w:val="18"/>
                <w:szCs w:val="18"/>
              </w:rPr>
            </w:pPr>
            <w:r>
              <w:rPr>
                <w:rFonts w:ascii="宋体" w:hAnsi="宋体" w:cs="宋体" w:eastAsia="宋体" w:hint="default"/>
                <w:sz w:val="18"/>
                <w:szCs w:val="18"/>
              </w:rPr>
              <w:t>深圳市科技 创新委员会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9" w:space="0" w:color="FFFFFF"/>
            </w:tcBorders>
          </w:tcPr>
          <w:p>
            <w:pPr>
              <w:pStyle w:val="TableParagraph"/>
              <w:spacing w:line="316" w:lineRule="auto" w:before="71"/>
              <w:ind w:left="22" w:right="-56"/>
              <w:jc w:val="left"/>
              <w:rPr>
                <w:rFonts w:ascii="宋体" w:hAnsi="宋体" w:cs="宋体" w:eastAsia="宋体" w:hint="default"/>
                <w:sz w:val="18"/>
                <w:szCs w:val="18"/>
              </w:rPr>
            </w:pPr>
            <w:r>
              <w:rPr>
                <w:rFonts w:ascii="宋体" w:hAnsi="宋体" w:cs="宋体" w:eastAsia="宋体" w:hint="default"/>
                <w:sz w:val="18"/>
                <w:szCs w:val="18"/>
              </w:rPr>
              <w:t>因研究开发、 技术更新及</w:t>
            </w:r>
          </w:p>
        </w:tc>
        <w:tc>
          <w:tcPr>
            <w:tcW w:w="1063" w:type="dxa"/>
            <w:tcBorders>
              <w:top w:val="single" w:sz="4" w:space="0" w:color="000000"/>
              <w:left w:val="single" w:sz="9" w:space="0" w:color="FFFFFF"/>
              <w:bottom w:val="single" w:sz="4" w:space="0" w:color="000000"/>
              <w:right w:val="single" w:sz="4" w:space="0" w:color="000000"/>
            </w:tcBorders>
          </w:tcPr>
          <w:p>
            <w:pPr>
              <w:pStyle w:val="TableParagraph"/>
              <w:spacing w:line="156" w:lineRule="exact"/>
              <w:ind w:left="-7" w:right="-5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2"/>
                <w:sz w:val="15"/>
                <w:szCs w:val="15"/>
              </w:rPr>
              <w:pict>
                <v:group style="width:52.7pt;height:7.8pt;mso-position-horizontal-relative:char;mso-position-vertical-relative:line" coordorigin="0,0" coordsize="1054,156">
                  <v:group style="position:absolute;left:0;top:0;width:1054;height:156" coordorigin="0,0" coordsize="1054,156">
                    <v:shape style="position:absolute;left:0;top:0;width:1054;height:156" coordorigin="0,0" coordsize="1054,156" path="m0,156l1054,156,1054,0,0,0,0,156xe" filled="true" fillcolor="#ffffff" stroked="false">
                      <v:path arrowok="t"/>
                      <v:fill type="solid"/>
                    </v:shape>
                  </v:group>
                </v:group>
              </w:pict>
            </w:r>
            <w:r>
              <w:rPr>
                <w:rFonts w:ascii="Times New Roman" w:hAnsi="Times New Roman" w:cs="Times New Roman" w:eastAsia="Times New Roman" w:hint="default"/>
                <w:position w:val="-2"/>
                <w:sz w:val="15"/>
                <w:szCs w:val="15"/>
              </w:rPr>
            </w:r>
          </w:p>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1,373,000.00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110.239998pt;margin-top:180.439987pt;width:52.6pt;height:39pt;mso-position-horizontal-relative:page;mso-position-vertical-relative:page;z-index:-1173760" coordorigin="2205,3609" coordsize="1052,780">
            <v:shape style="position:absolute;left:2205;top:3609;width:1052;height:780" coordorigin="2205,3609" coordsize="1052,780" path="m2205,4389l3256,4389,3256,3609,2205,3609,2205,4389xe" filled="true" fillcolor="#ffffff" stroked="false">
              <v:path arrowok="t"/>
              <v:fill type="solid"/>
            </v:shape>
            <w10:wrap type="none"/>
          </v:group>
        </w:pict>
      </w:r>
      <w:r>
        <w:rPr/>
        <w:pict>
          <v:group style="position:absolute;margin-left:110.239998pt;margin-top:318.019989pt;width:105.8pt;height:54.6pt;mso-position-horizontal-relative:page;mso-position-vertical-relative:page;z-index:-1173736" coordorigin="2205,6360" coordsize="2116,1092">
            <v:group style="position:absolute;left:2205;top:6360;width:1052;height:780" coordorigin="2205,6360" coordsize="1052,780">
              <v:shape style="position:absolute;left:2205;top:6360;width:1052;height:780" coordorigin="2205,6360" coordsize="1052,780" path="m2205,7140l3256,7140,3256,6360,2205,6360,2205,7140xe" filled="true" fillcolor="#ffffff" stroked="false">
                <v:path arrowok="t"/>
                <v:fill type="solid"/>
              </v:shape>
            </v:group>
            <v:group style="position:absolute;left:3267;top:6360;width:1054;height:1092" coordorigin="3267,6360" coordsize="1054,1092">
              <v:shape style="position:absolute;left:3267;top:6360;width:1054;height:1092" coordorigin="3267,6360" coordsize="1054,1092" path="m3267,7452l4320,7452,4320,6360,3267,6360,3267,7452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6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31"/>
              <w:jc w:val="left"/>
              <w:rPr>
                <w:rFonts w:ascii="宋体" w:hAnsi="宋体" w:cs="宋体" w:eastAsia="宋体" w:hint="default"/>
                <w:sz w:val="18"/>
                <w:szCs w:val="18"/>
              </w:rPr>
            </w:pPr>
            <w:r>
              <w:rPr>
                <w:rFonts w:ascii="宋体" w:hAnsi="宋体" w:cs="宋体" w:eastAsia="宋体" w:hint="default"/>
                <w:sz w:val="18"/>
                <w:szCs w:val="18"/>
              </w:rPr>
              <w:t>会企业研究 开发资助款</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9"/>
              <w:jc w:val="left"/>
              <w:rPr>
                <w:rFonts w:ascii="宋体" w:hAnsi="宋体" w:cs="宋体" w:eastAsia="宋体" w:hint="default"/>
                <w:sz w:val="18"/>
                <w:szCs w:val="18"/>
              </w:rPr>
            </w:pPr>
            <w:r>
              <w:rPr>
                <w:rFonts w:ascii="宋体" w:hAnsi="宋体" w:cs="宋体" w:eastAsia="宋体" w:hint="default"/>
                <w:sz w:val="18"/>
                <w:szCs w:val="18"/>
              </w:rPr>
              <w:t>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收到惠州大 亚湾经济技 术开发区财 政局</w:t>
            </w:r>
          </w:p>
          <w:p>
            <w:pPr>
              <w:pStyle w:val="TableParagraph"/>
              <w:spacing w:line="240" w:lineRule="auto" w:before="19"/>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2014-2016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19" w:lineRule="auto" w:before="63"/>
              <w:ind w:left="22" w:right="-47"/>
              <w:jc w:val="left"/>
              <w:rPr>
                <w:rFonts w:ascii="宋体" w:hAnsi="宋体" w:cs="宋体" w:eastAsia="宋体" w:hint="default"/>
                <w:sz w:val="18"/>
                <w:szCs w:val="18"/>
              </w:rPr>
            </w:pPr>
            <w:r>
              <w:rPr>
                <w:rFonts w:ascii="宋体" w:hAnsi="宋体" w:cs="宋体" w:eastAsia="宋体" w:hint="default"/>
                <w:sz w:val="18"/>
                <w:szCs w:val="18"/>
              </w:rPr>
              <w:t>企业奖励资 金（小升规）</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22" w:right="127"/>
              <w:jc w:val="left"/>
              <w:rPr>
                <w:rFonts w:ascii="宋体" w:hAnsi="宋体" w:cs="宋体" w:eastAsia="宋体" w:hint="default"/>
                <w:sz w:val="18"/>
                <w:szCs w:val="18"/>
              </w:rPr>
            </w:pPr>
            <w:r>
              <w:rPr>
                <w:rFonts w:ascii="宋体" w:hAnsi="宋体" w:cs="宋体" w:eastAsia="宋体" w:hint="default"/>
                <w:sz w:val="18"/>
                <w:szCs w:val="18"/>
              </w:rPr>
              <w:t>惠州大亚湾 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z w:val="18"/>
              </w:rPr>
              <w:t>618,750.00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42"/>
              <w:jc w:val="left"/>
              <w:rPr>
                <w:rFonts w:ascii="宋体" w:hAnsi="宋体" w:cs="宋体" w:eastAsia="宋体" w:hint="default"/>
                <w:sz w:val="18"/>
                <w:szCs w:val="18"/>
              </w:rPr>
            </w:pPr>
            <w:r>
              <w:rPr>
                <w:rFonts w:ascii="宋体" w:hAnsi="宋体" w:cs="宋体" w:eastAsia="宋体" w:hint="default"/>
                <w:sz w:val="18"/>
                <w:szCs w:val="18"/>
              </w:rPr>
              <w:t>收深圳市市 场和质量监 督管理委员 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年知 识产权专项 资金补助</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27"/>
              <w:jc w:val="both"/>
              <w:rPr>
                <w:rFonts w:ascii="宋体" w:hAnsi="宋体" w:cs="宋体" w:eastAsia="宋体" w:hint="default"/>
                <w:sz w:val="18"/>
                <w:szCs w:val="18"/>
              </w:rPr>
            </w:pPr>
            <w:r>
              <w:rPr>
                <w:rFonts w:ascii="宋体" w:hAnsi="宋体" w:cs="宋体" w:eastAsia="宋体" w:hint="default"/>
                <w:sz w:val="18"/>
                <w:szCs w:val="18"/>
              </w:rPr>
              <w:t>深圳市市场 和质量监督 管理委员会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5"/>
                <w:sz w:val="20"/>
                <w:szCs w:val="20"/>
              </w:rPr>
              <w:pict>
                <v:group style="width:52.7pt;height:39pt;mso-position-horizontal-relative:char;mso-position-vertical-relative:line" coordorigin="0,0" coordsize="1054,780">
                  <v:group style="position:absolute;left:0;top:0;width:1054;height:780" coordorigin="0,0" coordsize="1054,780">
                    <v:shape style="position:absolute;left:0;top:0;width:1054;height:780" coordorigin="0,0" coordsize="1054,780" path="m0,780l1054,780,1054,0,0,0,0,780xe" filled="true" fillcolor="#ffffff" stroked="false">
                      <v:path arrowok="t"/>
                      <v:fill type="solid"/>
                    </v:shape>
                  </v:group>
                </v:group>
              </w:pict>
            </w:r>
            <w:r>
              <w:rPr>
                <w:rFonts w:ascii="Times New Roman" w:hAnsi="Times New Roman" w:cs="Times New Roman" w:eastAsia="Times New Roman" w:hint="default"/>
                <w:position w:val="-1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7"/>
              <w:jc w:val="left"/>
              <w:rPr>
                <w:rFonts w:ascii="宋体" w:hAnsi="宋体" w:cs="宋体" w:eastAsia="宋体" w:hint="default"/>
                <w:sz w:val="18"/>
                <w:szCs w:val="18"/>
              </w:rPr>
            </w:pPr>
            <w:r>
              <w:rPr>
                <w:rFonts w:ascii="宋体" w:hAnsi="宋体" w:cs="宋体" w:eastAsia="宋体" w:hint="default"/>
                <w:sz w:val="18"/>
                <w:szCs w:val="18"/>
              </w:rPr>
              <w:t>中国（南京） 软件谷管理 委员会南京 市软件和信 息服务业发 展专项资金 第一批计划 项目</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2" w:right="127"/>
              <w:jc w:val="both"/>
              <w:rPr>
                <w:rFonts w:ascii="宋体" w:hAnsi="宋体" w:cs="宋体" w:eastAsia="宋体" w:hint="default"/>
                <w:sz w:val="18"/>
                <w:szCs w:val="18"/>
              </w:rPr>
            </w:pPr>
            <w:r>
              <w:rPr>
                <w:rFonts w:ascii="宋体" w:hAnsi="宋体" w:cs="宋体" w:eastAsia="宋体" w:hint="default"/>
                <w:sz w:val="18"/>
                <w:szCs w:val="18"/>
              </w:rPr>
              <w:t>中国（南京 软件谷管理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09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1"/>
                <w:sz w:val="20"/>
                <w:szCs w:val="20"/>
              </w:rPr>
              <w:pict>
                <v:group style="width:52.7pt;height:54.6pt;mso-position-horizontal-relative:char;mso-position-vertical-relative:line" coordorigin="0,0" coordsize="1054,1092">
                  <v:group style="position:absolute;left:0;top:0;width:1054;height:1092" coordorigin="0,0" coordsize="1054,1092">
                    <v:shape style="position:absolute;left:0;top:0;width:1054;height:1092" coordorigin="0,0" coordsize="1054,1092" path="m0,1092l1054,1092,1054,0,0,0,0,1092xe" filled="true" fillcolor="#ffffff" stroked="false">
                      <v:path arrowok="t"/>
                      <v:fill type="solid"/>
                    </v:shape>
                  </v:group>
                </v:group>
              </w:pict>
            </w:r>
            <w:r>
              <w:rPr>
                <w:rFonts w:ascii="Times New Roman" w:hAnsi="Times New Roman" w:cs="Times New Roman" w:eastAsia="Times New Roman" w:hint="default"/>
                <w:position w:val="-2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南京市雨花 经济开发区 管理委员会 软件专项</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27"/>
              <w:jc w:val="left"/>
              <w:rPr>
                <w:rFonts w:ascii="宋体" w:hAnsi="宋体" w:cs="宋体" w:eastAsia="宋体" w:hint="default"/>
                <w:sz w:val="18"/>
                <w:szCs w:val="18"/>
              </w:rPr>
            </w:pPr>
            <w:r>
              <w:rPr>
                <w:rFonts w:ascii="宋体" w:hAnsi="宋体" w:cs="宋体" w:eastAsia="宋体" w:hint="default"/>
                <w:sz w:val="18"/>
                <w:szCs w:val="18"/>
              </w:rPr>
              <w:t>南京市雨花 区管委会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486,870.00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31"/>
              <w:jc w:val="left"/>
              <w:rPr>
                <w:rFonts w:ascii="宋体" w:hAnsi="宋体" w:cs="宋体" w:eastAsia="宋体" w:hint="default"/>
                <w:sz w:val="18"/>
                <w:szCs w:val="18"/>
              </w:rPr>
            </w:pPr>
            <w:r>
              <w:rPr>
                <w:rFonts w:ascii="宋体" w:hAnsi="宋体" w:cs="宋体" w:eastAsia="宋体" w:hint="default"/>
                <w:sz w:val="18"/>
                <w:szCs w:val="18"/>
              </w:rPr>
              <w:t>其他小额政 府补助</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254.88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31"/>
              <w:jc w:val="left"/>
              <w:rPr>
                <w:rFonts w:ascii="宋体" w:hAnsi="宋体" w:cs="宋体" w:eastAsia="宋体" w:hint="default"/>
                <w:sz w:val="18"/>
                <w:szCs w:val="18"/>
              </w:rPr>
            </w:pPr>
            <w:r>
              <w:rPr>
                <w:rFonts w:ascii="宋体" w:hAnsi="宋体" w:cs="宋体" w:eastAsia="宋体" w:hint="default"/>
                <w:sz w:val="18"/>
                <w:szCs w:val="18"/>
              </w:rPr>
              <w:t>其他小额政 府补助</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3,127,143.75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7"/>
              <w:ind w:left="22" w:right="0"/>
              <w:jc w:val="left"/>
              <w:rPr>
                <w:rFonts w:ascii="微软雅黑" w:hAnsi="微软雅黑" w:cs="微软雅黑" w:eastAsia="微软雅黑" w:hint="default"/>
                <w:sz w:val="18"/>
                <w:szCs w:val="18"/>
              </w:rPr>
            </w:pPr>
            <w:r>
              <w:rPr>
                <w:rFonts w:ascii="微软雅黑"/>
                <w:sz w:val="18"/>
              </w:rPr>
              <w:t>12,192,518.</w:t>
            </w:r>
          </w:p>
          <w:p>
            <w:pPr>
              <w:pStyle w:val="TableParagraph"/>
              <w:spacing w:line="240" w:lineRule="auto" w:before="2"/>
              <w:ind w:left="22" w:right="0"/>
              <w:jc w:val="left"/>
              <w:rPr>
                <w:rFonts w:ascii="微软雅黑" w:hAnsi="微软雅黑" w:cs="微软雅黑" w:eastAsia="微软雅黑" w:hint="default"/>
                <w:sz w:val="18"/>
                <w:szCs w:val="18"/>
              </w:rPr>
            </w:pPr>
            <w:r>
              <w:rPr>
                <w:rFonts w:ascii="微软雅黑"/>
                <w:sz w:val="18"/>
              </w:rPr>
              <w:t>81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7"/>
              <w:ind w:left="22" w:right="0"/>
              <w:jc w:val="left"/>
              <w:rPr>
                <w:rFonts w:ascii="微软雅黑" w:hAnsi="微软雅黑" w:cs="微软雅黑" w:eastAsia="微软雅黑" w:hint="default"/>
                <w:sz w:val="18"/>
                <w:szCs w:val="18"/>
              </w:rPr>
            </w:pPr>
            <w:r>
              <w:rPr>
                <w:rFonts w:ascii="微软雅黑"/>
                <w:sz w:val="18"/>
              </w:rPr>
              <w:t>14,956,018.</w:t>
            </w:r>
          </w:p>
          <w:p>
            <w:pPr>
              <w:pStyle w:val="TableParagraph"/>
              <w:spacing w:line="240" w:lineRule="auto" w:before="2"/>
              <w:ind w:left="22" w:right="0"/>
              <w:jc w:val="left"/>
              <w:rPr>
                <w:rFonts w:ascii="微软雅黑" w:hAnsi="微软雅黑" w:cs="微软雅黑" w:eastAsia="微软雅黑" w:hint="default"/>
                <w:sz w:val="18"/>
                <w:szCs w:val="18"/>
              </w:rPr>
            </w:pPr>
            <w:r>
              <w:rPr>
                <w:rFonts w:ascii="微软雅黑"/>
                <w:sz w:val="18"/>
              </w:rPr>
              <w:t>63</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
        <w:rPr>
          <w:rFonts w:ascii="Times New Roman" w:hAnsi="Times New Roman" w:cs="Times New Roman" w:eastAsia="Times New Roman" w:hint="default"/>
          <w:sz w:val="28"/>
          <w:szCs w:val="28"/>
        </w:rPr>
      </w:pPr>
    </w:p>
    <w:p>
      <w:pPr>
        <w:pStyle w:val="Heading4"/>
        <w:spacing w:line="240" w:lineRule="auto" w:before="35"/>
        <w:ind w:right="0"/>
        <w:jc w:val="left"/>
        <w:rPr>
          <w:b w:val="0"/>
          <w:bCs w:val="0"/>
        </w:rPr>
      </w:pPr>
      <w:bookmarkStart w:name="60、投资收益" w:id="357"/>
      <w:bookmarkEnd w:id="357"/>
      <w:r>
        <w:rPr>
          <w:b w:val="0"/>
          <w:bCs w:val="0"/>
        </w:rPr>
      </w:r>
      <w:r>
        <w:rPr>
          <w:rFonts w:ascii="Times New Roman" w:hAnsi="Times New Roman" w:cs="Times New Roman" w:eastAsia="Times New Roman" w:hint="default"/>
        </w:rPr>
        <w:t>60</w:t>
      </w:r>
      <w:r>
        <w:rPr/>
        <w:t>、投资收益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460"/>
        <w:gridCol w:w="3191"/>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-621,005.39</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177,449.00</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理财产品收益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3,678,293.08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2,118,884.02</w:t>
            </w:r>
          </w:p>
        </w:tc>
      </w:tr>
      <w:tr>
        <w:trPr>
          <w:trHeight w:val="403"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3,057,287.69</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2,296,333.02</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61、公允价值变动收益" w:id="358"/>
      <w:bookmarkEnd w:id="358"/>
      <w:r>
        <w:rPr>
          <w:b w:val="0"/>
          <w:bCs w:val="0"/>
        </w:rPr>
      </w:r>
      <w:r>
        <w:rPr>
          <w:rFonts w:ascii="Times New Roman" w:hAnsi="Times New Roman" w:cs="Times New Roman" w:eastAsia="Times New Roman" w:hint="default"/>
        </w:rPr>
        <w:t>61</w:t>
      </w:r>
      <w:r>
        <w:rPr/>
        <w:t>、公允价值变动收益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6"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1"/>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 益的金融资产</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12,750.00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1" w:firstLine="360"/>
              <w:jc w:val="left"/>
              <w:rPr>
                <w:rFonts w:ascii="宋体" w:hAnsi="宋体" w:cs="宋体" w:eastAsia="宋体" w:hint="default"/>
                <w:sz w:val="18"/>
                <w:szCs w:val="18"/>
              </w:rPr>
            </w:pPr>
            <w:r>
              <w:rPr>
                <w:rFonts w:ascii="宋体" w:hAnsi="宋体" w:cs="宋体" w:eastAsia="宋体" w:hint="default"/>
                <w:sz w:val="18"/>
                <w:szCs w:val="18"/>
              </w:rPr>
              <w:t>其中：衍生金融工具产生的公允价 值变动收益</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12,750.00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1"/>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 益的金融负债</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-376,800.00</w:t>
            </w:r>
            <w:r>
              <w:rPr>
                <w:rFonts w:ascii="Times New Roman"/>
                <w:sz w:val="18"/>
              </w:rPr>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-364,050.00</w:t>
            </w:r>
            <w:r>
              <w:rPr>
                <w:rFonts w:ascii="Times New Roman"/>
                <w:sz w:val="18"/>
              </w:rPr>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62、资产处置收益" w:id="359"/>
      <w:bookmarkEnd w:id="359"/>
      <w:r>
        <w:rPr>
          <w:b w:val="0"/>
          <w:bCs w:val="0"/>
        </w:rPr>
      </w:r>
      <w:r>
        <w:rPr>
          <w:rFonts w:ascii="Times New Roman" w:hAnsi="Times New Roman" w:cs="Times New Roman" w:eastAsia="Times New Roman" w:hint="default"/>
        </w:rPr>
        <w:t>62</w:t>
      </w:r>
      <w:r>
        <w:rPr/>
        <w:t>、资产处置收益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-129,061.91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tabs>
                <w:tab w:pos="563" w:val="left" w:leader="none"/>
              </w:tabs>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-129,061.91</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63、营业外收入" w:id="360"/>
      <w:bookmarkEnd w:id="360"/>
      <w:r>
        <w:rPr>
          <w:b w:val="0"/>
          <w:bCs w:val="0"/>
        </w:rPr>
      </w:r>
      <w:r>
        <w:rPr>
          <w:rFonts w:ascii="Times New Roman" w:hAnsi="Times New Roman" w:cs="Times New Roman" w:eastAsia="Times New Roman" w:hint="default"/>
        </w:rPr>
        <w:t>63</w:t>
      </w:r>
      <w:r>
        <w:rPr/>
        <w:t>、营业外收入</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2"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780,000.00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496,849.78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647,795.20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496,849.78</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处理固定资产净收益</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44,426.20</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r>
        <w:rPr/>
        <w:pict>
          <v:group style="position:absolute;margin-left:110.239998pt;margin-top:420.819977pt;width:52.65pt;height:39pt;mso-position-horizontal-relative:page;mso-position-vertical-relative:page;z-index:-1173568" coordorigin="2205,8416" coordsize="1053,780">
            <v:shape style="position:absolute;left:2205;top:8416;width:1053;height:780" coordorigin="2205,8416" coordsize="1053,780" path="m2205,9196l3257,9196,3257,8416,2205,8416,2205,9196xe" filled="true" fillcolor="#ffffff" stroked="false">
              <v:path arrowok="t"/>
              <v:fill type="solid"/>
            </v:shape>
            <w10:wrap type="none"/>
          </v:group>
        </w:pict>
      </w: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7" w:right="0"/>
              <w:jc w:val="left"/>
              <w:rPr>
                <w:rFonts w:ascii="Times New Roman" w:hAnsi="Times New Roman" w:cs="Times New Roman" w:eastAsia="Times New Roman" w:hint="default"/>
                <w:sz w:val="18"/>
                <w:szCs w:val="18"/>
              </w:rPr>
            </w:pPr>
            <w:r>
              <w:rPr>
                <w:rFonts w:ascii="Times New Roman"/>
                <w:sz w:val="18"/>
              </w:rPr>
              <w:t>1,276,849.78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4" w:right="0"/>
              <w:jc w:val="left"/>
              <w:rPr>
                <w:rFonts w:ascii="Times New Roman" w:hAnsi="Times New Roman" w:cs="Times New Roman" w:eastAsia="Times New Roman" w:hint="default"/>
                <w:sz w:val="18"/>
                <w:szCs w:val="18"/>
              </w:rPr>
            </w:pPr>
            <w:r>
              <w:rPr>
                <w:rFonts w:ascii="Times New Roman"/>
                <w:sz w:val="18"/>
              </w:rPr>
              <w:t>1,492,221.40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4" w:right="0"/>
              <w:jc w:val="left"/>
              <w:rPr>
                <w:rFonts w:ascii="Times New Roman" w:hAnsi="Times New Roman" w:cs="Times New Roman" w:eastAsia="Times New Roman" w:hint="default"/>
                <w:sz w:val="18"/>
                <w:szCs w:val="18"/>
              </w:rPr>
            </w:pPr>
            <w:r>
              <w:rPr>
                <w:rFonts w:ascii="Times New Roman"/>
                <w:sz w:val="18"/>
              </w:rPr>
              <w:t>1,276,849.78</w:t>
            </w:r>
          </w:p>
        </w:tc>
      </w:tr>
    </w:tbl>
    <w:p>
      <w:pPr>
        <w:pStyle w:val="BodyText"/>
        <w:spacing w:line="240" w:lineRule="auto" w:before="51"/>
        <w:ind w:right="0"/>
        <w:jc w:val="left"/>
      </w:pPr>
      <w:r>
        <w:rPr/>
        <w:t>计入当期损益的政府补助：</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714"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64"/>
              <w:jc w:val="righ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77"/>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7"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6"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4"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2" w:right="87"/>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年南京 市雨花台经 济开发区管 理委员会高 新技术企业 认定奖励款</w:t>
            </w:r>
          </w:p>
          <w:p>
            <w:pPr>
              <w:pStyle w:val="TableParagraph"/>
              <w:spacing w:line="240" w:lineRule="auto" w:before="22"/>
              <w:ind w:left="22" w:right="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 w:right="127"/>
              <w:jc w:val="both"/>
              <w:rPr>
                <w:rFonts w:ascii="宋体" w:hAnsi="宋体" w:cs="宋体" w:eastAsia="宋体" w:hint="default"/>
                <w:sz w:val="18"/>
                <w:szCs w:val="18"/>
              </w:rPr>
            </w:pPr>
            <w:r>
              <w:rPr>
                <w:rFonts w:ascii="宋体" w:hAnsi="宋体" w:cs="宋体" w:eastAsia="宋体" w:hint="default"/>
                <w:sz w:val="18"/>
                <w:szCs w:val="18"/>
              </w:rPr>
              <w:t>南京市雨花 经济开发区 管理委员会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936" w:lineRule="exact"/>
              <w:ind w:right="-51"/>
              <w:jc w:val="left"/>
              <w:rPr>
                <w:rFonts w:ascii="宋体" w:hAnsi="宋体" w:cs="宋体" w:eastAsia="宋体" w:hint="default"/>
                <w:sz w:val="20"/>
                <w:szCs w:val="20"/>
              </w:rPr>
            </w:pPr>
            <w:r>
              <w:rPr>
                <w:rFonts w:ascii="宋体" w:hAnsi="宋体" w:cs="宋体" w:eastAsia="宋体" w:hint="default"/>
                <w:position w:val="-18"/>
                <w:sz w:val="20"/>
                <w:szCs w:val="20"/>
              </w:rPr>
              <w:pict>
                <v:group style="width:52.7pt;height:46.8pt;mso-position-horizontal-relative:char;mso-position-vertical-relative:line" coordorigin="0,0" coordsize="1054,936">
                  <v:group style="position:absolute;left:0;top:0;width:1054;height:936" coordorigin="0,0" coordsize="1054,936">
                    <v:shape style="position:absolute;left:0;top:0;width:1054;height:936" coordorigin="0,0" coordsize="1054,936" path="m0,936l1054,936,1054,0,0,0,0,936xe" filled="true" fillcolor="#ffffff" stroked="false">
                      <v:path arrowok="t"/>
                      <v:fill type="solid"/>
                    </v:shape>
                  </v:group>
                </v:group>
              </w:pict>
            </w:r>
            <w:r>
              <w:rPr>
                <w:rFonts w:ascii="宋体" w:hAnsi="宋体" w:cs="宋体" w:eastAsia="宋体" w:hint="default"/>
                <w:position w:val="-1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131"/>
              <w:jc w:val="left"/>
              <w:rPr>
                <w:rFonts w:ascii="宋体" w:hAnsi="宋体" w:cs="宋体" w:eastAsia="宋体" w:hint="default"/>
                <w:sz w:val="18"/>
                <w:szCs w:val="18"/>
              </w:rPr>
            </w:pPr>
            <w:r>
              <w:rPr>
                <w:rFonts w:ascii="宋体" w:hAnsi="宋体" w:cs="宋体" w:eastAsia="宋体" w:hint="default"/>
                <w:sz w:val="18"/>
                <w:szCs w:val="18"/>
              </w:rPr>
              <w:t>其他小额政 府补助</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宋体" w:hAnsi="宋体" w:cs="宋体" w:eastAsia="宋体" w:hint="default"/>
                <w:sz w:val="20"/>
                <w:szCs w:val="20"/>
              </w:rPr>
            </w:pPr>
            <w:r>
              <w:rPr>
                <w:rFonts w:ascii="宋体" w:hAnsi="宋体" w:cs="宋体" w:eastAsia="宋体"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2" w:right="87"/>
              <w:jc w:val="left"/>
              <w:rPr>
                <w:rFonts w:ascii="宋体" w:hAnsi="宋体" w:cs="宋体" w:eastAsia="宋体" w:hint="default"/>
                <w:sz w:val="18"/>
                <w:szCs w:val="18"/>
              </w:rPr>
            </w:pPr>
            <w:r>
              <w:rPr>
                <w:rFonts w:ascii="宋体" w:hAnsi="宋体" w:cs="宋体" w:eastAsia="宋体" w:hint="default"/>
                <w:sz w:val="18"/>
                <w:szCs w:val="18"/>
              </w:rPr>
              <w:t>收到大亚湾 区财政局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年广东 省高新技术 企业培育入</w:t>
            </w:r>
          </w:p>
          <w:p>
            <w:pPr>
              <w:pStyle w:val="TableParagraph"/>
              <w:spacing w:line="319" w:lineRule="auto" w:before="20"/>
              <w:ind w:left="22" w:right="-47"/>
              <w:jc w:val="left"/>
              <w:rPr>
                <w:rFonts w:ascii="宋体" w:hAnsi="宋体" w:cs="宋体" w:eastAsia="宋体" w:hint="default"/>
                <w:sz w:val="18"/>
                <w:szCs w:val="18"/>
              </w:rPr>
            </w:pPr>
            <w:r>
              <w:rPr>
                <w:rFonts w:ascii="宋体" w:hAnsi="宋体" w:cs="宋体" w:eastAsia="宋体" w:hint="default"/>
                <w:sz w:val="18"/>
                <w:szCs w:val="18"/>
              </w:rPr>
              <w:t>库（第一批） 奖补资金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2" w:right="127"/>
              <w:jc w:val="left"/>
              <w:rPr>
                <w:rFonts w:ascii="宋体" w:hAnsi="宋体" w:cs="宋体" w:eastAsia="宋体" w:hint="default"/>
                <w:sz w:val="18"/>
                <w:szCs w:val="18"/>
              </w:rPr>
            </w:pPr>
            <w:r>
              <w:rPr>
                <w:rFonts w:ascii="宋体" w:hAnsi="宋体" w:cs="宋体" w:eastAsia="宋体" w:hint="default"/>
                <w:sz w:val="18"/>
                <w:szCs w:val="18"/>
              </w:rPr>
              <w:t>惠州市大亚 湾区财政局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936" w:lineRule="exact"/>
              <w:ind w:right="-51"/>
              <w:jc w:val="left"/>
              <w:rPr>
                <w:rFonts w:ascii="宋体" w:hAnsi="宋体" w:cs="宋体" w:eastAsia="宋体" w:hint="default"/>
                <w:sz w:val="20"/>
                <w:szCs w:val="20"/>
              </w:rPr>
            </w:pPr>
            <w:r>
              <w:rPr>
                <w:rFonts w:ascii="宋体" w:hAnsi="宋体" w:cs="宋体" w:eastAsia="宋体" w:hint="default"/>
                <w:position w:val="-18"/>
                <w:sz w:val="20"/>
                <w:szCs w:val="20"/>
              </w:rPr>
              <w:pict>
                <v:group style="width:52.7pt;height:46.8pt;mso-position-horizontal-relative:char;mso-position-vertical-relative:line" coordorigin="0,0" coordsize="1054,936">
                  <v:group style="position:absolute;left:0;top:0;width:1054;height:936" coordorigin="0,0" coordsize="1054,936">
                    <v:shape style="position:absolute;left:0;top:0;width:1054;height:936" coordorigin="0,0" coordsize="1054,936" path="m0,936l1054,936,1054,0,0,0,0,936xe" filled="true" fillcolor="#ffffff" stroked="false">
                      <v:path arrowok="t"/>
                      <v:fill type="solid"/>
                    </v:shape>
                  </v:group>
                </v:group>
              </w:pict>
            </w:r>
            <w:r>
              <w:rPr>
                <w:rFonts w:ascii="宋体" w:hAnsi="宋体" w:cs="宋体" w:eastAsia="宋体" w:hint="default"/>
                <w:position w:val="-1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10"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31"/>
              <w:jc w:val="both"/>
              <w:rPr>
                <w:rFonts w:ascii="宋体" w:hAnsi="宋体" w:cs="宋体" w:eastAsia="宋体" w:hint="default"/>
                <w:sz w:val="18"/>
                <w:szCs w:val="18"/>
              </w:rPr>
            </w:pPr>
            <w:r>
              <w:rPr>
                <w:rFonts w:ascii="宋体" w:hAnsi="宋体" w:cs="宋体" w:eastAsia="宋体" w:hint="default"/>
                <w:sz w:val="18"/>
                <w:szCs w:val="18"/>
              </w:rPr>
              <w:t>收到大亚湾 财政局根据 惠财工</w:t>
            </w:r>
          </w:p>
          <w:p>
            <w:pPr>
              <w:pStyle w:val="TableParagraph"/>
              <w:spacing w:line="240" w:lineRule="auto" w:before="58"/>
              <w:ind w:left="22" w:right="0"/>
              <w:jc w:val="left"/>
              <w:rPr>
                <w:rFonts w:ascii="Times New Roman" w:hAnsi="Times New Roman" w:cs="Times New Roman" w:eastAsia="Times New Roman" w:hint="default"/>
                <w:sz w:val="18"/>
                <w:szCs w:val="18"/>
              </w:rPr>
            </w:pPr>
            <w:r>
              <w:rPr>
                <w:rFonts w:ascii="Times New Roman"/>
                <w:sz w:val="18"/>
              </w:rPr>
              <w:t>{2017}205</w:t>
            </w:r>
          </w:p>
          <w:p>
            <w:pPr>
              <w:pStyle w:val="TableParagraph"/>
              <w:spacing w:line="314" w:lineRule="auto" w:before="65"/>
              <w:ind w:left="22" w:right="87"/>
              <w:jc w:val="left"/>
              <w:rPr>
                <w:rFonts w:ascii="宋体" w:hAnsi="宋体" w:cs="宋体" w:eastAsia="宋体" w:hint="default"/>
                <w:sz w:val="18"/>
                <w:szCs w:val="18"/>
              </w:rPr>
            </w:pPr>
            <w:r>
              <w:rPr>
                <w:rFonts w:ascii="宋体" w:hAnsi="宋体" w:cs="宋体" w:eastAsia="宋体" w:hint="default"/>
                <w:sz w:val="18"/>
                <w:szCs w:val="18"/>
              </w:rPr>
              <w:t>号，下达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年市级 高新技术企 业与创新型 企业认定专 项经费</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3"/>
              <w:ind w:left="22" w:right="127"/>
              <w:jc w:val="left"/>
              <w:rPr>
                <w:rFonts w:ascii="宋体" w:hAnsi="宋体" w:cs="宋体" w:eastAsia="宋体" w:hint="default"/>
                <w:sz w:val="18"/>
                <w:szCs w:val="18"/>
              </w:rPr>
            </w:pPr>
            <w:r>
              <w:rPr>
                <w:rFonts w:ascii="宋体" w:hAnsi="宋体" w:cs="宋体" w:eastAsia="宋体" w:hint="default"/>
                <w:sz w:val="18"/>
                <w:szCs w:val="18"/>
              </w:rPr>
              <w:t>惠州市大亚 湾区财政局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404" w:lineRule="exact"/>
              <w:ind w:right="-51"/>
              <w:jc w:val="left"/>
              <w:rPr>
                <w:rFonts w:ascii="宋体" w:hAnsi="宋体" w:cs="宋体" w:eastAsia="宋体" w:hint="default"/>
                <w:sz w:val="20"/>
                <w:szCs w:val="20"/>
              </w:rPr>
            </w:pPr>
            <w:r>
              <w:rPr>
                <w:rFonts w:ascii="宋体" w:hAnsi="宋体" w:cs="宋体" w:eastAsia="宋体" w:hint="default"/>
                <w:position w:val="-27"/>
                <w:sz w:val="20"/>
                <w:szCs w:val="20"/>
              </w:rPr>
              <w:pict>
                <v:group style="width:52.7pt;height:70.2pt;mso-position-horizontal-relative:char;mso-position-vertical-relative:line" coordorigin="0,0" coordsize="1054,1404">
                  <v:group style="position:absolute;left:0;top:0;width:1054;height:1404" coordorigin="0,0" coordsize="1054,1404">
                    <v:shape style="position:absolute;left:0;top:0;width:1054;height:1404" coordorigin="0,0" coordsize="1054,1404" path="m0,1404l1054,1404,1054,0,0,0,0,1404xe" filled="true" fillcolor="#ffffff" stroked="false">
                      <v:path arrowok="t"/>
                      <v:fill type="solid"/>
                    </v:shape>
                  </v:group>
                </v:group>
              </w:pict>
            </w:r>
            <w:r>
              <w:rPr>
                <w:rFonts w:ascii="宋体" w:hAnsi="宋体" w:cs="宋体" w:eastAsia="宋体" w:hint="default"/>
                <w:position w:val="-27"/>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2" w:right="86"/>
              <w:jc w:val="both"/>
              <w:rPr>
                <w:rFonts w:ascii="宋体" w:hAnsi="宋体" w:cs="宋体" w:eastAsia="宋体" w:hint="default"/>
                <w:sz w:val="18"/>
                <w:szCs w:val="18"/>
              </w:rPr>
            </w:pPr>
            <w:r>
              <w:rPr>
                <w:rFonts w:ascii="宋体" w:hAnsi="宋体" w:cs="宋体" w:eastAsia="宋体" w:hint="default"/>
                <w:sz w:val="18"/>
                <w:szCs w:val="18"/>
              </w:rPr>
              <w:t>收到大亚湾 财政局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年度大亚湾 区高新技术 企业培育与 认定工作经 费</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2" w:right="127"/>
              <w:jc w:val="left"/>
              <w:rPr>
                <w:rFonts w:ascii="宋体" w:hAnsi="宋体" w:cs="宋体" w:eastAsia="宋体" w:hint="default"/>
                <w:sz w:val="18"/>
                <w:szCs w:val="18"/>
              </w:rPr>
            </w:pPr>
            <w:r>
              <w:rPr>
                <w:rFonts w:ascii="宋体" w:hAnsi="宋体" w:cs="宋体" w:eastAsia="宋体" w:hint="default"/>
                <w:sz w:val="18"/>
                <w:szCs w:val="18"/>
              </w:rPr>
              <w:t>惠州市大亚 湾区财政局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936" w:lineRule="exact"/>
              <w:ind w:right="-51"/>
              <w:jc w:val="left"/>
              <w:rPr>
                <w:rFonts w:ascii="宋体" w:hAnsi="宋体" w:cs="宋体" w:eastAsia="宋体" w:hint="default"/>
                <w:sz w:val="20"/>
                <w:szCs w:val="20"/>
              </w:rPr>
            </w:pPr>
            <w:r>
              <w:rPr>
                <w:rFonts w:ascii="宋体" w:hAnsi="宋体" w:cs="宋体" w:eastAsia="宋体" w:hint="default"/>
                <w:position w:val="-18"/>
                <w:sz w:val="20"/>
                <w:szCs w:val="20"/>
              </w:rPr>
              <w:pict>
                <v:group style="width:52.7pt;height:46.8pt;mso-position-horizontal-relative:char;mso-position-vertical-relative:line" coordorigin="0,0" coordsize="1054,936">
                  <v:group style="position:absolute;left:0;top:0;width:1054;height:936" coordorigin="0,0" coordsize="1054,936">
                    <v:shape style="position:absolute;left:0;top:0;width:1054;height:936" coordorigin="0,0" coordsize="1054,936" path="m0,936l1054,936,1054,0,0,0,0,936xe" filled="true" fillcolor="#ffffff" stroked="false">
                      <v:path arrowok="t"/>
                      <v:fill type="solid"/>
                    </v:shape>
                  </v:group>
                </v:group>
              </w:pict>
            </w:r>
            <w:r>
              <w:rPr>
                <w:rFonts w:ascii="宋体" w:hAnsi="宋体" w:cs="宋体" w:eastAsia="宋体" w:hint="default"/>
                <w:position w:val="-1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31"/>
              <w:jc w:val="left"/>
              <w:rPr>
                <w:rFonts w:ascii="宋体" w:hAnsi="宋体" w:cs="宋体" w:eastAsia="宋体" w:hint="default"/>
                <w:sz w:val="18"/>
                <w:szCs w:val="18"/>
              </w:rPr>
            </w:pPr>
            <w:r>
              <w:rPr>
                <w:rFonts w:ascii="宋体" w:hAnsi="宋体" w:cs="宋体" w:eastAsia="宋体" w:hint="default"/>
                <w:sz w:val="18"/>
                <w:szCs w:val="18"/>
              </w:rPr>
              <w:t>收到福田区 国高企业认</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27"/>
              <w:jc w:val="right"/>
              <w:rPr>
                <w:rFonts w:ascii="宋体" w:hAnsi="宋体" w:cs="宋体" w:eastAsia="宋体" w:hint="default"/>
                <w:sz w:val="18"/>
                <w:szCs w:val="18"/>
              </w:rPr>
            </w:pPr>
            <w:r>
              <w:rPr>
                <w:rFonts w:ascii="宋体" w:hAnsi="宋体" w:cs="宋体" w:eastAsia="宋体" w:hint="default"/>
                <w:sz w:val="18"/>
                <w:szCs w:val="18"/>
              </w:rPr>
              <w:t>深圳市福田</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9" w:space="0" w:color="FFFFFF"/>
            </w:tcBorders>
          </w:tcPr>
          <w:p>
            <w:pPr>
              <w:pStyle w:val="TableParagraph"/>
              <w:spacing w:line="316" w:lineRule="auto" w:before="52"/>
              <w:ind w:left="22" w:right="-56"/>
              <w:jc w:val="left"/>
              <w:rPr>
                <w:rFonts w:ascii="宋体" w:hAnsi="宋体" w:cs="宋体" w:eastAsia="宋体" w:hint="default"/>
                <w:sz w:val="18"/>
                <w:szCs w:val="18"/>
              </w:rPr>
            </w:pPr>
            <w:r>
              <w:rPr>
                <w:rFonts w:ascii="宋体" w:hAnsi="宋体" w:cs="宋体" w:eastAsia="宋体" w:hint="default"/>
                <w:sz w:val="18"/>
                <w:szCs w:val="18"/>
              </w:rPr>
              <w:t>因研究开发、 技术更新及</w:t>
            </w:r>
          </w:p>
        </w:tc>
        <w:tc>
          <w:tcPr>
            <w:tcW w:w="1063" w:type="dxa"/>
            <w:tcBorders>
              <w:top w:val="single" w:sz="4" w:space="0" w:color="000000"/>
              <w:left w:val="single" w:sz="9" w:space="0" w:color="FFFFFF"/>
              <w:bottom w:val="single" w:sz="4" w:space="0" w:color="000000"/>
              <w:right w:val="single" w:sz="4" w:space="0" w:color="000000"/>
            </w:tcBorders>
          </w:tcPr>
          <w:p>
            <w:pPr>
              <w:pStyle w:val="TableParagraph"/>
              <w:spacing w:line="135" w:lineRule="exact"/>
              <w:ind w:left="-7" w:right="-51"/>
              <w:jc w:val="left"/>
              <w:rPr>
                <w:rFonts w:ascii="宋体" w:hAnsi="宋体" w:cs="宋体" w:eastAsia="宋体" w:hint="default"/>
                <w:sz w:val="13"/>
                <w:szCs w:val="13"/>
              </w:rPr>
            </w:pPr>
            <w:r>
              <w:rPr>
                <w:rFonts w:ascii="宋体" w:hAnsi="宋体" w:cs="宋体" w:eastAsia="宋体" w:hint="default"/>
                <w:position w:val="-2"/>
                <w:sz w:val="13"/>
                <w:szCs w:val="13"/>
              </w:rPr>
              <w:pict>
                <v:group style="width:52.7pt;height:6.8pt;mso-position-horizontal-relative:char;mso-position-vertical-relative:line" coordorigin="0,0" coordsize="1054,136">
                  <v:group style="position:absolute;left:0;top:0;width:1054;height:136" coordorigin="0,0" coordsize="1054,136">
                    <v:shape style="position:absolute;left:0;top:0;width:1054;height:136" coordorigin="0,0" coordsize="1054,136" path="m0,136l1054,136,1054,0,0,0,0,136xe" filled="true" fillcolor="#ffffff" stroked="false">
                      <v:path arrowok="t"/>
                      <v:fill type="solid"/>
                    </v:shape>
                  </v:group>
                </v:group>
              </w:pict>
            </w:r>
            <w:r>
              <w:rPr>
                <w:rFonts w:ascii="宋体" w:hAnsi="宋体" w:cs="宋体" w:eastAsia="宋体" w:hint="default"/>
                <w:position w:val="-2"/>
                <w:sz w:val="13"/>
                <w:szCs w:val="13"/>
              </w:rPr>
            </w:r>
          </w:p>
          <w:p>
            <w:pPr>
              <w:pStyle w:val="TableParagraph"/>
              <w:spacing w:line="240" w:lineRule="auto" w:before="52"/>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6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定支持补助</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区财政局</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9"/>
              <w:jc w:val="left"/>
              <w:rPr>
                <w:rFonts w:ascii="宋体" w:hAnsi="宋体" w:cs="宋体" w:eastAsia="宋体" w:hint="default"/>
                <w:sz w:val="18"/>
                <w:szCs w:val="18"/>
              </w:rPr>
            </w:pPr>
            <w:r>
              <w:rPr>
                <w:rFonts w:ascii="宋体" w:hAnsi="宋体" w:cs="宋体" w:eastAsia="宋体" w:hint="default"/>
                <w:sz w:val="18"/>
                <w:szCs w:val="18"/>
              </w:rPr>
              <w:t>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780,000.00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800,000.00</w:t>
            </w:r>
          </w:p>
        </w:tc>
        <w:tc>
          <w:tcPr>
            <w:tcW w:w="106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BodyText"/>
        <w:spacing w:line="319" w:lineRule="auto" w:before="141"/>
        <w:ind w:right="1117"/>
        <w:jc w:val="left"/>
      </w:pPr>
      <w:bookmarkStart w:name="注1、根据宁科[2018]138号、宁财教[2018]297号”关于下达南京市2" w:id="361"/>
      <w:bookmarkEnd w:id="361"/>
      <w:r>
        <w:rPr/>
      </w:r>
      <w:r>
        <w:rPr/>
        <w:t>注</w:t>
      </w:r>
      <w:r>
        <w:rPr>
          <w:spacing w:val="-53"/>
        </w:rPr>
        <w:t> </w:t>
      </w:r>
      <w:r>
        <w:rPr>
          <w:rFonts w:ascii="宋体" w:hAnsi="宋体" w:cs="宋体" w:eastAsia="宋体" w:hint="default"/>
        </w:rPr>
        <w:t>1</w:t>
      </w:r>
      <w:r>
        <w:rPr/>
        <w:t>、根据宁科</w:t>
      </w:r>
      <w:r>
        <w:rPr>
          <w:rFonts w:ascii="宋体" w:hAnsi="宋体" w:cs="宋体" w:eastAsia="宋体" w:hint="default"/>
        </w:rPr>
        <w:t>[2018]138</w:t>
      </w:r>
      <w:r>
        <w:rPr>
          <w:rFonts w:ascii="宋体" w:hAnsi="宋体" w:cs="宋体" w:eastAsia="宋体" w:hint="default"/>
          <w:spacing w:val="-53"/>
        </w:rPr>
        <w:t> </w:t>
      </w:r>
      <w:r>
        <w:rPr/>
        <w:t>号、宁财教</w:t>
      </w:r>
      <w:r>
        <w:rPr>
          <w:rFonts w:ascii="宋体" w:hAnsi="宋体" w:cs="宋体" w:eastAsia="宋体" w:hint="default"/>
        </w:rPr>
        <w:t>[2018]297</w:t>
      </w:r>
      <w:r>
        <w:rPr>
          <w:rFonts w:ascii="宋体" w:hAnsi="宋体" w:cs="宋体" w:eastAsia="宋体" w:hint="default"/>
          <w:spacing w:val="-53"/>
        </w:rPr>
        <w:t> </w:t>
      </w:r>
      <w:r>
        <w:rPr/>
        <w:t>号”关于下达南京市</w:t>
      </w:r>
      <w:r>
        <w:rPr>
          <w:spacing w:val="-53"/>
        </w:rPr>
        <w:t> </w:t>
      </w:r>
      <w:r>
        <w:rPr>
          <w:rFonts w:ascii="宋体" w:hAnsi="宋体" w:cs="宋体" w:eastAsia="宋体" w:hint="default"/>
        </w:rPr>
        <w:t>2018</w:t>
      </w:r>
      <w:r>
        <w:rPr>
          <w:rFonts w:ascii="宋体" w:hAnsi="宋体" w:cs="宋体" w:eastAsia="宋体" w:hint="default"/>
          <w:spacing w:val="-53"/>
        </w:rPr>
        <w:t> </w:t>
      </w:r>
      <w:r>
        <w:rPr/>
        <w:t>年度科学发展计划及科技经费指标的通知（第二 批），获得新培育高企奖励奖金</w:t>
      </w:r>
      <w:r>
        <w:rPr>
          <w:spacing w:val="-46"/>
        </w:rPr>
        <w:t> </w:t>
      </w:r>
      <w:r>
        <w:rPr>
          <w:rFonts w:ascii="宋体" w:hAnsi="宋体" w:cs="宋体" w:eastAsia="宋体" w:hint="default"/>
        </w:rPr>
        <w:t>50</w:t>
      </w:r>
      <w:r>
        <w:rPr>
          <w:rFonts w:ascii="宋体" w:hAnsi="宋体" w:cs="宋体" w:eastAsia="宋体" w:hint="default"/>
          <w:spacing w:val="-46"/>
        </w:rPr>
        <w:t> </w:t>
      </w:r>
      <w:r>
        <w:rPr/>
        <w:t>万元。</w:t>
      </w:r>
    </w:p>
    <w:p>
      <w:pPr>
        <w:spacing w:line="240" w:lineRule="auto" w:before="5"/>
        <w:rPr>
          <w:rFonts w:ascii="宋体" w:hAnsi="宋体" w:cs="宋体" w:eastAsia="宋体" w:hint="default"/>
          <w:sz w:val="22"/>
          <w:szCs w:val="22"/>
        </w:rPr>
      </w:pPr>
    </w:p>
    <w:p>
      <w:pPr>
        <w:pStyle w:val="Heading4"/>
        <w:spacing w:line="240" w:lineRule="auto"/>
        <w:ind w:right="0"/>
        <w:jc w:val="left"/>
        <w:rPr>
          <w:b w:val="0"/>
          <w:bCs w:val="0"/>
        </w:rPr>
      </w:pPr>
      <w:bookmarkStart w:name="64、营业外支出" w:id="362"/>
      <w:bookmarkEnd w:id="362"/>
      <w:r>
        <w:rPr>
          <w:b w:val="0"/>
          <w:bCs w:val="0"/>
        </w:rPr>
      </w:r>
      <w:r>
        <w:rPr>
          <w:rFonts w:ascii="Times New Roman" w:hAnsi="Times New Roman" w:cs="Times New Roman" w:eastAsia="Times New Roman" w:hint="default"/>
        </w:rPr>
        <w:t>64</w:t>
      </w:r>
      <w:r>
        <w:rPr/>
        <w:t>、营业外支出</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2"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275,569.86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275,569.86</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129,644.10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189,033.22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129,644.10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129,644.10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189,033.22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129,644.10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违约及滞纳金</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51,162.91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24,019.66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51,162.91</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80,446.57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117,327.03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80,446.57</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536,823.44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440,379.91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536,823.44</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65、所得税费用" w:id="363"/>
      <w:bookmarkEnd w:id="363"/>
      <w:r>
        <w:rPr>
          <w:b w:val="0"/>
          <w:bCs w:val="0"/>
        </w:rPr>
      </w:r>
      <w:r>
        <w:rPr>
          <w:rFonts w:ascii="Times New Roman" w:hAnsi="Times New Roman" w:cs="Times New Roman" w:eastAsia="Times New Roman" w:hint="default"/>
        </w:rPr>
        <w:t>65</w:t>
      </w:r>
      <w:r>
        <w:rPr/>
        <w:t>、所得税费用</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所得税费用表" w:id="364"/>
      <w:bookmarkEnd w:id="364"/>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24,605,893.96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17,059,914.86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-2,616,804.03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-7,291,875.24</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21,989,089.93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9,768,039.62</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会计利润与所得税费用调整过程" w:id="365"/>
      <w:bookmarkEnd w:id="365"/>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57"/>
        <w:gridCol w:w="4800"/>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206,281,847.74</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30,942,277.16</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475,359.22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780"/>
        <w:gridCol w:w="4789"/>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1,005,264.25</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-738.61</w:t>
            </w:r>
            <w:r>
              <w:rPr>
                <w:rFonts w:ascii="Times New Roman"/>
                <w:sz w:val="18"/>
              </w:rPr>
            </w:r>
          </w:p>
        </w:tc>
      </w:tr>
      <w:tr>
        <w:trPr>
          <w:trHeight w:val="714"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-1,400,737.65</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研发加计扣除的影响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-9,032,334.44</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21,989,089.93</w:t>
            </w: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66、其他综合收益" w:id="366"/>
      <w:bookmarkEnd w:id="366"/>
      <w:r>
        <w:rPr>
          <w:b w:val="0"/>
          <w:bCs w:val="0"/>
        </w:rPr>
      </w:r>
      <w:r>
        <w:rPr>
          <w:rFonts w:ascii="Times New Roman" w:hAnsi="Times New Roman" w:cs="Times New Roman" w:eastAsia="Times New Roman" w:hint="default"/>
        </w:rPr>
        <w:t>66</w:t>
      </w:r>
      <w:r>
        <w:rPr/>
        <w:t>、其他综合收益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详见附注。</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67、现金流量表项目" w:id="367"/>
      <w:bookmarkEnd w:id="367"/>
      <w:r>
        <w:rPr>
          <w:b w:val="0"/>
          <w:bCs w:val="0"/>
        </w:rPr>
      </w:r>
      <w:r>
        <w:rPr>
          <w:rFonts w:ascii="Times New Roman" w:hAnsi="Times New Roman" w:cs="Times New Roman" w:eastAsia="Times New Roman" w:hint="default"/>
        </w:rPr>
        <w:t>67</w:t>
      </w:r>
      <w:r>
        <w:rPr/>
        <w:t>、现金流量表项目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收到的其他与经营活动有关的现金" w:id="368"/>
      <w:bookmarkEnd w:id="368"/>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18,112,398.45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12,783,244.94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2,910,824.70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1,847,028.33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7,100,509.26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4,020,336.55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7,402,898.58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3,727,631.72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35,526,630.99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22,378,241.54</w:t>
            </w:r>
          </w:p>
        </w:tc>
      </w:tr>
    </w:tbl>
    <w:p>
      <w:pPr>
        <w:pStyle w:val="BodyText"/>
        <w:spacing w:line="357" w:lineRule="auto" w:before="51"/>
        <w:ind w:right="7512"/>
        <w:jc w:val="left"/>
      </w:pPr>
      <w:r>
        <w:rPr/>
        <w:t>收到的其他与经营活动有关的现金说明：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支付的其他与经营活动有关的现金" w:id="369"/>
      <w:bookmarkEnd w:id="369"/>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租赁及水电费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14,979,565.86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12,805,693.97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11,565,052.75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10,777,299.95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7,784,271.18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4,883,281.48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宣传展览费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7,260,322.03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4,697,784.20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7,703,284.46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5,926,074.48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3,874,040.24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3,910,641.92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10,769,783.08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28,154,919.40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维护安装费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25,827,033.43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22,471,112.59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11,164,412.06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9,996,509.27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1,934,985.78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4,382,796.90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6,083,998.17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18,328,221.63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108,946,749.04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126,334,335.79</w:t>
            </w:r>
          </w:p>
        </w:tc>
      </w:tr>
    </w:tbl>
    <w:p>
      <w:pPr>
        <w:pStyle w:val="BodyText"/>
        <w:spacing w:line="357" w:lineRule="auto" w:before="51"/>
        <w:ind w:right="7512"/>
        <w:jc w:val="left"/>
      </w:pPr>
      <w:r>
        <w:rPr/>
        <w:t>支付的其他与经营活动有关的现金说明：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收到的其他与投资活动有关的现金" w:id="370"/>
      <w:bookmarkEnd w:id="370"/>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2"/>
        <w:ind w:right="0"/>
        <w:jc w:val="left"/>
      </w:pPr>
      <w:r>
        <w:rPr/>
        <w:t>收到的其他与投资活动有关的现金说明：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4）支付的其他与投资活动有关的现金" w:id="371"/>
      <w:bookmarkEnd w:id="371"/>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2"/>
        <w:ind w:right="0"/>
        <w:jc w:val="left"/>
      </w:pPr>
      <w:r>
        <w:rPr/>
        <w:t>支付的其他与投资活动有关的现金说明：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5）收到的其他与筹资活动有关的现金" w:id="372"/>
      <w:bookmarkEnd w:id="372"/>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收到置换顾问费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5,377,358.49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募集资金存款利息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9,418.04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639,007.84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9,418.04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6,016,366.33</w:t>
            </w:r>
          </w:p>
        </w:tc>
      </w:tr>
    </w:tbl>
    <w:p>
      <w:pPr>
        <w:pStyle w:val="BodyText"/>
        <w:spacing w:line="357" w:lineRule="auto" w:before="51"/>
        <w:ind w:right="7512"/>
        <w:jc w:val="left"/>
      </w:pPr>
      <w:r>
        <w:rPr/>
        <w:t>收到的其他与筹资活动有关的现金说明：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6）支付的其他与筹资活动有关的现金" w:id="373"/>
      <w:bookmarkEnd w:id="373"/>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回购注销股权激励股份</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5,476,928.10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630,740.00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5,476,928.10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630,740.00</w:t>
            </w:r>
          </w:p>
        </w:tc>
      </w:tr>
    </w:tbl>
    <w:p>
      <w:pPr>
        <w:pStyle w:val="BodyText"/>
        <w:spacing w:line="357" w:lineRule="auto" w:before="51"/>
        <w:ind w:right="7512"/>
        <w:jc w:val="left"/>
      </w:pPr>
      <w:r>
        <w:rPr/>
        <w:t>支付的其他与筹资活动有关的现金说明：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r>
        <w:rPr/>
        <w:pict>
          <v:group style="position:absolute;margin-left:223.339996pt;margin-top:423.309998pt;width:151.25pt;height:40.8pt;mso-position-horizontal-relative:page;mso-position-vertical-relative:page;z-index:-1173544" coordorigin="4467,8466" coordsize="3025,816">
            <v:group style="position:absolute;left:4478;top:8478;width:2;height:392" coordorigin="4478,8478" coordsize="2,392">
              <v:shape style="position:absolute;left:4478;top:8478;width:2;height:392" coordorigin="4478,8478" coordsize="0,392" path="m4478,8478l4478,8869e" filled="false" stroked="true" strokeweight="1.140pt" strokecolor="#ffffff">
                <v:path arrowok="t"/>
              </v:shape>
            </v:group>
            <v:group style="position:absolute;left:4490;top:8478;width:3002;height:392" coordorigin="4490,8478" coordsize="3002,392">
              <v:shape style="position:absolute;left:4490;top:8478;width:3002;height:392" coordorigin="4490,8478" coordsize="3002,392" path="m4490,8869l7491,8869,7491,8478,4490,8478,4490,8869xe" filled="true" fillcolor="#ffffff" stroked="false">
                <v:path arrowok="t"/>
                <v:fill type="solid"/>
              </v:shape>
            </v:group>
            <v:group style="position:absolute;left:4478;top:8880;width:2;height:392" coordorigin="4478,8880" coordsize="2,392">
              <v:shape style="position:absolute;left:4478;top:8880;width:2;height:392" coordorigin="4478,8880" coordsize="0,392" path="m4478,8880l4478,9271e" filled="false" stroked="true" strokeweight="1.140pt" strokecolor="#ffffff">
                <v:path arrowok="t"/>
              </v:shape>
            </v:group>
            <v:group style="position:absolute;left:4490;top:8880;width:3002;height:392" coordorigin="4490,8880" coordsize="3002,392">
              <v:shape style="position:absolute;left:4490;top:8880;width:3002;height:392" coordorigin="4490,8880" coordsize="3002,392" path="m4490,9271l7491,9271,7491,8880,4490,8880,4490,9271xe" filled="true" fillcolor="#ffffff" stroked="false">
                <v:path arrowok="t"/>
                <v:fill type="solid"/>
              </v:shape>
            </v:group>
            <w10:wrap type="none"/>
          </v:group>
        </w:pict>
      </w:r>
    </w:p>
    <w:p>
      <w:pPr>
        <w:pStyle w:val="Heading4"/>
        <w:spacing w:line="240" w:lineRule="auto" w:before="35"/>
        <w:ind w:right="0"/>
        <w:jc w:val="left"/>
        <w:rPr>
          <w:b w:val="0"/>
          <w:bCs w:val="0"/>
        </w:rPr>
      </w:pPr>
      <w:bookmarkStart w:name="68、现金流量表补充资料" w:id="374"/>
      <w:bookmarkEnd w:id="374"/>
      <w:r>
        <w:rPr>
          <w:b w:val="0"/>
          <w:bCs w:val="0"/>
        </w:rPr>
      </w:r>
      <w:r>
        <w:rPr>
          <w:rFonts w:ascii="Times New Roman" w:hAnsi="Times New Roman" w:cs="Times New Roman" w:eastAsia="Times New Roman" w:hint="default"/>
        </w:rPr>
        <w:t>68</w:t>
      </w:r>
      <w:r>
        <w:rPr/>
        <w:t>、现金流量表补充资料</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现金流量表补充资料" w:id="375"/>
      <w:bookmarkEnd w:id="375"/>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1055"/>
        <w:gridCol w:w="2014"/>
        <w:gridCol w:w="3184"/>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899" w:right="0"/>
              <w:jc w:val="left"/>
              <w:rPr>
                <w:rFonts w:ascii="Times New Roman" w:hAnsi="Times New Roman" w:cs="Times New Roman" w:eastAsia="Times New Roman" w:hint="default"/>
                <w:sz w:val="18"/>
                <w:szCs w:val="18"/>
              </w:rPr>
            </w:pPr>
            <w:r>
              <w:rPr>
                <w:rFonts w:ascii="Times New Roman"/>
                <w:sz w:val="18"/>
              </w:rPr>
              <w:t>184,292,757.81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131,379,110.32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989" w:right="0"/>
              <w:jc w:val="left"/>
              <w:rPr>
                <w:rFonts w:ascii="Times New Roman" w:hAnsi="Times New Roman" w:cs="Times New Roman" w:eastAsia="Times New Roman" w:hint="default"/>
                <w:sz w:val="18"/>
                <w:szCs w:val="18"/>
              </w:rPr>
            </w:pPr>
            <w:r>
              <w:rPr>
                <w:rFonts w:ascii="Times New Roman"/>
                <w:sz w:val="18"/>
              </w:rPr>
              <w:t>27,588,130.77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26,790,255.61</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989" w:right="0"/>
              <w:jc w:val="left"/>
              <w:rPr>
                <w:rFonts w:ascii="Times New Roman" w:hAnsi="Times New Roman" w:cs="Times New Roman" w:eastAsia="Times New Roman" w:hint="default"/>
                <w:sz w:val="18"/>
                <w:szCs w:val="18"/>
              </w:rPr>
            </w:pPr>
            <w:r>
              <w:rPr>
                <w:rFonts w:ascii="Times New Roman"/>
                <w:sz w:val="18"/>
              </w:rPr>
              <w:t>16,581,251.50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13,825,289.56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2,530,165.26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2,144,816.91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899,969.19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418,826.52</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258,706.01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144,607.02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364,050.00</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6,453,606.88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3,622,759.14</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2019" w:right="0"/>
              <w:jc w:val="left"/>
              <w:rPr>
                <w:rFonts w:ascii="Times New Roman" w:hAnsi="Times New Roman" w:cs="Times New Roman" w:eastAsia="Times New Roman" w:hint="default"/>
                <w:sz w:val="18"/>
                <w:szCs w:val="18"/>
              </w:rPr>
            </w:pPr>
            <w:r>
              <w:rPr>
                <w:rFonts w:ascii="Times New Roman"/>
                <w:sz w:val="18"/>
              </w:rPr>
              <w:t>-3,057,287.69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-2,296,333.02</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1055"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52"/>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20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981" w:right="0"/>
              <w:jc w:val="left"/>
              <w:rPr>
                <w:rFonts w:ascii="Times New Roman" w:hAnsi="Times New Roman" w:cs="Times New Roman" w:eastAsia="Times New Roman" w:hint="default"/>
                <w:sz w:val="18"/>
                <w:szCs w:val="18"/>
              </w:rPr>
            </w:pPr>
            <w:r>
              <w:rPr>
                <w:rFonts w:ascii="Times New Roman"/>
                <w:sz w:val="18"/>
              </w:rPr>
              <w:t>-2,616,804.03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-7,161,677.33</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1,377,666.46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-88,345,541.17</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61"/>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839" w:right="0"/>
              <w:jc w:val="left"/>
              <w:rPr>
                <w:rFonts w:ascii="Times New Roman" w:hAnsi="Times New Roman" w:cs="Times New Roman" w:eastAsia="Times New Roman" w:hint="default"/>
                <w:sz w:val="18"/>
                <w:szCs w:val="18"/>
              </w:rPr>
            </w:pPr>
            <w:r>
              <w:rPr>
                <w:rFonts w:ascii="Times New Roman"/>
                <w:sz w:val="18"/>
              </w:rPr>
              <w:t>-372,548,258.74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-351,992,547.55</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61"/>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899" w:right="0"/>
              <w:jc w:val="left"/>
              <w:rPr>
                <w:rFonts w:ascii="Times New Roman" w:hAnsi="Times New Roman" w:cs="Times New Roman" w:eastAsia="Times New Roman" w:hint="default"/>
                <w:sz w:val="18"/>
                <w:szCs w:val="18"/>
              </w:rPr>
            </w:pPr>
            <w:r>
              <w:rPr>
                <w:rFonts w:ascii="Times New Roman"/>
                <w:sz w:val="18"/>
              </w:rPr>
              <w:t>325,589,769.54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271,397,360.36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5,202,366.66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9,430,080.00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899" w:right="0"/>
              <w:jc w:val="left"/>
              <w:rPr>
                <w:rFonts w:ascii="Times New Roman" w:hAnsi="Times New Roman" w:cs="Times New Roman" w:eastAsia="Times New Roman" w:hint="default"/>
                <w:sz w:val="18"/>
                <w:szCs w:val="18"/>
              </w:rPr>
            </w:pPr>
            <w:r>
              <w:rPr>
                <w:rFonts w:ascii="Times New Roman"/>
                <w:sz w:val="18"/>
              </w:rPr>
              <w:t>192,916,089.62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9,357,006.37</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52"/>
              <w:ind w:left="11" w:right="13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305" w:type="dxa"/>
            <w:vMerge/>
            <w:tcBorders>
              <w:left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1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3069" w:type="dxa"/>
            <w:gridSpan w:val="2"/>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3069" w:type="dxa"/>
            <w:gridSpan w:val="2"/>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3069" w:type="dxa"/>
            <w:gridSpan w:val="2"/>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899" w:right="0"/>
              <w:jc w:val="left"/>
              <w:rPr>
                <w:rFonts w:ascii="Times New Roman" w:hAnsi="Times New Roman" w:cs="Times New Roman" w:eastAsia="Times New Roman" w:hint="default"/>
                <w:sz w:val="18"/>
                <w:szCs w:val="18"/>
              </w:rPr>
            </w:pPr>
            <w:r>
              <w:rPr>
                <w:rFonts w:ascii="Times New Roman"/>
                <w:sz w:val="18"/>
              </w:rPr>
              <w:t>458,726,455.19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320,465,466.19</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899" w:right="0"/>
              <w:jc w:val="left"/>
              <w:rPr>
                <w:rFonts w:ascii="Times New Roman" w:hAnsi="Times New Roman" w:cs="Times New Roman" w:eastAsia="Times New Roman" w:hint="default"/>
                <w:sz w:val="18"/>
                <w:szCs w:val="18"/>
              </w:rPr>
            </w:pPr>
            <w:r>
              <w:rPr>
                <w:rFonts w:ascii="Times New Roman"/>
                <w:sz w:val="18"/>
              </w:rPr>
              <w:t>320,465,466.19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364,679,853.81</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3057" w:type="dxa"/>
            <w:tcBorders>
              <w:top w:val="single" w:sz="4" w:space="0" w:color="000000"/>
              <w:left w:val="single" w:sz="4" w:space="0" w:color="000000"/>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3057" w:type="dxa"/>
            <w:tcBorders>
              <w:top w:val="single" w:sz="4" w:space="0" w:color="000000"/>
              <w:left w:val="single" w:sz="4" w:space="0" w:color="000000"/>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00" w:right="0"/>
              <w:jc w:val="left"/>
              <w:rPr>
                <w:rFonts w:ascii="Times New Roman" w:hAnsi="Times New Roman" w:cs="Times New Roman" w:eastAsia="Times New Roman" w:hint="default"/>
                <w:sz w:val="18"/>
                <w:szCs w:val="18"/>
              </w:rPr>
            </w:pPr>
            <w:r>
              <w:rPr>
                <w:rFonts w:ascii="Times New Roman"/>
                <w:sz w:val="18"/>
              </w:rPr>
              <w:t>138,260,989.00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7" w:right="0"/>
              <w:jc w:val="left"/>
              <w:rPr>
                <w:rFonts w:ascii="Times New Roman" w:hAnsi="Times New Roman" w:cs="Times New Roman" w:eastAsia="Times New Roman" w:hint="default"/>
                <w:sz w:val="18"/>
                <w:szCs w:val="18"/>
              </w:rPr>
            </w:pPr>
            <w:r>
              <w:rPr>
                <w:rFonts w:ascii="Times New Roman"/>
                <w:sz w:val="18"/>
              </w:rPr>
              <w:t>-44,214,387.62</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4"/>
        <w:spacing w:line="240" w:lineRule="auto" w:before="35"/>
        <w:ind w:right="0"/>
        <w:jc w:val="left"/>
        <w:rPr>
          <w:b w:val="0"/>
          <w:bCs w:val="0"/>
        </w:rPr>
      </w:pPr>
      <w:bookmarkStart w:name="（2）本期支付的取得子公司的现金净额" w:id="376"/>
      <w:bookmarkEnd w:id="376"/>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3）本期收到的处置子公司的现金净额" w:id="377"/>
      <w:bookmarkEnd w:id="377"/>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4）现金和现金等价物的构成" w:id="378"/>
      <w:bookmarkEnd w:id="378"/>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458,726,455.19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320,465,466.19</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216,081.35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234,091.31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453,410,162.03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320,231,374.88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5,100,211.81</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458,726,455.19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320,465,466.19</w:t>
            </w:r>
          </w:p>
        </w:tc>
      </w:tr>
    </w:tbl>
    <w:p>
      <w:pPr>
        <w:pStyle w:val="BodyText"/>
        <w:spacing w:line="357" w:lineRule="auto" w:before="51"/>
        <w:ind w:right="9852"/>
        <w:jc w:val="left"/>
      </w:pPr>
      <w:r>
        <w:rPr/>
        <w:t>其他说明： 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69、所有者权益变动表项目注释" w:id="379"/>
      <w:bookmarkEnd w:id="379"/>
      <w:r>
        <w:rPr>
          <w:b w:val="0"/>
          <w:bCs w:val="0"/>
        </w:rPr>
      </w:r>
      <w:r>
        <w:rPr>
          <w:rFonts w:ascii="Times New Roman" w:hAnsi="Times New Roman" w:cs="Times New Roman" w:eastAsia="Times New Roman" w:hint="default"/>
        </w:rPr>
        <w:t>69</w:t>
      </w:r>
      <w:r>
        <w:rPr/>
        <w:t>、所有者权益变动表项目注释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说明对上年期末余额进行调整的</w:t>
      </w:r>
      <w:r>
        <w:rPr>
          <w:rFonts w:ascii="Times New Roman" w:hAnsi="Times New Roman" w:cs="Times New Roman" w:eastAsia="Times New Roman" w:hint="default"/>
        </w:rPr>
        <w:t>“</w:t>
      </w:r>
      <w:r>
        <w:rPr/>
        <w:t>其他</w:t>
      </w:r>
      <w:r>
        <w:rPr>
          <w:rFonts w:ascii="Times New Roman" w:hAnsi="Times New Roman" w:cs="Times New Roman" w:eastAsia="Times New Roman" w:hint="default"/>
        </w:rPr>
        <w:t>”</w:t>
      </w:r>
      <w:r>
        <w:rPr/>
        <w:t>项目名称及调整金额等事项：</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70、所有权或使用权受到限制的资产" w:id="380"/>
      <w:bookmarkEnd w:id="380"/>
      <w:r>
        <w:rPr>
          <w:b w:val="0"/>
          <w:bCs w:val="0"/>
        </w:rPr>
      </w:r>
      <w:r>
        <w:rPr>
          <w:rFonts w:ascii="Times New Roman" w:hAnsi="Times New Roman" w:cs="Times New Roman" w:eastAsia="Times New Roman" w:hint="default"/>
        </w:rPr>
        <w:t>70</w:t>
      </w:r>
      <w:r>
        <w:rPr/>
        <w:t>、所有权或使用权受到限制的资产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95"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4,773,829.66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2"/>
              <w:ind w:right="13"/>
              <w:jc w:val="right"/>
              <w:rPr>
                <w:rFonts w:ascii="Times New Roman" w:hAnsi="Times New Roman" w:cs="Times New Roman" w:eastAsia="Times New Roman" w:hint="default"/>
                <w:sz w:val="18"/>
                <w:szCs w:val="18"/>
              </w:rPr>
            </w:pPr>
            <w:r>
              <w:rPr>
                <w:rFonts w:ascii="Times New Roman"/>
                <w:spacing w:val="-1"/>
                <w:sz w:val="18"/>
              </w:rPr>
              <w:t>4,773,829.66</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71、外币货币性项目" w:id="381"/>
      <w:bookmarkEnd w:id="381"/>
      <w:r>
        <w:rPr>
          <w:b w:val="0"/>
          <w:bCs w:val="0"/>
        </w:rPr>
      </w:r>
      <w:r>
        <w:rPr>
          <w:rFonts w:ascii="Times New Roman" w:hAnsi="Times New Roman" w:cs="Times New Roman" w:eastAsia="Times New Roman" w:hint="default"/>
        </w:rPr>
        <w:t>71</w:t>
      </w:r>
      <w:r>
        <w:rPr/>
        <w:t>、外币货币性项目</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外币货币性项目" w:id="382"/>
      <w:bookmarkEnd w:id="382"/>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1"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13" w:space="0" w:color="D2D2D2"/>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19,807,746.60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6.863200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135,944,526.47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1,286,078.96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7.847300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10,092,247.42</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17,168,468.44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15,043,012.05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172,247.07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8.676200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1,494,450.03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4,316,538.00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0.061887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267,137.59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3,909,025.80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6.863200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26,828,425.87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43,008.30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7.847300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337,499.03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12,747,654.26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11,169,494.66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5,950.65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8.676200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51,629.03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10,623.58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6.863200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72,911.75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港元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266,431.09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233,446.92</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20,799.21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8.676200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180,458.11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2,852,400.00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0.061887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176,526.48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184,835.52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6.863200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1,268,563.14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00"/>
              <w:jc w:val="right"/>
              <w:rPr>
                <w:rFonts w:ascii="宋体" w:hAnsi="宋体" w:cs="宋体" w:eastAsia="宋体" w:hint="default"/>
                <w:sz w:val="18"/>
                <w:szCs w:val="18"/>
              </w:rPr>
            </w:pPr>
            <w:r>
              <w:rPr>
                <w:rFonts w:ascii="宋体" w:hAnsi="宋体" w:cs="宋体" w:eastAsia="宋体" w:hint="default"/>
                <w:sz w:val="18"/>
                <w:szCs w:val="18"/>
              </w:rPr>
              <w:t>港元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803,276.82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703,831.15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00"/>
              <w:jc w:val="righ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19,982.81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8.676200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173,374.86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00"/>
              <w:jc w:val="right"/>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340,459.00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0.061887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21,069.99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584,172.54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6.863200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4,009,292.98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00"/>
              <w:jc w:val="right"/>
              <w:rPr>
                <w:rFonts w:ascii="宋体" w:hAnsi="宋体" w:cs="宋体" w:eastAsia="宋体" w:hint="default"/>
                <w:sz w:val="18"/>
                <w:szCs w:val="18"/>
              </w:rPr>
            </w:pPr>
            <w:r>
              <w:rPr>
                <w:rFonts w:ascii="宋体" w:hAnsi="宋体" w:cs="宋体" w:eastAsia="宋体" w:hint="default"/>
                <w:sz w:val="18"/>
                <w:szCs w:val="18"/>
              </w:rPr>
              <w:t>港元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4,041,489.90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3,541,153.45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00"/>
              <w:jc w:val="righ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137.94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8.676200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1,196.80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24,015.10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6.863200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164,820.43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00"/>
              <w:jc w:val="right"/>
              <w:rPr>
                <w:rFonts w:ascii="宋体" w:hAnsi="宋体" w:cs="宋体" w:eastAsia="宋体" w:hint="default"/>
                <w:sz w:val="18"/>
                <w:szCs w:val="18"/>
              </w:rPr>
            </w:pPr>
            <w:r>
              <w:rPr>
                <w:rFonts w:ascii="宋体" w:hAnsi="宋体" w:cs="宋体" w:eastAsia="宋体" w:hint="default"/>
                <w:sz w:val="18"/>
                <w:szCs w:val="18"/>
              </w:rPr>
              <w:t>港元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88,028.53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77,130.60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00"/>
              <w:jc w:val="righ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7,628.42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8.676200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66,185.70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45,968.32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6.863200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315,489.77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00"/>
              <w:jc w:val="right"/>
              <w:rPr>
                <w:rFonts w:ascii="宋体" w:hAnsi="宋体" w:cs="宋体" w:eastAsia="宋体" w:hint="default"/>
                <w:sz w:val="18"/>
                <w:szCs w:val="18"/>
              </w:rPr>
            </w:pPr>
            <w:r>
              <w:rPr>
                <w:rFonts w:ascii="宋体" w:hAnsi="宋体" w:cs="宋体" w:eastAsia="宋体" w:hint="default"/>
                <w:sz w:val="18"/>
                <w:szCs w:val="18"/>
              </w:rPr>
              <w:t>港元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199,182.00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0.876200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174,523.27</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59" w:lineRule="auto"/>
        <w:ind w:right="0"/>
        <w:jc w:val="left"/>
        <w:rPr>
          <w:b w:val="0"/>
          <w:bCs w:val="0"/>
        </w:rPr>
      </w:pPr>
      <w:bookmarkStart w:name="（2）境外经营实体说明，包括对于重要的境外经营实体，应披露其境外主要经营地、记账" w:id="383"/>
      <w:bookmarkEnd w:id="383"/>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74"/>
        </w:rPr>
        <w:t> </w:t>
      </w:r>
      <w:r>
        <w:rPr>
          <w:spacing w:val="-74"/>
        </w:rPr>
      </w:r>
      <w:r>
        <w:rPr/>
        <w:t>依据，记账本位币发生变化的还应披露原因。</w:t>
      </w:r>
      <w:r>
        <w:rPr>
          <w:b w:val="0"/>
          <w:bCs w:val="0"/>
        </w:rPr>
      </w:r>
    </w:p>
    <w:p>
      <w:pPr>
        <w:spacing w:line="240" w:lineRule="auto" w:before="7"/>
        <w:rPr>
          <w:rFonts w:ascii="宋体" w:hAnsi="宋体" w:cs="宋体" w:eastAsia="宋体" w:hint="default"/>
          <w:b/>
          <w:bCs/>
          <w:sz w:val="26"/>
          <w:szCs w:val="26"/>
        </w:rPr>
      </w:pPr>
    </w:p>
    <w:p>
      <w:pPr>
        <w:pStyle w:val="BodyText"/>
        <w:spacing w:line="328"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本公司属下有四家境外实体，其中一家为全资子公司香港奥拓，注册地香港；另三家均为香港奥拓之全资子公司，注册地分</w:t>
      </w:r>
      <w:r>
        <w:rPr>
          <w:spacing w:val="-66"/>
        </w:rPr>
        <w:t> </w:t>
      </w:r>
      <w:r>
        <w:rPr>
          <w:spacing w:val="-66"/>
        </w:rPr>
      </w:r>
      <w:r>
        <w:rPr/>
        <w:t>别为美国、英国和日本。</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2"/>
          <w:szCs w:val="12"/>
        </w:rPr>
      </w:pPr>
    </w:p>
    <w:p>
      <w:pPr>
        <w:pStyle w:val="Heading4"/>
        <w:spacing w:line="240" w:lineRule="auto"/>
        <w:ind w:right="0"/>
        <w:jc w:val="left"/>
        <w:rPr>
          <w:b w:val="0"/>
          <w:bCs w:val="0"/>
        </w:rPr>
      </w:pPr>
      <w:bookmarkStart w:name="72、套期" w:id="384"/>
      <w:bookmarkEnd w:id="384"/>
      <w:r>
        <w:rPr>
          <w:b w:val="0"/>
          <w:bCs w:val="0"/>
        </w:rPr>
      </w:r>
      <w:r>
        <w:rPr>
          <w:rFonts w:ascii="Times New Roman" w:hAnsi="Times New Roman" w:cs="Times New Roman" w:eastAsia="Times New Roman" w:hint="default"/>
        </w:rPr>
        <w:t>72</w:t>
      </w:r>
      <w:r>
        <w:rPr/>
        <w:t>、套期</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4632"/>
        <w:jc w:val="left"/>
      </w:pPr>
      <w:r>
        <w:rPr/>
        <w:t>按照套期类别披露套期项目及相关套期工具、被套期风险的定性和定量信息：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73、政府补助" w:id="385"/>
      <w:bookmarkEnd w:id="385"/>
      <w:r>
        <w:rPr>
          <w:b w:val="0"/>
          <w:bCs w:val="0"/>
        </w:rPr>
      </w:r>
      <w:r>
        <w:rPr>
          <w:rFonts w:ascii="Times New Roman" w:hAnsi="Times New Roman" w:cs="Times New Roman" w:eastAsia="Times New Roman" w:hint="default"/>
        </w:rPr>
        <w:t>73</w:t>
      </w:r>
      <w:r>
        <w:rPr/>
        <w:t>、政府补助</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政府补助基本情况" w:id="386"/>
      <w:bookmarkEnd w:id="386"/>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基于大数据的智慧银行系统 研发及产业化项目</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收深圳市科技创新委员会高 新区科研第二批第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次资助费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1,718,000.00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1,718,000.00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大众体育场馆</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O2O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智能服务 系统研发及产业化项目资助 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52"/>
              <w:jc w:val="both"/>
              <w:rPr>
                <w:rFonts w:ascii="宋体" w:hAnsi="宋体" w:cs="宋体" w:eastAsia="宋体" w:hint="default"/>
                <w:sz w:val="18"/>
                <w:szCs w:val="18"/>
              </w:rPr>
            </w:pPr>
            <w:r>
              <w:rPr>
                <w:rFonts w:ascii="宋体" w:hAnsi="宋体" w:cs="宋体" w:eastAsia="宋体" w:hint="default"/>
                <w:sz w:val="18"/>
                <w:szCs w:val="18"/>
              </w:rPr>
              <w:t>收深圳市南山区财政局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年度文化产业发展分项资金 资助款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收深圳市南山区财政局工业 增加值奖励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深圳市科技创新委员会高新 区科研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年度资助费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809,000.00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809,000.00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53"/>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年度南京市软件和信息 服务业发展专项资金第一批 项目及资金计划</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收到惠州市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年省级促进 经济发展专项（企业技术改造 用途）资金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583,500.00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583,500.00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37"/>
              <w:jc w:val="left"/>
              <w:rPr>
                <w:rFonts w:ascii="宋体" w:hAnsi="宋体" w:cs="宋体" w:eastAsia="宋体" w:hint="default"/>
                <w:sz w:val="18"/>
                <w:szCs w:val="18"/>
              </w:rPr>
            </w:pPr>
            <w:r>
              <w:rPr>
                <w:rFonts w:ascii="宋体" w:hAnsi="宋体" w:cs="宋体" w:eastAsia="宋体" w:hint="default"/>
                <w:sz w:val="18"/>
                <w:szCs w:val="18"/>
              </w:rPr>
              <w:t>收到政府补助</w:t>
            </w:r>
            <w:r>
              <w:rPr>
                <w:rFonts w:ascii="Times New Roman" w:hAnsi="Times New Roman" w:cs="Times New Roman" w:eastAsia="Times New Roman" w:hint="default"/>
                <w:sz w:val="18"/>
                <w:szCs w:val="18"/>
              </w:rPr>
              <w:t>-</w:t>
            </w:r>
            <w:r>
              <w:rPr>
                <w:rFonts w:ascii="宋体" w:hAnsi="宋体" w:cs="宋体" w:eastAsia="宋体" w:hint="default"/>
                <w:sz w:val="18"/>
                <w:szCs w:val="18"/>
              </w:rPr>
              <w:t>企业参加展会 活动资助项目</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548,900.00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548,900.00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收到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年惠州市企业研发 省级财政补助资金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543,300.00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543,300.00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江苏省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年度科技发展计 划和科技经费发放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539,800.00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539,800.00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深圳市财政局个人所得税手 续费返还</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516,283.96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516,283.96</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收到福田的研发补助补贴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503,300.00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503,300.00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53"/>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年南京市雨花台经济开 发区管理委员会高新技术企 业认定奖励款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500,000.00</w:t>
            </w:r>
          </w:p>
        </w:tc>
      </w:tr>
      <w:tr>
        <w:trPr>
          <w:trHeight w:val="1338"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收深圳市科技创新委员会</w:t>
            </w:r>
          </w:p>
          <w:p>
            <w:pPr>
              <w:pStyle w:val="TableParagraph"/>
              <w:spacing w:line="300" w:lineRule="auto" w:before="76"/>
              <w:ind w:left="22" w:right="5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BTWzY5B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计财处科学技术 奖深府</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201862 </w:t>
            </w: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20180293</w:t>
            </w:r>
            <w:r>
              <w:rPr>
                <w:rFonts w:ascii="宋体" w:hAnsi="宋体" w:cs="宋体" w:eastAsia="宋体" w:hint="default"/>
                <w:sz w:val="18"/>
                <w:szCs w:val="18"/>
              </w:rPr>
              <w:t>）</w:t>
            </w:r>
          </w:p>
          <w:p>
            <w:pPr>
              <w:pStyle w:val="TableParagraph"/>
              <w:spacing w:line="240" w:lineRule="auto" w:before="14"/>
              <w:ind w:left="22"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500,000.00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500,000.00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其他小额政府补助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2,130,434.85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2,130,434.85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其他小额政府补助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其他小额政府补助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120.36</w:t>
            </w:r>
          </w:p>
        </w:tc>
      </w:tr>
    </w:tbl>
    <w:p>
      <w:pPr>
        <w:spacing w:after="0" w:line="240" w:lineRule="auto"/>
        <w:jc w:val="right"/>
        <w:rPr>
          <w:rFonts w:ascii="Times New Roman" w:hAnsi="Times New Roman" w:cs="Times New Roman" w:eastAsia="Times New Roman" w:hint="default"/>
          <w:sz w:val="18"/>
          <w:szCs w:val="18"/>
        </w:rPr>
        <w:sectPr>
          <w:footerReference w:type="default" r:id="rId55"/>
          <w:pgSz w:w="11910" w:h="16840"/>
          <w:pgMar w:footer="979" w:header="747" w:top="1060" w:bottom="1160" w:left="980" w:right="0"/>
        </w:sectPr>
      </w:pPr>
    </w:p>
    <w:p>
      <w:pPr>
        <w:spacing w:line="240" w:lineRule="auto" w:before="2"/>
        <w:rPr>
          <w:rFonts w:ascii="Times New Roman" w:hAnsi="Times New Roman" w:cs="Times New Roman" w:eastAsia="Times New Roman" w:hint="default"/>
          <w:sz w:val="28"/>
          <w:szCs w:val="28"/>
        </w:rPr>
      </w:pPr>
    </w:p>
    <w:p>
      <w:pPr>
        <w:pStyle w:val="Heading4"/>
        <w:spacing w:line="240" w:lineRule="auto" w:before="35"/>
        <w:ind w:right="0"/>
        <w:jc w:val="left"/>
        <w:rPr>
          <w:b w:val="0"/>
          <w:bCs w:val="0"/>
        </w:rPr>
      </w:pPr>
      <w:bookmarkStart w:name="（2）政府补助退回情况" w:id="387"/>
      <w:bookmarkEnd w:id="387"/>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91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其他说明：</w:t>
      </w:r>
    </w:p>
    <w:p>
      <w:pPr>
        <w:pStyle w:val="BodyText"/>
        <w:spacing w:line="240" w:lineRule="auto" w:before="42"/>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74、其他" w:id="388"/>
      <w:bookmarkEnd w:id="388"/>
      <w:r>
        <w:rPr>
          <w:b w:val="0"/>
          <w:bCs w:val="0"/>
        </w:rPr>
      </w:r>
      <w:r>
        <w:rPr>
          <w:rFonts w:ascii="Times New Roman" w:hAnsi="Times New Roman" w:cs="Times New Roman" w:eastAsia="Times New Roman" w:hint="default"/>
        </w:rPr>
        <w:t>74</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八、合并范围的变更" w:id="389"/>
      <w:bookmarkEnd w:id="389"/>
      <w:r>
        <w:rPr>
          <w:b w:val="0"/>
          <w:bCs w:val="0"/>
        </w:rPr>
      </w:r>
      <w:r>
        <w:rPr/>
        <w:t>八、合并范围的变更</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非同一控制下企业合并" w:id="390"/>
      <w:bookmarkEnd w:id="390"/>
      <w:r>
        <w:rPr>
          <w:b w:val="0"/>
          <w:bCs w:val="0"/>
        </w:rPr>
      </w:r>
      <w:r>
        <w:rPr>
          <w:rFonts w:ascii="Times New Roman" w:hAnsi="Times New Roman" w:cs="Times New Roman" w:eastAsia="Times New Roman" w:hint="default"/>
        </w:rPr>
        <w:t>1</w:t>
      </w:r>
      <w:r>
        <w:rPr/>
        <w:t>、非同一控制下企业合并</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本期发生的非同一控制下企业合并" w:id="391"/>
      <w:bookmarkEnd w:id="391"/>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5"/>
        <w:gridCol w:w="1064"/>
        <w:gridCol w:w="1063"/>
        <w:gridCol w:w="1062"/>
        <w:gridCol w:w="1062"/>
        <w:gridCol w:w="1051"/>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6" w:hanging="360"/>
              <w:jc w:val="left"/>
              <w:rPr>
                <w:rFonts w:ascii="宋体" w:hAnsi="宋体" w:cs="宋体" w:eastAsia="宋体" w:hint="default"/>
                <w:sz w:val="18"/>
                <w:szCs w:val="18"/>
              </w:rPr>
            </w:pPr>
            <w:r>
              <w:rPr>
                <w:rFonts w:ascii="宋体" w:hAnsi="宋体" w:cs="宋体" w:eastAsia="宋体" w:hint="default"/>
                <w:sz w:val="18"/>
                <w:szCs w:val="18"/>
              </w:rPr>
              <w:t>被购买方名 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股权取得时 点</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股权取得成 本</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6" w:right="76" w:hanging="360"/>
              <w:jc w:val="left"/>
              <w:rPr>
                <w:rFonts w:ascii="宋体" w:hAnsi="宋体" w:cs="宋体" w:eastAsia="宋体" w:hint="default"/>
                <w:sz w:val="18"/>
                <w:szCs w:val="18"/>
              </w:rPr>
            </w:pPr>
            <w:r>
              <w:rPr>
                <w:rFonts w:ascii="宋体" w:hAnsi="宋体" w:cs="宋体" w:eastAsia="宋体" w:hint="default"/>
                <w:sz w:val="18"/>
                <w:szCs w:val="18"/>
              </w:rPr>
              <w:t>股权取得比 例</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股权取得方 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56"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5" w:right="75" w:hanging="180"/>
              <w:jc w:val="left"/>
              <w:rPr>
                <w:rFonts w:ascii="宋体" w:hAnsi="宋体" w:cs="宋体" w:eastAsia="宋体" w:hint="default"/>
                <w:sz w:val="18"/>
                <w:szCs w:val="18"/>
              </w:rPr>
            </w:pPr>
            <w:r>
              <w:rPr>
                <w:rFonts w:ascii="宋体" w:hAnsi="宋体" w:cs="宋体" w:eastAsia="宋体" w:hint="default"/>
                <w:sz w:val="18"/>
                <w:szCs w:val="18"/>
              </w:rPr>
              <w:t>购买日的确 定依据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74"/>
              <w:jc w:val="center"/>
              <w:rPr>
                <w:rFonts w:ascii="宋体" w:hAnsi="宋体" w:cs="宋体" w:eastAsia="宋体" w:hint="default"/>
                <w:sz w:val="18"/>
                <w:szCs w:val="18"/>
              </w:rPr>
            </w:pPr>
            <w:r>
              <w:rPr>
                <w:rFonts w:ascii="宋体" w:hAnsi="宋体" w:cs="宋体" w:eastAsia="宋体" w:hint="default"/>
                <w:sz w:val="18"/>
                <w:szCs w:val="18"/>
              </w:rPr>
              <w:t>购买日至期 末被购买方 的收入</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63"/>
              <w:jc w:val="both"/>
              <w:rPr>
                <w:rFonts w:ascii="宋体" w:hAnsi="宋体" w:cs="宋体" w:eastAsia="宋体" w:hint="default"/>
                <w:sz w:val="18"/>
                <w:szCs w:val="18"/>
              </w:rPr>
            </w:pPr>
            <w:r>
              <w:rPr>
                <w:rFonts w:ascii="宋体" w:hAnsi="宋体" w:cs="宋体" w:eastAsia="宋体" w:hint="default"/>
                <w:sz w:val="18"/>
                <w:szCs w:val="18"/>
              </w:rPr>
              <w:t>购买日至期 末被购买方 的净利润</w:t>
            </w:r>
          </w:p>
        </w:tc>
      </w:tr>
    </w:tbl>
    <w:p>
      <w:pPr>
        <w:pStyle w:val="BodyText"/>
        <w:spacing w:line="357" w:lineRule="auto" w:before="52"/>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合并成本及商誉" w:id="392"/>
      <w:bookmarkEnd w:id="392"/>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9"/>
        <w:rPr>
          <w:rFonts w:ascii="宋体" w:hAnsi="宋体" w:cs="宋体" w:eastAsia="宋体" w:hint="default"/>
          <w:sz w:val="7"/>
          <w:szCs w:val="7"/>
        </w:rPr>
      </w:pPr>
    </w:p>
    <w:p>
      <w:pPr>
        <w:spacing w:line="42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4773;top:14;width:2;height:393" coordorigin="4773,14" coordsize="2,393">
              <v:shape style="position:absolute;left:4773;top:14;width:2;height:393" coordorigin="4773,14" coordsize="0,393" path="m4773,14l4773,407e" filled="false" stroked="true" strokeweight="1.140pt" strokecolor="#d2d2d2">
                <v:path arrowok="t"/>
              </v:shape>
            </v:group>
            <v:group style="position:absolute;left:32;top:14;width:4729;height:393" coordorigin="32,14" coordsize="4729,393">
              <v:shape style="position:absolute;left:32;top:14;width:4729;height:393" coordorigin="32,14" coordsize="4729,393" path="m32,407l4761,407,4761,14,32,14,32,407xe" filled="true" fillcolor="#d2d2d2" stroked="false">
                <v:path arrowok="t"/>
                <v:fill type="solid"/>
              </v:shape>
            </v:group>
            <v:group style="position:absolute;left:4806;top:14;width:2;height:393" coordorigin="4806,14" coordsize="2,393">
              <v:shape style="position:absolute;left:4806;top:14;width:2;height:393" coordorigin="4806,14" coordsize="0,393" path="m4806,14l4806,407e" filled="false" stroked="true" strokeweight="1.140pt" strokecolor="#e0ffff">
                <v:path arrowok="t"/>
              </v:shape>
            </v:group>
            <v:group style="position:absolute;left:9557;top:14;width:2;height:393" coordorigin="9557,14" coordsize="2,393">
              <v:shape style="position:absolute;left:9557;top:14;width:2;height:393" coordorigin="9557,14" coordsize="0,393" path="m9557,14l9557,407e" filled="false" stroked="true" strokeweight="1.140pt" strokecolor="#e0ffff">
                <v:path arrowok="t"/>
              </v:shape>
            </v:group>
            <v:group style="position:absolute;left:4818;top:14;width:4729;height:393" coordorigin="4818,14" coordsize="4729,393">
              <v:shape style="position:absolute;left:4818;top:14;width:4729;height:393" coordorigin="4818,14" coordsize="4729,393" path="m4818,407l9546,407,9546,14,4818,14,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001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001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001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799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001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004pt" strokecolor="#000000">
                <v:path arrowok="t"/>
              </v:shape>
              <v:shape style="position:absolute;left:5;top:10;width:4785;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57" w:lineRule="auto" w:before="46"/>
        <w:ind w:right="6072"/>
        <w:jc w:val="left"/>
      </w:pPr>
      <w:r>
        <w:rPr/>
        <w:t>合并成本公允价值的确定方法、或有对价及其变动的说明： 无。</w:t>
      </w:r>
    </w:p>
    <w:p>
      <w:pPr>
        <w:pStyle w:val="BodyText"/>
        <w:spacing w:line="357" w:lineRule="auto" w:before="29"/>
        <w:ind w:right="8592"/>
        <w:jc w:val="left"/>
      </w:pPr>
      <w:r>
        <w:rPr/>
        <w:t>大额商誉形成的主要原因： 无。</w:t>
      </w:r>
    </w:p>
    <w:p>
      <w:pPr>
        <w:pStyle w:val="BodyText"/>
        <w:spacing w:line="357" w:lineRule="auto" w:before="29"/>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被购买方于购买日可辨认资产、负债" w:id="393"/>
      <w:bookmarkEnd w:id="393"/>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79"/>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1" w:type="dxa"/>
            <w:gridSpan w:val="2"/>
            <w:tcBorders>
              <w:top w:val="single" w:sz="4" w:space="0" w:color="000000"/>
              <w:left w:val="single" w:sz="13" w:space="0" w:color="D2D2D2"/>
              <w:bottom w:val="single" w:sz="4" w:space="0" w:color="000000"/>
              <w:right w:val="single" w:sz="4" w:space="0" w:color="000000"/>
            </w:tcBorders>
            <w:shd w:val="clear" w:color="auto" w:fill="E0FFFF"/>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72"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bl>
    <w:p>
      <w:pPr>
        <w:pStyle w:val="BodyText"/>
        <w:spacing w:line="357" w:lineRule="auto" w:before="51"/>
        <w:ind w:right="7512"/>
        <w:jc w:val="left"/>
      </w:pPr>
      <w:r>
        <w:rPr/>
        <w:t>可辨认资产、负债公允价值的确定方法： 无。</w:t>
      </w:r>
    </w:p>
    <w:p>
      <w:pPr>
        <w:spacing w:after="0" w:line="357" w:lineRule="auto"/>
        <w:jc w:val="left"/>
        <w:sectPr>
          <w:footerReference w:type="default" r:id="rId56"/>
          <w:pgSz w:w="11910" w:h="16840"/>
          <w:pgMar w:footer="979" w:header="747" w:top="1060" w:bottom="1160" w:left="980" w:right="0"/>
          <w:pgNumType w:start="201"/>
        </w:sectPr>
      </w:pPr>
    </w:p>
    <w:p>
      <w:pPr>
        <w:spacing w:line="240" w:lineRule="auto" w:before="13"/>
        <w:rPr>
          <w:rFonts w:ascii="宋体" w:hAnsi="宋体" w:cs="宋体" w:eastAsia="宋体" w:hint="default"/>
          <w:sz w:val="25"/>
          <w:szCs w:val="25"/>
        </w:rPr>
      </w:pPr>
    </w:p>
    <w:p>
      <w:pPr>
        <w:pStyle w:val="BodyText"/>
        <w:spacing w:line="357" w:lineRule="auto" w:before="44"/>
        <w:ind w:right="7512"/>
        <w:jc w:val="left"/>
      </w:pPr>
      <w:r>
        <w:rPr/>
        <w:t>企业合并中承担的被购买方的或有负债： 无。</w:t>
      </w:r>
    </w:p>
    <w:p>
      <w:pPr>
        <w:pStyle w:val="BodyText"/>
        <w:spacing w:line="357" w:lineRule="auto" w:before="29"/>
        <w:ind w:right="9852"/>
        <w:jc w:val="left"/>
      </w:pPr>
      <w:r>
        <w:rPr/>
        <w:t>其他说明： 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4）购买日之前持有的股权按照公允价值重新计量产生的利得或损失" w:id="394"/>
      <w:bookmarkEnd w:id="394"/>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是否存在通过多次交易分步实现企业合并且在报告期内取得控制权的交易</w:t>
      </w:r>
    </w:p>
    <w:p>
      <w:pPr>
        <w:pStyle w:val="BodyText"/>
        <w:spacing w:line="240" w:lineRule="auto" w:before="116"/>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bookmarkStart w:name="（5）购买日或合并当期期末无法合理确定合并对价或被购买方可辨认资产、负债公允价值" w:id="395"/>
      <w:bookmarkEnd w:id="395"/>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6）其他说明" w:id="396"/>
      <w:bookmarkEnd w:id="396"/>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2、同一控制下企业合并" w:id="397"/>
      <w:bookmarkEnd w:id="397"/>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本期发生的同一控制下企业合并" w:id="398"/>
      <w:bookmarkEnd w:id="398"/>
      <w:r>
        <w:rPr>
          <w:b w:val="0"/>
          <w:bCs w:val="0"/>
        </w:rPr>
      </w: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3"/>
        <w:gridCol w:w="1065"/>
        <w:gridCol w:w="1064"/>
        <w:gridCol w:w="1063"/>
        <w:gridCol w:w="1065"/>
        <w:gridCol w:w="1064"/>
        <w:gridCol w:w="1063"/>
      </w:tblGrid>
      <w:tr>
        <w:trPr>
          <w:trHeight w:val="1338"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435" w:right="75" w:hanging="360"/>
              <w:jc w:val="left"/>
              <w:rPr>
                <w:rFonts w:ascii="宋体" w:hAnsi="宋体" w:cs="宋体" w:eastAsia="宋体" w:hint="default"/>
                <w:sz w:val="18"/>
                <w:szCs w:val="18"/>
              </w:rPr>
            </w:pPr>
            <w:r>
              <w:rPr>
                <w:rFonts w:ascii="宋体" w:hAnsi="宋体" w:cs="宋体" w:eastAsia="宋体" w:hint="default"/>
                <w:sz w:val="18"/>
                <w:szCs w:val="18"/>
              </w:rPr>
              <w:t>被合并方名 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5" w:right="73"/>
              <w:jc w:val="center"/>
              <w:rPr>
                <w:rFonts w:ascii="宋体" w:hAnsi="宋体" w:cs="宋体" w:eastAsia="宋体" w:hint="default"/>
                <w:sz w:val="18"/>
                <w:szCs w:val="18"/>
              </w:rPr>
            </w:pPr>
            <w:r>
              <w:rPr>
                <w:rFonts w:ascii="宋体" w:hAnsi="宋体" w:cs="宋体" w:eastAsia="宋体" w:hint="default"/>
                <w:sz w:val="18"/>
                <w:szCs w:val="18"/>
              </w:rPr>
              <w:t>企业合并中 取得的权益 比例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6" w:right="74"/>
              <w:jc w:val="both"/>
              <w:rPr>
                <w:rFonts w:ascii="宋体" w:hAnsi="宋体" w:cs="宋体" w:eastAsia="宋体" w:hint="default"/>
                <w:sz w:val="18"/>
                <w:szCs w:val="18"/>
              </w:rPr>
            </w:pPr>
            <w:r>
              <w:rPr>
                <w:rFonts w:ascii="宋体" w:hAnsi="宋体" w:cs="宋体" w:eastAsia="宋体" w:hint="default"/>
                <w:sz w:val="18"/>
                <w:szCs w:val="18"/>
              </w:rPr>
              <w:t>构成同一控 制下企业合 并的依据</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56" w:right="77" w:hanging="180"/>
              <w:jc w:val="left"/>
              <w:rPr>
                <w:rFonts w:ascii="宋体" w:hAnsi="宋体" w:cs="宋体" w:eastAsia="宋体" w:hint="default"/>
                <w:sz w:val="18"/>
                <w:szCs w:val="18"/>
              </w:rPr>
            </w:pPr>
            <w:r>
              <w:rPr>
                <w:rFonts w:ascii="宋体" w:hAnsi="宋体" w:cs="宋体" w:eastAsia="宋体" w:hint="default"/>
                <w:sz w:val="18"/>
                <w:szCs w:val="18"/>
              </w:rPr>
              <w:t>合并日的确 定依据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6" w:right="74"/>
              <w:jc w:val="center"/>
              <w:rPr>
                <w:rFonts w:ascii="宋体" w:hAnsi="宋体" w:cs="宋体" w:eastAsia="宋体" w:hint="default"/>
                <w:sz w:val="18"/>
                <w:szCs w:val="18"/>
              </w:rPr>
            </w:pPr>
            <w:r>
              <w:rPr>
                <w:rFonts w:ascii="宋体" w:hAnsi="宋体" w:cs="宋体" w:eastAsia="宋体" w:hint="default"/>
                <w:sz w:val="18"/>
                <w:szCs w:val="18"/>
              </w:rPr>
              <w:t>合并当期期 初至合并日 被合并方的 收入</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6" w:right="76"/>
              <w:jc w:val="center"/>
              <w:rPr>
                <w:rFonts w:ascii="宋体" w:hAnsi="宋体" w:cs="宋体" w:eastAsia="宋体" w:hint="default"/>
                <w:sz w:val="18"/>
                <w:szCs w:val="18"/>
              </w:rPr>
            </w:pPr>
            <w:r>
              <w:rPr>
                <w:rFonts w:ascii="宋体" w:hAnsi="宋体" w:cs="宋体" w:eastAsia="宋体" w:hint="default"/>
                <w:sz w:val="18"/>
                <w:szCs w:val="18"/>
              </w:rPr>
              <w:t>合并当期期 初至合并日 被合并方的 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6" w:right="77"/>
              <w:jc w:val="center"/>
              <w:rPr>
                <w:rFonts w:ascii="宋体" w:hAnsi="宋体" w:cs="宋体" w:eastAsia="宋体" w:hint="default"/>
                <w:sz w:val="18"/>
                <w:szCs w:val="18"/>
              </w:rPr>
            </w:pPr>
            <w:r>
              <w:rPr>
                <w:rFonts w:ascii="宋体" w:hAnsi="宋体" w:cs="宋体" w:eastAsia="宋体" w:hint="default"/>
                <w:sz w:val="18"/>
                <w:szCs w:val="18"/>
              </w:rPr>
              <w:t>比较期间被 合并方的收 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6" w:right="74"/>
              <w:jc w:val="center"/>
              <w:rPr>
                <w:rFonts w:ascii="宋体" w:hAnsi="宋体" w:cs="宋体" w:eastAsia="宋体" w:hint="default"/>
                <w:sz w:val="18"/>
                <w:szCs w:val="18"/>
              </w:rPr>
            </w:pPr>
            <w:r>
              <w:rPr>
                <w:rFonts w:ascii="宋体" w:hAnsi="宋体" w:cs="宋体" w:eastAsia="宋体" w:hint="default"/>
                <w:sz w:val="18"/>
                <w:szCs w:val="18"/>
              </w:rPr>
              <w:t>比较期间被 合并方的净 利润</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合并成本" w:id="399"/>
      <w:bookmarkEnd w:id="399"/>
      <w:r>
        <w:rPr>
          <w:b w:val="0"/>
          <w:bCs w:val="0"/>
        </w:rPr>
      </w:r>
      <w:r>
        <w:rPr/>
        <w:t>（</w:t>
      </w:r>
      <w:r>
        <w:rPr>
          <w:rFonts w:ascii="Times New Roman" w:hAnsi="Times New Roman" w:cs="Times New Roman" w:eastAsia="Times New Roman" w:hint="default"/>
        </w:rPr>
        <w:t>2</w:t>
      </w:r>
      <w:r>
        <w:rPr/>
        <w:t>）合并成本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8"/>
        <w:rPr>
          <w:rFonts w:ascii="宋体" w:hAnsi="宋体" w:cs="宋体" w:eastAsia="宋体" w:hint="default"/>
          <w:sz w:val="7"/>
          <w:szCs w:val="7"/>
        </w:rPr>
      </w:pPr>
    </w:p>
    <w:p>
      <w:pPr>
        <w:spacing w:line="422"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5pt;mso-position-horizontal-relative:char;mso-position-vertical-relative:line" coordorigin="0,0" coordsize="9579,423">
            <v:group style="position:absolute;left:21;top:16;width:2;height:392" coordorigin="21,16" coordsize="2,392">
              <v:shape style="position:absolute;left:21;top:16;width:2;height:392" coordorigin="21,16" coordsize="0,392" path="m21,16l21,407e" filled="false" stroked="true" strokeweight="1.140pt" strokecolor="#d2d2d2">
                <v:path arrowok="t"/>
              </v:shape>
            </v:group>
            <v:group style="position:absolute;left:4773;top:16;width:2;height:392" coordorigin="4773,16" coordsize="2,392">
              <v:shape style="position:absolute;left:4773;top:16;width:2;height:392" coordorigin="4773,16" coordsize="0,392" path="m4773,16l4773,407e" filled="false" stroked="true" strokeweight="1.140pt" strokecolor="#d2d2d2">
                <v:path arrowok="t"/>
              </v:shape>
            </v:group>
            <v:group style="position:absolute;left:32;top:16;width:4729;height:392" coordorigin="32,16" coordsize="4729,392">
              <v:shape style="position:absolute;left:32;top:16;width:4729;height:392" coordorigin="32,16" coordsize="4729,392" path="m32,407l4761,407,4761,16,32,16,32,407xe" filled="true" fillcolor="#d2d2d2" stroked="false">
                <v:path arrowok="t"/>
                <v:fill type="solid"/>
              </v:shape>
            </v:group>
            <v:group style="position:absolute;left:4806;top:16;width:2;height:392" coordorigin="4806,16" coordsize="2,392">
              <v:shape style="position:absolute;left:4806;top:16;width:2;height:392" coordorigin="4806,16" coordsize="0,392" path="m4806,16l4806,407e" filled="false" stroked="true" strokeweight="1.140pt" strokecolor="#e0ffff">
                <v:path arrowok="t"/>
              </v:shape>
            </v:group>
            <v:group style="position:absolute;left:9557;top:16;width:2;height:392" coordorigin="9557,16" coordsize="2,392">
              <v:shape style="position:absolute;left:9557;top:16;width:2;height:392" coordorigin="9557,16" coordsize="0,392" path="m9557,16l9557,407e" filled="false" stroked="true" strokeweight="1.140pt" strokecolor="#e0ffff">
                <v:path arrowok="t"/>
              </v:shape>
            </v:group>
            <v:group style="position:absolute;left:4818;top:16;width:4729;height:392" coordorigin="4818,16" coordsize="4729,392">
              <v:shape style="position:absolute;left:4818;top:16;width:4729;height:392" coordorigin="4818,16" coordsize="4729,392" path="m4818,407l9546,407,9546,16,4818,16,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799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799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5,413e" filled="false" stroked="true" strokeweight=".47998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7998pt" strokecolor="#000000">
                <v:path arrowok="t"/>
              </v:shape>
            </v:group>
            <v:group style="position:absolute;left:4795;top:413;width:4774;height:2" coordorigin="4795,413" coordsize="4774,2">
              <v:shape style="position:absolute;left:4795;top:413;width:4774;height:2" coordorigin="4795,413" coordsize="4774,0" path="m4795,413l9569,413e" filled="false" stroked="true" strokeweight=".47998pt" strokecolor="#000000">
                <v:path arrowok="t"/>
              </v:shape>
            </v:group>
            <v:group style="position:absolute;left:9574;top:5;width:2;height:413" coordorigin="9574,5" coordsize="2,413">
              <v:shape style="position:absolute;left:9574;top:5;width:2;height:413" coordorigin="9574,5" coordsize="0,413" path="m9574,5l9574,418e" filled="false" stroked="true" strokeweight=".48004pt" strokecolor="#000000">
                <v:path arrowok="t"/>
              </v:shape>
              <v:shape style="position:absolute;left:5;top:10;width:4785;height:404" type="#_x0000_t202" filled="false" stroked="false">
                <v:textbox inset="0,0,0,0">
                  <w:txbxContent>
                    <w:p>
                      <w:pPr>
                        <w:spacing w:before="57"/>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57" w:lineRule="auto" w:before="47"/>
        <w:ind w:right="8592"/>
        <w:jc w:val="left"/>
      </w:pPr>
      <w:r>
        <w:rPr/>
        <w:t>或有对价及其变动的说明： 无。</w:t>
      </w:r>
    </w:p>
    <w:p>
      <w:pPr>
        <w:pStyle w:val="BodyText"/>
        <w:spacing w:line="357" w:lineRule="auto" w:before="29"/>
        <w:ind w:right="9852"/>
        <w:jc w:val="left"/>
      </w:pPr>
      <w:r>
        <w:rPr/>
        <w:t>其他说明： 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合并日被合并方资产、负债的账面价值" w:id="400"/>
      <w:bookmarkEnd w:id="400"/>
      <w:r>
        <w:rPr>
          <w:b w:val="0"/>
          <w:bCs w:val="0"/>
        </w:rPr>
      </w: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2"/>
        <w:rPr>
          <w:rFonts w:ascii="宋体" w:hAnsi="宋体" w:cs="宋体" w:eastAsia="宋体" w:hint="default"/>
          <w:sz w:val="28"/>
          <w:szCs w:val="28"/>
        </w:rPr>
      </w:pPr>
    </w:p>
    <w:p>
      <w:pPr>
        <w:spacing w:line="823" w:lineRule="exact"/>
        <w:ind w:left="14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9.05pt;height:41.2pt;mso-position-horizontal-relative:char;mso-position-vertical-relative:line" coordorigin="0,0" coordsize="9581,824">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3179;top:14;width:2;height:393" coordorigin="3179,14" coordsize="2,393">
              <v:shape style="position:absolute;left:3179;top:14;width:2;height:393" coordorigin="3179,14" coordsize="0,393" path="m3179,14l3179,407e" filled="false" stroked="true" strokeweight="1.140pt" strokecolor="#d2d2d2">
                <v:path arrowok="t"/>
              </v:shape>
            </v:group>
            <v:group style="position:absolute;left:32;top:14;width:3135;height:393" coordorigin="32,14" coordsize="3135,393">
              <v:shape style="position:absolute;left:32;top:14;width:3135;height:393" coordorigin="32,14" coordsize="3135,393" path="m32,407l3167,407,3167,14,32,14,32,407xe" filled="true" fillcolor="#d2d2d2" stroked="false">
                <v:path arrowok="t"/>
                <v:fill type="solid"/>
              </v:shape>
            </v:group>
            <v:group style="position:absolute;left:3212;top:14;width:2;height:393" coordorigin="3212,14" coordsize="2,393">
              <v:shape style="position:absolute;left:3212;top:14;width:2;height:393" coordorigin="3212,14" coordsize="0,393" path="m3212,14l3212,407e" filled="false" stroked="true" strokeweight="1.2pt" strokecolor="#e0ffff">
                <v:path arrowok="t"/>
              </v:shape>
            </v:group>
            <v:group style="position:absolute;left:9560;top:14;width:2;height:393" coordorigin="9560,14" coordsize="2,393">
              <v:shape style="position:absolute;left:9560;top:14;width:2;height:393" coordorigin="9560,14" coordsize="0,393" path="m9560,14l9560,407e" filled="false" stroked="true" strokeweight="1.140pt" strokecolor="#e0ffff">
                <v:path arrowok="t"/>
              </v:shape>
            </v:group>
            <v:group style="position:absolute;left:3224;top:14;width:6325;height:393" coordorigin="3224,14" coordsize="6325,393">
              <v:shape style="position:absolute;left:3224;top:14;width:6325;height:393" coordorigin="3224,14" coordsize="6325,393" path="m3224,407l9548,407,9548,14,3224,14,3224,407xe" filled="true" fillcolor="#e0ffff" stroked="false">
                <v:path arrowok="t"/>
                <v:fill type="solid"/>
              </v:shape>
            </v:group>
            <v:group style="position:absolute;left:10;top:10;width:3181;height:2" coordorigin="10,10" coordsize="3181,2">
              <v:shape style="position:absolute;left:10;top:10;width:3181;height:2" coordorigin="10,10" coordsize="3181,0" path="m10,10l3190,10e" filled="false" stroked="true" strokeweight=".48pt" strokecolor="#000000">
                <v:path arrowok="t"/>
              </v:shape>
            </v:group>
            <v:group style="position:absolute;left:3200;top:10;width:6372;height:2" coordorigin="3200,10" coordsize="6372,2">
              <v:shape style="position:absolute;left:3200;top:10;width:6372;height:2" coordorigin="3200,10" coordsize="6372,0" path="m3200,10l9571,10e" filled="false" stroked="true" strokeweight=".48pt" strokecolor="#000000">
                <v:path arrowok="t"/>
              </v:shape>
            </v:group>
            <v:group style="position:absolute;left:21;top:416;width:2;height:393" coordorigin="21,416" coordsize="2,393">
              <v:shape style="position:absolute;left:21;top:416;width:2;height:393" coordorigin="21,416" coordsize="0,393" path="m21,416l21,809e" filled="false" stroked="true" strokeweight="1.140pt" strokecolor="#d2d2d2">
                <v:path arrowok="t"/>
              </v:shape>
            </v:group>
            <v:group style="position:absolute;left:3179;top:416;width:2;height:393" coordorigin="3179,416" coordsize="2,393">
              <v:shape style="position:absolute;left:3179;top:416;width:2;height:393" coordorigin="3179,416" coordsize="0,393" path="m3179,416l3179,809e" filled="false" stroked="true" strokeweight="1.140pt" strokecolor="#d2d2d2">
                <v:path arrowok="t"/>
              </v:shape>
            </v:group>
            <v:group style="position:absolute;left:32;top:416;width:3135;height:393" coordorigin="32,416" coordsize="3135,393">
              <v:shape style="position:absolute;left:32;top:416;width:3135;height:393" coordorigin="32,416" coordsize="3135,393" path="m32,809l3167,809,3167,416,32,416,32,809xe" filled="true" fillcolor="#d2d2d2" stroked="false">
                <v:path arrowok="t"/>
                <v:fill type="solid"/>
              </v:shape>
            </v:group>
            <v:group style="position:absolute;left:3212;top:416;width:2;height:393" coordorigin="3212,416" coordsize="2,393">
              <v:shape style="position:absolute;left:3212;top:416;width:2;height:393" coordorigin="3212,416" coordsize="0,393" path="m3212,416l3212,809e" filled="false" stroked="true" strokeweight="1.2pt" strokecolor="#d2d2d2">
                <v:path arrowok="t"/>
              </v:shape>
            </v:group>
            <v:group style="position:absolute;left:6369;top:416;width:2;height:393" coordorigin="6369,416" coordsize="2,393">
              <v:shape style="position:absolute;left:6369;top:416;width:2;height:393" coordorigin="6369,416" coordsize="0,393" path="m6369,416l6369,809e" filled="false" stroked="true" strokeweight="1.140pt" strokecolor="#d2d2d2">
                <v:path arrowok="t"/>
              </v:shape>
            </v:group>
            <v:group style="position:absolute;left:3224;top:416;width:3134;height:393" coordorigin="3224,416" coordsize="3134,393">
              <v:shape style="position:absolute;left:3224;top:416;width:3134;height:393" coordorigin="3224,416" coordsize="3134,393" path="m3224,809l6357,809,6357,416,3224,416,3224,809xe" filled="true" fillcolor="#d2d2d2" stroked="false">
                <v:path arrowok="t"/>
                <v:fill type="solid"/>
              </v:shape>
            </v:group>
            <v:group style="position:absolute;left:6402;top:416;width:2;height:393" coordorigin="6402,416" coordsize="2,393">
              <v:shape style="position:absolute;left:6402;top:416;width:2;height:393" coordorigin="6402,416" coordsize="0,393" path="m6402,416l6402,809e" filled="false" stroked="true" strokeweight="1.140pt" strokecolor="#d2d2d2">
                <v:path arrowok="t"/>
              </v:shape>
            </v:group>
            <v:group style="position:absolute;left:9560;top:416;width:2;height:393" coordorigin="9560,416" coordsize="2,393">
              <v:shape style="position:absolute;left:9560;top:416;width:2;height:393" coordorigin="9560,416" coordsize="0,393" path="m9560,416l9560,809e" filled="false" stroked="true" strokeweight="1.140pt" strokecolor="#d2d2d2">
                <v:path arrowok="t"/>
              </v:shape>
            </v:group>
            <v:group style="position:absolute;left:6414;top:416;width:3135;height:393" coordorigin="6414,416" coordsize="3135,393">
              <v:shape style="position:absolute;left:6414;top:416;width:3135;height:393" coordorigin="6414,416" coordsize="3135,393" path="m6414,809l9548,809,9548,416,6414,416,6414,809xe" filled="true" fillcolor="#d2d2d2" stroked="false">
                <v:path arrowok="t"/>
                <v:fill type="solid"/>
              </v:shape>
            </v:group>
            <v:group style="position:absolute;left:10;top:412;width:3181;height:2" coordorigin="10,412" coordsize="3181,2">
              <v:shape style="position:absolute;left:10;top:412;width:3181;height:2" coordorigin="10,412" coordsize="3181,0" path="m10,412l3190,412e" filled="false" stroked="true" strokeweight=".48pt" strokecolor="#000000">
                <v:path arrowok="t"/>
              </v:shape>
            </v:group>
            <v:group style="position:absolute;left:3200;top:412;width:3182;height:2" coordorigin="3200,412" coordsize="3182,2">
              <v:shape style="position:absolute;left:3200;top:412;width:3182;height:2" coordorigin="3200,412" coordsize="3182,0" path="m3200,412l6381,412e" filled="false" stroked="true" strokeweight=".48pt" strokecolor="#000000">
                <v:path arrowok="t"/>
              </v:shape>
            </v:group>
            <v:group style="position:absolute;left:6391;top:412;width:3181;height:2" coordorigin="6391,412" coordsize="3181,2">
              <v:shape style="position:absolute;left:6391;top:412;width:3181;height:2" coordorigin="6391,412" coordsize="3181,0" path="m6391,412l9571,412e" filled="false" stroked="true" strokeweight=".48pt" strokecolor="#000000">
                <v:path arrowok="t"/>
              </v:shape>
            </v:group>
            <v:group style="position:absolute;left:5;top:5;width:2;height:814" coordorigin="5,5" coordsize="2,814">
              <v:shape style="position:absolute;left:5;top:5;width:2;height:814" coordorigin="5,5" coordsize="0,814" path="m5,5l5,818e" filled="false" stroked="true" strokeweight=".48pt" strokecolor="#000000">
                <v:path arrowok="t"/>
              </v:shape>
            </v:group>
            <v:group style="position:absolute;left:10;top:814;width:3181;height:2" coordorigin="10,814" coordsize="3181,2">
              <v:shape style="position:absolute;left:10;top:814;width:3181;height:2" coordorigin="10,814" coordsize="3181,0" path="m10,814l3190,814e" filled="false" stroked="true" strokeweight=".48pt" strokecolor="#000000">
                <v:path arrowok="t"/>
              </v:shape>
            </v:group>
            <v:group style="position:absolute;left:3195;top:5;width:2;height:814" coordorigin="3195,5" coordsize="2,814">
              <v:shape style="position:absolute;left:3195;top:5;width:2;height:814" coordorigin="3195,5" coordsize="0,814" path="m3195,5l3195,818e" filled="false" stroked="true" strokeweight=".48001pt" strokecolor="#000000">
                <v:path arrowok="t"/>
              </v:shape>
            </v:group>
            <v:group style="position:absolute;left:3200;top:814;width:3182;height:2" coordorigin="3200,814" coordsize="3182,2">
              <v:shape style="position:absolute;left:3200;top:814;width:3182;height:2" coordorigin="3200,814" coordsize="3182,0" path="m3200,814l6381,814e" filled="false" stroked="true" strokeweight=".48pt" strokecolor="#000000">
                <v:path arrowok="t"/>
              </v:shape>
            </v:group>
            <v:group style="position:absolute;left:6386;top:407;width:2;height:412" coordorigin="6386,407" coordsize="2,412">
              <v:shape style="position:absolute;left:6386;top:407;width:2;height:412" coordorigin="6386,407" coordsize="0,412" path="m6386,407l6386,818e" filled="false" stroked="true" strokeweight=".48001pt" strokecolor="#000000">
                <v:path arrowok="t"/>
              </v:shape>
            </v:group>
            <v:group style="position:absolute;left:6391;top:814;width:3181;height:2" coordorigin="6391,814" coordsize="3181,2">
              <v:shape style="position:absolute;left:6391;top:814;width:3181;height:2" coordorigin="6391,814" coordsize="3181,0" path="m6391,814l9571,814e" filled="false" stroked="true" strokeweight=".48pt" strokecolor="#000000">
                <v:path arrowok="t"/>
              </v:shape>
            </v:group>
            <v:group style="position:absolute;left:9576;top:5;width:2;height:814" coordorigin="9576,5" coordsize="2,814">
              <v:shape style="position:absolute;left:9576;top:5;width:2;height:814" coordorigin="9576,5" coordsize="0,814" path="m9576,5l9576,818e" filled="false" stroked="true" strokeweight=".48004pt" strokecolor="#000000">
                <v:path arrowok="t"/>
              </v:shape>
              <v:shape style="position:absolute;left:3183;top:412;width:3202;height:402" type="#_x0000_t202" filled="false" stroked="false">
                <v:textbox inset="0,0,0,0">
                  <w:txbxContent>
                    <w:p>
                      <w:pPr>
                        <w:spacing w:before="56"/>
                        <w:ind w:left="13"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5;top:412;width:3180;height:402" type="#_x0000_t202" filled="false" stroked="false">
                <v:textbox inset="0,0,0,0">
                  <w:txbxContent>
                    <w:p>
                      <w:pPr>
                        <w:spacing w:before="56"/>
                        <w:ind w:left="12"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5"/>
          <w:sz w:val="20"/>
          <w:szCs w:val="20"/>
        </w:rPr>
      </w:r>
    </w:p>
    <w:p>
      <w:pPr>
        <w:pStyle w:val="BodyText"/>
        <w:spacing w:line="357" w:lineRule="auto" w:before="46"/>
        <w:ind w:right="7512"/>
        <w:jc w:val="left"/>
      </w:pPr>
      <w:r>
        <w:rPr/>
        <w:t>企业合并中承担的被合并方的或有负债： 无。</w:t>
      </w:r>
    </w:p>
    <w:p>
      <w:pPr>
        <w:pStyle w:val="BodyText"/>
        <w:spacing w:line="357" w:lineRule="auto" w:before="29"/>
        <w:ind w:right="95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反向购买" w:id="401"/>
      <w:bookmarkEnd w:id="401"/>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jc w:val="left"/>
      </w:pPr>
      <w:r>
        <w:rPr>
          <w:spacing w:val="-2"/>
        </w:rPr>
        <w:t>交易基本信息、交易构成反向购买的依据、上市公司保留的资产、负债是否构成业务及其依据、合并成本的确定、按照权益</w:t>
      </w:r>
      <w:r>
        <w:rPr>
          <w:spacing w:val="-66"/>
        </w:rPr>
        <w:t> </w:t>
      </w:r>
      <w:r>
        <w:rPr>
          <w:spacing w:val="-66"/>
        </w:rPr>
      </w:r>
      <w:r>
        <w:rPr/>
        <w:t>性交易处理时调整权益的金额及其计算：</w:t>
      </w:r>
    </w:p>
    <w:p>
      <w:pPr>
        <w:pStyle w:val="BodyText"/>
        <w:spacing w:line="240" w:lineRule="auto" w:before="55"/>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4、处置子公司" w:id="402"/>
      <w:bookmarkEnd w:id="402"/>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是否存在单次处置对子公司投资即丧失控制权的情形</w:t>
      </w:r>
    </w:p>
    <w:p>
      <w:pPr>
        <w:pStyle w:val="BodyText"/>
        <w:spacing w:line="340" w:lineRule="auto" w:before="116"/>
        <w:ind w:right="499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是否存在通过多次交易分步处置对子公司投资且在本期丧失控制权的情形</w:t>
      </w:r>
    </w:p>
    <w:p>
      <w:pPr>
        <w:pStyle w:val="BodyText"/>
        <w:spacing w:line="240" w:lineRule="auto" w:before="40"/>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5、其他原因的合并范围变动" w:id="403"/>
      <w:bookmarkEnd w:id="403"/>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left="514" w:right="3912" w:hanging="360"/>
        <w:jc w:val="left"/>
      </w:pPr>
      <w:r>
        <w:rPr/>
        <w:t>说明其他原因导致的合并范围变动（如，新设子公司、清算子公司等）及其相关情况： 因</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月设立子公司武汉市奥拓电子科技有限公司相应增加合并范围。</w:t>
      </w:r>
    </w:p>
    <w:p>
      <w:pPr>
        <w:spacing w:line="240" w:lineRule="auto" w:before="5"/>
        <w:rPr>
          <w:rFonts w:ascii="宋体" w:hAnsi="宋体" w:cs="宋体" w:eastAsia="宋体" w:hint="default"/>
          <w:sz w:val="18"/>
          <w:szCs w:val="18"/>
        </w:rPr>
      </w:pPr>
    </w:p>
    <w:p>
      <w:pPr>
        <w:pStyle w:val="Heading4"/>
        <w:spacing w:line="240" w:lineRule="auto"/>
        <w:ind w:right="0"/>
        <w:jc w:val="left"/>
        <w:rPr>
          <w:b w:val="0"/>
          <w:bCs w:val="0"/>
        </w:rPr>
      </w:pPr>
      <w:bookmarkStart w:name="6、其他" w:id="404"/>
      <w:bookmarkEnd w:id="404"/>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九、在其他主体中的权益" w:id="405"/>
      <w:bookmarkEnd w:id="405"/>
      <w:r>
        <w:rPr>
          <w:b w:val="0"/>
          <w:bCs w:val="0"/>
        </w:rPr>
      </w:r>
      <w:r>
        <w:rPr/>
        <w:t>九、在其他主体中的权益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在子公司中的权益" w:id="406"/>
      <w:bookmarkEnd w:id="406"/>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企业集团的构成" w:id="407"/>
      <w:bookmarkEnd w:id="407"/>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深圳市奥拓软件 技术有限公司</w:t>
            </w:r>
          </w:p>
          <w:p>
            <w:pPr>
              <w:pStyle w:val="TableParagraph"/>
              <w:spacing w:line="240" w:lineRule="auto" w:before="18"/>
              <w:ind w:left="22" w:right="0"/>
              <w:jc w:val="left"/>
              <w:rPr>
                <w:rFonts w:ascii="宋体" w:hAnsi="宋体" w:cs="宋体" w:eastAsia="宋体" w:hint="default"/>
                <w:sz w:val="18"/>
                <w:szCs w:val="18"/>
              </w:rPr>
            </w:pPr>
            <w:r>
              <w:rPr>
                <w:rFonts w:ascii="宋体" w:hAnsi="宋体" w:cs="宋体" w:eastAsia="宋体" w:hint="default"/>
                <w:sz w:val="18"/>
                <w:szCs w:val="18"/>
              </w:rPr>
              <w:t>（奥拓软件）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67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深圳市奥拓光电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15.00%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r>
        <w:rPr/>
        <w:pict>
          <v:shape style="position:absolute;margin-left:92.343002pt;margin-top:193.219986pt;width:101.1pt;height:15.6pt;mso-position-horizontal-relative:page;mso-position-vertical-relative:page;z-index:-1173328" type="#_x0000_t202" filled="false" stroked="false">
            <v:textbox inset="0,0,0,0">
              <w:txbxContent>
                <w:p>
                  <w:pPr>
                    <w:pStyle w:val="BodyText"/>
                    <w:spacing w:line="240" w:lineRule="auto" w:before="51"/>
                    <w:ind w:left="0" w:right="0"/>
                    <w:jc w:val="left"/>
                  </w:pPr>
                  <w:r>
                    <w:rPr/>
                    <w:t>（香港）</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36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（奥拓光电）</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南京奥拓电子科 技有限公司（南 京奥拓）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惠州市奥拓电子 科技有限公司</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（惠州奥拓）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惠州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惠州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奥拓电子 有限公司（香港 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宋体" w:hAnsi="宋体" w:cs="宋体" w:eastAsia="宋体" w:hint="default"/>
                <w:sz w:val="20"/>
                <w:szCs w:val="20"/>
              </w:rPr>
            </w:pPr>
            <w:r>
              <w:rPr>
                <w:rFonts w:ascii="宋体" w:hAnsi="宋体" w:cs="宋体" w:eastAsia="宋体" w:hint="default"/>
                <w:position w:val="-5"/>
                <w:sz w:val="20"/>
                <w:szCs w:val="20"/>
              </w:rPr>
              <w:pict>
                <v:group style="width:67.9pt;height:15.6pt;mso-position-horizontal-relative:char;mso-position-vertical-relative:line" coordorigin="0,0" coordsize="1358,312">
                  <v:group style="position:absolute;left:0;top:0;width:1358;height:312" coordorigin="0,0" coordsize="1358,312">
                    <v:shape style="position:absolute;left:0;top:0;width:1358;height:312" coordorigin="0,0" coordsize="1358,312" path="m0,312l1357,312,1357,0,0,0,0,312xe" filled="true" fillcolor="#ffffff" stroked="false">
                      <v:path arrowok="t"/>
                      <v:fill type="solid"/>
                    </v:shape>
                  </v:group>
                </v:group>
              </w:pict>
            </w:r>
            <w:r>
              <w:rPr>
                <w:rFonts w:ascii="宋体" w:hAnsi="宋体" w:cs="宋体" w:eastAsia="宋体"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7"/>
                <w:szCs w:val="17"/>
              </w:rPr>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深圳前海奥拓投 资有限公司（前 海奥拓）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北京市奥拓电子 科技有限公司</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（北京奥拓）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深圳市奥拓体育 文化发展有限公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奥拓体育）</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51.00%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27.00%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both"/>
              <w:rPr>
                <w:rFonts w:ascii="Times New Roman" w:hAnsi="Times New Roman" w:cs="Times New Roman" w:eastAsia="Times New Roman" w:hint="default"/>
                <w:sz w:val="18"/>
                <w:szCs w:val="18"/>
              </w:rPr>
            </w:pPr>
            <w:r>
              <w:rPr>
                <w:rFonts w:ascii="宋体" w:hAnsi="宋体" w:cs="宋体" w:eastAsia="宋体" w:hint="default"/>
                <w:sz w:val="18"/>
                <w:szCs w:val="18"/>
              </w:rPr>
              <w:t>深圳市千百辉照 明工程有限公司 </w:t>
            </w:r>
            <w:r>
              <w:rPr>
                <w:rFonts w:ascii="Times New Roman" w:hAnsi="Times New Roman" w:cs="Times New Roman" w:eastAsia="Times New Roman" w:hint="default"/>
                <w:sz w:val="18"/>
                <w:szCs w:val="18"/>
              </w:rPr>
              <w:t>(</w:t>
            </w:r>
            <w:r>
              <w:rPr>
                <w:rFonts w:ascii="宋体" w:hAnsi="宋体" w:cs="宋体" w:eastAsia="宋体" w:hint="default"/>
                <w:sz w:val="18"/>
                <w:szCs w:val="18"/>
              </w:rPr>
              <w:t>千百辉</w:t>
            </w:r>
            <w:r>
              <w:rPr>
                <w:rFonts w:ascii="Times New Roman" w:hAnsi="Times New Roman" w:cs="Times New Roman" w:eastAsia="Times New Roman"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深圳市奥拓立翔 光电科技有限公 司（奥拓立翔）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武汉市奥拓电子 科技有限公司</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（武汉奥拓）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出资设立</w:t>
            </w:r>
          </w:p>
        </w:tc>
      </w:tr>
    </w:tbl>
    <w:p>
      <w:pPr>
        <w:pStyle w:val="BodyText"/>
        <w:spacing w:line="357" w:lineRule="auto" w:before="51"/>
        <w:ind w:right="6972"/>
        <w:jc w:val="left"/>
      </w:pPr>
      <w:r>
        <w:rPr/>
        <w:t>在子公司的持股比例不同于表决权比例的说明： 无。</w:t>
      </w:r>
    </w:p>
    <w:p>
      <w:pPr>
        <w:pStyle w:val="BodyText"/>
        <w:spacing w:line="357" w:lineRule="auto" w:before="29"/>
        <w:ind w:right="2832"/>
        <w:jc w:val="left"/>
      </w:pPr>
      <w:r>
        <w:rPr/>
        <w:t>持有半数或以下表决权但仍控制被投资单位、以及持有半数以上表决权但不控制被投资单位的依据： 无。</w:t>
      </w:r>
    </w:p>
    <w:p>
      <w:pPr>
        <w:pStyle w:val="BodyText"/>
        <w:spacing w:line="357" w:lineRule="auto" w:before="29"/>
        <w:ind w:right="6432"/>
        <w:jc w:val="left"/>
      </w:pPr>
      <w:r>
        <w:rPr/>
        <w:t>对于纳入合并范围的重要的结构化主体，控制的依据： 无。</w:t>
      </w:r>
    </w:p>
    <w:p>
      <w:pPr>
        <w:pStyle w:val="BodyText"/>
        <w:spacing w:line="357" w:lineRule="auto" w:before="29"/>
        <w:ind w:right="7692"/>
        <w:jc w:val="left"/>
      </w:pPr>
      <w:r>
        <w:rPr/>
        <w:t>确定公司是代理人还是委托人的依据： 无。</w:t>
      </w:r>
    </w:p>
    <w:p>
      <w:pPr>
        <w:pStyle w:val="BodyText"/>
        <w:spacing w:line="357" w:lineRule="auto" w:before="29"/>
        <w:ind w:right="9852"/>
        <w:jc w:val="left"/>
      </w:pPr>
      <w:r>
        <w:rPr/>
        <w:t>其他说明： 无。</w:t>
      </w:r>
    </w:p>
    <w:p>
      <w:pPr>
        <w:spacing w:after="0" w:line="357"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2）重要的非全资子公司" w:id="408"/>
      <w:bookmarkEnd w:id="408"/>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4"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7"/>
              <w:ind w:left="771" w:right="50"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7"/>
              <w:ind w:left="591" w:right="51"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4,387,412.34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18,648,637.62</w:t>
            </w:r>
          </w:p>
        </w:tc>
      </w:tr>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奥拓体育发展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-319,953.30</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143,875.36</w:t>
            </w:r>
          </w:p>
        </w:tc>
      </w:tr>
    </w:tbl>
    <w:p>
      <w:pPr>
        <w:pStyle w:val="BodyText"/>
        <w:spacing w:line="357" w:lineRule="auto" w:before="51"/>
        <w:ind w:right="6432"/>
        <w:jc w:val="left"/>
      </w:pPr>
      <w:r>
        <w:rPr/>
        <w:t>子公司少数股东的持股比例不同于表决权比例的说明： 无。</w:t>
      </w:r>
    </w:p>
    <w:p>
      <w:pPr>
        <w:pStyle w:val="BodyText"/>
        <w:spacing w:line="357" w:lineRule="auto" w:before="29"/>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重要非全资子公司的主要财务信息" w:id="409"/>
      <w:bookmarkEnd w:id="409"/>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0"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3" w:right="91"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71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奥拓立 翔</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59,488,7</w:t>
            </w:r>
          </w:p>
          <w:p>
            <w:pPr>
              <w:pStyle w:val="TableParagraph"/>
              <w:spacing w:line="240" w:lineRule="auto" w:before="106"/>
              <w:ind w:left="299" w:right="0"/>
              <w:jc w:val="left"/>
              <w:rPr>
                <w:rFonts w:ascii="Times New Roman" w:hAnsi="Times New Roman" w:cs="Times New Roman" w:eastAsia="Times New Roman" w:hint="default"/>
                <w:sz w:val="18"/>
                <w:szCs w:val="18"/>
              </w:rPr>
            </w:pPr>
            <w:r>
              <w:rPr>
                <w:rFonts w:ascii="Times New Roman"/>
                <w:sz w:val="18"/>
              </w:rPr>
              <w:t>87.06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12,827,7</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52.65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72,316,5</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39.71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37,136,9</w:t>
            </w:r>
          </w:p>
          <w:p>
            <w:pPr>
              <w:pStyle w:val="TableParagraph"/>
              <w:spacing w:line="240" w:lineRule="auto" w:before="106"/>
              <w:ind w:left="299" w:right="0"/>
              <w:jc w:val="left"/>
              <w:rPr>
                <w:rFonts w:ascii="Times New Roman" w:hAnsi="Times New Roman" w:cs="Times New Roman" w:eastAsia="Times New Roman" w:hint="default"/>
                <w:sz w:val="18"/>
                <w:szCs w:val="18"/>
              </w:rPr>
            </w:pPr>
            <w:r>
              <w:rPr>
                <w:rFonts w:ascii="Times New Roman"/>
                <w:sz w:val="18"/>
              </w:rPr>
              <w:t>18.78</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left"/>
              <w:rPr>
                <w:rFonts w:ascii="Times New Roman" w:hAnsi="Times New Roman" w:cs="Times New Roman" w:eastAsia="Times New Roman" w:hint="default"/>
                <w:sz w:val="18"/>
                <w:szCs w:val="18"/>
              </w:rPr>
            </w:pPr>
            <w:r>
              <w:rPr>
                <w:rFonts w:ascii="Times New Roman"/>
                <w:sz w:val="18"/>
              </w:rPr>
              <w:t>1,106,32</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9.94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38,243,2</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48.72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12,115,8</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48.81</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14,542,7</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87.80</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26,658,6</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36.61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3,274,12</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5.38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279,751.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3,553,87</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6.46</w:t>
            </w:r>
          </w:p>
        </w:tc>
      </w:tr>
      <w:tr>
        <w:trPr>
          <w:trHeight w:val="71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奥拓体 育发展</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3,845,78</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0.13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2,720,65</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5.90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6,566,43</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6.03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4,022,00</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2.61</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7" w:right="0"/>
              <w:jc w:val="left"/>
              <w:rPr>
                <w:rFonts w:ascii="Times New Roman" w:hAnsi="Times New Roman" w:cs="Times New Roman" w:eastAsia="Times New Roman" w:hint="default"/>
                <w:sz w:val="18"/>
                <w:szCs w:val="18"/>
              </w:rPr>
            </w:pPr>
            <w:r>
              <w:rPr>
                <w:rFonts w:ascii="Times New Roman"/>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4,022,00</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2.61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1,528,77</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2.33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1,766,99</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8.23</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3,295,77</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0.56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1,592,00</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3.94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9" w:right="0"/>
              <w:jc w:val="left"/>
              <w:rPr>
                <w:rFonts w:ascii="Times New Roman" w:hAnsi="Times New Roman" w:cs="Times New Roman" w:eastAsia="Times New Roman" w:hint="default"/>
                <w:sz w:val="18"/>
                <w:szCs w:val="18"/>
              </w:rPr>
            </w:pPr>
            <w:r>
              <w:rPr>
                <w:rFonts w:ascii="Times New Roman"/>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1,592,00</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3.94</w:t>
            </w:r>
          </w:p>
        </w:tc>
      </w:tr>
    </w:tbl>
    <w:p>
      <w:pPr>
        <w:pStyle w:val="BodyText"/>
        <w:spacing w:line="240" w:lineRule="auto" w:before="51"/>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7" w:right="76"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7"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71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82,050,361.6</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10,968,530.8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10,968,530.8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 w:right="0"/>
              <w:jc w:val="center"/>
              <w:rPr>
                <w:rFonts w:ascii="Times New Roman" w:hAnsi="Times New Roman" w:cs="Times New Roman" w:eastAsia="Times New Roman" w:hint="default"/>
                <w:sz w:val="18"/>
                <w:szCs w:val="18"/>
              </w:rPr>
            </w:pPr>
            <w:r>
              <w:rPr>
                <w:rFonts w:ascii="Times New Roman"/>
                <w:sz w:val="18"/>
              </w:rPr>
              <w:t>4,485,267.83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27,975,108.0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-1,927,441.88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-1,927,441.88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-9,292,626.39</w:t>
            </w:r>
          </w:p>
        </w:tc>
      </w:tr>
      <w:tr>
        <w:trPr>
          <w:trHeight w:val="71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6"/>
              <w:jc w:val="left"/>
              <w:rPr>
                <w:rFonts w:ascii="宋体" w:hAnsi="宋体" w:cs="宋体" w:eastAsia="宋体" w:hint="default"/>
                <w:sz w:val="18"/>
                <w:szCs w:val="18"/>
              </w:rPr>
            </w:pPr>
            <w:r>
              <w:rPr>
                <w:rFonts w:ascii="宋体" w:hAnsi="宋体" w:cs="宋体" w:eastAsia="宋体" w:hint="default"/>
                <w:sz w:val="18"/>
                <w:szCs w:val="18"/>
              </w:rPr>
              <w:t>奥拓体育发 展</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5,474,135.21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-1,454,333.20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-1,454,333.20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 w:right="0"/>
              <w:jc w:val="center"/>
              <w:rPr>
                <w:rFonts w:ascii="Times New Roman" w:hAnsi="Times New Roman" w:cs="Times New Roman" w:eastAsia="Times New Roman" w:hint="default"/>
                <w:sz w:val="18"/>
                <w:szCs w:val="18"/>
              </w:rPr>
            </w:pPr>
            <w:r>
              <w:rPr>
                <w:rFonts w:ascii="Times New Roman"/>
                <w:sz w:val="18"/>
              </w:rPr>
              <w:t>1,756,752.99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3,051,638.26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5" w:right="0"/>
              <w:jc w:val="center"/>
              <w:rPr>
                <w:rFonts w:ascii="Times New Roman" w:hAnsi="Times New Roman" w:cs="Times New Roman" w:eastAsia="Times New Roman" w:hint="default"/>
                <w:sz w:val="18"/>
                <w:szCs w:val="18"/>
              </w:rPr>
            </w:pPr>
            <w:r>
              <w:rPr>
                <w:rFonts w:ascii="Times New Roman"/>
                <w:sz w:val="18"/>
              </w:rPr>
              <w:t>-596,233.38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-596,233.38</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75,067.21</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4）使用企业集团资产和清偿企业集团债务的重大限制" w:id="410"/>
      <w:bookmarkEnd w:id="410"/>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5）向纳入合并财务报表范围的结构化主体提供的财务支持或其他支持" w:id="411"/>
      <w:bookmarkEnd w:id="411"/>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57" w:lineRule="auto" w:before="44"/>
        <w:ind w:right="985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在子公司的所有者权益份额发生变化且仍控制子公司的交易" w:id="412"/>
      <w:bookmarkEnd w:id="412"/>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在子公司所有者权益份额发生变化的情况说明" w:id="413"/>
      <w:bookmarkEnd w:id="413"/>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2）交易对于少数股东权益及归属于母公司所有者权益的影响" w:id="414"/>
      <w:bookmarkEnd w:id="414"/>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8"/>
        <w:rPr>
          <w:rFonts w:ascii="宋体" w:hAnsi="宋体" w:cs="宋体" w:eastAsia="宋体" w:hint="default"/>
          <w:sz w:val="7"/>
          <w:szCs w:val="7"/>
        </w:rPr>
      </w:pPr>
    </w:p>
    <w:p>
      <w:pPr>
        <w:spacing w:line="42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4773;top:14;width:2;height:393" coordorigin="4773,14" coordsize="2,393">
              <v:shape style="position:absolute;left:4773;top:14;width:2;height:393" coordorigin="4773,14" coordsize="0,393" path="m4773,14l4773,407e" filled="false" stroked="true" strokeweight="1.140pt" strokecolor="#d2d2d2">
                <v:path arrowok="t"/>
              </v:shape>
            </v:group>
            <v:group style="position:absolute;left:32;top:14;width:4729;height:393" coordorigin="32,14" coordsize="4729,393">
              <v:shape style="position:absolute;left:32;top:14;width:4729;height:393" coordorigin="32,14" coordsize="4729,393" path="m32,407l4761,407,4761,14,32,14,32,407xe" filled="true" fillcolor="#d2d2d2" stroked="false">
                <v:path arrowok="t"/>
                <v:fill type="solid"/>
              </v:shape>
            </v:group>
            <v:group style="position:absolute;left:4806;top:14;width:2;height:393" coordorigin="4806,14" coordsize="2,393">
              <v:shape style="position:absolute;left:4806;top:14;width:2;height:393" coordorigin="4806,14" coordsize="0,393" path="m4806,14l4806,407e" filled="false" stroked="true" strokeweight="1.140pt" strokecolor="#e0ffff">
                <v:path arrowok="t"/>
              </v:shape>
            </v:group>
            <v:group style="position:absolute;left:9557;top:14;width:2;height:393" coordorigin="9557,14" coordsize="2,393">
              <v:shape style="position:absolute;left:9557;top:14;width:2;height:393" coordorigin="9557,14" coordsize="0,393" path="m9557,14l9557,407e" filled="false" stroked="true" strokeweight="1.140pt" strokecolor="#e0ffff">
                <v:path arrowok="t"/>
              </v:shape>
            </v:group>
            <v:group style="position:absolute;left:4818;top:14;width:4729;height:393" coordorigin="4818,14" coordsize="4729,393">
              <v:shape style="position:absolute;left:4818;top:14;width:4729;height:393" coordorigin="4818,14" coordsize="4729,393" path="m4818,407l9546,407,9546,14,4818,14,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001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001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001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799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001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004pt" strokecolor="#000000">
                <v:path arrowok="t"/>
              </v:shape>
            </v:group>
          </v:group>
        </w:pict>
      </w:r>
      <w:r>
        <w:rPr>
          <w:rFonts w:ascii="宋体" w:hAnsi="宋体" w:cs="宋体" w:eastAsia="宋体" w:hint="default"/>
          <w:position w:val="-7"/>
          <w:sz w:val="20"/>
          <w:szCs w:val="20"/>
        </w:rPr>
      </w:r>
    </w:p>
    <w:p>
      <w:pPr>
        <w:pStyle w:val="BodyText"/>
        <w:spacing w:line="357" w:lineRule="auto" w:before="46"/>
        <w:ind w:right="100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在合营安排或联营企业中的权益" w:id="415"/>
      <w:bookmarkEnd w:id="415"/>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重要的合营企业或联营企业" w:id="416"/>
      <w:bookmarkEnd w:id="416"/>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20" w:right="51" w:hanging="270"/>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bl>
    <w:p>
      <w:pPr>
        <w:pStyle w:val="BodyText"/>
        <w:spacing w:line="240" w:lineRule="auto" w:before="51"/>
        <w:ind w:right="0"/>
        <w:jc w:val="left"/>
      </w:pPr>
      <w:r>
        <w:rPr/>
        <w:t>在合营企业或联营企业的持股比例不同于表决权比例的说明：</w:t>
      </w:r>
    </w:p>
    <w:p>
      <w:pPr>
        <w:pStyle w:val="BodyText"/>
        <w:spacing w:line="240" w:lineRule="auto" w:before="117"/>
        <w:ind w:right="0"/>
        <w:jc w:val="left"/>
      </w:pPr>
      <w:r>
        <w:rPr/>
        <w:t>持有</w:t>
      </w:r>
      <w:r>
        <w:rPr>
          <w:spacing w:val="-46"/>
        </w:rPr>
        <w:t> </w:t>
      </w:r>
      <w:r>
        <w:rPr>
          <w:rFonts w:ascii="Times New Roman" w:hAnsi="Times New Roman" w:cs="Times New Roman" w:eastAsia="Times New Roman" w:hint="default"/>
        </w:rPr>
        <w:t>20%</w:t>
      </w:r>
      <w:r>
        <w:rPr/>
        <w:t>以下表决权但具有重大影响，或者持有</w:t>
      </w:r>
      <w:r>
        <w:rPr>
          <w:spacing w:val="-46"/>
        </w:rPr>
        <w:t> </w:t>
      </w:r>
      <w:r>
        <w:rPr>
          <w:rFonts w:ascii="Times New Roman" w:hAnsi="Times New Roman" w:cs="Times New Roman" w:eastAsia="Times New Roman" w:hint="default"/>
        </w:rPr>
        <w:t>20%</w:t>
      </w:r>
      <w:r>
        <w:rPr/>
        <w:t>或以上表决权但不具有重大影响的依据：</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2）重要合营企业的主要财务信息" w:id="417"/>
      <w:bookmarkEnd w:id="417"/>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79"/>
        <w:gridCol w:w="3191"/>
        <w:gridCol w:w="3179"/>
      </w:tblGrid>
      <w:tr>
        <w:trPr>
          <w:trHeight w:val="403"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13" w:space="0" w:color="D2D2D2"/>
              <w:bottom w:val="single" w:sz="4" w:space="0" w:color="000000"/>
              <w:right w:val="single" w:sz="4" w:space="0" w:color="000000"/>
            </w:tcBorders>
            <w:shd w:val="clear" w:color="auto" w:fill="E0FFFF"/>
          </w:tcPr>
          <w:p>
            <w:pPr/>
          </w:p>
        </w:tc>
        <w:tc>
          <w:tcPr>
            <w:tcW w:w="3179"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3）重要联营企业的主要财务信息" w:id="418"/>
      <w:bookmarkEnd w:id="418"/>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3"/>
        <w:gridCol w:w="3179"/>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67"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3" w:type="dxa"/>
            <w:tcBorders>
              <w:top w:val="single" w:sz="4" w:space="0" w:color="000000"/>
              <w:left w:val="single" w:sz="13" w:space="0" w:color="D2D2D2"/>
              <w:bottom w:val="single" w:sz="4" w:space="0" w:color="000000"/>
              <w:right w:val="single" w:sz="4" w:space="0" w:color="000000"/>
            </w:tcBorders>
            <w:shd w:val="clear" w:color="auto" w:fill="E0FFFF"/>
          </w:tcPr>
          <w:p>
            <w:pPr/>
          </w:p>
        </w:tc>
        <w:tc>
          <w:tcPr>
            <w:tcW w:w="3179"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pStyle w:val="BodyText"/>
        <w:spacing w:line="240" w:lineRule="auto" w:before="51"/>
        <w:ind w:right="0"/>
        <w:jc w:val="left"/>
      </w:pPr>
      <w:r>
        <w:rPr/>
        <w:t>其他说明</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4）不重要的合营企业和联营企业的汇总财务信息" w:id="419"/>
      <w:bookmarkEnd w:id="419"/>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75"/>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5）合营企业或联营企业向本公司转移资金的能力存在重大限制的说明" w:id="420"/>
      <w:bookmarkEnd w:id="420"/>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6）合营企业或联营企业发生的超额亏损" w:id="421"/>
      <w:bookmarkEnd w:id="421"/>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1"/>
        <w:gridCol w:w="2392"/>
        <w:gridCol w:w="2392"/>
        <w:gridCol w:w="2394"/>
      </w:tblGrid>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00" w:right="111" w:hanging="990"/>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50" w:right="21" w:hanging="628"/>
              <w:jc w:val="left"/>
              <w:rPr>
                <w:rFonts w:ascii="宋体" w:hAnsi="宋体" w:cs="宋体" w:eastAsia="宋体" w:hint="default"/>
                <w:sz w:val="18"/>
                <w:szCs w:val="18"/>
              </w:rPr>
            </w:pPr>
            <w:r>
              <w:rPr>
                <w:rFonts w:ascii="宋体" w:hAnsi="宋体" w:cs="宋体" w:eastAsia="宋体" w:hint="default"/>
                <w:sz w:val="18"/>
                <w:szCs w:val="18"/>
              </w:rPr>
              <w:t>本期未确认的损失（或本期分 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7）与合营企业投资相关的未确认承诺" w:id="422"/>
      <w:bookmarkEnd w:id="422"/>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8）与合营企业或联营企业投资相关的或有负债" w:id="423"/>
      <w:bookmarkEnd w:id="423"/>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4、重要的共同经营" w:id="424"/>
      <w:bookmarkEnd w:id="424"/>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8"/>
        <w:gridCol w:w="1594"/>
        <w:gridCol w:w="1595"/>
        <w:gridCol w:w="1594"/>
        <w:gridCol w:w="1594"/>
        <w:gridCol w:w="1594"/>
      </w:tblGrid>
      <w:tr>
        <w:trPr>
          <w:trHeight w:val="402" w:hRule="exact"/>
        </w:trPr>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2"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2" w:hRule="exact"/>
        </w:trPr>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pStyle w:val="BodyText"/>
        <w:spacing w:line="357" w:lineRule="auto" w:before="52"/>
        <w:ind w:right="5532"/>
        <w:jc w:val="left"/>
      </w:pPr>
      <w:r>
        <w:rPr/>
        <w:t>在共同经营中的持股比例或享有的份额不同于表决权比例的说明： 共同经营为单独主体的，分类为共同经营的依据：</w:t>
      </w:r>
    </w:p>
    <w:p>
      <w:pPr>
        <w:pStyle w:val="BodyText"/>
        <w:spacing w:line="240" w:lineRule="auto" w:before="29"/>
        <w:ind w:right="0"/>
        <w:jc w:val="left"/>
      </w:pPr>
      <w:r>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5、在未纳入合并财务报表范围的结构化主体中的权益" w:id="425"/>
      <w:bookmarkEnd w:id="425"/>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6612"/>
        <w:jc w:val="left"/>
      </w:pPr>
      <w:r>
        <w:rPr/>
        <w:t>未纳入合并财务报表范围的结构化主体的相关说明：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6、其他" w:id="426"/>
      <w:bookmarkEnd w:id="426"/>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十、与金融工具相关的风险" w:id="427"/>
      <w:bookmarkEnd w:id="427"/>
      <w:r>
        <w:rPr>
          <w:b w:val="0"/>
          <w:bCs w:val="0"/>
        </w:rPr>
      </w:r>
      <w:r>
        <w:rPr/>
        <w:t>十、与金融工具相关的风险</w:t>
      </w:r>
      <w:r>
        <w:rPr>
          <w:b w:val="0"/>
          <w:bCs w:val="0"/>
        </w:rPr>
      </w:r>
    </w:p>
    <w:p>
      <w:pPr>
        <w:spacing w:line="240" w:lineRule="auto" w:before="6"/>
        <w:rPr>
          <w:rFonts w:ascii="宋体" w:hAnsi="宋体" w:cs="宋体" w:eastAsia="宋体" w:hint="default"/>
          <w:b/>
          <w:bCs/>
          <w:sz w:val="26"/>
          <w:szCs w:val="26"/>
        </w:rPr>
      </w:pPr>
    </w:p>
    <w:p>
      <w:pPr>
        <w:pStyle w:val="BodyText"/>
        <w:spacing w:line="319" w:lineRule="auto"/>
        <w:ind w:right="1132" w:firstLine="360"/>
        <w:jc w:val="both"/>
      </w:pPr>
      <w:r>
        <w:rPr>
          <w:spacing w:val="-2"/>
        </w:rPr>
        <w:t>本公司的主要金融工具包括应收账款、应付账款等，各项金融工具的详细情况说明见本附注六相关项目。与这些金融工</w:t>
      </w:r>
      <w:r>
        <w:rPr/>
        <w:t> </w:t>
      </w:r>
      <w:r>
        <w:rPr>
          <w:spacing w:val="-2"/>
        </w:rPr>
        <w:t>具有关的风险，以及本公司为降低这些风险所采取的风险管理政策如下所述。本公司管理层对这些风险敞口进行管理和监控</w:t>
      </w:r>
      <w:r>
        <w:rPr>
          <w:spacing w:val="-64"/>
        </w:rPr>
        <w:t> </w:t>
      </w:r>
      <w:r>
        <w:rPr>
          <w:spacing w:val="-64"/>
        </w:rPr>
      </w:r>
      <w:r>
        <w:rPr/>
        <w:t>以确保将上述风险控制在限定的范围之内。</w:t>
      </w:r>
    </w:p>
    <w:p>
      <w:pPr>
        <w:pStyle w:val="BodyText"/>
        <w:spacing w:line="316" w:lineRule="auto" w:before="17"/>
        <w:ind w:right="1132" w:firstLine="360"/>
        <w:jc w:val="both"/>
      </w:pPr>
      <w:r>
        <w:rPr>
          <w:spacing w:val="-2"/>
        </w:rPr>
        <w:t>本公司采用敏感性分析技术分析风险变量的合理、可能变化对当期损益或股东权益可能产生的影响。由于任何风险变量</w:t>
      </w:r>
      <w:r>
        <w:rPr/>
        <w:t> </w:t>
      </w:r>
      <w:r>
        <w:rPr>
          <w:spacing w:val="-2"/>
        </w:rPr>
        <w:t>很少孤立地发生变化，而变量之间存在的相关性对某一风险变量的变化的最终影响金额将产生重大作用，因此下述内容是在</w:t>
      </w:r>
      <w:r>
        <w:rPr>
          <w:spacing w:val="-64"/>
        </w:rPr>
        <w:t> </w:t>
      </w:r>
      <w:r>
        <w:rPr>
          <w:spacing w:val="-64"/>
        </w:rPr>
      </w:r>
      <w:r>
        <w:rPr/>
        <w:t>假设每一变量的变化是在独立的情况下进行的。</w:t>
      </w:r>
    </w:p>
    <w:p>
      <w:pPr>
        <w:spacing w:line="240" w:lineRule="auto" w:before="4"/>
        <w:rPr>
          <w:rFonts w:ascii="宋体" w:hAnsi="宋体" w:cs="宋体" w:eastAsia="宋体" w:hint="default"/>
          <w:sz w:val="25"/>
          <w:szCs w:val="25"/>
        </w:rPr>
      </w:pPr>
    </w:p>
    <w:p>
      <w:pPr>
        <w:pStyle w:val="BodyText"/>
        <w:spacing w:line="316" w:lineRule="auto"/>
        <w:ind w:left="514" w:right="0"/>
        <w:jc w:val="left"/>
      </w:pPr>
      <w:r>
        <w:rPr/>
        <w:t>风险管理目标和政策： </w:t>
      </w:r>
      <w:r>
        <w:rPr>
          <w:spacing w:val="-2"/>
        </w:rPr>
        <w:t>本公司从事风险管理的目标是在风险和收益之间取得适当的平衡，将风险对本公司经营业绩的负面影响降低到最低水平，</w:t>
      </w:r>
    </w:p>
    <w:p>
      <w:pPr>
        <w:pStyle w:val="BodyText"/>
        <w:spacing w:line="316" w:lineRule="auto" w:before="19"/>
        <w:ind w:right="1032"/>
        <w:jc w:val="left"/>
      </w:pPr>
      <w:r>
        <w:rPr>
          <w:spacing w:val="-2"/>
        </w:rPr>
        <w:t>使股东及其其他权益投资者的利益最大化。基于该风险管理目标，本公司风险管理的基本策略是确定和分析本公司所面临的</w:t>
      </w:r>
      <w:r>
        <w:rPr>
          <w:spacing w:val="-64"/>
        </w:rPr>
        <w:t> </w:t>
      </w:r>
      <w:r>
        <w:rPr>
          <w:spacing w:val="-64"/>
        </w:rPr>
      </w:r>
      <w:r>
        <w:rPr/>
        <w:t>各种风险，建立适当的风险承受底线和进行风险管理，并及时可靠地对各种风险进行监督，将风险控制在限定的范围之内。</w:t>
      </w:r>
    </w:p>
    <w:p>
      <w:pPr>
        <w:pStyle w:val="BodyText"/>
        <w:spacing w:line="240" w:lineRule="auto" w:before="19"/>
        <w:ind w:left="514" w:right="0"/>
        <w:jc w:val="left"/>
      </w:pPr>
      <w:r>
        <w:rPr>
          <w:rFonts w:ascii="宋体" w:hAnsi="宋体" w:cs="宋体" w:eastAsia="宋体" w:hint="default"/>
        </w:rPr>
        <w:t>1</w:t>
      </w:r>
      <w:r>
        <w:rPr/>
        <w:t>、市场风险</w:t>
      </w:r>
    </w:p>
    <w:p>
      <w:pPr>
        <w:pStyle w:val="BodyText"/>
        <w:spacing w:line="316" w:lineRule="auto" w:before="76"/>
        <w:ind w:left="514" w:right="1118"/>
        <w:jc w:val="left"/>
      </w:pPr>
      <w:r>
        <w:rPr/>
        <w:t>（</w:t>
      </w:r>
      <w:r>
        <w:rPr>
          <w:rFonts w:ascii="宋体" w:hAnsi="宋体" w:cs="宋体" w:eastAsia="宋体" w:hint="default"/>
        </w:rPr>
        <w:t>1</w:t>
      </w:r>
      <w:r>
        <w:rPr/>
        <w:t>）外汇风险 </w:t>
      </w:r>
      <w:r>
        <w:rPr>
          <w:spacing w:val="-2"/>
        </w:rPr>
        <w:t>外汇风险指因汇率变动产生损失的风险。本公司承受外汇风险主要与美元有关，本公司的主要业务活动以人民币计价结</w:t>
      </w:r>
    </w:p>
    <w:p>
      <w:pPr>
        <w:pStyle w:val="BodyText"/>
        <w:spacing w:line="316" w:lineRule="auto" w:before="19"/>
        <w:ind w:right="0"/>
        <w:jc w:val="left"/>
      </w:pPr>
      <w:r>
        <w:rPr>
          <w:spacing w:val="-2"/>
        </w:rPr>
        <w:t>算。于</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日，除下表所述资产或负债为外币余额外，本公司的资产及负债均为人民币余额。该等外币余额的资产</w:t>
      </w:r>
      <w:r>
        <w:rPr>
          <w:spacing w:val="-58"/>
        </w:rPr>
        <w:t> </w:t>
      </w:r>
      <w:r>
        <w:rPr>
          <w:spacing w:val="-58"/>
        </w:rPr>
      </w:r>
      <w:r>
        <w:rPr/>
        <w:t>和负债产生的外汇风险可能对本公司的经营业绩产生影响。</w:t>
      </w:r>
    </w:p>
    <w:tbl>
      <w:tblPr>
        <w:tblW w:w="0" w:type="auto"/>
        <w:jc w:val="left"/>
        <w:tblInd w:w="146" w:type="dxa"/>
        <w:tblLayout w:type="fixed"/>
        <w:tblCellMar>
          <w:top w:w="0" w:type="dxa"/>
          <w:left w:w="0" w:type="dxa"/>
          <w:bottom w:w="0" w:type="dxa"/>
          <w:right w:w="0" w:type="dxa"/>
        </w:tblCellMar>
        <w:tblLook w:val="01E0"/>
      </w:tblPr>
      <w:tblGrid>
        <w:gridCol w:w="710"/>
        <w:gridCol w:w="851"/>
        <w:gridCol w:w="850"/>
        <w:gridCol w:w="709"/>
        <w:gridCol w:w="851"/>
        <w:gridCol w:w="851"/>
        <w:gridCol w:w="850"/>
        <w:gridCol w:w="709"/>
        <w:gridCol w:w="710"/>
        <w:gridCol w:w="850"/>
        <w:gridCol w:w="994"/>
        <w:gridCol w:w="708"/>
      </w:tblGrid>
      <w:tr>
        <w:trPr>
          <w:trHeight w:val="347" w:hRule="exact"/>
        </w:trPr>
        <w:tc>
          <w:tcPr>
            <w:tcW w:w="710" w:type="dxa"/>
            <w:vMerge w:val="restart"/>
            <w:tcBorders>
              <w:top w:val="single" w:sz="6" w:space="0" w:color="000000"/>
              <w:left w:val="single" w:sz="6" w:space="0" w:color="000000"/>
              <w:right w:val="single" w:sz="6" w:space="0" w:color="000000"/>
            </w:tcBorders>
          </w:tcPr>
          <w:p>
            <w:pPr>
              <w:pStyle w:val="TableParagraph"/>
              <w:spacing w:line="240" w:lineRule="auto" w:before="36"/>
              <w:ind w:left="185"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4112" w:type="dxa"/>
            <w:gridSpan w:val="5"/>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4820" w:type="dxa"/>
            <w:gridSpan w:val="6"/>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347" w:hRule="exact"/>
        </w:trPr>
        <w:tc>
          <w:tcPr>
            <w:tcW w:w="710" w:type="dxa"/>
            <w:vMerge/>
            <w:tcBorders>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3"/>
                <w:szCs w:val="13"/>
              </w:rPr>
            </w:pPr>
            <w:r>
              <w:rPr>
                <w:rFonts w:ascii="宋体" w:hAnsi="宋体" w:cs="宋体" w:eastAsia="宋体" w:hint="default"/>
                <w:sz w:val="13"/>
                <w:szCs w:val="13"/>
              </w:rPr>
              <w:t>美元</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宋体" w:hAnsi="宋体" w:cs="宋体" w:eastAsia="宋体" w:hint="default"/>
                <w:sz w:val="13"/>
                <w:szCs w:val="13"/>
              </w:rPr>
            </w:pPr>
            <w:r>
              <w:rPr>
                <w:rFonts w:ascii="宋体" w:hAnsi="宋体" w:cs="宋体" w:eastAsia="宋体" w:hint="default"/>
                <w:sz w:val="13"/>
                <w:szCs w:val="13"/>
              </w:rPr>
              <w:t>欧元</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3"/>
                <w:szCs w:val="13"/>
              </w:rPr>
            </w:pPr>
            <w:r>
              <w:rPr>
                <w:rFonts w:ascii="宋体" w:hAnsi="宋体" w:cs="宋体" w:eastAsia="宋体" w:hint="default"/>
                <w:sz w:val="13"/>
                <w:szCs w:val="13"/>
              </w:rPr>
              <w:t>英镑</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3"/>
              <w:jc w:val="center"/>
              <w:rPr>
                <w:rFonts w:ascii="宋体" w:hAnsi="宋体" w:cs="宋体" w:eastAsia="宋体" w:hint="default"/>
                <w:sz w:val="13"/>
                <w:szCs w:val="13"/>
              </w:rPr>
            </w:pPr>
            <w:r>
              <w:rPr>
                <w:rFonts w:ascii="宋体" w:hAnsi="宋体" w:cs="宋体" w:eastAsia="宋体" w:hint="default"/>
                <w:sz w:val="13"/>
                <w:szCs w:val="13"/>
              </w:rPr>
              <w:t>港元</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3"/>
                <w:szCs w:val="13"/>
              </w:rPr>
            </w:pPr>
            <w:r>
              <w:rPr>
                <w:rFonts w:ascii="宋体" w:hAnsi="宋体" w:cs="宋体" w:eastAsia="宋体" w:hint="default"/>
                <w:sz w:val="13"/>
                <w:szCs w:val="13"/>
              </w:rPr>
              <w:t>日元</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宋体" w:hAnsi="宋体" w:cs="宋体" w:eastAsia="宋体" w:hint="default"/>
                <w:sz w:val="13"/>
                <w:szCs w:val="13"/>
              </w:rPr>
            </w:pPr>
            <w:r>
              <w:rPr>
                <w:rFonts w:ascii="宋体" w:hAnsi="宋体" w:cs="宋体" w:eastAsia="宋体" w:hint="default"/>
                <w:sz w:val="13"/>
                <w:szCs w:val="13"/>
              </w:rPr>
              <w:t>美元</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3"/>
                <w:szCs w:val="13"/>
              </w:rPr>
            </w:pPr>
            <w:r>
              <w:rPr>
                <w:rFonts w:ascii="宋体" w:hAnsi="宋体" w:cs="宋体" w:eastAsia="宋体" w:hint="default"/>
                <w:sz w:val="13"/>
                <w:szCs w:val="13"/>
              </w:rPr>
              <w:t>欧元</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16" w:right="0"/>
              <w:jc w:val="left"/>
              <w:rPr>
                <w:rFonts w:ascii="宋体" w:hAnsi="宋体" w:cs="宋体" w:eastAsia="宋体" w:hint="default"/>
                <w:sz w:val="13"/>
                <w:szCs w:val="13"/>
              </w:rPr>
            </w:pPr>
            <w:r>
              <w:rPr>
                <w:rFonts w:ascii="宋体" w:hAnsi="宋体" w:cs="宋体" w:eastAsia="宋体" w:hint="default"/>
                <w:sz w:val="13"/>
                <w:szCs w:val="13"/>
              </w:rPr>
              <w:t>英镑</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宋体" w:hAnsi="宋体" w:cs="宋体" w:eastAsia="宋体" w:hint="default"/>
                <w:sz w:val="13"/>
                <w:szCs w:val="13"/>
              </w:rPr>
            </w:pPr>
            <w:r>
              <w:rPr>
                <w:rFonts w:ascii="宋体" w:hAnsi="宋体" w:cs="宋体" w:eastAsia="宋体" w:hint="default"/>
                <w:sz w:val="13"/>
                <w:szCs w:val="13"/>
              </w:rPr>
              <w:t>港元</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宋体" w:hAnsi="宋体" w:cs="宋体" w:eastAsia="宋体" w:hint="default"/>
                <w:sz w:val="13"/>
                <w:szCs w:val="13"/>
              </w:rPr>
            </w:pPr>
            <w:r>
              <w:rPr>
                <w:rFonts w:ascii="宋体" w:hAnsi="宋体" w:cs="宋体" w:eastAsia="宋体" w:hint="default"/>
                <w:sz w:val="13"/>
                <w:szCs w:val="13"/>
              </w:rPr>
              <w:t>日元</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0" w:right="0"/>
              <w:jc w:val="left"/>
              <w:rPr>
                <w:rFonts w:ascii="宋体" w:hAnsi="宋体" w:cs="宋体" w:eastAsia="宋体" w:hint="default"/>
                <w:sz w:val="13"/>
                <w:szCs w:val="13"/>
              </w:rPr>
            </w:pPr>
            <w:r>
              <w:rPr>
                <w:rFonts w:ascii="宋体" w:hAnsi="宋体" w:cs="宋体" w:eastAsia="宋体" w:hint="default"/>
                <w:sz w:val="13"/>
                <w:szCs w:val="13"/>
              </w:rPr>
              <w:t>墨西哥比索</w:t>
            </w:r>
          </w:p>
        </w:tc>
      </w:tr>
      <w:tr>
        <w:trPr>
          <w:trHeight w:val="348"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67" w:right="0"/>
              <w:jc w:val="left"/>
              <w:rPr>
                <w:rFonts w:ascii="宋体" w:hAnsi="宋体" w:cs="宋体" w:eastAsia="宋体" w:hint="default"/>
                <w:sz w:val="13"/>
                <w:szCs w:val="13"/>
              </w:rPr>
            </w:pPr>
            <w:r>
              <w:rPr>
                <w:rFonts w:ascii="宋体" w:hAnsi="宋体" w:cs="宋体" w:eastAsia="宋体" w:hint="default"/>
                <w:sz w:val="13"/>
                <w:szCs w:val="13"/>
              </w:rPr>
              <w:t>货币资金</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19,807,746.60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1,286,078.96</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172,247.07</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
              <w:jc w:val="center"/>
              <w:rPr>
                <w:rFonts w:ascii="Times New Roman" w:hAnsi="Times New Roman" w:cs="Times New Roman" w:eastAsia="Times New Roman" w:hint="default"/>
                <w:sz w:val="13"/>
                <w:szCs w:val="13"/>
              </w:rPr>
            </w:pPr>
            <w:r>
              <w:rPr>
                <w:rFonts w:ascii="Times New Roman"/>
                <w:sz w:val="13"/>
              </w:rPr>
              <w:t>17,168,468.44</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4,316,538.00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31,834,605.41</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160,338.77</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88"/>
              <w:jc w:val="right"/>
              <w:rPr>
                <w:rFonts w:ascii="Times New Roman" w:hAnsi="Times New Roman" w:cs="Times New Roman" w:eastAsia="Times New Roman" w:hint="default"/>
                <w:sz w:val="13"/>
                <w:szCs w:val="13"/>
              </w:rPr>
            </w:pPr>
            <w:r>
              <w:rPr>
                <w:rFonts w:ascii="Times New Roman"/>
                <w:w w:val="95"/>
                <w:sz w:val="13"/>
              </w:rPr>
              <w:t>90,580.19</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3,272,736.94</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5,413,585.00</w:t>
            </w:r>
          </w:p>
        </w:tc>
        <w:tc>
          <w:tcPr>
            <w:tcW w:w="708"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3"/>
                <w:szCs w:val="13"/>
              </w:rPr>
            </w:pPr>
            <w:r>
              <w:rPr>
                <w:rFonts w:ascii="宋体" w:hAnsi="宋体" w:cs="宋体" w:eastAsia="宋体" w:hint="default"/>
                <w:sz w:val="13"/>
                <w:szCs w:val="13"/>
              </w:rPr>
              <w:t>预付款项</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
              <w:jc w:val="center"/>
              <w:rPr>
                <w:rFonts w:ascii="Times New Roman" w:hAnsi="Times New Roman" w:cs="Times New Roman" w:eastAsia="Times New Roman" w:hint="default"/>
                <w:sz w:val="13"/>
                <w:szCs w:val="13"/>
              </w:rPr>
            </w:pPr>
            <w:r>
              <w:rPr>
                <w:rFonts w:ascii="Times New Roman"/>
                <w:sz w:val="13"/>
              </w:rPr>
              <w:t>184,835.52</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
              <w:jc w:val="center"/>
              <w:rPr>
                <w:rFonts w:ascii="Times New Roman" w:hAnsi="Times New Roman" w:cs="Times New Roman" w:eastAsia="Times New Roman" w:hint="default"/>
                <w:sz w:val="13"/>
                <w:szCs w:val="13"/>
              </w:rPr>
            </w:pPr>
            <w:r>
              <w:rPr>
                <w:rFonts w:ascii="Times New Roman"/>
                <w:sz w:val="13"/>
              </w:rPr>
              <w:t>19,982.81</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3"/>
              <w:jc w:val="center"/>
              <w:rPr>
                <w:rFonts w:ascii="Times New Roman" w:hAnsi="Times New Roman" w:cs="Times New Roman" w:eastAsia="Times New Roman" w:hint="default"/>
                <w:sz w:val="13"/>
                <w:szCs w:val="13"/>
              </w:rPr>
            </w:pPr>
            <w:r>
              <w:rPr>
                <w:rFonts w:ascii="Times New Roman"/>
                <w:sz w:val="13"/>
              </w:rPr>
              <w:t>803,276.82</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
              <w:jc w:val="center"/>
              <w:rPr>
                <w:rFonts w:ascii="Times New Roman" w:hAnsi="Times New Roman" w:cs="Times New Roman" w:eastAsia="Times New Roman" w:hint="default"/>
                <w:sz w:val="13"/>
                <w:szCs w:val="13"/>
              </w:rPr>
            </w:pPr>
            <w:r>
              <w:rPr>
                <w:rFonts w:ascii="Times New Roman"/>
                <w:sz w:val="13"/>
              </w:rPr>
              <w:t>340,459.00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88"/>
              <w:jc w:val="right"/>
              <w:rPr>
                <w:rFonts w:ascii="Times New Roman" w:hAnsi="Times New Roman" w:cs="Times New Roman" w:eastAsia="Times New Roman" w:hint="default"/>
                <w:sz w:val="13"/>
                <w:szCs w:val="13"/>
              </w:rPr>
            </w:pPr>
            <w:r>
              <w:rPr>
                <w:rFonts w:ascii="Times New Roman"/>
                <w:w w:val="95"/>
                <w:sz w:val="13"/>
              </w:rPr>
              <w:t>19,032.24</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Times New Roman" w:hAnsi="Times New Roman" w:cs="Times New Roman" w:eastAsia="Times New Roman" w:hint="default"/>
                <w:sz w:val="13"/>
                <w:szCs w:val="13"/>
              </w:rPr>
            </w:pPr>
            <w:r>
              <w:rPr>
                <w:rFonts w:ascii="Times New Roman"/>
                <w:sz w:val="13"/>
              </w:rPr>
              <w:t>121,451.72</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Times New Roman" w:hAnsi="Times New Roman" w:cs="Times New Roman" w:eastAsia="Times New Roman" w:hint="default"/>
                <w:sz w:val="13"/>
                <w:szCs w:val="13"/>
              </w:rPr>
            </w:pPr>
            <w:r>
              <w:rPr>
                <w:rFonts w:ascii="Times New Roman"/>
                <w:sz w:val="13"/>
              </w:rPr>
              <w:t>308,059.00</w:t>
            </w:r>
          </w:p>
        </w:tc>
        <w:tc>
          <w:tcPr>
            <w:tcW w:w="708"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3"/>
                <w:szCs w:val="13"/>
              </w:rPr>
            </w:pPr>
            <w:r>
              <w:rPr>
                <w:rFonts w:ascii="宋体" w:hAnsi="宋体" w:cs="宋体" w:eastAsia="宋体" w:hint="default"/>
                <w:sz w:val="13"/>
                <w:szCs w:val="13"/>
              </w:rPr>
              <w:t>应收账款</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3,909,025.80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43,008.30</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5,950.65</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
              <w:jc w:val="center"/>
              <w:rPr>
                <w:rFonts w:ascii="Times New Roman" w:hAnsi="Times New Roman" w:cs="Times New Roman" w:eastAsia="Times New Roman" w:hint="default"/>
                <w:sz w:val="13"/>
                <w:szCs w:val="13"/>
              </w:rPr>
            </w:pPr>
            <w:r>
              <w:rPr>
                <w:rFonts w:ascii="Times New Roman"/>
                <w:sz w:val="13"/>
              </w:rPr>
              <w:t>12,747,654.26</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2,803,514.84</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68"/>
              <w:jc w:val="right"/>
              <w:rPr>
                <w:rFonts w:ascii="Times New Roman" w:hAnsi="Times New Roman" w:cs="Times New Roman" w:eastAsia="Times New Roman" w:hint="default"/>
                <w:sz w:val="13"/>
                <w:szCs w:val="13"/>
              </w:rPr>
            </w:pPr>
            <w:r>
              <w:rPr>
                <w:rFonts w:ascii="Times New Roman"/>
                <w:w w:val="95"/>
                <w:sz w:val="13"/>
              </w:rPr>
              <w:t>300.00</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94" w:type="dxa"/>
            <w:tcBorders>
              <w:top w:val="single" w:sz="6" w:space="0" w:color="000000"/>
              <w:left w:val="single" w:sz="6" w:space="0" w:color="000000"/>
              <w:bottom w:val="single" w:sz="6" w:space="0" w:color="000000"/>
              <w:right w:val="single" w:sz="6" w:space="0" w:color="000000"/>
            </w:tcBorders>
          </w:tcPr>
          <w:p>
            <w:pPr/>
          </w:p>
        </w:tc>
        <w:tc>
          <w:tcPr>
            <w:tcW w:w="708"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3"/>
                <w:szCs w:val="13"/>
              </w:rPr>
            </w:pPr>
            <w:r>
              <w:rPr>
                <w:rFonts w:ascii="宋体" w:hAnsi="宋体" w:cs="宋体" w:eastAsia="宋体" w:hint="default"/>
                <w:sz w:val="13"/>
                <w:szCs w:val="13"/>
              </w:rPr>
              <w:t>其他应收款</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10,623.58</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20,799.21</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3"/>
              <w:jc w:val="center"/>
              <w:rPr>
                <w:rFonts w:ascii="Times New Roman" w:hAnsi="Times New Roman" w:cs="Times New Roman" w:eastAsia="Times New Roman" w:hint="default"/>
                <w:sz w:val="13"/>
                <w:szCs w:val="13"/>
              </w:rPr>
            </w:pPr>
            <w:r>
              <w:rPr>
                <w:rFonts w:ascii="Times New Roman"/>
                <w:sz w:val="13"/>
              </w:rPr>
              <w:t>266,431.09</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2,852,400.00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7,486.50</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88"/>
              <w:jc w:val="right"/>
              <w:rPr>
                <w:rFonts w:ascii="Times New Roman" w:hAnsi="Times New Roman" w:cs="Times New Roman" w:eastAsia="Times New Roman" w:hint="default"/>
                <w:sz w:val="13"/>
                <w:szCs w:val="13"/>
              </w:rPr>
            </w:pPr>
            <w:r>
              <w:rPr>
                <w:rFonts w:ascii="Times New Roman"/>
                <w:w w:val="95"/>
                <w:sz w:val="13"/>
              </w:rPr>
              <w:t>22,321.53</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28,047.25</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2,852,400.00</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53" w:right="0"/>
              <w:jc w:val="left"/>
              <w:rPr>
                <w:rFonts w:ascii="Times New Roman" w:hAnsi="Times New Roman" w:cs="Times New Roman" w:eastAsia="Times New Roman" w:hint="default"/>
                <w:sz w:val="13"/>
                <w:szCs w:val="13"/>
              </w:rPr>
            </w:pPr>
            <w:r>
              <w:rPr>
                <w:rFonts w:ascii="Times New Roman"/>
                <w:sz w:val="13"/>
              </w:rPr>
              <w:t>144,000.00</w:t>
            </w:r>
          </w:p>
        </w:tc>
      </w:tr>
      <w:tr>
        <w:trPr>
          <w:trHeight w:val="347"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3"/>
                <w:szCs w:val="13"/>
              </w:rPr>
            </w:pPr>
            <w:r>
              <w:rPr>
                <w:rFonts w:ascii="宋体" w:hAnsi="宋体" w:cs="宋体" w:eastAsia="宋体" w:hint="default"/>
                <w:sz w:val="13"/>
                <w:szCs w:val="13"/>
              </w:rPr>
              <w:t>其他应付款</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24,015.10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7,628.42</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3"/>
              <w:jc w:val="center"/>
              <w:rPr>
                <w:rFonts w:ascii="Times New Roman" w:hAnsi="Times New Roman" w:cs="Times New Roman" w:eastAsia="Times New Roman" w:hint="default"/>
                <w:sz w:val="13"/>
                <w:szCs w:val="13"/>
              </w:rPr>
            </w:pPr>
            <w:r>
              <w:rPr>
                <w:rFonts w:ascii="Times New Roman"/>
                <w:sz w:val="13"/>
              </w:rPr>
              <w:t>88,028.53</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133,994.51</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20"/>
              <w:jc w:val="right"/>
              <w:rPr>
                <w:rFonts w:ascii="Times New Roman" w:hAnsi="Times New Roman" w:cs="Times New Roman" w:eastAsia="Times New Roman" w:hint="default"/>
                <w:sz w:val="13"/>
                <w:szCs w:val="13"/>
              </w:rPr>
            </w:pPr>
            <w:r>
              <w:rPr>
                <w:rFonts w:ascii="Times New Roman"/>
                <w:w w:val="95"/>
                <w:sz w:val="13"/>
              </w:rPr>
              <w:t>6,474.57</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49,515.94</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8"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3"/>
                <w:szCs w:val="13"/>
              </w:rPr>
            </w:pPr>
            <w:r>
              <w:rPr>
                <w:rFonts w:ascii="宋体" w:hAnsi="宋体" w:cs="宋体" w:eastAsia="宋体" w:hint="default"/>
                <w:sz w:val="13"/>
                <w:szCs w:val="13"/>
              </w:rPr>
              <w:t>应付账款</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45,968.32</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1"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3"/>
              <w:jc w:val="center"/>
              <w:rPr>
                <w:rFonts w:ascii="Times New Roman" w:hAnsi="Times New Roman" w:cs="Times New Roman" w:eastAsia="Times New Roman" w:hint="default"/>
                <w:sz w:val="13"/>
                <w:szCs w:val="13"/>
              </w:rPr>
            </w:pPr>
            <w:r>
              <w:rPr>
                <w:rFonts w:ascii="Times New Roman"/>
                <w:sz w:val="13"/>
              </w:rPr>
              <w:t>199,182.00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40,932.33</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8"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3"/>
                <w:szCs w:val="13"/>
              </w:rPr>
            </w:pPr>
            <w:r>
              <w:rPr>
                <w:rFonts w:ascii="宋体" w:hAnsi="宋体" w:cs="宋体" w:eastAsia="宋体" w:hint="default"/>
                <w:sz w:val="13"/>
                <w:szCs w:val="13"/>
              </w:rPr>
              <w:t>预收账款</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sz w:val="13"/>
              </w:rPr>
              <w:t>584,172.54</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137.94</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
              <w:jc w:val="center"/>
              <w:rPr>
                <w:rFonts w:ascii="Times New Roman" w:hAnsi="Times New Roman" w:cs="Times New Roman" w:eastAsia="Times New Roman" w:hint="default"/>
                <w:sz w:val="13"/>
                <w:szCs w:val="13"/>
              </w:rPr>
            </w:pPr>
            <w:r>
              <w:rPr>
                <w:rFonts w:ascii="Times New Roman"/>
                <w:sz w:val="13"/>
              </w:rPr>
              <w:t>4,041,489.90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sz w:val="13"/>
              </w:rPr>
              <w:t>134,425.98</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08"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12"/>
        <w:rPr>
          <w:rFonts w:ascii="宋体" w:hAnsi="宋体" w:cs="宋体" w:eastAsia="宋体" w:hint="default"/>
          <w:sz w:val="21"/>
          <w:szCs w:val="21"/>
        </w:rPr>
      </w:pPr>
    </w:p>
    <w:p>
      <w:pPr>
        <w:pStyle w:val="BodyText"/>
        <w:spacing w:line="316" w:lineRule="auto" w:before="44"/>
        <w:ind w:right="1132" w:firstLine="360"/>
        <w:jc w:val="both"/>
      </w:pPr>
      <w:r>
        <w:rPr>
          <w:spacing w:val="-2"/>
        </w:rPr>
        <w:t>本公司密切关注汇率变动对本公司外汇风险的影响。通常选择在人民币兑美元升值期间及时结汇，在人民币兑美元贬值</w:t>
      </w:r>
      <w:r>
        <w:rPr/>
        <w:t> 期间延期结汇以降低外汇风险。</w:t>
      </w:r>
    </w:p>
    <w:p>
      <w:pPr>
        <w:pStyle w:val="BodyText"/>
        <w:spacing w:line="316" w:lineRule="auto" w:before="19"/>
        <w:ind w:left="514" w:right="0"/>
        <w:jc w:val="left"/>
      </w:pPr>
      <w:r>
        <w:rPr/>
        <w:t>（</w:t>
      </w:r>
      <w:r>
        <w:rPr>
          <w:rFonts w:ascii="宋体" w:hAnsi="宋体" w:cs="宋体" w:eastAsia="宋体" w:hint="default"/>
        </w:rPr>
        <w:t>2</w:t>
      </w:r>
      <w:r>
        <w:rPr/>
        <w:t>）利率风险－现金流量变动风险 </w:t>
      </w:r>
      <w:r>
        <w:rPr>
          <w:spacing w:val="-2"/>
        </w:rPr>
        <w:t>利率风险，是指金融工具的公允价值或未来现金流量因市场利率变动而发生波动的风险。本公司面临的利率风险主要来</w:t>
      </w:r>
    </w:p>
    <w:p>
      <w:pPr>
        <w:pStyle w:val="BodyText"/>
        <w:spacing w:line="316" w:lineRule="auto" w:before="19"/>
        <w:ind w:right="1115"/>
        <w:jc w:val="left"/>
      </w:pPr>
      <w:r>
        <w:rPr/>
        <w:t>源于银行短期借款</w:t>
      </w:r>
      <w:r>
        <w:rPr>
          <w:spacing w:val="7"/>
        </w:rPr>
        <w:t> </w:t>
      </w:r>
      <w:r>
        <w:rPr>
          <w:rFonts w:ascii="宋体" w:hAnsi="宋体" w:cs="宋体" w:eastAsia="宋体" w:hint="default"/>
        </w:rPr>
        <w:t>(</w:t>
      </w:r>
      <w:r>
        <w:rPr/>
        <w:t>详见本附注六、</w:t>
      </w:r>
      <w:r>
        <w:rPr>
          <w:rFonts w:ascii="宋体" w:hAnsi="宋体" w:cs="宋体" w:eastAsia="宋体" w:hint="default"/>
        </w:rPr>
        <w:t>15)</w:t>
      </w:r>
      <w:r>
        <w:rPr/>
        <w:t>，公司通过建立良好的银企关系，对授信额度及授信期限进行合理的设计，保障银 行授信额度充足，满足公司各类短期融资需求。</w:t>
      </w:r>
    </w:p>
    <w:p>
      <w:pPr>
        <w:spacing w:line="240" w:lineRule="auto" w:before="4"/>
        <w:rPr>
          <w:rFonts w:ascii="宋体" w:hAnsi="宋体" w:cs="宋体" w:eastAsia="宋体" w:hint="default"/>
          <w:sz w:val="25"/>
          <w:szCs w:val="25"/>
        </w:rPr>
      </w:pPr>
    </w:p>
    <w:p>
      <w:pPr>
        <w:pStyle w:val="BodyText"/>
        <w:spacing w:line="240" w:lineRule="auto"/>
        <w:ind w:left="1054" w:right="0"/>
        <w:jc w:val="left"/>
      </w:pPr>
      <w:r>
        <w:rPr>
          <w:rFonts w:ascii="宋体" w:hAnsi="宋体" w:cs="宋体" w:eastAsia="宋体" w:hint="default"/>
        </w:rPr>
        <w:t>2</w:t>
      </w:r>
      <w:r>
        <w:rPr/>
        <w:t>、信用风险</w:t>
      </w:r>
    </w:p>
    <w:p>
      <w:pPr>
        <w:pStyle w:val="BodyText"/>
        <w:spacing w:line="316" w:lineRule="auto" w:before="76"/>
        <w:ind w:right="1131" w:firstLine="360"/>
        <w:jc w:val="both"/>
      </w:pP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日，可能引起本公司财务损失的最大信用风险敞口主要来自于合同另一方未能履行义务而导致本公司金融</w:t>
      </w:r>
      <w:r>
        <w:rPr/>
        <w:t> 资产产生的损失以及本公司承担的财务担保，具体包括：</w:t>
      </w:r>
    </w:p>
    <w:p>
      <w:pPr>
        <w:pStyle w:val="BodyText"/>
        <w:spacing w:line="319" w:lineRule="auto" w:before="19"/>
        <w:ind w:right="1041" w:firstLine="360"/>
        <w:jc w:val="both"/>
      </w:pPr>
      <w:r>
        <w:rPr/>
        <w:t>合并资产负债表中已确认的金融资产的账面金额；对于以公允价值计量的金融工具而言，账面价值反映了其风险敞口， 但并非最大风险敞口，其最大风险敞口将随着未来公允价值的变化而改变。</w:t>
      </w:r>
    </w:p>
    <w:p>
      <w:pPr>
        <w:pStyle w:val="BodyText"/>
        <w:spacing w:line="316" w:lineRule="auto" w:before="17"/>
        <w:ind w:right="1132" w:firstLine="360"/>
        <w:jc w:val="both"/>
      </w:pPr>
      <w:r>
        <w:rPr>
          <w:spacing w:val="-2"/>
        </w:rPr>
        <w:t>为降低信用风险，本公司成立了一个小组负责确定信用额度、进行信用审批，并执行其他监控程序以确保采取必要的措</w:t>
      </w:r>
      <w:r>
        <w:rPr/>
        <w:t> </w:t>
      </w:r>
      <w:r>
        <w:rPr>
          <w:spacing w:val="-2"/>
        </w:rPr>
        <w:t>施回收过期债权。此外，本公司于每个资产负债表日审核每一单项应收款的回收情况，以确保就无法回收的款项计提充分的</w:t>
      </w:r>
      <w:r>
        <w:rPr>
          <w:spacing w:val="-66"/>
        </w:rPr>
        <w:t> </w:t>
      </w:r>
      <w:r>
        <w:rPr>
          <w:spacing w:val="-66"/>
        </w:rPr>
      </w:r>
      <w:r>
        <w:rPr/>
        <w:t>坏账准备。因此，本公司管理层认为本公司所承担的信用风险已经大为降低。</w:t>
      </w:r>
    </w:p>
    <w:p>
      <w:pPr>
        <w:spacing w:after="0" w:line="316"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left="514" w:right="0"/>
        <w:jc w:val="left"/>
      </w:pPr>
      <w:r>
        <w:rPr/>
        <w:t>本公司的流动资金存放在信用评级较高的银行，故流动资金的信用风险较低。</w:t>
      </w:r>
    </w:p>
    <w:p>
      <w:pPr>
        <w:spacing w:line="240" w:lineRule="auto" w:before="0"/>
        <w:rPr>
          <w:rFonts w:ascii="宋体" w:hAnsi="宋体" w:cs="宋体" w:eastAsia="宋体" w:hint="default"/>
          <w:sz w:val="18"/>
          <w:szCs w:val="18"/>
        </w:rPr>
      </w:pPr>
    </w:p>
    <w:p>
      <w:pPr>
        <w:pStyle w:val="BodyText"/>
        <w:spacing w:line="316" w:lineRule="auto" w:before="153"/>
        <w:ind w:left="514" w:right="1118"/>
        <w:jc w:val="left"/>
      </w:pPr>
      <w:r>
        <w:rPr>
          <w:rFonts w:ascii="宋体" w:hAnsi="宋体" w:cs="宋体" w:eastAsia="宋体" w:hint="default"/>
        </w:rPr>
        <w:t>3</w:t>
      </w:r>
      <w:r>
        <w:rPr/>
        <w:t>、流动风险 </w:t>
      </w:r>
      <w:r>
        <w:rPr>
          <w:spacing w:val="-2"/>
        </w:rPr>
        <w:t>管理流动风险时，本公司保持管理层认为充分的现金及现金等价物并对其进行监控，以满足本公司经营需要，并降低现</w:t>
      </w:r>
    </w:p>
    <w:p>
      <w:pPr>
        <w:pStyle w:val="BodyText"/>
        <w:spacing w:line="316" w:lineRule="auto" w:before="19"/>
        <w:ind w:left="514" w:right="0" w:hanging="360"/>
        <w:jc w:val="left"/>
        <w:rPr>
          <w:rFonts w:ascii="宋体" w:hAnsi="宋体" w:cs="宋体" w:eastAsia="宋体" w:hint="default"/>
        </w:rPr>
      </w:pPr>
      <w:r>
        <w:rPr/>
        <w:t>金流量波动的影响。本公司管理层对银行借款的使用情况进行监控并确保遵守借款协议。 </w:t>
      </w:r>
      <w:r>
        <w:rPr>
          <w:spacing w:val="-2"/>
        </w:rPr>
        <w:t>本公司将银行借款作为主要资金来源。</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日，本公司尚未使用的银行借款额度为人民币</w:t>
      </w:r>
      <w:r>
        <w:rPr>
          <w:rFonts w:ascii="宋体" w:hAnsi="宋体" w:cs="宋体" w:eastAsia="宋体" w:hint="default"/>
          <w:spacing w:val="-2"/>
        </w:rPr>
        <w:t>15,335.38</w:t>
      </w:r>
      <w:r>
        <w:rPr>
          <w:spacing w:val="-2"/>
        </w:rPr>
        <w:t>万元</w:t>
      </w:r>
      <w:r>
        <w:rPr>
          <w:rFonts w:ascii="宋体" w:hAnsi="宋体" w:cs="宋体" w:eastAsia="宋体" w:hint="default"/>
          <w:spacing w:val="-2"/>
        </w:rPr>
        <w:t>(2017</w:t>
      </w:r>
    </w:p>
    <w:p>
      <w:pPr>
        <w:pStyle w:val="BodyText"/>
        <w:spacing w:line="240" w:lineRule="auto" w:before="19"/>
        <w:ind w:right="0"/>
        <w:jc w:val="left"/>
      </w:pPr>
      <w:r>
        <w:rPr/>
        <w:t>年</w:t>
      </w:r>
      <w:r>
        <w:rPr>
          <w:rFonts w:ascii="宋体" w:hAnsi="宋体" w:cs="宋体" w:eastAsia="宋体" w:hint="default"/>
        </w:rPr>
        <w:t>12</w:t>
      </w:r>
      <w:r>
        <w:rPr/>
        <w:t>月</w:t>
      </w:r>
      <w:r>
        <w:rPr>
          <w:rFonts w:ascii="宋体" w:hAnsi="宋体" w:cs="宋体" w:eastAsia="宋体" w:hint="default"/>
        </w:rPr>
        <w:t>31</w:t>
      </w:r>
      <w:r>
        <w:rPr/>
        <w:t>日：人民币</w:t>
      </w:r>
      <w:r>
        <w:rPr>
          <w:rFonts w:ascii="宋体" w:hAnsi="宋体" w:cs="宋体" w:eastAsia="宋体" w:hint="default"/>
        </w:rPr>
        <w:t>13,743.86</w:t>
      </w:r>
      <w:r>
        <w:rPr/>
        <w:t>万元</w:t>
      </w:r>
      <w:r>
        <w:rPr>
          <w:rFonts w:ascii="宋体" w:hAnsi="宋体" w:cs="宋体" w:eastAsia="宋体" w:hint="default"/>
        </w:rPr>
        <w:t>)</w:t>
      </w:r>
      <w:r>
        <w:rPr/>
        <w:t>。</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一、公允价值的披露" w:id="428"/>
      <w:bookmarkEnd w:id="428"/>
      <w:r>
        <w:rPr>
          <w:b w:val="0"/>
          <w:bCs w:val="0"/>
        </w:rPr>
      </w:r>
      <w:r>
        <w:rPr/>
        <w:t>十一、公允价值的披露</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以公允价值计量的资产和负债的期末公允价值" w:id="429"/>
      <w:bookmarkEnd w:id="429"/>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4"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23"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第二层次公允价值计量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第三层次公允价值计量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pacing w:val="-4"/>
                <w:sz w:val="18"/>
                <w:szCs w:val="18"/>
              </w:rPr>
              <w:t>一、持续的公允价值计量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714"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pacing w:val="-4"/>
                <w:sz w:val="18"/>
                <w:szCs w:val="18"/>
              </w:rPr>
              <w:t>二、非持续的公允价值计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2、持续和非持续第一层次公允价值计量项目市价的确定依据" w:id="430"/>
      <w:bookmarkEnd w:id="430"/>
      <w:r>
        <w:rPr>
          <w:b w:val="0"/>
          <w:bCs w:val="0"/>
        </w:rPr>
      </w: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3、持续和非持续第二层次公允价值计量项目，采用的估值技术和重要参数的定性及定量信" w:id="431"/>
      <w:bookmarkEnd w:id="431"/>
      <w:r>
        <w:rPr>
          <w:b w:val="0"/>
          <w:bCs w:val="0"/>
        </w:rPr>
      </w: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4、持续和非持续第三层次公允价值计量项目，采用的估值技术和重要参数的定性及定量信" w:id="432"/>
      <w:bookmarkEnd w:id="432"/>
      <w:r>
        <w:rPr>
          <w:b w:val="0"/>
          <w:bCs w:val="0"/>
        </w:rPr>
      </w: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5、持续的第三层次公允价值计量项目，期初与期末账面价值间的调节信息及不可观察参数" w:id="433"/>
      <w:bookmarkEnd w:id="433"/>
      <w:r>
        <w:rPr>
          <w:b w:val="0"/>
          <w:bCs w:val="0"/>
        </w:rPr>
      </w: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6、持续的公允价值计量项目，本期内发生各层级之间转换的，转换的原因及确定转换时点" w:id="434"/>
      <w:bookmarkEnd w:id="434"/>
      <w:r>
        <w:rPr>
          <w:b w:val="0"/>
          <w:bCs w:val="0"/>
        </w:rPr>
      </w: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7、本期内发生的估值技术变更及变更原因" w:id="435"/>
      <w:bookmarkEnd w:id="435"/>
      <w:r>
        <w:rPr>
          <w:b w:val="0"/>
          <w:bCs w:val="0"/>
        </w:rPr>
      </w: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8、不以公允价值计量的金融资产和金融负债的公允价值情况" w:id="436"/>
      <w:bookmarkEnd w:id="436"/>
      <w:r>
        <w:rPr>
          <w:b w:val="0"/>
          <w:bCs w:val="0"/>
        </w:rPr>
      </w: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8"/>
        <w:rPr>
          <w:rFonts w:ascii="宋体" w:hAnsi="宋体" w:cs="宋体" w:eastAsia="宋体" w:hint="default"/>
          <w:b/>
          <w:bCs/>
          <w:sz w:val="24"/>
          <w:szCs w:val="24"/>
        </w:rPr>
      </w:pPr>
    </w:p>
    <w:p>
      <w:pPr>
        <w:spacing w:line="487" w:lineRule="auto" w:before="0"/>
        <w:ind w:left="154" w:right="7692" w:firstLine="0"/>
        <w:jc w:val="left"/>
        <w:rPr>
          <w:rFonts w:ascii="宋体" w:hAnsi="宋体" w:cs="宋体" w:eastAsia="宋体" w:hint="default"/>
          <w:sz w:val="21"/>
          <w:szCs w:val="21"/>
        </w:rPr>
      </w:pPr>
      <w:bookmarkStart w:name="9、其他" w:id="437"/>
      <w:bookmarkEnd w:id="437"/>
      <w:r>
        <w:rPr/>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二、关联方及关联交易" w:id="438"/>
      <w:bookmarkEnd w:id="438"/>
      <w:r>
        <w:rPr>
          <w:rFonts w:ascii="宋体" w:hAnsi="宋体" w:cs="宋体" w:eastAsia="宋体" w:hint="default"/>
          <w:b/>
          <w:bCs/>
          <w:spacing w:val="1"/>
          <w:w w:val="99"/>
          <w:sz w:val="21"/>
          <w:szCs w:val="21"/>
        </w:rPr>
      </w:r>
      <w:r>
        <w:rPr>
          <w:rFonts w:ascii="宋体" w:hAnsi="宋体" w:cs="宋体" w:eastAsia="宋体" w:hint="default"/>
          <w:b/>
          <w:bCs/>
          <w:w w:val="95"/>
          <w:sz w:val="24"/>
          <w:szCs w:val="24"/>
        </w:rPr>
        <w:t>十二、关联方及关联交易</w:t>
      </w:r>
      <w:r>
        <w:rPr>
          <w:rFonts w:ascii="宋体" w:hAnsi="宋体" w:cs="宋体" w:eastAsia="宋体" w:hint="default"/>
          <w:b/>
          <w:bCs/>
          <w:spacing w:val="7"/>
          <w:w w:val="95"/>
          <w:sz w:val="24"/>
          <w:szCs w:val="24"/>
        </w:rPr>
        <w:t> </w:t>
      </w:r>
      <w:r>
        <w:rPr>
          <w:rFonts w:ascii="宋体" w:hAnsi="宋体" w:cs="宋体" w:eastAsia="宋体" w:hint="default"/>
          <w:b/>
          <w:bCs/>
          <w:spacing w:val="7"/>
          <w:w w:val="95"/>
          <w:sz w:val="24"/>
          <w:szCs w:val="24"/>
        </w:rPr>
      </w:r>
      <w:bookmarkStart w:name="1、本企业的母公司情况" w:id="439"/>
      <w:bookmarkEnd w:id="439"/>
      <w:r>
        <w:rPr>
          <w:rFonts w:ascii="宋体" w:hAnsi="宋体" w:cs="宋体" w:eastAsia="宋体" w:hint="default"/>
          <w:b/>
          <w:bCs/>
          <w:spacing w:val="7"/>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240" w:lineRule="auto" w:before="5"/>
        <w:rPr>
          <w:rFonts w:ascii="宋体" w:hAnsi="宋体" w:cs="宋体" w:eastAsia="宋体" w:hint="default"/>
          <w:b/>
          <w:bCs/>
          <w:sz w:val="7"/>
          <w:szCs w:val="7"/>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4"/>
        <w:gridCol w:w="1594"/>
        <w:gridCol w:w="1595"/>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2" w:right="71" w:hanging="360"/>
              <w:jc w:val="left"/>
              <w:rPr>
                <w:rFonts w:ascii="宋体" w:hAnsi="宋体" w:cs="宋体" w:eastAsia="宋体" w:hint="default"/>
                <w:sz w:val="18"/>
                <w:szCs w:val="18"/>
              </w:rPr>
            </w:pPr>
            <w:r>
              <w:rPr>
                <w:rFonts w:ascii="宋体" w:hAnsi="宋体" w:cs="宋体" w:eastAsia="宋体" w:hint="default"/>
                <w:sz w:val="18"/>
                <w:szCs w:val="18"/>
              </w:rPr>
              <w:t>母公司对本企业的 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1" w:right="71" w:hanging="270"/>
              <w:jc w:val="left"/>
              <w:rPr>
                <w:rFonts w:ascii="宋体" w:hAnsi="宋体" w:cs="宋体" w:eastAsia="宋体" w:hint="default"/>
                <w:sz w:val="18"/>
                <w:szCs w:val="18"/>
              </w:rPr>
            </w:pPr>
            <w:r>
              <w:rPr>
                <w:rFonts w:ascii="宋体" w:hAnsi="宋体" w:cs="宋体" w:eastAsia="宋体" w:hint="default"/>
                <w:sz w:val="18"/>
                <w:szCs w:val="18"/>
              </w:rPr>
              <w:t>母公司对本企业的 表决权比例</w:t>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7" w:right="0"/>
              <w:jc w:val="left"/>
              <w:rPr>
                <w:rFonts w:ascii="Times New Roman" w:hAnsi="Times New Roman" w:cs="Times New Roman" w:eastAsia="Times New Roman" w:hint="default"/>
                <w:sz w:val="18"/>
                <w:szCs w:val="18"/>
              </w:rPr>
            </w:pPr>
            <w:r>
              <w:rPr>
                <w:rFonts w:ascii="Times New Roman"/>
                <w:sz w:val="18"/>
              </w:rPr>
              <w:t>27.64%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6" w:right="0"/>
              <w:jc w:val="left"/>
              <w:rPr>
                <w:rFonts w:ascii="Times New Roman" w:hAnsi="Times New Roman" w:cs="Times New Roman" w:eastAsia="Times New Roman" w:hint="default"/>
                <w:sz w:val="18"/>
                <w:szCs w:val="18"/>
              </w:rPr>
            </w:pPr>
            <w:r>
              <w:rPr>
                <w:rFonts w:ascii="Times New Roman"/>
                <w:sz w:val="18"/>
              </w:rPr>
              <w:t>27.64%</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b/>
          <w:bCs/>
          <w:sz w:val="25"/>
          <w:szCs w:val="25"/>
        </w:rPr>
      </w:pPr>
    </w:p>
    <w:p>
      <w:pPr>
        <w:pStyle w:val="BodyText"/>
        <w:spacing w:line="357" w:lineRule="auto" w:before="44"/>
        <w:ind w:right="8412"/>
        <w:jc w:val="left"/>
      </w:pPr>
      <w:r>
        <w:rPr/>
        <w:t>本企业的母公司情况的说明 无。</w:t>
      </w:r>
    </w:p>
    <w:p>
      <w:pPr>
        <w:spacing w:line="240" w:lineRule="auto" w:before="1"/>
        <w:rPr>
          <w:rFonts w:ascii="宋体" w:hAnsi="宋体" w:cs="宋体" w:eastAsia="宋体" w:hint="default"/>
          <w:sz w:val="26"/>
          <w:szCs w:val="26"/>
        </w:rPr>
      </w:pPr>
    </w:p>
    <w:p>
      <w:pPr>
        <w:pStyle w:val="BodyText"/>
        <w:spacing w:line="360" w:lineRule="auto"/>
        <w:ind w:right="8412"/>
        <w:jc w:val="left"/>
      </w:pPr>
      <w:r>
        <w:rPr/>
        <w:t>本企业最终控制方是吴涵渠。 其他说明：</w:t>
      </w:r>
    </w:p>
    <w:p>
      <w:pPr>
        <w:pStyle w:val="BodyText"/>
        <w:spacing w:line="240" w:lineRule="auto" w:before="25"/>
        <w:ind w:right="0"/>
        <w:jc w:val="left"/>
      </w:pPr>
      <w:r>
        <w:rPr/>
        <w:t>无。</w:t>
      </w:r>
    </w:p>
    <w:p>
      <w:pPr>
        <w:spacing w:line="240" w:lineRule="auto" w:before="12"/>
        <w:rPr>
          <w:rFonts w:ascii="宋体" w:hAnsi="宋体" w:cs="宋体" w:eastAsia="宋体" w:hint="default"/>
          <w:sz w:val="26"/>
          <w:szCs w:val="26"/>
        </w:rPr>
      </w:pPr>
    </w:p>
    <w:p>
      <w:pPr>
        <w:spacing w:line="547" w:lineRule="auto" w:before="0"/>
        <w:ind w:left="154" w:right="5802" w:firstLine="0"/>
        <w:jc w:val="left"/>
        <w:rPr>
          <w:rFonts w:ascii="宋体" w:hAnsi="宋体" w:cs="宋体" w:eastAsia="宋体" w:hint="default"/>
          <w:sz w:val="21"/>
          <w:szCs w:val="21"/>
        </w:rPr>
      </w:pPr>
      <w:bookmarkStart w:name="2、本企业的子公司情况" w:id="440"/>
      <w:bookmarkEnd w:id="44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99"/>
          <w:sz w:val="21"/>
          <w:szCs w:val="21"/>
        </w:rPr>
        <w:t> </w:t>
      </w:r>
      <w:r>
        <w:rPr>
          <w:rFonts w:ascii="宋体" w:hAnsi="宋体" w:cs="宋体" w:eastAsia="宋体" w:hint="default"/>
          <w:sz w:val="18"/>
          <w:szCs w:val="18"/>
        </w:rPr>
        <w:t>本企业子公司的情况详见附注附注八、</w:t>
      </w:r>
      <w:r>
        <w:rPr>
          <w:rFonts w:ascii="Times New Roman" w:hAnsi="Times New Roman" w:cs="Times New Roman" w:eastAsia="Times New Roman" w:hint="default"/>
          <w:sz w:val="18"/>
          <w:szCs w:val="18"/>
        </w:rPr>
        <w:t>1</w:t>
      </w:r>
      <w:r>
        <w:rPr>
          <w:rFonts w:ascii="宋体" w:hAnsi="宋体" w:cs="宋体" w:eastAsia="宋体" w:hint="default"/>
          <w:sz w:val="18"/>
          <w:szCs w:val="18"/>
        </w:rPr>
        <w:t>、在子公司中的权益。 </w:t>
      </w:r>
      <w:bookmarkStart w:name="3、本企业合营和联营企业情况" w:id="441"/>
      <w:bookmarkEnd w:id="441"/>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pStyle w:val="BodyText"/>
        <w:spacing w:line="360" w:lineRule="auto" w:before="50"/>
        <w:ind w:right="2292"/>
        <w:jc w:val="left"/>
      </w:pPr>
      <w:r>
        <w:rPr/>
        <w:t>本企业重要的合营或联营企业详见附注。 本期与本公司发生关联方交易，或前期与本公司发生关联方交易形成余额的其他合营或联营企业情况如下：</w:t>
      </w: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bl>
    <w:p>
      <w:pPr>
        <w:pStyle w:val="BodyText"/>
        <w:spacing w:line="357" w:lineRule="auto" w:before="65"/>
        <w:ind w:right="100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4、其他关联方情况" w:id="442"/>
      <w:bookmarkEnd w:id="442"/>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9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深圳市如茵生态环境建设有限公司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公司第一大股东妹妹控股的公司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邱荣邦</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沈毅</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本公司股东、原董事兼高管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沈永健</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本公司股东、董事兼高管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赵旭峰</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本公司股东、原董事、现任高管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黄斌</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本公司股东、原监事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黄永忠</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段忠</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本公司原董事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杨文超</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蔡凡</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本公司原董事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刘钧厚</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杨建中</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彭世新</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杨四化</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本公司股东、董事兼高管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吴振志</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矫人全</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颜春晓</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孔德建</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本公司股东、子公司千百辉董事兼总经理</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赵燕泥</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吴涵渠配偶</w:t>
            </w: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5、关联交易情况" w:id="443"/>
      <w:bookmarkEnd w:id="443"/>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购销商品、提供和接受劳务的关联交易" w:id="444"/>
      <w:bookmarkEnd w:id="444"/>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40"/>
        <w:gridCol w:w="1454"/>
        <w:gridCol w:w="1455"/>
        <w:gridCol w:w="1706"/>
        <w:gridCol w:w="1708"/>
        <w:gridCol w:w="1695"/>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6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right="0"/>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8"/>
        <w:gridCol w:w="2259"/>
        <w:gridCol w:w="2260"/>
        <w:gridCol w:w="2652"/>
      </w:tblGrid>
      <w:tr>
        <w:trPr>
          <w:trHeight w:val="402"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right="0"/>
        <w:jc w:val="left"/>
      </w:pPr>
      <w:r>
        <w:rPr/>
        <w:t>购销商品、提供和接受劳务的关联交易说明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2）关联受托管理/承包及委托管理/出包情况" w:id="445"/>
      <w:bookmarkEnd w:id="445"/>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t>本公司受托管理</w:t>
      </w:r>
      <w:r>
        <w:rPr>
          <w:rFonts w:ascii="Times New Roman" w:hAnsi="Times New Roman" w:cs="Times New Roman" w:eastAsia="Times New Roman" w:hint="default"/>
        </w:rPr>
        <w:t>/</w:t>
      </w:r>
      <w:r>
        <w:rPr/>
        <w:t>承包情况表：</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588" w:right="23" w:hanging="56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 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587" w:right="23" w:hanging="56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 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588" w:right="23" w:hanging="56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承包资产类 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8" w:right="23" w:hanging="206"/>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2" w:right="47" w:hanging="65"/>
              <w:jc w:val="left"/>
              <w:rPr>
                <w:rFonts w:ascii="宋体" w:hAnsi="宋体" w:cs="宋体" w:eastAsia="宋体" w:hint="default"/>
                <w:sz w:val="18"/>
                <w:szCs w:val="18"/>
              </w:rPr>
            </w:pPr>
            <w:r>
              <w:rPr>
                <w:rFonts w:ascii="宋体" w:hAnsi="宋体" w:cs="宋体" w:eastAsia="宋体" w:hint="default"/>
                <w:sz w:val="18"/>
                <w:szCs w:val="18"/>
              </w:rPr>
              <w:t>本期确认的托管 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承包收益</w:t>
            </w:r>
          </w:p>
        </w:tc>
      </w:tr>
    </w:tbl>
    <w:p>
      <w:pPr>
        <w:spacing w:after="0" w:line="316" w:lineRule="auto"/>
        <w:jc w:val="left"/>
        <w:rPr>
          <w:rFonts w:ascii="宋体" w:hAnsi="宋体" w:cs="宋体" w:eastAsia="宋体" w:hint="default"/>
          <w:sz w:val="18"/>
          <w:szCs w:val="18"/>
        </w:rPr>
        <w:sectPr>
          <w:pgSz w:w="11910" w:h="16840"/>
          <w:pgMar w:header="747" w:footer="979" w:top="1060" w:bottom="1160" w:left="980" w:right="0"/>
        </w:sectPr>
      </w:pPr>
    </w:p>
    <w:p>
      <w:pPr>
        <w:pStyle w:val="BodyText"/>
        <w:spacing w:line="340" w:lineRule="auto" w:before="51"/>
        <w:ind w:right="-20"/>
        <w:jc w:val="left"/>
      </w:pPr>
      <w:r>
        <w:rPr/>
        <w:t>关联托管</w:t>
      </w:r>
      <w:r>
        <w:rPr>
          <w:rFonts w:ascii="Times New Roman" w:hAnsi="Times New Roman" w:cs="Times New Roman" w:eastAsia="Times New Roman" w:hint="default"/>
        </w:rPr>
        <w:t>/</w:t>
      </w:r>
      <w:r>
        <w:rPr/>
        <w:t>承包情况说明 本公司委托管理</w:t>
      </w:r>
      <w:r>
        <w:rPr>
          <w:rFonts w:ascii="Times New Roman" w:hAnsi="Times New Roman" w:cs="Times New Roman" w:eastAsia="Times New Roman" w:hint="default"/>
        </w:rPr>
        <w:t>/</w:t>
      </w:r>
      <w:r>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2545" w:space="6284"/>
            <w:col w:w="210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8" w:right="23" w:hanging="56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 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7" w:right="23" w:hanging="56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 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8" w:right="23" w:hanging="56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出包资产类 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408" w:right="23" w:hanging="386"/>
              <w:jc w:val="left"/>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出包费定 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92" w:right="47" w:hanging="245"/>
              <w:jc w:val="left"/>
              <w:rPr>
                <w:rFonts w:ascii="宋体" w:hAnsi="宋体" w:cs="宋体" w:eastAsia="宋体" w:hint="default"/>
                <w:sz w:val="18"/>
                <w:szCs w:val="18"/>
              </w:rPr>
            </w:pPr>
            <w:r>
              <w:rPr>
                <w:rFonts w:ascii="宋体" w:hAnsi="宋体" w:cs="宋体" w:eastAsia="宋体" w:hint="default"/>
                <w:sz w:val="18"/>
                <w:szCs w:val="18"/>
              </w:rPr>
              <w:t>本期确认的托管 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pStyle w:val="BodyText"/>
        <w:spacing w:line="240" w:lineRule="auto" w:before="52"/>
        <w:ind w:right="0"/>
        <w:jc w:val="left"/>
      </w:pPr>
      <w:r>
        <w:rPr/>
        <w:t>关联管理</w:t>
      </w:r>
      <w:r>
        <w:rPr>
          <w:rFonts w:ascii="Times New Roman" w:hAnsi="Times New Roman" w:cs="Times New Roman" w:eastAsia="Times New Roman" w:hint="default"/>
        </w:rPr>
        <w:t>/</w:t>
      </w:r>
      <w:r>
        <w:rPr/>
        <w:t>出包情况说明</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3）关联租赁情况" w:id="446"/>
      <w:bookmarkEnd w:id="446"/>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t>本公司作为出租方：</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88"/>
        <w:gridCol w:w="2394"/>
        <w:gridCol w:w="2393"/>
        <w:gridCol w:w="2393"/>
      </w:tblGrid>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8"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深圳市如茵生态环境建设有 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办公场地</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16" w:right="0"/>
              <w:jc w:val="left"/>
              <w:rPr>
                <w:rFonts w:ascii="Times New Roman" w:hAnsi="Times New Roman" w:cs="Times New Roman" w:eastAsia="Times New Roman" w:hint="default"/>
                <w:sz w:val="18"/>
                <w:szCs w:val="18"/>
              </w:rPr>
            </w:pPr>
            <w:r>
              <w:rPr>
                <w:rFonts w:ascii="Times New Roman"/>
                <w:sz w:val="18"/>
              </w:rPr>
              <w:t>1,151,302.08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0" w:right="0"/>
              <w:jc w:val="left"/>
              <w:rPr>
                <w:rFonts w:ascii="Times New Roman" w:hAnsi="Times New Roman" w:cs="Times New Roman" w:eastAsia="Times New Roman" w:hint="default"/>
                <w:sz w:val="18"/>
                <w:szCs w:val="18"/>
              </w:rPr>
            </w:pPr>
            <w:r>
              <w:rPr>
                <w:rFonts w:ascii="Times New Roman"/>
                <w:sz w:val="18"/>
              </w:rPr>
              <w:t>383,767.60</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本公司作为承租方：</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周维君</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办公场地</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9" w:right="0"/>
              <w:jc w:val="left"/>
              <w:rPr>
                <w:rFonts w:ascii="Times New Roman" w:hAnsi="Times New Roman" w:cs="Times New Roman" w:eastAsia="Times New Roman" w:hint="default"/>
                <w:sz w:val="18"/>
                <w:szCs w:val="18"/>
              </w:rPr>
            </w:pPr>
            <w:r>
              <w:rPr>
                <w:rFonts w:ascii="Times New Roman"/>
                <w:sz w:val="18"/>
              </w:rPr>
              <w:t>823,724.00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9" w:right="0"/>
              <w:jc w:val="left"/>
              <w:rPr>
                <w:rFonts w:ascii="Times New Roman" w:hAnsi="Times New Roman" w:cs="Times New Roman" w:eastAsia="Times New Roman" w:hint="default"/>
                <w:sz w:val="18"/>
                <w:szCs w:val="18"/>
              </w:rPr>
            </w:pPr>
            <w:r>
              <w:rPr>
                <w:rFonts w:ascii="Times New Roman"/>
                <w:sz w:val="18"/>
              </w:rPr>
              <w:t>849,000.00</w:t>
            </w:r>
          </w:p>
        </w:tc>
      </w:tr>
    </w:tbl>
    <w:p>
      <w:pPr>
        <w:pStyle w:val="BodyText"/>
        <w:spacing w:line="240" w:lineRule="auto" w:before="51"/>
        <w:ind w:right="0"/>
        <w:jc w:val="left"/>
      </w:pPr>
      <w:r>
        <w:rPr/>
        <w:t>关联租赁情况说明</w:t>
      </w:r>
    </w:p>
    <w:p>
      <w:pPr>
        <w:pStyle w:val="BodyText"/>
        <w:spacing w:line="300" w:lineRule="auto" w:before="116"/>
        <w:ind w:right="1133" w:firstLine="48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11</w:t>
      </w:r>
      <w:r>
        <w:rPr/>
        <w:t>日，奥拓电子作为出租人，与深圳市如茵生态环境建设有限公司签订《房屋租赁合同》，将本公司位于 深圳市南山区南山街道工业村</w:t>
      </w:r>
      <w:r>
        <w:rPr>
          <w:rFonts w:ascii="Times New Roman" w:hAnsi="Times New Roman" w:cs="Times New Roman" w:eastAsia="Times New Roman" w:hint="default"/>
        </w:rPr>
        <w:t>T2</w:t>
      </w:r>
      <w:r>
        <w:rPr/>
        <w:t>栋厂房</w:t>
      </w:r>
      <w:r>
        <w:rPr>
          <w:rFonts w:ascii="Times New Roman" w:hAnsi="Times New Roman" w:cs="Times New Roman" w:eastAsia="Times New Roman" w:hint="default"/>
        </w:rPr>
        <w:t>T2A6-B</w:t>
      </w:r>
      <w:r>
        <w:rPr/>
        <w:t>房屋出租给对方使用。月租金</w:t>
      </w:r>
      <w:r>
        <w:rPr>
          <w:rFonts w:ascii="Times New Roman" w:hAnsi="Times New Roman" w:cs="Times New Roman" w:eastAsia="Times New Roman" w:hint="default"/>
        </w:rPr>
        <w:t>100,739</w:t>
      </w:r>
      <w:r>
        <w:rPr/>
        <w:t>元</w:t>
      </w:r>
      <w:r>
        <w:rPr>
          <w:rFonts w:ascii="Times New Roman" w:hAnsi="Times New Roman" w:cs="Times New Roman" w:eastAsia="Times New Roman" w:hint="default"/>
        </w:rPr>
        <w:t>/</w:t>
      </w:r>
      <w:r>
        <w:rPr/>
        <w:t>月（含税价），</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月开始计算</w:t>
      </w:r>
      <w:r>
        <w:rPr>
          <w:spacing w:val="-84"/>
        </w:rPr>
        <w:t> </w:t>
      </w:r>
      <w:r>
        <w:rPr>
          <w:spacing w:val="-84"/>
        </w:rPr>
      </w:r>
      <w:r>
        <w:rPr/>
        <w:t>租金，合同于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10</w:t>
      </w:r>
      <w:r>
        <w:rPr/>
        <w:t>日到期。</w:t>
      </w:r>
    </w:p>
    <w:p>
      <w:pPr>
        <w:pStyle w:val="BodyText"/>
        <w:spacing w:line="240" w:lineRule="auto" w:before="13"/>
        <w:ind w:left="634" w:right="0"/>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18</w:t>
      </w:r>
      <w:r>
        <w:rPr/>
        <w:t>日，双方签订《房租合同终止确认书》，同意该合同于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28</w:t>
      </w:r>
      <w:r>
        <w:rPr/>
        <w:t>日予以解除。</w:t>
      </w:r>
    </w:p>
    <w:p>
      <w:pPr>
        <w:pStyle w:val="BodyText"/>
        <w:spacing w:line="300" w:lineRule="auto" w:before="63"/>
        <w:ind w:right="1129" w:firstLine="505"/>
        <w:jc w:val="both"/>
      </w:pP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1-8</w:t>
      </w:r>
      <w:r>
        <w:rPr>
          <w:spacing w:val="-1"/>
        </w:rPr>
        <w:t>月本公司之子公司千百辉作为承租人，承租股东周维君位于皇都广场</w:t>
      </w:r>
      <w:r>
        <w:rPr>
          <w:rFonts w:ascii="Times New Roman" w:hAnsi="Times New Roman" w:cs="Times New Roman" w:eastAsia="Times New Roman" w:hint="default"/>
          <w:spacing w:val="-1"/>
        </w:rPr>
        <w:t>3</w:t>
      </w:r>
      <w:r>
        <w:rPr>
          <w:spacing w:val="-1"/>
        </w:rPr>
        <w:t>号楼</w:t>
      </w:r>
      <w:r>
        <w:rPr>
          <w:rFonts w:ascii="Times New Roman" w:hAnsi="Times New Roman" w:cs="Times New Roman" w:eastAsia="Times New Roman" w:hint="default"/>
          <w:spacing w:val="-1"/>
        </w:rPr>
        <w:t>1901</w:t>
      </w:r>
      <w:r>
        <w:rPr>
          <w:spacing w:val="-1"/>
        </w:rPr>
        <w:t>室、</w:t>
      </w:r>
      <w:r>
        <w:rPr>
          <w:rFonts w:ascii="Times New Roman" w:hAnsi="Times New Roman" w:cs="Times New Roman" w:eastAsia="Times New Roman" w:hint="default"/>
          <w:spacing w:val="-1"/>
        </w:rPr>
        <w:t>1902</w:t>
      </w:r>
      <w:r>
        <w:rPr>
          <w:spacing w:val="-1"/>
        </w:rPr>
        <w:t>室、</w:t>
      </w:r>
      <w:r>
        <w:rPr>
          <w:rFonts w:ascii="Times New Roman" w:hAnsi="Times New Roman" w:cs="Times New Roman" w:eastAsia="Times New Roman" w:hint="default"/>
          <w:spacing w:val="-1"/>
        </w:rPr>
        <w:t>1903</w:t>
      </w:r>
      <w:r>
        <w:rPr>
          <w:spacing w:val="-1"/>
        </w:rPr>
        <w:t>室、</w:t>
      </w:r>
      <w:r>
        <w:rPr>
          <w:rFonts w:ascii="Times New Roman" w:hAnsi="Times New Roman" w:cs="Times New Roman" w:eastAsia="Times New Roman" w:hint="default"/>
          <w:spacing w:val="-1"/>
        </w:rPr>
        <w:t>1904</w:t>
      </w:r>
      <w:r>
        <w:rPr>
          <w:rFonts w:ascii="Times New Roman" w:hAnsi="Times New Roman" w:cs="Times New Roman" w:eastAsia="Times New Roman" w:hint="default"/>
        </w:rPr>
        <w:t> </w:t>
      </w:r>
      <w:r>
        <w:rPr>
          <w:spacing w:val="-1"/>
        </w:rPr>
        <w:t>室、</w:t>
      </w:r>
      <w:r>
        <w:rPr>
          <w:rFonts w:ascii="Times New Roman" w:hAnsi="Times New Roman" w:cs="Times New Roman" w:eastAsia="Times New Roman" w:hint="default"/>
          <w:spacing w:val="-1"/>
        </w:rPr>
        <w:t>1905</w:t>
      </w:r>
      <w:r>
        <w:rPr>
          <w:spacing w:val="-1"/>
        </w:rPr>
        <w:t>室、</w:t>
      </w:r>
      <w:r>
        <w:rPr>
          <w:rFonts w:ascii="Times New Roman" w:hAnsi="Times New Roman" w:cs="Times New Roman" w:eastAsia="Times New Roman" w:hint="default"/>
          <w:spacing w:val="-1"/>
        </w:rPr>
        <w:t>1906</w:t>
      </w:r>
      <w:r>
        <w:rPr>
          <w:spacing w:val="-1"/>
        </w:rPr>
        <w:t>室、</w:t>
      </w:r>
      <w:r>
        <w:rPr>
          <w:rFonts w:ascii="Times New Roman" w:hAnsi="Times New Roman" w:cs="Times New Roman" w:eastAsia="Times New Roman" w:hint="default"/>
          <w:spacing w:val="-1"/>
        </w:rPr>
        <w:t>1907</w:t>
      </w:r>
      <w:r>
        <w:rPr>
          <w:spacing w:val="-1"/>
        </w:rPr>
        <w:t>室、</w:t>
      </w:r>
      <w:r>
        <w:rPr>
          <w:rFonts w:ascii="Times New Roman" w:hAnsi="Times New Roman" w:cs="Times New Roman" w:eastAsia="Times New Roman" w:hint="default"/>
          <w:spacing w:val="-1"/>
        </w:rPr>
        <w:t>1908</w:t>
      </w:r>
      <w:r>
        <w:rPr>
          <w:spacing w:val="-1"/>
        </w:rPr>
        <w:t>室、</w:t>
      </w:r>
      <w:r>
        <w:rPr>
          <w:rFonts w:ascii="Times New Roman" w:hAnsi="Times New Roman" w:cs="Times New Roman" w:eastAsia="Times New Roman" w:hint="default"/>
          <w:spacing w:val="-1"/>
        </w:rPr>
        <w:t>1915</w:t>
      </w:r>
      <w:r>
        <w:rPr>
          <w:spacing w:val="-1"/>
        </w:rPr>
        <w:t>室、</w:t>
      </w:r>
      <w:r>
        <w:rPr>
          <w:rFonts w:ascii="Times New Roman" w:hAnsi="Times New Roman" w:cs="Times New Roman" w:eastAsia="Times New Roman" w:hint="default"/>
          <w:spacing w:val="-1"/>
        </w:rPr>
        <w:t>1916</w:t>
      </w:r>
      <w:r>
        <w:rPr>
          <w:spacing w:val="-1"/>
        </w:rPr>
        <w:t>室、</w:t>
      </w:r>
      <w:r>
        <w:rPr>
          <w:rFonts w:ascii="Times New Roman" w:hAnsi="Times New Roman" w:cs="Times New Roman" w:eastAsia="Times New Roman" w:hint="default"/>
          <w:spacing w:val="-1"/>
        </w:rPr>
        <w:t>2011</w:t>
      </w:r>
      <w:r>
        <w:rPr>
          <w:spacing w:val="-1"/>
        </w:rPr>
        <w:t>室、</w:t>
      </w:r>
      <w:r>
        <w:rPr>
          <w:rFonts w:ascii="Times New Roman" w:hAnsi="Times New Roman" w:cs="Times New Roman" w:eastAsia="Times New Roman" w:hint="default"/>
          <w:spacing w:val="-1"/>
        </w:rPr>
        <w:t>2012</w:t>
      </w:r>
      <w:r>
        <w:rPr>
          <w:spacing w:val="-1"/>
        </w:rPr>
        <w:t>室作为办公场地，月租金</w:t>
      </w:r>
      <w:r>
        <w:rPr>
          <w:rFonts w:ascii="Times New Roman" w:hAnsi="Times New Roman" w:cs="Times New Roman" w:eastAsia="Times New Roman" w:hint="default"/>
          <w:spacing w:val="-1"/>
        </w:rPr>
        <w:t>72,000</w:t>
      </w:r>
      <w:r>
        <w:rPr>
          <w:spacing w:val="-1"/>
        </w:rPr>
        <w:t>元；</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9-12</w:t>
      </w:r>
      <w:r>
        <w:rPr>
          <w:spacing w:val="-1"/>
        </w:rPr>
        <w:t>月</w:t>
      </w:r>
      <w:r>
        <w:rPr>
          <w:spacing w:val="-28"/>
        </w:rPr>
        <w:t> </w:t>
      </w:r>
      <w:r>
        <w:rPr/>
        <w:t>承租股东周维君位于皇都广场</w:t>
      </w:r>
      <w:r>
        <w:rPr>
          <w:rFonts w:ascii="Times New Roman" w:hAnsi="Times New Roman" w:cs="Times New Roman" w:eastAsia="Times New Roman" w:hint="default"/>
        </w:rPr>
        <w:t>3</w:t>
      </w:r>
      <w:r>
        <w:rPr/>
        <w:t>号楼</w:t>
      </w:r>
      <w:r>
        <w:rPr>
          <w:rFonts w:ascii="Times New Roman" w:hAnsi="Times New Roman" w:cs="Times New Roman" w:eastAsia="Times New Roman" w:hint="default"/>
        </w:rPr>
        <w:t>1901</w:t>
      </w:r>
      <w:r>
        <w:rPr/>
        <w:t>室、</w:t>
      </w:r>
      <w:r>
        <w:rPr>
          <w:rFonts w:ascii="Times New Roman" w:hAnsi="Times New Roman" w:cs="Times New Roman" w:eastAsia="Times New Roman" w:hint="default"/>
        </w:rPr>
        <w:t>1902</w:t>
      </w:r>
      <w:r>
        <w:rPr/>
        <w:t>室、</w:t>
      </w:r>
      <w:r>
        <w:rPr>
          <w:rFonts w:ascii="Times New Roman" w:hAnsi="Times New Roman" w:cs="Times New Roman" w:eastAsia="Times New Roman" w:hint="default"/>
        </w:rPr>
        <w:t>1903</w:t>
      </w:r>
      <w:r>
        <w:rPr/>
        <w:t>室、</w:t>
      </w:r>
      <w:r>
        <w:rPr>
          <w:rFonts w:ascii="Times New Roman" w:hAnsi="Times New Roman" w:cs="Times New Roman" w:eastAsia="Times New Roman" w:hint="default"/>
        </w:rPr>
        <w:t>1904</w:t>
      </w:r>
      <w:r>
        <w:rPr/>
        <w:t>室、</w:t>
      </w:r>
      <w:r>
        <w:rPr>
          <w:rFonts w:ascii="Times New Roman" w:hAnsi="Times New Roman" w:cs="Times New Roman" w:eastAsia="Times New Roman" w:hint="default"/>
        </w:rPr>
        <w:t>1905</w:t>
      </w:r>
      <w:r>
        <w:rPr/>
        <w:t>室、</w:t>
      </w:r>
      <w:r>
        <w:rPr>
          <w:rFonts w:ascii="Times New Roman" w:hAnsi="Times New Roman" w:cs="Times New Roman" w:eastAsia="Times New Roman" w:hint="default"/>
        </w:rPr>
        <w:t>1906</w:t>
      </w:r>
      <w:r>
        <w:rPr/>
        <w:t>室、</w:t>
      </w:r>
      <w:r>
        <w:rPr>
          <w:rFonts w:ascii="Times New Roman" w:hAnsi="Times New Roman" w:cs="Times New Roman" w:eastAsia="Times New Roman" w:hint="default"/>
        </w:rPr>
        <w:t>1907</w:t>
      </w:r>
      <w:r>
        <w:rPr/>
        <w:t>室、</w:t>
      </w:r>
      <w:r>
        <w:rPr>
          <w:rFonts w:ascii="Times New Roman" w:hAnsi="Times New Roman" w:cs="Times New Roman" w:eastAsia="Times New Roman" w:hint="default"/>
        </w:rPr>
        <w:t>1908</w:t>
      </w:r>
      <w:r>
        <w:rPr/>
        <w:t>室、</w:t>
      </w:r>
      <w:r>
        <w:rPr>
          <w:rFonts w:ascii="Times New Roman" w:hAnsi="Times New Roman" w:cs="Times New Roman" w:eastAsia="Times New Roman" w:hint="default"/>
        </w:rPr>
        <w:t>1915</w:t>
      </w:r>
      <w:r>
        <w:rPr/>
        <w:t>室、</w:t>
      </w:r>
      <w:r>
        <w:rPr>
          <w:rFonts w:ascii="Times New Roman" w:hAnsi="Times New Roman" w:cs="Times New Roman" w:eastAsia="Times New Roman" w:hint="default"/>
        </w:rPr>
        <w:t>1916</w:t>
      </w:r>
      <w:r>
        <w:rPr>
          <w:rFonts w:ascii="Times New Roman" w:hAnsi="Times New Roman" w:cs="Times New Roman" w:eastAsia="Times New Roman" w:hint="default"/>
          <w:spacing w:val="-38"/>
        </w:rPr>
        <w:t> </w:t>
      </w:r>
      <w:r>
        <w:rPr/>
        <w:t>室室作为办公场地</w:t>
      </w:r>
      <w:r>
        <w:rPr>
          <w:rFonts w:ascii="Times New Roman" w:hAnsi="Times New Roman" w:cs="Times New Roman" w:eastAsia="Times New Roman" w:hint="default"/>
        </w:rPr>
        <w:t>,</w:t>
      </w:r>
      <w:r>
        <w:rPr>
          <w:rFonts w:ascii="Times New Roman" w:hAnsi="Times New Roman" w:cs="Times New Roman" w:eastAsia="Times New Roman" w:hint="default"/>
          <w:spacing w:val="26"/>
        </w:rPr>
        <w:t> </w:t>
      </w:r>
      <w:r>
        <w:rPr/>
        <w:t>月房租</w:t>
      </w:r>
      <w:r>
        <w:rPr>
          <w:rFonts w:ascii="Times New Roman" w:hAnsi="Times New Roman" w:cs="Times New Roman" w:eastAsia="Times New Roman" w:hint="default"/>
        </w:rPr>
        <w:t>61,931</w:t>
      </w:r>
      <w:r>
        <w:rPr/>
        <w:t>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5"/>
          <w:szCs w:val="15"/>
        </w:rPr>
      </w:pPr>
    </w:p>
    <w:p>
      <w:pPr>
        <w:pStyle w:val="Heading4"/>
        <w:spacing w:line="240" w:lineRule="auto"/>
        <w:ind w:right="0"/>
        <w:jc w:val="left"/>
        <w:rPr>
          <w:b w:val="0"/>
          <w:bCs w:val="0"/>
        </w:rPr>
      </w:pPr>
      <w:bookmarkStart w:name="（4）关联担保情况" w:id="447"/>
      <w:bookmarkEnd w:id="447"/>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本公司作为担保方</w:t>
      </w:r>
    </w:p>
    <w:p>
      <w:pPr>
        <w:pStyle w:val="BodyText"/>
        <w:spacing w:line="240" w:lineRule="auto" w:before="116"/>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惠州奥拓（注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7" w:right="0"/>
              <w:jc w:val="left"/>
              <w:rPr>
                <w:rFonts w:ascii="宋体" w:hAnsi="宋体" w:cs="宋体" w:eastAsia="宋体" w:hint="default"/>
                <w:sz w:val="18"/>
                <w:szCs w:val="18"/>
              </w:rPr>
            </w:pPr>
            <w:r>
              <w:rPr>
                <w:rFonts w:ascii="宋体" w:hAnsi="宋体" w:cs="宋体" w:eastAsia="宋体" w:hint="default"/>
                <w:sz w:val="18"/>
                <w:szCs w:val="18"/>
              </w:rPr>
              <w:t>保证期间为主债务履行期间届满之日起两年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7" w:right="0"/>
              <w:jc w:val="left"/>
              <w:rPr>
                <w:rFonts w:ascii="宋体" w:hAnsi="宋体" w:cs="宋体" w:eastAsia="宋体" w:hint="default"/>
                <w:sz w:val="18"/>
                <w:szCs w:val="18"/>
              </w:rPr>
            </w:pPr>
            <w:r>
              <w:rPr>
                <w:rFonts w:ascii="宋体" w:hAnsi="宋体" w:cs="宋体" w:eastAsia="宋体" w:hint="default"/>
                <w:sz w:val="18"/>
                <w:szCs w:val="18"/>
              </w:rPr>
              <w:t>保证期间为主债务履行期间届满之日起两年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惠州奥拓（注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7" w:right="0"/>
              <w:jc w:val="left"/>
              <w:rPr>
                <w:rFonts w:ascii="宋体" w:hAnsi="宋体" w:cs="宋体" w:eastAsia="宋体" w:hint="default"/>
                <w:sz w:val="18"/>
                <w:szCs w:val="18"/>
              </w:rPr>
            </w:pPr>
            <w:r>
              <w:rPr>
                <w:rFonts w:ascii="宋体" w:hAnsi="宋体" w:cs="宋体" w:eastAsia="宋体" w:hint="default"/>
                <w:sz w:val="18"/>
                <w:szCs w:val="18"/>
              </w:rPr>
              <w:t>保证期间为主债务履行期间届满之日起两年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7" w:right="0"/>
              <w:jc w:val="left"/>
              <w:rPr>
                <w:rFonts w:ascii="宋体" w:hAnsi="宋体" w:cs="宋体" w:eastAsia="宋体" w:hint="default"/>
                <w:sz w:val="18"/>
                <w:szCs w:val="18"/>
              </w:rPr>
            </w:pPr>
            <w:r>
              <w:rPr>
                <w:rFonts w:ascii="宋体" w:hAnsi="宋体" w:cs="宋体" w:eastAsia="宋体" w:hint="default"/>
                <w:sz w:val="18"/>
                <w:szCs w:val="18"/>
              </w:rPr>
              <w:t>保证期间为主债务履行期间届满之日起两年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千百辉（注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3"/>
              <w:jc w:val="right"/>
              <w:rPr>
                <w:rFonts w:ascii="Arial" w:hAnsi="Arial" w:cs="Arial" w:eastAsia="Arial" w:hint="default"/>
                <w:sz w:val="18"/>
                <w:szCs w:val="18"/>
              </w:rPr>
            </w:pPr>
            <w:r>
              <w:rPr>
                <w:rFonts w:ascii="Arial"/>
                <w:spacing w:val="-1"/>
                <w:sz w:val="18"/>
              </w:rPr>
              <w:t>4,130,130.32</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97" w:right="108" w:hanging="990"/>
              <w:jc w:val="left"/>
              <w:rPr>
                <w:rFonts w:ascii="宋体" w:hAnsi="宋体" w:cs="宋体" w:eastAsia="宋体" w:hint="default"/>
                <w:sz w:val="18"/>
                <w:szCs w:val="18"/>
              </w:rPr>
            </w:pPr>
            <w:r>
              <w:rPr>
                <w:rFonts w:ascii="宋体" w:hAnsi="宋体" w:cs="宋体" w:eastAsia="宋体" w:hint="default"/>
                <w:sz w:val="18"/>
                <w:szCs w:val="18"/>
              </w:rPr>
              <w:t>保证期间自银行出具保函之日起至银行在保函 项下责任解除之日止</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90"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2" w:right="0"/>
              <w:jc w:val="left"/>
              <w:rPr>
                <w:rFonts w:ascii="宋体" w:hAnsi="宋体" w:cs="宋体" w:eastAsia="宋体" w:hint="default"/>
                <w:sz w:val="18"/>
                <w:szCs w:val="18"/>
              </w:rPr>
            </w:pPr>
            <w:r>
              <w:rPr>
                <w:rFonts w:ascii="宋体" w:hAnsi="宋体" w:cs="宋体" w:eastAsia="宋体" w:hint="default"/>
                <w:sz w:val="18"/>
                <w:szCs w:val="18"/>
              </w:rPr>
              <w:t>惠州奥拓（注</w:t>
            </w:r>
            <w:r>
              <w:rPr>
                <w:rFonts w:ascii="宋体" w:hAnsi="宋体" w:cs="宋体" w:eastAsia="宋体" w:hint="default"/>
                <w:spacing w:val="-47"/>
                <w:sz w:val="18"/>
                <w:szCs w:val="18"/>
              </w:rPr>
              <w:t> </w:t>
            </w:r>
            <w:r>
              <w:rPr>
                <w:rFonts w:ascii="Arial" w:hAnsi="Arial" w:cs="Arial" w:eastAsia="Arial" w:hint="default"/>
                <w:sz w:val="18"/>
                <w:szCs w:val="18"/>
              </w:rPr>
              <w:t>7</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3"/>
              <w:jc w:val="right"/>
              <w:rPr>
                <w:rFonts w:ascii="Arial" w:hAnsi="Arial" w:cs="Arial" w:eastAsia="Arial" w:hint="default"/>
                <w:sz w:val="18"/>
                <w:szCs w:val="18"/>
              </w:rPr>
            </w:pPr>
            <w:r>
              <w:rPr>
                <w:rFonts w:ascii="Arial"/>
                <w:spacing w:val="-1"/>
                <w:sz w:val="18"/>
              </w:rPr>
              <w:t>20,000,000.00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保证期间为主债务履行期间届满之日起两年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pStyle w:val="BodyText"/>
        <w:spacing w:line="240" w:lineRule="auto" w:before="51"/>
        <w:ind w:right="0"/>
        <w:jc w:val="left"/>
      </w:pPr>
      <w:r>
        <w:rPr/>
        <w:t>本公司作为被担保方</w:t>
      </w:r>
    </w:p>
    <w:p>
      <w:pPr>
        <w:pStyle w:val="BodyText"/>
        <w:spacing w:line="240" w:lineRule="auto" w:before="117"/>
        <w:ind w:left="0" w:right="1130"/>
        <w:jc w:val="right"/>
      </w:pPr>
      <w:r>
        <w:rPr/>
        <w:pict>
          <v:group style="position:absolute;margin-left:153.740005pt;margin-top:94.781723pt;width:93.05pt;height:19.6pt;mso-position-horizontal-relative:page;mso-position-vertical-relative:paragraph;z-index:-1173280" coordorigin="3075,1896" coordsize="1861,392">
            <v:shape style="position:absolute;left:3075;top:1896;width:1861;height:392" coordorigin="3075,1896" coordsize="1861,392" path="m3075,2287l4935,2287,4935,1896,3075,1896,3075,2287xe" filled="true" fillcolor="#ffffff" stroked="false">
              <v:path arrowok="t"/>
              <v:fill type="solid"/>
            </v:shape>
            <w10:wrap type="none"/>
          </v:group>
        </w:pict>
      </w: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吴涵渠（注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637" w:right="468" w:hanging="1530"/>
              <w:jc w:val="left"/>
              <w:rPr>
                <w:rFonts w:ascii="宋体" w:hAnsi="宋体" w:cs="宋体" w:eastAsia="宋体" w:hint="default"/>
                <w:sz w:val="18"/>
                <w:szCs w:val="18"/>
              </w:rPr>
            </w:pPr>
            <w:r>
              <w:rPr>
                <w:rFonts w:ascii="宋体" w:hAnsi="宋体" w:cs="宋体" w:eastAsia="宋体" w:hint="default"/>
                <w:sz w:val="18"/>
                <w:szCs w:val="18"/>
              </w:rPr>
              <w:t>保证期间为主债务发生期间届满之日起两 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913" w:type="dxa"/>
            <w:tcBorders>
              <w:top w:val="single" w:sz="4" w:space="0" w:color="000000"/>
              <w:left w:val="single" w:sz="4" w:space="0" w:color="000000"/>
              <w:bottom w:val="single" w:sz="4" w:space="0" w:color="000000"/>
              <w:right w:val="single" w:sz="9" w:space="0" w:color="FFFFFF"/>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吴涵渠、赵燕泥（注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p>
        </w:tc>
        <w:tc>
          <w:tcPr>
            <w:tcW w:w="1916"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tabs>
                <w:tab w:pos="840" w:val="left" w:leader="none"/>
              </w:tabs>
              <w:spacing w:line="240" w:lineRule="auto" w:before="129"/>
              <w:ind w:left="-143" w:right="21"/>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50,000,000.00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21"/>
              <w:jc w:val="center"/>
              <w:rPr>
                <w:rFonts w:ascii="宋体" w:hAnsi="宋体" w:cs="宋体" w:eastAsia="宋体" w:hint="default"/>
                <w:sz w:val="18"/>
                <w:szCs w:val="18"/>
              </w:rPr>
            </w:pPr>
            <w:r>
              <w:rPr>
                <w:rFonts w:ascii="宋体" w:hAnsi="宋体" w:cs="宋体" w:eastAsia="宋体" w:hint="default"/>
                <w:spacing w:val="-1"/>
                <w:sz w:val="18"/>
                <w:szCs w:val="18"/>
              </w:rPr>
              <w:t>自本担保书生效之日起至《授信协议》项下每笔</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贷款或其他融资或贵行受让的应收账款债权的 到期日或每笔垫款的垫款日另加三年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吴涵渠（注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120,000,000.00</w:t>
            </w:r>
          </w:p>
        </w:tc>
        <w:tc>
          <w:tcPr>
            <w:tcW w:w="38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保证期间为主债务履行期间届满之日起两年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0"/>
        <w:jc w:val="left"/>
      </w:pPr>
      <w:r>
        <w:rPr/>
        <w:t>关联担保情况说明</w:t>
      </w:r>
    </w:p>
    <w:p>
      <w:pPr>
        <w:pStyle w:val="BodyText"/>
        <w:spacing w:line="300" w:lineRule="auto" w:before="115"/>
        <w:ind w:right="1128" w:firstLine="480"/>
        <w:jc w:val="both"/>
      </w:pPr>
      <w:r>
        <w:rPr>
          <w:spacing w:val="-1"/>
        </w:rPr>
        <w:t>注</w:t>
      </w:r>
      <w:r>
        <w:rPr>
          <w:rFonts w:ascii="Times New Roman" w:hAnsi="Times New Roman" w:cs="Times New Roman" w:eastAsia="Times New Roman" w:hint="default"/>
          <w:spacing w:val="-1"/>
        </w:rPr>
        <w:t>1</w:t>
      </w:r>
      <w:r>
        <w:rPr>
          <w:spacing w:val="-1"/>
        </w:rPr>
        <w:t>：深圳市奥拓电子股份有限公司于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9</w:t>
      </w:r>
      <w:r>
        <w:rPr>
          <w:spacing w:val="-1"/>
        </w:rPr>
        <w:t>月</w:t>
      </w:r>
      <w:r>
        <w:rPr>
          <w:rFonts w:ascii="Times New Roman" w:hAnsi="Times New Roman" w:cs="Times New Roman" w:eastAsia="Times New Roman" w:hint="default"/>
          <w:spacing w:val="-1"/>
        </w:rPr>
        <w:t>18</w:t>
      </w:r>
      <w:r>
        <w:rPr>
          <w:spacing w:val="-1"/>
        </w:rPr>
        <w:t>日与中国民生银行股份有限公司深圳南山支行签订《最高额保证合</w:t>
      </w:r>
      <w:r>
        <w:rPr/>
        <w:t> 同》，为惠州市奥拓电子科技有限公司与中国民生银行股份有限公司深圳分行签订的编号为公承兑字第高新区综</w:t>
      </w:r>
      <w:r>
        <w:rPr>
          <w:rFonts w:ascii="Times New Roman" w:hAnsi="Times New Roman" w:cs="Times New Roman" w:eastAsia="Times New Roman" w:hint="default"/>
        </w:rPr>
        <w:t>18009-2</w:t>
      </w:r>
      <w:r>
        <w:rPr/>
        <w:t>号</w:t>
      </w:r>
    </w:p>
    <w:p>
      <w:pPr>
        <w:pStyle w:val="BodyText"/>
        <w:spacing w:line="300" w:lineRule="auto" w:before="13"/>
        <w:ind w:left="634" w:right="1118" w:hanging="480"/>
        <w:jc w:val="left"/>
      </w:pPr>
      <w:r>
        <w:rPr/>
        <w:t>《银行承兑协议》提供连带责任保证，担保金额</w:t>
      </w:r>
      <w:r>
        <w:rPr>
          <w:rFonts w:ascii="Times New Roman" w:hAnsi="Times New Roman" w:cs="Times New Roman" w:eastAsia="Times New Roman" w:hint="default"/>
        </w:rPr>
        <w:t>2,000</w:t>
      </w:r>
      <w:r>
        <w:rPr/>
        <w:t>万。</w:t>
      </w:r>
      <w:r>
        <w:rPr>
          <w:spacing w:val="-2"/>
        </w:rPr>
        <w:t> </w:t>
      </w:r>
      <w:r>
        <w:rPr/>
        <w:t>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日，此担保合同下开具银行承兑汇票</w:t>
      </w:r>
      <w:r>
        <w:rPr>
          <w:rFonts w:ascii="Times New Roman" w:hAnsi="Times New Roman" w:cs="Times New Roman" w:eastAsia="Times New Roman" w:hint="default"/>
        </w:rPr>
        <w:t>16,499,160.01</w:t>
      </w:r>
      <w:r>
        <w:rPr/>
        <w:t>元。</w:t>
      </w:r>
      <w:r>
        <w:rPr>
          <w:spacing w:val="-2"/>
        </w:rPr>
        <w:t> </w:t>
      </w:r>
      <w:r>
        <w:rPr>
          <w:spacing w:val="-1"/>
        </w:rPr>
        <w:t>注</w:t>
      </w:r>
      <w:r>
        <w:rPr>
          <w:rFonts w:ascii="Times New Roman" w:hAnsi="Times New Roman" w:cs="Times New Roman" w:eastAsia="Times New Roman" w:hint="default"/>
          <w:spacing w:val="-1"/>
        </w:rPr>
        <w:t>2</w:t>
      </w:r>
      <w:r>
        <w:rPr>
          <w:spacing w:val="-1"/>
        </w:rPr>
        <w:t>：深圳市奥拓电子股份有限公司、子公司千百辉董事沈永健、董事兼总经理周维君于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6</w:t>
      </w:r>
      <w:r>
        <w:rPr>
          <w:spacing w:val="-1"/>
        </w:rPr>
        <w:t>月与招商银行股份有</w:t>
      </w:r>
    </w:p>
    <w:p>
      <w:pPr>
        <w:pStyle w:val="BodyText"/>
        <w:spacing w:line="300" w:lineRule="auto" w:before="13"/>
        <w:ind w:right="1032"/>
        <w:jc w:val="left"/>
      </w:pPr>
      <w:r>
        <w:rPr>
          <w:spacing w:val="-5"/>
          <w:w w:val="99"/>
        </w:rPr>
        <w:t>限公司深圳分行签订编号为</w:t>
      </w:r>
      <w:r>
        <w:rPr>
          <w:rFonts w:ascii="Times New Roman" w:hAnsi="Times New Roman" w:cs="Times New Roman" w:eastAsia="Times New Roman" w:hint="default"/>
          <w:spacing w:val="-5"/>
          <w:w w:val="99"/>
        </w:rPr>
        <w:t>755XY201801615603</w:t>
      </w:r>
      <w:r>
        <w:rPr>
          <w:spacing w:val="-5"/>
          <w:w w:val="99"/>
        </w:rPr>
        <w:t>、</w:t>
      </w:r>
      <w:r>
        <w:rPr>
          <w:rFonts w:ascii="Times New Roman" w:hAnsi="Times New Roman" w:cs="Times New Roman" w:eastAsia="Times New Roman" w:hint="default"/>
          <w:spacing w:val="-5"/>
          <w:w w:val="99"/>
        </w:rPr>
        <w:t>755XY201801615604</w:t>
      </w:r>
      <w:r>
        <w:rPr>
          <w:spacing w:val="-5"/>
          <w:w w:val="99"/>
        </w:rPr>
        <w:t>、</w:t>
      </w:r>
      <w:r>
        <w:rPr>
          <w:rFonts w:ascii="Times New Roman" w:hAnsi="Times New Roman" w:cs="Times New Roman" w:eastAsia="Times New Roman" w:hint="default"/>
          <w:spacing w:val="-5"/>
          <w:w w:val="99"/>
        </w:rPr>
        <w:t>755XY201801615605</w:t>
      </w:r>
      <w:r>
        <w:rPr>
          <w:spacing w:val="-5"/>
          <w:w w:val="99"/>
        </w:rPr>
        <w:t>号的《最高额不可撤销担保书》，</w:t>
      </w:r>
      <w:r>
        <w:rPr>
          <w:spacing w:val="-14"/>
          <w:w w:val="99"/>
        </w:rPr>
        <w:t> </w:t>
      </w:r>
      <w:r>
        <w:rPr>
          <w:spacing w:val="-14"/>
          <w:w w:val="99"/>
        </w:rPr>
      </w:r>
      <w:r>
        <w:rPr>
          <w:spacing w:val="-2"/>
        </w:rPr>
        <w:t>为千百辉公司与招商银行股份有限公司深圳分行签订的编号为</w:t>
      </w:r>
      <w:r>
        <w:rPr>
          <w:rFonts w:ascii="Times New Roman" w:hAnsi="Times New Roman" w:cs="Times New Roman" w:eastAsia="Times New Roman" w:hint="default"/>
          <w:spacing w:val="-2"/>
        </w:rPr>
        <w:t>755XY2018016156</w:t>
      </w:r>
      <w:r>
        <w:rPr>
          <w:spacing w:val="-2"/>
        </w:rPr>
        <w:t>号《授信协议》提供连带责任保证，担保金</w:t>
      </w:r>
      <w:r>
        <w:rPr>
          <w:spacing w:val="-40"/>
        </w:rPr>
        <w:t> </w:t>
      </w:r>
      <w:r>
        <w:rPr>
          <w:spacing w:val="-40"/>
        </w:rPr>
      </w:r>
      <w:r>
        <w:rPr/>
        <w:t>额</w:t>
      </w:r>
      <w:r>
        <w:rPr>
          <w:rFonts w:ascii="Times New Roman" w:hAnsi="Times New Roman" w:cs="Times New Roman" w:eastAsia="Times New Roman" w:hint="default"/>
        </w:rPr>
        <w:t>14,000</w:t>
      </w:r>
      <w:r>
        <w:rPr/>
        <w:t>万。</w:t>
      </w:r>
    </w:p>
    <w:p>
      <w:pPr>
        <w:pStyle w:val="BodyText"/>
        <w:spacing w:line="300" w:lineRule="auto" w:before="13"/>
        <w:ind w:left="634" w:right="0"/>
        <w:jc w:val="left"/>
      </w:pPr>
      <w:r>
        <w:rPr/>
        <w:t>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日，此担保合同下贷款</w:t>
      </w:r>
      <w:r>
        <w:rPr>
          <w:rFonts w:ascii="Times New Roman" w:hAnsi="Times New Roman" w:cs="Times New Roman" w:eastAsia="Times New Roman" w:hint="default"/>
        </w:rPr>
        <w:t>4,000</w:t>
      </w:r>
      <w:r>
        <w:rPr/>
        <w:t>万，信用证</w:t>
      </w:r>
      <w:r>
        <w:rPr>
          <w:rFonts w:ascii="Times New Roman" w:hAnsi="Times New Roman" w:cs="Times New Roman" w:eastAsia="Times New Roman" w:hint="default"/>
        </w:rPr>
        <w:t>1,000</w:t>
      </w:r>
      <w:r>
        <w:rPr/>
        <w:t>万。 注</w:t>
      </w:r>
      <w:r>
        <w:rPr>
          <w:rFonts w:ascii="Times New Roman" w:hAnsi="Times New Roman" w:cs="Times New Roman" w:eastAsia="Times New Roman" w:hint="default"/>
        </w:rPr>
        <w:t>3</w:t>
      </w:r>
      <w:r>
        <w:rPr/>
        <w:t>：深圳市奥拓电子股份有限公司于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28</w:t>
      </w:r>
      <w:r>
        <w:rPr/>
        <w:t>日，与上海科锐光电发展有限公司深圳分公司签订的《信用担保</w:t>
      </w:r>
    </w:p>
    <w:p>
      <w:pPr>
        <w:pStyle w:val="BodyText"/>
        <w:spacing w:line="316" w:lineRule="auto" w:before="13"/>
        <w:ind w:right="0"/>
        <w:jc w:val="left"/>
      </w:pPr>
      <w:r>
        <w:rPr>
          <w:spacing w:val="-2"/>
        </w:rPr>
        <w:t>协议》，为惠州市奥拓电子科技有限公司与上海科锐光电发展有限公司深圳分公司所订立的原材料采购合同项下所形成的所</w:t>
      </w:r>
      <w:r>
        <w:rPr>
          <w:spacing w:val="-64"/>
        </w:rPr>
        <w:t> </w:t>
      </w:r>
      <w:r>
        <w:rPr>
          <w:spacing w:val="-64"/>
        </w:rPr>
      </w:r>
      <w:r>
        <w:rPr/>
        <w:t>有债务提供连带责任保证</w:t>
      </w:r>
      <w:r>
        <w:rPr>
          <w:rFonts w:ascii="Times New Roman" w:hAnsi="Times New Roman" w:cs="Times New Roman" w:eastAsia="Times New Roman" w:hint="default"/>
        </w:rPr>
        <w:t>,</w:t>
      </w:r>
      <w:r>
        <w:rPr/>
        <w:t>担保金额</w:t>
      </w:r>
      <w:r>
        <w:rPr>
          <w:rFonts w:ascii="Times New Roman" w:hAnsi="Times New Roman" w:cs="Times New Roman" w:eastAsia="Times New Roman" w:hint="default"/>
        </w:rPr>
        <w:t>1,500</w:t>
      </w:r>
      <w:r>
        <w:rPr/>
        <w:t>万。</w:t>
      </w:r>
    </w:p>
    <w:p>
      <w:pPr>
        <w:pStyle w:val="BodyText"/>
        <w:spacing w:line="300" w:lineRule="auto"/>
        <w:ind w:left="634" w:right="0"/>
        <w:jc w:val="left"/>
      </w:pPr>
      <w:r>
        <w:rPr/>
        <w:t>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日，此担保协议下有应付账款</w:t>
      </w:r>
      <w:r>
        <w:rPr>
          <w:rFonts w:ascii="Times New Roman" w:hAnsi="Times New Roman" w:cs="Times New Roman" w:eastAsia="Times New Roman" w:hint="default"/>
        </w:rPr>
        <w:t>551,884</w:t>
      </w:r>
      <w:r>
        <w:rPr/>
        <w:t>元。 注</w:t>
      </w:r>
      <w:r>
        <w:rPr>
          <w:rFonts w:ascii="Times New Roman" w:hAnsi="Times New Roman" w:cs="Times New Roman" w:eastAsia="Times New Roman" w:hint="default"/>
        </w:rPr>
        <w:t>4</w:t>
      </w:r>
      <w:r>
        <w:rPr/>
        <w:t>：子公司千百辉董事沈永健、董事兼总经理周维君、深圳市奥拓电子股份有限公司于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8</w:t>
      </w:r>
      <w:r>
        <w:rPr/>
        <w:t>日与招商银行股</w:t>
      </w:r>
    </w:p>
    <w:p>
      <w:pPr>
        <w:pStyle w:val="BodyText"/>
        <w:spacing w:line="240" w:lineRule="auto" w:before="13"/>
        <w:ind w:right="0"/>
        <w:jc w:val="left"/>
      </w:pPr>
      <w:r>
        <w:rPr/>
        <w:t>份</w:t>
      </w:r>
      <w:r>
        <w:rPr>
          <w:spacing w:val="-64"/>
        </w:rPr>
        <w:t> </w:t>
      </w:r>
      <w:r>
        <w:rPr/>
        <w:t>有</w:t>
      </w:r>
      <w:r>
        <w:rPr>
          <w:spacing w:val="-64"/>
        </w:rPr>
        <w:t> </w:t>
      </w:r>
      <w:r>
        <w:rPr/>
        <w:t>限</w:t>
      </w:r>
      <w:r>
        <w:rPr>
          <w:spacing w:val="-66"/>
        </w:rPr>
        <w:t> </w:t>
      </w:r>
      <w:r>
        <w:rPr/>
        <w:t>公</w:t>
      </w:r>
      <w:r>
        <w:rPr>
          <w:spacing w:val="-64"/>
        </w:rPr>
        <w:t> </w:t>
      </w:r>
      <w:r>
        <w:rPr/>
        <w:t>司</w:t>
      </w:r>
      <w:r>
        <w:rPr>
          <w:spacing w:val="-66"/>
        </w:rPr>
        <w:t> </w:t>
      </w:r>
      <w:r>
        <w:rPr/>
        <w:t>深</w:t>
      </w:r>
      <w:r>
        <w:rPr>
          <w:spacing w:val="-64"/>
        </w:rPr>
        <w:t> </w:t>
      </w:r>
      <w:r>
        <w:rPr/>
        <w:t>圳</w:t>
      </w:r>
      <w:r>
        <w:rPr>
          <w:spacing w:val="-64"/>
        </w:rPr>
        <w:t> </w:t>
      </w:r>
      <w:r>
        <w:rPr/>
        <w:t>分</w:t>
      </w:r>
      <w:r>
        <w:rPr>
          <w:spacing w:val="-66"/>
        </w:rPr>
        <w:t> </w:t>
      </w:r>
      <w:r>
        <w:rPr/>
        <w:t>行</w:t>
      </w:r>
      <w:r>
        <w:rPr>
          <w:spacing w:val="-64"/>
        </w:rPr>
        <w:t> </w:t>
      </w:r>
      <w:r>
        <w:rPr/>
        <w:t>签</w:t>
      </w:r>
      <w:r>
        <w:rPr>
          <w:spacing w:val="-66"/>
        </w:rPr>
        <w:t> </w:t>
      </w:r>
      <w:r>
        <w:rPr/>
        <w:t>订</w:t>
      </w:r>
      <w:r>
        <w:rPr>
          <w:spacing w:val="-64"/>
        </w:rPr>
        <w:t> </w:t>
      </w:r>
      <w:r>
        <w:rPr/>
        <w:t>编</w:t>
      </w:r>
      <w:r>
        <w:rPr>
          <w:spacing w:val="-64"/>
        </w:rPr>
        <w:t> </w:t>
      </w:r>
      <w:r>
        <w:rPr/>
        <w:t>号</w:t>
      </w:r>
      <w:r>
        <w:rPr>
          <w:spacing w:val="-66"/>
        </w:rPr>
        <w:t> </w:t>
      </w:r>
      <w:r>
        <w:rPr/>
        <w:t>为</w:t>
      </w:r>
      <w:r>
        <w:rPr>
          <w:spacing w:val="-6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1"/>
        </w:rPr>
        <w:t> </w:t>
      </w:r>
      <w:r>
        <w:rPr/>
        <w:t>年</w:t>
      </w:r>
      <w:r>
        <w:rPr>
          <w:spacing w:val="-64"/>
        </w:rPr>
        <w:t> </w:t>
      </w:r>
      <w:r>
        <w:rPr/>
        <w:t>罗</w:t>
      </w:r>
      <w:r>
        <w:rPr>
          <w:spacing w:val="-64"/>
        </w:rPr>
        <w:t> </w:t>
      </w:r>
      <w:r>
        <w:rPr/>
        <w:t>字</w:t>
      </w:r>
      <w:r>
        <w:rPr>
          <w:spacing w:val="-66"/>
        </w:rPr>
        <w:t> </w:t>
      </w:r>
      <w:r>
        <w:rPr/>
        <w:t>第</w:t>
      </w:r>
      <w:r>
        <w:rPr>
          <w:spacing w:val="-64"/>
        </w:rPr>
        <w:t> </w:t>
      </w:r>
      <w:r>
        <w:rPr>
          <w:rFonts w:ascii="Times New Roman" w:hAnsi="Times New Roman" w:cs="Times New Roman" w:eastAsia="Times New Roman" w:hint="default"/>
        </w:rPr>
        <w:t>0017320174-01</w:t>
      </w:r>
      <w:r>
        <w:rPr>
          <w:rFonts w:ascii="Times New Roman" w:hAnsi="Times New Roman" w:cs="Times New Roman" w:eastAsia="Times New Roman" w:hint="default"/>
          <w:spacing w:val="-19"/>
        </w:rPr>
        <w:t> </w:t>
      </w:r>
      <w:r>
        <w:rPr>
          <w:spacing w:val="12"/>
        </w:rPr>
        <w:t>号、</w:t>
      </w:r>
      <w:r>
        <w:rPr>
          <w:spacing w:val="-6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9"/>
        </w:rPr>
        <w:t> </w:t>
      </w:r>
      <w:r>
        <w:rPr/>
        <w:t>年</w:t>
      </w:r>
      <w:r>
        <w:rPr>
          <w:spacing w:val="-64"/>
        </w:rPr>
        <w:t> </w:t>
      </w:r>
      <w:r>
        <w:rPr/>
        <w:t>罗</w:t>
      </w:r>
      <w:r>
        <w:rPr>
          <w:spacing w:val="-66"/>
        </w:rPr>
        <w:t> </w:t>
      </w:r>
      <w:r>
        <w:rPr/>
        <w:t>字</w:t>
      </w:r>
      <w:r>
        <w:rPr>
          <w:spacing w:val="-64"/>
        </w:rPr>
        <w:t> </w:t>
      </w:r>
      <w:r>
        <w:rPr/>
        <w:t>第</w:t>
      </w:r>
      <w:r>
        <w:rPr>
          <w:spacing w:val="-66"/>
        </w:rPr>
        <w:t> </w:t>
      </w:r>
      <w:r>
        <w:rPr>
          <w:rFonts w:ascii="Times New Roman" w:hAnsi="Times New Roman" w:cs="Times New Roman" w:eastAsia="Times New Roman" w:hint="default"/>
        </w:rPr>
        <w:t>0017320174-02</w:t>
      </w:r>
      <w:r>
        <w:rPr>
          <w:rFonts w:ascii="Times New Roman" w:hAnsi="Times New Roman" w:cs="Times New Roman" w:eastAsia="Times New Roman" w:hint="default"/>
          <w:spacing w:val="-21"/>
        </w:rPr>
        <w:t> </w:t>
      </w:r>
      <w:r>
        <w:rPr>
          <w:spacing w:val="13"/>
        </w:rPr>
        <w:t>号、</w:t>
      </w:r>
      <w:r>
        <w:rPr>
          <w:spacing w:val="-6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1"/>
        </w:rPr>
        <w:t> </w:t>
      </w:r>
      <w:r>
        <w:rPr/>
        <w:t>年</w:t>
      </w:r>
      <w:r>
        <w:rPr>
          <w:spacing w:val="-64"/>
        </w:rPr>
        <w:t> </w:t>
      </w:r>
      <w:r>
        <w:rPr/>
        <w:t>罗</w:t>
      </w:r>
      <w:r>
        <w:rPr>
          <w:spacing w:val="-66"/>
        </w:rPr>
        <w:t> </w:t>
      </w:r>
      <w:r>
        <w:rPr/>
        <w:t>字</w:t>
      </w:r>
      <w:r>
        <w:rPr>
          <w:spacing w:val="-64"/>
        </w:rPr>
        <w:t> </w:t>
      </w:r>
      <w:r>
        <w:rPr/>
        <w:t>第</w:t>
      </w:r>
    </w:p>
    <w:p>
      <w:pPr>
        <w:pStyle w:val="BodyText"/>
        <w:spacing w:line="240" w:lineRule="auto" w:before="63"/>
        <w:ind w:right="0"/>
        <w:jc w:val="left"/>
      </w:pPr>
      <w:r>
        <w:rPr>
          <w:rFonts w:ascii="Times New Roman" w:hAnsi="Times New Roman" w:cs="Times New Roman" w:eastAsia="Times New Roman" w:hint="default"/>
        </w:rPr>
        <w:t>0017320174-03</w:t>
      </w:r>
      <w:r>
        <w:rPr/>
        <w:t>号的《最高额不可撤销担保书》，为千百辉公司与招商银行股份有限公司深圳分行签订的编号为</w:t>
      </w:r>
      <w:r>
        <w:rPr>
          <w:rFonts w:ascii="Times New Roman" w:hAnsi="Times New Roman" w:cs="Times New Roman" w:eastAsia="Times New Roman" w:hint="default"/>
        </w:rPr>
        <w:t>00732174</w:t>
      </w:r>
      <w:r>
        <w:rPr/>
        <w:t>号</w:t>
      </w:r>
    </w:p>
    <w:p>
      <w:pPr>
        <w:pStyle w:val="BodyText"/>
        <w:spacing w:line="300" w:lineRule="auto" w:before="63"/>
        <w:ind w:left="634" w:right="5952" w:hanging="480"/>
        <w:jc w:val="left"/>
      </w:pPr>
      <w:r>
        <w:rPr/>
        <w:t>《授信协议》提供连带责任保证，担保金额</w:t>
      </w:r>
      <w:r>
        <w:rPr>
          <w:rFonts w:ascii="Times New Roman" w:hAnsi="Times New Roman" w:cs="Times New Roman" w:eastAsia="Times New Roman" w:hint="default"/>
        </w:rPr>
        <w:t>5,000</w:t>
      </w:r>
      <w:r>
        <w:rPr/>
        <w:t>万。 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日此担保合同下借款已全部还清。</w:t>
      </w:r>
    </w:p>
    <w:p>
      <w:pPr>
        <w:pStyle w:val="BodyText"/>
        <w:spacing w:line="300" w:lineRule="auto" w:before="13"/>
        <w:ind w:right="1130" w:firstLine="480"/>
        <w:jc w:val="both"/>
      </w:pPr>
      <w:r>
        <w:rPr/>
        <w:t>注</w:t>
      </w:r>
      <w:r>
        <w:rPr>
          <w:spacing w:val="-72"/>
        </w:rPr>
        <w:t> </w:t>
      </w:r>
      <w:r>
        <w:rPr>
          <w:rFonts w:ascii="Times New Roman" w:hAnsi="Times New Roman" w:cs="Times New Roman" w:eastAsia="Times New Roman" w:hint="default"/>
        </w:rPr>
        <w:t>5</w:t>
      </w:r>
      <w:r>
        <w:rPr>
          <w:rFonts w:ascii="Times New Roman" w:hAnsi="Times New Roman" w:cs="Times New Roman" w:eastAsia="Times New Roman" w:hint="default"/>
          <w:spacing w:val="-28"/>
        </w:rPr>
        <w:t> </w:t>
      </w:r>
      <w:r>
        <w:rPr/>
        <w:t>：</w:t>
      </w:r>
      <w:r>
        <w:rPr>
          <w:spacing w:val="-73"/>
        </w:rPr>
        <w:t> </w:t>
      </w:r>
      <w:r>
        <w:rPr>
          <w:spacing w:val="15"/>
        </w:rPr>
        <w:t>深圳市奥拓电子股份有限公司于</w:t>
      </w:r>
      <w:r>
        <w:rPr>
          <w:spacing w:val="-69"/>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8"/>
        </w:rPr>
        <w:t> </w:t>
      </w:r>
      <w:r>
        <w:rPr/>
        <w:t>年</w:t>
      </w:r>
      <w:r>
        <w:rPr>
          <w:spacing w:val="-73"/>
        </w:rPr>
        <w:t> </w:t>
      </w:r>
      <w:r>
        <w:rPr>
          <w:rFonts w:ascii="Times New Roman" w:hAnsi="Times New Roman" w:cs="Times New Roman" w:eastAsia="Times New Roman" w:hint="default"/>
        </w:rPr>
        <w:t>7</w:t>
      </w:r>
      <w:r>
        <w:rPr>
          <w:rFonts w:ascii="Times New Roman" w:hAnsi="Times New Roman" w:cs="Times New Roman" w:eastAsia="Times New Roman" w:hint="default"/>
          <w:spacing w:val="-28"/>
        </w:rPr>
        <w:t> </w:t>
      </w:r>
      <w:r>
        <w:rPr/>
        <w:t>月</w:t>
      </w:r>
      <w:r>
        <w:rPr>
          <w:spacing w:val="-73"/>
        </w:rPr>
        <w:t> </w:t>
      </w:r>
      <w:r>
        <w:rPr>
          <w:rFonts w:ascii="Times New Roman" w:hAnsi="Times New Roman" w:cs="Times New Roman" w:eastAsia="Times New Roman" w:hint="default"/>
        </w:rPr>
        <w:t>5</w:t>
      </w:r>
      <w:r>
        <w:rPr>
          <w:rFonts w:ascii="Times New Roman" w:hAnsi="Times New Roman" w:cs="Times New Roman" w:eastAsia="Times New Roman" w:hint="default"/>
          <w:spacing w:val="-26"/>
        </w:rPr>
        <w:t> </w:t>
      </w:r>
      <w:r>
        <w:rPr>
          <w:spacing w:val="15"/>
        </w:rPr>
        <w:t>日与上海浦东发展银行股份有限公司深圳分行签订编号为</w:t>
      </w:r>
      <w:r>
        <w:rPr/>
        <w:t> </w:t>
      </w:r>
      <w:r>
        <w:rPr>
          <w:rFonts w:ascii="Times New Roman" w:hAnsi="Times New Roman" w:cs="Times New Roman" w:eastAsia="Times New Roman" w:hint="default"/>
          <w:spacing w:val="6"/>
        </w:rPr>
        <w:t>ZB7918201700000024</w:t>
      </w:r>
      <w:r>
        <w:rPr>
          <w:spacing w:val="6"/>
        </w:rPr>
        <w:t>号《最高额保证合同》，为千百辉公司与上海浦东发展银行股份有限公司深圳分行签订的编号为</w:t>
      </w:r>
      <w:r>
        <w:rPr>
          <w:spacing w:val="-65"/>
        </w:rPr>
        <w:t> </w:t>
      </w:r>
      <w:r>
        <w:rPr>
          <w:spacing w:val="-65"/>
        </w:rPr>
      </w:r>
      <w:r>
        <w:rPr>
          <w:rFonts w:ascii="Times New Roman" w:hAnsi="Times New Roman" w:cs="Times New Roman" w:eastAsia="Times New Roman" w:hint="default"/>
        </w:rPr>
        <w:t>BC2017120800000656</w:t>
      </w:r>
      <w:r>
        <w:rPr/>
        <w:t>号《融资额度协议》提供连带责任保证，担保金额</w:t>
      </w:r>
      <w:r>
        <w:rPr>
          <w:rFonts w:ascii="Times New Roman" w:hAnsi="Times New Roman" w:cs="Times New Roman" w:eastAsia="Times New Roman" w:hint="default"/>
        </w:rPr>
        <w:t>4,000</w:t>
      </w:r>
      <w:r>
        <w:rPr/>
        <w:t>万。</w:t>
      </w:r>
    </w:p>
    <w:p>
      <w:pPr>
        <w:pStyle w:val="BodyText"/>
        <w:spacing w:line="300" w:lineRule="auto" w:before="13"/>
        <w:ind w:left="634" w:right="0"/>
        <w:jc w:val="left"/>
      </w:pPr>
      <w:r>
        <w:rPr/>
        <w:t>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日此担保合同下借款已全部还清。 </w:t>
      </w:r>
      <w:r>
        <w:rPr>
          <w:spacing w:val="-1"/>
        </w:rPr>
        <w:t>注</w:t>
      </w:r>
      <w:r>
        <w:rPr>
          <w:rFonts w:ascii="Times New Roman" w:hAnsi="Times New Roman" w:cs="Times New Roman" w:eastAsia="Times New Roman" w:hint="default"/>
          <w:spacing w:val="-1"/>
        </w:rPr>
        <w:t>6</w:t>
      </w:r>
      <w:r>
        <w:rPr>
          <w:spacing w:val="-1"/>
        </w:rPr>
        <w:t>：奥拓电子于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7</w:t>
      </w:r>
      <w:r>
        <w:rPr>
          <w:spacing w:val="-1"/>
        </w:rPr>
        <w:t>月与海口市担保投资有限公司、千百辉公司签订《信用反担保合同》，为海口市担保投资有</w:t>
      </w:r>
    </w:p>
    <w:p>
      <w:pPr>
        <w:pStyle w:val="BodyText"/>
        <w:spacing w:line="316" w:lineRule="auto" w:before="13"/>
        <w:ind w:right="1118"/>
        <w:jc w:val="left"/>
      </w:pPr>
      <w:r>
        <w:rPr>
          <w:spacing w:val="-2"/>
        </w:rPr>
        <w:t>限公司与千百辉公司签订的《委托担保合同》提供反担保，保证期间自银行出具保函之日起至银行在保函项下责任解除之日</w:t>
      </w:r>
      <w:r>
        <w:rPr>
          <w:spacing w:val="-66"/>
        </w:rPr>
        <w:t> </w:t>
      </w:r>
      <w:r>
        <w:rPr>
          <w:spacing w:val="-66"/>
        </w:rPr>
      </w:r>
      <w:r>
        <w:rPr/>
        <w:t>止。</w:t>
      </w:r>
    </w:p>
    <w:p>
      <w:pPr>
        <w:pStyle w:val="BodyText"/>
        <w:spacing w:line="300" w:lineRule="auto" w:before="19"/>
        <w:ind w:right="1129" w:firstLine="480"/>
        <w:jc w:val="both"/>
      </w:pPr>
      <w:r>
        <w:rPr/>
        <w:t>子公司千百辉董事沈永健、董事兼总经理周维君、海口市担保投资有限公司于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月与交通银行海南省分行签订 保证合同，为千百辉公司与交通银行海南省分行签订的编号为琼交银（三亚）</w:t>
      </w:r>
      <w:r>
        <w:rPr>
          <w:rFonts w:ascii="Times New Roman" w:hAnsi="Times New Roman" w:cs="Times New Roman" w:eastAsia="Times New Roman" w:hint="default"/>
        </w:rPr>
        <w:t>2018</w:t>
      </w:r>
      <w:r>
        <w:rPr/>
        <w:t>年展业通担保函字第</w:t>
      </w:r>
      <w:r>
        <w:rPr>
          <w:rFonts w:ascii="Times New Roman" w:hAnsi="Times New Roman" w:cs="Times New Roman" w:eastAsia="Times New Roman" w:hint="default"/>
        </w:rPr>
        <w:t>98203</w:t>
      </w:r>
      <w:r>
        <w:rPr/>
        <w:t>号《开立担保</w:t>
      </w:r>
      <w:r>
        <w:rPr>
          <w:spacing w:val="-83"/>
        </w:rPr>
        <w:t> </w:t>
      </w:r>
      <w:r>
        <w:rPr>
          <w:spacing w:val="-83"/>
        </w:rPr>
      </w:r>
      <w:r>
        <w:rPr/>
        <w:t>函合同》提供连带责任保证，保证期限至债务履行期限届满之日后两年止。担保金额</w:t>
      </w:r>
      <w:r>
        <w:rPr>
          <w:rFonts w:ascii="Times New Roman" w:hAnsi="Times New Roman" w:cs="Times New Roman" w:eastAsia="Times New Roman" w:hint="default"/>
        </w:rPr>
        <w:t>4,130,130.32</w:t>
      </w:r>
      <w:r>
        <w:rPr/>
        <w:t>元。</w:t>
      </w:r>
    </w:p>
    <w:p>
      <w:pPr>
        <w:pStyle w:val="BodyText"/>
        <w:spacing w:line="300" w:lineRule="auto" w:before="13"/>
        <w:ind w:left="634" w:right="0"/>
        <w:jc w:val="left"/>
      </w:pPr>
      <w:r>
        <w:rPr/>
        <w:t>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日，此担保合同下开立保函</w:t>
      </w:r>
      <w:r>
        <w:rPr>
          <w:rFonts w:ascii="Times New Roman" w:hAnsi="Times New Roman" w:cs="Times New Roman" w:eastAsia="Times New Roman" w:hint="default"/>
        </w:rPr>
        <w:t>4,130,130.32</w:t>
      </w:r>
      <w:r>
        <w:rPr/>
        <w:t>元。 </w:t>
      </w:r>
      <w:r>
        <w:rPr>
          <w:spacing w:val="-1"/>
        </w:rPr>
        <w:t>注</w:t>
      </w:r>
      <w:r>
        <w:rPr>
          <w:rFonts w:ascii="Times New Roman" w:hAnsi="Times New Roman" w:cs="Times New Roman" w:eastAsia="Times New Roman" w:hint="default"/>
          <w:spacing w:val="-1"/>
        </w:rPr>
        <w:t>7</w:t>
      </w:r>
      <w:r>
        <w:rPr>
          <w:spacing w:val="-1"/>
        </w:rPr>
        <w:t>：深圳市奥拓电子股份有限公司于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28</w:t>
      </w:r>
      <w:r>
        <w:rPr>
          <w:spacing w:val="-1"/>
        </w:rPr>
        <w:t>日与中国民生银行股份有限公司深圳南山支行签订《最高额保证合</w:t>
      </w:r>
    </w:p>
    <w:p>
      <w:pPr>
        <w:pStyle w:val="BodyText"/>
        <w:spacing w:line="300" w:lineRule="auto" w:before="13"/>
        <w:ind w:right="0"/>
        <w:jc w:val="left"/>
      </w:pPr>
      <w:r>
        <w:rPr>
          <w:spacing w:val="-3"/>
        </w:rPr>
        <w:t>同》，为惠州市奥拓电子科技有限公司与中国民生银行股份有限公司深圳分行签订的编号为</w:t>
      </w:r>
      <w:r>
        <w:rPr>
          <w:rFonts w:ascii="Times New Roman" w:hAnsi="Times New Roman" w:cs="Times New Roman" w:eastAsia="Times New Roman" w:hint="default"/>
          <w:spacing w:val="-3"/>
        </w:rPr>
        <w:t>2017</w:t>
      </w:r>
      <w:r>
        <w:rPr>
          <w:spacing w:val="-3"/>
        </w:rPr>
        <w:t>年深高新支行综额字第</w:t>
      </w:r>
      <w:r>
        <w:rPr>
          <w:rFonts w:ascii="Times New Roman" w:hAnsi="Times New Roman" w:cs="Times New Roman" w:eastAsia="Times New Roman" w:hint="default"/>
          <w:spacing w:val="-3"/>
        </w:rPr>
        <w:t>012-1</w:t>
      </w:r>
      <w:r>
        <w:rPr>
          <w:rFonts w:ascii="Times New Roman" w:hAnsi="Times New Roman" w:cs="Times New Roman" w:eastAsia="Times New Roman" w:hint="default"/>
          <w:spacing w:val="-9"/>
        </w:rPr>
        <w:t> </w:t>
      </w:r>
      <w:r>
        <w:rPr/>
        <w:t>号《银行承兑协议》提供连带责任保证。</w:t>
      </w:r>
    </w:p>
    <w:p>
      <w:pPr>
        <w:pStyle w:val="BodyText"/>
        <w:spacing w:line="300" w:lineRule="auto" w:before="31"/>
        <w:ind w:left="634" w:right="0"/>
        <w:jc w:val="left"/>
      </w:pPr>
      <w:r>
        <w:rPr/>
        <w:t>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日，此担保合同下开具银行承兑汇票已全部结清。 注</w:t>
      </w:r>
      <w:r>
        <w:rPr>
          <w:rFonts w:ascii="Times New Roman" w:hAnsi="Times New Roman" w:cs="Times New Roman" w:eastAsia="Times New Roman" w:hint="default"/>
        </w:rPr>
        <w:t>8</w:t>
      </w:r>
      <w:r>
        <w:rPr/>
        <w:t>：本公司股东吴涵渠于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8</w:t>
      </w:r>
      <w:r>
        <w:rPr/>
        <w:t>日与中国银行股份有限公司深圳高新区支行签订了编号为</w:t>
      </w:r>
      <w:r>
        <w:rPr>
          <w:rFonts w:ascii="Times New Roman" w:hAnsi="Times New Roman" w:cs="Times New Roman" w:eastAsia="Times New Roman" w:hint="default"/>
        </w:rPr>
        <w:t>2018</w:t>
      </w:r>
      <w:r>
        <w:rPr/>
        <w:t>圳中银高司保字</w:t>
      </w:r>
    </w:p>
    <w:p>
      <w:pPr>
        <w:pStyle w:val="BodyText"/>
        <w:spacing w:line="300" w:lineRule="auto" w:before="13"/>
        <w:ind w:right="0"/>
        <w:jc w:val="left"/>
      </w:pPr>
      <w:r>
        <w:rPr>
          <w:spacing w:val="-5"/>
        </w:rPr>
        <w:t>第</w:t>
      </w:r>
      <w:r>
        <w:rPr>
          <w:rFonts w:ascii="Times New Roman" w:hAnsi="Times New Roman" w:cs="Times New Roman" w:eastAsia="Times New Roman" w:hint="default"/>
          <w:spacing w:val="-5"/>
        </w:rPr>
        <w:t>0049</w:t>
      </w:r>
      <w:r>
        <w:rPr>
          <w:spacing w:val="-5"/>
        </w:rPr>
        <w:t>号《最高额保证合同》，为本公司与中国银行股份有限公司深圳高新区支行签订的编号为</w:t>
      </w:r>
      <w:r>
        <w:rPr>
          <w:rFonts w:ascii="Times New Roman" w:hAnsi="Times New Roman" w:cs="Times New Roman" w:eastAsia="Times New Roman" w:hint="default"/>
          <w:spacing w:val="-5"/>
        </w:rPr>
        <w:t>2018</w:t>
      </w:r>
      <w:r>
        <w:rPr>
          <w:spacing w:val="-5"/>
        </w:rPr>
        <w:t>圳中银高额协字第</w:t>
      </w:r>
      <w:r>
        <w:rPr>
          <w:rFonts w:ascii="Times New Roman" w:hAnsi="Times New Roman" w:cs="Times New Roman" w:eastAsia="Times New Roman" w:hint="default"/>
          <w:spacing w:val="-5"/>
        </w:rPr>
        <w:t>160044</w:t>
      </w:r>
      <w:r>
        <w:rPr>
          <w:rFonts w:ascii="Times New Roman" w:hAnsi="Times New Roman" w:cs="Times New Roman" w:eastAsia="Times New Roman" w:hint="default"/>
          <w:spacing w:val="1"/>
        </w:rPr>
        <w:t> </w:t>
      </w:r>
      <w:r>
        <w:rPr/>
        <w:t>号《授信额度协议》提供连带责任保证，担保金额</w:t>
      </w:r>
      <w:r>
        <w:rPr>
          <w:rFonts w:ascii="Times New Roman" w:hAnsi="Times New Roman" w:cs="Times New Roman" w:eastAsia="Times New Roman" w:hint="default"/>
        </w:rPr>
        <w:t>5,000</w:t>
      </w:r>
      <w:r>
        <w:rPr/>
        <w:t>万。</w:t>
      </w:r>
    </w:p>
    <w:p>
      <w:pPr>
        <w:pStyle w:val="BodyText"/>
        <w:spacing w:line="240" w:lineRule="auto" w:before="13"/>
        <w:ind w:left="634" w:right="0"/>
        <w:jc w:val="left"/>
      </w:pPr>
      <w:r>
        <w:rPr/>
        <w:t>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日，此担保合同下无贷款。</w:t>
      </w:r>
    </w:p>
    <w:p>
      <w:pPr>
        <w:pStyle w:val="BodyText"/>
        <w:spacing w:line="240" w:lineRule="auto" w:before="63"/>
        <w:ind w:left="634" w:right="0"/>
        <w:jc w:val="left"/>
      </w:pPr>
      <w:r>
        <w:rPr/>
        <w:t>注</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9"/>
        </w:rPr>
        <w:t> </w:t>
      </w:r>
      <w:r>
        <w:rPr>
          <w:spacing w:val="33"/>
        </w:rPr>
        <w:t>：本公司股东吴涵渠及其配偶赵燕泥于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9"/>
        </w:rPr>
        <w:t> </w:t>
      </w:r>
      <w:r>
        <w:rPr/>
        <w:t>年</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9"/>
        </w:rPr>
        <w:t> </w:t>
      </w:r>
      <w:r>
        <w:rPr/>
        <w:t>月</w:t>
      </w:r>
      <w:r>
        <w:rPr>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9"/>
        </w:rPr>
        <w:t> </w:t>
      </w:r>
      <w:r>
        <w:rPr/>
        <w:t>日</w:t>
      </w:r>
      <w:r>
        <w:rPr>
          <w:spacing w:val="-54"/>
        </w:rPr>
        <w:t> </w:t>
      </w:r>
      <w:r>
        <w:rPr/>
        <w:t>分</w:t>
      </w:r>
      <w:r>
        <w:rPr>
          <w:spacing w:val="-56"/>
        </w:rPr>
        <w:t> </w:t>
      </w:r>
      <w:r>
        <w:rPr/>
        <w:t>别</w:t>
      </w:r>
      <w:r>
        <w:rPr>
          <w:spacing w:val="-55"/>
        </w:rPr>
        <w:t> </w:t>
      </w:r>
      <w:r>
        <w:rPr/>
        <w:t>与</w:t>
      </w:r>
      <w:r>
        <w:rPr>
          <w:spacing w:val="-55"/>
        </w:rPr>
        <w:t> </w:t>
      </w:r>
      <w:r>
        <w:rPr/>
        <w:t>招</w:t>
      </w:r>
      <w:r>
        <w:rPr>
          <w:spacing w:val="-55"/>
        </w:rPr>
        <w:t> </w:t>
      </w:r>
      <w:r>
        <w:rPr/>
        <w:t>商</w:t>
      </w:r>
      <w:r>
        <w:rPr>
          <w:spacing w:val="-55"/>
        </w:rPr>
        <w:t> </w:t>
      </w:r>
      <w:r>
        <w:rPr/>
        <w:t>银</w:t>
      </w:r>
      <w:r>
        <w:rPr>
          <w:spacing w:val="-55"/>
        </w:rPr>
        <w:t> </w:t>
      </w:r>
      <w:r>
        <w:rPr/>
        <w:t>行</w:t>
      </w:r>
      <w:r>
        <w:rPr>
          <w:spacing w:val="-55"/>
        </w:rPr>
        <w:t> </w:t>
      </w:r>
      <w:r>
        <w:rPr/>
        <w:t>深</w:t>
      </w:r>
      <w:r>
        <w:rPr>
          <w:spacing w:val="-55"/>
        </w:rPr>
        <w:t> </w:t>
      </w:r>
      <w:r>
        <w:rPr/>
        <w:t>圳</w:t>
      </w:r>
      <w:r>
        <w:rPr>
          <w:spacing w:val="-55"/>
        </w:rPr>
        <w:t> </w:t>
      </w:r>
      <w:r>
        <w:rPr/>
        <w:t>分</w:t>
      </w:r>
      <w:r>
        <w:rPr>
          <w:spacing w:val="-55"/>
        </w:rPr>
        <w:t> </w:t>
      </w:r>
      <w:r>
        <w:rPr/>
        <w:t>行</w:t>
      </w:r>
      <w:r>
        <w:rPr>
          <w:spacing w:val="-55"/>
        </w:rPr>
        <w:t> </w:t>
      </w:r>
      <w:r>
        <w:rPr/>
        <w:t>签</w:t>
      </w:r>
      <w:r>
        <w:rPr>
          <w:spacing w:val="-55"/>
        </w:rPr>
        <w:t> </w:t>
      </w:r>
      <w:r>
        <w:rPr/>
        <w:t>订</w:t>
      </w:r>
      <w:r>
        <w:rPr>
          <w:spacing w:val="-55"/>
        </w:rPr>
        <w:t> </w:t>
      </w:r>
      <w:r>
        <w:rPr/>
        <w:t>合</w:t>
      </w:r>
      <w:r>
        <w:rPr>
          <w:spacing w:val="-55"/>
        </w:rPr>
        <w:t> </w:t>
      </w:r>
      <w:r>
        <w:rPr/>
        <w:t>同</w:t>
      </w:r>
      <w:r>
        <w:rPr>
          <w:spacing w:val="-55"/>
        </w:rPr>
        <w:t> </w:t>
      </w:r>
      <w:r>
        <w:rPr/>
        <w:t>编</w:t>
      </w:r>
      <w:r>
        <w:rPr>
          <w:spacing w:val="-55"/>
        </w:rPr>
        <w:t> </w:t>
      </w:r>
      <w:r>
        <w:rPr/>
        <w:t>号</w:t>
      </w:r>
      <w:r>
        <w:rPr>
          <w:spacing w:val="-56"/>
        </w:rPr>
        <w:t> </w:t>
      </w:r>
      <w:r>
        <w:rPr/>
        <w:t>为</w:t>
      </w:r>
    </w:p>
    <w:p>
      <w:pPr>
        <w:pStyle w:val="BodyText"/>
        <w:spacing w:line="240" w:lineRule="auto" w:before="63"/>
        <w:ind w:right="0"/>
        <w:jc w:val="left"/>
      </w:pPr>
      <w:r>
        <w:rPr>
          <w:rFonts w:ascii="Times New Roman" w:hAnsi="Times New Roman" w:cs="Times New Roman" w:eastAsia="Times New Roman" w:hint="default"/>
          <w:spacing w:val="4"/>
        </w:rPr>
        <w:t>755XY201801615601</w:t>
      </w:r>
      <w:r>
        <w:rPr>
          <w:spacing w:val="4"/>
        </w:rPr>
        <w:t>、</w:t>
      </w:r>
      <w:r>
        <w:rPr>
          <w:rFonts w:ascii="Times New Roman" w:hAnsi="Times New Roman" w:cs="Times New Roman" w:eastAsia="Times New Roman" w:hint="default"/>
          <w:spacing w:val="4"/>
        </w:rPr>
        <w:t>755XY201801615602</w:t>
      </w:r>
      <w:r>
        <w:rPr>
          <w:spacing w:val="4"/>
        </w:rPr>
        <w:t>号《最高额不可撤销担保书》，为本公司与招商银行深圳分行签订的编号为</w:t>
      </w:r>
    </w:p>
    <w:p>
      <w:pPr>
        <w:pStyle w:val="BodyText"/>
        <w:spacing w:line="300" w:lineRule="auto" w:before="63"/>
        <w:ind w:left="634" w:right="4957" w:hanging="480"/>
        <w:jc w:val="left"/>
      </w:pPr>
      <w:r>
        <w:rPr>
          <w:rFonts w:ascii="Times New Roman" w:hAnsi="Times New Roman" w:cs="Times New Roman" w:eastAsia="Times New Roman" w:hint="default"/>
        </w:rPr>
        <w:t>755XY2018016156</w:t>
      </w:r>
      <w:r>
        <w:rPr/>
        <w:t>的《授信协议》提供连带责任保证，担保金额</w:t>
      </w:r>
      <w:r>
        <w:rPr>
          <w:rFonts w:ascii="Times New Roman" w:hAnsi="Times New Roman" w:cs="Times New Roman" w:eastAsia="Times New Roman" w:hint="default"/>
        </w:rPr>
        <w:t>5,000</w:t>
      </w:r>
      <w:r>
        <w:rPr/>
        <w:t>万。</w:t>
      </w:r>
      <w:r>
        <w:rPr>
          <w:spacing w:val="-2"/>
        </w:rPr>
        <w:t> </w:t>
      </w:r>
      <w:r>
        <w:rPr/>
        <w:t>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日，此担保合同下无贷款。</w:t>
      </w:r>
    </w:p>
    <w:p>
      <w:pPr>
        <w:pStyle w:val="BodyText"/>
        <w:spacing w:line="240" w:lineRule="auto" w:before="13"/>
        <w:ind w:left="634" w:right="0"/>
        <w:jc w:val="left"/>
      </w:pPr>
      <w:r>
        <w:rPr/>
        <w:t>注</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14"/>
        </w:rPr>
        <w:t> </w:t>
      </w:r>
      <w:r>
        <w:rPr/>
        <w:t>：</w:t>
      </w:r>
      <w:r>
        <w:rPr>
          <w:spacing w:val="-60"/>
        </w:rPr>
        <w:t> </w:t>
      </w:r>
      <w:r>
        <w:rPr/>
        <w:t>本</w:t>
      </w:r>
      <w:r>
        <w:rPr>
          <w:spacing w:val="-58"/>
        </w:rPr>
        <w:t> </w:t>
      </w:r>
      <w:r>
        <w:rPr/>
        <w:t>公</w:t>
      </w:r>
      <w:r>
        <w:rPr>
          <w:spacing w:val="-58"/>
        </w:rPr>
        <w:t> </w:t>
      </w:r>
      <w:r>
        <w:rPr/>
        <w:t>司</w:t>
      </w:r>
      <w:r>
        <w:rPr>
          <w:spacing w:val="-60"/>
        </w:rPr>
        <w:t> </w:t>
      </w:r>
      <w:r>
        <w:rPr/>
        <w:t>股</w:t>
      </w:r>
      <w:r>
        <w:rPr>
          <w:spacing w:val="-60"/>
        </w:rPr>
        <w:t> </w:t>
      </w:r>
      <w:r>
        <w:rPr/>
        <w:t>东</w:t>
      </w:r>
      <w:r>
        <w:rPr>
          <w:spacing w:val="-60"/>
        </w:rPr>
        <w:t> </w:t>
      </w:r>
      <w:r>
        <w:rPr/>
        <w:t>吴</w:t>
      </w:r>
      <w:r>
        <w:rPr>
          <w:spacing w:val="-58"/>
        </w:rPr>
        <w:t> </w:t>
      </w:r>
      <w:r>
        <w:rPr/>
        <w:t>涵</w:t>
      </w:r>
      <w:r>
        <w:rPr>
          <w:spacing w:val="-58"/>
        </w:rPr>
        <w:t> </w:t>
      </w:r>
      <w:r>
        <w:rPr/>
        <w:t>渠</w:t>
      </w:r>
      <w:r>
        <w:rPr>
          <w:spacing w:val="-60"/>
        </w:rPr>
        <w:t> </w:t>
      </w:r>
      <w:r>
        <w:rPr/>
        <w:t>于</w:t>
      </w:r>
      <w:r>
        <w:rPr>
          <w:spacing w:val="-57"/>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4"/>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t>月</w:t>
      </w:r>
      <w:r>
        <w:rPr>
          <w:spacing w:val="-59"/>
        </w:rPr>
        <w:t> </w:t>
      </w:r>
      <w:r>
        <w:rPr>
          <w:rFonts w:ascii="Times New Roman" w:hAnsi="Times New Roman" w:cs="Times New Roman" w:eastAsia="Times New Roman" w:hint="default"/>
        </w:rPr>
        <w:t>15</w:t>
      </w:r>
      <w:r>
        <w:rPr>
          <w:rFonts w:ascii="Times New Roman" w:hAnsi="Times New Roman" w:cs="Times New Roman" w:eastAsia="Times New Roman" w:hint="default"/>
          <w:spacing w:val="-14"/>
        </w:rPr>
        <w:t> </w:t>
      </w:r>
      <w:r>
        <w:rPr/>
        <w:t>日</w:t>
      </w:r>
      <w:r>
        <w:rPr>
          <w:spacing w:val="-60"/>
        </w:rPr>
        <w:t> </w:t>
      </w:r>
      <w:r>
        <w:rPr/>
        <w:t>与</w:t>
      </w:r>
      <w:r>
        <w:rPr>
          <w:spacing w:val="-58"/>
        </w:rPr>
        <w:t> </w:t>
      </w:r>
      <w:r>
        <w:rPr/>
        <w:t>中</w:t>
      </w:r>
      <w:r>
        <w:rPr>
          <w:spacing w:val="-58"/>
        </w:rPr>
        <w:t> </w:t>
      </w:r>
      <w:r>
        <w:rPr/>
        <w:t>国</w:t>
      </w:r>
      <w:r>
        <w:rPr>
          <w:spacing w:val="-60"/>
        </w:rPr>
        <w:t> </w:t>
      </w:r>
      <w:r>
        <w:rPr/>
        <w:t>农</w:t>
      </w:r>
      <w:r>
        <w:rPr>
          <w:spacing w:val="-60"/>
        </w:rPr>
        <w:t> </w:t>
      </w:r>
      <w:r>
        <w:rPr/>
        <w:t>业</w:t>
      </w:r>
      <w:r>
        <w:rPr>
          <w:spacing w:val="-60"/>
        </w:rPr>
        <w:t> </w:t>
      </w:r>
      <w:r>
        <w:rPr/>
        <w:t>银</w:t>
      </w:r>
      <w:r>
        <w:rPr>
          <w:spacing w:val="-58"/>
        </w:rPr>
        <w:t> </w:t>
      </w:r>
      <w:r>
        <w:rPr/>
        <w:t>行</w:t>
      </w:r>
      <w:r>
        <w:rPr>
          <w:spacing w:val="-58"/>
        </w:rPr>
        <w:t> </w:t>
      </w:r>
      <w:r>
        <w:rPr/>
        <w:t>股</w:t>
      </w:r>
      <w:r>
        <w:rPr>
          <w:spacing w:val="-60"/>
        </w:rPr>
        <w:t> </w:t>
      </w:r>
      <w:r>
        <w:rPr/>
        <w:t>份</w:t>
      </w:r>
      <w:r>
        <w:rPr>
          <w:spacing w:val="-60"/>
        </w:rPr>
        <w:t> </w:t>
      </w:r>
      <w:r>
        <w:rPr/>
        <w:t>有</w:t>
      </w:r>
      <w:r>
        <w:rPr>
          <w:spacing w:val="-60"/>
        </w:rPr>
        <w:t> </w:t>
      </w:r>
      <w:r>
        <w:rPr/>
        <w:t>限</w:t>
      </w:r>
      <w:r>
        <w:rPr>
          <w:spacing w:val="-58"/>
        </w:rPr>
        <w:t> </w:t>
      </w:r>
      <w:r>
        <w:rPr/>
        <w:t>公</w:t>
      </w:r>
      <w:r>
        <w:rPr>
          <w:spacing w:val="-58"/>
        </w:rPr>
        <w:t> </w:t>
      </w:r>
      <w:r>
        <w:rPr/>
        <w:t>司</w:t>
      </w:r>
      <w:r>
        <w:rPr>
          <w:spacing w:val="-60"/>
        </w:rPr>
        <w:t> </w:t>
      </w:r>
      <w:r>
        <w:rPr/>
        <w:t>深</w:t>
      </w:r>
      <w:r>
        <w:rPr>
          <w:spacing w:val="-60"/>
        </w:rPr>
        <w:t> </w:t>
      </w:r>
      <w:r>
        <w:rPr/>
        <w:t>圳</w:t>
      </w:r>
      <w:r>
        <w:rPr>
          <w:spacing w:val="-60"/>
        </w:rPr>
        <w:t> </w:t>
      </w:r>
      <w:r>
        <w:rPr/>
        <w:t>南</w:t>
      </w:r>
      <w:r>
        <w:rPr>
          <w:spacing w:val="-58"/>
        </w:rPr>
        <w:t> </w:t>
      </w:r>
      <w:r>
        <w:rPr/>
        <w:t>山</w:t>
      </w:r>
      <w:r>
        <w:rPr>
          <w:spacing w:val="-58"/>
        </w:rPr>
        <w:t> </w:t>
      </w:r>
      <w:r>
        <w:rPr/>
        <w:t>支</w:t>
      </w:r>
      <w:r>
        <w:rPr>
          <w:spacing w:val="-60"/>
        </w:rPr>
        <w:t> </w:t>
      </w:r>
      <w:r>
        <w:rPr/>
        <w:t>行</w:t>
      </w:r>
      <w:r>
        <w:rPr>
          <w:spacing w:val="-60"/>
        </w:rPr>
        <w:t> </w:t>
      </w:r>
      <w:r>
        <w:rPr/>
        <w:t>签</w:t>
      </w:r>
      <w:r>
        <w:rPr>
          <w:spacing w:val="-60"/>
        </w:rPr>
        <w:t> </w:t>
      </w:r>
      <w:r>
        <w:rPr/>
        <w:t>订</w:t>
      </w:r>
      <w:r>
        <w:rPr>
          <w:spacing w:val="-58"/>
        </w:rPr>
        <w:t> </w:t>
      </w:r>
      <w:r>
        <w:rPr/>
        <w:t>了</w:t>
      </w:r>
      <w:r>
        <w:rPr>
          <w:spacing w:val="-58"/>
        </w:rPr>
        <w:t> </w:t>
      </w:r>
      <w:r>
        <w:rPr/>
        <w:t>编</w:t>
      </w:r>
      <w:r>
        <w:rPr>
          <w:spacing w:val="-60"/>
        </w:rPr>
        <w:t> </w:t>
      </w:r>
      <w:r>
        <w:rPr/>
        <w:t>号</w:t>
      </w:r>
      <w:r>
        <w:rPr>
          <w:spacing w:val="-61"/>
        </w:rPr>
        <w:t> </w:t>
      </w:r>
      <w:r>
        <w:rPr/>
        <w:t>为</w:t>
      </w:r>
    </w:p>
    <w:p>
      <w:pPr>
        <w:pStyle w:val="BodyText"/>
        <w:spacing w:line="240" w:lineRule="auto" w:before="63"/>
        <w:ind w:right="0"/>
        <w:jc w:val="left"/>
      </w:pPr>
      <w:r>
        <w:rPr>
          <w:rFonts w:ascii="Times New Roman" w:hAnsi="Times New Roman" w:cs="Times New Roman" w:eastAsia="Times New Roman" w:hint="default"/>
        </w:rPr>
        <w:t>81100520180000915 </w:t>
      </w:r>
      <w:r>
        <w:rPr>
          <w:spacing w:val="21"/>
        </w:rPr>
        <w:t>号《最高额保证合同》，为本公司与中国农业银行股份有限公司深圳南山支行签订的编号</w:t>
      </w:r>
      <w:r>
        <w:rPr>
          <w:spacing w:val="-78"/>
        </w:rPr>
        <w:t> </w:t>
      </w:r>
      <w:r>
        <w:rPr/>
        <w:t>为</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left="634" w:right="3867" w:hanging="480"/>
        <w:jc w:val="left"/>
      </w:pPr>
      <w:r>
        <w:rPr>
          <w:rFonts w:ascii="Times New Roman" w:hAnsi="Times New Roman" w:cs="Times New Roman" w:eastAsia="Times New Roman" w:hint="default"/>
        </w:rPr>
        <w:t>81200201800003870</w:t>
      </w:r>
      <w:r>
        <w:rPr/>
        <w:t>号《最高额综合授信合同》提供连带责任保证，担保金额</w:t>
      </w:r>
      <w:r>
        <w:rPr>
          <w:rFonts w:ascii="Times New Roman" w:hAnsi="Times New Roman" w:cs="Times New Roman" w:eastAsia="Times New Roman" w:hint="default"/>
        </w:rPr>
        <w:t>12,000</w:t>
      </w:r>
      <w:r>
        <w:rPr/>
        <w:t>万。</w:t>
      </w:r>
      <w:r>
        <w:rPr>
          <w:spacing w:val="-2"/>
        </w:rPr>
        <w:t> </w:t>
      </w:r>
      <w:r>
        <w:rPr/>
        <w:t>截止到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日，此担保合同下贷款</w:t>
      </w:r>
      <w:r>
        <w:rPr>
          <w:rFonts w:ascii="Times New Roman" w:hAnsi="Times New Roman" w:cs="Times New Roman" w:eastAsia="Times New Roman" w:hint="default"/>
        </w:rPr>
        <w:t>4,000</w:t>
      </w:r>
      <w:r>
        <w:rPr/>
        <w:t>万。</w:t>
      </w:r>
    </w:p>
    <w:p>
      <w:pPr>
        <w:spacing w:line="240" w:lineRule="auto" w:before="1"/>
        <w:rPr>
          <w:rFonts w:ascii="宋体" w:hAnsi="宋体" w:cs="宋体" w:eastAsia="宋体" w:hint="default"/>
          <w:sz w:val="22"/>
          <w:szCs w:val="22"/>
        </w:rPr>
      </w:pPr>
    </w:p>
    <w:p>
      <w:pPr>
        <w:pStyle w:val="Heading4"/>
        <w:spacing w:line="240" w:lineRule="auto"/>
        <w:ind w:right="0"/>
        <w:jc w:val="left"/>
        <w:rPr>
          <w:b w:val="0"/>
          <w:bCs w:val="0"/>
        </w:rPr>
      </w:pPr>
      <w:bookmarkStart w:name="（5）关联方资金拆借" w:id="448"/>
      <w:bookmarkEnd w:id="448"/>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4"/>
        <w:gridCol w:w="1915"/>
        <w:gridCol w:w="1914"/>
        <w:gridCol w:w="1903"/>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956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2" w:hRule="exact"/>
        </w:trPr>
        <w:tc>
          <w:tcPr>
            <w:tcW w:w="956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6）关联方资产转让、债务重组情况" w:id="449"/>
      <w:bookmarkEnd w:id="449"/>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7）关键管理人员报酬" w:id="450"/>
      <w:bookmarkEnd w:id="450"/>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6,360,000.00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6,710,000.00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90"/>
                <w:sz w:val="18"/>
                <w:szCs w:val="18"/>
              </w:rPr>
              <w:t>：</w:t>
            </w:r>
            <w:r>
              <w:rPr>
                <w:rFonts w:ascii="宋体" w:hAnsi="宋体" w:cs="宋体" w:eastAsia="宋体" w:hint="default"/>
                <w:sz w:val="18"/>
                <w:szCs w:val="18"/>
              </w:rPr>
              <w:t>（各金额区间人数）</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8）其他关联交易" w:id="451"/>
      <w:bookmarkEnd w:id="451"/>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6、关联方应收应付款项" w:id="452"/>
      <w:bookmarkEnd w:id="452"/>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应收项目" w:id="453"/>
      <w:bookmarkEnd w:id="453"/>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坏账准备</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2）应付项目" w:id="454"/>
      <w:bookmarkEnd w:id="454"/>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深圳市如茵生态环境建设有 限公司</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9" w:right="0"/>
              <w:jc w:val="left"/>
              <w:rPr>
                <w:rFonts w:ascii="Times New Roman" w:hAnsi="Times New Roman" w:cs="Times New Roman" w:eastAsia="Times New Roman" w:hint="default"/>
                <w:sz w:val="18"/>
                <w:szCs w:val="18"/>
              </w:rPr>
            </w:pPr>
            <w:r>
              <w:rPr>
                <w:rFonts w:ascii="Times New Roman"/>
                <w:sz w:val="18"/>
              </w:rPr>
              <w:t>201,478.00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9" w:right="0"/>
              <w:jc w:val="left"/>
              <w:rPr>
                <w:rFonts w:ascii="Times New Roman" w:hAnsi="Times New Roman" w:cs="Times New Roman" w:eastAsia="Times New Roman" w:hint="default"/>
                <w:sz w:val="18"/>
                <w:szCs w:val="18"/>
              </w:rPr>
            </w:pPr>
            <w:r>
              <w:rPr>
                <w:rFonts w:ascii="Times New Roman"/>
                <w:sz w:val="18"/>
              </w:rPr>
              <w:t>201,478.00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7、关联方承诺" w:id="455"/>
      <w:bookmarkEnd w:id="455"/>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9"/>
        <w:rPr>
          <w:rFonts w:ascii="宋体" w:hAnsi="宋体" w:cs="宋体" w:eastAsia="宋体" w:hint="default"/>
          <w:b/>
          <w:bCs/>
          <w:sz w:val="24"/>
          <w:szCs w:val="24"/>
        </w:rPr>
      </w:pPr>
    </w:p>
    <w:p>
      <w:pPr>
        <w:spacing w:line="487" w:lineRule="auto" w:before="0"/>
        <w:ind w:left="154" w:right="8750" w:firstLine="0"/>
        <w:jc w:val="left"/>
        <w:rPr>
          <w:rFonts w:ascii="宋体" w:hAnsi="宋体" w:cs="宋体" w:eastAsia="宋体" w:hint="default"/>
          <w:sz w:val="21"/>
          <w:szCs w:val="21"/>
        </w:rPr>
      </w:pPr>
      <w:bookmarkStart w:name="8、其他" w:id="456"/>
      <w:bookmarkEnd w:id="456"/>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三、股份支付" w:id="457"/>
      <w:bookmarkEnd w:id="457"/>
      <w:r>
        <w:rPr>
          <w:rFonts w:ascii="宋体" w:hAnsi="宋体" w:cs="宋体" w:eastAsia="宋体" w:hint="default"/>
          <w:b/>
          <w:bCs/>
          <w:spacing w:val="1"/>
          <w:w w:val="99"/>
          <w:sz w:val="21"/>
          <w:szCs w:val="21"/>
        </w:rPr>
      </w:r>
      <w:r>
        <w:rPr>
          <w:rFonts w:ascii="宋体" w:hAnsi="宋体" w:cs="宋体" w:eastAsia="宋体" w:hint="default"/>
          <w:b/>
          <w:bCs/>
          <w:sz w:val="24"/>
          <w:szCs w:val="24"/>
        </w:rPr>
        <w:t>十三、股份支付</w:t>
      </w:r>
      <w:r>
        <w:rPr>
          <w:rFonts w:ascii="宋体" w:hAnsi="宋体" w:cs="宋体" w:eastAsia="宋体" w:hint="default"/>
          <w:b/>
          <w:bCs/>
          <w:w w:val="99"/>
          <w:sz w:val="24"/>
          <w:szCs w:val="24"/>
        </w:rPr>
        <w:t> </w:t>
      </w:r>
      <w:bookmarkStart w:name="1、股份支付总体情况" w:id="458"/>
      <w:bookmarkEnd w:id="458"/>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pStyle w:val="BodyText"/>
        <w:spacing w:line="240" w:lineRule="auto" w:before="108"/>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8,000,000.00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2,388,600.00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799,900.00</w:t>
            </w:r>
          </w:p>
        </w:tc>
      </w:tr>
      <w:tr>
        <w:trPr>
          <w:trHeight w:val="1650"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年股票期权激励计划发行在外的首次授予</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的股票期权行权价格为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7.47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股，合同剩余期限为</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日；预留后于的股</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票期权行权价格为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7.53 </w:t>
            </w:r>
            <w:r>
              <w:rPr>
                <w:rFonts w:ascii="宋体" w:hAnsi="宋体" w:cs="宋体" w:eastAsia="宋体" w:hint="default"/>
                <w:spacing w:val="-4"/>
                <w:sz w:val="18"/>
                <w:szCs w:val="18"/>
              </w:rPr>
              <w:t>元</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股，合同剩余期间为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52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年限制性股票的授予价格</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股，授予日为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日，合同剩</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余期限为自本次授权日起满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宋体" w:hAnsi="宋体" w:cs="宋体" w:eastAsia="宋体" w:hint="default"/>
                <w:spacing w:val="-82"/>
                <w:sz w:val="18"/>
                <w:szCs w:val="18"/>
              </w:rPr>
              <w:t>，</w:t>
            </w:r>
            <w:r>
              <w:rPr>
                <w:rFonts w:ascii="宋体" w:hAnsi="宋体" w:cs="宋体" w:eastAsia="宋体" w:hint="default"/>
                <w:sz w:val="18"/>
                <w:szCs w:val="18"/>
              </w:rPr>
              <w:t>激励对象应</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在未来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个月内分三期解锁。公司期末发行在外的</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年暂缓授予的限制性股票的授予价格为</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5.17</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股，授予日为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日，合同剩余期限为</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自次授权日起满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个月后，激励对象应在未来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个月内分三期解锁。公司期末发行在外的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制性股票的授予价格为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股，授予日为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日。合同剩余期限为自次授权日起满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个月后，激励对象应在未来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个月内分三期解锁。</w:t>
            </w: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以权益结算的股份支付情况" w:id="459"/>
      <w:bookmarkEnd w:id="459"/>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市价</w:t>
            </w:r>
            <w:r>
              <w:rPr>
                <w:rFonts w:ascii="Times New Roman" w:hAnsi="Times New Roman" w:cs="Times New Roman" w:eastAsia="Times New Roman" w:hint="default"/>
                <w:sz w:val="18"/>
                <w:szCs w:val="18"/>
              </w:rPr>
              <w:t>-</w:t>
            </w:r>
            <w:r>
              <w:rPr>
                <w:rFonts w:ascii="宋体" w:hAnsi="宋体" w:cs="宋体" w:eastAsia="宋体" w:hint="default"/>
                <w:sz w:val="18"/>
                <w:szCs w:val="18"/>
              </w:rPr>
              <w:t>授予价</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17,367,236.66</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5,202,366.66</w:t>
            </w: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3、以现金结算的股份支付情况" w:id="460"/>
      <w:bookmarkEnd w:id="460"/>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4、股份支付的修改、终止情况" w:id="461"/>
      <w:bookmarkEnd w:id="461"/>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8"/>
        <w:rPr>
          <w:rFonts w:ascii="宋体" w:hAnsi="宋体" w:cs="宋体" w:eastAsia="宋体" w:hint="default"/>
          <w:b/>
          <w:bCs/>
          <w:sz w:val="26"/>
          <w:szCs w:val="26"/>
        </w:rPr>
      </w:pPr>
    </w:p>
    <w:p>
      <w:pPr>
        <w:pStyle w:val="BodyText"/>
        <w:spacing w:line="300" w:lineRule="auto"/>
        <w:ind w:right="0"/>
        <w:jc w:val="left"/>
      </w:pPr>
      <w:r>
        <w:rPr/>
        <w:t>（</w:t>
      </w:r>
      <w:r>
        <w:rPr>
          <w:rFonts w:ascii="Times New Roman" w:hAnsi="Times New Roman" w:cs="Times New Roman" w:eastAsia="Times New Roman" w:hint="default"/>
        </w:rPr>
        <w:t>1</w:t>
      </w:r>
      <w:r>
        <w:rPr/>
        <w:t>）股份支付调整事项 </w:t>
      </w:r>
      <w:r>
        <w:rPr>
          <w:spacing w:val="-2"/>
        </w:rPr>
        <w:t>因</w:t>
      </w:r>
      <w:r>
        <w:rPr>
          <w:rFonts w:ascii="Times New Roman" w:hAnsi="Times New Roman" w:cs="Times New Roman" w:eastAsia="Times New Roman" w:hint="default"/>
          <w:spacing w:val="-2"/>
        </w:rPr>
        <w:t>13</w:t>
      </w:r>
      <w:r>
        <w:rPr>
          <w:spacing w:val="-2"/>
        </w:rPr>
        <w:t>名公司员工离职，根据本公司</w:t>
      </w:r>
      <w:r>
        <w:rPr>
          <w:rFonts w:ascii="Times New Roman" w:hAnsi="Times New Roman" w:cs="Times New Roman" w:eastAsia="Times New Roman" w:hint="default"/>
          <w:spacing w:val="-2"/>
        </w:rPr>
        <w:t>2016</w:t>
      </w:r>
      <w:r>
        <w:rPr>
          <w:spacing w:val="-2"/>
        </w:rPr>
        <w:t>年限制性激励计划相关规定，公司向离职的激励对象回购的限制性股份，共计回购注</w:t>
      </w:r>
      <w:r>
        <w:rPr>
          <w:spacing w:val="-60"/>
        </w:rPr>
        <w:t> </w:t>
      </w:r>
      <w:r>
        <w:rPr>
          <w:spacing w:val="-60"/>
        </w:rPr>
      </w:r>
      <w:r>
        <w:rPr/>
        <w:t>销</w:t>
      </w:r>
      <w:r>
        <w:rPr>
          <w:rFonts w:ascii="Times New Roman" w:hAnsi="Times New Roman" w:cs="Times New Roman" w:eastAsia="Times New Roman" w:hint="default"/>
        </w:rPr>
        <w:t>17.1</w:t>
      </w:r>
      <w:r>
        <w:rPr/>
        <w:t>万股。</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8</w:t>
      </w:r>
      <w:r>
        <w:rPr/>
        <w:t>日</w:t>
      </w:r>
      <w:r>
        <w:rPr>
          <w:rFonts w:ascii="Times New Roman" w:hAnsi="Times New Roman" w:cs="Times New Roman" w:eastAsia="Times New Roman" w:hint="default"/>
        </w:rPr>
        <w:t>17.1</w:t>
      </w:r>
      <w:r>
        <w:rPr/>
        <w:t>万股限制性股票回购注销完成。</w:t>
      </w:r>
    </w:p>
    <w:p>
      <w:pPr>
        <w:pStyle w:val="BodyText"/>
        <w:spacing w:line="300" w:lineRule="auto" w:before="13"/>
        <w:ind w:right="1032"/>
        <w:jc w:val="left"/>
      </w:pPr>
      <w:r>
        <w:rPr/>
        <w:t>（</w:t>
      </w:r>
      <w:r>
        <w:rPr>
          <w:rFonts w:ascii="Times New Roman" w:hAnsi="Times New Roman" w:cs="Times New Roman" w:eastAsia="Times New Roman" w:hint="default"/>
        </w:rPr>
        <w:t>2</w:t>
      </w:r>
      <w:r>
        <w:rPr/>
        <w:t>）股份支付调整事项 鉴于原激励对象姜泽星等</w:t>
      </w:r>
      <w:r>
        <w:rPr>
          <w:rFonts w:ascii="Times New Roman" w:hAnsi="Times New Roman" w:cs="Times New Roman" w:eastAsia="Times New Roman" w:hint="default"/>
        </w:rPr>
        <w:t>9</w:t>
      </w:r>
      <w:r>
        <w:rPr/>
        <w:t>名员工因个人原因离职已不符合激励条件，同意注销其已获授的全部股票期权共计</w:t>
      </w:r>
      <w:r>
        <w:rPr>
          <w:rFonts w:ascii="Times New Roman" w:hAnsi="Times New Roman" w:cs="Times New Roman" w:eastAsia="Times New Roman" w:hint="default"/>
        </w:rPr>
        <w:t>144,500</w:t>
      </w:r>
      <w:r>
        <w:rPr/>
        <w:t>份。由 于公司股票期权第一个行权期行权条件中的公司业绩考核条件未达成，所以根据《公司</w:t>
      </w:r>
      <w:r>
        <w:rPr>
          <w:rFonts w:ascii="Times New Roman" w:hAnsi="Times New Roman" w:cs="Times New Roman" w:eastAsia="Times New Roman" w:hint="default"/>
        </w:rPr>
        <w:t>2017</w:t>
      </w:r>
      <w:r>
        <w:rPr/>
        <w:t>年股票期权激励计划（草案）》</w:t>
      </w:r>
      <w:r>
        <w:rPr>
          <w:spacing w:val="-85"/>
        </w:rPr>
        <w:t> </w:t>
      </w:r>
      <w:r>
        <w:rPr>
          <w:spacing w:val="-85"/>
        </w:rPr>
      </w:r>
      <w:r>
        <w:rPr/>
        <w:t>的规定，注销其他</w:t>
      </w:r>
      <w:r>
        <w:rPr>
          <w:rFonts w:ascii="Times New Roman" w:hAnsi="Times New Roman" w:cs="Times New Roman" w:eastAsia="Times New Roman" w:hint="default"/>
        </w:rPr>
        <w:t>161</w:t>
      </w:r>
      <w:r>
        <w:rPr/>
        <w:t>名激励对象已获授但未达到第一期行权条件的股票期权共计</w:t>
      </w:r>
      <w:r>
        <w:rPr>
          <w:rFonts w:ascii="Times New Roman" w:hAnsi="Times New Roman" w:cs="Times New Roman" w:eastAsia="Times New Roman" w:hint="default"/>
        </w:rPr>
        <w:t>484,400</w:t>
      </w:r>
      <w:r>
        <w:rPr/>
        <w:t>份。</w:t>
      </w:r>
    </w:p>
    <w:p>
      <w:pPr>
        <w:spacing w:line="240" w:lineRule="auto" w:before="1"/>
        <w:rPr>
          <w:rFonts w:ascii="宋体" w:hAnsi="宋体" w:cs="宋体" w:eastAsia="宋体" w:hint="default"/>
          <w:sz w:val="22"/>
          <w:szCs w:val="22"/>
        </w:rPr>
      </w:pPr>
    </w:p>
    <w:p>
      <w:pPr>
        <w:pStyle w:val="Heading4"/>
        <w:spacing w:line="240" w:lineRule="auto"/>
        <w:ind w:right="0"/>
        <w:jc w:val="left"/>
        <w:rPr>
          <w:b w:val="0"/>
          <w:bCs w:val="0"/>
        </w:rPr>
      </w:pPr>
      <w:bookmarkStart w:name="5、其他" w:id="462"/>
      <w:bookmarkEnd w:id="462"/>
      <w:r>
        <w:rPr>
          <w:b w:val="0"/>
          <w:bCs w:val="0"/>
        </w:rPr>
      </w:r>
      <w:r>
        <w:rPr>
          <w:rFonts w:ascii="Times New Roman" w:hAnsi="Times New Roman" w:cs="Times New Roman" w:eastAsia="Times New Roman" w:hint="default"/>
        </w:rPr>
        <w:t>5</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四、承诺及或有事项" w:id="463"/>
      <w:bookmarkEnd w:id="463"/>
      <w:r>
        <w:rPr>
          <w:b w:val="0"/>
          <w:bCs w:val="0"/>
        </w:rPr>
      </w:r>
      <w:r>
        <w:rPr/>
        <w:t>十四、承诺及或有事项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重要承诺事项" w:id="464"/>
      <w:bookmarkEnd w:id="464"/>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8412"/>
        <w:jc w:val="left"/>
      </w:pPr>
      <w:r>
        <w:rPr/>
        <w:t>资产负债表日存在的重要承诺 经营租赁承诺</w:t>
      </w:r>
    </w:p>
    <w:p>
      <w:pPr>
        <w:pStyle w:val="BodyText"/>
        <w:spacing w:line="224" w:lineRule="exact"/>
        <w:ind w:left="444" w:right="0"/>
        <w:jc w:val="left"/>
      </w:pPr>
      <w:r>
        <w:rPr/>
        <w:t>至资产负债表日止，本公司对外签订的不可撤销的经营租赁合约情况如下：</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4274"/>
        <w:gridCol w:w="2696"/>
        <w:gridCol w:w="2698"/>
      </w:tblGrid>
      <w:tr>
        <w:trPr>
          <w:trHeight w:val="347" w:hRule="exact"/>
        </w:trPr>
        <w:tc>
          <w:tcPr>
            <w:tcW w:w="4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年末数</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347" w:hRule="exact"/>
        </w:trPr>
        <w:tc>
          <w:tcPr>
            <w:tcW w:w="4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不可撤销经营租赁的最低租赁付款额：</w:t>
            </w:r>
          </w:p>
        </w:tc>
        <w:tc>
          <w:tcPr>
            <w:tcW w:w="2696" w:type="dxa"/>
            <w:tcBorders>
              <w:top w:val="single" w:sz="6" w:space="0" w:color="000000"/>
              <w:left w:val="single" w:sz="6" w:space="0" w:color="000000"/>
              <w:bottom w:val="single" w:sz="6" w:space="0" w:color="000000"/>
              <w:right w:val="single" w:sz="6" w:space="0" w:color="000000"/>
            </w:tcBorders>
          </w:tcPr>
          <w:p>
            <w:pPr/>
          </w:p>
        </w:tc>
        <w:tc>
          <w:tcPr>
            <w:tcW w:w="2698"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4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3,828,422.40</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3,828,422.40</w:t>
            </w:r>
          </w:p>
        </w:tc>
      </w:tr>
      <w:tr>
        <w:trPr>
          <w:trHeight w:val="347" w:hRule="exact"/>
        </w:trPr>
        <w:tc>
          <w:tcPr>
            <w:tcW w:w="4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Times New Roman" w:hAnsi="Times New Roman" w:cs="Times New Roman" w:eastAsia="Times New Roman" w:hint="default"/>
                <w:sz w:val="18"/>
                <w:szCs w:val="18"/>
              </w:rPr>
              <w:t>2</w:t>
            </w:r>
            <w:r>
              <w:rPr>
                <w:rFonts w:ascii="宋体" w:hAnsi="宋体" w:cs="宋体" w:eastAsia="宋体" w:hint="default"/>
                <w:sz w:val="18"/>
                <w:szCs w:val="18"/>
              </w:rPr>
              <w:t>年</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3,828,422.40</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3,828,422.40</w:t>
            </w:r>
          </w:p>
        </w:tc>
      </w:tr>
      <w:tr>
        <w:trPr>
          <w:trHeight w:val="348" w:hRule="exact"/>
        </w:trPr>
        <w:tc>
          <w:tcPr>
            <w:tcW w:w="4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资产负债表日后第</w:t>
            </w: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3,828,422.40</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3,828,422.40</w:t>
            </w:r>
          </w:p>
        </w:tc>
      </w:tr>
      <w:tr>
        <w:trPr>
          <w:trHeight w:val="347" w:hRule="exact"/>
        </w:trPr>
        <w:tc>
          <w:tcPr>
            <w:tcW w:w="4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以后年度</w:t>
            </w:r>
          </w:p>
        </w:tc>
        <w:tc>
          <w:tcPr>
            <w:tcW w:w="2696" w:type="dxa"/>
            <w:tcBorders>
              <w:top w:val="single" w:sz="6" w:space="0" w:color="000000"/>
              <w:left w:val="single" w:sz="6" w:space="0" w:color="000000"/>
              <w:bottom w:val="single" w:sz="6" w:space="0" w:color="000000"/>
              <w:right w:val="single" w:sz="6" w:space="0" w:color="000000"/>
            </w:tcBorders>
          </w:tcPr>
          <w:p>
            <w:pP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3,828,422.40</w:t>
            </w:r>
          </w:p>
        </w:tc>
      </w:tr>
      <w:tr>
        <w:trPr>
          <w:trHeight w:val="347" w:hRule="exact"/>
        </w:trPr>
        <w:tc>
          <w:tcPr>
            <w:tcW w:w="4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11,485,267.20</w:t>
            </w:r>
          </w:p>
        </w:tc>
        <w:tc>
          <w:tcPr>
            <w:tcW w:w="2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15,313,689.60</w:t>
            </w:r>
          </w:p>
        </w:tc>
      </w:tr>
    </w:tbl>
    <w:p>
      <w:pPr>
        <w:spacing w:line="240" w:lineRule="auto" w:before="3"/>
        <w:rPr>
          <w:rFonts w:ascii="宋体" w:hAnsi="宋体" w:cs="宋体" w:eastAsia="宋体" w:hint="default"/>
          <w:sz w:val="21"/>
          <w:szCs w:val="21"/>
        </w:rPr>
      </w:pPr>
    </w:p>
    <w:p>
      <w:pPr>
        <w:pStyle w:val="BodyText"/>
        <w:spacing w:line="300" w:lineRule="auto" w:before="44"/>
        <w:ind w:right="1130" w:firstLine="360"/>
        <w:jc w:val="both"/>
      </w:pPr>
      <w:r>
        <w:rPr>
          <w:spacing w:val="-2"/>
        </w:rPr>
        <w:t>公司与深圳软件园管理中心（以下简称</w:t>
      </w:r>
      <w:r>
        <w:rPr>
          <w:rFonts w:ascii="Times New Roman" w:hAnsi="Times New Roman" w:cs="Times New Roman" w:eastAsia="Times New Roman" w:hint="default"/>
          <w:spacing w:val="-2"/>
        </w:rPr>
        <w:t>“</w:t>
      </w:r>
      <w:r>
        <w:rPr>
          <w:spacing w:val="-2"/>
        </w:rPr>
        <w:t>出租方</w:t>
      </w:r>
      <w:r>
        <w:rPr>
          <w:rFonts w:ascii="Times New Roman" w:hAnsi="Times New Roman" w:cs="Times New Roman" w:eastAsia="Times New Roman" w:hint="default"/>
          <w:spacing w:val="-2"/>
        </w:rPr>
        <w:t>”</w:t>
      </w:r>
      <w:r>
        <w:rPr>
          <w:spacing w:val="-2"/>
        </w:rPr>
        <w:t>）签订了《深圳市房屋租赁合同书》，出租方将其位于南山区学府路</w:t>
      </w:r>
      <w:r>
        <w:rPr>
          <w:rFonts w:ascii="Times New Roman" w:hAnsi="Times New Roman" w:cs="Times New Roman" w:eastAsia="Times New Roman" w:hint="default"/>
          <w:spacing w:val="-2"/>
        </w:rPr>
        <w:t>63</w:t>
      </w:r>
      <w:r>
        <w:rPr>
          <w:rFonts w:ascii="Times New Roman" w:hAnsi="Times New Roman" w:cs="Times New Roman" w:eastAsia="Times New Roman" w:hint="default"/>
        </w:rPr>
        <w:t> </w:t>
      </w:r>
      <w:r>
        <w:rPr>
          <w:spacing w:val="-2"/>
        </w:rPr>
        <w:t>号高新区联合总部大厦</w:t>
      </w:r>
      <w:r>
        <w:rPr>
          <w:rFonts w:ascii="Times New Roman" w:hAnsi="Times New Roman" w:cs="Times New Roman" w:eastAsia="Times New Roman" w:hint="default"/>
          <w:spacing w:val="-2"/>
        </w:rPr>
        <w:t>9</w:t>
      </w:r>
      <w:r>
        <w:rPr>
          <w:spacing w:val="-2"/>
        </w:rPr>
        <w:t>楼、</w:t>
      </w:r>
      <w:r>
        <w:rPr>
          <w:rFonts w:ascii="Times New Roman" w:hAnsi="Times New Roman" w:cs="Times New Roman" w:eastAsia="Times New Roman" w:hint="default"/>
          <w:spacing w:val="-2"/>
        </w:rPr>
        <w:t>10</w:t>
      </w:r>
      <w:r>
        <w:rPr>
          <w:spacing w:val="-2"/>
        </w:rPr>
        <w:t>楼出租给公司使用，租赁房屋建筑面积共计</w:t>
      </w:r>
      <w:r>
        <w:rPr>
          <w:rFonts w:ascii="Times New Roman" w:hAnsi="Times New Roman" w:cs="Times New Roman" w:eastAsia="Times New Roman" w:hint="default"/>
          <w:spacing w:val="-2"/>
        </w:rPr>
        <w:t>3,987.94</w:t>
      </w:r>
      <w:r>
        <w:rPr>
          <w:spacing w:val="-2"/>
        </w:rPr>
        <w:t>平方米，每平方米月租金</w:t>
      </w:r>
      <w:r>
        <w:rPr>
          <w:rFonts w:ascii="Times New Roman" w:hAnsi="Times New Roman" w:cs="Times New Roman" w:eastAsia="Times New Roman" w:hint="default"/>
          <w:spacing w:val="-2"/>
        </w:rPr>
        <w:t>80</w:t>
      </w:r>
      <w:r>
        <w:rPr>
          <w:spacing w:val="-2"/>
        </w:rPr>
        <w:t>元，每月合计</w:t>
      </w:r>
      <w:r>
        <w:rPr>
          <w:spacing w:val="-54"/>
        </w:rPr>
        <w:t> </w:t>
      </w:r>
      <w:r>
        <w:rPr>
          <w:spacing w:val="-54"/>
        </w:rPr>
      </w:r>
      <w:r>
        <w:rPr/>
        <w:t>租金</w:t>
      </w:r>
      <w:r>
        <w:rPr>
          <w:rFonts w:ascii="Times New Roman" w:hAnsi="Times New Roman" w:cs="Times New Roman" w:eastAsia="Times New Roman" w:hint="default"/>
        </w:rPr>
        <w:t>319,035.20</w:t>
      </w:r>
      <w:r>
        <w:rPr/>
        <w:t>元，租赁期限自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2021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p>
    <w:p>
      <w:pPr>
        <w:spacing w:after="0" w:line="300" w:lineRule="auto"/>
        <w:jc w:val="both"/>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2、或有事项" w:id="465"/>
      <w:bookmarkEnd w:id="465"/>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资产负债表日存在的重要或有事项" w:id="466"/>
      <w:bookmarkEnd w:id="466"/>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日，本公司无需要披露的重大或有事项。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3"/>
          <w:szCs w:val="13"/>
        </w:rPr>
      </w:pPr>
    </w:p>
    <w:p>
      <w:pPr>
        <w:pStyle w:val="Heading4"/>
        <w:spacing w:line="240" w:lineRule="auto"/>
        <w:ind w:right="0"/>
        <w:jc w:val="left"/>
        <w:rPr>
          <w:b w:val="0"/>
          <w:bCs w:val="0"/>
        </w:rPr>
      </w:pPr>
      <w:bookmarkStart w:name="（2）公司没有需要披露的重要或有事项，也应予以说明" w:id="467"/>
      <w:bookmarkEnd w:id="467"/>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公司不存在需要披露的重要或有事项。</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3、其他" w:id="468"/>
      <w:bookmarkEnd w:id="468"/>
      <w:r>
        <w:rPr>
          <w:b w:val="0"/>
          <w:bCs w:val="0"/>
        </w:rPr>
      </w:r>
      <w:r>
        <w:rPr>
          <w:rFonts w:ascii="Times New Roman" w:hAnsi="Times New Roman" w:cs="Times New Roman" w:eastAsia="Times New Roman" w:hint="default"/>
        </w:rPr>
        <w:t>3</w:t>
      </w:r>
      <w:r>
        <w:rPr/>
        <w:t>、其他</w:t>
      </w:r>
      <w:r>
        <w:rPr>
          <w:b w:val="0"/>
          <w:bCs w:val="0"/>
        </w:rPr>
      </w:r>
    </w:p>
    <w:p>
      <w:pPr>
        <w:spacing w:line="240" w:lineRule="auto" w:before="9"/>
        <w:rPr>
          <w:rFonts w:ascii="宋体" w:hAnsi="宋体" w:cs="宋体" w:eastAsia="宋体" w:hint="default"/>
          <w:b/>
          <w:bCs/>
          <w:sz w:val="22"/>
          <w:szCs w:val="22"/>
        </w:rPr>
      </w:pPr>
    </w:p>
    <w:p>
      <w:pPr>
        <w:pStyle w:val="Heading2"/>
        <w:spacing w:line="240" w:lineRule="auto"/>
        <w:ind w:right="0"/>
        <w:jc w:val="left"/>
        <w:rPr>
          <w:b w:val="0"/>
          <w:bCs w:val="0"/>
        </w:rPr>
      </w:pPr>
      <w:r>
        <w:rPr/>
        <w:t>无。</w:t>
      </w:r>
      <w:r>
        <w:rPr>
          <w:b w:val="0"/>
          <w:bCs w:val="0"/>
        </w:rPr>
      </w:r>
    </w:p>
    <w:p>
      <w:pPr>
        <w:spacing w:line="240" w:lineRule="auto" w:before="0"/>
        <w:rPr>
          <w:rFonts w:ascii="宋体" w:hAnsi="宋体" w:cs="宋体" w:eastAsia="宋体" w:hint="default"/>
          <w:b/>
          <w:bCs/>
          <w:sz w:val="24"/>
          <w:szCs w:val="24"/>
        </w:rPr>
      </w:pPr>
    </w:p>
    <w:p>
      <w:pPr>
        <w:spacing w:line="240" w:lineRule="auto" w:before="10"/>
        <w:rPr>
          <w:rFonts w:ascii="宋体" w:hAnsi="宋体" w:cs="宋体" w:eastAsia="宋体" w:hint="default"/>
          <w:b/>
          <w:bCs/>
          <w:sz w:val="22"/>
          <w:szCs w:val="22"/>
        </w:rPr>
      </w:pPr>
    </w:p>
    <w:p>
      <w:pPr>
        <w:pStyle w:val="Heading2"/>
        <w:spacing w:line="240" w:lineRule="auto"/>
        <w:ind w:right="0"/>
        <w:jc w:val="left"/>
        <w:rPr>
          <w:b w:val="0"/>
          <w:bCs w:val="0"/>
        </w:rPr>
      </w:pPr>
      <w:bookmarkStart w:name="十五、资产负债表日后事项" w:id="469"/>
      <w:bookmarkEnd w:id="469"/>
      <w:r>
        <w:rPr>
          <w:b w:val="0"/>
          <w:bCs w:val="0"/>
        </w:rPr>
      </w:r>
      <w:r>
        <w:rPr/>
        <w:t>十五、资产负债表日后事项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重要的非调整事项" w:id="470"/>
      <w:bookmarkEnd w:id="470"/>
      <w:r>
        <w:rPr>
          <w:b w:val="0"/>
          <w:bCs w:val="0"/>
        </w:rPr>
      </w:r>
      <w:r>
        <w:rPr>
          <w:rFonts w:ascii="Times New Roman" w:hAnsi="Times New Roman" w:cs="Times New Roman" w:eastAsia="Times New Roman" w:hint="default"/>
        </w:rPr>
        <w:t>1</w:t>
      </w:r>
      <w:r>
        <w:rPr/>
        <w:t>、重要的非调整事项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内容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09" w:right="111"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利润分配情况" w:id="471"/>
      <w:bookmarkEnd w:id="471"/>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61,494,043.20</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pStyle w:val="Heading4"/>
        <w:spacing w:line="240" w:lineRule="auto" w:before="35"/>
        <w:ind w:right="0"/>
        <w:jc w:val="both"/>
        <w:rPr>
          <w:b w:val="0"/>
          <w:bCs w:val="0"/>
        </w:rPr>
      </w:pPr>
      <w:bookmarkStart w:name="3、销售退回" w:id="472"/>
      <w:bookmarkEnd w:id="472"/>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12"/>
        <w:rPr>
          <w:rFonts w:ascii="宋体" w:hAnsi="宋体" w:cs="宋体" w:eastAsia="宋体" w:hint="default"/>
          <w:sz w:val="26"/>
          <w:szCs w:val="26"/>
        </w:rPr>
      </w:pPr>
    </w:p>
    <w:p>
      <w:pPr>
        <w:pStyle w:val="Heading4"/>
        <w:spacing w:line="240" w:lineRule="auto"/>
        <w:ind w:right="0"/>
        <w:jc w:val="both"/>
        <w:rPr>
          <w:b w:val="0"/>
          <w:bCs w:val="0"/>
        </w:rPr>
      </w:pPr>
      <w:bookmarkStart w:name="4、其他资产负债表日后事项说明" w:id="473"/>
      <w:bookmarkEnd w:id="473"/>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14" w:right="0"/>
        <w:jc w:val="left"/>
        <w:rPr>
          <w:rFonts w:ascii="Times New Roman" w:hAnsi="Times New Roman" w:cs="Times New Roman" w:eastAsia="Times New Roman" w:hint="default"/>
        </w:rPr>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日起执行新会计准则的影响 </w:t>
      </w:r>
      <w:r>
        <w:rPr>
          <w:spacing w:val="-2"/>
        </w:rPr>
        <w:t>财政部于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31</w:t>
      </w:r>
      <w:r>
        <w:rPr>
          <w:spacing w:val="-2"/>
        </w:rPr>
        <w:t>日分别发布了《企业会计准则第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w:t>
      </w:r>
      <w:r>
        <w:rPr>
          <w:rFonts w:ascii="Times New Roman" w:hAnsi="Times New Roman" w:cs="Times New Roman" w:eastAsia="Times New Roman" w:hint="default"/>
          <w:spacing w:val="-2"/>
        </w:rPr>
        <w:t>2017</w:t>
      </w:r>
      <w:r>
        <w:rPr>
          <w:spacing w:val="-2"/>
        </w:rPr>
        <w:t>年修订）》（财会〔</w:t>
      </w:r>
      <w:r>
        <w:rPr>
          <w:rFonts w:ascii="Times New Roman" w:hAnsi="Times New Roman" w:cs="Times New Roman" w:eastAsia="Times New Roman" w:hint="default"/>
          <w:spacing w:val="-2"/>
        </w:rPr>
        <w:t>2017</w:t>
      </w:r>
      <w:r>
        <w:rPr>
          <w:spacing w:val="-2"/>
        </w:rPr>
        <w:t>〕</w:t>
      </w:r>
      <w:r>
        <w:rPr>
          <w:rFonts w:ascii="Times New Roman" w:hAnsi="Times New Roman" w:cs="Times New Roman" w:eastAsia="Times New Roman" w:hint="default"/>
          <w:spacing w:val="-2"/>
        </w:rPr>
        <w:t>7</w:t>
      </w:r>
    </w:p>
    <w:p>
      <w:pPr>
        <w:pStyle w:val="BodyText"/>
        <w:spacing w:line="300" w:lineRule="auto" w:before="13"/>
        <w:ind w:right="1129"/>
        <w:jc w:val="both"/>
      </w:pPr>
      <w:r>
        <w:rPr/>
        <w:t>号）、《企业会计准则第</w:t>
      </w:r>
      <w:r>
        <w:rPr>
          <w:rFonts w:ascii="Times New Roman" w:hAnsi="Times New Roman" w:cs="Times New Roman" w:eastAsia="Times New Roman" w:hint="default"/>
        </w:rPr>
        <w:t>23</w:t>
      </w:r>
      <w:r>
        <w:rPr/>
        <w:t>号</w:t>
      </w:r>
      <w:r>
        <w:rPr>
          <w:rFonts w:ascii="Times New Roman" w:hAnsi="Times New Roman" w:cs="Times New Roman" w:eastAsia="Times New Roman" w:hint="default"/>
        </w:rPr>
        <w:t>——</w:t>
      </w:r>
      <w:r>
        <w:rPr/>
        <w:t>金融资产转移（</w:t>
      </w:r>
      <w:r>
        <w:rPr>
          <w:rFonts w:ascii="Times New Roman" w:hAnsi="Times New Roman" w:cs="Times New Roman" w:eastAsia="Times New Roman" w:hint="default"/>
        </w:rPr>
        <w:t>2017</w:t>
      </w:r>
      <w:r>
        <w:rPr/>
        <w:t>年修订）》（财会〔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8</w:t>
      </w:r>
      <w:r>
        <w:rPr/>
        <w:t>号）、《企业会计准则第</w:t>
      </w:r>
      <w:r>
        <w:rPr>
          <w:rFonts w:ascii="Times New Roman" w:hAnsi="Times New Roman" w:cs="Times New Roman" w:eastAsia="Times New Roman" w:hint="default"/>
        </w:rPr>
        <w:t>24</w:t>
      </w:r>
      <w:r>
        <w:rPr/>
        <w:t>号</w:t>
      </w:r>
      <w:r>
        <w:rPr>
          <w:rFonts w:ascii="Times New Roman" w:hAnsi="Times New Roman" w:cs="Times New Roman" w:eastAsia="Times New Roman" w:hint="default"/>
        </w:rPr>
        <w:t>——</w:t>
      </w:r>
      <w:r>
        <w:rPr/>
        <w:t>套期</w:t>
      </w:r>
      <w:r>
        <w:rPr>
          <w:spacing w:val="-83"/>
        </w:rPr>
        <w:t> </w:t>
      </w:r>
      <w:r>
        <w:rPr/>
        <w:t>会计（</w:t>
      </w:r>
      <w:r>
        <w:rPr>
          <w:rFonts w:ascii="Times New Roman" w:hAnsi="Times New Roman" w:cs="Times New Roman" w:eastAsia="Times New Roman" w:hint="default"/>
        </w:rPr>
        <w:t>2017</w:t>
      </w:r>
      <w:r>
        <w:rPr/>
        <w:t>年修订）》（财会〔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9</w:t>
      </w:r>
      <w:r>
        <w:rPr/>
        <w:t>号），于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w:t>
      </w:r>
      <w:r>
        <w:rPr/>
        <w:t>日发布了《企业会计准则第</w:t>
      </w:r>
      <w:r>
        <w:rPr>
          <w:rFonts w:ascii="Times New Roman" w:hAnsi="Times New Roman" w:cs="Times New Roman" w:eastAsia="Times New Roman" w:hint="default"/>
        </w:rPr>
        <w:t>37</w:t>
      </w:r>
      <w:r>
        <w:rPr/>
        <w:t>号</w:t>
      </w:r>
      <w:r>
        <w:rPr>
          <w:rFonts w:ascii="Times New Roman" w:hAnsi="Times New Roman" w:cs="Times New Roman" w:eastAsia="Times New Roman" w:hint="default"/>
        </w:rPr>
        <w:t>——</w:t>
      </w:r>
      <w:r>
        <w:rPr/>
        <w:t>金融工具列报（</w:t>
      </w:r>
      <w:r>
        <w:rPr>
          <w:rFonts w:ascii="Times New Roman" w:hAnsi="Times New Roman" w:cs="Times New Roman" w:eastAsia="Times New Roman" w:hint="default"/>
        </w:rPr>
        <w:t>2017</w:t>
      </w:r>
      <w:r>
        <w:rPr/>
        <w:t>年修</w:t>
      </w:r>
      <w:r>
        <w:rPr>
          <w:spacing w:val="-83"/>
        </w:rPr>
        <w:t> </w:t>
      </w:r>
      <w:r>
        <w:rPr>
          <w:spacing w:val="-2"/>
        </w:rPr>
        <w:t>订）》（财会〔</w:t>
      </w:r>
      <w:r>
        <w:rPr>
          <w:rFonts w:ascii="Times New Roman" w:hAnsi="Times New Roman" w:cs="Times New Roman" w:eastAsia="Times New Roman" w:hint="default"/>
          <w:spacing w:val="-2"/>
        </w:rPr>
        <w:t>2017</w:t>
      </w:r>
      <w:r>
        <w:rPr>
          <w:spacing w:val="-2"/>
        </w:rPr>
        <w:t>〕</w:t>
      </w:r>
      <w:r>
        <w:rPr>
          <w:rFonts w:ascii="Times New Roman" w:hAnsi="Times New Roman" w:cs="Times New Roman" w:eastAsia="Times New Roman" w:hint="default"/>
          <w:spacing w:val="-2"/>
        </w:rPr>
        <w:t>14</w:t>
      </w:r>
      <w:r>
        <w:rPr>
          <w:spacing w:val="-2"/>
        </w:rPr>
        <w:t>号）（上述准则以下统称</w:t>
      </w:r>
      <w:r>
        <w:rPr>
          <w:rFonts w:ascii="Times New Roman" w:hAnsi="Times New Roman" w:cs="Times New Roman" w:eastAsia="Times New Roman" w:hint="default"/>
          <w:spacing w:val="-2"/>
        </w:rPr>
        <w:t>“</w:t>
      </w:r>
      <w:r>
        <w:rPr>
          <w:spacing w:val="-2"/>
        </w:rPr>
        <w:t>新金融工具准则</w:t>
      </w:r>
      <w:r>
        <w:rPr>
          <w:rFonts w:ascii="Times New Roman" w:hAnsi="Times New Roman" w:cs="Times New Roman" w:eastAsia="Times New Roman" w:hint="default"/>
          <w:spacing w:val="-2"/>
        </w:rPr>
        <w:t>”</w:t>
      </w:r>
      <w:r>
        <w:rPr>
          <w:spacing w:val="-2"/>
        </w:rPr>
        <w:t>），并要求境内上市公司自</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日起施行。第三</w:t>
      </w:r>
      <w:r>
        <w:rPr>
          <w:spacing w:val="-32"/>
        </w:rPr>
        <w:t> </w:t>
      </w:r>
      <w:r>
        <w:rPr>
          <w:spacing w:val="-32"/>
        </w:rPr>
      </w:r>
      <w:r>
        <w:rPr/>
        <w:t>届董事会第二十次会议</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18</w:t>
      </w:r>
      <w:r>
        <w:rPr/>
        <w:t>日审议通过，本公司将于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日起执行上述新金融工具准则，并将依据上述新金</w:t>
      </w:r>
      <w:r>
        <w:rPr>
          <w:spacing w:val="-83"/>
        </w:rPr>
        <w:t> </w:t>
      </w:r>
      <w:r>
        <w:rPr>
          <w:spacing w:val="-83"/>
        </w:rPr>
      </w:r>
      <w:r>
        <w:rPr/>
        <w:t>融工具准则的规定对相关会计政策进行变更。</w:t>
      </w:r>
    </w:p>
    <w:p>
      <w:pPr>
        <w:pStyle w:val="BodyText"/>
        <w:spacing w:line="240" w:lineRule="auto" w:before="31"/>
        <w:ind w:left="514" w:right="0"/>
        <w:jc w:val="left"/>
      </w:pPr>
      <w:r>
        <w:rPr/>
        <w:t>以下为所涉及的会计政策变更的主要内容：</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left="514" w:right="0"/>
        <w:jc w:val="left"/>
      </w:pPr>
      <w:r>
        <w:rPr/>
        <w:t>在新金融工具准则下所有已确认金融资产其后续均按摊余成本或公允价值计量。 </w:t>
      </w:r>
      <w:r>
        <w:rPr>
          <w:spacing w:val="-2"/>
        </w:rPr>
        <w:t>在新金融工具准则施行日，以本公司该日既有事实和情况为基础评估管理金融资产的业务模式、以金融资产初始确认时</w:t>
      </w:r>
    </w:p>
    <w:p>
      <w:pPr>
        <w:pStyle w:val="BodyText"/>
        <w:spacing w:line="319" w:lineRule="auto" w:before="19"/>
        <w:ind w:right="1132"/>
        <w:jc w:val="both"/>
      </w:pPr>
      <w:r>
        <w:rPr>
          <w:spacing w:val="-2"/>
        </w:rPr>
        <w:t>的事实和情况为基础评估该金融资产上的合同现金流量特征，将金融资产分为三类：按摊余成本计量、按公允价值计量且其</w:t>
      </w:r>
      <w:r>
        <w:rPr>
          <w:spacing w:val="-66"/>
        </w:rPr>
        <w:t> </w:t>
      </w:r>
      <w:r>
        <w:rPr>
          <w:spacing w:val="-66"/>
        </w:rPr>
      </w:r>
      <w:r>
        <w:rPr>
          <w:spacing w:val="-2"/>
        </w:rPr>
        <w:t>变动计入其他综合收益及按公允价值计量且其变动计入损益。其中，对于按公允价值计量且其变动计入其他综合收益的权益</w:t>
      </w:r>
      <w:r>
        <w:rPr>
          <w:spacing w:val="-64"/>
        </w:rPr>
        <w:t> </w:t>
      </w:r>
      <w:r>
        <w:rPr>
          <w:spacing w:val="-64"/>
        </w:rPr>
      </w:r>
      <w:r>
        <w:rPr>
          <w:spacing w:val="-2"/>
        </w:rPr>
        <w:t>工具投资，当该金融资产终止确认时，之前计入其他综合收益的累计利得或损失将从其他综合收益转入留存收益，不计入当</w:t>
      </w:r>
      <w:r>
        <w:rPr>
          <w:spacing w:val="-66"/>
        </w:rPr>
        <w:t> </w:t>
      </w:r>
      <w:r>
        <w:rPr>
          <w:spacing w:val="-66"/>
        </w:rPr>
      </w:r>
      <w:r>
        <w:rPr/>
        <w:t>期损益。</w:t>
      </w:r>
    </w:p>
    <w:p>
      <w:pPr>
        <w:pStyle w:val="BodyText"/>
        <w:spacing w:line="316" w:lineRule="auto" w:before="17"/>
        <w:ind w:right="0" w:firstLine="360"/>
        <w:jc w:val="left"/>
      </w:pPr>
      <w:r>
        <w:rPr>
          <w:spacing w:val="-2"/>
        </w:rPr>
        <w:t>在新金融工具准则下，本公司以预期信用损失为基础，对以摊余成本计量的金融资产、以公允价值计量且其变动计入其</w:t>
      </w:r>
      <w:r>
        <w:rPr/>
        <w:t> 他综合收益的债务工具投资、租赁应收款、合同资产及财务担保合同计提减值准备并确认信用减值损失。</w:t>
      </w:r>
    </w:p>
    <w:p>
      <w:pPr>
        <w:pStyle w:val="BodyText"/>
        <w:spacing w:line="240" w:lineRule="auto" w:before="19"/>
        <w:ind w:left="514" w:right="0"/>
        <w:jc w:val="left"/>
      </w:pPr>
      <w:r>
        <w:rPr>
          <w:rFonts w:ascii="Times New Roman" w:hAnsi="Times New Roman" w:cs="Times New Roman" w:eastAsia="Times New Roman" w:hint="default"/>
        </w:rPr>
        <w:t>2</w:t>
      </w:r>
      <w:r>
        <w:rPr/>
        <w:t>、利润分配</w:t>
      </w:r>
    </w:p>
    <w:p>
      <w:pPr>
        <w:pStyle w:val="BodyText"/>
        <w:spacing w:line="240" w:lineRule="auto" w:before="63"/>
        <w:ind w:left="514" w:right="0"/>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29</w:t>
      </w:r>
      <w:r>
        <w:rPr/>
        <w:t>日，经公司第四届董事会审议通过，拟以未来实施分配方案时股权登记日的总股本为基数，向全体股东每</w:t>
      </w:r>
    </w:p>
    <w:p>
      <w:pPr>
        <w:pStyle w:val="BodyText"/>
        <w:spacing w:line="240" w:lineRule="auto" w:before="63"/>
        <w:ind w:right="0"/>
        <w:jc w:val="both"/>
      </w:pPr>
      <w:r>
        <w:rPr>
          <w:rFonts w:ascii="Times New Roman" w:hAnsi="Times New Roman" w:cs="Times New Roman" w:eastAsia="Times New Roman" w:hint="default"/>
        </w:rPr>
        <w:t>10</w:t>
      </w:r>
      <w:r>
        <w:rPr/>
        <w:t>股派发现金股利人民币</w:t>
      </w:r>
      <w:r>
        <w:rPr>
          <w:rFonts w:ascii="Times New Roman" w:hAnsi="Times New Roman" w:cs="Times New Roman" w:eastAsia="Times New Roman" w:hint="default"/>
        </w:rPr>
        <w:t>1</w:t>
      </w:r>
      <w:r>
        <w:rPr/>
        <w:t>元（含税）。上述利润分配方案尚待提交公司股东大会审议。</w:t>
      </w:r>
    </w:p>
    <w:p>
      <w:pPr>
        <w:spacing w:line="240" w:lineRule="auto" w:before="1"/>
        <w:rPr>
          <w:rFonts w:ascii="宋体" w:hAnsi="宋体" w:cs="宋体" w:eastAsia="宋体" w:hint="default"/>
          <w:sz w:val="24"/>
          <w:szCs w:val="24"/>
        </w:rPr>
      </w:pPr>
    </w:p>
    <w:p>
      <w:pPr>
        <w:pStyle w:val="Heading2"/>
        <w:spacing w:line="240" w:lineRule="auto"/>
        <w:ind w:right="0"/>
        <w:jc w:val="both"/>
        <w:rPr>
          <w:b w:val="0"/>
          <w:bCs w:val="0"/>
        </w:rPr>
      </w:pPr>
      <w:bookmarkStart w:name="十六、其他重要事项" w:id="474"/>
      <w:bookmarkEnd w:id="474"/>
      <w:r>
        <w:rPr>
          <w:b w:val="0"/>
          <w:bCs w:val="0"/>
        </w:rPr>
      </w:r>
      <w:r>
        <w:rPr/>
        <w:t>十六、其他重要事项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both"/>
        <w:rPr>
          <w:b w:val="0"/>
          <w:bCs w:val="0"/>
        </w:rPr>
      </w:pPr>
      <w:bookmarkStart w:name="1、前期会计差错更正" w:id="475"/>
      <w:bookmarkEnd w:id="475"/>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both"/>
        <w:rPr>
          <w:b w:val="0"/>
          <w:bCs w:val="0"/>
        </w:rPr>
      </w:pPr>
      <w:bookmarkStart w:name="（1）追溯重述法" w:id="476"/>
      <w:bookmarkEnd w:id="476"/>
      <w:r>
        <w:rPr>
          <w:b w:val="0"/>
          <w:bCs w:val="0"/>
        </w:rPr>
      </w:r>
      <w:r>
        <w:rPr/>
        <w:t>（</w:t>
      </w:r>
      <w:r>
        <w:rPr>
          <w:rFonts w:ascii="Times New Roman" w:hAnsi="Times New Roman" w:cs="Times New Roman" w:eastAsia="Times New Roman" w:hint="default"/>
        </w:rPr>
        <w:t>1</w:t>
      </w:r>
      <w:r>
        <w:rPr/>
        <w:t>）追溯重述法</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29" w:right="111"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2）未来适用法" w:id="477"/>
      <w:bookmarkEnd w:id="477"/>
      <w:r>
        <w:rPr>
          <w:b w:val="0"/>
          <w:bCs w:val="0"/>
        </w:rPr>
      </w:r>
      <w:r>
        <w:rPr/>
        <w:t>（</w:t>
      </w:r>
      <w:r>
        <w:rPr>
          <w:rFonts w:ascii="Times New Roman" w:hAnsi="Times New Roman" w:cs="Times New Roman" w:eastAsia="Times New Roman" w:hint="default"/>
        </w:rPr>
        <w:t>2</w:t>
      </w:r>
      <w:r>
        <w:rPr/>
        <w:t>）未来适用法</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75"/>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46"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7"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line="240" w:lineRule="auto" w:before="2"/>
        <w:rPr>
          <w:rFonts w:ascii="宋体" w:hAnsi="宋体" w:cs="宋体" w:eastAsia="宋体" w:hint="default"/>
          <w:b/>
          <w:bCs/>
          <w:sz w:val="19"/>
          <w:szCs w:val="19"/>
        </w:rPr>
      </w:pPr>
    </w:p>
    <w:p>
      <w:pPr>
        <w:pStyle w:val="Heading4"/>
        <w:spacing w:line="240" w:lineRule="auto" w:before="35"/>
        <w:ind w:right="0"/>
        <w:jc w:val="left"/>
        <w:rPr>
          <w:b w:val="0"/>
          <w:bCs w:val="0"/>
        </w:rPr>
      </w:pPr>
      <w:bookmarkStart w:name="2、债务重组" w:id="478"/>
      <w:bookmarkEnd w:id="478"/>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3、资产置换" w:id="479"/>
      <w:bookmarkEnd w:id="479"/>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非货币性资产交换" w:id="480"/>
      <w:bookmarkEnd w:id="480"/>
      <w:r>
        <w:rPr>
          <w:b w:val="0"/>
          <w:bCs w:val="0"/>
        </w:rPr>
      </w:r>
      <w:r>
        <w:rPr/>
        <w:t>（</w:t>
      </w:r>
      <w:r>
        <w:rPr>
          <w:rFonts w:ascii="Times New Roman" w:hAnsi="Times New Roman" w:cs="Times New Roman" w:eastAsia="Times New Roman" w:hint="default"/>
        </w:rPr>
        <w:t>1</w:t>
      </w:r>
      <w:r>
        <w:rPr/>
        <w:t>）非货币性资产交换</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2）其他资产置换" w:id="481"/>
      <w:bookmarkEnd w:id="481"/>
      <w:r>
        <w:rPr>
          <w:b w:val="0"/>
          <w:bCs w:val="0"/>
        </w:rPr>
      </w:r>
      <w:r>
        <w:rPr/>
        <w:t>（</w:t>
      </w:r>
      <w:r>
        <w:rPr>
          <w:rFonts w:ascii="Times New Roman" w:hAnsi="Times New Roman" w:cs="Times New Roman" w:eastAsia="Times New Roman" w:hint="default"/>
        </w:rPr>
        <w:t>2</w:t>
      </w:r>
      <w:r>
        <w:rPr/>
        <w:t>）其他资产置换</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4、年金计划" w:id="482"/>
      <w:bookmarkEnd w:id="482"/>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5、终止经营" w:id="483"/>
      <w:bookmarkEnd w:id="483"/>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9"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7" w:right="47"/>
              <w:jc w:val="center"/>
              <w:rPr>
                <w:rFonts w:ascii="宋体" w:hAnsi="宋体" w:cs="宋体" w:eastAsia="宋体" w:hint="default"/>
                <w:sz w:val="18"/>
                <w:szCs w:val="18"/>
              </w:rPr>
            </w:pPr>
            <w:r>
              <w:rPr>
                <w:rFonts w:ascii="宋体" w:hAnsi="宋体" w:cs="宋体" w:eastAsia="宋体" w:hint="default"/>
                <w:sz w:val="18"/>
                <w:szCs w:val="18"/>
              </w:rPr>
              <w:t>归属于母公司所 有者的终止经营 利润</w:t>
            </w:r>
          </w:p>
        </w:tc>
      </w:tr>
    </w:tbl>
    <w:p>
      <w:pPr>
        <w:pStyle w:val="BodyText"/>
        <w:spacing w:line="240" w:lineRule="auto" w:before="51"/>
        <w:ind w:right="0"/>
        <w:jc w:val="left"/>
      </w:pPr>
      <w:r>
        <w:rPr/>
        <w:t>其他说明</w:t>
      </w:r>
    </w:p>
    <w:p>
      <w:pPr>
        <w:spacing w:after="0" w:line="240" w:lineRule="auto"/>
        <w:jc w:val="left"/>
        <w:sectPr>
          <w:footerReference w:type="default" r:id="rId57"/>
          <w:pgSz w:w="11910" w:h="16840"/>
          <w:pgMar w:footer="979" w:header="747" w:top="1060" w:bottom="1160" w:left="980" w:right="0"/>
          <w:pgNumType w:start="218"/>
        </w:sectPr>
      </w:pPr>
    </w:p>
    <w:p>
      <w:pPr>
        <w:spacing w:line="240" w:lineRule="auto" w:before="9"/>
        <w:rPr>
          <w:rFonts w:ascii="宋体" w:hAnsi="宋体" w:cs="宋体" w:eastAsia="宋体" w:hint="default"/>
          <w:sz w:val="24"/>
          <w:szCs w:val="24"/>
        </w:rPr>
      </w:pPr>
    </w:p>
    <w:p>
      <w:pPr>
        <w:pStyle w:val="Heading4"/>
        <w:spacing w:line="240" w:lineRule="auto" w:before="35"/>
        <w:ind w:right="0"/>
        <w:jc w:val="left"/>
        <w:rPr>
          <w:b w:val="0"/>
          <w:bCs w:val="0"/>
        </w:rPr>
      </w:pPr>
      <w:bookmarkStart w:name="6、分部信息" w:id="484"/>
      <w:bookmarkEnd w:id="484"/>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bookmarkStart w:name="（1）报告分部的确定依据与会计政策" w:id="485"/>
      <w:bookmarkEnd w:id="485"/>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2）报告分部的财务信息" w:id="486"/>
      <w:bookmarkEnd w:id="486"/>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04"/>
        <w:gridCol w:w="2381"/>
        <w:gridCol w:w="2392"/>
        <w:gridCol w:w="2392"/>
      </w:tblGrid>
      <w:tr>
        <w:trPr>
          <w:trHeight w:val="402" w:hRule="exact"/>
        </w:trPr>
        <w:tc>
          <w:tcPr>
            <w:tcW w:w="2404" w:type="dxa"/>
            <w:tcBorders>
              <w:top w:val="single" w:sz="4" w:space="0" w:color="000000"/>
              <w:left w:val="single" w:sz="4" w:space="0" w:color="000000"/>
              <w:bottom w:val="single" w:sz="4" w:space="0" w:color="000000"/>
              <w:right w:val="single" w:sz="13" w:space="0" w:color="E0FFFF"/>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81"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3）公司无报告分部的，或者不能披露各报告分部的资产总额和负债总额的，应说明原因" w:id="487"/>
      <w:bookmarkEnd w:id="487"/>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4）其他说明" w:id="488"/>
      <w:bookmarkEnd w:id="488"/>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7、其他对投资者决策有影响的重要交易和事项" w:id="489"/>
      <w:bookmarkEnd w:id="489"/>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8、其他" w:id="490"/>
      <w:bookmarkEnd w:id="490"/>
      <w:r>
        <w:rPr>
          <w:b w:val="0"/>
          <w:bCs w:val="0"/>
        </w:rPr>
      </w: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5532" w:firstLine="360"/>
        <w:jc w:val="left"/>
      </w:pPr>
      <w:r>
        <w:rPr>
          <w:rFonts w:ascii="Times New Roman" w:hAnsi="Times New Roman" w:cs="Times New Roman" w:eastAsia="Times New Roman" w:hint="default"/>
        </w:rPr>
        <w:t>1</w:t>
      </w:r>
      <w:r>
        <w:rPr/>
        <w:t>、大股东股票质押情况 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日，本公司的第一大股东吴涵渠股票质押情况：</w:t>
      </w:r>
    </w:p>
    <w:tbl>
      <w:tblPr>
        <w:tblW w:w="0" w:type="auto"/>
        <w:jc w:val="left"/>
        <w:tblInd w:w="146" w:type="dxa"/>
        <w:tblLayout w:type="fixed"/>
        <w:tblCellMar>
          <w:top w:w="0" w:type="dxa"/>
          <w:left w:w="0" w:type="dxa"/>
          <w:bottom w:w="0" w:type="dxa"/>
          <w:right w:w="0" w:type="dxa"/>
        </w:tblCellMar>
        <w:tblLook w:val="01E0"/>
      </w:tblPr>
      <w:tblGrid>
        <w:gridCol w:w="3222"/>
        <w:gridCol w:w="3222"/>
        <w:gridCol w:w="3224"/>
      </w:tblGrid>
      <w:tr>
        <w:trPr>
          <w:trHeight w:val="347" w:hRule="exact"/>
        </w:trPr>
        <w:tc>
          <w:tcPr>
            <w:tcW w:w="3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883" w:right="0"/>
              <w:jc w:val="left"/>
              <w:rPr>
                <w:rFonts w:ascii="宋体" w:hAnsi="宋体" w:cs="宋体" w:eastAsia="宋体" w:hint="default"/>
                <w:sz w:val="18"/>
                <w:szCs w:val="18"/>
              </w:rPr>
            </w:pPr>
            <w:r>
              <w:rPr>
                <w:rFonts w:ascii="宋体" w:hAnsi="宋体" w:cs="宋体" w:eastAsia="宋体" w:hint="default"/>
                <w:sz w:val="18"/>
                <w:szCs w:val="18"/>
              </w:rPr>
              <w:t>报告期末持股数量</w:t>
            </w:r>
          </w:p>
        </w:tc>
        <w:tc>
          <w:tcPr>
            <w:tcW w:w="3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质押情况</w:t>
            </w:r>
          </w:p>
        </w:tc>
      </w:tr>
      <w:tr>
        <w:trPr>
          <w:trHeight w:val="348" w:hRule="exact"/>
        </w:trPr>
        <w:tc>
          <w:tcPr>
            <w:tcW w:w="3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吴涵渠</w:t>
            </w:r>
          </w:p>
        </w:tc>
        <w:tc>
          <w:tcPr>
            <w:tcW w:w="3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171,156,663</w:t>
            </w:r>
          </w:p>
        </w:tc>
        <w:tc>
          <w:tcPr>
            <w:tcW w:w="3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25,486,000</w:t>
            </w:r>
          </w:p>
        </w:tc>
      </w:tr>
    </w:tbl>
    <w:p>
      <w:pPr>
        <w:spacing w:line="240" w:lineRule="auto" w:before="6"/>
        <w:rPr>
          <w:rFonts w:ascii="宋体" w:hAnsi="宋体" w:cs="宋体" w:eastAsia="宋体" w:hint="default"/>
          <w:sz w:val="21"/>
          <w:szCs w:val="21"/>
        </w:rPr>
      </w:pPr>
    </w:p>
    <w:p>
      <w:pPr>
        <w:pStyle w:val="BodyText"/>
        <w:spacing w:line="240" w:lineRule="auto" w:before="44"/>
        <w:ind w:left="514" w:right="0"/>
        <w:jc w:val="left"/>
      </w:pPr>
      <w:r>
        <w:rPr>
          <w:rFonts w:ascii="Times New Roman" w:hAnsi="Times New Roman" w:cs="Times New Roman" w:eastAsia="Times New Roman" w:hint="default"/>
        </w:rPr>
        <w:t>2</w:t>
      </w:r>
      <w:r>
        <w:rPr/>
        <w:t>、关于重大资产重组交易相关方放弃超额完成业绩的业绩奖励的承诺</w:t>
      </w:r>
    </w:p>
    <w:p>
      <w:pPr>
        <w:pStyle w:val="BodyText"/>
        <w:spacing w:line="300" w:lineRule="auto" w:before="63"/>
        <w:ind w:right="1133" w:firstLine="36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10"/>
        </w:rPr>
        <w:t> </w:t>
      </w:r>
      <w:r>
        <w:rPr/>
        <w:t>年</w:t>
      </w:r>
      <w:r>
        <w:rPr>
          <w:spacing w:val="-35"/>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37"/>
        </w:rPr>
        <w:t> </w:t>
      </w:r>
      <w:r>
        <w:rPr>
          <w:rFonts w:ascii="Times New Roman" w:hAnsi="Times New Roman" w:cs="Times New Roman" w:eastAsia="Times New Roman" w:hint="default"/>
        </w:rPr>
        <w:t>25</w:t>
      </w:r>
      <w:r>
        <w:rPr>
          <w:rFonts w:ascii="Times New Roman" w:hAnsi="Times New Roman" w:cs="Times New Roman" w:eastAsia="Times New Roman" w:hint="default"/>
          <w:spacing w:val="10"/>
        </w:rPr>
        <w:t> </w:t>
      </w:r>
      <w:r>
        <w:rPr/>
        <w:t>日，公司收到沈永健、周维君、王亚伟、罗晓珊、深圳前海汉华源投资企业（有限合伙）《关于重大 资产重组交易相关方放弃超额完成业绩的业绩奖励的承诺》。</w:t>
      </w:r>
    </w:p>
    <w:p>
      <w:pPr>
        <w:spacing w:line="240" w:lineRule="auto" w:before="3"/>
        <w:rPr>
          <w:rFonts w:ascii="宋体" w:hAnsi="宋体" w:cs="宋体" w:eastAsia="宋体" w:hint="default"/>
          <w:sz w:val="26"/>
          <w:szCs w:val="26"/>
        </w:rPr>
      </w:pPr>
    </w:p>
    <w:p>
      <w:pPr>
        <w:pStyle w:val="BodyText"/>
        <w:spacing w:line="240" w:lineRule="auto"/>
        <w:ind w:left="514" w:right="0"/>
        <w:jc w:val="left"/>
      </w:pPr>
      <w:r>
        <w:rPr>
          <w:rFonts w:ascii="Times New Roman" w:hAnsi="Times New Roman" w:cs="Times New Roman" w:eastAsia="Times New Roman" w:hint="default"/>
        </w:rPr>
        <w:t>3</w:t>
      </w:r>
      <w:r>
        <w:rPr/>
        <w:t>、子公司千百辉与广州奥迪通用照明有限公司往来款事项</w:t>
      </w:r>
    </w:p>
    <w:p>
      <w:pPr>
        <w:pStyle w:val="BodyText"/>
        <w:spacing w:line="300" w:lineRule="auto" w:before="63"/>
        <w:ind w:right="1129" w:firstLine="360"/>
        <w:jc w:val="both"/>
      </w:pP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25</w:t>
      </w:r>
      <w:r>
        <w:rPr>
          <w:spacing w:val="-2"/>
        </w:rPr>
        <w:t>日，子公司千百辉与广州奥迪通用照明有限公司（下称</w:t>
      </w:r>
      <w:r>
        <w:rPr>
          <w:rFonts w:ascii="Times New Roman" w:hAnsi="Times New Roman" w:cs="Times New Roman" w:eastAsia="Times New Roman" w:hint="default"/>
          <w:spacing w:val="-2"/>
        </w:rPr>
        <w:t>“</w:t>
      </w:r>
      <w:r>
        <w:rPr>
          <w:spacing w:val="-2"/>
        </w:rPr>
        <w:t>奥迪公司</w:t>
      </w:r>
      <w:r>
        <w:rPr>
          <w:rFonts w:ascii="Times New Roman" w:hAnsi="Times New Roman" w:cs="Times New Roman" w:eastAsia="Times New Roman" w:hint="default"/>
          <w:spacing w:val="-2"/>
        </w:rPr>
        <w:t>”</w:t>
      </w:r>
      <w:r>
        <w:rPr>
          <w:spacing w:val="-2"/>
        </w:rPr>
        <w:t>）签订《借款合同》，约定公司向奥迪</w:t>
      </w:r>
      <w:r>
        <w:rPr/>
        <w:t> </w:t>
      </w:r>
      <w:r>
        <w:rPr>
          <w:spacing w:val="-2"/>
        </w:rPr>
        <w:t>公司出借人民币</w:t>
      </w:r>
      <w:r>
        <w:rPr>
          <w:rFonts w:ascii="Times New Roman" w:hAnsi="Times New Roman" w:cs="Times New Roman" w:eastAsia="Times New Roman" w:hint="default"/>
          <w:spacing w:val="-2"/>
        </w:rPr>
        <w:t>250</w:t>
      </w:r>
      <w:r>
        <w:rPr>
          <w:spacing w:val="-2"/>
        </w:rPr>
        <w:t>万元，借款期限由</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4</w:t>
      </w:r>
      <w:r>
        <w:rPr>
          <w:spacing w:val="-2"/>
        </w:rPr>
        <w:t>日至</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30</w:t>
      </w:r>
      <w:r>
        <w:rPr>
          <w:spacing w:val="-2"/>
        </w:rPr>
        <w:t>日，全期借款利息人民币</w:t>
      </w:r>
      <w:r>
        <w:rPr>
          <w:rFonts w:ascii="Times New Roman" w:hAnsi="Times New Roman" w:cs="Times New Roman" w:eastAsia="Times New Roman" w:hint="default"/>
          <w:spacing w:val="-2"/>
        </w:rPr>
        <w:t>25</w:t>
      </w:r>
      <w:r>
        <w:rPr>
          <w:spacing w:val="-2"/>
        </w:rPr>
        <w:t>万元；借款到期后未能偿还的</w:t>
      </w:r>
      <w:r>
        <w:rPr>
          <w:spacing w:val="-49"/>
        </w:rPr>
        <w:t> </w:t>
      </w:r>
      <w:r>
        <w:rPr>
          <w:spacing w:val="-49"/>
        </w:rPr>
      </w:r>
      <w:r>
        <w:rPr>
          <w:spacing w:val="-1"/>
        </w:rPr>
        <w:t>本金按每月</w:t>
      </w:r>
      <w:r>
        <w:rPr>
          <w:rFonts w:ascii="Times New Roman" w:hAnsi="Times New Roman" w:cs="Times New Roman" w:eastAsia="Times New Roman" w:hint="default"/>
          <w:spacing w:val="-1"/>
        </w:rPr>
        <w:t>2%</w:t>
      </w:r>
      <w:r>
        <w:rPr>
          <w:spacing w:val="-1"/>
        </w:rPr>
        <w:t>计收利息。</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4</w:t>
      </w:r>
      <w:r>
        <w:rPr>
          <w:spacing w:val="-1"/>
        </w:rPr>
        <w:t>日，公司按照约定将人民币</w:t>
      </w:r>
      <w:r>
        <w:rPr>
          <w:rFonts w:ascii="Times New Roman" w:hAnsi="Times New Roman" w:cs="Times New Roman" w:eastAsia="Times New Roman" w:hint="default"/>
          <w:spacing w:val="-1"/>
        </w:rPr>
        <w:t>250</w:t>
      </w:r>
      <w:r>
        <w:rPr>
          <w:spacing w:val="-1"/>
        </w:rPr>
        <w:t>万元借款转到奥迪公司账上。借款到期后奥迪公司未按</w:t>
      </w:r>
      <w:r>
        <w:rPr>
          <w:spacing w:val="-82"/>
        </w:rPr>
        <w:t> </w:t>
      </w:r>
      <w:r>
        <w:rPr>
          <w:spacing w:val="-82"/>
        </w:rPr>
      </w:r>
      <w:r>
        <w:rPr>
          <w:spacing w:val="-2"/>
        </w:rPr>
        <w:t>约定返还借款，公司于</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16</w:t>
      </w:r>
      <w:r>
        <w:rPr>
          <w:spacing w:val="-2"/>
        </w:rPr>
        <w:t>日向奥迪公司发出催款函，要求其返还本金及利息共</w:t>
      </w:r>
      <w:r>
        <w:rPr>
          <w:rFonts w:ascii="Times New Roman" w:hAnsi="Times New Roman" w:cs="Times New Roman" w:eastAsia="Times New Roman" w:hint="default"/>
          <w:spacing w:val="-2"/>
        </w:rPr>
        <w:t>275</w:t>
      </w:r>
      <w:r>
        <w:rPr>
          <w:spacing w:val="-2"/>
        </w:rPr>
        <w:t>万元以及逾期利息。奥迪公司收</w:t>
      </w:r>
      <w:r>
        <w:rPr>
          <w:spacing w:val="-56"/>
        </w:rPr>
        <w:t> </w:t>
      </w:r>
      <w:r>
        <w:rPr>
          <w:spacing w:val="-56"/>
        </w:rPr>
      </w:r>
      <w:r>
        <w:rPr/>
        <w:t>到催款函后仍一直没有履行还款义务。</w:t>
      </w:r>
    </w:p>
    <w:p>
      <w:pPr>
        <w:pStyle w:val="BodyText"/>
        <w:spacing w:line="304" w:lineRule="auto" w:before="31"/>
        <w:ind w:right="0" w:firstLine="360"/>
        <w:jc w:val="left"/>
      </w:pPr>
      <w:r>
        <w:rPr/>
        <w:t>公司已委托广东公诚律师事务所王卫刚律师向华南国际经济贸易委员会申请仲裁，仲裁委员会已受理该案件，并定于 </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月开庭审理。</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24</w:t>
      </w:r>
      <w:r>
        <w:rPr/>
        <w:t>日，华南国际经济贸易委员会作出终局裁决（文号：华南国仲深裁</w:t>
      </w:r>
      <w:r>
        <w:rPr>
          <w:rFonts w:ascii="Times New Roman" w:hAnsi="Times New Roman" w:cs="Times New Roman" w:eastAsia="Times New Roman" w:hint="default"/>
        </w:rPr>
        <w:t>[2017]D392</w:t>
      </w:r>
      <w:r>
        <w:rPr/>
        <w:t>）：奥迪公 </w:t>
      </w:r>
      <w:r>
        <w:rPr>
          <w:spacing w:val="-2"/>
        </w:rPr>
        <w:t>司偿还千百辉公司借款本金人民币</w:t>
      </w:r>
      <w:r>
        <w:rPr>
          <w:rFonts w:ascii="Times New Roman" w:hAnsi="Times New Roman" w:cs="Times New Roman" w:eastAsia="Times New Roman" w:hint="default"/>
          <w:spacing w:val="-2"/>
        </w:rPr>
        <w:t>250</w:t>
      </w:r>
      <w:r>
        <w:rPr>
          <w:spacing w:val="-2"/>
        </w:rPr>
        <w:t>万元及利息人民币</w:t>
      </w:r>
      <w:r>
        <w:rPr>
          <w:rFonts w:ascii="Times New Roman" w:hAnsi="Times New Roman" w:cs="Times New Roman" w:eastAsia="Times New Roman" w:hint="default"/>
          <w:spacing w:val="-2"/>
        </w:rPr>
        <w:t>25</w:t>
      </w:r>
      <w:r>
        <w:rPr>
          <w:spacing w:val="-2"/>
        </w:rPr>
        <w:t>万元，偿还自</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w:t>
      </w:r>
      <w:r>
        <w:rPr>
          <w:spacing w:val="-2"/>
        </w:rPr>
        <w:t>日起以人民币</w:t>
      </w:r>
      <w:r>
        <w:rPr>
          <w:rFonts w:ascii="Times New Roman" w:hAnsi="Times New Roman" w:cs="Times New Roman" w:eastAsia="Times New Roman" w:hint="default"/>
          <w:spacing w:val="-2"/>
        </w:rPr>
        <w:t>250</w:t>
      </w:r>
      <w:r>
        <w:rPr>
          <w:spacing w:val="-2"/>
        </w:rPr>
        <w:t>万元为基数按年利率</w:t>
      </w:r>
      <w:r>
        <w:rPr>
          <w:rFonts w:ascii="Times New Roman" w:hAnsi="Times New Roman" w:cs="Times New Roman" w:eastAsia="Times New Roman" w:hint="default"/>
          <w:spacing w:val="-2"/>
        </w:rPr>
        <w:t>24% </w:t>
      </w:r>
      <w:r>
        <w:rPr>
          <w:spacing w:val="-3"/>
        </w:rPr>
        <w:t>计至借款全部还清之日止的逾期利息和违约金。</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16</w:t>
      </w:r>
      <w:r>
        <w:rPr>
          <w:spacing w:val="-3"/>
        </w:rPr>
        <w:t>日广州市白云区人民法院作出执行裁定书（</w:t>
      </w:r>
      <w:r>
        <w:rPr>
          <w:rFonts w:ascii="Times New Roman" w:hAnsi="Times New Roman" w:cs="Times New Roman" w:eastAsia="Times New Roman" w:hint="default"/>
          <w:spacing w:val="-3"/>
        </w:rPr>
        <w:t>2017</w:t>
      </w:r>
      <w:r>
        <w:rPr>
          <w:spacing w:val="-3"/>
        </w:rPr>
        <w:t>）粤</w:t>
      </w:r>
      <w:r>
        <w:rPr>
          <w:rFonts w:ascii="Times New Roman" w:hAnsi="Times New Roman" w:cs="Times New Roman" w:eastAsia="Times New Roman" w:hint="default"/>
          <w:spacing w:val="-3"/>
        </w:rPr>
        <w:t>0111</w:t>
      </w:r>
      <w:r>
        <w:rPr>
          <w:spacing w:val="-3"/>
        </w:rPr>
        <w:t>执</w:t>
      </w:r>
      <w:r>
        <w:rPr>
          <w:rFonts w:ascii="Times New Roman" w:hAnsi="Times New Roman" w:cs="Times New Roman" w:eastAsia="Times New Roman" w:hint="default"/>
          <w:spacing w:val="-3"/>
        </w:rPr>
        <w:t>9129</w:t>
      </w:r>
      <w:r>
        <w:rPr>
          <w:rFonts w:ascii="Times New Roman" w:hAnsi="Times New Roman" w:cs="Times New Roman" w:eastAsia="Times New Roman" w:hint="default"/>
          <w:spacing w:val="-27"/>
        </w:rPr>
        <w:t> </w:t>
      </w:r>
      <w:r>
        <w:rPr/>
        <w:t>号，裁定千百辉公司发现奥迪公司有可供执行财产的，可以再次申请执行。截止报告日，公司尚未收到以上款项。</w:t>
      </w:r>
    </w:p>
    <w:p>
      <w:pPr>
        <w:pStyle w:val="BodyText"/>
        <w:spacing w:line="240" w:lineRule="auto" w:before="28"/>
        <w:ind w:left="514" w:right="0"/>
        <w:jc w:val="left"/>
      </w:pPr>
      <w:r>
        <w:rPr>
          <w:rFonts w:ascii="Times New Roman" w:hAnsi="Times New Roman" w:cs="Times New Roman" w:eastAsia="Times New Roman" w:hint="default"/>
        </w:rPr>
        <w:t>4</w:t>
      </w:r>
      <w:r>
        <w:rPr/>
        <w:t>、子公司千百辉与无锡天盛置业有限公司往来款事项</w:t>
      </w:r>
    </w:p>
    <w:p>
      <w:pPr>
        <w:pStyle w:val="BodyText"/>
        <w:spacing w:line="300" w:lineRule="auto" w:before="63"/>
        <w:ind w:right="1129" w:firstLine="360"/>
        <w:jc w:val="both"/>
      </w:pPr>
      <w:r>
        <w:rPr>
          <w:spacing w:val="-2"/>
        </w:rPr>
        <w:t>子公司千百辉与无锡天盛置业有限公司（以下简称</w:t>
      </w:r>
      <w:r>
        <w:rPr>
          <w:rFonts w:ascii="Times New Roman" w:hAnsi="Times New Roman" w:cs="Times New Roman" w:eastAsia="Times New Roman" w:hint="default"/>
          <w:spacing w:val="-2"/>
        </w:rPr>
        <w:t>“</w:t>
      </w:r>
      <w:r>
        <w:rPr>
          <w:spacing w:val="-2"/>
        </w:rPr>
        <w:t>无锡天盛</w:t>
      </w:r>
      <w:r>
        <w:rPr>
          <w:rFonts w:ascii="Times New Roman" w:hAnsi="Times New Roman" w:cs="Times New Roman" w:eastAsia="Times New Roman" w:hint="default"/>
          <w:spacing w:val="-2"/>
        </w:rPr>
        <w:t>”</w:t>
      </w:r>
      <w:r>
        <w:rPr>
          <w:spacing w:val="-2"/>
        </w:rPr>
        <w:t>）</w:t>
      </w:r>
      <w:r>
        <w:rPr>
          <w:spacing w:val="-51"/>
        </w:rPr>
        <w:t> </w:t>
      </w:r>
      <w:r>
        <w:rPr>
          <w:rFonts w:ascii="Times New Roman" w:hAnsi="Times New Roman" w:cs="Times New Roman" w:eastAsia="Times New Roman" w:hint="default"/>
          <w:spacing w:val="-2"/>
        </w:rPr>
        <w:t>2013</w:t>
      </w:r>
      <w:r>
        <w:rPr>
          <w:spacing w:val="-2"/>
        </w:rPr>
        <w:t>年签订《无锡百乐广场商业区泛光照明工程合同》</w:t>
      </w:r>
      <w:r>
        <w:rPr/>
        <w:t> </w:t>
      </w:r>
      <w:r>
        <w:rPr>
          <w:spacing w:val="-1"/>
        </w:rPr>
        <w:t>及相关补充协议，截止期末应收无锡天盛置业有限公司工程款</w:t>
      </w:r>
      <w:r>
        <w:rPr>
          <w:rFonts w:ascii="Times New Roman" w:hAnsi="Times New Roman" w:cs="Times New Roman" w:eastAsia="Times New Roman" w:hint="default"/>
          <w:spacing w:val="-1"/>
        </w:rPr>
        <w:t>438.52</w:t>
      </w:r>
      <w:r>
        <w:rPr>
          <w:spacing w:val="-1"/>
        </w:rPr>
        <w:t>万元，无锡天盛未按合同支付工程款，千百辉已委托广</w:t>
      </w:r>
      <w:r>
        <w:rPr>
          <w:spacing w:val="-74"/>
        </w:rPr>
        <w:t> </w:t>
      </w:r>
      <w:r>
        <w:rPr>
          <w:spacing w:val="-74"/>
        </w:rPr>
      </w:r>
      <w:r>
        <w:rPr/>
        <w:t>东君儒律师事务所起诉无锡天盛，无锡天盛提起反诉同时千百辉于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月委托基层法律服务工作者负责反诉案件的诉讼</w:t>
      </w:r>
      <w:r>
        <w:rPr>
          <w:spacing w:val="-82"/>
        </w:rPr>
        <w:t> </w:t>
      </w:r>
      <w:r>
        <w:rPr>
          <w:spacing w:val="-82"/>
        </w:rPr>
      </w:r>
      <w:r>
        <w:rPr/>
        <w:t>相关工作。案件于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17</w:t>
      </w:r>
      <w:r>
        <w:rPr/>
        <w:t>日开庭审理，截止报告日，本诉与反诉均未结案。</w:t>
      </w:r>
    </w:p>
    <w:p>
      <w:pPr>
        <w:pStyle w:val="BodyText"/>
        <w:spacing w:line="300" w:lineRule="auto" w:before="13"/>
        <w:ind w:left="514" w:right="1117"/>
        <w:jc w:val="left"/>
      </w:pPr>
      <w:r>
        <w:rPr>
          <w:rFonts w:ascii="Times New Roman" w:hAnsi="Times New Roman" w:cs="Times New Roman" w:eastAsia="Times New Roman" w:hint="default"/>
        </w:rPr>
        <w:t>5</w:t>
      </w:r>
      <w:r>
        <w:rPr/>
        <w:t>、执行《关于修订印发</w:t>
      </w:r>
      <w:r>
        <w:rPr>
          <w:rFonts w:ascii="Times New Roman" w:hAnsi="Times New Roman" w:cs="Times New Roman" w:eastAsia="Times New Roman" w:hint="default"/>
        </w:rPr>
        <w:t>2018</w:t>
      </w:r>
      <w:r>
        <w:rPr/>
        <w:t>年度一般企业财务报表格式的通知》的影响 财政部于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日发布了《关于修订印发</w:t>
      </w:r>
      <w:r>
        <w:rPr>
          <w:rFonts w:ascii="Times New Roman" w:hAnsi="Times New Roman" w:cs="Times New Roman" w:eastAsia="Times New Roman" w:hint="default"/>
        </w:rPr>
        <w:t>2018</w:t>
      </w:r>
      <w:r>
        <w:rPr/>
        <w:t>年度一般企业财务报表格式的通知》</w:t>
      </w:r>
      <w:r>
        <w:rPr>
          <w:rFonts w:ascii="Times New Roman" w:hAnsi="Times New Roman" w:cs="Times New Roman" w:eastAsia="Times New Roman" w:hint="default"/>
        </w:rPr>
        <w:t>(</w:t>
      </w:r>
      <w:r>
        <w:rPr/>
        <w:t>财会</w:t>
      </w:r>
      <w:r>
        <w:rPr>
          <w:rFonts w:ascii="Times New Roman" w:hAnsi="Times New Roman" w:cs="Times New Roman" w:eastAsia="Times New Roman" w:hint="default"/>
        </w:rPr>
        <w:t>(2018)</w:t>
      </w:r>
      <w:r>
        <w:rPr>
          <w:rFonts w:ascii="Times New Roman" w:hAnsi="Times New Roman" w:cs="Times New Roman" w:eastAsia="Times New Roman" w:hint="default"/>
          <w:spacing w:val="35"/>
        </w:rPr>
        <w:t> </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对一般企业</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130"/>
        <w:jc w:val="both"/>
      </w:pPr>
      <w:r>
        <w:rPr>
          <w:spacing w:val="-2"/>
        </w:rPr>
        <w:t>财务报表格式进行了修订，归并部分资产负债表项目，拆分部分利润表项目：并于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7</w:t>
      </w:r>
      <w:r>
        <w:rPr>
          <w:spacing w:val="-2"/>
        </w:rPr>
        <w:t>日发布了《关于</w:t>
      </w:r>
      <w:r>
        <w:rPr>
          <w:rFonts w:ascii="Times New Roman" w:hAnsi="Times New Roman" w:cs="Times New Roman" w:eastAsia="Times New Roman" w:hint="default"/>
          <w:spacing w:val="-2"/>
        </w:rPr>
        <w:t>2018</w:t>
      </w:r>
      <w:r>
        <w:rPr>
          <w:spacing w:val="-2"/>
        </w:rPr>
        <w:t>年度一般</w:t>
      </w:r>
      <w:r>
        <w:rPr>
          <w:spacing w:val="-57"/>
        </w:rPr>
        <w:t> </w:t>
      </w:r>
      <w:r>
        <w:rPr/>
        <w:t>企业财务报表格式有关问题的解读》</w:t>
      </w:r>
      <w:r>
        <w:rPr>
          <w:rFonts w:ascii="Times New Roman" w:hAnsi="Times New Roman" w:cs="Times New Roman" w:eastAsia="Times New Roman" w:hint="default"/>
        </w:rPr>
        <w:t>.</w:t>
      </w:r>
      <w:r>
        <w:rPr/>
        <w:t>本公司已经根据新的企业财务报表格式的要求编制财务报表，财务报表的列报项目因</w:t>
      </w:r>
      <w:r>
        <w:rPr>
          <w:spacing w:val="-45"/>
        </w:rPr>
        <w:t> </w:t>
      </w:r>
      <w:r>
        <w:rPr>
          <w:spacing w:val="-45"/>
        </w:rPr>
      </w:r>
      <w:r>
        <w:rPr/>
        <w:t>此发生变更的，已经按照《企业会计准则第</w:t>
      </w:r>
      <w:r>
        <w:rPr>
          <w:rFonts w:ascii="Times New Roman" w:hAnsi="Times New Roman" w:cs="Times New Roman" w:eastAsia="Times New Roman" w:hint="default"/>
        </w:rPr>
        <w:t>30</w:t>
      </w:r>
      <w:r>
        <w:rPr/>
        <w:t>号－财务报表列报》等的相关规定，对可比期间的比较数据进行调整。</w:t>
      </w:r>
    </w:p>
    <w:p>
      <w:pPr>
        <w:pStyle w:val="BodyText"/>
        <w:spacing w:line="300" w:lineRule="auto" w:before="13"/>
        <w:ind w:right="0" w:firstLine="360"/>
        <w:jc w:val="left"/>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18</w:t>
      </w:r>
      <w:r>
        <w:rPr>
          <w:spacing w:val="-2"/>
        </w:rPr>
        <w:t>日，公司召开的第三届董事会第三十四次会议、第三届监事会第二十七次会议审议通过了《关于会计政策</w:t>
      </w:r>
      <w:r>
        <w:rPr/>
        <w:t> 变更的议案》公司独立董事、监事发表了同意的独立意见。</w:t>
      </w:r>
    </w:p>
    <w:p>
      <w:pPr>
        <w:pStyle w:val="BodyText"/>
        <w:spacing w:line="300" w:lineRule="auto" w:before="31"/>
        <w:ind w:right="1118" w:firstLine="360"/>
        <w:jc w:val="left"/>
      </w:pPr>
      <w:r>
        <w:rPr>
          <w:spacing w:val="-2"/>
        </w:rPr>
        <w:t>以上会计政策变更需要对公司</w:t>
      </w:r>
      <w:r>
        <w:rPr>
          <w:rFonts w:ascii="Times New Roman" w:hAnsi="Times New Roman" w:cs="Times New Roman" w:eastAsia="Times New Roman" w:hint="default"/>
          <w:spacing w:val="-2"/>
        </w:rPr>
        <w:t>2017</w:t>
      </w:r>
      <w:r>
        <w:rPr>
          <w:spacing w:val="-2"/>
        </w:rPr>
        <w:t>年度可比财务数据进行追溯调整，追澜调整对公司</w:t>
      </w:r>
      <w:r>
        <w:rPr>
          <w:rFonts w:ascii="Times New Roman" w:hAnsi="Times New Roman" w:cs="Times New Roman" w:eastAsia="Times New Roman" w:hint="default"/>
          <w:spacing w:val="-2"/>
        </w:rPr>
        <w:t>2017</w:t>
      </w:r>
      <w:r>
        <w:rPr>
          <w:spacing w:val="-2"/>
        </w:rPr>
        <w:t>年度合并财务报表具体影响如</w:t>
      </w:r>
      <w:r>
        <w:rPr/>
        <w:t> 下：</w:t>
      </w:r>
    </w:p>
    <w:tbl>
      <w:tblPr>
        <w:tblW w:w="0" w:type="auto"/>
        <w:jc w:val="left"/>
        <w:tblInd w:w="146" w:type="dxa"/>
        <w:tblLayout w:type="fixed"/>
        <w:tblCellMar>
          <w:top w:w="0" w:type="dxa"/>
          <w:left w:w="0" w:type="dxa"/>
          <w:bottom w:w="0" w:type="dxa"/>
          <w:right w:w="0" w:type="dxa"/>
        </w:tblCellMar>
        <w:tblLook w:val="01E0"/>
      </w:tblPr>
      <w:tblGrid>
        <w:gridCol w:w="2410"/>
        <w:gridCol w:w="2518"/>
        <w:gridCol w:w="2303"/>
        <w:gridCol w:w="2410"/>
      </w:tblGrid>
      <w:tr>
        <w:trPr>
          <w:trHeight w:val="427" w:hRule="exact"/>
        </w:trPr>
        <w:tc>
          <w:tcPr>
            <w:tcW w:w="2410" w:type="dxa"/>
            <w:vMerge w:val="restart"/>
            <w:tcBorders>
              <w:top w:val="single" w:sz="6" w:space="0" w:color="000000"/>
              <w:left w:val="single" w:sz="6" w:space="0" w:color="000000"/>
              <w:right w:val="single" w:sz="6" w:space="0" w:color="000000"/>
            </w:tcBorders>
          </w:tcPr>
          <w:p>
            <w:pPr>
              <w:pStyle w:val="TableParagraph"/>
              <w:spacing w:line="240" w:lineRule="auto" w:before="62"/>
              <w:ind w:left="567" w:right="0"/>
              <w:jc w:val="left"/>
              <w:rPr>
                <w:rFonts w:ascii="宋体" w:hAnsi="宋体" w:cs="宋体" w:eastAsia="宋体" w:hint="default"/>
                <w:sz w:val="18"/>
                <w:szCs w:val="18"/>
              </w:rPr>
            </w:pPr>
            <w:r>
              <w:rPr>
                <w:rFonts w:ascii="宋体" w:hAnsi="宋体" w:cs="宋体" w:eastAsia="宋体" w:hint="default"/>
                <w:sz w:val="18"/>
                <w:szCs w:val="18"/>
              </w:rPr>
              <w:t>资产负债类项目</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2303" w:type="dxa"/>
            <w:vMerge w:val="restart"/>
            <w:tcBorders>
              <w:top w:val="single" w:sz="6" w:space="0" w:color="000000"/>
              <w:left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调整金额</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5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r>
      <w:tr>
        <w:trPr>
          <w:trHeight w:val="427" w:hRule="exact"/>
        </w:trPr>
        <w:tc>
          <w:tcPr>
            <w:tcW w:w="2410" w:type="dxa"/>
            <w:vMerge/>
            <w:tcBorders>
              <w:left w:val="single" w:sz="6" w:space="0" w:color="000000"/>
              <w:bottom w:val="single" w:sz="6" w:space="0" w:color="000000"/>
              <w:right w:val="single" w:sz="6" w:space="0" w:color="000000"/>
            </w:tcBorders>
          </w:tcPr>
          <w:p>
            <w:pP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21" w:right="0"/>
              <w:jc w:val="left"/>
              <w:rPr>
                <w:rFonts w:ascii="宋体" w:hAnsi="宋体" w:cs="宋体" w:eastAsia="宋体" w:hint="default"/>
                <w:sz w:val="18"/>
                <w:szCs w:val="18"/>
              </w:rPr>
            </w:pPr>
            <w:r>
              <w:rPr>
                <w:rFonts w:ascii="宋体" w:hAnsi="宋体" w:cs="宋体" w:eastAsia="宋体" w:hint="default"/>
                <w:sz w:val="18"/>
                <w:szCs w:val="18"/>
              </w:rPr>
              <w:t>调整列报前金额</w:t>
            </w:r>
          </w:p>
        </w:tc>
        <w:tc>
          <w:tcPr>
            <w:tcW w:w="2303" w:type="dxa"/>
            <w:vMerge/>
            <w:tcBorders>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566" w:right="0"/>
              <w:jc w:val="left"/>
              <w:rPr>
                <w:rFonts w:ascii="宋体" w:hAnsi="宋体" w:cs="宋体" w:eastAsia="宋体" w:hint="default"/>
                <w:sz w:val="18"/>
                <w:szCs w:val="18"/>
              </w:rPr>
            </w:pPr>
            <w:r>
              <w:rPr>
                <w:rFonts w:ascii="宋体" w:hAnsi="宋体" w:cs="宋体" w:eastAsia="宋体" w:hint="default"/>
                <w:sz w:val="18"/>
                <w:szCs w:val="18"/>
              </w:rPr>
              <w:t>调整列报后金额</w:t>
            </w:r>
          </w:p>
        </w:tc>
      </w:tr>
      <w:tr>
        <w:trPr>
          <w:trHeight w:val="426"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8,269,122.33</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-8,269,122.33</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506,285,252.32</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-506,285,252.32</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514,554,374.65</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514,554,374.65</w:t>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152,566.47</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5"/>
                <w:sz w:val="18"/>
              </w:rPr>
              <w:t>-152,566.47</w:t>
            </w:r>
            <w:r>
              <w:rPr>
                <w:rFonts w:ascii="Times New Roman"/>
                <w:sz w:val="18"/>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41,017,667.16</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152,566.47</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41,170,233.63</w:t>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52,382,104.11</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-52,382,104.11</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6"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267,469,542.19</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-267,469,542.19</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319,851,646.30</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319,851,646.30</w:t>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140,995.89</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5"/>
                <w:sz w:val="18"/>
              </w:rPr>
              <w:t>-140,995.89</w:t>
            </w:r>
            <w:r>
              <w:rPr>
                <w:rFonts w:ascii="Times New Roman"/>
                <w:sz w:val="18"/>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8"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339,480.00</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5"/>
                <w:sz w:val="18"/>
              </w:rPr>
              <w:t>-339,480.00</w:t>
            </w:r>
            <w:r>
              <w:rPr>
                <w:rFonts w:ascii="Times New Roman"/>
                <w:sz w:val="18"/>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44,402,533.33</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480,475.89</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44,883,009.22</w:t>
            </w:r>
          </w:p>
        </w:tc>
      </w:tr>
      <w:tr>
        <w:trPr>
          <w:trHeight w:val="427" w:hRule="exact"/>
        </w:trPr>
        <w:tc>
          <w:tcPr>
            <w:tcW w:w="2410" w:type="dxa"/>
            <w:vMerge w:val="restart"/>
            <w:tcBorders>
              <w:top w:val="single" w:sz="6" w:space="0" w:color="000000"/>
              <w:left w:val="single" w:sz="6" w:space="0" w:color="000000"/>
              <w:right w:val="single" w:sz="6" w:space="0" w:color="000000"/>
            </w:tcBorders>
          </w:tcPr>
          <w:p>
            <w:pPr>
              <w:pStyle w:val="TableParagraph"/>
              <w:spacing w:line="240" w:lineRule="auto" w:before="62"/>
              <w:ind w:left="747" w:right="0"/>
              <w:jc w:val="left"/>
              <w:rPr>
                <w:rFonts w:ascii="宋体" w:hAnsi="宋体" w:cs="宋体" w:eastAsia="宋体" w:hint="default"/>
                <w:sz w:val="18"/>
                <w:szCs w:val="18"/>
              </w:rPr>
            </w:pPr>
            <w:r>
              <w:rPr>
                <w:rFonts w:ascii="宋体" w:hAnsi="宋体" w:cs="宋体" w:eastAsia="宋体" w:hint="default"/>
                <w:sz w:val="18"/>
                <w:szCs w:val="18"/>
              </w:rPr>
              <w:t>损益类项目</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2303" w:type="dxa"/>
            <w:vMerge w:val="restart"/>
            <w:tcBorders>
              <w:top w:val="single" w:sz="6" w:space="0" w:color="000000"/>
              <w:left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调整金额</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65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r>
      <w:tr>
        <w:trPr>
          <w:trHeight w:val="426" w:hRule="exact"/>
        </w:trPr>
        <w:tc>
          <w:tcPr>
            <w:tcW w:w="2410" w:type="dxa"/>
            <w:vMerge/>
            <w:tcBorders>
              <w:left w:val="single" w:sz="6" w:space="0" w:color="000000"/>
              <w:bottom w:val="single" w:sz="6" w:space="0" w:color="000000"/>
              <w:right w:val="single" w:sz="6" w:space="0" w:color="000000"/>
            </w:tcBorders>
          </w:tcPr>
          <w:p>
            <w:pP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621" w:right="0"/>
              <w:jc w:val="left"/>
              <w:rPr>
                <w:rFonts w:ascii="宋体" w:hAnsi="宋体" w:cs="宋体" w:eastAsia="宋体" w:hint="default"/>
                <w:sz w:val="18"/>
                <w:szCs w:val="18"/>
              </w:rPr>
            </w:pPr>
            <w:r>
              <w:rPr>
                <w:rFonts w:ascii="宋体" w:hAnsi="宋体" w:cs="宋体" w:eastAsia="宋体" w:hint="default"/>
                <w:sz w:val="18"/>
                <w:szCs w:val="18"/>
              </w:rPr>
              <w:t>调整列报前金额</w:t>
            </w:r>
          </w:p>
        </w:tc>
        <w:tc>
          <w:tcPr>
            <w:tcW w:w="2303" w:type="dxa"/>
            <w:vMerge/>
            <w:tcBorders>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566" w:right="0"/>
              <w:jc w:val="left"/>
              <w:rPr>
                <w:rFonts w:ascii="宋体" w:hAnsi="宋体" w:cs="宋体" w:eastAsia="宋体" w:hint="default"/>
                <w:sz w:val="18"/>
                <w:szCs w:val="18"/>
              </w:rPr>
            </w:pPr>
            <w:r>
              <w:rPr>
                <w:rFonts w:ascii="宋体" w:hAnsi="宋体" w:cs="宋体" w:eastAsia="宋体" w:hint="default"/>
                <w:sz w:val="18"/>
                <w:szCs w:val="18"/>
              </w:rPr>
              <w:t>调整列报后金额</w:t>
            </w:r>
          </w:p>
        </w:tc>
      </w:tr>
      <w:tr>
        <w:trPr>
          <w:trHeight w:val="42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129,100,009.14</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-67,494,849.69</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61,605,159.45</w:t>
            </w:r>
          </w:p>
        </w:tc>
      </w:tr>
      <w:tr>
        <w:trPr>
          <w:trHeight w:val="428"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67,494,849.69</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67,494,849.69</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p>
      <w:pPr>
        <w:pStyle w:val="Heading2"/>
        <w:spacing w:line="240" w:lineRule="auto" w:before="26"/>
        <w:ind w:right="0"/>
        <w:jc w:val="left"/>
        <w:rPr>
          <w:b w:val="0"/>
          <w:bCs w:val="0"/>
        </w:rPr>
      </w:pPr>
      <w:bookmarkStart w:name="十七、母公司财务报表主要项目注释" w:id="491"/>
      <w:bookmarkEnd w:id="491"/>
      <w:r>
        <w:rPr>
          <w:b w:val="0"/>
          <w:bCs w:val="0"/>
        </w:rPr>
      </w:r>
      <w:r>
        <w:rPr/>
        <w:t>十七、母公司财务报表主要项目注释</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应收票据及应收账款" w:id="492"/>
      <w:bookmarkEnd w:id="492"/>
      <w:r>
        <w:rPr>
          <w:b w:val="0"/>
          <w:bCs w:val="0"/>
        </w:rPr>
      </w:r>
      <w:r>
        <w:rPr>
          <w:rFonts w:ascii="Times New Roman" w:hAnsi="Times New Roman" w:cs="Times New Roman" w:eastAsia="Times New Roman" w:hint="default"/>
        </w:rPr>
        <w:t>1</w:t>
      </w:r>
      <w:r>
        <w:rPr/>
        <w:t>、应收票据及应收账款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224,411,359.04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153,714,915.86</w:t>
            </w:r>
          </w:p>
        </w:tc>
      </w:tr>
      <w:tr>
        <w:trPr>
          <w:trHeight w:val="40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224,411,359.04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153,714,915.86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0"/>
        <w:jc w:val="left"/>
        <w:rPr>
          <w:b w:val="0"/>
          <w:bCs w:val="0"/>
        </w:rPr>
      </w:pPr>
      <w:bookmarkStart w:name="（1）应收票据" w:id="493"/>
      <w:bookmarkEnd w:id="493"/>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应收票据分类列示</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rFonts w:ascii="Times New Roman" w:hAnsi="Times New Roman" w:cs="Times New Roman" w:eastAsia="Times New Roman" w:hint="default"/>
        </w:rPr>
        <w:t>2)</w:t>
      </w:r>
      <w:r>
        <w:rPr/>
        <w:t>期末公司已质押的应收票据</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pStyle w:val="BodyText"/>
        <w:spacing w:line="240" w:lineRule="auto" w:before="51"/>
        <w:ind w:right="0"/>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70"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bl>
    <w:p>
      <w:pPr>
        <w:spacing w:line="240" w:lineRule="auto" w:before="6"/>
        <w:rPr>
          <w:rFonts w:ascii="宋体" w:hAnsi="宋体" w:cs="宋体" w:eastAsia="宋体" w:hint="default"/>
          <w:sz w:val="20"/>
          <w:szCs w:val="20"/>
        </w:rPr>
      </w:pPr>
    </w:p>
    <w:p>
      <w:pPr>
        <w:pStyle w:val="BodyText"/>
        <w:spacing w:line="240" w:lineRule="auto" w:before="44"/>
        <w:ind w:right="0"/>
        <w:jc w:val="left"/>
      </w:pPr>
      <w:bookmarkStart w:name="4)期末公司因出票人未履约而将其转应收账款的票据" w:id="494"/>
      <w:bookmarkEnd w:id="494"/>
      <w:r>
        <w:rPr/>
      </w:r>
      <w:r>
        <w:rPr>
          <w:rFonts w:ascii="Times New Roman" w:hAnsi="Times New Roman" w:cs="Times New Roman" w:eastAsia="Times New Roman" w:hint="default"/>
        </w:rPr>
        <w:t>4)</w:t>
      </w:r>
      <w:r>
        <w:rPr/>
        <w:t>期末公司因出票人未履约而将其转应收账款的票据</w:t>
      </w:r>
    </w:p>
    <w:p>
      <w:pPr>
        <w:spacing w:line="240" w:lineRule="auto" w:before="6"/>
        <w:rPr>
          <w:rFonts w:ascii="宋体" w:hAnsi="宋体" w:cs="宋体" w:eastAsia="宋体" w:hint="default"/>
          <w:sz w:val="24"/>
          <w:szCs w:val="24"/>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2）应收账款" w:id="495"/>
      <w:bookmarkEnd w:id="495"/>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应收账款分类披露</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239,780,</w:t>
            </w:r>
          </w:p>
          <w:p>
            <w:pPr>
              <w:pStyle w:val="TableParagraph"/>
              <w:spacing w:line="240" w:lineRule="auto" w:before="106"/>
              <w:ind w:left="200" w:right="0"/>
              <w:jc w:val="center"/>
              <w:rPr>
                <w:rFonts w:ascii="Times New Roman" w:hAnsi="Times New Roman" w:cs="Times New Roman" w:eastAsia="Times New Roman" w:hint="default"/>
                <w:sz w:val="18"/>
                <w:szCs w:val="18"/>
              </w:rPr>
            </w:pPr>
            <w:r>
              <w:rPr>
                <w:rFonts w:ascii="Times New Roman"/>
                <w:sz w:val="18"/>
              </w:rPr>
              <w:t>186.29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15,368,8</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27.25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6.41%</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224,411,3</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59.04</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174,383</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,310.58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20,668,39</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4.72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1" w:right="0"/>
              <w:jc w:val="left"/>
              <w:rPr>
                <w:rFonts w:ascii="Times New Roman" w:hAnsi="Times New Roman" w:cs="Times New Roman" w:eastAsia="Times New Roman" w:hint="default"/>
                <w:sz w:val="18"/>
                <w:szCs w:val="18"/>
              </w:rPr>
            </w:pPr>
            <w:r>
              <w:rPr>
                <w:rFonts w:ascii="Times New Roman"/>
                <w:sz w:val="18"/>
              </w:rPr>
              <w:t>11.85%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153,714,91</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5.86</w:t>
            </w:r>
          </w:p>
        </w:tc>
      </w:tr>
      <w:tr>
        <w:trPr>
          <w:trHeight w:val="161"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239,780,</w:t>
            </w:r>
          </w:p>
          <w:p>
            <w:pPr>
              <w:pStyle w:val="TableParagraph"/>
              <w:spacing w:line="240" w:lineRule="auto" w:before="106"/>
              <w:ind w:left="205" w:right="0"/>
              <w:jc w:val="center"/>
              <w:rPr>
                <w:rFonts w:ascii="Times New Roman" w:hAnsi="Times New Roman" w:cs="Times New Roman" w:eastAsia="Times New Roman" w:hint="default"/>
                <w:sz w:val="18"/>
                <w:szCs w:val="18"/>
              </w:rPr>
            </w:pPr>
            <w:r>
              <w:rPr>
                <w:rFonts w:ascii="Times New Roman"/>
                <w:sz w:val="18"/>
              </w:rPr>
              <w:t>186.29</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15,368,8</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27.25</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6.41%</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224,411,3</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59.04</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174,383</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,310.58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20,668,39</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4.72</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1" w:right="0"/>
              <w:jc w:val="left"/>
              <w:rPr>
                <w:rFonts w:ascii="Times New Roman" w:hAnsi="Times New Roman" w:cs="Times New Roman" w:eastAsia="Times New Roman" w:hint="default"/>
                <w:sz w:val="18"/>
                <w:szCs w:val="18"/>
              </w:rPr>
            </w:pPr>
            <w:r>
              <w:rPr>
                <w:rFonts w:ascii="Times New Roman"/>
                <w:sz w:val="18"/>
              </w:rPr>
              <w:t>11.85%</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153,714,91</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5.86</w:t>
            </w:r>
          </w:p>
        </w:tc>
      </w:tr>
      <w:tr>
        <w:trPr>
          <w:trHeight w:val="392" w:hRule="exact"/>
        </w:trPr>
        <w:tc>
          <w:tcPr>
            <w:tcW w:w="16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pStyle w:val="BodyText"/>
        <w:spacing w:line="240" w:lineRule="auto" w:before="51"/>
        <w:ind w:right="-20"/>
        <w:jc w:val="left"/>
      </w:pPr>
      <w:r>
        <w:rPr/>
        <w:t>期末单项金额重大并单项计提坏账准备的应收账款：</w:t>
      </w:r>
    </w:p>
    <w:p>
      <w:pPr>
        <w:pStyle w:val="BodyText"/>
        <w:spacing w:line="338" w:lineRule="auto" w:before="117"/>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组合中，按账龄分析法计提坏账准备的应收账款：</w:t>
      </w:r>
    </w:p>
    <w:p>
      <w:pPr>
        <w:pStyle w:val="BodyText"/>
        <w:spacing w:line="240"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295" w:space="4535"/>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92"/>
      </w:tblGrid>
      <w:tr>
        <w:trPr>
          <w:trHeight w:val="401" w:hRule="exact"/>
        </w:trPr>
        <w:tc>
          <w:tcPr>
            <w:tcW w:w="24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94" w:type="dxa"/>
            <w:vMerge/>
            <w:tcBorders>
              <w:left w:val="single" w:sz="4" w:space="0" w:color="000000"/>
              <w:bottom w:val="single" w:sz="4" w:space="0" w:color="000000"/>
              <w:right w:val="single" w:sz="4" w:space="0" w:color="000000"/>
            </w:tcBorders>
            <w:shd w:val="clear" w:color="auto" w:fill="D2D2D2"/>
          </w:tcPr>
          <w:p>
            <w:pP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spacing w:after="0" w:line="240" w:lineRule="auto"/>
        <w:jc w:val="center"/>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82"/>
        <w:gridCol w:w="2307"/>
        <w:gridCol w:w="2391"/>
        <w:gridCol w:w="2389"/>
      </w:tblGrid>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无风险组合</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86,730,075.28</w:t>
            </w: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113,394,191.07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5,667,052.70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22,109,795.66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2,210,979.57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7,679,619.33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1,535,923.87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4,980,981.15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2,490,490.58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2,842,286.56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1,421,143.29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2,043,237.24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2,043,237.24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239,780,186.29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15,368,827.25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6.41%</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357" w:lineRule="auto" w:before="51"/>
        <w:ind w:right="4314"/>
        <w:jc w:val="left"/>
      </w:pPr>
      <w:r>
        <w:rPr/>
        <w:t>确定该组合依据的说明： 无。</w:t>
      </w:r>
    </w:p>
    <w:p>
      <w:pPr>
        <w:pStyle w:val="BodyText"/>
        <w:spacing w:line="240" w:lineRule="auto" w:before="29"/>
        <w:ind w:right="-13"/>
        <w:jc w:val="left"/>
      </w:pPr>
      <w:r>
        <w:rPr/>
        <w:t>组合中，采用余额百分比法计提坏账准备的应收账款：</w:t>
      </w:r>
    </w:p>
    <w:p>
      <w:pPr>
        <w:pStyle w:val="BodyText"/>
        <w:spacing w:line="348" w:lineRule="auto" w:before="117"/>
        <w:ind w:right="23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组合中，采用其他方法计提坏账准备的应收账款： 无。</w:t>
      </w:r>
    </w:p>
    <w:p>
      <w:pPr>
        <w:pStyle w:val="BodyText"/>
        <w:spacing w:line="240" w:lineRule="auto" w:before="36"/>
        <w:ind w:right="-13"/>
        <w:jc w:val="left"/>
      </w:pPr>
      <w:r>
        <w:rPr>
          <w:rFonts w:ascii="Times New Roman" w:hAnsi="Times New Roman" w:cs="Times New Roman" w:eastAsia="Times New Roman" w:hint="default"/>
        </w:rPr>
        <w:t>2)</w:t>
      </w:r>
      <w:r>
        <w:rPr/>
        <w:t>本期计提、收回或转回的坏账准备情况</w:t>
      </w:r>
    </w:p>
    <w:p>
      <w:pPr>
        <w:pStyle w:val="BodyText"/>
        <w:spacing w:line="338" w:lineRule="auto" w:before="103"/>
        <w:ind w:right="-13"/>
        <w:jc w:val="left"/>
      </w:pPr>
      <w:r>
        <w:rPr/>
        <w:t>本期计提坏账准备金额</w:t>
      </w:r>
      <w:r>
        <w:rPr>
          <w:rFonts w:ascii="Times New Roman" w:hAnsi="Times New Roman" w:cs="Times New Roman" w:eastAsia="Times New Roman" w:hint="default"/>
        </w:rPr>
        <w:t>-4,626,585.43</w:t>
      </w:r>
      <w:r>
        <w:rPr>
          <w:rFonts w:ascii="Times New Roman" w:hAnsi="Times New Roman" w:cs="Times New Roman" w:eastAsia="Times New Roman" w:hint="default"/>
          <w:spacing w:val="-2"/>
        </w:rPr>
        <w:t> </w:t>
      </w:r>
      <w:r>
        <w:rPr/>
        <w:t>元；本期收回或转回坏账准备金额</w:t>
      </w:r>
      <w:r>
        <w:rPr>
          <w:spacing w:val="-48"/>
        </w:rPr>
        <w:t> </w:t>
      </w:r>
      <w:r>
        <w:rPr>
          <w:rFonts w:ascii="Times New Roman" w:hAnsi="Times New Roman" w:cs="Times New Roman" w:eastAsia="Times New Roman" w:hint="default"/>
        </w:rPr>
        <w:t>0.00</w:t>
      </w:r>
      <w:r>
        <w:rPr>
          <w:rFonts w:ascii="Times New Roman" w:hAnsi="Times New Roman" w:cs="Times New Roman" w:eastAsia="Times New Roman" w:hint="default"/>
          <w:spacing w:val="-3"/>
        </w:rPr>
        <w:t> </w:t>
      </w:r>
      <w:r>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9"/>
        <w:ind w:left="153" w:right="0"/>
        <w:jc w:val="left"/>
      </w:pPr>
      <w:r>
        <w:rPr/>
        <w:t>单位： 元</w:t>
      </w:r>
    </w:p>
    <w:p>
      <w:pPr>
        <w:spacing w:after="0" w:line="240" w:lineRule="auto"/>
        <w:jc w:val="left"/>
        <w:sectPr>
          <w:type w:val="continuous"/>
          <w:pgSz w:w="11910" w:h="16840"/>
          <w:pgMar w:top="1060" w:bottom="1160" w:left="980" w:right="0"/>
          <w:cols w:num="2" w:equalWidth="0">
            <w:col w:w="6469" w:space="2361"/>
            <w:col w:w="210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after="0" w:line="240" w:lineRule="auto"/>
        <w:jc w:val="center"/>
        <w:rPr>
          <w:rFonts w:ascii="宋体" w:hAnsi="宋体" w:cs="宋体" w:eastAsia="宋体" w:hint="default"/>
          <w:sz w:val="18"/>
          <w:szCs w:val="18"/>
        </w:rPr>
        <w:sectPr>
          <w:type w:val="continuous"/>
          <w:pgSz w:w="11910" w:h="16840"/>
          <w:pgMar w:top="1060" w:bottom="1160" w:left="980" w:right="0"/>
        </w:sectPr>
      </w:pPr>
    </w:p>
    <w:p>
      <w:pPr>
        <w:pStyle w:val="BodyText"/>
        <w:spacing w:line="240" w:lineRule="auto" w:before="10"/>
        <w:ind w:right="-20"/>
        <w:jc w:val="left"/>
      </w:pPr>
      <w:r>
        <w:rPr/>
        <w:t>无。</w:t>
      </w:r>
    </w:p>
    <w:p>
      <w:pPr>
        <w:pStyle w:val="BodyText"/>
        <w:spacing w:line="240" w:lineRule="auto" w:before="76"/>
        <w:ind w:right="-20"/>
        <w:jc w:val="left"/>
      </w:pPr>
      <w:r>
        <w:rPr>
          <w:rFonts w:ascii="Times New Roman" w:hAnsi="Times New Roman" w:cs="Times New Roman" w:eastAsia="Times New Roman" w:hint="default"/>
        </w:rPr>
        <w:t>3)</w:t>
      </w:r>
      <w:r>
        <w:rPr/>
        <w:t>本期实际核销的应收账款情况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2645" w:space="618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672,982.04</w:t>
            </w:r>
          </w:p>
        </w:tc>
      </w:tr>
    </w:tbl>
    <w:p>
      <w:pPr>
        <w:pStyle w:val="BodyText"/>
        <w:spacing w:line="240" w:lineRule="auto" w:before="51"/>
        <w:ind w:right="0"/>
        <w:jc w:val="left"/>
      </w:pPr>
      <w:r>
        <w:rPr/>
        <w:t>其中重要的应收账款核销情况：</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04"/>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32" w:right="69"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pStyle w:val="BodyText"/>
        <w:spacing w:line="357" w:lineRule="auto" w:before="52"/>
        <w:ind w:right="9132"/>
        <w:jc w:val="left"/>
      </w:pPr>
      <w:r>
        <w:rPr/>
        <w:t>应收账款核销说明： 无。</w:t>
      </w:r>
    </w:p>
    <w:p>
      <w:pPr>
        <w:pStyle w:val="BodyText"/>
        <w:spacing w:line="338" w:lineRule="auto" w:before="29"/>
        <w:ind w:left="514" w:right="0" w:hanging="360"/>
        <w:jc w:val="left"/>
      </w:pPr>
      <w:r>
        <w:rPr>
          <w:rFonts w:ascii="Times New Roman" w:hAnsi="Times New Roman" w:cs="Times New Roman" w:eastAsia="Times New Roman" w:hint="default"/>
        </w:rPr>
        <w:t>4)</w:t>
      </w:r>
      <w:r>
        <w:rPr/>
        <w:t>按欠款方归集的期末余额前五名的应收账款情况</w:t>
      </w:r>
      <w:r>
        <w:rPr>
          <w:w w:val="99"/>
        </w:rPr>
        <w:t> </w:t>
      </w:r>
      <w:r>
        <w:rPr/>
        <w:t>本公司本年按欠款方归集的年末余额前五名应收账款汇总金额</w:t>
      </w:r>
      <w:r>
        <w:rPr>
          <w:rFonts w:ascii="Times New Roman" w:hAnsi="Times New Roman" w:cs="Times New Roman" w:eastAsia="Times New Roman" w:hint="default"/>
        </w:rPr>
        <w:t>131,704,012.76</w:t>
      </w:r>
      <w:r>
        <w:rPr/>
        <w:t>元，占应收账款年末余额合计数的比例为</w:t>
      </w:r>
    </w:p>
    <w:p>
      <w:pPr>
        <w:pStyle w:val="BodyText"/>
        <w:spacing w:line="230" w:lineRule="exact"/>
        <w:ind w:right="0"/>
        <w:jc w:val="left"/>
      </w:pPr>
      <w:r>
        <w:rPr>
          <w:rFonts w:ascii="Times New Roman" w:hAnsi="Times New Roman" w:cs="Times New Roman" w:eastAsia="Times New Roman" w:hint="default"/>
        </w:rPr>
        <w:t>54.93%</w:t>
      </w:r>
      <w:r>
        <w:rPr/>
        <w:t>，相应计提的坏账准备年末余额汇总金额</w:t>
      </w:r>
      <w:r>
        <w:rPr>
          <w:spacing w:val="-23"/>
        </w:rPr>
        <w:t> </w:t>
      </w:r>
      <w:r>
        <w:rPr>
          <w:rFonts w:ascii="Times New Roman" w:hAnsi="Times New Roman" w:cs="Times New Roman" w:eastAsia="Times New Roman" w:hint="default"/>
        </w:rPr>
        <w:t>6,585,200.64</w:t>
      </w:r>
      <w:r>
        <w:rPr/>
        <w:t>元。</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BodyText"/>
        <w:spacing w:line="338" w:lineRule="auto"/>
        <w:ind w:right="7542"/>
        <w:jc w:val="left"/>
      </w:pPr>
      <w:r>
        <w:rPr>
          <w:rFonts w:ascii="Times New Roman" w:hAnsi="Times New Roman" w:cs="Times New Roman" w:eastAsia="Times New Roman" w:hint="default"/>
        </w:rPr>
        <w:t>5)</w:t>
      </w:r>
      <w:r>
        <w:rPr/>
        <w:t>因金融资产转移而终止确认的应收账款</w:t>
      </w:r>
      <w:r>
        <w:rPr>
          <w:w w:val="99"/>
        </w:rPr>
        <w:t> </w:t>
      </w:r>
      <w:r>
        <w:rPr/>
        <w:t>无。</w:t>
      </w:r>
    </w:p>
    <w:p>
      <w:pPr>
        <w:pStyle w:val="BodyText"/>
        <w:spacing w:line="240" w:lineRule="auto" w:before="43"/>
        <w:ind w:right="0"/>
        <w:jc w:val="left"/>
      </w:pPr>
      <w:r>
        <w:rPr>
          <w:rFonts w:ascii="Times New Roman" w:hAnsi="Times New Roman" w:cs="Times New Roman" w:eastAsia="Times New Roman" w:hint="default"/>
        </w:rPr>
        <w:t>6)</w:t>
      </w:r>
      <w:r>
        <w:rPr/>
        <w:t>转移应收账款且继续涉入形成的资产、负债金额</w:t>
      </w:r>
    </w:p>
    <w:p>
      <w:pPr>
        <w:spacing w:after="0" w:line="240" w:lineRule="auto"/>
        <w:jc w:val="left"/>
        <w:sectPr>
          <w:type w:val="continuous"/>
          <w:pgSz w:w="11910" w:h="16840"/>
          <w:pgMar w:top="1060" w:bottom="1160" w:left="980" w:right="0"/>
        </w:sectPr>
      </w:pPr>
    </w:p>
    <w:p>
      <w:pPr>
        <w:spacing w:line="240" w:lineRule="auto" w:before="12"/>
        <w:rPr>
          <w:rFonts w:ascii="宋体" w:hAnsi="宋体" w:cs="宋体" w:eastAsia="宋体" w:hint="default"/>
          <w:sz w:val="25"/>
          <w:szCs w:val="25"/>
        </w:rPr>
      </w:pPr>
    </w:p>
    <w:p>
      <w:pPr>
        <w:pStyle w:val="BodyText"/>
        <w:spacing w:line="360" w:lineRule="auto" w:before="44"/>
        <w:ind w:right="9852"/>
        <w:jc w:val="left"/>
      </w:pPr>
      <w:r>
        <w:rPr/>
        <w:t>无。 其他说明： 无。</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bookmarkStart w:name="2、其他应收款" w:id="496"/>
      <w:bookmarkEnd w:id="496"/>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240,370.43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87,029.70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110,317,068.75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8,941,312.64</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110,557,439.18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9,028,342.34</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1）应收利息" w:id="497"/>
      <w:bookmarkEnd w:id="497"/>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应收利息分类</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240,370.43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87,029.70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240,370.43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87,029.70</w:t>
            </w:r>
          </w:p>
        </w:tc>
      </w:tr>
    </w:tbl>
    <w:p>
      <w:pPr>
        <w:pStyle w:val="BodyText"/>
        <w:spacing w:line="240" w:lineRule="auto" w:before="51"/>
        <w:ind w:right="0"/>
        <w:jc w:val="left"/>
      </w:pPr>
      <w:r>
        <w:rPr>
          <w:rFonts w:ascii="Times New Roman" w:hAnsi="Times New Roman" w:cs="Times New Roman" w:eastAsia="Times New Roman" w:hint="default"/>
        </w:rPr>
        <w:t>2)</w:t>
      </w:r>
      <w:r>
        <w:rPr/>
        <w:t>重要逾期利息</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03"/>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71" w:right="39"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2）应收股利" w:id="498"/>
      <w:bookmarkEnd w:id="498"/>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应收股利</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77"/>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rFonts w:ascii="Times New Roman" w:hAnsi="Times New Roman" w:cs="Times New Roman" w:eastAsia="Times New Roman" w:hint="default"/>
        </w:rPr>
        <w:t>2)</w:t>
      </w:r>
      <w:r>
        <w:rPr/>
        <w:t>重要的账龄超过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年的应收股利</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03"/>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71" w:right="39"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bookmarkStart w:name="（3）其他应收款" w:id="499"/>
      <w:bookmarkEnd w:id="499"/>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其他应收款分类披露</w:t>
      </w:r>
    </w:p>
    <w:p>
      <w:pPr>
        <w:pStyle w:val="BodyText"/>
        <w:spacing w:line="240" w:lineRule="auto" w:before="102"/>
        <w:ind w:left="0"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 w:right="0"/>
              <w:jc w:val="left"/>
              <w:rPr>
                <w:rFonts w:ascii="Times New Roman" w:hAnsi="Times New Roman" w:cs="Times New Roman" w:eastAsia="Times New Roman" w:hint="default"/>
                <w:sz w:val="18"/>
                <w:szCs w:val="18"/>
              </w:rPr>
            </w:pPr>
            <w:r>
              <w:rPr>
                <w:rFonts w:ascii="Times New Roman"/>
                <w:sz w:val="18"/>
              </w:rPr>
              <w:t>111,215,5</w:t>
            </w:r>
          </w:p>
          <w:p>
            <w:pPr>
              <w:pStyle w:val="TableParagraph"/>
              <w:spacing w:line="240" w:lineRule="auto" w:before="106"/>
              <w:ind w:left="313" w:right="0"/>
              <w:jc w:val="left"/>
              <w:rPr>
                <w:rFonts w:ascii="Times New Roman" w:hAnsi="Times New Roman" w:cs="Times New Roman" w:eastAsia="Times New Roman" w:hint="default"/>
                <w:sz w:val="18"/>
                <w:szCs w:val="18"/>
              </w:rPr>
            </w:pPr>
            <w:r>
              <w:rPr>
                <w:rFonts w:ascii="Times New Roman"/>
                <w:sz w:val="18"/>
              </w:rPr>
              <w:t>51.18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898,482.</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43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0.81%</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110,317,0</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68.75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9,877,2</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64.87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935,952.2</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9.48%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8,941,312.6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w:t>
            </w:r>
          </w:p>
        </w:tc>
      </w:tr>
      <w:tr>
        <w:trPr>
          <w:trHeight w:val="161"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16" w:right="0"/>
              <w:jc w:val="left"/>
              <w:rPr>
                <w:rFonts w:ascii="Times New Roman" w:hAnsi="Times New Roman" w:cs="Times New Roman" w:eastAsia="Times New Roman" w:hint="default"/>
                <w:sz w:val="18"/>
                <w:szCs w:val="18"/>
              </w:rPr>
            </w:pPr>
            <w:r>
              <w:rPr>
                <w:rFonts w:ascii="Times New Roman"/>
                <w:sz w:val="18"/>
              </w:rPr>
              <w:t>111,215,5</w:t>
            </w:r>
          </w:p>
          <w:p>
            <w:pPr>
              <w:pStyle w:val="TableParagraph"/>
              <w:spacing w:line="240" w:lineRule="auto" w:before="106"/>
              <w:ind w:left="318" w:right="0"/>
              <w:jc w:val="left"/>
              <w:rPr>
                <w:rFonts w:ascii="Times New Roman" w:hAnsi="Times New Roman" w:cs="Times New Roman" w:eastAsia="Times New Roman" w:hint="default"/>
                <w:sz w:val="18"/>
                <w:szCs w:val="18"/>
              </w:rPr>
            </w:pPr>
            <w:r>
              <w:rPr>
                <w:rFonts w:ascii="Times New Roman"/>
                <w:sz w:val="18"/>
              </w:rPr>
              <w:t>51.18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898,482.</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43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0.81%</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110,317,0</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68.75</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9,877,2</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64.87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935,952.2</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9.48%</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8,941,312.6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w:t>
            </w:r>
          </w:p>
        </w:tc>
      </w:tr>
      <w:tr>
        <w:trPr>
          <w:trHeight w:val="392"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pStyle w:val="BodyText"/>
        <w:spacing w:line="240" w:lineRule="auto" w:before="51"/>
        <w:ind w:right="-20"/>
        <w:jc w:val="left"/>
      </w:pPr>
      <w:r>
        <w:rPr/>
        <w:t>期末单项金额重大并单项计提坏账准备的其他应收款：</w:t>
      </w:r>
    </w:p>
    <w:p>
      <w:pPr>
        <w:pStyle w:val="BodyText"/>
        <w:spacing w:line="338" w:lineRule="auto" w:before="117"/>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组合中，按账龄分析法计提坏账准备的其他应收款：</w:t>
      </w:r>
    </w:p>
    <w:p>
      <w:pPr>
        <w:pStyle w:val="BodyText"/>
        <w:spacing w:line="240" w:lineRule="auto" w:before="43"/>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475" w:space="4355"/>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88"/>
        <w:gridCol w:w="2301"/>
        <w:gridCol w:w="2391"/>
        <w:gridCol w:w="2389"/>
      </w:tblGrid>
      <w:tr>
        <w:trPr>
          <w:trHeight w:val="402" w:hRule="exact"/>
        </w:trPr>
        <w:tc>
          <w:tcPr>
            <w:tcW w:w="24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88" w:type="dxa"/>
            <w:vMerge/>
            <w:tcBorders>
              <w:left w:val="single" w:sz="4" w:space="0" w:color="000000"/>
              <w:bottom w:val="single" w:sz="4" w:space="0" w:color="000000"/>
              <w:right w:val="single" w:sz="4" w:space="0" w:color="000000"/>
            </w:tcBorders>
            <w:shd w:val="clear" w:color="auto" w:fill="D2D2D2"/>
          </w:tcPr>
          <w:p>
            <w:pPr/>
          </w:p>
        </w:tc>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无风险组合</w:t>
            </w:r>
          </w:p>
        </w:tc>
        <w:tc>
          <w:tcPr>
            <w:tcW w:w="2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105,299,976.29</w:t>
            </w: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3,522,173.70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176,108.68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1,274,617.39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127,461.74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205,974.62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41,194.92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523,009.18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261,504.59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195,175.00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97,587.50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194,625.00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194,625.00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111,215,551.18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898,482.43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0.81%</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pStyle w:val="BodyText"/>
        <w:spacing w:line="357" w:lineRule="auto" w:before="51"/>
        <w:ind w:right="3865"/>
        <w:jc w:val="left"/>
      </w:pPr>
      <w:r>
        <w:rPr/>
        <w:t>确定该组合依据的说明： 无。</w:t>
      </w:r>
    </w:p>
    <w:p>
      <w:pPr>
        <w:pStyle w:val="BodyText"/>
        <w:spacing w:line="240" w:lineRule="auto" w:before="29"/>
        <w:ind w:right="-15"/>
        <w:jc w:val="left"/>
      </w:pPr>
      <w:r>
        <w:rPr/>
        <w:t>组合中，采用余额百分比法计提坏账准备的其他应收款：</w:t>
      </w:r>
    </w:p>
    <w:p>
      <w:pPr>
        <w:pStyle w:val="BodyText"/>
        <w:spacing w:line="338" w:lineRule="auto" w:before="117"/>
        <w:ind w:right="1705"/>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组合中，采用其他方法计提坏账准备的其他应收款：</w:t>
      </w:r>
    </w:p>
    <w:p>
      <w:pPr>
        <w:pStyle w:val="BodyText"/>
        <w:spacing w:line="240" w:lineRule="auto" w:before="43"/>
        <w:ind w:right="3865"/>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right="-15"/>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2"/>
        <w:ind w:right="-15"/>
        <w:jc w:val="left"/>
      </w:pPr>
      <w:r>
        <w:rPr/>
        <w:t>本期计提坏账准备金额</w:t>
      </w:r>
      <w:r>
        <w:rPr>
          <w:rFonts w:ascii="Times New Roman" w:hAnsi="Times New Roman" w:cs="Times New Roman" w:eastAsia="Times New Roman" w:hint="default"/>
        </w:rPr>
        <w:t>-37,469.80</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7"/>
        <w:ind w:left="153" w:right="0"/>
        <w:jc w:val="left"/>
      </w:pPr>
      <w:r>
        <w:rPr/>
        <w:t>单位： 元</w:t>
      </w:r>
    </w:p>
    <w:p>
      <w:pPr>
        <w:spacing w:after="0" w:line="240" w:lineRule="auto"/>
        <w:jc w:val="left"/>
        <w:sectPr>
          <w:type w:val="continuous"/>
          <w:pgSz w:w="11910" w:h="16840"/>
          <w:pgMar w:top="1060" w:bottom="1160" w:left="980" w:right="0"/>
          <w:cols w:num="2" w:equalWidth="0">
            <w:col w:w="6020" w:space="2810"/>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4"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52"/>
        <w:ind w:right="0"/>
        <w:jc w:val="left"/>
      </w:pPr>
      <w:r>
        <w:rPr>
          <w:rFonts w:ascii="Times New Roman" w:hAnsi="Times New Roman" w:cs="Times New Roman" w:eastAsia="Times New Roman" w:hint="default"/>
        </w:rPr>
        <w:t>3)</w:t>
      </w:r>
      <w:r>
        <w:rPr/>
        <w:t>本期实际核销的其他应收款情况</w:t>
      </w:r>
    </w:p>
    <w:p>
      <w:pPr>
        <w:spacing w:after="0" w:line="240" w:lineRule="auto"/>
        <w:jc w:val="left"/>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pStyle w:val="BodyText"/>
        <w:spacing w:line="240" w:lineRule="auto" w:before="52"/>
        <w:ind w:right="0"/>
        <w:jc w:val="left"/>
      </w:pPr>
      <w:r>
        <w:rPr/>
        <w:t>其中重要的其他应收款核销情况：</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04"/>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32" w:right="69"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after="0" w:line="316" w:lineRule="auto"/>
        <w:jc w:val="left"/>
        <w:rPr>
          <w:rFonts w:ascii="宋体" w:hAnsi="宋体" w:cs="宋体" w:eastAsia="宋体" w:hint="default"/>
          <w:sz w:val="18"/>
          <w:szCs w:val="18"/>
        </w:rPr>
        <w:sectPr>
          <w:pgSz w:w="11910" w:h="16840"/>
          <w:pgMar w:header="747" w:footer="979" w:top="1060" w:bottom="1160" w:left="980" w:right="0"/>
        </w:sectPr>
      </w:pPr>
    </w:p>
    <w:p>
      <w:pPr>
        <w:pStyle w:val="BodyText"/>
        <w:spacing w:line="240" w:lineRule="auto" w:before="51"/>
        <w:ind w:right="-20"/>
        <w:jc w:val="left"/>
      </w:pPr>
      <w:r>
        <w:rPr/>
        <w:t>其他应收款核销说明：</w:t>
      </w:r>
    </w:p>
    <w:p>
      <w:pPr>
        <w:pStyle w:val="BodyText"/>
        <w:spacing w:line="240" w:lineRule="auto" w:before="117"/>
        <w:ind w:right="-20"/>
        <w:jc w:val="left"/>
      </w:pPr>
      <w:r>
        <w:rPr>
          <w:rFonts w:ascii="Times New Roman" w:hAnsi="Times New Roman" w:cs="Times New Roman" w:eastAsia="Times New Roman" w:hint="default"/>
        </w:rPr>
        <w:t>4)</w:t>
      </w:r>
      <w:r>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2825" w:space="6005"/>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1"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应收出口退税</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4,120,804.52</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2,805,114.06</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667,811.30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2,669,156.72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4,903,163.01</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内部往来</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105,299,976.29</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58,188.76</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441,304.11</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127,297.28</w:t>
            </w:r>
          </w:p>
        </w:tc>
      </w:tr>
      <w:tr>
        <w:trPr>
          <w:trHeight w:val="403"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111,215,551.18</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9,877,264.87</w:t>
            </w:r>
          </w:p>
        </w:tc>
      </w:tr>
    </w:tbl>
    <w:p>
      <w:pPr>
        <w:pStyle w:val="BodyText"/>
        <w:spacing w:line="240" w:lineRule="auto" w:before="51"/>
        <w:ind w:right="0"/>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1" w:right="8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0"/>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惠州市奥拓电子科技 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64,664,349.34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58.14%</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3,233,217.47</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深圳市千百辉照明工 程有限公司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40,000,000.00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35.97%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深圳国立商事认证中 心</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押金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2,073,032.60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103,651.63</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深圳软件园管理中心</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押金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638,070.40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0.57%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63,807.04</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奥拓电子（英国）有 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619,226.95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0.56%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30,961.35</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107,994,679.29</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97.10%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5,431,637.49</w:t>
            </w:r>
          </w:p>
        </w:tc>
      </w:tr>
    </w:tbl>
    <w:p>
      <w:pPr>
        <w:pStyle w:val="BodyText"/>
        <w:spacing w:line="240" w:lineRule="auto" w:before="51"/>
        <w:ind w:right="0"/>
        <w:jc w:val="left"/>
      </w:pPr>
      <w:r>
        <w:rPr>
          <w:rFonts w:ascii="Times New Roman" w:hAnsi="Times New Roman" w:cs="Times New Roman" w:eastAsia="Times New Roman" w:hint="default"/>
        </w:rPr>
        <w:t>6)</w:t>
      </w:r>
      <w:r>
        <w:rPr/>
        <w:t>涉及政府补助的应收款项</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026"/>
        <w:gridCol w:w="1866"/>
        <w:gridCol w:w="1866"/>
        <w:gridCol w:w="1868"/>
        <w:gridCol w:w="1933"/>
      </w:tblGrid>
      <w:tr>
        <w:trPr>
          <w:trHeight w:val="714" w:hRule="exact"/>
        </w:trPr>
        <w:tc>
          <w:tcPr>
            <w:tcW w:w="2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4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7"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8"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95" w:right="56"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bl>
    <w:p>
      <w:pPr>
        <w:pStyle w:val="BodyText"/>
        <w:spacing w:line="240" w:lineRule="auto" w:before="10"/>
        <w:ind w:right="0"/>
        <w:jc w:val="left"/>
      </w:pPr>
      <w:r>
        <w:rPr/>
        <w:t>无。</w:t>
      </w:r>
    </w:p>
    <w:p>
      <w:pPr>
        <w:pStyle w:val="Heading3"/>
        <w:spacing w:line="240" w:lineRule="auto"/>
        <w:ind w:right="0"/>
        <w:jc w:val="left"/>
      </w:pPr>
      <w:r>
        <w:rPr>
          <w:rFonts w:ascii="Times New Roman" w:hAnsi="Times New Roman" w:cs="Times New Roman" w:eastAsia="Times New Roman" w:hint="default"/>
        </w:rPr>
        <w:t>7)</w:t>
      </w:r>
      <w:r>
        <w:rPr/>
        <w:t>因金融资产转移而终止确认的其他应收款</w:t>
      </w:r>
    </w:p>
    <w:p>
      <w:pPr>
        <w:pStyle w:val="BodyText"/>
        <w:spacing w:line="240" w:lineRule="auto" w:before="29"/>
        <w:ind w:right="0"/>
        <w:jc w:val="left"/>
      </w:pPr>
      <w:r>
        <w:rPr/>
        <w:t>无。</w:t>
      </w:r>
    </w:p>
    <w:p>
      <w:pPr>
        <w:spacing w:after="0" w:line="240" w:lineRule="auto"/>
        <w:jc w:val="left"/>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pStyle w:val="BodyText"/>
        <w:spacing w:line="338" w:lineRule="auto" w:before="44"/>
        <w:ind w:right="6642"/>
        <w:jc w:val="left"/>
      </w:pPr>
      <w:r>
        <w:rPr>
          <w:rFonts w:ascii="Times New Roman" w:hAnsi="Times New Roman" w:cs="Times New Roman" w:eastAsia="Times New Roman" w:hint="default"/>
        </w:rPr>
        <w:t>8)</w:t>
      </w:r>
      <w:r>
        <w:rPr/>
        <w:t>转移其他应收款且继续涉入形成的资产、负债金额</w:t>
      </w:r>
      <w:r>
        <w:rPr>
          <w:w w:val="99"/>
        </w:rPr>
        <w:t> </w:t>
      </w:r>
      <w:r>
        <w:rPr/>
        <w:t>无。</w:t>
      </w:r>
    </w:p>
    <w:p>
      <w:pPr>
        <w:pStyle w:val="BodyText"/>
        <w:spacing w:line="357" w:lineRule="auto" w:before="43"/>
        <w:ind w:right="9852"/>
        <w:jc w:val="left"/>
      </w:pPr>
      <w:r>
        <w:rPr/>
        <w:t>其他说明： 无。</w:t>
      </w:r>
    </w:p>
    <w:p>
      <w:pPr>
        <w:spacing w:line="240" w:lineRule="auto" w:before="3"/>
        <w:rPr>
          <w:rFonts w:ascii="宋体" w:hAnsi="宋体" w:cs="宋体" w:eastAsia="宋体" w:hint="default"/>
          <w:sz w:val="20"/>
          <w:szCs w:val="20"/>
        </w:rPr>
      </w:pPr>
    </w:p>
    <w:p>
      <w:pPr>
        <w:pStyle w:val="Heading4"/>
        <w:spacing w:line="240" w:lineRule="auto"/>
        <w:ind w:right="0"/>
        <w:jc w:val="left"/>
        <w:rPr>
          <w:b w:val="0"/>
          <w:bCs w:val="0"/>
        </w:rPr>
      </w:pPr>
      <w:bookmarkStart w:name="3、长期股权投资" w:id="500"/>
      <w:bookmarkEnd w:id="500"/>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57"/>
        <w:gridCol w:w="1368"/>
        <w:gridCol w:w="1367"/>
        <w:gridCol w:w="1367"/>
        <w:gridCol w:w="1368"/>
        <w:gridCol w:w="1367"/>
        <w:gridCol w:w="1367"/>
      </w:tblGrid>
      <w:tr>
        <w:trPr>
          <w:trHeight w:val="206"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35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357" w:type="dxa"/>
            <w:vMerge/>
            <w:tcBorders>
              <w:left w:val="single" w:sz="4" w:space="0" w:color="000000"/>
              <w:bottom w:val="nil" w:sz="6" w:space="0" w:color="auto"/>
              <w:right w:val="single" w:sz="4" w:space="0" w:color="000000"/>
            </w:tcBorders>
            <w:shd w:val="clear" w:color="auto" w:fill="D2D2D2"/>
          </w:tcPr>
          <w:p>
            <w:pP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677,635,343.32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677,635,343.32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684,805,643.00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684,805,643.00</w:t>
            </w:r>
          </w:p>
        </w:tc>
      </w:tr>
      <w:tr>
        <w:trPr>
          <w:trHeight w:val="403"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677,635,343.32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677,635,343.32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684,805,643.00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684,805,643.00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1）对子公司投资" w:id="501"/>
      <w:bookmarkEnd w:id="501"/>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9" w:right="58" w:hanging="541"/>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8"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奥拓光电</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24,183,600.00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24,183,600.00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奥拓软件</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南京奥拓</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94,731,840.00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1,974,440.00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96,706,280.00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惠州奥拓</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131,391,720.00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463,986.66</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131,855,706.66</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香港奥拓</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32,991,790.00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32,991,790.00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北京奥拓</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奥拓翰明</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12,595,393.00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7" w:right="0"/>
              <w:jc w:val="left"/>
              <w:rPr>
                <w:rFonts w:ascii="Times New Roman" w:hAnsi="Times New Roman" w:cs="Times New Roman" w:eastAsia="Times New Roman" w:hint="default"/>
                <w:sz w:val="18"/>
                <w:szCs w:val="18"/>
              </w:rPr>
            </w:pPr>
            <w:r>
              <w:rPr>
                <w:rFonts w:ascii="Times New Roman"/>
                <w:sz w:val="18"/>
              </w:rPr>
              <w:t>12,595,393.00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千百辉</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360,901,300.00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986,666.66</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361,887,966.66</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奥拓体育文化发 展</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奥拓立翔</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前海奥拓投资</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5,010,000.00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5,010,000.00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684,805,643.00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5,425,093.32</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7" w:right="0"/>
              <w:jc w:val="left"/>
              <w:rPr>
                <w:rFonts w:ascii="Times New Roman" w:hAnsi="Times New Roman" w:cs="Times New Roman" w:eastAsia="Times New Roman" w:hint="default"/>
                <w:sz w:val="18"/>
                <w:szCs w:val="18"/>
              </w:rPr>
            </w:pPr>
            <w:r>
              <w:rPr>
                <w:rFonts w:ascii="Times New Roman"/>
                <w:sz w:val="18"/>
              </w:rPr>
              <w:t>12,595,393.00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677,635,343.32</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2）对联营、合营企业投资" w:id="502"/>
      <w:bookmarkEnd w:id="502"/>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7"/>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714"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33" w:right="33"/>
              <w:jc w:val="left"/>
              <w:rPr>
                <w:rFonts w:ascii="宋体" w:hAnsi="宋体" w:cs="宋体" w:eastAsia="宋体" w:hint="default"/>
                <w:sz w:val="18"/>
                <w:szCs w:val="18"/>
              </w:rPr>
            </w:pPr>
            <w:r>
              <w:rPr>
                <w:rFonts w:ascii="宋体" w:hAnsi="宋体" w:cs="宋体" w:eastAsia="宋体" w:hint="default"/>
                <w:sz w:val="18"/>
                <w:szCs w:val="18"/>
              </w:rPr>
              <w:t>权益法下 确认的投</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33" w:right="32"/>
              <w:jc w:val="left"/>
              <w:rPr>
                <w:rFonts w:ascii="宋体" w:hAnsi="宋体" w:cs="宋体" w:eastAsia="宋体" w:hint="default"/>
                <w:sz w:val="18"/>
                <w:szCs w:val="18"/>
              </w:rPr>
            </w:pPr>
            <w:r>
              <w:rPr>
                <w:rFonts w:ascii="宋体" w:hAnsi="宋体" w:cs="宋体" w:eastAsia="宋体" w:hint="default"/>
                <w:sz w:val="18"/>
                <w:szCs w:val="18"/>
              </w:rPr>
              <w:t>宣告发放 现金股利</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line="240" w:lineRule="auto" w:before="3"/>
        <w:rPr>
          <w:rFonts w:ascii="宋体" w:hAnsi="宋体" w:cs="宋体" w:eastAsia="宋体" w:hint="default"/>
          <w:sz w:val="19"/>
          <w:szCs w:val="19"/>
        </w:rPr>
      </w:pPr>
    </w:p>
    <w:p>
      <w:pPr>
        <w:pStyle w:val="Heading4"/>
        <w:spacing w:line="240" w:lineRule="auto" w:before="35"/>
        <w:ind w:right="0"/>
        <w:jc w:val="left"/>
        <w:rPr>
          <w:b w:val="0"/>
          <w:bCs w:val="0"/>
        </w:rPr>
      </w:pPr>
      <w:bookmarkStart w:name="（3）其他说明" w:id="503"/>
      <w:bookmarkEnd w:id="503"/>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4、营业收入和营业成本" w:id="504"/>
      <w:bookmarkEnd w:id="504"/>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71"/>
        <w:gridCol w:w="1850"/>
        <w:gridCol w:w="1913"/>
        <w:gridCol w:w="1913"/>
        <w:gridCol w:w="1913"/>
      </w:tblGrid>
      <w:tr>
        <w:trPr>
          <w:trHeight w:val="206" w:hRule="exact"/>
        </w:trPr>
        <w:tc>
          <w:tcPr>
            <w:tcW w:w="1971" w:type="dxa"/>
            <w:tcBorders>
              <w:top w:val="single" w:sz="4" w:space="0" w:color="000000"/>
              <w:left w:val="single" w:sz="4" w:space="0" w:color="000000"/>
              <w:bottom w:val="nil" w:sz="6" w:space="0" w:color="auto"/>
              <w:right w:val="single" w:sz="4" w:space="0" w:color="000000"/>
            </w:tcBorders>
            <w:shd w:val="clear" w:color="auto" w:fill="D2D2D2"/>
          </w:tcPr>
          <w:p>
            <w:pPr/>
          </w:p>
        </w:tc>
        <w:tc>
          <w:tcPr>
            <w:tcW w:w="376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62"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71" w:type="dxa"/>
            <w:vMerge/>
            <w:tcBorders>
              <w:left w:val="single" w:sz="4" w:space="0" w:color="000000"/>
              <w:bottom w:val="nil" w:sz="6" w:space="0" w:color="auto"/>
              <w:right w:val="single" w:sz="4" w:space="0" w:color="000000"/>
            </w:tcBorders>
            <w:shd w:val="clear" w:color="auto" w:fill="D2D2D2"/>
          </w:tcPr>
          <w:p>
            <w:pPr/>
          </w:p>
        </w:tc>
        <w:tc>
          <w:tcPr>
            <w:tcW w:w="1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71" w:type="dxa"/>
            <w:tcBorders>
              <w:top w:val="nil" w:sz="6" w:space="0" w:color="auto"/>
              <w:left w:val="single" w:sz="4" w:space="0" w:color="000000"/>
              <w:bottom w:val="single" w:sz="4" w:space="0" w:color="000000"/>
              <w:right w:val="single" w:sz="4" w:space="0" w:color="000000"/>
            </w:tcBorders>
            <w:shd w:val="clear" w:color="auto" w:fill="D2D2D2"/>
          </w:tcPr>
          <w:p>
            <w:pPr/>
          </w:p>
        </w:tc>
        <w:tc>
          <w:tcPr>
            <w:tcW w:w="1850"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476,158,204.61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375,618,820.21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375,516,482.55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261,020,785.67</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10,966,871.00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9,698,408.06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69,522,998.87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69,165,681.23</w:t>
            </w:r>
          </w:p>
        </w:tc>
      </w:tr>
      <w:tr>
        <w:trPr>
          <w:trHeight w:val="403"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487,125,075.61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385,317,228.27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445,039,481.42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330,186,466.90</w:t>
            </w:r>
          </w:p>
        </w:tc>
      </w:tr>
    </w:tbl>
    <w:p>
      <w:pPr>
        <w:pStyle w:val="BodyText"/>
        <w:spacing w:line="357" w:lineRule="auto" w:before="51"/>
        <w:ind w:right="9532"/>
        <w:jc w:val="left"/>
      </w:pPr>
      <w:r>
        <w:rPr/>
        <w:t>其他说明： 无。</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bookmarkStart w:name="5、投资收益" w:id="505"/>
      <w:bookmarkEnd w:id="505"/>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理财产品收益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480,678.54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1,251,885.85</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480,678.54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1,251,885.85</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bookmarkStart w:name="6、其他" w:id="506"/>
      <w:bookmarkEnd w:id="506"/>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八、补充资料" w:id="507"/>
      <w:bookmarkEnd w:id="507"/>
      <w:r>
        <w:rPr>
          <w:b w:val="0"/>
          <w:bCs w:val="0"/>
        </w:rPr>
      </w:r>
      <w:r>
        <w:rPr/>
        <w:t>十八、补充资料</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bookmarkStart w:name="1、当期非经常性损益明细表" w:id="508"/>
      <w:bookmarkEnd w:id="508"/>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-258,706.01</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38"/>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12,972,639.17</w:t>
            </w:r>
          </w:p>
        </w:tc>
        <w:tc>
          <w:tcPr>
            <w:tcW w:w="318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36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受的政府补助除外）</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89,670.44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1,933,709.34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79,330.31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10,790,563.95</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2" w:lineRule="auto" w:before="61"/>
        <w:ind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0"/>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2、净资产收益率及每股收益" w:id="509"/>
      <w:bookmarkEnd w:id="509"/>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662"/>
        <w:gridCol w:w="3081"/>
        <w:gridCol w:w="1913"/>
        <w:gridCol w:w="1913"/>
      </w:tblGrid>
      <w:tr>
        <w:trPr>
          <w:trHeight w:val="206" w:hRule="exact"/>
        </w:trPr>
        <w:tc>
          <w:tcPr>
            <w:tcW w:w="2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1" w:hRule="exact"/>
        </w:trPr>
        <w:tc>
          <w:tcPr>
            <w:tcW w:w="26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662" w:type="dxa"/>
            <w:vMerge/>
            <w:tcBorders>
              <w:left w:val="single" w:sz="4" w:space="0" w:color="000000"/>
              <w:bottom w:val="nil" w:sz="6" w:space="0" w:color="auto"/>
              <w:right w:val="single" w:sz="4" w:space="0" w:color="000000"/>
            </w:tcBorders>
            <w:shd w:val="clear" w:color="auto" w:fill="D2D2D2"/>
          </w:tcPr>
          <w:p>
            <w:pPr/>
          </w:p>
        </w:tc>
        <w:tc>
          <w:tcPr>
            <w:tcW w:w="3081"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2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14.86%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0.29</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13.96%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0.28</w:t>
            </w:r>
          </w:p>
        </w:tc>
      </w:tr>
    </w:tbl>
    <w:p>
      <w:pPr>
        <w:spacing w:line="240" w:lineRule="auto" w:before="2"/>
        <w:rPr>
          <w:rFonts w:ascii="宋体" w:hAnsi="宋体" w:cs="宋体" w:eastAsia="宋体" w:hint="default"/>
          <w:b/>
          <w:bCs/>
          <w:sz w:val="19"/>
          <w:szCs w:val="19"/>
        </w:rPr>
      </w:pPr>
    </w:p>
    <w:p>
      <w:pPr>
        <w:pStyle w:val="Heading4"/>
        <w:spacing w:line="240" w:lineRule="auto" w:before="35"/>
        <w:ind w:right="0"/>
        <w:jc w:val="left"/>
        <w:rPr>
          <w:b w:val="0"/>
          <w:bCs w:val="0"/>
        </w:rPr>
      </w:pPr>
      <w:bookmarkStart w:name="3、境内外会计准则下会计数据差异" w:id="510"/>
      <w:bookmarkEnd w:id="510"/>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bookmarkStart w:name="（1）同时按照国际会计准则与按中国会计准则披露的财务报告中净利润和净资产差异情况" w:id="511"/>
      <w:bookmarkEnd w:id="511"/>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bookmarkStart w:name="（2）同时按照境外会计准则与按中国会计准则披露的财务报告中净利润和净资产差异情况" w:id="512"/>
      <w:bookmarkEnd w:id="512"/>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4"/>
        <w:spacing w:line="259" w:lineRule="auto"/>
        <w:ind w:right="0"/>
        <w:jc w:val="left"/>
        <w:rPr>
          <w:b w:val="0"/>
          <w:bCs w:val="0"/>
        </w:rPr>
      </w:pPr>
      <w:bookmarkStart w:name="（3）境内外会计准则下会计数据差异原因说明，对已经境外审计机构审计的数据进行差异" w:id="513"/>
      <w:bookmarkEnd w:id="513"/>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bookmarkStart w:name="4、其他" w:id="514"/>
      <w:bookmarkEnd w:id="514"/>
      <w:r>
        <w:rPr>
          <w:b w:val="0"/>
          <w:bCs w:val="0"/>
        </w:rPr>
      </w:r>
      <w:r>
        <w:rPr>
          <w:rFonts w:ascii="Times New Roman" w:hAnsi="Times New Roman" w:cs="Times New Roman" w:eastAsia="Times New Roman" w:hint="default"/>
        </w:rPr>
        <w:t>4</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286" w:right="0"/>
        <w:jc w:val="left"/>
        <w:rPr>
          <w:b w:val="0"/>
          <w:bCs w:val="0"/>
        </w:rPr>
      </w:pPr>
      <w:bookmarkStart w:name="第十二节 备查文件目录" w:id="515"/>
      <w:bookmarkEnd w:id="515"/>
      <w:r>
        <w:rPr>
          <w:b w:val="0"/>
          <w:bCs w:val="0"/>
        </w:rPr>
      </w:r>
      <w:bookmarkStart w:name="_bookmark11" w:id="516"/>
      <w:bookmarkEnd w:id="516"/>
      <w:r>
        <w:rPr>
          <w:b w:val="0"/>
          <w:bCs w:val="0"/>
        </w:rPr>
      </w:r>
      <w:r>
        <w:rPr/>
        <w:t>第十二节</w:t>
      </w:r>
      <w:r>
        <w:rPr>
          <w:spacing w:val="-8"/>
        </w:rPr>
        <w:t> </w:t>
      </w:r>
      <w:r>
        <w:rPr/>
        <w:t>备查文件目录</w:t>
      </w:r>
      <w:r>
        <w:rPr>
          <w:b w:val="0"/>
          <w:bCs w:val="0"/>
        </w:rPr>
      </w:r>
    </w:p>
    <w:p>
      <w:pPr>
        <w:spacing w:line="240" w:lineRule="auto" w:before="8"/>
        <w:rPr>
          <w:rFonts w:ascii="宋体" w:hAnsi="宋体" w:cs="宋体" w:eastAsia="宋体" w:hint="default"/>
          <w:b/>
          <w:bCs/>
          <w:sz w:val="42"/>
          <w:szCs w:val="42"/>
        </w:rPr>
      </w:pPr>
    </w:p>
    <w:p>
      <w:pPr>
        <w:pStyle w:val="BodyText"/>
        <w:spacing w:line="352" w:lineRule="auto"/>
        <w:ind w:right="2472"/>
        <w:jc w:val="left"/>
      </w:pPr>
      <w:r>
        <w:rPr/>
        <w:t>一、载有董事长签名的</w:t>
      </w:r>
      <w:r>
        <w:rPr>
          <w:rFonts w:ascii="Times New Roman" w:hAnsi="Times New Roman" w:cs="Times New Roman" w:eastAsia="Times New Roman" w:hint="default"/>
        </w:rPr>
        <w:t>2018</w:t>
      </w:r>
      <w:r>
        <w:rPr/>
        <w:t>年年度报告原件。 二、载有公司负责人、主管会计工作负责人、会计机构负责人（会计主管人员）签名并盖章的财务报表。 三、载有会计师事务所盖章、注册会计师签名并盖章的审计报告原件。 四、报告期内在中国证监会指定信息披露载体上公开披露过的所有公司文件正本及公告的原稿。 五、以上备查文件的备置地点：公司董事会办公室、深圳证券交易所。</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0"/>
          <w:szCs w:val="20"/>
        </w:rPr>
      </w:pPr>
    </w:p>
    <w:p>
      <w:pPr>
        <w:pStyle w:val="BodyText"/>
        <w:spacing w:line="240" w:lineRule="auto"/>
        <w:ind w:left="0" w:right="1130"/>
        <w:jc w:val="right"/>
      </w:pPr>
      <w:r>
        <w:rPr/>
        <w:t>深圳市奥拓电子股份有限公司</w:t>
      </w:r>
    </w:p>
    <w:p>
      <w:pPr>
        <w:pStyle w:val="BodyText"/>
        <w:spacing w:line="357" w:lineRule="auto" w:before="116"/>
        <w:ind w:left="7813" w:right="1130" w:firstLine="720"/>
        <w:jc w:val="right"/>
      </w:pPr>
      <w:r>
        <w:rPr/>
        <w:t>董事长：吴涵渠 二〇一九年三月二十九日</w:t>
      </w:r>
    </w:p>
    <w:sectPr>
      <w:pgSz w:w="11910" w:h="16840"/>
      <w:pgMar w:header="747" w:footer="979"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微软雅黑">
    <w:altName w:val="微软雅黑"/>
    <w:charset w:val="86"/>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75272" type="#_x0000_t75" stroked="false">
          <v:imagedata r:id="rId1" o:title=""/>
        </v:shape>
      </w:pict>
    </w:r>
    <w:r>
      <w:rPr/>
      <w:pict>
        <v:shape style="position:absolute;margin-left:533.179993pt;margin-top:795.517944pt;width:6.5pt;height:11pt;mso-position-horizontal-relative:page;mso-position-vertical-relative:page;z-index:-117524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75224" type="#_x0000_t75" stroked="false">
          <v:imagedata r:id="rId1" o:title=""/>
        </v:shape>
      </w:pict>
    </w:r>
    <w:r>
      <w:rPr/>
      <w:pict>
        <v:shape style="position:absolute;margin-left:527.679993pt;margin-top:781.957947pt;width:13pt;height:11pt;mso-position-horizontal-relative:page;mso-position-vertical-relative:page;z-index:-117520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75176" type="#_x0000_t75" stroked="false">
          <v:imagedata r:id="rId1" o:title=""/>
        </v:shape>
      </w:pict>
    </w:r>
    <w:r>
      <w:rPr/>
      <w:pict>
        <v:shape style="position:absolute;margin-left:527.679993pt;margin-top:781.957947pt;width:13pt;height:11pt;mso-position-horizontal-relative:page;mso-position-vertical-relative:page;z-index:-117515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81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75128" type="#_x0000_t75" stroked="false">
          <v:imagedata r:id="rId1" o:title=""/>
        </v:shape>
      </w:pict>
    </w:r>
    <w:r>
      <w:rPr/>
      <w:pict>
        <v:shape style="position:absolute;margin-left:524.179993pt;margin-top:781.957947pt;width:15.5pt;height:11pt;mso-position-horizontal-relative:page;mso-position-vertical-relative:page;z-index:-1175104"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75080" type="#_x0000_t75" stroked="false">
          <v:imagedata r:id="rId1" o:title=""/>
        </v:shape>
      </w:pict>
    </w:r>
    <w:r>
      <w:rPr/>
      <w:pict>
        <v:shape style="position:absolute;margin-left:523.179993pt;margin-top:781.957947pt;width:17.5pt;height:11pt;mso-position-horizontal-relative:page;mso-position-vertical-relative:page;z-index:-117505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75032" type="#_x0000_t75" stroked="false">
          <v:imagedata r:id="rId1" o:title=""/>
        </v:shape>
      </w:pict>
    </w:r>
    <w:r>
      <w:rPr/>
      <w:pict>
        <v:shape style="position:absolute;margin-left:524.179993pt;margin-top:781.957947pt;width:15.5pt;height:11pt;mso-position-horizontal-relative:page;mso-position-vertical-relative:page;z-index:-117500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74984" type="#_x0000_t75" stroked="false">
          <v:imagedata r:id="rId1" o:title=""/>
        </v:shape>
      </w:pict>
    </w:r>
    <w:r>
      <w:rPr/>
      <w:pict>
        <v:shape style="position:absolute;margin-left:523.179993pt;margin-top:781.957947pt;width:17.5pt;height:11pt;mso-position-horizontal-relative:page;mso-position-vertical-relative:page;z-index:-117496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74936" type="#_x0000_t75" stroked="false">
          <v:imagedata r:id="rId1" o:title=""/>
        </v:shape>
      </w:pict>
    </w:r>
    <w:r>
      <w:rPr/>
      <w:pict>
        <v:shape style="position:absolute;margin-left:523.179993pt;margin-top:781.957947pt;width:17.5pt;height:11pt;mso-position-horizontal-relative:page;mso-position-vertical-relative:page;z-index:-117491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218</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35.160004pt;margin-top:36.325607pt;width:204.55pt;height:11.5pt;mso-position-horizontal-relative:page;mso-position-vertical-relative:page;z-index:-1175296" type="#_x0000_t202" filled="false" stroked="false">
          <v:textbox inset="0,0,0,0">
            <w:txbxContent>
              <w:p>
                <w:pPr>
                  <w:pStyle w:val="BodyText"/>
                  <w:spacing w:line="214" w:lineRule="exact"/>
                  <w:ind w:left="20" w:right="0"/>
                  <w:jc w:val="left"/>
                </w:pPr>
                <w:r>
                  <w:rPr/>
                  <w:t>深圳市奥拓电子股份有限公司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75"/>
      <w:ind w:left="154"/>
    </w:pPr>
    <w:rPr>
      <w:rFonts w:ascii="宋体" w:hAnsi="宋体" w:eastAsia="宋体"/>
      <w:sz w:val="24"/>
      <w:szCs w:val="24"/>
    </w:rPr>
  </w:style>
  <w:style w:styleId="BodyText" w:type="paragraph">
    <w:name w:val="Body Text"/>
    <w:basedOn w:val="Normal"/>
    <w:uiPriority w:val="1"/>
    <w:qFormat/>
    <w:pPr>
      <w:ind w:left="154"/>
    </w:pPr>
    <w:rPr>
      <w:rFonts w:ascii="宋体" w:hAnsi="宋体" w:eastAsia="宋体"/>
      <w:sz w:val="18"/>
      <w:szCs w:val="18"/>
    </w:rPr>
  </w:style>
  <w:style w:styleId="Heading1" w:type="paragraph">
    <w:name w:val="Heading 1"/>
    <w:basedOn w:val="Normal"/>
    <w:uiPriority w:val="1"/>
    <w:qFormat/>
    <w:pPr>
      <w:spacing w:before="1"/>
      <w:ind w:left="2966"/>
      <w:outlineLvl w:val="1"/>
    </w:pPr>
    <w:rPr>
      <w:rFonts w:ascii="宋体" w:hAnsi="宋体" w:eastAsia="宋体"/>
      <w:b/>
      <w:bCs/>
      <w:sz w:val="32"/>
      <w:szCs w:val="32"/>
    </w:rPr>
  </w:style>
  <w:style w:styleId="Heading2" w:type="paragraph">
    <w:name w:val="Heading 2"/>
    <w:basedOn w:val="Normal"/>
    <w:uiPriority w:val="1"/>
    <w:qFormat/>
    <w:pPr>
      <w:ind w:left="154"/>
      <w:outlineLvl w:val="2"/>
    </w:pPr>
    <w:rPr>
      <w:rFonts w:ascii="宋体" w:hAnsi="宋体" w:eastAsia="宋体"/>
      <w:b/>
      <w:bCs/>
      <w:sz w:val="24"/>
      <w:szCs w:val="24"/>
    </w:rPr>
  </w:style>
  <w:style w:styleId="Heading3" w:type="paragraph">
    <w:name w:val="Heading 3"/>
    <w:basedOn w:val="Normal"/>
    <w:uiPriority w:val="1"/>
    <w:qFormat/>
    <w:pPr>
      <w:spacing w:before="26"/>
      <w:ind w:left="154"/>
      <w:outlineLvl w:val="3"/>
    </w:pPr>
    <w:rPr>
      <w:rFonts w:ascii="宋体" w:hAnsi="宋体" w:eastAsia="宋体"/>
      <w:sz w:val="24"/>
      <w:szCs w:val="24"/>
    </w:rPr>
  </w:style>
  <w:style w:styleId="Heading4" w:type="paragraph">
    <w:name w:val="Heading 4"/>
    <w:basedOn w:val="Normal"/>
    <w:uiPriority w:val="1"/>
    <w:qFormat/>
    <w:pPr>
      <w:ind w:left="154"/>
      <w:outlineLvl w:val="4"/>
    </w:pPr>
    <w:rPr>
      <w:rFonts w:ascii="宋体" w:hAnsi="宋体" w:eastAsia="宋体"/>
      <w:b/>
      <w:bCs/>
      <w:sz w:val="21"/>
      <w:szCs w:val="21"/>
    </w:rPr>
  </w:style>
  <w:style w:styleId="Heading5" w:type="paragraph">
    <w:name w:val="Heading 5"/>
    <w:basedOn w:val="Normal"/>
    <w:uiPriority w:val="1"/>
    <w:qFormat/>
    <w:pPr>
      <w:ind w:left="154"/>
      <w:outlineLvl w:val="5"/>
    </w:pPr>
    <w:rPr>
      <w:rFonts w:ascii="宋体" w:hAnsi="宋体" w:eastAsia="宋体"/>
      <w:b/>
      <w:bCs/>
      <w:sz w:val="20"/>
      <w:szCs w:val="20"/>
    </w:rPr>
  </w:style>
  <w:style w:styleId="Heading6" w:type="paragraph">
    <w:name w:val="Heading 6"/>
    <w:basedOn w:val="Normal"/>
    <w:uiPriority w:val="1"/>
    <w:qFormat/>
    <w:pPr>
      <w:ind w:left="634"/>
      <w:outlineLvl w:val="6"/>
    </w:pPr>
    <w:rPr>
      <w:rFonts w:ascii="宋体" w:hAnsi="宋体" w:eastAsia="宋体"/>
      <w:sz w:val="20"/>
      <w:szCs w:val="20"/>
    </w:rPr>
  </w:style>
  <w:style w:styleId="Heading7" w:type="paragraph">
    <w:name w:val="Heading 7"/>
    <w:basedOn w:val="Normal"/>
    <w:uiPriority w:val="1"/>
    <w:qFormat/>
    <w:pPr>
      <w:spacing w:before="63"/>
      <w:ind w:left="515"/>
      <w:outlineLvl w:val="7"/>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www.aoto.com/" TargetMode="External"/><Relationship Id="rId10" Type="http://schemas.openxmlformats.org/officeDocument/2006/relationships/hyperlink" Target="mailto:szaoto@aoto.com" TargetMode="External"/><Relationship Id="rId11" Type="http://schemas.openxmlformats.org/officeDocument/2006/relationships/hyperlink" Target="mailto:kongdj@aoto.com" TargetMode="External"/><Relationship Id="rId12" Type="http://schemas.openxmlformats.org/officeDocument/2006/relationships/hyperlink" Target="http://www.cninfo.com.cn/" TargetMode="Externa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footer" Target="footer3.xml"/><Relationship Id="rId52" Type="http://schemas.openxmlformats.org/officeDocument/2006/relationships/image" Target="media/image41.png"/><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footer" Target="footer6.xml"/><Relationship Id="rId56" Type="http://schemas.openxmlformats.org/officeDocument/2006/relationships/footer" Target="footer7.xml"/><Relationship Id="rId57"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深圳市奥拓电子股份有限公司</dc:creator>
  <dc:title>深圳市奥拓电子股份有限公司2018年年度报告全文</dc:title>
  <dcterms:created xsi:type="dcterms:W3CDTF">2020-05-04T21:52:47Z</dcterms:created>
  <dcterms:modified xsi:type="dcterms:W3CDTF">2020-05-04T21:52:47Z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2019-04-01T00:00:00Z</vt:filetime>
  </property>
  <property fmtid="{D5CDD505-2E9C-101B-9397-08002B2CF9AE}" pid="3" name="Creator">
    <vt:lpwstr>Microsoft® Office Word 2007</vt:lpwstr>
  </property>
  <property fmtid="{D5CDD505-2E9C-101B-9397-08002B2CF9AE}" pid="4" name="LastSaved">
    <vt:filetime>2020-05-04T00:00:00Z</vt:filetime>
  </property>
</Properties>
</file>