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jpeg" ContentType="image/jpeg"/>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r>
        <w:rPr/>
        <w:pict>
          <v:group style="position:absolute;margin-left:55.223999pt;margin-top:49.939983pt;width:485pt;height:.1pt;mso-position-horizontal-relative:page;mso-position-vertical-relative:page;z-index:0" coordorigin="1104,999" coordsize="9700,2">
            <v:shape style="position:absolute;left:1104;top:999;width:9700;height:2" coordorigin="1104,999" coordsize="9700,0" path="m1104,999l10804,999e" filled="false" stroked="true" strokeweight=".48pt" strokecolor="#000000">
              <v:path arrowok="t"/>
            </v:shape>
            <w10:wrap type="none"/>
          </v:group>
        </w:pic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0"/>
          <w:szCs w:val="10"/>
        </w:rPr>
      </w:pPr>
    </w:p>
    <w:p>
      <w:pPr>
        <w:spacing w:line="1137" w:lineRule="exact"/>
        <w:ind w:left="1598"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2"/>
          <w:sz w:val="20"/>
          <w:szCs w:val="20"/>
        </w:rPr>
        <w:drawing>
          <wp:inline distT="0" distB="0" distL="0" distR="0">
            <wp:extent cx="3963962" cy="722376"/>
            <wp:effectExtent l="0" t="0" r="0" b="0"/>
            <wp:docPr id="1" name="image2.png" descr=""/>
            <wp:cNvGraphicFramePr>
              <a:graphicFrameLocks noChangeAspect="1"/>
            </wp:cNvGraphicFramePr>
            <a:graphic>
              <a:graphicData uri="http://schemas.openxmlformats.org/drawingml/2006/picture">
                <pic:pic>
                  <pic:nvPicPr>
                    <pic:cNvPr id="2" name="image2.png"/>
                    <pic:cNvPicPr/>
                  </pic:nvPicPr>
                  <pic:blipFill>
                    <a:blip r:embed="rId7" cstate="print"/>
                    <a:stretch>
                      <a:fillRect/>
                    </a:stretch>
                  </pic:blipFill>
                  <pic:spPr>
                    <a:xfrm>
                      <a:off x="0" y="0"/>
                      <a:ext cx="3963962" cy="722376"/>
                    </a:xfrm>
                    <a:prstGeom prst="rect">
                      <a:avLst/>
                    </a:prstGeom>
                  </pic:spPr>
                </pic:pic>
              </a:graphicData>
            </a:graphic>
          </wp:inline>
        </w:drawing>
      </w:r>
      <w:r>
        <w:rPr>
          <w:rFonts w:ascii="Times New Roman" w:hAnsi="Times New Roman" w:cs="Times New Roman" w:eastAsia="Times New Roman" w:hint="default"/>
          <w:position w:val="-22"/>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20"/>
          <w:szCs w:val="20"/>
        </w:rPr>
      </w:pPr>
    </w:p>
    <w:p>
      <w:pPr>
        <w:spacing w:line="580" w:lineRule="exact" w:before="0"/>
        <w:ind w:left="137" w:right="1600" w:firstLine="0"/>
        <w:jc w:val="center"/>
        <w:rPr>
          <w:rFonts w:ascii="宋体" w:hAnsi="宋体" w:cs="宋体" w:eastAsia="宋体" w:hint="default"/>
          <w:sz w:val="48"/>
          <w:szCs w:val="48"/>
        </w:rPr>
      </w:pPr>
      <w:r>
        <w:rPr>
          <w:rFonts w:ascii="宋体" w:hAnsi="宋体" w:cs="宋体" w:eastAsia="宋体" w:hint="default"/>
          <w:b/>
          <w:bCs/>
          <w:sz w:val="48"/>
          <w:szCs w:val="48"/>
        </w:rPr>
        <w:t>深圳市奥拓电子股份有限公司</w:t>
      </w:r>
      <w:r>
        <w:rPr>
          <w:rFonts w:ascii="宋体" w:hAnsi="宋体" w:cs="宋体" w:eastAsia="宋体" w:hint="default"/>
          <w:sz w:val="48"/>
          <w:szCs w:val="48"/>
        </w:rPr>
      </w:r>
    </w:p>
    <w:p>
      <w:pPr>
        <w:spacing w:before="395"/>
        <w:ind w:left="137" w:right="1491" w:firstLine="0"/>
        <w:jc w:val="center"/>
        <w:rPr>
          <w:rFonts w:ascii="宋体" w:hAnsi="宋体" w:cs="宋体" w:eastAsia="宋体" w:hint="default"/>
          <w:sz w:val="48"/>
          <w:szCs w:val="48"/>
        </w:rPr>
      </w:pPr>
      <w:r>
        <w:rPr>
          <w:rFonts w:ascii="Times New Roman" w:hAnsi="Times New Roman" w:cs="Times New Roman" w:eastAsia="Times New Roman" w:hint="default"/>
          <w:b/>
          <w:bCs/>
          <w:sz w:val="48"/>
          <w:szCs w:val="48"/>
        </w:rPr>
        <w:t>2019</w:t>
      </w:r>
      <w:r>
        <w:rPr>
          <w:rFonts w:ascii="Times New Roman" w:hAnsi="Times New Roman" w:cs="Times New Roman" w:eastAsia="Times New Roman" w:hint="default"/>
          <w:b/>
          <w:bCs/>
          <w:spacing w:val="-2"/>
          <w:sz w:val="48"/>
          <w:szCs w:val="48"/>
        </w:rPr>
        <w:t> </w:t>
      </w:r>
      <w:r>
        <w:rPr>
          <w:rFonts w:ascii="宋体" w:hAnsi="宋体" w:cs="宋体" w:eastAsia="宋体" w:hint="default"/>
          <w:b/>
          <w:bCs/>
          <w:sz w:val="48"/>
          <w:szCs w:val="48"/>
        </w:rPr>
        <w:t>年年度报告</w:t>
      </w:r>
      <w:r>
        <w:rPr>
          <w:rFonts w:ascii="宋体" w:hAnsi="宋体" w:cs="宋体" w:eastAsia="宋体" w:hint="default"/>
          <w:sz w:val="48"/>
          <w:szCs w:val="48"/>
        </w:rPr>
      </w:r>
    </w:p>
    <w:p>
      <w:pPr>
        <w:spacing w:line="240" w:lineRule="auto" w:before="0"/>
        <w:rPr>
          <w:rFonts w:ascii="宋体" w:hAnsi="宋体" w:cs="宋体" w:eastAsia="宋体" w:hint="default"/>
          <w:b/>
          <w:bCs/>
          <w:sz w:val="50"/>
          <w:szCs w:val="50"/>
        </w:rPr>
      </w:pPr>
    </w:p>
    <w:p>
      <w:pPr>
        <w:spacing w:line="240" w:lineRule="auto" w:before="0"/>
        <w:rPr>
          <w:rFonts w:ascii="宋体" w:hAnsi="宋体" w:cs="宋体" w:eastAsia="宋体" w:hint="default"/>
          <w:b/>
          <w:bCs/>
          <w:sz w:val="50"/>
          <w:szCs w:val="50"/>
        </w:rPr>
      </w:pPr>
    </w:p>
    <w:p>
      <w:pPr>
        <w:spacing w:line="240" w:lineRule="auto" w:before="0"/>
        <w:rPr>
          <w:rFonts w:ascii="宋体" w:hAnsi="宋体" w:cs="宋体" w:eastAsia="宋体" w:hint="default"/>
          <w:b/>
          <w:bCs/>
          <w:sz w:val="50"/>
          <w:szCs w:val="50"/>
        </w:rPr>
      </w:pPr>
    </w:p>
    <w:p>
      <w:pPr>
        <w:spacing w:line="240" w:lineRule="auto" w:before="0"/>
        <w:rPr>
          <w:rFonts w:ascii="宋体" w:hAnsi="宋体" w:cs="宋体" w:eastAsia="宋体" w:hint="default"/>
          <w:b/>
          <w:bCs/>
          <w:sz w:val="50"/>
          <w:szCs w:val="50"/>
        </w:rPr>
      </w:pPr>
    </w:p>
    <w:p>
      <w:pPr>
        <w:spacing w:line="240" w:lineRule="auto" w:before="0"/>
        <w:rPr>
          <w:rFonts w:ascii="宋体" w:hAnsi="宋体" w:cs="宋体" w:eastAsia="宋体" w:hint="default"/>
          <w:b/>
          <w:bCs/>
          <w:sz w:val="50"/>
          <w:szCs w:val="50"/>
        </w:rPr>
      </w:pPr>
    </w:p>
    <w:p>
      <w:pPr>
        <w:spacing w:line="240" w:lineRule="auto" w:before="0"/>
        <w:rPr>
          <w:rFonts w:ascii="宋体" w:hAnsi="宋体" w:cs="宋体" w:eastAsia="宋体" w:hint="default"/>
          <w:b/>
          <w:bCs/>
          <w:sz w:val="50"/>
          <w:szCs w:val="50"/>
        </w:rPr>
      </w:pPr>
    </w:p>
    <w:p>
      <w:pPr>
        <w:spacing w:line="240" w:lineRule="auto" w:before="0"/>
        <w:rPr>
          <w:rFonts w:ascii="宋体" w:hAnsi="宋体" w:cs="宋体" w:eastAsia="宋体" w:hint="default"/>
          <w:b/>
          <w:bCs/>
          <w:sz w:val="50"/>
          <w:szCs w:val="50"/>
        </w:rPr>
      </w:pPr>
    </w:p>
    <w:p>
      <w:pPr>
        <w:spacing w:line="240" w:lineRule="auto" w:before="0"/>
        <w:rPr>
          <w:rFonts w:ascii="宋体" w:hAnsi="宋体" w:cs="宋体" w:eastAsia="宋体" w:hint="default"/>
          <w:b/>
          <w:bCs/>
          <w:sz w:val="50"/>
          <w:szCs w:val="50"/>
        </w:rPr>
      </w:pPr>
    </w:p>
    <w:p>
      <w:pPr>
        <w:spacing w:line="240" w:lineRule="auto" w:before="5"/>
        <w:rPr>
          <w:rFonts w:ascii="宋体" w:hAnsi="宋体" w:cs="宋体" w:eastAsia="宋体" w:hint="default"/>
          <w:b/>
          <w:bCs/>
          <w:sz w:val="57"/>
          <w:szCs w:val="57"/>
        </w:rPr>
      </w:pPr>
    </w:p>
    <w:p>
      <w:pPr>
        <w:spacing w:before="0"/>
        <w:ind w:left="137" w:right="1110" w:firstLine="0"/>
        <w:jc w:val="center"/>
        <w:rPr>
          <w:rFonts w:ascii="宋体" w:hAnsi="宋体" w:cs="宋体" w:eastAsia="宋体" w:hint="default"/>
          <w:sz w:val="32"/>
          <w:szCs w:val="32"/>
        </w:rPr>
      </w:pPr>
      <w:r>
        <w:rPr>
          <w:rFonts w:ascii="Times New Roman" w:hAnsi="Times New Roman" w:cs="Times New Roman" w:eastAsia="Times New Roman" w:hint="default"/>
          <w:b/>
          <w:bCs/>
          <w:sz w:val="32"/>
          <w:szCs w:val="32"/>
        </w:rPr>
        <w:t>2020</w:t>
      </w:r>
      <w:r>
        <w:rPr>
          <w:rFonts w:ascii="Times New Roman" w:hAnsi="Times New Roman" w:cs="Times New Roman" w:eastAsia="Times New Roman" w:hint="default"/>
          <w:b/>
          <w:bCs/>
          <w:spacing w:val="-2"/>
          <w:sz w:val="32"/>
          <w:szCs w:val="32"/>
        </w:rPr>
        <w:t> </w:t>
      </w:r>
      <w:r>
        <w:rPr>
          <w:rFonts w:ascii="宋体" w:hAnsi="宋体" w:cs="宋体" w:eastAsia="宋体" w:hint="default"/>
          <w:b/>
          <w:bCs/>
          <w:sz w:val="32"/>
          <w:szCs w:val="32"/>
        </w:rPr>
        <w:t>年</w:t>
      </w:r>
      <w:r>
        <w:rPr>
          <w:rFonts w:ascii="宋体" w:hAnsi="宋体" w:cs="宋体" w:eastAsia="宋体" w:hint="default"/>
          <w:b/>
          <w:bCs/>
          <w:spacing w:val="-81"/>
          <w:sz w:val="32"/>
          <w:szCs w:val="32"/>
        </w:rPr>
        <w:t> </w:t>
      </w:r>
      <w:r>
        <w:rPr>
          <w:rFonts w:ascii="Times New Roman" w:hAnsi="Times New Roman" w:cs="Times New Roman" w:eastAsia="Times New Roman" w:hint="default"/>
          <w:b/>
          <w:bCs/>
          <w:sz w:val="32"/>
          <w:szCs w:val="32"/>
        </w:rPr>
        <w:t>04</w:t>
      </w:r>
      <w:r>
        <w:rPr>
          <w:rFonts w:ascii="Times New Roman" w:hAnsi="Times New Roman" w:cs="Times New Roman" w:eastAsia="Times New Roman" w:hint="default"/>
          <w:b/>
          <w:bCs/>
          <w:spacing w:val="-2"/>
          <w:sz w:val="32"/>
          <w:szCs w:val="32"/>
        </w:rPr>
        <w:t> </w:t>
      </w:r>
      <w:r>
        <w:rPr>
          <w:rFonts w:ascii="宋体" w:hAnsi="宋体" w:cs="宋体" w:eastAsia="宋体" w:hint="default"/>
          <w:b/>
          <w:bCs/>
          <w:sz w:val="32"/>
          <w:szCs w:val="32"/>
        </w:rPr>
        <w:t>月</w:t>
      </w:r>
      <w:r>
        <w:rPr>
          <w:rFonts w:ascii="宋体" w:hAnsi="宋体" w:cs="宋体" w:eastAsia="宋体" w:hint="default"/>
          <w:sz w:val="32"/>
          <w:szCs w:val="32"/>
        </w:rPr>
      </w:r>
    </w:p>
    <w:p>
      <w:pPr>
        <w:spacing w:after="0"/>
        <w:jc w:val="center"/>
        <w:rPr>
          <w:rFonts w:ascii="宋体" w:hAnsi="宋体" w:cs="宋体" w:eastAsia="宋体" w:hint="default"/>
          <w:sz w:val="32"/>
          <w:szCs w:val="32"/>
        </w:rPr>
        <w:sectPr>
          <w:headerReference w:type="default" r:id="rId5"/>
          <w:footerReference w:type="default" r:id="rId6"/>
          <w:type w:val="continuous"/>
          <w:pgSz w:w="11910" w:h="16840"/>
          <w:pgMar w:header="784" w:footer="1022" w:top="1100" w:bottom="1220" w:left="980" w:right="0"/>
        </w:sectPr>
      </w:pPr>
    </w:p>
    <w:p>
      <w:pPr>
        <w:spacing w:line="20" w:lineRule="exact"/>
        <w:ind w:left="119" w:right="0" w:firstLine="0"/>
        <w:rPr>
          <w:rFonts w:ascii="宋体" w:hAnsi="宋体" w:cs="宋体" w:eastAsia="宋体" w:hint="default"/>
          <w:sz w:val="2"/>
          <w:szCs w:val="2"/>
        </w:rPr>
      </w:pPr>
      <w:r>
        <w:rPr>
          <w:rFonts w:ascii="宋体" w:hAnsi="宋体" w:cs="宋体" w:eastAsia="宋体" w:hint="default"/>
          <w:sz w:val="2"/>
          <w:szCs w:val="2"/>
        </w:rPr>
        <w:pict>
          <v:group style="width:485.5pt;height:.5pt;mso-position-horizontal-relative:char;mso-position-vertical-relative:line" coordorigin="0,0" coordsize="9710,10">
            <v:group style="position:absolute;left:5;top:5;width:9700;height:2" coordorigin="5,5" coordsize="9700,2">
              <v:shape style="position:absolute;left:5;top:5;width:9700;height:2" coordorigin="5,5" coordsize="9700,0" path="m5,5l9705,5e" filled="false" stroked="true" strokeweight=".48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9"/>
          <w:szCs w:val="19"/>
        </w:rPr>
      </w:pPr>
    </w:p>
    <w:p>
      <w:pPr>
        <w:pStyle w:val="Heading1"/>
        <w:spacing w:line="240" w:lineRule="auto"/>
        <w:ind w:left="2885" w:right="0"/>
        <w:jc w:val="left"/>
        <w:rPr>
          <w:b w:val="0"/>
          <w:bCs w:val="0"/>
        </w:rPr>
      </w:pPr>
      <w:bookmarkStart w:name="第一节重要提示、目录和释义" w:id="1"/>
      <w:bookmarkEnd w:id="1"/>
      <w:r>
        <w:rPr>
          <w:b w:val="0"/>
          <w:bCs w:val="0"/>
        </w:rPr>
      </w:r>
      <w:bookmarkStart w:name="_bookmark0" w:id="2"/>
      <w:bookmarkEnd w:id="2"/>
      <w:r>
        <w:rPr>
          <w:b w:val="0"/>
          <w:bCs w:val="0"/>
        </w:rPr>
      </w:r>
      <w:r>
        <w:rPr/>
        <w:t>第一节重要提示、目录和释义</w:t>
      </w:r>
      <w:r>
        <w:rPr>
          <w:b w:val="0"/>
          <w:bCs w:val="0"/>
        </w:rPr>
      </w:r>
    </w:p>
    <w:p>
      <w:pPr>
        <w:spacing w:line="240" w:lineRule="auto" w:before="12"/>
        <w:rPr>
          <w:rFonts w:ascii="宋体" w:hAnsi="宋体" w:cs="宋体" w:eastAsia="宋体" w:hint="default"/>
          <w:b/>
          <w:bCs/>
          <w:sz w:val="47"/>
          <w:szCs w:val="47"/>
        </w:rPr>
      </w:pPr>
    </w:p>
    <w:p>
      <w:pPr>
        <w:spacing w:line="408" w:lineRule="auto" w:before="0"/>
        <w:ind w:left="153" w:right="1141" w:firstLine="561"/>
        <w:jc w:val="both"/>
        <w:rPr>
          <w:rFonts w:ascii="宋体" w:hAnsi="宋体" w:cs="宋体" w:eastAsia="宋体" w:hint="default"/>
          <w:sz w:val="28"/>
          <w:szCs w:val="28"/>
        </w:rPr>
      </w:pPr>
      <w:r>
        <w:rPr>
          <w:rFonts w:ascii="宋体" w:hAnsi="宋体" w:cs="宋体" w:eastAsia="宋体" w:hint="default"/>
          <w:b/>
          <w:bCs/>
          <w:spacing w:val="4"/>
          <w:w w:val="95"/>
          <w:sz w:val="28"/>
          <w:szCs w:val="28"/>
        </w:rPr>
        <w:t>公司董事会、监事会及董事、监事、高级管理人员保证年度报告内容的真</w:t>
      </w:r>
      <w:r>
        <w:rPr>
          <w:rFonts w:ascii="宋体" w:hAnsi="宋体" w:cs="宋体" w:eastAsia="宋体" w:hint="default"/>
          <w:b/>
          <w:bCs/>
          <w:w w:val="99"/>
          <w:sz w:val="28"/>
          <w:szCs w:val="28"/>
        </w:rPr>
        <w:t> </w:t>
      </w:r>
      <w:r>
        <w:rPr>
          <w:rFonts w:ascii="宋体" w:hAnsi="宋体" w:cs="宋体" w:eastAsia="宋体" w:hint="default"/>
          <w:b/>
          <w:bCs/>
          <w:spacing w:val="4"/>
          <w:w w:val="95"/>
          <w:sz w:val="28"/>
          <w:szCs w:val="28"/>
        </w:rPr>
        <w:t>实、准确、完整，不存在虚假记载、误导性陈述或重大遗漏，并承担个别和连</w:t>
      </w:r>
      <w:r>
        <w:rPr>
          <w:rFonts w:ascii="宋体" w:hAnsi="宋体" w:cs="宋体" w:eastAsia="宋体" w:hint="default"/>
          <w:b/>
          <w:bCs/>
          <w:spacing w:val="124"/>
          <w:w w:val="95"/>
          <w:sz w:val="28"/>
          <w:szCs w:val="28"/>
        </w:rPr>
        <w:t> </w:t>
      </w:r>
      <w:r>
        <w:rPr>
          <w:rFonts w:ascii="宋体" w:hAnsi="宋体" w:cs="宋体" w:eastAsia="宋体" w:hint="default"/>
          <w:b/>
          <w:bCs/>
          <w:spacing w:val="124"/>
          <w:w w:val="95"/>
          <w:sz w:val="28"/>
          <w:szCs w:val="28"/>
        </w:rPr>
      </w:r>
      <w:r>
        <w:rPr>
          <w:rFonts w:ascii="宋体" w:hAnsi="宋体" w:cs="宋体" w:eastAsia="宋体" w:hint="default"/>
          <w:b/>
          <w:bCs/>
          <w:spacing w:val="2"/>
          <w:sz w:val="28"/>
          <w:szCs w:val="28"/>
        </w:rPr>
        <w:t>带的法律责任。</w:t>
      </w:r>
      <w:r>
        <w:rPr>
          <w:rFonts w:ascii="宋体" w:hAnsi="宋体" w:cs="宋体" w:eastAsia="宋体" w:hint="default"/>
          <w:spacing w:val="2"/>
          <w:sz w:val="28"/>
          <w:szCs w:val="28"/>
        </w:rPr>
      </w:r>
    </w:p>
    <w:p>
      <w:pPr>
        <w:spacing w:line="386" w:lineRule="auto" w:before="162"/>
        <w:ind w:left="153" w:right="1127" w:firstLine="561"/>
        <w:jc w:val="both"/>
        <w:rPr>
          <w:rFonts w:ascii="宋体" w:hAnsi="宋体" w:cs="宋体" w:eastAsia="宋体" w:hint="default"/>
          <w:sz w:val="28"/>
          <w:szCs w:val="28"/>
        </w:rPr>
      </w:pPr>
      <w:r>
        <w:rPr>
          <w:rFonts w:ascii="宋体" w:hAnsi="宋体" w:cs="宋体" w:eastAsia="宋体" w:hint="default"/>
          <w:b/>
          <w:bCs/>
          <w:spacing w:val="2"/>
          <w:w w:val="95"/>
          <w:sz w:val="28"/>
          <w:szCs w:val="28"/>
        </w:rPr>
        <w:t>公司负责人吴涵渠、主管会计工作负责人彭世新及会计机构负责人</w:t>
      </w:r>
      <w:r>
        <w:rPr>
          <w:rFonts w:ascii="Times New Roman" w:hAnsi="Times New Roman" w:cs="Times New Roman" w:eastAsia="Times New Roman" w:hint="default"/>
          <w:b/>
          <w:bCs/>
          <w:spacing w:val="2"/>
          <w:w w:val="95"/>
          <w:sz w:val="28"/>
          <w:szCs w:val="28"/>
        </w:rPr>
        <w:t>(</w:t>
      </w:r>
      <w:r>
        <w:rPr>
          <w:rFonts w:ascii="宋体" w:hAnsi="宋体" w:cs="宋体" w:eastAsia="宋体" w:hint="default"/>
          <w:b/>
          <w:bCs/>
          <w:spacing w:val="2"/>
          <w:w w:val="95"/>
          <w:sz w:val="28"/>
          <w:szCs w:val="28"/>
        </w:rPr>
        <w:t>会计主</w:t>
      </w:r>
      <w:r>
        <w:rPr>
          <w:rFonts w:ascii="宋体" w:hAnsi="宋体" w:cs="宋体" w:eastAsia="宋体" w:hint="default"/>
          <w:b/>
          <w:bCs/>
          <w:w w:val="99"/>
          <w:sz w:val="28"/>
          <w:szCs w:val="28"/>
        </w:rPr>
        <w:t> </w:t>
      </w:r>
      <w:r>
        <w:rPr>
          <w:rFonts w:ascii="宋体" w:hAnsi="宋体" w:cs="宋体" w:eastAsia="宋体" w:hint="default"/>
          <w:b/>
          <w:bCs/>
          <w:spacing w:val="2"/>
          <w:sz w:val="28"/>
          <w:szCs w:val="28"/>
        </w:rPr>
        <w:t>管人员</w:t>
      </w:r>
      <w:r>
        <w:rPr>
          <w:rFonts w:ascii="Times New Roman" w:hAnsi="Times New Roman" w:cs="Times New Roman" w:eastAsia="Times New Roman" w:hint="default"/>
          <w:b/>
          <w:bCs/>
          <w:spacing w:val="2"/>
          <w:sz w:val="28"/>
          <w:szCs w:val="28"/>
        </w:rPr>
        <w:t>)</w:t>
      </w:r>
      <w:r>
        <w:rPr>
          <w:rFonts w:ascii="宋体" w:hAnsi="宋体" w:cs="宋体" w:eastAsia="宋体" w:hint="default"/>
          <w:b/>
          <w:bCs/>
          <w:spacing w:val="2"/>
          <w:sz w:val="28"/>
          <w:szCs w:val="28"/>
        </w:rPr>
        <w:t>钟华超声明：保证年度报告中财务报告的真实、准确、完整。</w:t>
      </w:r>
      <w:r>
        <w:rPr>
          <w:rFonts w:ascii="宋体" w:hAnsi="宋体" w:cs="宋体" w:eastAsia="宋体" w:hint="default"/>
          <w:spacing w:val="2"/>
          <w:sz w:val="28"/>
          <w:szCs w:val="28"/>
        </w:rPr>
      </w:r>
    </w:p>
    <w:p>
      <w:pPr>
        <w:spacing w:line="475" w:lineRule="auto" w:before="148"/>
        <w:ind w:left="714" w:right="0" w:firstLine="0"/>
        <w:jc w:val="left"/>
        <w:rPr>
          <w:rFonts w:ascii="宋体" w:hAnsi="宋体" w:cs="宋体" w:eastAsia="宋体" w:hint="default"/>
          <w:sz w:val="28"/>
          <w:szCs w:val="28"/>
        </w:rPr>
      </w:pPr>
      <w:r>
        <w:rPr>
          <w:rFonts w:ascii="宋体" w:hAnsi="宋体" w:cs="宋体" w:eastAsia="宋体" w:hint="default"/>
          <w:b/>
          <w:bCs/>
          <w:spacing w:val="2"/>
          <w:sz w:val="28"/>
          <w:szCs w:val="28"/>
        </w:rPr>
        <w:t>所有董事均已出席了审议本报告的董事会会议。</w:t>
      </w:r>
      <w:r>
        <w:rPr>
          <w:rFonts w:ascii="宋体" w:hAnsi="宋体" w:cs="宋体" w:eastAsia="宋体" w:hint="default"/>
          <w:b/>
          <w:bCs/>
          <w:w w:val="99"/>
          <w:sz w:val="28"/>
          <w:szCs w:val="28"/>
        </w:rPr>
        <w:t> </w:t>
      </w:r>
      <w:r>
        <w:rPr>
          <w:rFonts w:ascii="宋体" w:hAnsi="宋体" w:cs="宋体" w:eastAsia="宋体" w:hint="default"/>
          <w:b/>
          <w:bCs/>
          <w:w w:val="95"/>
          <w:sz w:val="28"/>
          <w:szCs w:val="28"/>
        </w:rPr>
        <w:t>本年度报告涉及未来计划等前瞻性陈述，不构成公司对投资者的实质承诺，</w:t>
      </w:r>
      <w:r>
        <w:rPr>
          <w:rFonts w:ascii="宋体" w:hAnsi="宋体" w:cs="宋体" w:eastAsia="宋体" w:hint="default"/>
          <w:sz w:val="28"/>
          <w:szCs w:val="28"/>
        </w:rPr>
      </w:r>
    </w:p>
    <w:p>
      <w:pPr>
        <w:spacing w:line="350" w:lineRule="exact" w:before="0"/>
        <w:ind w:left="153" w:right="0" w:firstLine="0"/>
        <w:jc w:val="both"/>
        <w:rPr>
          <w:rFonts w:ascii="宋体" w:hAnsi="宋体" w:cs="宋体" w:eastAsia="宋体" w:hint="default"/>
          <w:sz w:val="28"/>
          <w:szCs w:val="28"/>
        </w:rPr>
      </w:pPr>
      <w:r>
        <w:rPr>
          <w:rFonts w:ascii="宋体" w:hAnsi="宋体" w:cs="宋体" w:eastAsia="宋体" w:hint="default"/>
          <w:b/>
          <w:bCs/>
          <w:spacing w:val="4"/>
          <w:sz w:val="28"/>
          <w:szCs w:val="28"/>
        </w:rPr>
        <w:t>请投资者注意投资风险。对公司未来发展战略和经营目标产生不利影响的重大</w:t>
      </w:r>
      <w:r>
        <w:rPr>
          <w:rFonts w:ascii="宋体" w:hAnsi="宋体" w:cs="宋体" w:eastAsia="宋体" w:hint="default"/>
          <w:spacing w:val="4"/>
          <w:sz w:val="28"/>
          <w:szCs w:val="28"/>
        </w:rPr>
      </w:r>
    </w:p>
    <w:p>
      <w:pPr>
        <w:spacing w:line="240" w:lineRule="auto" w:before="9"/>
        <w:rPr>
          <w:rFonts w:ascii="宋体" w:hAnsi="宋体" w:cs="宋体" w:eastAsia="宋体" w:hint="default"/>
          <w:b/>
          <w:bCs/>
          <w:sz w:val="19"/>
          <w:szCs w:val="19"/>
        </w:rPr>
      </w:pPr>
    </w:p>
    <w:p>
      <w:pPr>
        <w:spacing w:line="386" w:lineRule="auto" w:before="0"/>
        <w:ind w:left="153" w:right="1135" w:firstLine="0"/>
        <w:jc w:val="both"/>
        <w:rPr>
          <w:rFonts w:ascii="宋体" w:hAnsi="宋体" w:cs="宋体" w:eastAsia="宋体" w:hint="default"/>
          <w:sz w:val="28"/>
          <w:szCs w:val="28"/>
        </w:rPr>
      </w:pPr>
      <w:r>
        <w:rPr>
          <w:rFonts w:ascii="宋体" w:hAnsi="宋体" w:cs="宋体" w:eastAsia="宋体" w:hint="default"/>
          <w:b/>
          <w:bCs/>
          <w:w w:val="95"/>
          <w:sz w:val="28"/>
          <w:szCs w:val="28"/>
        </w:rPr>
        <w:t>风险因素及应对措施详见本报告“第四节</w:t>
      </w:r>
      <w:r>
        <w:rPr>
          <w:rFonts w:ascii="Times New Roman" w:hAnsi="Times New Roman" w:cs="Times New Roman" w:eastAsia="Times New Roman" w:hint="default"/>
          <w:b/>
          <w:bCs/>
          <w:w w:val="95"/>
          <w:sz w:val="28"/>
          <w:szCs w:val="28"/>
        </w:rPr>
        <w:t>/</w:t>
      </w:r>
      <w:r>
        <w:rPr>
          <w:rFonts w:ascii="宋体" w:hAnsi="宋体" w:cs="宋体" w:eastAsia="宋体" w:hint="default"/>
          <w:b/>
          <w:bCs/>
          <w:w w:val="95"/>
          <w:sz w:val="28"/>
          <w:szCs w:val="28"/>
        </w:rPr>
        <w:t>九</w:t>
      </w:r>
      <w:r>
        <w:rPr>
          <w:rFonts w:ascii="Times New Roman" w:hAnsi="Times New Roman" w:cs="Times New Roman" w:eastAsia="Times New Roman" w:hint="default"/>
          <w:b/>
          <w:bCs/>
          <w:w w:val="95"/>
          <w:sz w:val="28"/>
          <w:szCs w:val="28"/>
        </w:rPr>
        <w:t>/</w:t>
      </w:r>
      <w:r>
        <w:rPr>
          <w:rFonts w:ascii="宋体" w:hAnsi="宋体" w:cs="宋体" w:eastAsia="宋体" w:hint="default"/>
          <w:b/>
          <w:bCs/>
          <w:w w:val="95"/>
          <w:sz w:val="28"/>
          <w:szCs w:val="28"/>
        </w:rPr>
        <w:t>（五）”。敬请广大投资者注意投</w:t>
      </w:r>
      <w:r>
        <w:rPr>
          <w:rFonts w:ascii="宋体" w:hAnsi="宋体" w:cs="宋体" w:eastAsia="宋体" w:hint="default"/>
          <w:b/>
          <w:bCs/>
          <w:spacing w:val="126"/>
          <w:w w:val="95"/>
          <w:sz w:val="28"/>
          <w:szCs w:val="28"/>
        </w:rPr>
        <w:t> </w:t>
      </w:r>
      <w:r>
        <w:rPr>
          <w:rFonts w:ascii="宋体" w:hAnsi="宋体" w:cs="宋体" w:eastAsia="宋体" w:hint="default"/>
          <w:b/>
          <w:bCs/>
          <w:spacing w:val="126"/>
          <w:w w:val="95"/>
          <w:sz w:val="28"/>
          <w:szCs w:val="28"/>
        </w:rPr>
      </w:r>
      <w:r>
        <w:rPr>
          <w:rFonts w:ascii="宋体" w:hAnsi="宋体" w:cs="宋体" w:eastAsia="宋体" w:hint="default"/>
          <w:b/>
          <w:bCs/>
          <w:sz w:val="28"/>
          <w:szCs w:val="28"/>
        </w:rPr>
        <w:t>资风险。</w:t>
      </w:r>
      <w:r>
        <w:rPr>
          <w:rFonts w:ascii="宋体" w:hAnsi="宋体" w:cs="宋体" w:eastAsia="宋体" w:hint="default"/>
          <w:sz w:val="28"/>
          <w:szCs w:val="28"/>
        </w:rPr>
      </w:r>
    </w:p>
    <w:p>
      <w:pPr>
        <w:spacing w:line="386" w:lineRule="auto" w:before="183"/>
        <w:ind w:left="153" w:right="1127" w:firstLine="561"/>
        <w:jc w:val="both"/>
        <w:rPr>
          <w:rFonts w:ascii="宋体" w:hAnsi="宋体" w:cs="宋体" w:eastAsia="宋体" w:hint="default"/>
          <w:sz w:val="28"/>
          <w:szCs w:val="28"/>
        </w:rPr>
      </w:pPr>
      <w:r>
        <w:rPr>
          <w:rFonts w:ascii="宋体" w:hAnsi="宋体" w:cs="宋体" w:eastAsia="宋体" w:hint="default"/>
          <w:b/>
          <w:bCs/>
          <w:spacing w:val="-5"/>
          <w:w w:val="99"/>
          <w:sz w:val="28"/>
          <w:szCs w:val="28"/>
        </w:rPr>
        <w:t>公司经本次董事会审议通过的利润分配预案为：以</w:t>
      </w:r>
      <w:r>
        <w:rPr>
          <w:rFonts w:ascii="宋体" w:hAnsi="宋体" w:cs="宋体" w:eastAsia="宋体" w:hint="default"/>
          <w:b/>
          <w:bCs/>
          <w:spacing w:val="-75"/>
          <w:w w:val="99"/>
          <w:sz w:val="28"/>
          <w:szCs w:val="28"/>
        </w:rPr>
        <w:t> </w:t>
      </w:r>
      <w:r>
        <w:rPr>
          <w:rFonts w:ascii="Times New Roman" w:hAnsi="Times New Roman" w:cs="Times New Roman" w:eastAsia="Times New Roman" w:hint="default"/>
          <w:b/>
          <w:bCs/>
          <w:w w:val="99"/>
          <w:sz w:val="28"/>
          <w:szCs w:val="28"/>
        </w:rPr>
        <w:t>612,969,732</w:t>
      </w:r>
      <w:r>
        <w:rPr>
          <w:rFonts w:ascii="Times New Roman" w:hAnsi="Times New Roman" w:cs="Times New Roman" w:eastAsia="Times New Roman" w:hint="default"/>
          <w:b/>
          <w:bCs/>
          <w:spacing w:val="-19"/>
          <w:w w:val="99"/>
          <w:sz w:val="28"/>
          <w:szCs w:val="28"/>
        </w:rPr>
        <w:t> </w:t>
      </w:r>
      <w:r>
        <w:rPr>
          <w:rFonts w:ascii="宋体" w:hAnsi="宋体" w:cs="宋体" w:eastAsia="宋体" w:hint="default"/>
          <w:b/>
          <w:bCs/>
          <w:spacing w:val="-22"/>
          <w:w w:val="99"/>
          <w:sz w:val="28"/>
          <w:szCs w:val="28"/>
        </w:rPr>
        <w:t>股为基数（扣</w:t>
      </w:r>
      <w:r>
        <w:rPr>
          <w:rFonts w:ascii="宋体" w:hAnsi="宋体" w:cs="宋体" w:eastAsia="宋体" w:hint="default"/>
          <w:b/>
          <w:bCs/>
          <w:w w:val="99"/>
          <w:sz w:val="28"/>
          <w:szCs w:val="28"/>
        </w:rPr>
        <w:t> </w:t>
      </w:r>
      <w:r>
        <w:rPr>
          <w:rFonts w:ascii="宋体" w:hAnsi="宋体" w:cs="宋体" w:eastAsia="宋体" w:hint="default"/>
          <w:b/>
          <w:bCs/>
          <w:spacing w:val="-6"/>
          <w:sz w:val="28"/>
          <w:szCs w:val="28"/>
        </w:rPr>
        <w:t>除公司回购专用证券账户股份数），向全体股东每</w:t>
      </w:r>
      <w:r>
        <w:rPr>
          <w:rFonts w:ascii="宋体" w:hAnsi="宋体" w:cs="宋体" w:eastAsia="宋体" w:hint="default"/>
          <w:b/>
          <w:bCs/>
          <w:spacing w:val="-81"/>
          <w:sz w:val="28"/>
          <w:szCs w:val="28"/>
        </w:rPr>
        <w:t> </w:t>
      </w:r>
      <w:r>
        <w:rPr>
          <w:rFonts w:ascii="Times New Roman" w:hAnsi="Times New Roman" w:cs="Times New Roman" w:eastAsia="Times New Roman" w:hint="default"/>
          <w:b/>
          <w:bCs/>
          <w:sz w:val="28"/>
          <w:szCs w:val="28"/>
        </w:rPr>
        <w:t>10</w:t>
      </w:r>
      <w:r>
        <w:rPr>
          <w:rFonts w:ascii="Times New Roman" w:hAnsi="Times New Roman" w:cs="Times New Roman" w:eastAsia="Times New Roman" w:hint="default"/>
          <w:b/>
          <w:bCs/>
          <w:spacing w:val="-18"/>
          <w:sz w:val="28"/>
          <w:szCs w:val="28"/>
        </w:rPr>
        <w:t> </w:t>
      </w:r>
      <w:r>
        <w:rPr>
          <w:rFonts w:ascii="宋体" w:hAnsi="宋体" w:cs="宋体" w:eastAsia="宋体" w:hint="default"/>
          <w:b/>
          <w:bCs/>
          <w:sz w:val="28"/>
          <w:szCs w:val="28"/>
        </w:rPr>
        <w:t>股派发现金红利</w:t>
      </w:r>
      <w:r>
        <w:rPr>
          <w:rFonts w:ascii="宋体" w:hAnsi="宋体" w:cs="宋体" w:eastAsia="宋体" w:hint="default"/>
          <w:b/>
          <w:bCs/>
          <w:spacing w:val="-81"/>
          <w:sz w:val="28"/>
          <w:szCs w:val="28"/>
        </w:rPr>
        <w:t> </w:t>
      </w:r>
      <w:r>
        <w:rPr>
          <w:rFonts w:ascii="Times New Roman" w:hAnsi="Times New Roman" w:cs="Times New Roman" w:eastAsia="Times New Roman" w:hint="default"/>
          <w:b/>
          <w:bCs/>
          <w:sz w:val="28"/>
          <w:szCs w:val="28"/>
        </w:rPr>
        <w:t>0.8</w:t>
      </w:r>
      <w:r>
        <w:rPr>
          <w:rFonts w:ascii="Times New Roman" w:hAnsi="Times New Roman" w:cs="Times New Roman" w:eastAsia="Times New Roman" w:hint="default"/>
          <w:b/>
          <w:bCs/>
          <w:spacing w:val="-18"/>
          <w:sz w:val="28"/>
          <w:szCs w:val="28"/>
        </w:rPr>
        <w:t> </w:t>
      </w:r>
      <w:r>
        <w:rPr>
          <w:rFonts w:ascii="宋体" w:hAnsi="宋体" w:cs="宋体" w:eastAsia="宋体" w:hint="default"/>
          <w:b/>
          <w:bCs/>
          <w:spacing w:val="-28"/>
          <w:sz w:val="28"/>
          <w:szCs w:val="28"/>
        </w:rPr>
        <w:t>元（含</w:t>
      </w:r>
      <w:r>
        <w:rPr>
          <w:rFonts w:ascii="宋体" w:hAnsi="宋体" w:cs="宋体" w:eastAsia="宋体" w:hint="default"/>
          <w:b/>
          <w:bCs/>
          <w:w w:val="99"/>
          <w:sz w:val="28"/>
          <w:szCs w:val="28"/>
        </w:rPr>
        <w:t> </w:t>
      </w:r>
      <w:r>
        <w:rPr>
          <w:rFonts w:ascii="宋体" w:hAnsi="宋体" w:cs="宋体" w:eastAsia="宋体" w:hint="default"/>
          <w:b/>
          <w:bCs/>
          <w:spacing w:val="2"/>
          <w:sz w:val="28"/>
          <w:szCs w:val="28"/>
        </w:rPr>
        <w:t>税），送红股</w:t>
      </w:r>
      <w:r>
        <w:rPr>
          <w:rFonts w:ascii="宋体" w:hAnsi="宋体" w:cs="宋体" w:eastAsia="宋体" w:hint="default"/>
          <w:b/>
          <w:bCs/>
          <w:spacing w:val="-69"/>
          <w:sz w:val="28"/>
          <w:szCs w:val="28"/>
        </w:rPr>
        <w:t> </w:t>
      </w:r>
      <w:r>
        <w:rPr>
          <w:rFonts w:ascii="Times New Roman" w:hAnsi="Times New Roman" w:cs="Times New Roman" w:eastAsia="Times New Roman" w:hint="default"/>
          <w:b/>
          <w:bCs/>
          <w:sz w:val="28"/>
          <w:szCs w:val="28"/>
        </w:rPr>
        <w:t>0</w:t>
      </w:r>
      <w:r>
        <w:rPr>
          <w:rFonts w:ascii="Times New Roman" w:hAnsi="Times New Roman" w:cs="Times New Roman" w:eastAsia="Times New Roman" w:hint="default"/>
          <w:b/>
          <w:bCs/>
          <w:spacing w:val="-1"/>
          <w:sz w:val="28"/>
          <w:szCs w:val="28"/>
        </w:rPr>
        <w:t> </w:t>
      </w:r>
      <w:r>
        <w:rPr>
          <w:rFonts w:ascii="宋体" w:hAnsi="宋体" w:cs="宋体" w:eastAsia="宋体" w:hint="default"/>
          <w:b/>
          <w:bCs/>
          <w:spacing w:val="2"/>
          <w:sz w:val="28"/>
          <w:szCs w:val="28"/>
        </w:rPr>
        <w:t>股（含税），不以公积金转增股本。上述利润分配预案尚待提</w:t>
      </w:r>
      <w:r>
        <w:rPr>
          <w:rFonts w:ascii="宋体" w:hAnsi="宋体" w:cs="宋体" w:eastAsia="宋体" w:hint="default"/>
          <w:spacing w:val="2"/>
          <w:sz w:val="28"/>
          <w:szCs w:val="28"/>
        </w:rPr>
      </w:r>
    </w:p>
    <w:p>
      <w:pPr>
        <w:spacing w:line="393" w:lineRule="auto" w:before="47"/>
        <w:ind w:left="153" w:right="1073" w:firstLine="0"/>
        <w:jc w:val="both"/>
        <w:rPr>
          <w:rFonts w:ascii="宋体" w:hAnsi="宋体" w:cs="宋体" w:eastAsia="宋体" w:hint="default"/>
          <w:sz w:val="28"/>
          <w:szCs w:val="28"/>
        </w:rPr>
      </w:pPr>
      <w:r>
        <w:rPr>
          <w:rFonts w:ascii="宋体" w:hAnsi="宋体" w:cs="宋体" w:eastAsia="宋体" w:hint="default"/>
          <w:b/>
          <w:bCs/>
          <w:sz w:val="28"/>
          <w:szCs w:val="28"/>
        </w:rPr>
        <w:t>交本公司股东大会审议。在公司实施</w:t>
      </w:r>
      <w:r>
        <w:rPr>
          <w:rFonts w:ascii="宋体" w:hAnsi="宋体" w:cs="宋体" w:eastAsia="宋体" w:hint="default"/>
          <w:b/>
          <w:bCs/>
          <w:spacing w:val="-86"/>
          <w:sz w:val="28"/>
          <w:szCs w:val="28"/>
        </w:rPr>
        <w:t> </w:t>
      </w:r>
      <w:r>
        <w:rPr>
          <w:rFonts w:ascii="Times New Roman" w:hAnsi="Times New Roman" w:cs="Times New Roman" w:eastAsia="Times New Roman" w:hint="default"/>
          <w:b/>
          <w:bCs/>
          <w:sz w:val="28"/>
          <w:szCs w:val="28"/>
        </w:rPr>
        <w:t>2019</w:t>
      </w:r>
      <w:r>
        <w:rPr>
          <w:rFonts w:ascii="Times New Roman" w:hAnsi="Times New Roman" w:cs="Times New Roman" w:eastAsia="Times New Roman" w:hint="default"/>
          <w:b/>
          <w:bCs/>
          <w:spacing w:val="-21"/>
          <w:sz w:val="28"/>
          <w:szCs w:val="28"/>
        </w:rPr>
        <w:t> </w:t>
      </w:r>
      <w:r>
        <w:rPr>
          <w:rFonts w:ascii="宋体" w:hAnsi="宋体" w:cs="宋体" w:eastAsia="宋体" w:hint="default"/>
          <w:b/>
          <w:bCs/>
          <w:spacing w:val="2"/>
          <w:sz w:val="28"/>
          <w:szCs w:val="28"/>
        </w:rPr>
        <w:t>年度利润分配方案的股权登记日前，</w:t>
      </w:r>
      <w:r>
        <w:rPr>
          <w:rFonts w:ascii="宋体" w:hAnsi="宋体" w:cs="宋体" w:eastAsia="宋体" w:hint="default"/>
          <w:b/>
          <w:bCs/>
          <w:w w:val="99"/>
          <w:sz w:val="28"/>
          <w:szCs w:val="28"/>
        </w:rPr>
        <w:t> </w:t>
      </w:r>
      <w:r>
        <w:rPr>
          <w:rFonts w:ascii="宋体" w:hAnsi="宋体" w:cs="宋体" w:eastAsia="宋体" w:hint="default"/>
          <w:b/>
          <w:bCs/>
          <w:spacing w:val="4"/>
          <w:w w:val="95"/>
          <w:sz w:val="28"/>
          <w:szCs w:val="28"/>
        </w:rPr>
        <w:t>如果公司股本发生变动，公司将按照《深圳证券交易所中小企业板上市公司规</w:t>
      </w:r>
      <w:r>
        <w:rPr>
          <w:rFonts w:ascii="宋体" w:hAnsi="宋体" w:cs="宋体" w:eastAsia="宋体" w:hint="default"/>
          <w:b/>
          <w:bCs/>
          <w:spacing w:val="124"/>
          <w:w w:val="95"/>
          <w:sz w:val="28"/>
          <w:szCs w:val="28"/>
        </w:rPr>
        <w:t> </w:t>
      </w:r>
      <w:r>
        <w:rPr>
          <w:rFonts w:ascii="宋体" w:hAnsi="宋体" w:cs="宋体" w:eastAsia="宋体" w:hint="default"/>
          <w:b/>
          <w:bCs/>
          <w:spacing w:val="124"/>
          <w:w w:val="95"/>
          <w:sz w:val="28"/>
          <w:szCs w:val="28"/>
        </w:rPr>
      </w:r>
      <w:r>
        <w:rPr>
          <w:rFonts w:ascii="宋体" w:hAnsi="宋体" w:cs="宋体" w:eastAsia="宋体" w:hint="default"/>
          <w:b/>
          <w:bCs/>
          <w:sz w:val="28"/>
          <w:szCs w:val="28"/>
        </w:rPr>
        <w:t>范运作指引（</w:t>
      </w:r>
      <w:r>
        <w:rPr>
          <w:rFonts w:ascii="Times New Roman" w:hAnsi="Times New Roman" w:cs="Times New Roman" w:eastAsia="Times New Roman" w:hint="default"/>
          <w:b/>
          <w:bCs/>
          <w:sz w:val="28"/>
          <w:szCs w:val="28"/>
        </w:rPr>
        <w:t>2020</w:t>
      </w:r>
      <w:r>
        <w:rPr>
          <w:rFonts w:ascii="Times New Roman" w:hAnsi="Times New Roman" w:cs="Times New Roman" w:eastAsia="Times New Roman" w:hint="default"/>
          <w:b/>
          <w:bCs/>
          <w:spacing w:val="-22"/>
          <w:sz w:val="28"/>
          <w:szCs w:val="28"/>
        </w:rPr>
        <w:t> </w:t>
      </w:r>
      <w:r>
        <w:rPr>
          <w:rFonts w:ascii="宋体" w:hAnsi="宋体" w:cs="宋体" w:eastAsia="宋体" w:hint="default"/>
          <w:b/>
          <w:bCs/>
          <w:spacing w:val="2"/>
          <w:sz w:val="28"/>
          <w:szCs w:val="28"/>
        </w:rPr>
        <w:t>年修订）》所规定的“现金分红金额、送红股金额、转增股</w:t>
      </w:r>
      <w:r>
        <w:rPr>
          <w:rFonts w:ascii="宋体" w:hAnsi="宋体" w:cs="宋体" w:eastAsia="宋体" w:hint="default"/>
          <w:b/>
          <w:bCs/>
          <w:w w:val="99"/>
          <w:sz w:val="28"/>
          <w:szCs w:val="28"/>
        </w:rPr>
        <w:t> </w:t>
      </w:r>
      <w:r>
        <w:rPr>
          <w:rFonts w:ascii="宋体" w:hAnsi="宋体" w:cs="宋体" w:eastAsia="宋体" w:hint="default"/>
          <w:b/>
          <w:bCs/>
          <w:spacing w:val="2"/>
          <w:sz w:val="28"/>
          <w:szCs w:val="28"/>
        </w:rPr>
        <w:t>本金额固定不变”的原则，对上述利润分配预案进行调整。</w:t>
      </w:r>
      <w:r>
        <w:rPr>
          <w:rFonts w:ascii="宋体" w:hAnsi="宋体" w:cs="宋体" w:eastAsia="宋体" w:hint="default"/>
          <w:spacing w:val="2"/>
          <w:sz w:val="28"/>
          <w:szCs w:val="28"/>
        </w:rPr>
      </w:r>
    </w:p>
    <w:p>
      <w:pPr>
        <w:spacing w:after="0" w:line="393" w:lineRule="auto"/>
        <w:jc w:val="both"/>
        <w:rPr>
          <w:rFonts w:ascii="宋体" w:hAnsi="宋体" w:cs="宋体" w:eastAsia="宋体" w:hint="default"/>
          <w:sz w:val="28"/>
          <w:szCs w:val="28"/>
        </w:rPr>
        <w:sectPr>
          <w:footerReference w:type="default" r:id="rId8"/>
          <w:pgSz w:w="11910" w:h="16840"/>
          <w:pgMar w:footer="1022" w:header="784" w:top="1100" w:bottom="1220" w:left="980" w:right="0"/>
          <w:pgNumType w:start="2"/>
        </w:sectPr>
      </w:pPr>
    </w:p>
    <w:p>
      <w:pPr>
        <w:spacing w:line="20" w:lineRule="exact"/>
        <w:ind w:left="119" w:right="0" w:firstLine="0"/>
        <w:rPr>
          <w:rFonts w:ascii="宋体" w:hAnsi="宋体" w:cs="宋体" w:eastAsia="宋体" w:hint="default"/>
          <w:sz w:val="2"/>
          <w:szCs w:val="2"/>
        </w:rPr>
      </w:pPr>
      <w:r>
        <w:rPr>
          <w:rFonts w:ascii="宋体" w:hAnsi="宋体" w:cs="宋体" w:eastAsia="宋体" w:hint="default"/>
          <w:sz w:val="2"/>
          <w:szCs w:val="2"/>
        </w:rPr>
        <w:pict>
          <v:group style="width:485.5pt;height:.5pt;mso-position-horizontal-relative:char;mso-position-vertical-relative:line" coordorigin="0,0" coordsize="9710,10">
            <v:group style="position:absolute;left:5;top:5;width:9700;height:2" coordorigin="5,5" coordsize="9700,2">
              <v:shape style="position:absolute;left:5;top:5;width:9700;height:2" coordorigin="5,5" coordsize="9700,0" path="m5,5l9705,5e" filled="false" stroked="true" strokeweight=".48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5"/>
          <w:szCs w:val="25"/>
        </w:rPr>
      </w:pPr>
    </w:p>
    <w:p>
      <w:pPr>
        <w:spacing w:line="460" w:lineRule="exact" w:before="0"/>
        <w:ind w:left="137" w:right="1111" w:firstLine="0"/>
        <w:jc w:val="center"/>
        <w:rPr>
          <w:rFonts w:ascii="宋体" w:hAnsi="宋体" w:cs="宋体" w:eastAsia="宋体" w:hint="default"/>
          <w:sz w:val="36"/>
          <w:szCs w:val="36"/>
        </w:rPr>
      </w:pPr>
      <w:r>
        <w:rPr>
          <w:rFonts w:ascii="宋体" w:hAnsi="宋体" w:cs="宋体" w:eastAsia="宋体" w:hint="default"/>
          <w:b/>
          <w:bCs/>
          <w:spacing w:val="4"/>
          <w:sz w:val="36"/>
          <w:szCs w:val="36"/>
        </w:rPr>
        <w:t>目录</w:t>
      </w:r>
      <w:r>
        <w:rPr>
          <w:rFonts w:ascii="宋体" w:hAnsi="宋体" w:cs="宋体" w:eastAsia="宋体" w:hint="default"/>
          <w:sz w:val="36"/>
          <w:szCs w:val="36"/>
        </w:rPr>
      </w:r>
    </w:p>
    <w:p>
      <w:pPr>
        <w:spacing w:line="240" w:lineRule="auto" w:before="0"/>
        <w:rPr>
          <w:rFonts w:ascii="宋体" w:hAnsi="宋体" w:cs="宋体" w:eastAsia="宋体" w:hint="default"/>
          <w:b/>
          <w:bCs/>
          <w:sz w:val="36"/>
          <w:szCs w:val="36"/>
        </w:rPr>
      </w:pPr>
    </w:p>
    <w:p>
      <w:pPr>
        <w:spacing w:line="240" w:lineRule="auto" w:before="0"/>
        <w:rPr>
          <w:rFonts w:ascii="宋体" w:hAnsi="宋体" w:cs="宋体" w:eastAsia="宋体" w:hint="default"/>
          <w:b/>
          <w:bCs/>
          <w:sz w:val="36"/>
          <w:szCs w:val="36"/>
        </w:rPr>
      </w:pPr>
    </w:p>
    <w:p>
      <w:pPr>
        <w:spacing w:line="240" w:lineRule="auto" w:before="5"/>
        <w:rPr>
          <w:rFonts w:ascii="宋体" w:hAnsi="宋体" w:cs="宋体" w:eastAsia="宋体" w:hint="default"/>
          <w:b/>
          <w:bCs/>
          <w:sz w:val="48"/>
          <w:szCs w:val="48"/>
        </w:rPr>
      </w:pPr>
    </w:p>
    <w:sdt>
      <w:sdtPr>
        <w:docPartObj>
          <w:docPartGallery w:val="Table of Contents"/>
          <w:docPartUnique/>
        </w:docPartObj>
      </w:sdtPr>
      <w:sdtEndPr/>
      <w:sdtContent>
        <w:p>
          <w:pPr>
            <w:pStyle w:val="TOC1"/>
            <w:tabs>
              <w:tab w:pos="1118" w:val="left" w:leader="none"/>
              <w:tab w:pos="9794" w:val="right" w:leader="dot"/>
            </w:tabs>
            <w:spacing w:line="240" w:lineRule="auto" w:before="0"/>
            <w:ind w:right="0"/>
            <w:jc w:val="left"/>
            <w:rPr>
              <w:rFonts w:ascii="Times New Roman" w:hAnsi="Times New Roman" w:cs="Times New Roman" w:eastAsia="Times New Roman" w:hint="default"/>
              <w:b w:val="0"/>
              <w:bCs w:val="0"/>
            </w:rPr>
          </w:pPr>
          <w:r>
            <w:fldChar w:fldCharType="begin"/>
          </w:r>
          <w:r>
            <w:instrText>TOC \o "1-1" \h \z \u </w:instrText>
          </w:r>
          <w:r>
            <w:fldChar w:fldCharType="separate"/>
          </w:r>
          <w:hyperlink w:history="true" w:anchor="_bookmark0">
            <w:r>
              <w:rPr/>
              <w:t>第一节</w:t>
              <w:tab/>
              <w:t>重要提示、目录和释义</w:t>
            </w:r>
            <w:r>
              <w:rPr>
                <w:rFonts w:ascii="Times New Roman" w:hAnsi="Times New Roman" w:cs="Times New Roman" w:eastAsia="Times New Roman" w:hint="default"/>
              </w:rPr>
              <w:tab/>
              <w:t>2</w:t>
            </w:r>
            <w:r>
              <w:rPr>
                <w:rFonts w:ascii="Times New Roman" w:hAnsi="Times New Roman" w:cs="Times New Roman" w:eastAsia="Times New Roman" w:hint="default"/>
                <w:b w:val="0"/>
                <w:bCs w:val="0"/>
              </w:rPr>
            </w:r>
          </w:hyperlink>
        </w:p>
        <w:p>
          <w:pPr>
            <w:pStyle w:val="TOC1"/>
            <w:tabs>
              <w:tab w:pos="1118" w:val="left" w:leader="none"/>
              <w:tab w:pos="9794" w:val="right" w:leader="dot"/>
            </w:tabs>
            <w:spacing w:line="240" w:lineRule="auto"/>
            <w:ind w:right="0"/>
            <w:jc w:val="left"/>
            <w:rPr>
              <w:rFonts w:ascii="Times New Roman" w:hAnsi="Times New Roman" w:cs="Times New Roman" w:eastAsia="Times New Roman" w:hint="default"/>
              <w:b w:val="0"/>
              <w:bCs w:val="0"/>
            </w:rPr>
          </w:pPr>
          <w:hyperlink w:history="true" w:anchor="_bookmark1">
            <w:r>
              <w:rPr/>
              <w:t>第二节</w:t>
              <w:tab/>
              <w:t>公司简介和主要财务指标</w:t>
            </w:r>
            <w:r>
              <w:rPr>
                <w:rFonts w:ascii="Times New Roman" w:hAnsi="Times New Roman" w:cs="Times New Roman" w:eastAsia="Times New Roman" w:hint="default"/>
              </w:rPr>
              <w:tab/>
              <w:t>6</w:t>
            </w:r>
            <w:r>
              <w:rPr>
                <w:rFonts w:ascii="Times New Roman" w:hAnsi="Times New Roman" w:cs="Times New Roman" w:eastAsia="Times New Roman" w:hint="default"/>
                <w:b w:val="0"/>
                <w:bCs w:val="0"/>
              </w:rPr>
            </w:r>
          </w:hyperlink>
        </w:p>
        <w:p>
          <w:pPr>
            <w:pStyle w:val="TOC1"/>
            <w:tabs>
              <w:tab w:pos="1118" w:val="left" w:leader="none"/>
              <w:tab w:pos="9794" w:val="right" w:leader="dot"/>
            </w:tabs>
            <w:spacing w:line="240" w:lineRule="auto" w:before="177"/>
            <w:ind w:right="0"/>
            <w:jc w:val="left"/>
            <w:rPr>
              <w:rFonts w:ascii="Times New Roman" w:hAnsi="Times New Roman" w:cs="Times New Roman" w:eastAsia="Times New Roman" w:hint="default"/>
              <w:b w:val="0"/>
              <w:bCs w:val="0"/>
            </w:rPr>
          </w:pPr>
          <w:hyperlink w:history="true" w:anchor="_bookmark2">
            <w:r>
              <w:rPr/>
              <w:t>第三节</w:t>
              <w:tab/>
              <w:t>公司业务概要</w:t>
            </w:r>
            <w:r>
              <w:rPr>
                <w:rFonts w:ascii="Times New Roman" w:hAnsi="Times New Roman" w:cs="Times New Roman" w:eastAsia="Times New Roman" w:hint="default"/>
              </w:rPr>
              <w:tab/>
              <w:t>10</w:t>
            </w:r>
            <w:r>
              <w:rPr>
                <w:rFonts w:ascii="Times New Roman" w:hAnsi="Times New Roman" w:cs="Times New Roman" w:eastAsia="Times New Roman" w:hint="default"/>
                <w:b w:val="0"/>
                <w:bCs w:val="0"/>
              </w:rPr>
            </w:r>
          </w:hyperlink>
        </w:p>
        <w:p>
          <w:pPr>
            <w:pStyle w:val="TOC1"/>
            <w:tabs>
              <w:tab w:pos="1118" w:val="left" w:leader="none"/>
              <w:tab w:pos="9794" w:val="right" w:leader="dot"/>
            </w:tabs>
            <w:spacing w:line="240" w:lineRule="auto"/>
            <w:ind w:right="0"/>
            <w:jc w:val="left"/>
            <w:rPr>
              <w:rFonts w:ascii="Times New Roman" w:hAnsi="Times New Roman" w:cs="Times New Roman" w:eastAsia="Times New Roman" w:hint="default"/>
              <w:b w:val="0"/>
              <w:bCs w:val="0"/>
            </w:rPr>
          </w:pPr>
          <w:hyperlink w:history="true" w:anchor="_bookmark3">
            <w:r>
              <w:rPr/>
              <w:t>第四节</w:t>
              <w:tab/>
              <w:t>经营情况讨论与分析</w:t>
            </w:r>
            <w:r>
              <w:rPr>
                <w:rFonts w:ascii="Times New Roman" w:hAnsi="Times New Roman" w:cs="Times New Roman" w:eastAsia="Times New Roman" w:hint="default"/>
              </w:rPr>
              <w:tab/>
              <w:t>14</w:t>
            </w:r>
            <w:r>
              <w:rPr>
                <w:rFonts w:ascii="Times New Roman" w:hAnsi="Times New Roman" w:cs="Times New Roman" w:eastAsia="Times New Roman" w:hint="default"/>
                <w:b w:val="0"/>
                <w:bCs w:val="0"/>
              </w:rPr>
            </w:r>
          </w:hyperlink>
        </w:p>
        <w:p>
          <w:pPr>
            <w:pStyle w:val="TOC1"/>
            <w:tabs>
              <w:tab w:pos="1118" w:val="left" w:leader="none"/>
              <w:tab w:pos="9794" w:val="right" w:leader="dot"/>
            </w:tabs>
            <w:spacing w:line="240" w:lineRule="auto"/>
            <w:ind w:right="0"/>
            <w:jc w:val="left"/>
            <w:rPr>
              <w:rFonts w:ascii="Times New Roman" w:hAnsi="Times New Roman" w:cs="Times New Roman" w:eastAsia="Times New Roman" w:hint="default"/>
              <w:b w:val="0"/>
              <w:bCs w:val="0"/>
            </w:rPr>
          </w:pPr>
          <w:hyperlink w:history="true" w:anchor="_bookmark4">
            <w:r>
              <w:rPr/>
              <w:t>第五节</w:t>
              <w:tab/>
              <w:t>重要事项</w:t>
            </w:r>
            <w:r>
              <w:rPr>
                <w:rFonts w:ascii="Times New Roman" w:hAnsi="Times New Roman" w:cs="Times New Roman" w:eastAsia="Times New Roman" w:hint="default"/>
              </w:rPr>
              <w:tab/>
              <w:t>40</w:t>
            </w:r>
            <w:r>
              <w:rPr>
                <w:rFonts w:ascii="Times New Roman" w:hAnsi="Times New Roman" w:cs="Times New Roman" w:eastAsia="Times New Roman" w:hint="default"/>
                <w:b w:val="0"/>
                <w:bCs w:val="0"/>
              </w:rPr>
            </w:r>
          </w:hyperlink>
        </w:p>
        <w:p>
          <w:pPr>
            <w:pStyle w:val="TOC1"/>
            <w:tabs>
              <w:tab w:pos="1118" w:val="left" w:leader="none"/>
              <w:tab w:pos="9794" w:val="right" w:leader="dot"/>
            </w:tabs>
            <w:spacing w:line="240" w:lineRule="auto" w:before="177"/>
            <w:ind w:right="0"/>
            <w:jc w:val="left"/>
            <w:rPr>
              <w:rFonts w:ascii="Times New Roman" w:hAnsi="Times New Roman" w:cs="Times New Roman" w:eastAsia="Times New Roman" w:hint="default"/>
              <w:b w:val="0"/>
              <w:bCs w:val="0"/>
            </w:rPr>
          </w:pPr>
          <w:hyperlink w:history="true" w:anchor="_bookmark5">
            <w:r>
              <w:rPr/>
              <w:t>第六节</w:t>
              <w:tab/>
              <w:t>股份变动及股东情况</w:t>
            </w:r>
            <w:r>
              <w:rPr>
                <w:rFonts w:ascii="Times New Roman" w:hAnsi="Times New Roman" w:cs="Times New Roman" w:eastAsia="Times New Roman" w:hint="default"/>
              </w:rPr>
              <w:tab/>
              <w:t>61</w:t>
            </w:r>
            <w:r>
              <w:rPr>
                <w:rFonts w:ascii="Times New Roman" w:hAnsi="Times New Roman" w:cs="Times New Roman" w:eastAsia="Times New Roman" w:hint="default"/>
                <w:b w:val="0"/>
                <w:bCs w:val="0"/>
              </w:rPr>
            </w:r>
          </w:hyperlink>
        </w:p>
        <w:p>
          <w:pPr>
            <w:pStyle w:val="TOC1"/>
            <w:tabs>
              <w:tab w:pos="1118" w:val="left" w:leader="none"/>
              <w:tab w:pos="9794" w:val="right" w:leader="dot"/>
            </w:tabs>
            <w:spacing w:line="240" w:lineRule="auto" w:before="171"/>
            <w:ind w:right="0"/>
            <w:jc w:val="left"/>
            <w:rPr>
              <w:rFonts w:ascii="Times New Roman" w:hAnsi="Times New Roman" w:cs="Times New Roman" w:eastAsia="Times New Roman" w:hint="default"/>
              <w:b w:val="0"/>
              <w:bCs w:val="0"/>
            </w:rPr>
          </w:pPr>
          <w:hyperlink w:history="true" w:anchor="_bookmark6">
            <w:r>
              <w:rPr/>
              <w:t>第七节</w:t>
              <w:tab/>
              <w:t>优先股相关情况</w:t>
            </w:r>
            <w:r>
              <w:rPr>
                <w:rFonts w:ascii="Times New Roman" w:hAnsi="Times New Roman" w:cs="Times New Roman" w:eastAsia="Times New Roman" w:hint="default"/>
              </w:rPr>
              <w:tab/>
              <w:t>69</w:t>
            </w:r>
            <w:r>
              <w:rPr>
                <w:rFonts w:ascii="Times New Roman" w:hAnsi="Times New Roman" w:cs="Times New Roman" w:eastAsia="Times New Roman" w:hint="default"/>
                <w:b w:val="0"/>
                <w:bCs w:val="0"/>
              </w:rPr>
            </w:r>
          </w:hyperlink>
        </w:p>
        <w:p>
          <w:pPr>
            <w:pStyle w:val="TOC1"/>
            <w:tabs>
              <w:tab w:pos="1118" w:val="left" w:leader="none"/>
              <w:tab w:pos="9794" w:val="right" w:leader="dot"/>
            </w:tabs>
            <w:spacing w:line="240" w:lineRule="auto"/>
            <w:ind w:right="0"/>
            <w:jc w:val="left"/>
            <w:rPr>
              <w:rFonts w:ascii="Times New Roman" w:hAnsi="Times New Roman" w:cs="Times New Roman" w:eastAsia="Times New Roman" w:hint="default"/>
              <w:b w:val="0"/>
              <w:bCs w:val="0"/>
            </w:rPr>
          </w:pPr>
          <w:hyperlink w:history="true" w:anchor="_bookmark7">
            <w:r>
              <w:rPr/>
              <w:t>第八节</w:t>
              <w:tab/>
              <w:t>可转换公司债券相关情况</w:t>
            </w:r>
            <w:r>
              <w:rPr>
                <w:rFonts w:ascii="Times New Roman" w:hAnsi="Times New Roman" w:cs="Times New Roman" w:eastAsia="Times New Roman" w:hint="default"/>
              </w:rPr>
              <w:tab/>
              <w:t>70</w:t>
            </w:r>
            <w:r>
              <w:rPr>
                <w:rFonts w:ascii="Times New Roman" w:hAnsi="Times New Roman" w:cs="Times New Roman" w:eastAsia="Times New Roman" w:hint="default"/>
                <w:b w:val="0"/>
                <w:bCs w:val="0"/>
              </w:rPr>
            </w:r>
          </w:hyperlink>
        </w:p>
        <w:p>
          <w:pPr>
            <w:pStyle w:val="TOC1"/>
            <w:tabs>
              <w:tab w:pos="1118" w:val="left" w:leader="none"/>
              <w:tab w:pos="9794" w:val="right" w:leader="dot"/>
            </w:tabs>
            <w:spacing w:line="240" w:lineRule="auto"/>
            <w:ind w:right="0"/>
            <w:jc w:val="left"/>
            <w:rPr>
              <w:rFonts w:ascii="Times New Roman" w:hAnsi="Times New Roman" w:cs="Times New Roman" w:eastAsia="Times New Roman" w:hint="default"/>
              <w:b w:val="0"/>
              <w:bCs w:val="0"/>
            </w:rPr>
          </w:pPr>
          <w:hyperlink w:history="true" w:anchor="_bookmark8">
            <w:r>
              <w:rPr/>
              <w:t>第九节</w:t>
              <w:tab/>
              <w:t>董事、监事、高级管理人员和员工情况</w:t>
            </w:r>
            <w:r>
              <w:rPr>
                <w:rFonts w:ascii="Times New Roman" w:hAnsi="Times New Roman" w:cs="Times New Roman" w:eastAsia="Times New Roman" w:hint="default"/>
              </w:rPr>
              <w:tab/>
              <w:t>71</w:t>
            </w:r>
            <w:r>
              <w:rPr>
                <w:rFonts w:ascii="Times New Roman" w:hAnsi="Times New Roman" w:cs="Times New Roman" w:eastAsia="Times New Roman" w:hint="default"/>
                <w:b w:val="0"/>
                <w:bCs w:val="0"/>
              </w:rPr>
            </w:r>
          </w:hyperlink>
        </w:p>
        <w:p>
          <w:pPr>
            <w:pStyle w:val="TOC1"/>
            <w:tabs>
              <w:tab w:pos="1118" w:val="left" w:leader="none"/>
              <w:tab w:pos="9794" w:val="right" w:leader="dot"/>
            </w:tabs>
            <w:spacing w:line="240" w:lineRule="auto" w:before="177"/>
            <w:ind w:right="0"/>
            <w:jc w:val="left"/>
            <w:rPr>
              <w:rFonts w:ascii="Times New Roman" w:hAnsi="Times New Roman" w:cs="Times New Roman" w:eastAsia="Times New Roman" w:hint="default"/>
              <w:b w:val="0"/>
              <w:bCs w:val="0"/>
            </w:rPr>
          </w:pPr>
          <w:hyperlink w:history="true" w:anchor="_bookmark9">
            <w:r>
              <w:rPr/>
              <w:t>第十节</w:t>
              <w:tab/>
              <w:t>公司治理</w:t>
            </w:r>
            <w:r>
              <w:rPr>
                <w:rFonts w:ascii="Times New Roman" w:hAnsi="Times New Roman" w:cs="Times New Roman" w:eastAsia="Times New Roman" w:hint="default"/>
              </w:rPr>
              <w:tab/>
              <w:t>80</w:t>
            </w:r>
            <w:r>
              <w:rPr>
                <w:rFonts w:ascii="Times New Roman" w:hAnsi="Times New Roman" w:cs="Times New Roman" w:eastAsia="Times New Roman" w:hint="default"/>
                <w:b w:val="0"/>
                <w:bCs w:val="0"/>
              </w:rPr>
            </w:r>
          </w:hyperlink>
        </w:p>
        <w:p>
          <w:pPr>
            <w:pStyle w:val="TOC1"/>
            <w:tabs>
              <w:tab w:pos="9794" w:val="right" w:leader="dot"/>
            </w:tabs>
            <w:spacing w:line="240" w:lineRule="auto"/>
            <w:ind w:right="0"/>
            <w:jc w:val="left"/>
            <w:rPr>
              <w:rFonts w:ascii="Times New Roman" w:hAnsi="Times New Roman" w:cs="Times New Roman" w:eastAsia="Times New Roman" w:hint="default"/>
              <w:b w:val="0"/>
              <w:bCs w:val="0"/>
            </w:rPr>
          </w:pPr>
          <w:hyperlink w:history="true" w:anchor="_bookmark10">
            <w:r>
              <w:rPr/>
              <w:t>第十一节</w:t>
            </w:r>
            <w:r>
              <w:rPr>
                <w:spacing w:val="-2"/>
              </w:rPr>
              <w:t> </w:t>
            </w:r>
            <w:r>
              <w:rPr/>
              <w:t>公司债券相关情况</w:t>
            </w:r>
            <w:r>
              <w:rPr>
                <w:rFonts w:ascii="Times New Roman" w:hAnsi="Times New Roman" w:cs="Times New Roman" w:eastAsia="Times New Roman" w:hint="default"/>
              </w:rPr>
              <w:tab/>
              <w:t>86</w:t>
            </w:r>
            <w:r>
              <w:rPr>
                <w:rFonts w:ascii="Times New Roman" w:hAnsi="Times New Roman" w:cs="Times New Roman" w:eastAsia="Times New Roman" w:hint="default"/>
                <w:b w:val="0"/>
                <w:bCs w:val="0"/>
              </w:rPr>
            </w:r>
          </w:hyperlink>
        </w:p>
        <w:p>
          <w:pPr>
            <w:pStyle w:val="TOC1"/>
            <w:tabs>
              <w:tab w:pos="9794" w:val="right" w:leader="dot"/>
            </w:tabs>
            <w:spacing w:line="240" w:lineRule="auto"/>
            <w:ind w:right="0"/>
            <w:jc w:val="left"/>
            <w:rPr>
              <w:rFonts w:ascii="Times New Roman" w:hAnsi="Times New Roman" w:cs="Times New Roman" w:eastAsia="Times New Roman" w:hint="default"/>
              <w:b w:val="0"/>
              <w:bCs w:val="0"/>
            </w:rPr>
          </w:pPr>
          <w:hyperlink w:history="true" w:anchor="_bookmark11">
            <w:r>
              <w:rPr/>
              <w:t>第十二节</w:t>
            </w:r>
            <w:r>
              <w:rPr>
                <w:spacing w:val="-1"/>
              </w:rPr>
              <w:t> </w:t>
            </w:r>
            <w:r>
              <w:rPr/>
              <w:t>财务报告</w:t>
            </w:r>
            <w:r>
              <w:rPr>
                <w:rFonts w:ascii="Times New Roman" w:hAnsi="Times New Roman" w:cs="Times New Roman" w:eastAsia="Times New Roman" w:hint="default"/>
              </w:rPr>
              <w:tab/>
              <w:t>87</w:t>
            </w:r>
            <w:r>
              <w:rPr>
                <w:rFonts w:ascii="Times New Roman" w:hAnsi="Times New Roman" w:cs="Times New Roman" w:eastAsia="Times New Roman" w:hint="default"/>
                <w:b w:val="0"/>
                <w:bCs w:val="0"/>
              </w:rPr>
            </w:r>
          </w:hyperlink>
        </w:p>
        <w:p>
          <w:pPr>
            <w:pStyle w:val="TOC1"/>
            <w:tabs>
              <w:tab w:pos="9794" w:val="right" w:leader="dot"/>
            </w:tabs>
            <w:spacing w:line="240" w:lineRule="auto" w:before="172"/>
            <w:ind w:right="0"/>
            <w:jc w:val="left"/>
            <w:rPr>
              <w:rFonts w:ascii="Times New Roman" w:hAnsi="Times New Roman" w:cs="Times New Roman" w:eastAsia="Times New Roman" w:hint="default"/>
              <w:b w:val="0"/>
              <w:bCs w:val="0"/>
            </w:rPr>
          </w:pPr>
          <w:hyperlink w:history="true" w:anchor="_bookmark12">
            <w:r>
              <w:rPr/>
              <w:t>第十三节</w:t>
            </w:r>
            <w:r>
              <w:rPr>
                <w:spacing w:val="-2"/>
              </w:rPr>
              <w:t> </w:t>
            </w:r>
            <w:r>
              <w:rPr/>
              <w:t>备查文件目录</w:t>
            </w:r>
            <w:r>
              <w:rPr>
                <w:rFonts w:ascii="Times New Roman" w:hAnsi="Times New Roman" w:cs="Times New Roman" w:eastAsia="Times New Roman" w:hint="default"/>
              </w:rPr>
              <w:tab/>
              <w:t>229</w:t>
            </w:r>
            <w:r>
              <w:rPr>
                <w:rFonts w:ascii="Times New Roman" w:hAnsi="Times New Roman" w:cs="Times New Roman" w:eastAsia="Times New Roman" w:hint="default"/>
                <w:b w:val="0"/>
                <w:bCs w:val="0"/>
              </w:rPr>
            </w:r>
          </w:hyperlink>
        </w:p>
        <w:p>
          <w:pPr/>
          <w:r>
            <w:fldChar w:fldCharType="end"/>
          </w:r>
        </w:p>
      </w:sdtContent>
    </w:sdt>
    <w:p>
      <w:pPr>
        <w:spacing w:after="0"/>
        <w:sectPr>
          <w:pgSz w:w="11910" w:h="16840"/>
          <w:pgMar w:header="784" w:footer="1022" w:top="1100" w:bottom="1220" w:left="980" w:right="0"/>
        </w:sectPr>
      </w:pPr>
    </w:p>
    <w:p>
      <w:pPr>
        <w:spacing w:before="910"/>
        <w:ind w:left="137" w:right="1111" w:firstLine="0"/>
        <w:jc w:val="center"/>
        <w:rPr>
          <w:rFonts w:ascii="宋体" w:hAnsi="宋体" w:cs="宋体" w:eastAsia="宋体" w:hint="default"/>
          <w:sz w:val="32"/>
          <w:szCs w:val="32"/>
        </w:rPr>
      </w:pPr>
      <w:r>
        <w:rPr>
          <w:rFonts w:ascii="宋体" w:hAnsi="宋体" w:cs="宋体" w:eastAsia="宋体" w:hint="default"/>
          <w:b/>
          <w:bCs/>
          <w:sz w:val="32"/>
          <w:szCs w:val="32"/>
        </w:rPr>
        <w:t>释义</w:t>
      </w:r>
      <w:r>
        <w:rPr>
          <w:rFonts w:ascii="宋体" w:hAnsi="宋体" w:cs="宋体" w:eastAsia="宋体" w:hint="default"/>
          <w:sz w:val="32"/>
          <w:szCs w:val="3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24"/>
          <w:szCs w:val="24"/>
        </w:rPr>
      </w:pPr>
    </w:p>
    <w:tbl>
      <w:tblPr>
        <w:tblW w:w="0" w:type="auto"/>
        <w:jc w:val="left"/>
        <w:tblInd w:w="148" w:type="dxa"/>
        <w:tblLayout w:type="fixed"/>
        <w:tblCellMar>
          <w:top w:w="0" w:type="dxa"/>
          <w:left w:w="0" w:type="dxa"/>
          <w:bottom w:w="0" w:type="dxa"/>
          <w:right w:w="0" w:type="dxa"/>
        </w:tblCellMar>
        <w:tblLook w:val="01E0"/>
      </w:tblPr>
      <w:tblGrid>
        <w:gridCol w:w="3525"/>
        <w:gridCol w:w="624"/>
        <w:gridCol w:w="5426"/>
      </w:tblGrid>
      <w:tr>
        <w:trPr>
          <w:trHeight w:val="398" w:hRule="exact"/>
        </w:trPr>
        <w:tc>
          <w:tcPr>
            <w:tcW w:w="35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释义项</w:t>
            </w:r>
          </w:p>
        </w:tc>
        <w:tc>
          <w:tcPr>
            <w:tcW w:w="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释义内容</w:t>
            </w:r>
          </w:p>
        </w:tc>
      </w:tr>
      <w:tr>
        <w:trPr>
          <w:trHeight w:val="408"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pacing w:val="-3"/>
                <w:sz w:val="18"/>
                <w:szCs w:val="18"/>
              </w:rPr>
              <w:t>公司、本公司、奥拓电子</w:t>
            </w:r>
          </w:p>
        </w:tc>
        <w:tc>
          <w:tcPr>
            <w:tcW w:w="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right="0"/>
              <w:jc w:val="center"/>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0" w:right="0"/>
              <w:jc w:val="left"/>
              <w:rPr>
                <w:rFonts w:ascii="宋体" w:hAnsi="宋体" w:cs="宋体" w:eastAsia="宋体" w:hint="default"/>
                <w:sz w:val="18"/>
                <w:szCs w:val="18"/>
              </w:rPr>
            </w:pPr>
            <w:r>
              <w:rPr>
                <w:rFonts w:ascii="宋体" w:hAnsi="宋体" w:cs="宋体" w:eastAsia="宋体" w:hint="default"/>
                <w:spacing w:val="-3"/>
                <w:sz w:val="18"/>
                <w:szCs w:val="18"/>
              </w:rPr>
              <w:t>深圳市奥拓电子股份有限公司</w:t>
            </w:r>
          </w:p>
        </w:tc>
      </w:tr>
      <w:tr>
        <w:trPr>
          <w:trHeight w:val="399"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pacing w:val="-3"/>
                <w:sz w:val="18"/>
                <w:szCs w:val="18"/>
              </w:rPr>
              <w:t>中国证监会、证监会</w:t>
            </w:r>
          </w:p>
        </w:tc>
        <w:tc>
          <w:tcPr>
            <w:tcW w:w="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0" w:right="0"/>
              <w:jc w:val="left"/>
              <w:rPr>
                <w:rFonts w:ascii="宋体" w:hAnsi="宋体" w:cs="宋体" w:eastAsia="宋体" w:hint="default"/>
                <w:sz w:val="18"/>
                <w:szCs w:val="18"/>
              </w:rPr>
            </w:pPr>
            <w:r>
              <w:rPr>
                <w:rFonts w:ascii="宋体" w:hAnsi="宋体" w:cs="宋体" w:eastAsia="宋体" w:hint="default"/>
                <w:spacing w:val="-3"/>
                <w:sz w:val="18"/>
                <w:szCs w:val="18"/>
              </w:rPr>
              <w:t>中国证券监督管理委员会</w:t>
            </w:r>
          </w:p>
        </w:tc>
      </w:tr>
      <w:tr>
        <w:trPr>
          <w:trHeight w:val="403"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深圳证监局</w:t>
            </w:r>
          </w:p>
        </w:tc>
        <w:tc>
          <w:tcPr>
            <w:tcW w:w="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pacing w:val="-3"/>
                <w:sz w:val="18"/>
                <w:szCs w:val="18"/>
              </w:rPr>
              <w:t>中国证券监督管理委员会深圳监管局</w:t>
            </w:r>
          </w:p>
        </w:tc>
      </w:tr>
      <w:tr>
        <w:trPr>
          <w:trHeight w:val="403"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董事会</w:t>
            </w:r>
          </w:p>
        </w:tc>
        <w:tc>
          <w:tcPr>
            <w:tcW w:w="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pacing w:val="-3"/>
                <w:sz w:val="18"/>
                <w:szCs w:val="18"/>
              </w:rPr>
              <w:t>深圳市奥拓电子股份有限公司董事会</w:t>
            </w:r>
          </w:p>
        </w:tc>
      </w:tr>
      <w:tr>
        <w:trPr>
          <w:trHeight w:val="403"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监事会</w:t>
            </w:r>
          </w:p>
        </w:tc>
        <w:tc>
          <w:tcPr>
            <w:tcW w:w="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pacing w:val="-3"/>
                <w:sz w:val="18"/>
                <w:szCs w:val="18"/>
              </w:rPr>
              <w:t>深圳市奥拓电子股份有限公司监事会</w:t>
            </w:r>
          </w:p>
        </w:tc>
      </w:tr>
      <w:tr>
        <w:trPr>
          <w:trHeight w:val="399"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股东大会</w:t>
            </w:r>
          </w:p>
        </w:tc>
        <w:tc>
          <w:tcPr>
            <w:tcW w:w="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0" w:right="0"/>
              <w:jc w:val="left"/>
              <w:rPr>
                <w:rFonts w:ascii="宋体" w:hAnsi="宋体" w:cs="宋体" w:eastAsia="宋体" w:hint="default"/>
                <w:sz w:val="18"/>
                <w:szCs w:val="18"/>
              </w:rPr>
            </w:pPr>
            <w:r>
              <w:rPr>
                <w:rFonts w:ascii="宋体" w:hAnsi="宋体" w:cs="宋体" w:eastAsia="宋体" w:hint="default"/>
                <w:spacing w:val="-3"/>
                <w:sz w:val="18"/>
                <w:szCs w:val="18"/>
              </w:rPr>
              <w:t>深圳市奥拓电子股份有限公司股东大会</w:t>
            </w:r>
          </w:p>
        </w:tc>
      </w:tr>
      <w:tr>
        <w:trPr>
          <w:trHeight w:val="403"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公司章程</w:t>
            </w:r>
          </w:p>
        </w:tc>
        <w:tc>
          <w:tcPr>
            <w:tcW w:w="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pacing w:val="-3"/>
                <w:sz w:val="18"/>
                <w:szCs w:val="18"/>
              </w:rPr>
              <w:t>深圳市奥拓电子股份有限公司公司章程</w:t>
            </w:r>
          </w:p>
        </w:tc>
      </w:tr>
      <w:tr>
        <w:trPr>
          <w:trHeight w:val="403"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公司法</w:t>
            </w:r>
          </w:p>
        </w:tc>
        <w:tc>
          <w:tcPr>
            <w:tcW w:w="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pacing w:val="-3"/>
                <w:sz w:val="18"/>
                <w:szCs w:val="18"/>
              </w:rPr>
              <w:t>《中华人民共和国公司法》</w:t>
            </w:r>
          </w:p>
        </w:tc>
      </w:tr>
      <w:tr>
        <w:trPr>
          <w:trHeight w:val="403"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证券法</w:t>
            </w:r>
          </w:p>
        </w:tc>
        <w:tc>
          <w:tcPr>
            <w:tcW w:w="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pacing w:val="-3"/>
                <w:sz w:val="18"/>
                <w:szCs w:val="18"/>
              </w:rPr>
              <w:t>《中华人民共和国证券法》</w:t>
            </w:r>
          </w:p>
        </w:tc>
      </w:tr>
      <w:tr>
        <w:trPr>
          <w:trHeight w:val="399"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奥拓软件</w:t>
            </w:r>
          </w:p>
        </w:tc>
        <w:tc>
          <w:tcPr>
            <w:tcW w:w="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0" w:right="0"/>
              <w:jc w:val="left"/>
              <w:rPr>
                <w:rFonts w:ascii="宋体" w:hAnsi="宋体" w:cs="宋体" w:eastAsia="宋体" w:hint="default"/>
                <w:sz w:val="18"/>
                <w:szCs w:val="18"/>
              </w:rPr>
            </w:pPr>
            <w:r>
              <w:rPr>
                <w:rFonts w:ascii="宋体" w:hAnsi="宋体" w:cs="宋体" w:eastAsia="宋体" w:hint="default"/>
                <w:spacing w:val="-3"/>
                <w:sz w:val="18"/>
                <w:szCs w:val="18"/>
              </w:rPr>
              <w:t>深圳市奥拓软件技术有限公司，系本公司控股子公司</w:t>
            </w:r>
          </w:p>
        </w:tc>
      </w:tr>
      <w:tr>
        <w:trPr>
          <w:trHeight w:val="403"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奥拓光电</w:t>
            </w:r>
          </w:p>
        </w:tc>
        <w:tc>
          <w:tcPr>
            <w:tcW w:w="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pacing w:val="-3"/>
                <w:sz w:val="18"/>
                <w:szCs w:val="18"/>
              </w:rPr>
              <w:t>深圳市奥拓光电科技有限公司，系本公司控股子公司</w:t>
            </w:r>
          </w:p>
        </w:tc>
      </w:tr>
      <w:tr>
        <w:trPr>
          <w:trHeight w:val="403"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南京奥拓</w:t>
            </w:r>
          </w:p>
        </w:tc>
        <w:tc>
          <w:tcPr>
            <w:tcW w:w="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pacing w:val="-3"/>
                <w:sz w:val="18"/>
                <w:szCs w:val="18"/>
              </w:rPr>
              <w:t>南京奥拓电子科技有限公司，系本公司控股子公司</w:t>
            </w:r>
          </w:p>
        </w:tc>
      </w:tr>
      <w:tr>
        <w:trPr>
          <w:trHeight w:val="403"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惠州奥拓</w:t>
            </w:r>
          </w:p>
        </w:tc>
        <w:tc>
          <w:tcPr>
            <w:tcW w:w="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pacing w:val="-3"/>
                <w:sz w:val="18"/>
                <w:szCs w:val="18"/>
              </w:rPr>
              <w:t>惠州市奥拓电子科技有限公司，系本公司控股子公司</w:t>
            </w:r>
          </w:p>
        </w:tc>
      </w:tr>
      <w:tr>
        <w:trPr>
          <w:trHeight w:val="399"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香港奥拓</w:t>
            </w:r>
          </w:p>
        </w:tc>
        <w:tc>
          <w:tcPr>
            <w:tcW w:w="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pacing w:val="-3"/>
                <w:sz w:val="18"/>
                <w:szCs w:val="18"/>
              </w:rPr>
              <w:t>奥拓电子（香港）有限公司，系本公司控股子公司</w:t>
            </w:r>
          </w:p>
        </w:tc>
      </w:tr>
      <w:tr>
        <w:trPr>
          <w:trHeight w:val="403"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英国奥拓</w:t>
            </w:r>
          </w:p>
        </w:tc>
        <w:tc>
          <w:tcPr>
            <w:tcW w:w="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pacing w:val="-3"/>
                <w:sz w:val="18"/>
                <w:szCs w:val="18"/>
              </w:rPr>
              <w:t>奥拓电子（英国）有限公司，系本公司控股孙公司</w:t>
            </w:r>
          </w:p>
        </w:tc>
      </w:tr>
      <w:tr>
        <w:trPr>
          <w:trHeight w:val="403"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前海奥拓</w:t>
            </w:r>
          </w:p>
        </w:tc>
        <w:tc>
          <w:tcPr>
            <w:tcW w:w="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pacing w:val="-3"/>
                <w:sz w:val="18"/>
                <w:szCs w:val="18"/>
              </w:rPr>
              <w:t>深圳前海奥拓投资有限公司，系本公司控股子公司</w:t>
            </w:r>
          </w:p>
        </w:tc>
      </w:tr>
      <w:tr>
        <w:trPr>
          <w:trHeight w:val="403"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美国奥拓</w:t>
            </w:r>
          </w:p>
        </w:tc>
        <w:tc>
          <w:tcPr>
            <w:tcW w:w="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pacing w:val="-3"/>
                <w:sz w:val="18"/>
                <w:szCs w:val="18"/>
              </w:rPr>
              <w:t>奥拓电子（美国）有限责任公司，系本公司控股孙公司</w:t>
            </w:r>
          </w:p>
        </w:tc>
      </w:tr>
      <w:tr>
        <w:trPr>
          <w:trHeight w:val="398"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日本奥拓</w:t>
            </w:r>
          </w:p>
        </w:tc>
        <w:tc>
          <w:tcPr>
            <w:tcW w:w="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pacing w:val="-3"/>
                <w:sz w:val="18"/>
                <w:szCs w:val="18"/>
              </w:rPr>
              <w:t>奥拓電子日本株式会社，系本公司控股孙公司</w:t>
            </w:r>
          </w:p>
        </w:tc>
      </w:tr>
      <w:tr>
        <w:trPr>
          <w:trHeight w:val="404"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北京奥拓</w:t>
            </w:r>
          </w:p>
        </w:tc>
        <w:tc>
          <w:tcPr>
            <w:tcW w:w="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0" w:right="0"/>
              <w:jc w:val="left"/>
              <w:rPr>
                <w:rFonts w:ascii="宋体" w:hAnsi="宋体" w:cs="宋体" w:eastAsia="宋体" w:hint="default"/>
                <w:sz w:val="18"/>
                <w:szCs w:val="18"/>
              </w:rPr>
            </w:pPr>
            <w:r>
              <w:rPr>
                <w:rFonts w:ascii="宋体" w:hAnsi="宋体" w:cs="宋体" w:eastAsia="宋体" w:hint="default"/>
                <w:spacing w:val="-3"/>
                <w:sz w:val="18"/>
                <w:szCs w:val="18"/>
              </w:rPr>
              <w:t>北京市奥拓电子科技有限公司，系本公司控股子公司</w:t>
            </w:r>
          </w:p>
        </w:tc>
      </w:tr>
      <w:tr>
        <w:trPr>
          <w:trHeight w:val="403"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奥拓翰明</w:t>
            </w:r>
          </w:p>
        </w:tc>
        <w:tc>
          <w:tcPr>
            <w:tcW w:w="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pacing w:val="-3"/>
                <w:sz w:val="18"/>
                <w:szCs w:val="18"/>
              </w:rPr>
              <w:t>上海奥拓翰明计算机科技有限公司，系本公司控股孙公司</w:t>
            </w:r>
          </w:p>
        </w:tc>
      </w:tr>
      <w:tr>
        <w:trPr>
          <w:trHeight w:val="403"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南京软件</w:t>
            </w:r>
          </w:p>
        </w:tc>
        <w:tc>
          <w:tcPr>
            <w:tcW w:w="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pacing w:val="-3"/>
                <w:sz w:val="18"/>
                <w:szCs w:val="18"/>
              </w:rPr>
              <w:t>南京奥拓软件技术有限公司，系本公司控股孙公司</w:t>
            </w:r>
          </w:p>
        </w:tc>
      </w:tr>
      <w:tr>
        <w:trPr>
          <w:trHeight w:val="398"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鹏鼎创盈</w:t>
            </w:r>
          </w:p>
        </w:tc>
        <w:tc>
          <w:tcPr>
            <w:tcW w:w="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pacing w:val="-3"/>
                <w:sz w:val="18"/>
                <w:szCs w:val="18"/>
              </w:rPr>
              <w:t>深圳市鹏鼎创盈金融信息服务股份有限公司，系本公司参股公司</w:t>
            </w:r>
          </w:p>
        </w:tc>
      </w:tr>
      <w:tr>
        <w:trPr>
          <w:trHeight w:val="404"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奥拓体育发展</w:t>
            </w:r>
          </w:p>
        </w:tc>
        <w:tc>
          <w:tcPr>
            <w:tcW w:w="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0" w:right="0"/>
              <w:jc w:val="left"/>
              <w:rPr>
                <w:rFonts w:ascii="宋体" w:hAnsi="宋体" w:cs="宋体" w:eastAsia="宋体" w:hint="default"/>
                <w:sz w:val="18"/>
                <w:szCs w:val="18"/>
              </w:rPr>
            </w:pPr>
            <w:r>
              <w:rPr>
                <w:rFonts w:ascii="宋体" w:hAnsi="宋体" w:cs="宋体" w:eastAsia="宋体" w:hint="default"/>
                <w:spacing w:val="-3"/>
                <w:sz w:val="18"/>
                <w:szCs w:val="18"/>
              </w:rPr>
              <w:t>深圳市奥拓体育文化发展有限公司，系本公司控股子公司</w:t>
            </w:r>
          </w:p>
        </w:tc>
      </w:tr>
      <w:tr>
        <w:trPr>
          <w:trHeight w:val="403"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奥拓体育投资</w:t>
            </w:r>
          </w:p>
        </w:tc>
        <w:tc>
          <w:tcPr>
            <w:tcW w:w="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pacing w:val="-3"/>
                <w:sz w:val="18"/>
                <w:szCs w:val="18"/>
              </w:rPr>
              <w:t>深圳前海奥拓体育文化投资有限公司，系本公司控股孙公司</w:t>
            </w:r>
          </w:p>
        </w:tc>
      </w:tr>
      <w:tr>
        <w:trPr>
          <w:trHeight w:val="403"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千百辉</w:t>
            </w:r>
          </w:p>
        </w:tc>
        <w:tc>
          <w:tcPr>
            <w:tcW w:w="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pacing w:val="-3"/>
                <w:sz w:val="18"/>
                <w:szCs w:val="18"/>
              </w:rPr>
              <w:t>深圳市千百辉照明工程有限公司，系本公司控股子公司</w:t>
            </w:r>
          </w:p>
        </w:tc>
      </w:tr>
      <w:tr>
        <w:trPr>
          <w:trHeight w:val="398"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奥拓立翔</w:t>
            </w:r>
          </w:p>
        </w:tc>
        <w:tc>
          <w:tcPr>
            <w:tcW w:w="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pacing w:val="-3"/>
                <w:sz w:val="18"/>
                <w:szCs w:val="18"/>
              </w:rPr>
              <w:t>深圳市奥拓立翔光电科技有限公司，系本公司控股子公司</w:t>
            </w:r>
          </w:p>
        </w:tc>
      </w:tr>
      <w:tr>
        <w:trPr>
          <w:trHeight w:val="404"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武汉奥拓</w:t>
            </w:r>
          </w:p>
        </w:tc>
        <w:tc>
          <w:tcPr>
            <w:tcW w:w="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0" w:right="0"/>
              <w:jc w:val="left"/>
              <w:rPr>
                <w:rFonts w:ascii="宋体" w:hAnsi="宋体" w:cs="宋体" w:eastAsia="宋体" w:hint="default"/>
                <w:sz w:val="18"/>
                <w:szCs w:val="18"/>
              </w:rPr>
            </w:pPr>
            <w:r>
              <w:rPr>
                <w:rFonts w:ascii="宋体" w:hAnsi="宋体" w:cs="宋体" w:eastAsia="宋体" w:hint="default"/>
                <w:spacing w:val="-3"/>
                <w:sz w:val="18"/>
                <w:szCs w:val="18"/>
              </w:rPr>
              <w:t>武汉市奥拓智能科技有限公司，系本公司控股子公司</w:t>
            </w:r>
          </w:p>
        </w:tc>
      </w:tr>
      <w:tr>
        <w:trPr>
          <w:trHeight w:val="403"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热炼控股</w:t>
            </w:r>
          </w:p>
        </w:tc>
        <w:tc>
          <w:tcPr>
            <w:tcW w:w="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pacing w:val="-3"/>
                <w:sz w:val="18"/>
                <w:szCs w:val="18"/>
              </w:rPr>
              <w:t>深圳市热炼控股有限责任公司，系本公司参股公司</w:t>
            </w:r>
          </w:p>
        </w:tc>
      </w:tr>
      <w:tr>
        <w:trPr>
          <w:trHeight w:val="403"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报告期</w:t>
            </w:r>
          </w:p>
        </w:tc>
        <w:tc>
          <w:tcPr>
            <w:tcW w:w="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 </w:t>
            </w:r>
            <w:r>
              <w:rPr>
                <w:rFonts w:ascii="Times New Roman" w:hAnsi="Times New Roman" w:cs="Times New Roman" w:eastAsia="Times New Roman" w:hint="default"/>
                <w:sz w:val="18"/>
                <w:szCs w:val="18"/>
              </w:rPr>
              <w:t>1  </w:t>
            </w:r>
            <w:r>
              <w:rPr>
                <w:rFonts w:ascii="宋体" w:hAnsi="宋体" w:cs="宋体" w:eastAsia="宋体" w:hint="default"/>
                <w:sz w:val="18"/>
                <w:szCs w:val="18"/>
              </w:rPr>
              <w:t>月 </w:t>
            </w:r>
            <w:r>
              <w:rPr>
                <w:rFonts w:ascii="Times New Roman" w:hAnsi="Times New Roman" w:cs="Times New Roman" w:eastAsia="Times New Roman" w:hint="default"/>
                <w:sz w:val="18"/>
                <w:szCs w:val="18"/>
              </w:rPr>
              <w:t>1  </w:t>
            </w:r>
            <w:r>
              <w:rPr>
                <w:rFonts w:ascii="宋体" w:hAnsi="宋体" w:cs="宋体" w:eastAsia="宋体" w:hint="default"/>
                <w:spacing w:val="-3"/>
                <w:sz w:val="18"/>
                <w:szCs w:val="18"/>
              </w:rPr>
              <w:t>日至 </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 </w:t>
            </w:r>
            <w:r>
              <w:rPr>
                <w:rFonts w:ascii="Times New Roman" w:hAnsi="Times New Roman" w:cs="Times New Roman" w:eastAsia="Times New Roman" w:hint="default"/>
                <w:sz w:val="18"/>
                <w:szCs w:val="18"/>
              </w:rPr>
              <w:t>12 </w:t>
            </w:r>
            <w:r>
              <w:rPr>
                <w:rFonts w:ascii="宋体" w:hAnsi="宋体" w:cs="宋体" w:eastAsia="宋体" w:hint="default"/>
                <w:sz w:val="18"/>
                <w:szCs w:val="18"/>
              </w:rPr>
              <w:t>月 </w:t>
            </w:r>
            <w:r>
              <w:rPr>
                <w:rFonts w:ascii="Times New Roman" w:hAnsi="Times New Roman" w:cs="Times New Roman" w:eastAsia="Times New Roman" w:hint="default"/>
                <w:sz w:val="18"/>
                <w:szCs w:val="18"/>
              </w:rPr>
              <w:t>31 </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r>
    </w:tbl>
    <w:p>
      <w:pPr>
        <w:spacing w:after="0" w:line="240" w:lineRule="auto"/>
        <w:jc w:val="left"/>
        <w:rPr>
          <w:rFonts w:ascii="宋体" w:hAnsi="宋体" w:cs="宋体" w:eastAsia="宋体" w:hint="default"/>
          <w:sz w:val="18"/>
          <w:szCs w:val="18"/>
        </w:rPr>
        <w:sectPr>
          <w:pgSz w:w="11910" w:h="16840"/>
          <w:pgMar w:header="784" w:footer="1022" w:top="1100" w:bottom="1220" w:left="980" w:right="0"/>
        </w:sectPr>
      </w:pPr>
    </w:p>
    <w:p>
      <w:pPr>
        <w:spacing w:line="240" w:lineRule="auto" w:before="1"/>
        <w:rPr>
          <w:rFonts w:ascii="Times New Roman" w:hAnsi="Times New Roman" w:cs="Times New Roman" w:eastAsia="Times New Roman" w:hint="default"/>
          <w:sz w:val="29"/>
          <w:szCs w:val="29"/>
        </w:rPr>
      </w:pPr>
    </w:p>
    <w:tbl>
      <w:tblPr>
        <w:tblW w:w="0" w:type="auto"/>
        <w:jc w:val="left"/>
        <w:tblInd w:w="148" w:type="dxa"/>
        <w:tblLayout w:type="fixed"/>
        <w:tblCellMar>
          <w:top w:w="0" w:type="dxa"/>
          <w:left w:w="0" w:type="dxa"/>
          <w:bottom w:w="0" w:type="dxa"/>
          <w:right w:w="0" w:type="dxa"/>
        </w:tblCellMar>
        <w:tblLook w:val="01E0"/>
      </w:tblPr>
      <w:tblGrid>
        <w:gridCol w:w="3525"/>
        <w:gridCol w:w="624"/>
        <w:gridCol w:w="5426"/>
      </w:tblGrid>
      <w:tr>
        <w:trPr>
          <w:trHeight w:val="403"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元、万元</w:t>
            </w:r>
          </w:p>
        </w:tc>
        <w:tc>
          <w:tcPr>
            <w:tcW w:w="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z w:val="18"/>
                <w:szCs w:val="18"/>
              </w:rPr>
              <w:t>人民币元、人民币万元</w:t>
            </w:r>
          </w:p>
        </w:tc>
      </w:tr>
    </w:tbl>
    <w:p>
      <w:pPr>
        <w:spacing w:after="0" w:line="240" w:lineRule="auto"/>
        <w:jc w:val="left"/>
        <w:rPr>
          <w:rFonts w:ascii="宋体" w:hAnsi="宋体" w:cs="宋体" w:eastAsia="宋体" w:hint="default"/>
          <w:sz w:val="18"/>
          <w:szCs w:val="18"/>
        </w:rPr>
        <w:sectPr>
          <w:pgSz w:w="11910" w:h="16840"/>
          <w:pgMar w:header="784" w:footer="1022" w:top="1100" w:bottom="122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25"/>
          <w:szCs w:val="25"/>
        </w:rPr>
      </w:pPr>
    </w:p>
    <w:p>
      <w:pPr>
        <w:pStyle w:val="Heading1"/>
        <w:spacing w:line="240" w:lineRule="auto"/>
        <w:ind w:left="2722" w:right="0"/>
        <w:jc w:val="left"/>
        <w:rPr>
          <w:b w:val="0"/>
          <w:bCs w:val="0"/>
        </w:rPr>
      </w:pPr>
      <w:bookmarkStart w:name="第二节公司简介和主要财务指标" w:id="3"/>
      <w:bookmarkEnd w:id="3"/>
      <w:r>
        <w:rPr>
          <w:b w:val="0"/>
          <w:bCs w:val="0"/>
        </w:rPr>
      </w:r>
      <w:bookmarkStart w:name="_bookmark1" w:id="4"/>
      <w:bookmarkEnd w:id="4"/>
      <w:r>
        <w:rPr>
          <w:b w:val="0"/>
          <w:bCs w:val="0"/>
        </w:rPr>
      </w:r>
      <w:r>
        <w:rPr/>
        <w:t>第二节公司简介和主要财务指标</w:t>
      </w:r>
      <w:r>
        <w:rPr>
          <w:b w:val="0"/>
          <w:bCs w:val="0"/>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6"/>
          <w:szCs w:val="16"/>
        </w:rPr>
      </w:pPr>
    </w:p>
    <w:p>
      <w:pPr>
        <w:pStyle w:val="Heading2"/>
        <w:spacing w:line="240" w:lineRule="auto" w:before="26"/>
        <w:ind w:right="0"/>
        <w:jc w:val="left"/>
        <w:rPr>
          <w:b w:val="0"/>
          <w:bCs w:val="0"/>
        </w:rPr>
      </w:pPr>
      <w:bookmarkStart w:name="一、公司信息" w:id="5"/>
      <w:bookmarkEnd w:id="5"/>
      <w:r>
        <w:rPr>
          <w:b w:val="0"/>
          <w:bCs w:val="0"/>
        </w:rPr>
      </w:r>
      <w:r>
        <w:rPr/>
        <w:t>一、公司信息</w:t>
      </w:r>
      <w:r>
        <w:rPr>
          <w:b w:val="0"/>
          <w:bCs w:val="0"/>
        </w:rPr>
      </w:r>
    </w:p>
    <w:p>
      <w:pPr>
        <w:spacing w:line="240" w:lineRule="auto" w:before="5"/>
        <w:rPr>
          <w:rFonts w:ascii="宋体" w:hAnsi="宋体" w:cs="宋体" w:eastAsia="宋体" w:hint="default"/>
          <w:b/>
          <w:bCs/>
          <w:sz w:val="26"/>
          <w:szCs w:val="26"/>
        </w:rPr>
      </w:pPr>
    </w:p>
    <w:tbl>
      <w:tblPr>
        <w:tblW w:w="0" w:type="auto"/>
        <w:jc w:val="left"/>
        <w:tblInd w:w="148" w:type="dxa"/>
        <w:tblLayout w:type="fixed"/>
        <w:tblCellMar>
          <w:top w:w="0" w:type="dxa"/>
          <w:left w:w="0" w:type="dxa"/>
          <w:bottom w:w="0" w:type="dxa"/>
          <w:right w:w="0" w:type="dxa"/>
        </w:tblCellMar>
        <w:tblLook w:val="01E0"/>
      </w:tblPr>
      <w:tblGrid>
        <w:gridCol w:w="2286"/>
        <w:gridCol w:w="2953"/>
        <w:gridCol w:w="2156"/>
        <w:gridCol w:w="2180"/>
      </w:tblGrid>
      <w:tr>
        <w:trPr>
          <w:trHeight w:val="398" w:hRule="exact"/>
        </w:trPr>
        <w:tc>
          <w:tcPr>
            <w:tcW w:w="22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股票简称</w:t>
            </w:r>
          </w:p>
        </w:tc>
        <w:tc>
          <w:tcPr>
            <w:tcW w:w="2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奥拓电子</w:t>
            </w:r>
          </w:p>
        </w:tc>
        <w:tc>
          <w:tcPr>
            <w:tcW w:w="21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股票代码</w:t>
            </w:r>
          </w:p>
        </w:tc>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5" w:right="0"/>
              <w:jc w:val="left"/>
              <w:rPr>
                <w:rFonts w:ascii="Times New Roman" w:hAnsi="Times New Roman" w:cs="Times New Roman" w:eastAsia="Times New Roman" w:hint="default"/>
                <w:sz w:val="18"/>
                <w:szCs w:val="18"/>
              </w:rPr>
            </w:pPr>
            <w:r>
              <w:rPr>
                <w:rFonts w:ascii="Times New Roman"/>
                <w:sz w:val="18"/>
              </w:rPr>
              <w:t>002587</w:t>
            </w:r>
          </w:p>
        </w:tc>
      </w:tr>
      <w:tr>
        <w:trPr>
          <w:trHeight w:val="404" w:hRule="exact"/>
        </w:trPr>
        <w:tc>
          <w:tcPr>
            <w:tcW w:w="22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股票上市证券交易所</w:t>
            </w:r>
          </w:p>
        </w:tc>
        <w:tc>
          <w:tcPr>
            <w:tcW w:w="728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深圳证券交易所</w:t>
            </w:r>
          </w:p>
        </w:tc>
      </w:tr>
      <w:tr>
        <w:trPr>
          <w:trHeight w:val="403" w:hRule="exact"/>
        </w:trPr>
        <w:tc>
          <w:tcPr>
            <w:tcW w:w="22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公司的中文名称</w:t>
            </w:r>
          </w:p>
        </w:tc>
        <w:tc>
          <w:tcPr>
            <w:tcW w:w="728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深圳市奥拓电子股份有限公司</w:t>
            </w:r>
          </w:p>
        </w:tc>
      </w:tr>
      <w:tr>
        <w:trPr>
          <w:trHeight w:val="403" w:hRule="exact"/>
        </w:trPr>
        <w:tc>
          <w:tcPr>
            <w:tcW w:w="22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公司的中文简称</w:t>
            </w:r>
          </w:p>
        </w:tc>
        <w:tc>
          <w:tcPr>
            <w:tcW w:w="728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奥拓电子</w:t>
            </w:r>
          </w:p>
        </w:tc>
      </w:tr>
      <w:tr>
        <w:trPr>
          <w:trHeight w:val="398" w:hRule="exact"/>
        </w:trPr>
        <w:tc>
          <w:tcPr>
            <w:tcW w:w="22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公司的外文名称（如有）</w:t>
            </w:r>
          </w:p>
        </w:tc>
        <w:tc>
          <w:tcPr>
            <w:tcW w:w="728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5" w:right="0"/>
              <w:jc w:val="left"/>
              <w:rPr>
                <w:rFonts w:ascii="Times New Roman" w:hAnsi="Times New Roman" w:cs="Times New Roman" w:eastAsia="Times New Roman" w:hint="default"/>
                <w:sz w:val="18"/>
                <w:szCs w:val="18"/>
              </w:rPr>
            </w:pPr>
            <w:r>
              <w:rPr>
                <w:rFonts w:ascii="Times New Roman"/>
                <w:sz w:val="18"/>
              </w:rPr>
              <w:t>SHENZHEN </w:t>
            </w:r>
            <w:r>
              <w:rPr>
                <w:rFonts w:ascii="Times New Roman"/>
                <w:spacing w:val="-4"/>
                <w:sz w:val="18"/>
              </w:rPr>
              <w:t>AOTO </w:t>
            </w:r>
            <w:r>
              <w:rPr>
                <w:rFonts w:ascii="Times New Roman"/>
                <w:spacing w:val="-3"/>
                <w:sz w:val="18"/>
              </w:rPr>
              <w:t>ELECTRONICS </w:t>
            </w:r>
            <w:r>
              <w:rPr>
                <w:rFonts w:ascii="Times New Roman"/>
                <w:spacing w:val="-2"/>
                <w:sz w:val="18"/>
              </w:rPr>
              <w:t> </w:t>
            </w:r>
            <w:r>
              <w:rPr>
                <w:rFonts w:ascii="Times New Roman"/>
                <w:spacing w:val="-4"/>
                <w:sz w:val="18"/>
              </w:rPr>
              <w:t>CO.,LTD</w:t>
            </w:r>
          </w:p>
        </w:tc>
      </w:tr>
      <w:tr>
        <w:trPr>
          <w:trHeight w:val="716" w:hRule="exact"/>
        </w:trPr>
        <w:tc>
          <w:tcPr>
            <w:tcW w:w="22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4" w:lineRule="auto" w:before="53"/>
              <w:ind w:left="105" w:right="185"/>
              <w:jc w:val="left"/>
              <w:rPr>
                <w:rFonts w:ascii="宋体" w:hAnsi="宋体" w:cs="宋体" w:eastAsia="宋体" w:hint="default"/>
                <w:sz w:val="18"/>
                <w:szCs w:val="18"/>
              </w:rPr>
            </w:pPr>
            <w:r>
              <w:rPr>
                <w:rFonts w:ascii="宋体" w:hAnsi="宋体" w:cs="宋体" w:eastAsia="宋体" w:hint="default"/>
                <w:spacing w:val="-3"/>
                <w:sz w:val="18"/>
                <w:szCs w:val="18"/>
              </w:rPr>
              <w:t>公司的外文名称缩写（如</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宋体" w:hAnsi="宋体" w:cs="宋体" w:eastAsia="宋体" w:hint="default"/>
                <w:sz w:val="18"/>
                <w:szCs w:val="18"/>
              </w:rPr>
              <w:t>有）</w:t>
            </w:r>
          </w:p>
        </w:tc>
        <w:tc>
          <w:tcPr>
            <w:tcW w:w="728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left="105" w:right="0"/>
              <w:jc w:val="left"/>
              <w:rPr>
                <w:rFonts w:ascii="Times New Roman" w:hAnsi="Times New Roman" w:cs="Times New Roman" w:eastAsia="Times New Roman" w:hint="default"/>
                <w:sz w:val="18"/>
                <w:szCs w:val="18"/>
              </w:rPr>
            </w:pPr>
            <w:r>
              <w:rPr>
                <w:rFonts w:ascii="Times New Roman"/>
                <w:spacing w:val="-4"/>
                <w:sz w:val="18"/>
              </w:rPr>
              <w:t>AOTO</w:t>
            </w:r>
            <w:r>
              <w:rPr>
                <w:rFonts w:ascii="Times New Roman"/>
                <w:spacing w:val="34"/>
                <w:sz w:val="18"/>
              </w:rPr>
              <w:t> </w:t>
            </w:r>
            <w:r>
              <w:rPr>
                <w:rFonts w:ascii="Times New Roman"/>
                <w:spacing w:val="-3"/>
                <w:sz w:val="18"/>
              </w:rPr>
              <w:t>ELECTRONICS</w:t>
            </w:r>
          </w:p>
        </w:tc>
      </w:tr>
      <w:tr>
        <w:trPr>
          <w:trHeight w:val="403" w:hRule="exact"/>
        </w:trPr>
        <w:tc>
          <w:tcPr>
            <w:tcW w:w="22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公司的法定代表人</w:t>
            </w:r>
          </w:p>
        </w:tc>
        <w:tc>
          <w:tcPr>
            <w:tcW w:w="728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吴涵渠</w:t>
            </w:r>
          </w:p>
        </w:tc>
      </w:tr>
      <w:tr>
        <w:trPr>
          <w:trHeight w:val="403" w:hRule="exact"/>
        </w:trPr>
        <w:tc>
          <w:tcPr>
            <w:tcW w:w="22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注册地址</w:t>
            </w:r>
          </w:p>
        </w:tc>
        <w:tc>
          <w:tcPr>
            <w:tcW w:w="728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深圳市南山区粤海街道学府路 </w:t>
            </w:r>
            <w:r>
              <w:rPr>
                <w:rFonts w:ascii="Times New Roman" w:hAnsi="Times New Roman" w:cs="Times New Roman" w:eastAsia="Times New Roman" w:hint="default"/>
                <w:sz w:val="18"/>
                <w:szCs w:val="18"/>
              </w:rPr>
              <w:t>63  </w:t>
            </w:r>
            <w:r>
              <w:rPr>
                <w:rFonts w:ascii="宋体" w:hAnsi="宋体" w:cs="宋体" w:eastAsia="宋体" w:hint="default"/>
                <w:spacing w:val="-3"/>
                <w:sz w:val="18"/>
                <w:szCs w:val="18"/>
              </w:rPr>
              <w:t>号高新区联合总部大厦 </w:t>
            </w:r>
            <w:r>
              <w:rPr>
                <w:rFonts w:ascii="Times New Roman" w:hAnsi="Times New Roman" w:cs="Times New Roman" w:eastAsia="Times New Roman" w:hint="default"/>
                <w:sz w:val="18"/>
                <w:szCs w:val="18"/>
              </w:rPr>
              <w:t>10  </w:t>
            </w:r>
            <w:r>
              <w:rPr>
                <w:rFonts w:ascii="Times New Roman" w:hAnsi="Times New Roman" w:cs="Times New Roman" w:eastAsia="Times New Roman" w:hint="default"/>
                <w:spacing w:val="27"/>
                <w:sz w:val="18"/>
                <w:szCs w:val="18"/>
              </w:rPr>
              <w:t> </w:t>
            </w:r>
            <w:r>
              <w:rPr>
                <w:rFonts w:ascii="宋体" w:hAnsi="宋体" w:cs="宋体" w:eastAsia="宋体" w:hint="default"/>
                <w:sz w:val="18"/>
                <w:szCs w:val="18"/>
              </w:rPr>
              <w:t>楼</w:t>
            </w:r>
          </w:p>
        </w:tc>
      </w:tr>
      <w:tr>
        <w:trPr>
          <w:trHeight w:val="398" w:hRule="exact"/>
        </w:trPr>
        <w:tc>
          <w:tcPr>
            <w:tcW w:w="22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注册地址的邮政编码</w:t>
            </w:r>
          </w:p>
        </w:tc>
        <w:tc>
          <w:tcPr>
            <w:tcW w:w="728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5" w:right="0"/>
              <w:jc w:val="left"/>
              <w:rPr>
                <w:rFonts w:ascii="Times New Roman" w:hAnsi="Times New Roman" w:cs="Times New Roman" w:eastAsia="Times New Roman" w:hint="default"/>
                <w:sz w:val="18"/>
                <w:szCs w:val="18"/>
              </w:rPr>
            </w:pPr>
            <w:r>
              <w:rPr>
                <w:rFonts w:ascii="Times New Roman"/>
                <w:sz w:val="18"/>
              </w:rPr>
              <w:t>518052</w:t>
            </w:r>
          </w:p>
        </w:tc>
      </w:tr>
      <w:tr>
        <w:trPr>
          <w:trHeight w:val="404" w:hRule="exact"/>
        </w:trPr>
        <w:tc>
          <w:tcPr>
            <w:tcW w:w="22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办公地址</w:t>
            </w:r>
          </w:p>
        </w:tc>
        <w:tc>
          <w:tcPr>
            <w:tcW w:w="728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pacing w:val="-3"/>
                <w:sz w:val="18"/>
                <w:szCs w:val="18"/>
              </w:rPr>
              <w:t>深圳市南山区粤海街道学府路 </w:t>
            </w:r>
            <w:r>
              <w:rPr>
                <w:rFonts w:ascii="Times New Roman" w:hAnsi="Times New Roman" w:cs="Times New Roman" w:eastAsia="Times New Roman" w:hint="default"/>
                <w:sz w:val="18"/>
                <w:szCs w:val="18"/>
              </w:rPr>
              <w:t>63  </w:t>
            </w:r>
            <w:r>
              <w:rPr>
                <w:rFonts w:ascii="宋体" w:hAnsi="宋体" w:cs="宋体" w:eastAsia="宋体" w:hint="default"/>
                <w:spacing w:val="-3"/>
                <w:sz w:val="18"/>
                <w:szCs w:val="18"/>
              </w:rPr>
              <w:t>号高新区联合总部大厦 </w:t>
            </w:r>
            <w:r>
              <w:rPr>
                <w:rFonts w:ascii="Times New Roman" w:hAnsi="Times New Roman" w:cs="Times New Roman" w:eastAsia="Times New Roman" w:hint="default"/>
                <w:sz w:val="18"/>
                <w:szCs w:val="18"/>
              </w:rPr>
              <w:t>10  </w:t>
            </w:r>
            <w:r>
              <w:rPr>
                <w:rFonts w:ascii="Times New Roman" w:hAnsi="Times New Roman" w:cs="Times New Roman" w:eastAsia="Times New Roman" w:hint="default"/>
                <w:spacing w:val="27"/>
                <w:sz w:val="18"/>
                <w:szCs w:val="18"/>
              </w:rPr>
              <w:t> </w:t>
            </w:r>
            <w:r>
              <w:rPr>
                <w:rFonts w:ascii="宋体" w:hAnsi="宋体" w:cs="宋体" w:eastAsia="宋体" w:hint="default"/>
                <w:sz w:val="18"/>
                <w:szCs w:val="18"/>
              </w:rPr>
              <w:t>楼</w:t>
            </w:r>
          </w:p>
        </w:tc>
      </w:tr>
      <w:tr>
        <w:trPr>
          <w:trHeight w:val="403" w:hRule="exact"/>
        </w:trPr>
        <w:tc>
          <w:tcPr>
            <w:tcW w:w="22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办公地址的邮政编码</w:t>
            </w:r>
          </w:p>
        </w:tc>
        <w:tc>
          <w:tcPr>
            <w:tcW w:w="728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5" w:right="0"/>
              <w:jc w:val="left"/>
              <w:rPr>
                <w:rFonts w:ascii="Times New Roman" w:hAnsi="Times New Roman" w:cs="Times New Roman" w:eastAsia="Times New Roman" w:hint="default"/>
                <w:sz w:val="18"/>
                <w:szCs w:val="18"/>
              </w:rPr>
            </w:pPr>
            <w:r>
              <w:rPr>
                <w:rFonts w:ascii="Times New Roman"/>
                <w:sz w:val="18"/>
              </w:rPr>
              <w:t>518052</w:t>
            </w:r>
          </w:p>
        </w:tc>
      </w:tr>
      <w:tr>
        <w:trPr>
          <w:trHeight w:val="403" w:hRule="exact"/>
        </w:trPr>
        <w:tc>
          <w:tcPr>
            <w:tcW w:w="22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公司网址</w:t>
            </w:r>
          </w:p>
        </w:tc>
        <w:tc>
          <w:tcPr>
            <w:tcW w:w="728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5" w:right="0"/>
              <w:jc w:val="left"/>
              <w:rPr>
                <w:rFonts w:ascii="Times New Roman" w:hAnsi="Times New Roman" w:cs="Times New Roman" w:eastAsia="Times New Roman" w:hint="default"/>
                <w:sz w:val="18"/>
                <w:szCs w:val="18"/>
              </w:rPr>
            </w:pPr>
            <w:hyperlink r:id="rId9">
              <w:r>
                <w:rPr>
                  <w:rFonts w:ascii="Times New Roman"/>
                  <w:spacing w:val="-3"/>
                  <w:sz w:val="18"/>
                </w:rPr>
                <w:t>http://www.aoto.com</w:t>
              </w:r>
            </w:hyperlink>
          </w:p>
        </w:tc>
      </w:tr>
      <w:tr>
        <w:trPr>
          <w:trHeight w:val="398" w:hRule="exact"/>
        </w:trPr>
        <w:tc>
          <w:tcPr>
            <w:tcW w:w="22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728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5" w:right="0"/>
              <w:jc w:val="left"/>
              <w:rPr>
                <w:rFonts w:ascii="Times New Roman" w:hAnsi="Times New Roman" w:cs="Times New Roman" w:eastAsia="Times New Roman" w:hint="default"/>
                <w:sz w:val="18"/>
                <w:szCs w:val="18"/>
              </w:rPr>
            </w:pPr>
            <w:hyperlink r:id="rId10">
              <w:r>
                <w:rPr>
                  <w:rFonts w:ascii="Times New Roman"/>
                  <w:sz w:val="18"/>
                </w:rPr>
                <w:t>szaoto@aoto.com</w:t>
              </w:r>
            </w:hyperlink>
          </w:p>
        </w:tc>
      </w:tr>
    </w:tbl>
    <w:p>
      <w:pPr>
        <w:spacing w:line="240" w:lineRule="auto" w:before="9"/>
        <w:rPr>
          <w:rFonts w:ascii="宋体" w:hAnsi="宋体" w:cs="宋体" w:eastAsia="宋体" w:hint="default"/>
          <w:b/>
          <w:bCs/>
          <w:sz w:val="17"/>
          <w:szCs w:val="17"/>
        </w:rPr>
      </w:pPr>
    </w:p>
    <w:p>
      <w:pPr>
        <w:pStyle w:val="Heading2"/>
        <w:spacing w:line="240" w:lineRule="auto" w:before="26"/>
        <w:ind w:right="0"/>
        <w:jc w:val="left"/>
        <w:rPr>
          <w:b w:val="0"/>
          <w:bCs w:val="0"/>
        </w:rPr>
      </w:pPr>
      <w:bookmarkStart w:name="二、联系人和联系方式" w:id="6"/>
      <w:bookmarkEnd w:id="6"/>
      <w:r>
        <w:rPr>
          <w:b w:val="0"/>
          <w:bCs w:val="0"/>
        </w:rPr>
      </w:r>
      <w:r>
        <w:rPr/>
        <w:t>二、联系人和联系方式</w:t>
      </w:r>
      <w:r>
        <w:rPr>
          <w:b w:val="0"/>
          <w:bCs w:val="0"/>
        </w:rPr>
      </w:r>
    </w:p>
    <w:p>
      <w:pPr>
        <w:spacing w:line="240" w:lineRule="auto" w:before="5"/>
        <w:rPr>
          <w:rFonts w:ascii="宋体" w:hAnsi="宋体" w:cs="宋体" w:eastAsia="宋体" w:hint="default"/>
          <w:b/>
          <w:bCs/>
          <w:sz w:val="26"/>
          <w:szCs w:val="26"/>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398"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董事会秘书</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1" w:right="0"/>
              <w:jc w:val="left"/>
              <w:rPr>
                <w:rFonts w:ascii="宋体" w:hAnsi="宋体" w:cs="宋体" w:eastAsia="宋体" w:hint="default"/>
                <w:sz w:val="18"/>
                <w:szCs w:val="18"/>
              </w:rPr>
            </w:pPr>
            <w:r>
              <w:rPr>
                <w:rFonts w:ascii="宋体" w:hAnsi="宋体" w:cs="宋体" w:eastAsia="宋体" w:hint="default"/>
                <w:sz w:val="18"/>
                <w:szCs w:val="18"/>
              </w:rPr>
              <w:t>证券事务代表</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6" w:right="0"/>
              <w:jc w:val="left"/>
              <w:rPr>
                <w:rFonts w:ascii="宋体" w:hAnsi="宋体" w:cs="宋体" w:eastAsia="宋体" w:hint="default"/>
                <w:sz w:val="18"/>
                <w:szCs w:val="18"/>
              </w:rPr>
            </w:pPr>
            <w:r>
              <w:rPr>
                <w:rFonts w:ascii="宋体" w:hAnsi="宋体" w:cs="宋体" w:eastAsia="宋体" w:hint="default"/>
                <w:sz w:val="18"/>
                <w:szCs w:val="18"/>
              </w:rPr>
              <w:t>孔德建</w:t>
            </w:r>
          </w:p>
        </w:tc>
        <w:tc>
          <w:tcPr>
            <w:tcW w:w="3193"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联系地址</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6" w:right="0"/>
              <w:jc w:val="left"/>
              <w:rPr>
                <w:rFonts w:ascii="宋体" w:hAnsi="宋体" w:cs="宋体" w:eastAsia="宋体" w:hint="default"/>
                <w:sz w:val="18"/>
                <w:szCs w:val="18"/>
              </w:rPr>
            </w:pPr>
            <w:r>
              <w:rPr>
                <w:rFonts w:ascii="宋体" w:hAnsi="宋体" w:cs="宋体" w:eastAsia="宋体" w:hint="default"/>
                <w:sz w:val="18"/>
                <w:szCs w:val="18"/>
              </w:rPr>
              <w:t>深圳市南山区粤海街道学府路</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63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号高</w:t>
            </w:r>
          </w:p>
          <w:p>
            <w:pPr>
              <w:pStyle w:val="TableParagraph"/>
              <w:spacing w:line="240" w:lineRule="auto" w:before="67"/>
              <w:ind w:left="106" w:right="0"/>
              <w:jc w:val="left"/>
              <w:rPr>
                <w:rFonts w:ascii="宋体" w:hAnsi="宋体" w:cs="宋体" w:eastAsia="宋体" w:hint="default"/>
                <w:sz w:val="18"/>
                <w:szCs w:val="18"/>
              </w:rPr>
            </w:pPr>
            <w:r>
              <w:rPr>
                <w:rFonts w:ascii="宋体" w:hAnsi="宋体" w:cs="宋体" w:eastAsia="宋体" w:hint="default"/>
                <w:sz w:val="18"/>
                <w:szCs w:val="18"/>
              </w:rPr>
              <w:t>新区联合总部大厦</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楼</w:t>
            </w:r>
          </w:p>
        </w:tc>
        <w:tc>
          <w:tcPr>
            <w:tcW w:w="319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电话</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6" w:right="0"/>
              <w:jc w:val="left"/>
              <w:rPr>
                <w:rFonts w:ascii="Times New Roman" w:hAnsi="Times New Roman" w:cs="Times New Roman" w:eastAsia="Times New Roman" w:hint="default"/>
                <w:sz w:val="18"/>
                <w:szCs w:val="18"/>
              </w:rPr>
            </w:pPr>
            <w:r>
              <w:rPr>
                <w:rFonts w:ascii="Times New Roman"/>
                <w:sz w:val="18"/>
              </w:rPr>
              <w:t>0755-26719889</w:t>
            </w:r>
          </w:p>
        </w:tc>
        <w:tc>
          <w:tcPr>
            <w:tcW w:w="3193"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传真</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6" w:right="0"/>
              <w:jc w:val="left"/>
              <w:rPr>
                <w:rFonts w:ascii="Times New Roman" w:hAnsi="Times New Roman" w:cs="Times New Roman" w:eastAsia="Times New Roman" w:hint="default"/>
                <w:sz w:val="18"/>
                <w:szCs w:val="18"/>
              </w:rPr>
            </w:pPr>
            <w:r>
              <w:rPr>
                <w:rFonts w:ascii="Times New Roman"/>
                <w:sz w:val="18"/>
              </w:rPr>
              <w:t>0755-26719890</w:t>
            </w:r>
          </w:p>
        </w:tc>
        <w:tc>
          <w:tcPr>
            <w:tcW w:w="319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6" w:right="0"/>
              <w:jc w:val="left"/>
              <w:rPr>
                <w:rFonts w:ascii="Times New Roman" w:hAnsi="Times New Roman" w:cs="Times New Roman" w:eastAsia="Times New Roman" w:hint="default"/>
                <w:sz w:val="18"/>
                <w:szCs w:val="18"/>
              </w:rPr>
            </w:pPr>
            <w:hyperlink r:id="rId11">
              <w:r>
                <w:rPr>
                  <w:rFonts w:ascii="Times New Roman"/>
                  <w:sz w:val="18"/>
                </w:rPr>
                <w:t>kongdj@aoto.com</w:t>
              </w:r>
            </w:hyperlink>
          </w:p>
        </w:tc>
        <w:tc>
          <w:tcPr>
            <w:tcW w:w="3193"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9"/>
        <w:rPr>
          <w:rFonts w:ascii="宋体" w:hAnsi="宋体" w:cs="宋体" w:eastAsia="宋体" w:hint="default"/>
          <w:b/>
          <w:bCs/>
          <w:sz w:val="17"/>
          <w:szCs w:val="17"/>
        </w:rPr>
      </w:pPr>
    </w:p>
    <w:p>
      <w:pPr>
        <w:pStyle w:val="Heading2"/>
        <w:spacing w:line="240" w:lineRule="auto" w:before="26"/>
        <w:ind w:right="0"/>
        <w:jc w:val="left"/>
        <w:rPr>
          <w:b w:val="0"/>
          <w:bCs w:val="0"/>
        </w:rPr>
      </w:pPr>
      <w:bookmarkStart w:name="三、信息披露及备置地点" w:id="7"/>
      <w:bookmarkEnd w:id="7"/>
      <w:r>
        <w:rPr>
          <w:b w:val="0"/>
          <w:bCs w:val="0"/>
        </w:rPr>
      </w:r>
      <w:r>
        <w:rPr/>
        <w:t>三、信息披露及备置地点</w:t>
      </w:r>
      <w:r>
        <w:rPr>
          <w:b w:val="0"/>
          <w:bCs w:val="0"/>
        </w:rPr>
      </w:r>
    </w:p>
    <w:p>
      <w:pPr>
        <w:spacing w:line="240" w:lineRule="auto" w:before="5"/>
        <w:rPr>
          <w:rFonts w:ascii="宋体" w:hAnsi="宋体" w:cs="宋体" w:eastAsia="宋体" w:hint="default"/>
          <w:b/>
          <w:bCs/>
          <w:sz w:val="26"/>
          <w:szCs w:val="26"/>
        </w:rPr>
      </w:pPr>
    </w:p>
    <w:tbl>
      <w:tblPr>
        <w:tblW w:w="0" w:type="auto"/>
        <w:jc w:val="left"/>
        <w:tblInd w:w="148" w:type="dxa"/>
        <w:tblLayout w:type="fixed"/>
        <w:tblCellMar>
          <w:top w:w="0" w:type="dxa"/>
          <w:left w:w="0" w:type="dxa"/>
          <w:bottom w:w="0" w:type="dxa"/>
          <w:right w:w="0" w:type="dxa"/>
        </w:tblCellMar>
        <w:tblLook w:val="01E0"/>
      </w:tblPr>
      <w:tblGrid>
        <w:gridCol w:w="3995"/>
        <w:gridCol w:w="5575"/>
      </w:tblGrid>
      <w:tr>
        <w:trPr>
          <w:trHeight w:val="398" w:hRule="exact"/>
        </w:trPr>
        <w:tc>
          <w:tcPr>
            <w:tcW w:w="39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公司选定的信息披露媒体的名称</w:t>
            </w:r>
          </w:p>
        </w:tc>
        <w:tc>
          <w:tcPr>
            <w:tcW w:w="55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404" w:hRule="exact"/>
        </w:trPr>
        <w:tc>
          <w:tcPr>
            <w:tcW w:w="39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登载年度报告的中国证监会指定网站的网址</w:t>
            </w:r>
          </w:p>
        </w:tc>
        <w:tc>
          <w:tcPr>
            <w:tcW w:w="55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0" w:right="0"/>
              <w:jc w:val="left"/>
              <w:rPr>
                <w:rFonts w:ascii="Times New Roman" w:hAnsi="Times New Roman" w:cs="Times New Roman" w:eastAsia="Times New Roman" w:hint="default"/>
                <w:sz w:val="18"/>
                <w:szCs w:val="18"/>
              </w:rPr>
            </w:pPr>
            <w:hyperlink r:id="rId12">
              <w:r>
                <w:rPr>
                  <w:rFonts w:ascii="Times New Roman"/>
                  <w:spacing w:val="-3"/>
                  <w:sz w:val="18"/>
                </w:rPr>
                <w:t>http://www.cninfo.com.cn</w:t>
              </w:r>
            </w:hyperlink>
          </w:p>
        </w:tc>
      </w:tr>
      <w:tr>
        <w:trPr>
          <w:trHeight w:val="403" w:hRule="exact"/>
        </w:trPr>
        <w:tc>
          <w:tcPr>
            <w:tcW w:w="39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公司年度报告备置地点</w:t>
            </w:r>
          </w:p>
        </w:tc>
        <w:tc>
          <w:tcPr>
            <w:tcW w:w="55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pacing w:val="-3"/>
                <w:sz w:val="18"/>
                <w:szCs w:val="18"/>
              </w:rPr>
              <w:t>公司董事会办公室、深圳证券交易所</w:t>
            </w:r>
          </w:p>
        </w:tc>
      </w:tr>
    </w:tbl>
    <w:p>
      <w:pPr>
        <w:spacing w:after="0" w:line="240" w:lineRule="auto"/>
        <w:jc w:val="left"/>
        <w:rPr>
          <w:rFonts w:ascii="宋体" w:hAnsi="宋体" w:cs="宋体" w:eastAsia="宋体" w:hint="default"/>
          <w:sz w:val="18"/>
          <w:szCs w:val="18"/>
        </w:rPr>
        <w:sectPr>
          <w:pgSz w:w="11910" w:h="16840"/>
          <w:pgMar w:header="784" w:footer="1022" w:top="1100" w:bottom="1220" w:left="980" w:right="0"/>
        </w:sectPr>
      </w:pPr>
    </w:p>
    <w:p>
      <w:pPr>
        <w:spacing w:line="240" w:lineRule="auto" w:before="6"/>
        <w:rPr>
          <w:rFonts w:ascii="宋体" w:hAnsi="宋体" w:cs="宋体" w:eastAsia="宋体" w:hint="default"/>
          <w:b/>
          <w:bCs/>
          <w:sz w:val="20"/>
          <w:szCs w:val="20"/>
        </w:rPr>
      </w:pPr>
    </w:p>
    <w:p>
      <w:pPr>
        <w:pStyle w:val="Heading2"/>
        <w:spacing w:line="240" w:lineRule="auto" w:before="26"/>
        <w:ind w:right="0"/>
        <w:jc w:val="left"/>
        <w:rPr>
          <w:b w:val="0"/>
          <w:bCs w:val="0"/>
        </w:rPr>
      </w:pPr>
      <w:bookmarkStart w:name="四、注册变更情况" w:id="8"/>
      <w:bookmarkEnd w:id="8"/>
      <w:r>
        <w:rPr>
          <w:b w:val="0"/>
          <w:bCs w:val="0"/>
        </w:rPr>
      </w:r>
      <w:r>
        <w:rPr/>
        <w:t>四、注册变更情况</w:t>
      </w:r>
      <w:r>
        <w:rPr>
          <w:b w:val="0"/>
          <w:bCs w:val="0"/>
        </w:rPr>
      </w:r>
    </w:p>
    <w:p>
      <w:pPr>
        <w:spacing w:line="240" w:lineRule="auto" w:before="0"/>
        <w:rPr>
          <w:rFonts w:ascii="宋体" w:hAnsi="宋体" w:cs="宋体" w:eastAsia="宋体" w:hint="default"/>
          <w:b/>
          <w:bCs/>
          <w:sz w:val="26"/>
          <w:szCs w:val="26"/>
        </w:rPr>
      </w:pPr>
    </w:p>
    <w:tbl>
      <w:tblPr>
        <w:tblW w:w="0" w:type="auto"/>
        <w:jc w:val="left"/>
        <w:tblInd w:w="148" w:type="dxa"/>
        <w:tblLayout w:type="fixed"/>
        <w:tblCellMar>
          <w:top w:w="0" w:type="dxa"/>
          <w:left w:w="0" w:type="dxa"/>
          <w:bottom w:w="0" w:type="dxa"/>
          <w:right w:w="0" w:type="dxa"/>
        </w:tblCellMar>
        <w:tblLook w:val="01E0"/>
      </w:tblPr>
      <w:tblGrid>
        <w:gridCol w:w="3193"/>
        <w:gridCol w:w="6377"/>
      </w:tblGrid>
      <w:tr>
        <w:trPr>
          <w:trHeight w:val="403" w:hRule="exact"/>
        </w:trPr>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组织机构代码</w:t>
            </w:r>
          </w:p>
        </w:tc>
        <w:tc>
          <w:tcPr>
            <w:tcW w:w="63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1" w:right="0"/>
              <w:jc w:val="left"/>
              <w:rPr>
                <w:rFonts w:ascii="Times New Roman" w:hAnsi="Times New Roman" w:cs="Times New Roman" w:eastAsia="Times New Roman" w:hint="default"/>
                <w:sz w:val="18"/>
                <w:szCs w:val="18"/>
              </w:rPr>
            </w:pPr>
            <w:r>
              <w:rPr>
                <w:rFonts w:ascii="Times New Roman"/>
                <w:sz w:val="18"/>
              </w:rPr>
              <w:t>914403001922261931</w:t>
            </w:r>
          </w:p>
        </w:tc>
      </w:tr>
      <w:tr>
        <w:trPr>
          <w:trHeight w:val="1023" w:hRule="exact"/>
        </w:trPr>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105" w:right="99"/>
              <w:jc w:val="left"/>
              <w:rPr>
                <w:rFonts w:ascii="宋体" w:hAnsi="宋体" w:cs="宋体" w:eastAsia="宋体" w:hint="default"/>
                <w:sz w:val="18"/>
                <w:szCs w:val="18"/>
              </w:rPr>
            </w:pPr>
            <w:r>
              <w:rPr>
                <w:rFonts w:ascii="宋体" w:hAnsi="宋体" w:cs="宋体" w:eastAsia="宋体" w:hint="default"/>
                <w:spacing w:val="-8"/>
                <w:w w:val="101"/>
                <w:sz w:val="18"/>
                <w:szCs w:val="18"/>
              </w:rPr>
              <w:t>公司上市以来主营业务的变化情况（如</w:t>
            </w:r>
            <w:r>
              <w:rPr>
                <w:rFonts w:ascii="宋体" w:hAnsi="宋体" w:cs="宋体" w:eastAsia="宋体" w:hint="default"/>
                <w:spacing w:val="-83"/>
                <w:w w:val="101"/>
                <w:sz w:val="18"/>
                <w:szCs w:val="18"/>
              </w:rPr>
              <w:t> </w:t>
            </w:r>
            <w:r>
              <w:rPr>
                <w:rFonts w:ascii="宋体" w:hAnsi="宋体" w:cs="宋体" w:eastAsia="宋体" w:hint="default"/>
                <w:spacing w:val="-83"/>
                <w:w w:val="101"/>
                <w:sz w:val="18"/>
                <w:szCs w:val="18"/>
              </w:rPr>
            </w:r>
            <w:r>
              <w:rPr>
                <w:rFonts w:ascii="宋体" w:hAnsi="宋体" w:cs="宋体" w:eastAsia="宋体" w:hint="default"/>
                <w:sz w:val="18"/>
                <w:szCs w:val="18"/>
              </w:rPr>
              <w:t>有）</w:t>
            </w:r>
          </w:p>
        </w:tc>
        <w:tc>
          <w:tcPr>
            <w:tcW w:w="637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4"/>
              <w:ind w:left="101" w:right="8"/>
              <w:jc w:val="left"/>
              <w:rPr>
                <w:rFonts w:ascii="宋体" w:hAnsi="宋体" w:cs="宋体" w:eastAsia="宋体" w:hint="default"/>
                <w:sz w:val="18"/>
                <w:szCs w:val="18"/>
              </w:rPr>
            </w:pPr>
            <w:r>
              <w:rPr>
                <w:rFonts w:ascii="宋体" w:hAnsi="宋体" w:cs="宋体" w:eastAsia="宋体" w:hint="default"/>
                <w:spacing w:val="-3"/>
                <w:sz w:val="18"/>
                <w:szCs w:val="18"/>
              </w:rPr>
              <w:t>增加电子大屏幕显示屏工程设计与安装；照明工程设计与安装；节能投资与节</w:t>
            </w:r>
            <w:r>
              <w:rPr>
                <w:rFonts w:ascii="宋体" w:hAnsi="宋体" w:cs="宋体" w:eastAsia="宋体" w:hint="default"/>
                <w:spacing w:val="8"/>
                <w:sz w:val="18"/>
                <w:szCs w:val="18"/>
              </w:rPr>
              <w:t> </w:t>
            </w:r>
            <w:r>
              <w:rPr>
                <w:rFonts w:ascii="宋体" w:hAnsi="宋体" w:cs="宋体" w:eastAsia="宋体" w:hint="default"/>
                <w:spacing w:val="8"/>
                <w:sz w:val="18"/>
                <w:szCs w:val="18"/>
              </w:rPr>
            </w:r>
            <w:r>
              <w:rPr>
                <w:rFonts w:ascii="宋体" w:hAnsi="宋体" w:cs="宋体" w:eastAsia="宋体" w:hint="default"/>
                <w:spacing w:val="-4"/>
                <w:sz w:val="18"/>
                <w:szCs w:val="18"/>
              </w:rPr>
              <w:t>能改造；广告业务；智能网点系统、网络平台系统集成；人工智能产品的研发、</w:t>
            </w:r>
            <w:r>
              <w:rPr>
                <w:rFonts w:ascii="宋体" w:hAnsi="宋体" w:cs="宋体" w:eastAsia="宋体" w:hint="default"/>
                <w:spacing w:val="-2"/>
                <w:sz w:val="18"/>
                <w:szCs w:val="18"/>
              </w:rPr>
              <w:t> </w:t>
            </w:r>
            <w:r>
              <w:rPr>
                <w:rFonts w:ascii="宋体" w:hAnsi="宋体" w:cs="宋体" w:eastAsia="宋体" w:hint="default"/>
                <w:spacing w:val="-2"/>
                <w:sz w:val="18"/>
                <w:szCs w:val="18"/>
              </w:rPr>
            </w:r>
            <w:r>
              <w:rPr>
                <w:rFonts w:ascii="宋体" w:hAnsi="宋体" w:cs="宋体" w:eastAsia="宋体" w:hint="default"/>
                <w:spacing w:val="-3"/>
                <w:sz w:val="18"/>
                <w:szCs w:val="18"/>
              </w:rPr>
              <w:t>集成、技术服务及销售。</w:t>
            </w:r>
          </w:p>
        </w:tc>
      </w:tr>
      <w:tr>
        <w:trPr>
          <w:trHeight w:val="403" w:hRule="exact"/>
        </w:trPr>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历次控股股东的变更情况（如有）</w:t>
            </w:r>
          </w:p>
        </w:tc>
        <w:tc>
          <w:tcPr>
            <w:tcW w:w="63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1" w:right="0"/>
              <w:jc w:val="left"/>
              <w:rPr>
                <w:rFonts w:ascii="宋体" w:hAnsi="宋体" w:cs="宋体" w:eastAsia="宋体" w:hint="default"/>
                <w:sz w:val="18"/>
                <w:szCs w:val="18"/>
              </w:rPr>
            </w:pPr>
            <w:r>
              <w:rPr>
                <w:rFonts w:ascii="宋体" w:hAnsi="宋体" w:cs="宋体" w:eastAsia="宋体" w:hint="default"/>
                <w:sz w:val="18"/>
                <w:szCs w:val="18"/>
              </w:rPr>
              <w:t>无变更。</w:t>
            </w:r>
          </w:p>
        </w:tc>
      </w:tr>
    </w:tbl>
    <w:p>
      <w:pPr>
        <w:spacing w:line="240" w:lineRule="auto" w:before="9"/>
        <w:rPr>
          <w:rFonts w:ascii="宋体" w:hAnsi="宋体" w:cs="宋体" w:eastAsia="宋体" w:hint="default"/>
          <w:b/>
          <w:bCs/>
          <w:sz w:val="17"/>
          <w:szCs w:val="17"/>
        </w:rPr>
      </w:pPr>
    </w:p>
    <w:p>
      <w:pPr>
        <w:pStyle w:val="Heading2"/>
        <w:spacing w:line="240" w:lineRule="auto" w:before="26"/>
        <w:ind w:right="0"/>
        <w:jc w:val="left"/>
        <w:rPr>
          <w:b w:val="0"/>
          <w:bCs w:val="0"/>
        </w:rPr>
      </w:pPr>
      <w:bookmarkStart w:name="五、其他有关资料" w:id="9"/>
      <w:bookmarkEnd w:id="9"/>
      <w:r>
        <w:rPr>
          <w:b w:val="0"/>
          <w:bCs w:val="0"/>
        </w:rPr>
      </w:r>
      <w:r>
        <w:rPr/>
        <w:t>五、其他有关资料</w:t>
      </w:r>
      <w:r>
        <w:rPr>
          <w:b w:val="0"/>
          <w:bCs w:val="0"/>
        </w:rPr>
      </w:r>
    </w:p>
    <w:p>
      <w:pPr>
        <w:spacing w:line="240" w:lineRule="auto" w:before="3"/>
        <w:rPr>
          <w:rFonts w:ascii="宋体" w:hAnsi="宋体" w:cs="宋体" w:eastAsia="宋体" w:hint="default"/>
          <w:b/>
          <w:bCs/>
          <w:sz w:val="27"/>
          <w:szCs w:val="27"/>
        </w:rPr>
      </w:pPr>
    </w:p>
    <w:p>
      <w:pPr>
        <w:pStyle w:val="BodyText"/>
        <w:spacing w:line="240" w:lineRule="auto" w:before="0"/>
        <w:ind w:right="0"/>
        <w:jc w:val="left"/>
      </w:pPr>
      <w:r>
        <w:rPr>
          <w:spacing w:val="-3"/>
        </w:rPr>
        <w:t>公司聘请的会计师事务所</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665"/>
        <w:gridCol w:w="6905"/>
      </w:tblGrid>
      <w:tr>
        <w:trPr>
          <w:trHeight w:val="398" w:hRule="exact"/>
        </w:trPr>
        <w:tc>
          <w:tcPr>
            <w:tcW w:w="26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会计师事务所名称</w:t>
            </w:r>
          </w:p>
        </w:tc>
        <w:tc>
          <w:tcPr>
            <w:tcW w:w="6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pacing w:val="-3"/>
                <w:sz w:val="18"/>
                <w:szCs w:val="18"/>
              </w:rPr>
              <w:t>中喜会计师事务所（特殊普通合伙）</w:t>
            </w:r>
          </w:p>
        </w:tc>
      </w:tr>
      <w:tr>
        <w:trPr>
          <w:trHeight w:val="404" w:hRule="exact"/>
        </w:trPr>
        <w:tc>
          <w:tcPr>
            <w:tcW w:w="26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z w:val="18"/>
                <w:szCs w:val="18"/>
              </w:rPr>
              <w:t>会计师事务所办公地址</w:t>
            </w:r>
          </w:p>
        </w:tc>
        <w:tc>
          <w:tcPr>
            <w:tcW w:w="6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0" w:right="0"/>
              <w:jc w:val="left"/>
              <w:rPr>
                <w:rFonts w:ascii="宋体" w:hAnsi="宋体" w:cs="宋体" w:eastAsia="宋体" w:hint="default"/>
                <w:sz w:val="18"/>
                <w:szCs w:val="18"/>
              </w:rPr>
            </w:pPr>
            <w:r>
              <w:rPr>
                <w:rFonts w:ascii="宋体" w:hAnsi="宋体" w:cs="宋体" w:eastAsia="宋体" w:hint="default"/>
                <w:spacing w:val="-3"/>
                <w:sz w:val="18"/>
                <w:szCs w:val="18"/>
              </w:rPr>
              <w:t>北京市东城区崇文门外大街 </w:t>
            </w:r>
            <w:r>
              <w:rPr>
                <w:rFonts w:ascii="Times New Roman" w:hAnsi="Times New Roman" w:cs="Times New Roman" w:eastAsia="Times New Roman" w:hint="default"/>
                <w:spacing w:val="-3"/>
                <w:sz w:val="18"/>
                <w:szCs w:val="18"/>
              </w:rPr>
              <w:t>11  </w:t>
            </w:r>
            <w:r>
              <w:rPr>
                <w:rFonts w:ascii="宋体" w:hAnsi="宋体" w:cs="宋体" w:eastAsia="宋体" w:hint="default"/>
                <w:sz w:val="18"/>
                <w:szCs w:val="18"/>
              </w:rPr>
              <w:t>号 </w:t>
            </w:r>
            <w:r>
              <w:rPr>
                <w:rFonts w:ascii="Times New Roman" w:hAnsi="Times New Roman" w:cs="Times New Roman" w:eastAsia="Times New Roman" w:hint="default"/>
                <w:spacing w:val="-3"/>
                <w:sz w:val="18"/>
                <w:szCs w:val="18"/>
              </w:rPr>
              <w:t>11  </w:t>
            </w:r>
            <w:r>
              <w:rPr>
                <w:rFonts w:ascii="宋体" w:hAnsi="宋体" w:cs="宋体" w:eastAsia="宋体" w:hint="default"/>
                <w:sz w:val="18"/>
                <w:szCs w:val="18"/>
              </w:rPr>
              <w:t>层 </w:t>
            </w:r>
            <w:r>
              <w:rPr>
                <w:rFonts w:ascii="Times New Roman" w:hAnsi="Times New Roman" w:cs="Times New Roman" w:eastAsia="Times New Roman" w:hint="default"/>
                <w:spacing w:val="-3"/>
                <w:sz w:val="18"/>
                <w:szCs w:val="18"/>
              </w:rPr>
              <w:t>1101  </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室</w:t>
            </w:r>
          </w:p>
        </w:tc>
      </w:tr>
      <w:tr>
        <w:trPr>
          <w:trHeight w:val="403" w:hRule="exact"/>
        </w:trPr>
        <w:tc>
          <w:tcPr>
            <w:tcW w:w="26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签字会计师姓名</w:t>
            </w:r>
          </w:p>
        </w:tc>
        <w:tc>
          <w:tcPr>
            <w:tcW w:w="6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z w:val="18"/>
                <w:szCs w:val="18"/>
              </w:rPr>
              <w:t>谢翠、张丽</w:t>
            </w:r>
          </w:p>
        </w:tc>
      </w:tr>
    </w:tbl>
    <w:p>
      <w:pPr>
        <w:pStyle w:val="BodyText"/>
        <w:spacing w:line="240" w:lineRule="auto" w:before="53"/>
        <w:ind w:right="0"/>
        <w:jc w:val="left"/>
      </w:pPr>
      <w:r>
        <w:rPr>
          <w:spacing w:val="-3"/>
        </w:rPr>
        <w:t>公司聘请的报告期内履行持续督导职责的保荐机构</w:t>
      </w:r>
    </w:p>
    <w:p>
      <w:pPr>
        <w:pStyle w:val="BodyText"/>
        <w:spacing w:line="357" w:lineRule="auto" w:before="119"/>
        <w:ind w:right="6445"/>
        <w:jc w:val="left"/>
      </w:pPr>
      <w:r>
        <w:rPr/>
        <w:t>□ </w:t>
      </w:r>
      <w:r>
        <w:rPr>
          <w:spacing w:val="-3"/>
        </w:rPr>
        <w:t>适用 </w:t>
      </w:r>
      <w:r>
        <w:rPr/>
        <w:t>√ 不适用</w:t>
      </w:r>
      <w:r>
        <w:rPr>
          <w:spacing w:val="-77"/>
        </w:rPr>
        <w:t> </w:t>
      </w:r>
      <w:r>
        <w:rPr>
          <w:spacing w:val="-77"/>
        </w:rPr>
      </w:r>
      <w:r>
        <w:rPr>
          <w:spacing w:val="-3"/>
        </w:rPr>
        <w:t>公司聘请的报告期内履行持续督导职责的财务顾问</w:t>
      </w:r>
    </w:p>
    <w:p>
      <w:pPr>
        <w:pStyle w:val="BodyText"/>
        <w:spacing w:line="240" w:lineRule="auto" w:before="27"/>
        <w:ind w:right="0"/>
        <w:jc w:val="left"/>
      </w:pPr>
      <w:r>
        <w:rPr/>
        <w:t>□ </w:t>
      </w:r>
      <w:r>
        <w:rPr>
          <w:spacing w:val="-3"/>
        </w:rPr>
        <w:t>适用 </w:t>
      </w:r>
      <w:r>
        <w:rPr/>
        <w:t>√</w:t>
      </w:r>
      <w:r>
        <w:rPr>
          <w:spacing w:val="13"/>
        </w:rPr>
        <w:t> </w:t>
      </w:r>
      <w:r>
        <w:rPr/>
        <w:t>不适用</w:t>
      </w:r>
    </w:p>
    <w:p>
      <w:pPr>
        <w:spacing w:line="240" w:lineRule="auto" w:before="4"/>
        <w:rPr>
          <w:rFonts w:ascii="宋体" w:hAnsi="宋体" w:cs="宋体" w:eastAsia="宋体" w:hint="default"/>
          <w:sz w:val="24"/>
          <w:szCs w:val="24"/>
        </w:rPr>
      </w:pPr>
    </w:p>
    <w:p>
      <w:pPr>
        <w:pStyle w:val="Heading2"/>
        <w:spacing w:line="240" w:lineRule="auto"/>
        <w:ind w:right="0"/>
        <w:jc w:val="left"/>
        <w:rPr>
          <w:b w:val="0"/>
          <w:bCs w:val="0"/>
        </w:rPr>
      </w:pPr>
      <w:bookmarkStart w:name="六、主要会计数据和财务指标" w:id="10"/>
      <w:bookmarkEnd w:id="10"/>
      <w:r>
        <w:rPr>
          <w:b w:val="0"/>
          <w:bCs w:val="0"/>
        </w:rPr>
      </w:r>
      <w:r>
        <w:rPr/>
        <w:t>六、主要会计数据和财务指标</w:t>
      </w:r>
      <w:r>
        <w:rPr>
          <w:b w:val="0"/>
          <w:bCs w:val="0"/>
        </w:rPr>
      </w:r>
    </w:p>
    <w:p>
      <w:pPr>
        <w:spacing w:line="240" w:lineRule="auto" w:before="7"/>
        <w:rPr>
          <w:rFonts w:ascii="宋体" w:hAnsi="宋体" w:cs="宋体" w:eastAsia="宋体" w:hint="default"/>
          <w:b/>
          <w:bCs/>
          <w:sz w:val="27"/>
          <w:szCs w:val="27"/>
        </w:rPr>
      </w:pPr>
    </w:p>
    <w:p>
      <w:pPr>
        <w:pStyle w:val="BodyText"/>
        <w:spacing w:line="240" w:lineRule="auto" w:before="0"/>
        <w:ind w:right="0"/>
        <w:jc w:val="left"/>
      </w:pPr>
      <w:r>
        <w:rPr>
          <w:spacing w:val="-3"/>
        </w:rPr>
        <w:t>公司是否需追溯调整或重述以前年度会计数据</w:t>
      </w:r>
    </w:p>
    <w:p>
      <w:pPr>
        <w:pStyle w:val="BodyText"/>
        <w:spacing w:line="240" w:lineRule="auto" w:before="115"/>
        <w:ind w:right="0"/>
        <w:jc w:val="left"/>
      </w:pPr>
      <w:r>
        <w:rPr/>
        <w:t>□ 是 √</w:t>
      </w:r>
      <w:r>
        <w:rPr>
          <w:spacing w:val="2"/>
        </w:rPr>
        <w:t> </w:t>
      </w:r>
      <w:r>
        <w:rPr/>
        <w:t>否</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622"/>
        <w:gridCol w:w="1738"/>
        <w:gridCol w:w="1738"/>
        <w:gridCol w:w="1738"/>
        <w:gridCol w:w="1738"/>
      </w:tblGrid>
      <w:tr>
        <w:trPr>
          <w:trHeight w:val="403" w:hRule="exact"/>
        </w:trPr>
        <w:tc>
          <w:tcPr>
            <w:tcW w:w="262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35" w:right="0"/>
              <w:jc w:val="left"/>
              <w:rPr>
                <w:rFonts w:ascii="宋体" w:hAnsi="宋体" w:cs="宋体" w:eastAsia="宋体" w:hint="default"/>
                <w:sz w:val="18"/>
                <w:szCs w:val="18"/>
              </w:rPr>
            </w:pPr>
            <w:r>
              <w:rPr>
                <w:rFonts w:ascii="宋体" w:hAnsi="宋体" w:cs="宋体" w:eastAsia="宋体" w:hint="default"/>
                <w:spacing w:val="-3"/>
                <w:sz w:val="18"/>
                <w:szCs w:val="18"/>
              </w:rPr>
              <w:t>本年比上年增减</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r>
      <w:tr>
        <w:trPr>
          <w:trHeight w:val="403" w:hRule="exact"/>
        </w:trPr>
        <w:tc>
          <w:tcPr>
            <w:tcW w:w="2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营业收入（元）</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1,245,130,420.49</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1,573,372,443.96</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-20.86%</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1,041,124,027.40</w:t>
            </w:r>
          </w:p>
        </w:tc>
      </w:tr>
      <w:tr>
        <w:trPr>
          <w:trHeight w:val="715" w:hRule="exact"/>
        </w:trPr>
        <w:tc>
          <w:tcPr>
            <w:tcW w:w="2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归属于上市公司股东的净利润</w:t>
            </w:r>
          </w:p>
          <w:p>
            <w:pPr>
              <w:pStyle w:val="TableParagraph"/>
              <w:spacing w:line="240" w:lineRule="auto" w:before="76"/>
              <w:ind w:left="105"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182,226,754.27</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179,662,312.16</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1"/>
                <w:sz w:val="18"/>
              </w:rPr>
              <w:t>1.43%</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2"/>
                <w:sz w:val="18"/>
              </w:rPr>
              <w:t>132,014,114.22</w:t>
            </w:r>
          </w:p>
        </w:tc>
      </w:tr>
      <w:tr>
        <w:trPr>
          <w:trHeight w:val="711" w:hRule="exact"/>
        </w:trPr>
        <w:tc>
          <w:tcPr>
            <w:tcW w:w="2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4"/>
              <w:ind w:left="105" w:right="161"/>
              <w:jc w:val="left"/>
              <w:rPr>
                <w:rFonts w:ascii="宋体" w:hAnsi="宋体" w:cs="宋体" w:eastAsia="宋体" w:hint="default"/>
                <w:sz w:val="18"/>
                <w:szCs w:val="18"/>
              </w:rPr>
            </w:pPr>
            <w:r>
              <w:rPr>
                <w:rFonts w:ascii="宋体" w:hAnsi="宋体" w:cs="宋体" w:eastAsia="宋体" w:hint="default"/>
                <w:spacing w:val="-3"/>
                <w:sz w:val="18"/>
                <w:szCs w:val="18"/>
              </w:rPr>
              <w:t>归属于上市公司股东的扣除非</w:t>
            </w:r>
            <w:r>
              <w:rPr>
                <w:rFonts w:ascii="宋体" w:hAnsi="宋体" w:cs="宋体" w:eastAsia="宋体" w:hint="default"/>
                <w:spacing w:val="-50"/>
                <w:sz w:val="18"/>
                <w:szCs w:val="18"/>
              </w:rPr>
              <w:t> </w:t>
            </w:r>
            <w:r>
              <w:rPr>
                <w:rFonts w:ascii="宋体" w:hAnsi="宋体" w:cs="宋体" w:eastAsia="宋体" w:hint="default"/>
                <w:spacing w:val="-50"/>
                <w:sz w:val="18"/>
                <w:szCs w:val="18"/>
              </w:rPr>
            </w:r>
            <w:r>
              <w:rPr>
                <w:rFonts w:ascii="宋体" w:hAnsi="宋体" w:cs="宋体" w:eastAsia="宋体" w:hint="default"/>
                <w:spacing w:val="-3"/>
                <w:sz w:val="18"/>
                <w:szCs w:val="18"/>
              </w:rPr>
              <w:t>经常性损益的净利润（元）</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167,575,174.58</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168,871,748.21</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2"/>
                <w:sz w:val="18"/>
              </w:rPr>
              <w:t>-0.77%</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2"/>
                <w:sz w:val="18"/>
              </w:rPr>
              <w:t>116,852,786.00</w:t>
            </w:r>
          </w:p>
        </w:tc>
      </w:tr>
      <w:tr>
        <w:trPr>
          <w:trHeight w:val="715" w:hRule="exact"/>
        </w:trPr>
        <w:tc>
          <w:tcPr>
            <w:tcW w:w="2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经营活动产生的现金流量净额</w:t>
            </w:r>
          </w:p>
          <w:p>
            <w:pPr>
              <w:pStyle w:val="TableParagraph"/>
              <w:spacing w:line="240" w:lineRule="auto" w:before="81"/>
              <w:ind w:left="105"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183,856,766.39</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192,916,089.62</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2"/>
                <w:sz w:val="18"/>
              </w:rPr>
              <w:t>-4.70%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9,357,006.37</w:t>
            </w:r>
          </w:p>
        </w:tc>
      </w:tr>
      <w:tr>
        <w:trPr>
          <w:trHeight w:val="404" w:hRule="exact"/>
        </w:trPr>
        <w:tc>
          <w:tcPr>
            <w:tcW w:w="2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基本每股收益（元</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股）</w:t>
            </w:r>
            <w:r>
              <w:rPr>
                <w:rFonts w:ascii="宋体" w:hAnsi="宋体" w:cs="宋体" w:eastAsia="宋体" w:hint="default"/>
                <w:sz w:val="18"/>
                <w:szCs w:val="18"/>
              </w:rPr>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z w:val="18"/>
              </w:rPr>
              <w:t>0.30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z w:val="18"/>
              </w:rPr>
              <w:t>0.29</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3.45%</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z w:val="18"/>
              </w:rPr>
              <w:t>0.22</w:t>
            </w:r>
          </w:p>
        </w:tc>
      </w:tr>
      <w:tr>
        <w:trPr>
          <w:trHeight w:val="403" w:hRule="exact"/>
        </w:trPr>
        <w:tc>
          <w:tcPr>
            <w:tcW w:w="2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稀释每股收益（元</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股）</w:t>
            </w:r>
            <w:r>
              <w:rPr>
                <w:rFonts w:ascii="宋体" w:hAnsi="宋体" w:cs="宋体" w:eastAsia="宋体" w:hint="default"/>
                <w:sz w:val="18"/>
                <w:szCs w:val="18"/>
              </w:rPr>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z w:val="18"/>
              </w:rPr>
              <w:t>0.30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z w:val="18"/>
              </w:rPr>
              <w:t>0.29</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3.45%</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z w:val="18"/>
              </w:rPr>
              <w:t>0.22</w:t>
            </w:r>
          </w:p>
        </w:tc>
      </w:tr>
      <w:tr>
        <w:trPr>
          <w:trHeight w:val="398" w:hRule="exact"/>
        </w:trPr>
        <w:tc>
          <w:tcPr>
            <w:tcW w:w="2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13.88%</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6"/>
              <w:jc w:val="right"/>
              <w:rPr>
                <w:rFonts w:ascii="Times New Roman" w:hAnsi="Times New Roman" w:cs="Times New Roman" w:eastAsia="Times New Roman" w:hint="default"/>
                <w:sz w:val="18"/>
                <w:szCs w:val="18"/>
              </w:rPr>
            </w:pPr>
            <w:r>
              <w:rPr>
                <w:rFonts w:ascii="Times New Roman"/>
                <w:spacing w:val="-1"/>
                <w:sz w:val="18"/>
              </w:rPr>
              <w:t>14.86%</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2"/>
                <w:sz w:val="18"/>
              </w:rPr>
              <w:t>-0.98%</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12.32%</w:t>
            </w:r>
          </w:p>
        </w:tc>
      </w:tr>
      <w:tr>
        <w:trPr>
          <w:trHeight w:val="715" w:hRule="exact"/>
        </w:trPr>
        <w:tc>
          <w:tcPr>
            <w:tcW w:w="262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4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7"/>
                <w:sz w:val="18"/>
                <w:szCs w:val="18"/>
              </w:rPr>
              <w:t> </w:t>
            </w:r>
            <w:r>
              <w:rPr>
                <w:rFonts w:ascii="宋体" w:hAnsi="宋体" w:cs="宋体" w:eastAsia="宋体" w:hint="default"/>
                <w:spacing w:val="-5"/>
                <w:sz w:val="18"/>
                <w:szCs w:val="18"/>
              </w:rPr>
              <w:t>年末</w:t>
            </w:r>
            <w:r>
              <w:rPr>
                <w:rFonts w:ascii="宋体" w:hAnsi="宋体" w:cs="宋体" w:eastAsia="宋体" w:hint="default"/>
                <w:sz w:val="18"/>
                <w:szCs w:val="18"/>
              </w:rPr>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48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7"/>
                <w:sz w:val="18"/>
                <w:szCs w:val="18"/>
              </w:rPr>
              <w:t> </w:t>
            </w:r>
            <w:r>
              <w:rPr>
                <w:rFonts w:ascii="宋体" w:hAnsi="宋体" w:cs="宋体" w:eastAsia="宋体" w:hint="default"/>
                <w:spacing w:val="-5"/>
                <w:sz w:val="18"/>
                <w:szCs w:val="18"/>
              </w:rPr>
              <w:t>年末</w:t>
            </w:r>
            <w:r>
              <w:rPr>
                <w:rFonts w:ascii="宋体" w:hAnsi="宋体" w:cs="宋体" w:eastAsia="宋体" w:hint="default"/>
                <w:sz w:val="18"/>
                <w:szCs w:val="18"/>
              </w:rPr>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777" w:right="137" w:hanging="634"/>
              <w:jc w:val="left"/>
              <w:rPr>
                <w:rFonts w:ascii="宋体" w:hAnsi="宋体" w:cs="宋体" w:eastAsia="宋体" w:hint="default"/>
                <w:sz w:val="18"/>
                <w:szCs w:val="18"/>
              </w:rPr>
            </w:pPr>
            <w:r>
              <w:rPr>
                <w:rFonts w:ascii="宋体" w:hAnsi="宋体" w:cs="宋体" w:eastAsia="宋体" w:hint="default"/>
                <w:spacing w:val="-2"/>
                <w:sz w:val="18"/>
                <w:szCs w:val="18"/>
              </w:rPr>
              <w:t>本年末比上年末增</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减</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48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7"/>
                <w:sz w:val="18"/>
                <w:szCs w:val="18"/>
              </w:rPr>
              <w:t> </w:t>
            </w:r>
            <w:r>
              <w:rPr>
                <w:rFonts w:ascii="宋体" w:hAnsi="宋体" w:cs="宋体" w:eastAsia="宋体" w:hint="default"/>
                <w:spacing w:val="-5"/>
                <w:sz w:val="18"/>
                <w:szCs w:val="18"/>
              </w:rPr>
              <w:t>年末</w:t>
            </w:r>
            <w:r>
              <w:rPr>
                <w:rFonts w:ascii="宋体" w:hAnsi="宋体" w:cs="宋体" w:eastAsia="宋体" w:hint="default"/>
                <w:sz w:val="18"/>
                <w:szCs w:val="18"/>
              </w:rPr>
            </w:r>
          </w:p>
        </w:tc>
      </w:tr>
      <w:tr>
        <w:trPr>
          <w:trHeight w:val="404" w:hRule="exact"/>
        </w:trPr>
        <w:tc>
          <w:tcPr>
            <w:tcW w:w="2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总资产（元）</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2,392,661,653.37</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2,269,113,061.88</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5.44%</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1,793,471,564.87</w:t>
            </w:r>
          </w:p>
        </w:tc>
      </w:tr>
      <w:tr>
        <w:trPr>
          <w:trHeight w:val="715" w:hRule="exact"/>
        </w:trPr>
        <w:tc>
          <w:tcPr>
            <w:tcW w:w="2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归属于上市公司股东的净资产</w:t>
            </w:r>
          </w:p>
          <w:p>
            <w:pPr>
              <w:pStyle w:val="TableParagraph"/>
              <w:spacing w:line="240" w:lineRule="auto" w:before="76"/>
              <w:ind w:left="105"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2"/>
                <w:sz w:val="18"/>
              </w:rPr>
              <w:t>1,364,225,218.78</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2"/>
                <w:sz w:val="18"/>
              </w:rPr>
              <w:t>1,269,739,475.33</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1"/>
                <w:sz w:val="18"/>
              </w:rPr>
              <w:t>7.44%</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2"/>
                <w:sz w:val="18"/>
              </w:rPr>
              <w:t>1,142,252,490.73</w:t>
            </w:r>
          </w:p>
        </w:tc>
      </w:tr>
    </w:tbl>
    <w:p>
      <w:pPr>
        <w:spacing w:after="0" w:line="240" w:lineRule="auto"/>
        <w:jc w:val="right"/>
        <w:rPr>
          <w:rFonts w:ascii="Times New Roman" w:hAnsi="Times New Roman" w:cs="Times New Roman" w:eastAsia="Times New Roman" w:hint="default"/>
          <w:sz w:val="18"/>
          <w:szCs w:val="18"/>
        </w:rPr>
        <w:sectPr>
          <w:pgSz w:w="11910" w:h="16840"/>
          <w:pgMar w:header="784" w:footer="1022" w:top="1100" w:bottom="1220" w:left="980" w:right="0"/>
        </w:sectPr>
      </w:pPr>
    </w:p>
    <w:p>
      <w:pPr>
        <w:spacing w:line="240" w:lineRule="auto" w:before="6"/>
        <w:rPr>
          <w:rFonts w:ascii="宋体" w:hAnsi="宋体" w:cs="宋体" w:eastAsia="宋体" w:hint="default"/>
          <w:sz w:val="20"/>
          <w:szCs w:val="20"/>
        </w:rPr>
      </w:pPr>
    </w:p>
    <w:p>
      <w:pPr>
        <w:pStyle w:val="Heading2"/>
        <w:spacing w:line="240" w:lineRule="auto" w:before="26"/>
        <w:ind w:right="0"/>
        <w:jc w:val="left"/>
        <w:rPr>
          <w:b w:val="0"/>
          <w:bCs w:val="0"/>
        </w:rPr>
      </w:pPr>
      <w:bookmarkStart w:name="七、境内外会计准则下会计数据差异" w:id="11"/>
      <w:bookmarkEnd w:id="11"/>
      <w:r>
        <w:rPr>
          <w:b w:val="0"/>
          <w:bCs w:val="0"/>
        </w:rPr>
      </w:r>
      <w:r>
        <w:rPr/>
        <w:t>七、境内外会计准则下会计数据差异</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0"/>
        <w:jc w:val="left"/>
        <w:rPr>
          <w:b w:val="0"/>
          <w:bCs w:val="0"/>
        </w:rPr>
      </w:pPr>
      <w:bookmarkStart w:name="1、同时按照国际会计准则与按照中国会计准则披露的财务报告中净利润和净资产差异情况" w:id="12"/>
      <w:bookmarkEnd w:id="12"/>
      <w:r>
        <w:rPr>
          <w:b w:val="0"/>
          <w:bCs w:val="0"/>
        </w:rPr>
      </w:r>
      <w:r>
        <w:rPr>
          <w:rFonts w:ascii="Times New Roman" w:hAnsi="Times New Roman" w:cs="Times New Roman" w:eastAsia="Times New Roman" w:hint="default"/>
        </w:rPr>
        <w:t>1</w:t>
      </w:r>
      <w:r>
        <w:rPr/>
        <w:t>、同时按照国际会计准则与按照中国会计准则披露的财务报告中净利润和净资产差异情况</w:t>
      </w:r>
      <w:r>
        <w:rPr>
          <w:b w:val="0"/>
          <w:bCs w:val="0"/>
        </w:rPr>
      </w:r>
    </w:p>
    <w:p>
      <w:pPr>
        <w:spacing w:line="240" w:lineRule="auto" w:before="1"/>
        <w:rPr>
          <w:rFonts w:ascii="宋体" w:hAnsi="宋体" w:cs="宋体" w:eastAsia="宋体" w:hint="default"/>
          <w:b/>
          <w:bCs/>
          <w:sz w:val="27"/>
          <w:szCs w:val="27"/>
        </w:rPr>
      </w:pPr>
    </w:p>
    <w:p>
      <w:pPr>
        <w:pStyle w:val="BodyText"/>
        <w:spacing w:line="357" w:lineRule="auto" w:before="0"/>
        <w:ind w:right="1317"/>
        <w:jc w:val="left"/>
      </w:pPr>
      <w:r>
        <w:rPr/>
        <w:t>□ </w:t>
      </w:r>
      <w:r>
        <w:rPr>
          <w:spacing w:val="-3"/>
        </w:rPr>
        <w:t>适用 </w:t>
      </w:r>
      <w:r>
        <w:rPr/>
        <w:t>√ 不适用</w:t>
      </w:r>
      <w:r>
        <w:rPr>
          <w:spacing w:val="-77"/>
        </w:rPr>
        <w:t> </w:t>
      </w:r>
      <w:r>
        <w:rPr>
          <w:spacing w:val="-77"/>
        </w:rPr>
      </w:r>
      <w:r>
        <w:rPr>
          <w:spacing w:val="-3"/>
        </w:rPr>
        <w:t>公司报告期不存在按照国际会计准则与按照中国会计准则披露的财务报告中净利润和净资产差异情况。</w:t>
      </w:r>
    </w:p>
    <w:p>
      <w:pPr>
        <w:spacing w:line="240" w:lineRule="auto" w:before="7"/>
        <w:rPr>
          <w:rFonts w:ascii="宋体" w:hAnsi="宋体" w:cs="宋体" w:eastAsia="宋体" w:hint="default"/>
          <w:sz w:val="19"/>
          <w:szCs w:val="19"/>
        </w:rPr>
      </w:pPr>
    </w:p>
    <w:p>
      <w:pPr>
        <w:pStyle w:val="Heading4"/>
        <w:spacing w:line="240" w:lineRule="auto"/>
        <w:ind w:right="0"/>
        <w:jc w:val="left"/>
        <w:rPr>
          <w:b w:val="0"/>
          <w:bCs w:val="0"/>
        </w:rPr>
      </w:pPr>
      <w:bookmarkStart w:name="2、同时按照境外会计准则与按照中国会计准则披露的财务报告中净利润和净资产差异情况" w:id="13"/>
      <w:bookmarkEnd w:id="13"/>
      <w:r>
        <w:rPr>
          <w:b w:val="0"/>
          <w:bCs w:val="0"/>
        </w:rPr>
      </w:r>
      <w:r>
        <w:rPr>
          <w:rFonts w:ascii="Times New Roman" w:hAnsi="Times New Roman" w:cs="Times New Roman" w:eastAsia="Times New Roman" w:hint="default"/>
        </w:rPr>
        <w:t>2</w:t>
      </w:r>
      <w:r>
        <w:rPr/>
        <w:t>、同时按照境外会计准则与按照中国会计准则披露的财务报告中净利润和净资产差异情况</w:t>
      </w:r>
      <w:r>
        <w:rPr>
          <w:b w:val="0"/>
          <w:bCs w:val="0"/>
        </w:rPr>
      </w:r>
    </w:p>
    <w:p>
      <w:pPr>
        <w:spacing w:line="240" w:lineRule="auto" w:before="1"/>
        <w:rPr>
          <w:rFonts w:ascii="宋体" w:hAnsi="宋体" w:cs="宋体" w:eastAsia="宋体" w:hint="default"/>
          <w:b/>
          <w:bCs/>
          <w:sz w:val="27"/>
          <w:szCs w:val="27"/>
        </w:rPr>
      </w:pPr>
    </w:p>
    <w:p>
      <w:pPr>
        <w:pStyle w:val="BodyText"/>
        <w:spacing w:line="357" w:lineRule="auto" w:before="0"/>
        <w:ind w:right="1317"/>
        <w:jc w:val="left"/>
      </w:pPr>
      <w:r>
        <w:rPr/>
        <w:t>□ </w:t>
      </w:r>
      <w:r>
        <w:rPr>
          <w:spacing w:val="-3"/>
        </w:rPr>
        <w:t>适用 </w:t>
      </w:r>
      <w:r>
        <w:rPr/>
        <w:t>√ 不适用</w:t>
      </w:r>
      <w:r>
        <w:rPr>
          <w:spacing w:val="-77"/>
        </w:rPr>
        <w:t> </w:t>
      </w:r>
      <w:r>
        <w:rPr>
          <w:spacing w:val="-77"/>
        </w:rPr>
      </w:r>
      <w:r>
        <w:rPr>
          <w:spacing w:val="-3"/>
        </w:rPr>
        <w:t>公司报告期不存在按照境外会计准则与按照中国会计准则披露的财务报告中净利润和净资产差异情况。</w:t>
      </w:r>
    </w:p>
    <w:p>
      <w:pPr>
        <w:spacing w:line="240" w:lineRule="auto" w:before="8"/>
        <w:rPr>
          <w:rFonts w:ascii="宋体" w:hAnsi="宋体" w:cs="宋体" w:eastAsia="宋体" w:hint="default"/>
          <w:sz w:val="17"/>
          <w:szCs w:val="17"/>
        </w:rPr>
      </w:pPr>
    </w:p>
    <w:p>
      <w:pPr>
        <w:pStyle w:val="Heading2"/>
        <w:spacing w:line="240" w:lineRule="auto"/>
        <w:ind w:right="0"/>
        <w:jc w:val="left"/>
        <w:rPr>
          <w:b w:val="0"/>
          <w:bCs w:val="0"/>
        </w:rPr>
      </w:pPr>
      <w:bookmarkStart w:name="八、分季度主要财务指标" w:id="14"/>
      <w:bookmarkEnd w:id="14"/>
      <w:r>
        <w:rPr>
          <w:b w:val="0"/>
          <w:bCs w:val="0"/>
        </w:rPr>
      </w:r>
      <w:r>
        <w:rPr/>
        <w:t>八、分季度主要财务指标</w:t>
      </w:r>
      <w:r>
        <w:rPr>
          <w:b w:val="0"/>
          <w:bCs w:val="0"/>
        </w:rPr>
      </w:r>
    </w:p>
    <w:p>
      <w:pPr>
        <w:spacing w:line="240" w:lineRule="auto" w:before="1"/>
        <w:rPr>
          <w:rFonts w:ascii="宋体" w:hAnsi="宋体" w:cs="宋体" w:eastAsia="宋体" w:hint="default"/>
          <w:b/>
          <w:bCs/>
          <w:sz w:val="24"/>
          <w:szCs w:val="24"/>
        </w:rPr>
      </w:pPr>
    </w:p>
    <w:p>
      <w:pPr>
        <w:pStyle w:val="BodyText"/>
        <w:spacing w:line="240" w:lineRule="auto"/>
        <w:ind w:left="0" w:right="1122"/>
        <w:jc w:val="right"/>
      </w:pPr>
      <w:r>
        <w:rPr>
          <w:spacing w:val="-2"/>
        </w:rPr>
        <w:t>单位：元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622"/>
        <w:gridCol w:w="1743"/>
        <w:gridCol w:w="1738"/>
        <w:gridCol w:w="1738"/>
        <w:gridCol w:w="1733"/>
      </w:tblGrid>
      <w:tr>
        <w:trPr>
          <w:trHeight w:val="403" w:hRule="exact"/>
        </w:trPr>
        <w:tc>
          <w:tcPr>
            <w:tcW w:w="262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03" w:right="0"/>
              <w:jc w:val="left"/>
              <w:rPr>
                <w:rFonts w:ascii="宋体" w:hAnsi="宋体" w:cs="宋体" w:eastAsia="宋体" w:hint="default"/>
                <w:sz w:val="18"/>
                <w:szCs w:val="18"/>
              </w:rPr>
            </w:pPr>
            <w:r>
              <w:rPr>
                <w:rFonts w:ascii="宋体" w:hAnsi="宋体" w:cs="宋体" w:eastAsia="宋体" w:hint="default"/>
                <w:sz w:val="18"/>
                <w:szCs w:val="18"/>
              </w:rPr>
              <w:t>第一季度</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99" w:right="0"/>
              <w:jc w:val="left"/>
              <w:rPr>
                <w:rFonts w:ascii="宋体" w:hAnsi="宋体" w:cs="宋体" w:eastAsia="宋体" w:hint="default"/>
                <w:sz w:val="18"/>
                <w:szCs w:val="18"/>
              </w:rPr>
            </w:pPr>
            <w:r>
              <w:rPr>
                <w:rFonts w:ascii="宋体" w:hAnsi="宋体" w:cs="宋体" w:eastAsia="宋体" w:hint="default"/>
                <w:sz w:val="18"/>
                <w:szCs w:val="18"/>
              </w:rPr>
              <w:t>第二季度</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04" w:right="0"/>
              <w:jc w:val="left"/>
              <w:rPr>
                <w:rFonts w:ascii="宋体" w:hAnsi="宋体" w:cs="宋体" w:eastAsia="宋体" w:hint="default"/>
                <w:sz w:val="18"/>
                <w:szCs w:val="18"/>
              </w:rPr>
            </w:pPr>
            <w:r>
              <w:rPr>
                <w:rFonts w:ascii="宋体" w:hAnsi="宋体" w:cs="宋体" w:eastAsia="宋体" w:hint="default"/>
                <w:sz w:val="18"/>
                <w:szCs w:val="18"/>
              </w:rPr>
              <w:t>第三季度</w:t>
            </w:r>
          </w:p>
        </w:tc>
        <w:tc>
          <w:tcPr>
            <w:tcW w:w="17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99" w:right="0"/>
              <w:jc w:val="left"/>
              <w:rPr>
                <w:rFonts w:ascii="宋体" w:hAnsi="宋体" w:cs="宋体" w:eastAsia="宋体" w:hint="default"/>
                <w:sz w:val="18"/>
                <w:szCs w:val="18"/>
              </w:rPr>
            </w:pPr>
            <w:r>
              <w:rPr>
                <w:rFonts w:ascii="宋体" w:hAnsi="宋体" w:cs="宋体" w:eastAsia="宋体" w:hint="default"/>
                <w:sz w:val="18"/>
                <w:szCs w:val="18"/>
              </w:rPr>
              <w:t>第四季度</w:t>
            </w:r>
          </w:p>
        </w:tc>
      </w:tr>
      <w:tr>
        <w:trPr>
          <w:trHeight w:val="403" w:hRule="exact"/>
        </w:trPr>
        <w:tc>
          <w:tcPr>
            <w:tcW w:w="2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282,487,814.52</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216,094,081.47</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399,372,828.24</w:t>
            </w:r>
          </w:p>
        </w:tc>
        <w:tc>
          <w:tcPr>
            <w:tcW w:w="17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347,175,696.26</w:t>
            </w:r>
          </w:p>
        </w:tc>
      </w:tr>
      <w:tr>
        <w:trPr>
          <w:trHeight w:val="398" w:hRule="exact"/>
        </w:trPr>
        <w:tc>
          <w:tcPr>
            <w:tcW w:w="2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归属于上市公司股东的净利润</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36,999,791.68</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33,241,139.01</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77,690,641.11</w:t>
            </w:r>
          </w:p>
        </w:tc>
        <w:tc>
          <w:tcPr>
            <w:tcW w:w="17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34,295,182.47</w:t>
            </w:r>
          </w:p>
        </w:tc>
      </w:tr>
      <w:tr>
        <w:trPr>
          <w:trHeight w:val="716" w:hRule="exact"/>
        </w:trPr>
        <w:tc>
          <w:tcPr>
            <w:tcW w:w="2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4"/>
              <w:ind w:left="105" w:right="161"/>
              <w:jc w:val="left"/>
              <w:rPr>
                <w:rFonts w:ascii="宋体" w:hAnsi="宋体" w:cs="宋体" w:eastAsia="宋体" w:hint="default"/>
                <w:sz w:val="18"/>
                <w:szCs w:val="18"/>
              </w:rPr>
            </w:pPr>
            <w:r>
              <w:rPr>
                <w:rFonts w:ascii="宋体" w:hAnsi="宋体" w:cs="宋体" w:eastAsia="宋体" w:hint="default"/>
                <w:spacing w:val="-3"/>
                <w:sz w:val="18"/>
                <w:szCs w:val="18"/>
              </w:rPr>
              <w:t>归属于上市公司股东的扣除非</w:t>
            </w:r>
            <w:r>
              <w:rPr>
                <w:rFonts w:ascii="宋体" w:hAnsi="宋体" w:cs="宋体" w:eastAsia="宋体" w:hint="default"/>
                <w:spacing w:val="-50"/>
                <w:sz w:val="18"/>
                <w:szCs w:val="18"/>
              </w:rPr>
              <w:t> </w:t>
            </w:r>
            <w:r>
              <w:rPr>
                <w:rFonts w:ascii="宋体" w:hAnsi="宋体" w:cs="宋体" w:eastAsia="宋体" w:hint="default"/>
                <w:spacing w:val="-50"/>
                <w:sz w:val="18"/>
                <w:szCs w:val="18"/>
              </w:rPr>
            </w:r>
            <w:r>
              <w:rPr>
                <w:rFonts w:ascii="宋体" w:hAnsi="宋体" w:cs="宋体" w:eastAsia="宋体" w:hint="default"/>
                <w:spacing w:val="-3"/>
                <w:sz w:val="18"/>
                <w:szCs w:val="18"/>
              </w:rPr>
              <w:t>经常性损益的净利润</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32,153,384.33</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29,969,474.25</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1"/>
                <w:sz w:val="18"/>
              </w:rPr>
              <w:t>76,523,965.68</w:t>
            </w:r>
          </w:p>
        </w:tc>
        <w:tc>
          <w:tcPr>
            <w:tcW w:w="17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28,928,350.32</w:t>
            </w:r>
          </w:p>
        </w:tc>
      </w:tr>
      <w:tr>
        <w:trPr>
          <w:trHeight w:val="403" w:hRule="exact"/>
        </w:trPr>
        <w:tc>
          <w:tcPr>
            <w:tcW w:w="2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经营活动产生的现金流量净额</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-82,263,229.07</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-43,988,234.45</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33,744,403.12</w:t>
            </w:r>
          </w:p>
        </w:tc>
        <w:tc>
          <w:tcPr>
            <w:tcW w:w="17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276,363,826.79</w:t>
            </w:r>
          </w:p>
        </w:tc>
      </w:tr>
    </w:tbl>
    <w:p>
      <w:pPr>
        <w:pStyle w:val="BodyText"/>
        <w:spacing w:line="240" w:lineRule="auto" w:before="53"/>
        <w:ind w:right="0"/>
        <w:jc w:val="left"/>
      </w:pPr>
      <w:r>
        <w:rPr>
          <w:spacing w:val="-3"/>
        </w:rPr>
        <w:t>上述财务指标或其加总数是否与公司已披露季度报告、半年度报告相关财务指标存在重大差异</w:t>
      </w:r>
    </w:p>
    <w:p>
      <w:pPr>
        <w:pStyle w:val="BodyText"/>
        <w:spacing w:line="240" w:lineRule="auto" w:before="119"/>
        <w:ind w:right="0"/>
        <w:jc w:val="left"/>
      </w:pPr>
      <w:r>
        <w:rPr/>
        <w:t>□ 是 √</w:t>
      </w:r>
      <w:r>
        <w:rPr>
          <w:spacing w:val="2"/>
        </w:rPr>
        <w:t> </w:t>
      </w:r>
      <w:r>
        <w:rPr/>
        <w:t>否</w:t>
      </w:r>
    </w:p>
    <w:p>
      <w:pPr>
        <w:spacing w:line="240" w:lineRule="auto" w:before="13"/>
        <w:rPr>
          <w:rFonts w:ascii="宋体" w:hAnsi="宋体" w:cs="宋体" w:eastAsia="宋体" w:hint="default"/>
          <w:sz w:val="23"/>
          <w:szCs w:val="23"/>
        </w:rPr>
      </w:pPr>
    </w:p>
    <w:p>
      <w:pPr>
        <w:pStyle w:val="Heading2"/>
        <w:spacing w:line="240" w:lineRule="auto"/>
        <w:ind w:right="0"/>
        <w:jc w:val="left"/>
        <w:rPr>
          <w:b w:val="0"/>
          <w:bCs w:val="0"/>
        </w:rPr>
      </w:pPr>
      <w:bookmarkStart w:name="九、非经常性损益项目及金额" w:id="15"/>
      <w:bookmarkEnd w:id="15"/>
      <w:r>
        <w:rPr>
          <w:b w:val="0"/>
          <w:bCs w:val="0"/>
        </w:rPr>
      </w:r>
      <w:r>
        <w:rPr/>
        <w:t>九、非经常性损益项目及金额</w:t>
      </w:r>
      <w:r>
        <w:rPr>
          <w:b w:val="0"/>
          <w:bCs w:val="0"/>
        </w:rPr>
      </w:r>
    </w:p>
    <w:p>
      <w:pPr>
        <w:spacing w:line="240" w:lineRule="auto" w:before="0"/>
        <w:rPr>
          <w:rFonts w:ascii="宋体" w:hAnsi="宋体" w:cs="宋体" w:eastAsia="宋体" w:hint="default"/>
          <w:b/>
          <w:bCs/>
          <w:sz w:val="24"/>
          <w:szCs w:val="24"/>
        </w:rPr>
      </w:pPr>
    </w:p>
    <w:p>
      <w:pPr>
        <w:pStyle w:val="BodyText"/>
        <w:spacing w:line="240" w:lineRule="auto"/>
        <w:ind w:right="0"/>
        <w:jc w:val="left"/>
      </w:pPr>
      <w:r>
        <w:rPr/>
        <w:t>√ </w:t>
      </w:r>
      <w:r>
        <w:rPr>
          <w:spacing w:val="-3"/>
        </w:rPr>
        <w:t>适用 </w:t>
      </w:r>
      <w:r>
        <w:rPr/>
        <w:t>□</w:t>
      </w:r>
      <w:r>
        <w:rPr>
          <w:spacing w:val="13"/>
        </w:rPr>
        <w:t> </w:t>
      </w:r>
      <w:r>
        <w:rPr/>
        <w:t>不适用</w:t>
      </w:r>
    </w:p>
    <w:p>
      <w:pPr>
        <w:pStyle w:val="BodyText"/>
        <w:spacing w:line="240" w:lineRule="auto" w:before="115"/>
        <w:ind w:left="0" w:right="1122"/>
        <w:jc w:val="right"/>
      </w:pPr>
      <w:r>
        <w:rPr>
          <w:spacing w:val="-2"/>
        </w:rPr>
        <w:t>单位：元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299"/>
        <w:gridCol w:w="1517"/>
        <w:gridCol w:w="1522"/>
        <w:gridCol w:w="1522"/>
        <w:gridCol w:w="1709"/>
      </w:tblGrid>
      <w:tr>
        <w:trPr>
          <w:trHeight w:val="399" w:hRule="exact"/>
        </w:trPr>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27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年金额</w:t>
            </w:r>
          </w:p>
        </w:tc>
        <w:tc>
          <w:tcPr>
            <w:tcW w:w="15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年金额</w:t>
            </w:r>
          </w:p>
        </w:tc>
        <w:tc>
          <w:tcPr>
            <w:tcW w:w="15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年金额</w:t>
            </w:r>
          </w:p>
        </w:tc>
        <w:tc>
          <w:tcPr>
            <w:tcW w:w="1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9"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715" w:hRule="exact"/>
        </w:trPr>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05" w:right="118"/>
              <w:jc w:val="left"/>
              <w:rPr>
                <w:rFonts w:ascii="宋体" w:hAnsi="宋体" w:cs="宋体" w:eastAsia="宋体" w:hint="default"/>
                <w:sz w:val="18"/>
                <w:szCs w:val="18"/>
              </w:rPr>
            </w:pPr>
            <w:r>
              <w:rPr>
                <w:rFonts w:ascii="宋体" w:hAnsi="宋体" w:cs="宋体" w:eastAsia="宋体" w:hint="default"/>
                <w:spacing w:val="-3"/>
                <w:sz w:val="18"/>
                <w:szCs w:val="18"/>
              </w:rPr>
              <w:t>非流动资产处置损益（包括已计提资产</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z w:val="18"/>
                <w:szCs w:val="18"/>
              </w:rPr>
              <w:t>减值准备的冲销部分）</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-715,817.78</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-258,706.01</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-144,607.02</w:t>
            </w:r>
          </w:p>
        </w:tc>
        <w:tc>
          <w:tcPr>
            <w:tcW w:w="1709" w:type="dxa"/>
            <w:tcBorders>
              <w:top w:val="single" w:sz="4" w:space="0" w:color="000000"/>
              <w:left w:val="single" w:sz="4" w:space="0" w:color="000000"/>
              <w:bottom w:val="single" w:sz="4" w:space="0" w:color="000000"/>
              <w:right w:val="single" w:sz="4" w:space="0" w:color="000000"/>
            </w:tcBorders>
          </w:tcPr>
          <w:p>
            <w:pPr/>
          </w:p>
        </w:tc>
      </w:tr>
      <w:tr>
        <w:trPr>
          <w:trHeight w:val="1028" w:hRule="exact"/>
        </w:trPr>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105" w:right="119"/>
              <w:jc w:val="both"/>
              <w:rPr>
                <w:rFonts w:ascii="宋体" w:hAnsi="宋体" w:cs="宋体" w:eastAsia="宋体" w:hint="default"/>
                <w:sz w:val="18"/>
                <w:szCs w:val="18"/>
              </w:rPr>
            </w:pPr>
            <w:r>
              <w:rPr>
                <w:rFonts w:ascii="宋体" w:hAnsi="宋体" w:cs="宋体" w:eastAsia="宋体" w:hint="default"/>
                <w:spacing w:val="-3"/>
                <w:sz w:val="18"/>
                <w:szCs w:val="18"/>
              </w:rPr>
              <w:t>计入当期损益的政府补助（与企业业务</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密切相关，按照国家统一标准定额或定</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量享受的政府补助除外）</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15,290,905.64</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12,972,639.17</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1"/>
                <w:sz w:val="18"/>
              </w:rPr>
              <w:t>16,066,018.63</w:t>
            </w:r>
          </w:p>
        </w:tc>
        <w:tc>
          <w:tcPr>
            <w:tcW w:w="170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委托他人投资或管理资产的损益</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4,640,839.78</w:t>
            </w:r>
          </w:p>
        </w:tc>
        <w:tc>
          <w:tcPr>
            <w:tcW w:w="1522"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
        </w:tc>
        <w:tc>
          <w:tcPr>
            <w:tcW w:w="1709" w:type="dxa"/>
            <w:tcBorders>
              <w:top w:val="single" w:sz="4" w:space="0" w:color="000000"/>
              <w:left w:val="single" w:sz="4" w:space="0" w:color="000000"/>
              <w:bottom w:val="single" w:sz="4" w:space="0" w:color="000000"/>
              <w:right w:val="single" w:sz="4" w:space="0" w:color="000000"/>
            </w:tcBorders>
          </w:tcPr>
          <w:p>
            <w:pPr/>
          </w:p>
        </w:tc>
      </w:tr>
      <w:tr>
        <w:trPr>
          <w:trHeight w:val="710" w:hRule="exact"/>
        </w:trPr>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05" w:right="119"/>
              <w:jc w:val="left"/>
              <w:rPr>
                <w:rFonts w:ascii="宋体" w:hAnsi="宋体" w:cs="宋体" w:eastAsia="宋体" w:hint="default"/>
                <w:sz w:val="18"/>
                <w:szCs w:val="18"/>
              </w:rPr>
            </w:pPr>
            <w:r>
              <w:rPr>
                <w:rFonts w:ascii="宋体" w:hAnsi="宋体" w:cs="宋体" w:eastAsia="宋体" w:hint="default"/>
                <w:spacing w:val="-3"/>
                <w:sz w:val="18"/>
                <w:szCs w:val="18"/>
              </w:rPr>
              <w:t>除上述各项之外的其他营业外收入和支</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z w:val="18"/>
                <w:szCs w:val="18"/>
              </w:rPr>
              <w:t>出</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-1,931,823.25</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89,670.44</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396,448.51</w:t>
            </w:r>
          </w:p>
        </w:tc>
        <w:tc>
          <w:tcPr>
            <w:tcW w:w="1709"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pacing w:val="-3"/>
                <w:sz w:val="18"/>
                <w:szCs w:val="18"/>
              </w:rPr>
              <w:t>其他符合非经常性损益定义的损益项目</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364,050.00</w:t>
            </w:r>
          </w:p>
        </w:tc>
        <w:tc>
          <w:tcPr>
            <w:tcW w:w="1522"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1,500,000.00</w:t>
            </w:r>
          </w:p>
        </w:tc>
        <w:tc>
          <w:tcPr>
            <w:tcW w:w="170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2,703,024.31</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1,933,709.34</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2,629,060.15</w:t>
            </w:r>
          </w:p>
        </w:tc>
        <w:tc>
          <w:tcPr>
            <w:tcW w:w="170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少数股东权益影响额（税后）</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293,550.39</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79,330.31</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27,471.75</w:t>
            </w:r>
          </w:p>
        </w:tc>
        <w:tc>
          <w:tcPr>
            <w:tcW w:w="170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84" w:footer="1022" w:top="1100" w:bottom="1220" w:left="980" w:right="0"/>
        </w:sectPr>
      </w:pPr>
    </w:p>
    <w:p>
      <w:pPr>
        <w:spacing w:line="240" w:lineRule="auto" w:before="7"/>
        <w:rPr>
          <w:rFonts w:ascii="宋体" w:hAnsi="宋体" w:cs="宋体" w:eastAsia="宋体" w:hint="default"/>
          <w:sz w:val="25"/>
          <w:szCs w:val="25"/>
        </w:rPr>
      </w:pPr>
    </w:p>
    <w:tbl>
      <w:tblPr>
        <w:tblW w:w="0" w:type="auto"/>
        <w:jc w:val="left"/>
        <w:tblInd w:w="148" w:type="dxa"/>
        <w:tblLayout w:type="fixed"/>
        <w:tblCellMar>
          <w:top w:w="0" w:type="dxa"/>
          <w:left w:w="0" w:type="dxa"/>
          <w:bottom w:w="0" w:type="dxa"/>
          <w:right w:w="0" w:type="dxa"/>
        </w:tblCellMar>
        <w:tblLook w:val="01E0"/>
      </w:tblPr>
      <w:tblGrid>
        <w:gridCol w:w="3299"/>
        <w:gridCol w:w="1517"/>
        <w:gridCol w:w="1522"/>
        <w:gridCol w:w="1522"/>
        <w:gridCol w:w="1709"/>
      </w:tblGrid>
      <w:tr>
        <w:trPr>
          <w:trHeight w:val="403" w:hRule="exact"/>
        </w:trPr>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369" w:right="0"/>
              <w:jc w:val="left"/>
              <w:rPr>
                <w:rFonts w:ascii="Times New Roman" w:hAnsi="Times New Roman" w:cs="Times New Roman" w:eastAsia="Times New Roman" w:hint="default"/>
                <w:sz w:val="18"/>
                <w:szCs w:val="18"/>
              </w:rPr>
            </w:pPr>
            <w:r>
              <w:rPr>
                <w:rFonts w:ascii="Times New Roman"/>
                <w:sz w:val="18"/>
              </w:rPr>
              <w:t>14,651,579.69</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374" w:right="0"/>
              <w:jc w:val="left"/>
              <w:rPr>
                <w:rFonts w:ascii="Times New Roman" w:hAnsi="Times New Roman" w:cs="Times New Roman" w:eastAsia="Times New Roman" w:hint="default"/>
                <w:sz w:val="18"/>
                <w:szCs w:val="18"/>
              </w:rPr>
            </w:pPr>
            <w:r>
              <w:rPr>
                <w:rFonts w:ascii="Times New Roman"/>
                <w:sz w:val="18"/>
              </w:rPr>
              <w:t>10,790,563.95</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374" w:right="0"/>
              <w:jc w:val="left"/>
              <w:rPr>
                <w:rFonts w:ascii="Times New Roman" w:hAnsi="Times New Roman" w:cs="Times New Roman" w:eastAsia="Times New Roman" w:hint="default"/>
                <w:sz w:val="18"/>
                <w:szCs w:val="18"/>
              </w:rPr>
            </w:pPr>
            <w:r>
              <w:rPr>
                <w:rFonts w:ascii="Times New Roman"/>
                <w:sz w:val="18"/>
              </w:rPr>
              <w:t>15,161,328.22</w:t>
            </w:r>
          </w:p>
        </w:tc>
        <w:tc>
          <w:tcPr>
            <w:tcW w:w="1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bl>
    <w:p>
      <w:pPr>
        <w:pStyle w:val="BodyText"/>
        <w:spacing w:line="240" w:lineRule="auto" w:before="53"/>
        <w:ind w:right="0"/>
        <w:jc w:val="left"/>
      </w:pPr>
      <w:r>
        <w:rPr>
          <w:w w:val="101"/>
        </w:rPr>
        <w:t>对</w:t>
      </w:r>
      <w:r>
        <w:rPr>
          <w:spacing w:val="-5"/>
          <w:w w:val="101"/>
        </w:rPr>
        <w:t>公</w:t>
      </w:r>
      <w:r>
        <w:rPr>
          <w:w w:val="101"/>
        </w:rPr>
        <w:t>司</w:t>
      </w:r>
      <w:r>
        <w:rPr>
          <w:spacing w:val="-5"/>
          <w:w w:val="101"/>
        </w:rPr>
        <w:t>根</w:t>
      </w:r>
      <w:r>
        <w:rPr>
          <w:spacing w:val="-68"/>
          <w:w w:val="101"/>
        </w:rPr>
        <w:t>据</w:t>
      </w:r>
      <w:r>
        <w:rPr>
          <w:w w:val="101"/>
        </w:rPr>
        <w:t>《</w:t>
      </w:r>
      <w:r>
        <w:rPr>
          <w:spacing w:val="-5"/>
          <w:w w:val="101"/>
        </w:rPr>
        <w:t>公</w:t>
      </w:r>
      <w:r>
        <w:rPr>
          <w:w w:val="101"/>
        </w:rPr>
        <w:t>开</w:t>
      </w:r>
      <w:r>
        <w:rPr>
          <w:spacing w:val="-5"/>
          <w:w w:val="101"/>
        </w:rPr>
        <w:t>发</w:t>
      </w:r>
      <w:r>
        <w:rPr>
          <w:w w:val="101"/>
        </w:rPr>
        <w:t>行</w:t>
      </w:r>
      <w:r>
        <w:rPr>
          <w:spacing w:val="-5"/>
          <w:w w:val="101"/>
        </w:rPr>
        <w:t>证</w:t>
      </w:r>
      <w:r>
        <w:rPr>
          <w:w w:val="101"/>
        </w:rPr>
        <w:t>券</w:t>
      </w:r>
      <w:r>
        <w:rPr>
          <w:spacing w:val="-5"/>
          <w:w w:val="101"/>
        </w:rPr>
        <w:t>的</w:t>
      </w:r>
      <w:r>
        <w:rPr>
          <w:w w:val="101"/>
        </w:rPr>
        <w:t>公</w:t>
      </w:r>
      <w:r>
        <w:rPr>
          <w:spacing w:val="-5"/>
          <w:w w:val="101"/>
        </w:rPr>
        <w:t>司</w:t>
      </w:r>
      <w:r>
        <w:rPr>
          <w:w w:val="101"/>
        </w:rPr>
        <w:t>信</w:t>
      </w:r>
      <w:r>
        <w:rPr>
          <w:spacing w:val="-5"/>
          <w:w w:val="101"/>
        </w:rPr>
        <w:t>息</w:t>
      </w:r>
      <w:r>
        <w:rPr>
          <w:w w:val="101"/>
        </w:rPr>
        <w:t>披</w:t>
      </w:r>
      <w:r>
        <w:rPr>
          <w:spacing w:val="-5"/>
          <w:w w:val="101"/>
        </w:rPr>
        <w:t>露</w:t>
      </w:r>
      <w:r>
        <w:rPr>
          <w:w w:val="101"/>
        </w:rPr>
        <w:t>解</w:t>
      </w:r>
      <w:r>
        <w:rPr>
          <w:spacing w:val="-5"/>
          <w:w w:val="101"/>
        </w:rPr>
        <w:t>释</w:t>
      </w:r>
      <w:r>
        <w:rPr>
          <w:w w:val="101"/>
        </w:rPr>
        <w:t>性</w:t>
      </w:r>
      <w:r>
        <w:rPr>
          <w:spacing w:val="-5"/>
          <w:w w:val="101"/>
        </w:rPr>
        <w:t>公</w:t>
      </w:r>
      <w:r>
        <w:rPr>
          <w:w w:val="101"/>
        </w:rPr>
        <w:t>告第</w:t>
      </w:r>
      <w:r>
        <w:rPr>
          <w:spacing w:val="-46"/>
        </w:rPr>
        <w:t> </w:t>
      </w:r>
      <w:r>
        <w:rPr>
          <w:rFonts w:ascii="Times New Roman" w:hAnsi="Times New Roman" w:cs="Times New Roman" w:eastAsia="Times New Roman" w:hint="default"/>
          <w:w w:val="101"/>
        </w:rPr>
        <w:t>1</w:t>
      </w:r>
      <w:r>
        <w:rPr>
          <w:rFonts w:ascii="Times New Roman" w:hAnsi="Times New Roman" w:cs="Times New Roman" w:eastAsia="Times New Roman" w:hint="default"/>
          <w:spacing w:val="-2"/>
        </w:rPr>
        <w:t> </w:t>
      </w:r>
      <w:r>
        <w:rPr>
          <w:spacing w:val="-5"/>
          <w:w w:val="101"/>
        </w:rPr>
        <w:t>号</w:t>
      </w:r>
      <w:r>
        <w:rPr>
          <w:w w:val="101"/>
        </w:rPr>
        <w:t>—</w:t>
      </w:r>
      <w:r>
        <w:rPr>
          <w:spacing w:val="-5"/>
          <w:w w:val="101"/>
        </w:rPr>
        <w:t>—</w:t>
      </w:r>
      <w:r>
        <w:rPr>
          <w:w w:val="101"/>
        </w:rPr>
        <w:t>非</w:t>
      </w:r>
      <w:r>
        <w:rPr>
          <w:spacing w:val="-5"/>
          <w:w w:val="101"/>
        </w:rPr>
        <w:t>经</w:t>
      </w:r>
      <w:r>
        <w:rPr>
          <w:w w:val="101"/>
        </w:rPr>
        <w:t>常</w:t>
      </w:r>
      <w:r>
        <w:rPr>
          <w:spacing w:val="-5"/>
          <w:w w:val="101"/>
        </w:rPr>
        <w:t>性</w:t>
      </w:r>
      <w:r>
        <w:rPr>
          <w:w w:val="101"/>
        </w:rPr>
        <w:t>损益</w:t>
      </w:r>
      <w:r>
        <w:rPr>
          <w:spacing w:val="-73"/>
          <w:w w:val="101"/>
        </w:rPr>
        <w:t>》</w:t>
      </w:r>
      <w:r>
        <w:rPr>
          <w:w w:val="101"/>
        </w:rPr>
        <w:t>定</w:t>
      </w:r>
      <w:r>
        <w:rPr>
          <w:spacing w:val="-5"/>
          <w:w w:val="101"/>
        </w:rPr>
        <w:t>义</w:t>
      </w:r>
      <w:r>
        <w:rPr>
          <w:w w:val="101"/>
        </w:rPr>
        <w:t>界</w:t>
      </w:r>
      <w:r>
        <w:rPr>
          <w:spacing w:val="-5"/>
          <w:w w:val="101"/>
        </w:rPr>
        <w:t>定</w:t>
      </w:r>
      <w:r>
        <w:rPr>
          <w:w w:val="101"/>
        </w:rPr>
        <w:t>的</w:t>
      </w:r>
      <w:r>
        <w:rPr>
          <w:spacing w:val="-5"/>
          <w:w w:val="101"/>
        </w:rPr>
        <w:t>非</w:t>
      </w:r>
      <w:r>
        <w:rPr>
          <w:w w:val="101"/>
        </w:rPr>
        <w:t>经</w:t>
      </w:r>
      <w:r>
        <w:rPr>
          <w:spacing w:val="-5"/>
          <w:w w:val="101"/>
        </w:rPr>
        <w:t>常</w:t>
      </w:r>
      <w:r>
        <w:rPr>
          <w:w w:val="101"/>
        </w:rPr>
        <w:t>性</w:t>
      </w:r>
      <w:r>
        <w:rPr>
          <w:spacing w:val="-5"/>
          <w:w w:val="101"/>
        </w:rPr>
        <w:t>损</w:t>
      </w:r>
      <w:r>
        <w:rPr>
          <w:w w:val="101"/>
        </w:rPr>
        <w:t>益</w:t>
      </w:r>
      <w:r>
        <w:rPr>
          <w:spacing w:val="-5"/>
          <w:w w:val="101"/>
        </w:rPr>
        <w:t>项</w:t>
      </w:r>
      <w:r>
        <w:rPr>
          <w:w w:val="101"/>
        </w:rPr>
        <w:t>目</w:t>
      </w:r>
      <w:r>
        <w:rPr>
          <w:spacing w:val="-68"/>
          <w:w w:val="101"/>
        </w:rPr>
        <w:t>，</w:t>
      </w:r>
      <w:r>
        <w:rPr>
          <w:spacing w:val="-5"/>
          <w:w w:val="101"/>
        </w:rPr>
        <w:t>以</w:t>
      </w:r>
      <w:r>
        <w:rPr>
          <w:w w:val="101"/>
        </w:rPr>
        <w:t>及</w:t>
      </w:r>
      <w:r>
        <w:rPr>
          <w:spacing w:val="-73"/>
          <w:w w:val="101"/>
        </w:rPr>
        <w:t>把</w:t>
      </w:r>
      <w:r>
        <w:rPr>
          <w:w w:val="101"/>
        </w:rPr>
        <w:t>《公</w:t>
      </w:r>
      <w:r>
        <w:rPr/>
      </w:r>
    </w:p>
    <w:p>
      <w:pPr>
        <w:pStyle w:val="BodyText"/>
        <w:spacing w:line="304" w:lineRule="auto" w:before="58"/>
        <w:ind w:right="1120"/>
        <w:jc w:val="left"/>
      </w:pPr>
      <w:r>
        <w:rPr>
          <w:spacing w:val="-3"/>
        </w:rPr>
        <w:t>开发行证券的公司信息披露解释性公告第 </w:t>
      </w:r>
      <w:r>
        <w:rPr>
          <w:rFonts w:ascii="Times New Roman" w:hAnsi="Times New Roman" w:cs="Times New Roman" w:eastAsia="Times New Roman" w:hint="default"/>
        </w:rPr>
        <w:t>1 </w:t>
      </w:r>
      <w:r>
        <w:rPr>
          <w:spacing w:val="-5"/>
        </w:rPr>
        <w:t>号——非经常性损益》中列举的非经常性损益项目界定为经常性损益的项目，应</w:t>
      </w:r>
      <w:r>
        <w:rPr>
          <w:spacing w:val="-35"/>
        </w:rPr>
        <w:t> </w:t>
      </w:r>
      <w:r>
        <w:rPr>
          <w:spacing w:val="-35"/>
        </w:rPr>
      </w:r>
      <w:r>
        <w:rPr/>
        <w:t>说明原因</w:t>
      </w:r>
    </w:p>
    <w:p>
      <w:pPr>
        <w:pStyle w:val="BodyText"/>
        <w:spacing w:line="240" w:lineRule="auto" w:before="66"/>
        <w:ind w:right="0"/>
        <w:jc w:val="left"/>
      </w:pPr>
      <w:r>
        <w:rPr/>
        <w:t>□ </w:t>
      </w:r>
      <w:r>
        <w:rPr>
          <w:spacing w:val="-3"/>
        </w:rPr>
        <w:t>适用 </w:t>
      </w:r>
      <w:r>
        <w:rPr/>
        <w:t>√</w:t>
      </w:r>
      <w:r>
        <w:rPr>
          <w:spacing w:val="13"/>
        </w:rPr>
        <w:t> </w:t>
      </w:r>
      <w:r>
        <w:rPr/>
        <w:t>不适用</w:t>
      </w:r>
    </w:p>
    <w:p>
      <w:pPr>
        <w:pStyle w:val="BodyText"/>
        <w:spacing w:line="304" w:lineRule="auto" w:before="115"/>
        <w:ind w:right="0" w:firstLine="360"/>
        <w:jc w:val="left"/>
      </w:pPr>
      <w:r>
        <w:rPr>
          <w:spacing w:val="-4"/>
        </w:rPr>
        <w:t>公司报告期不存在将根据《公开发行证券的公司信息披露解释性公告第 </w:t>
      </w:r>
      <w:r>
        <w:rPr>
          <w:rFonts w:ascii="Times New Roman" w:hAnsi="Times New Roman" w:cs="Times New Roman" w:eastAsia="Times New Roman" w:hint="default"/>
        </w:rPr>
        <w:t>1</w:t>
      </w:r>
      <w:r>
        <w:rPr>
          <w:rFonts w:ascii="Times New Roman" w:hAnsi="Times New Roman" w:cs="Times New Roman" w:eastAsia="Times New Roman" w:hint="default"/>
          <w:spacing w:val="5"/>
        </w:rPr>
        <w:t> </w:t>
      </w:r>
      <w:r>
        <w:rPr>
          <w:spacing w:val="-6"/>
        </w:rPr>
        <w:t>号——非经常性损益》定义、列举的非经常性</w:t>
      </w:r>
      <w:r>
        <w:rPr>
          <w:w w:val="101"/>
        </w:rPr>
        <w:t> </w:t>
      </w:r>
      <w:r>
        <w:rPr>
          <w:spacing w:val="-3"/>
        </w:rPr>
        <w:t>损益项目界定为经常性损益的项目的情形。</w:t>
      </w:r>
    </w:p>
    <w:p>
      <w:pPr>
        <w:spacing w:after="0" w:line="304" w:lineRule="auto"/>
        <w:jc w:val="left"/>
        <w:sectPr>
          <w:pgSz w:w="11910" w:h="16840"/>
          <w:pgMar w:header="784" w:footer="1022" w:top="1100" w:bottom="122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7"/>
          <w:szCs w:val="17"/>
        </w:rPr>
      </w:pPr>
    </w:p>
    <w:p>
      <w:pPr>
        <w:pStyle w:val="Heading1"/>
        <w:spacing w:line="240" w:lineRule="auto"/>
        <w:ind w:left="3529" w:right="0"/>
        <w:jc w:val="left"/>
        <w:rPr>
          <w:b w:val="0"/>
          <w:bCs w:val="0"/>
        </w:rPr>
      </w:pPr>
      <w:bookmarkStart w:name="第三节公司业务概要" w:id="16"/>
      <w:bookmarkEnd w:id="16"/>
      <w:r>
        <w:rPr>
          <w:b w:val="0"/>
          <w:bCs w:val="0"/>
        </w:rPr>
      </w:r>
      <w:bookmarkStart w:name="_bookmark2" w:id="17"/>
      <w:bookmarkEnd w:id="17"/>
      <w:r>
        <w:rPr>
          <w:b w:val="0"/>
          <w:bCs w:val="0"/>
        </w:rPr>
      </w:r>
      <w:r>
        <w:rPr/>
        <w:t>第三节公司业务概要</w:t>
      </w:r>
      <w:r>
        <w:rPr>
          <w:b w:val="0"/>
          <w:bCs w:val="0"/>
        </w:rPr>
      </w:r>
    </w:p>
    <w:p>
      <w:pPr>
        <w:spacing w:line="240" w:lineRule="auto" w:before="4"/>
        <w:rPr>
          <w:rFonts w:ascii="宋体" w:hAnsi="宋体" w:cs="宋体" w:eastAsia="宋体" w:hint="default"/>
          <w:b/>
          <w:bCs/>
          <w:sz w:val="38"/>
          <w:szCs w:val="38"/>
        </w:rPr>
      </w:pPr>
    </w:p>
    <w:p>
      <w:pPr>
        <w:pStyle w:val="Heading2"/>
        <w:spacing w:line="240" w:lineRule="auto"/>
        <w:ind w:right="0"/>
        <w:jc w:val="left"/>
        <w:rPr>
          <w:b w:val="0"/>
          <w:bCs w:val="0"/>
        </w:rPr>
      </w:pPr>
      <w:bookmarkStart w:name="一、报告期内公司从事的主要业务" w:id="18"/>
      <w:bookmarkEnd w:id="18"/>
      <w:r>
        <w:rPr>
          <w:b w:val="0"/>
          <w:bCs w:val="0"/>
        </w:rPr>
      </w:r>
      <w:r>
        <w:rPr/>
        <w:t>一、报告期内公司从事的主要业务</w:t>
      </w:r>
      <w:r>
        <w:rPr>
          <w:b w:val="0"/>
          <w:bCs w:val="0"/>
        </w:rPr>
      </w:r>
    </w:p>
    <w:p>
      <w:pPr>
        <w:spacing w:line="240" w:lineRule="auto" w:before="3"/>
        <w:rPr>
          <w:rFonts w:ascii="宋体" w:hAnsi="宋体" w:cs="宋体" w:eastAsia="宋体" w:hint="default"/>
          <w:b/>
          <w:bCs/>
          <w:sz w:val="27"/>
          <w:szCs w:val="27"/>
        </w:rPr>
      </w:pPr>
    </w:p>
    <w:p>
      <w:pPr>
        <w:spacing w:line="316" w:lineRule="auto" w:before="0"/>
        <w:ind w:left="513" w:right="0" w:firstLine="0"/>
        <w:jc w:val="left"/>
        <w:rPr>
          <w:rFonts w:ascii="宋体" w:hAnsi="宋体" w:cs="宋体" w:eastAsia="宋体" w:hint="default"/>
          <w:sz w:val="18"/>
          <w:szCs w:val="18"/>
        </w:rPr>
      </w:pPr>
      <w:r>
        <w:rPr>
          <w:rFonts w:ascii="宋体" w:hAnsi="宋体" w:cs="宋体" w:eastAsia="宋体" w:hint="default"/>
          <w:b/>
          <w:bCs/>
          <w:sz w:val="18"/>
          <w:szCs w:val="18"/>
        </w:rPr>
        <w:t>(</w:t>
      </w:r>
      <w:r>
        <w:rPr>
          <w:rFonts w:ascii="宋体" w:hAnsi="宋体" w:cs="宋体" w:eastAsia="宋体" w:hint="default"/>
          <w:b/>
          <w:bCs/>
          <w:sz w:val="18"/>
          <w:szCs w:val="18"/>
        </w:rPr>
        <w:t>一</w:t>
      </w:r>
      <w:r>
        <w:rPr>
          <w:rFonts w:ascii="宋体" w:hAnsi="宋体" w:cs="宋体" w:eastAsia="宋体" w:hint="default"/>
          <w:b/>
          <w:bCs/>
          <w:sz w:val="18"/>
          <w:szCs w:val="18"/>
        </w:rPr>
        <w:t>)</w:t>
      </w:r>
      <w:r>
        <w:rPr>
          <w:rFonts w:ascii="宋体" w:hAnsi="宋体" w:cs="宋体" w:eastAsia="宋体" w:hint="default"/>
          <w:b/>
          <w:bCs/>
          <w:sz w:val="18"/>
          <w:szCs w:val="18"/>
        </w:rPr>
        <w:t>报告期内公司从事的主要业务</w:t>
      </w:r>
      <w:r>
        <w:rPr>
          <w:rFonts w:ascii="宋体" w:hAnsi="宋体" w:cs="宋体" w:eastAsia="宋体" w:hint="default"/>
          <w:b/>
          <w:bCs/>
          <w:spacing w:val="-86"/>
          <w:sz w:val="18"/>
          <w:szCs w:val="18"/>
        </w:rPr>
        <w:t> </w:t>
      </w:r>
      <w:r>
        <w:rPr>
          <w:rFonts w:ascii="宋体" w:hAnsi="宋体" w:cs="宋体" w:eastAsia="宋体" w:hint="default"/>
          <w:b/>
          <w:bCs/>
          <w:spacing w:val="-86"/>
          <w:sz w:val="18"/>
          <w:szCs w:val="18"/>
        </w:rPr>
      </w:r>
      <w:r>
        <w:rPr>
          <w:rFonts w:ascii="宋体" w:hAnsi="宋体" w:cs="宋体" w:eastAsia="宋体" w:hint="default"/>
          <w:spacing w:val="-3"/>
          <w:sz w:val="18"/>
          <w:szCs w:val="18"/>
        </w:rPr>
        <w:t>公司为全球技术领先的</w:t>
      </w:r>
      <w:r>
        <w:rPr>
          <w:rFonts w:ascii="宋体" w:hAnsi="宋体" w:cs="宋体" w:eastAsia="宋体" w:hint="default"/>
          <w:spacing w:val="-3"/>
          <w:sz w:val="18"/>
          <w:szCs w:val="18"/>
        </w:rPr>
        <w:t>LED</w:t>
      </w:r>
      <w:r>
        <w:rPr>
          <w:rFonts w:ascii="宋体" w:hAnsi="宋体" w:cs="宋体" w:eastAsia="宋体" w:hint="default"/>
          <w:spacing w:val="-3"/>
          <w:sz w:val="18"/>
          <w:szCs w:val="18"/>
        </w:rPr>
        <w:t>应用及金融科技综合解决方案提供商，为全球客户提供需求分析、方案设计、研发制造及专</w:t>
      </w:r>
    </w:p>
    <w:p>
      <w:pPr>
        <w:pStyle w:val="BodyText"/>
        <w:spacing w:line="316" w:lineRule="auto" w:before="19"/>
        <w:ind w:left="513" w:right="0" w:hanging="360"/>
        <w:jc w:val="left"/>
      </w:pPr>
      <w:r>
        <w:rPr>
          <w:spacing w:val="-3"/>
        </w:rPr>
        <w:t>业服务。随着公司集成能力的不断提升，逐步向智能视讯系统集成商转型。</w:t>
      </w:r>
      <w:r>
        <w:rPr>
          <w:spacing w:val="8"/>
        </w:rPr>
        <w:t> </w:t>
      </w:r>
      <w:r>
        <w:rPr>
          <w:spacing w:val="8"/>
        </w:rPr>
      </w:r>
      <w:r>
        <w:rPr>
          <w:spacing w:val="-4"/>
        </w:rPr>
        <w:t>金融科技业务涵盖智慧银行、智能服务机器人、智能信息管控平台、区块链技术运用、银行跨平台自助服务等产品及解</w:t>
      </w:r>
    </w:p>
    <w:p>
      <w:pPr>
        <w:pStyle w:val="BodyText"/>
        <w:spacing w:line="240" w:lineRule="auto" w:before="19"/>
        <w:ind w:right="0"/>
        <w:jc w:val="left"/>
      </w:pPr>
      <w:r>
        <w:rPr>
          <w:spacing w:val="-3"/>
        </w:rPr>
        <w:t>决方案，主要应用于银行、电信、邮政及政务等领域。</w:t>
      </w:r>
    </w:p>
    <w:p>
      <w:pPr>
        <w:pStyle w:val="BodyText"/>
        <w:spacing w:line="316" w:lineRule="auto" w:before="76"/>
        <w:ind w:right="0" w:firstLine="360"/>
        <w:jc w:val="left"/>
      </w:pPr>
      <w:r>
        <w:rPr>
          <w:rFonts w:ascii="宋体" w:hAnsi="宋体" w:cs="宋体" w:eastAsia="宋体" w:hint="default"/>
        </w:rPr>
        <w:t>LED</w:t>
      </w:r>
      <w:r>
        <w:rPr/>
        <w:t>显示业务涵盖</w:t>
      </w:r>
      <w:r>
        <w:rPr>
          <w:rFonts w:ascii="宋体" w:hAnsi="宋体" w:cs="宋体" w:eastAsia="宋体" w:hint="default"/>
        </w:rPr>
        <w:t>Mini</w:t>
      </w:r>
      <w:r>
        <w:rPr>
          <w:rFonts w:ascii="宋体" w:hAnsi="宋体" w:cs="宋体" w:eastAsia="宋体" w:hint="default"/>
          <w:spacing w:val="18"/>
        </w:rPr>
        <w:t> </w:t>
      </w:r>
      <w:r>
        <w:rPr>
          <w:rFonts w:ascii="宋体" w:hAnsi="宋体" w:cs="宋体" w:eastAsia="宋体" w:hint="default"/>
          <w:spacing w:val="-3"/>
        </w:rPr>
        <w:t>LED</w:t>
      </w:r>
      <w:r>
        <w:rPr>
          <w:spacing w:val="-3"/>
        </w:rPr>
        <w:t>显示屏、传统</w:t>
      </w:r>
      <w:r>
        <w:rPr>
          <w:rFonts w:ascii="宋体" w:hAnsi="宋体" w:cs="宋体" w:eastAsia="宋体" w:hint="default"/>
          <w:spacing w:val="-3"/>
        </w:rPr>
        <w:t>LED</w:t>
      </w:r>
      <w:r>
        <w:rPr>
          <w:spacing w:val="-3"/>
        </w:rPr>
        <w:t>显示屏、透明屏等产品及解决方案，主要应用于大交通、体育赛事、广告、</w:t>
      </w:r>
      <w:r>
        <w:rPr>
          <w:w w:val="101"/>
        </w:rPr>
        <w:t> </w:t>
      </w:r>
      <w:r>
        <w:rPr>
          <w:spacing w:val="-3"/>
        </w:rPr>
        <w:t>租赁演艺、广播电视、控制室、数字媒体等专业和商业显示领域。</w:t>
      </w:r>
    </w:p>
    <w:p>
      <w:pPr>
        <w:pStyle w:val="BodyText"/>
        <w:spacing w:line="240" w:lineRule="auto" w:before="19"/>
        <w:ind w:left="513" w:right="0"/>
        <w:jc w:val="left"/>
      </w:pPr>
      <w:r>
        <w:rPr>
          <w:spacing w:val="-3"/>
        </w:rPr>
        <w:t>智慧照明业务主要涵盖智慧城市景观亮化工程、智慧照明控制平台、智慧灯杆集成及平台开发等业务领域。</w:t>
      </w:r>
    </w:p>
    <w:p>
      <w:pPr>
        <w:spacing w:line="240" w:lineRule="auto" w:before="2"/>
        <w:rPr>
          <w:rFonts w:ascii="宋体" w:hAnsi="宋体" w:cs="宋体" w:eastAsia="宋体" w:hint="default"/>
          <w:sz w:val="7"/>
          <w:szCs w:val="7"/>
        </w:rPr>
      </w:pPr>
    </w:p>
    <w:p>
      <w:pPr>
        <w:spacing w:line="7182" w:lineRule="exact"/>
        <w:ind w:left="777" w:right="0" w:firstLine="0"/>
        <w:rPr>
          <w:rFonts w:ascii="宋体" w:hAnsi="宋体" w:cs="宋体" w:eastAsia="宋体" w:hint="default"/>
          <w:sz w:val="20"/>
          <w:szCs w:val="20"/>
        </w:rPr>
      </w:pPr>
      <w:r>
        <w:rPr>
          <w:rFonts w:ascii="宋体" w:hAnsi="宋体" w:cs="宋体" w:eastAsia="宋体" w:hint="default"/>
          <w:position w:val="-143"/>
          <w:sz w:val="20"/>
          <w:szCs w:val="20"/>
        </w:rPr>
        <w:drawing>
          <wp:inline distT="0" distB="0" distL="0" distR="0">
            <wp:extent cx="5379331" cy="4560570"/>
            <wp:effectExtent l="0" t="0" r="0" b="0"/>
            <wp:docPr id="3" name="image3.png" descr=""/>
            <wp:cNvGraphicFramePr>
              <a:graphicFrameLocks noChangeAspect="1"/>
            </wp:cNvGraphicFramePr>
            <a:graphic>
              <a:graphicData uri="http://schemas.openxmlformats.org/drawingml/2006/picture">
                <pic:pic>
                  <pic:nvPicPr>
                    <pic:cNvPr id="4" name="image3.png"/>
                    <pic:cNvPicPr/>
                  </pic:nvPicPr>
                  <pic:blipFill>
                    <a:blip r:embed="rId13" cstate="print"/>
                    <a:stretch>
                      <a:fillRect/>
                    </a:stretch>
                  </pic:blipFill>
                  <pic:spPr>
                    <a:xfrm>
                      <a:off x="0" y="0"/>
                      <a:ext cx="5379331" cy="4560570"/>
                    </a:xfrm>
                    <a:prstGeom prst="rect">
                      <a:avLst/>
                    </a:prstGeom>
                  </pic:spPr>
                </pic:pic>
              </a:graphicData>
            </a:graphic>
          </wp:inline>
        </w:drawing>
      </w:r>
      <w:r>
        <w:rPr>
          <w:rFonts w:ascii="宋体" w:hAnsi="宋体" w:cs="宋体" w:eastAsia="宋体" w:hint="default"/>
          <w:position w:val="-143"/>
          <w:sz w:val="20"/>
          <w:szCs w:val="20"/>
        </w:rPr>
      </w:r>
    </w:p>
    <w:p>
      <w:pPr>
        <w:spacing w:line="240" w:lineRule="auto" w:before="3"/>
        <w:rPr>
          <w:rFonts w:ascii="宋体" w:hAnsi="宋体" w:cs="宋体" w:eastAsia="宋体" w:hint="default"/>
          <w:sz w:val="22"/>
          <w:szCs w:val="22"/>
        </w:rPr>
      </w:pPr>
    </w:p>
    <w:p>
      <w:pPr>
        <w:pStyle w:val="Heading6"/>
        <w:spacing w:line="240" w:lineRule="auto"/>
        <w:ind w:left="513" w:right="0"/>
        <w:jc w:val="left"/>
        <w:rPr>
          <w:b w:val="0"/>
          <w:bCs w:val="0"/>
        </w:rPr>
      </w:pPr>
      <w:r>
        <w:rPr/>
        <w:t>（二）报告期内公司所属行业的发展阶段、周期性特点以及公司所处的行业地位</w:t>
      </w:r>
      <w:r>
        <w:rPr>
          <w:b w:val="0"/>
          <w:bCs w:val="0"/>
        </w:rPr>
      </w:r>
    </w:p>
    <w:p>
      <w:pPr>
        <w:spacing w:line="240" w:lineRule="auto" w:before="0"/>
        <w:rPr>
          <w:rFonts w:ascii="宋体" w:hAnsi="宋体" w:cs="宋体" w:eastAsia="宋体" w:hint="default"/>
          <w:b/>
          <w:bCs/>
          <w:sz w:val="5"/>
          <w:szCs w:val="5"/>
        </w:rPr>
      </w:pPr>
    </w:p>
    <w:tbl>
      <w:tblPr>
        <w:tblW w:w="0" w:type="auto"/>
        <w:jc w:val="left"/>
        <w:tblInd w:w="681" w:type="dxa"/>
        <w:tblLayout w:type="fixed"/>
        <w:tblCellMar>
          <w:top w:w="0" w:type="dxa"/>
          <w:left w:w="0" w:type="dxa"/>
          <w:bottom w:w="0" w:type="dxa"/>
          <w:right w:w="0" w:type="dxa"/>
        </w:tblCellMar>
        <w:tblLook w:val="01E0"/>
      </w:tblPr>
      <w:tblGrid>
        <w:gridCol w:w="1119"/>
        <w:gridCol w:w="4821"/>
        <w:gridCol w:w="2603"/>
      </w:tblGrid>
      <w:tr>
        <w:trPr>
          <w:trHeight w:val="350" w:hRule="exact"/>
        </w:trPr>
        <w:tc>
          <w:tcPr>
            <w:tcW w:w="1119" w:type="dxa"/>
            <w:tcBorders>
              <w:top w:val="single" w:sz="12" w:space="0" w:color="000000"/>
              <w:left w:val="nil" w:sz="6" w:space="0" w:color="auto"/>
              <w:bottom w:val="single" w:sz="4" w:space="0" w:color="000000"/>
              <w:right w:val="single" w:sz="4" w:space="0" w:color="000000"/>
            </w:tcBorders>
          </w:tcPr>
          <w:p>
            <w:pPr>
              <w:pStyle w:val="TableParagraph"/>
              <w:spacing w:line="270" w:lineRule="exact"/>
              <w:ind w:left="18" w:right="0"/>
              <w:jc w:val="center"/>
              <w:rPr>
                <w:rFonts w:ascii="宋体" w:hAnsi="宋体" w:cs="宋体" w:eastAsia="宋体" w:hint="default"/>
                <w:sz w:val="21"/>
                <w:szCs w:val="21"/>
              </w:rPr>
            </w:pPr>
            <w:r>
              <w:rPr>
                <w:rFonts w:ascii="宋体" w:hAnsi="宋体" w:cs="宋体" w:eastAsia="宋体" w:hint="default"/>
                <w:b/>
                <w:bCs/>
                <w:sz w:val="21"/>
                <w:szCs w:val="21"/>
              </w:rPr>
              <w:t>业务板块</w:t>
            </w:r>
            <w:r>
              <w:rPr>
                <w:rFonts w:ascii="宋体" w:hAnsi="宋体" w:cs="宋体" w:eastAsia="宋体" w:hint="default"/>
                <w:sz w:val="21"/>
                <w:szCs w:val="21"/>
              </w:rPr>
            </w:r>
          </w:p>
        </w:tc>
        <w:tc>
          <w:tcPr>
            <w:tcW w:w="4821" w:type="dxa"/>
            <w:tcBorders>
              <w:top w:val="single" w:sz="12" w:space="0" w:color="000000"/>
              <w:left w:val="single" w:sz="4" w:space="0" w:color="000000"/>
              <w:bottom w:val="single" w:sz="4" w:space="0" w:color="000000"/>
              <w:right w:val="single" w:sz="4" w:space="0" w:color="000000"/>
            </w:tcBorders>
          </w:tcPr>
          <w:p>
            <w:pPr>
              <w:pStyle w:val="TableParagraph"/>
              <w:spacing w:line="270" w:lineRule="exact"/>
              <w:ind w:left="1454" w:right="0"/>
              <w:jc w:val="left"/>
              <w:rPr>
                <w:rFonts w:ascii="宋体" w:hAnsi="宋体" w:cs="宋体" w:eastAsia="宋体" w:hint="default"/>
                <w:sz w:val="21"/>
                <w:szCs w:val="21"/>
              </w:rPr>
            </w:pPr>
            <w:r>
              <w:rPr>
                <w:rFonts w:ascii="宋体" w:hAnsi="宋体" w:cs="宋体" w:eastAsia="宋体" w:hint="default"/>
                <w:b/>
                <w:bCs/>
                <w:sz w:val="21"/>
                <w:szCs w:val="21"/>
              </w:rPr>
              <w:t>行业现状及发展趋势</w:t>
            </w:r>
            <w:r>
              <w:rPr>
                <w:rFonts w:ascii="宋体" w:hAnsi="宋体" w:cs="宋体" w:eastAsia="宋体" w:hint="default"/>
                <w:sz w:val="21"/>
                <w:szCs w:val="21"/>
              </w:rPr>
            </w:r>
          </w:p>
        </w:tc>
        <w:tc>
          <w:tcPr>
            <w:tcW w:w="2603" w:type="dxa"/>
            <w:tcBorders>
              <w:top w:val="single" w:sz="12" w:space="0" w:color="000000"/>
              <w:left w:val="single" w:sz="4" w:space="0" w:color="000000"/>
              <w:bottom w:val="single" w:sz="4" w:space="0" w:color="000000"/>
              <w:right w:val="nil" w:sz="6" w:space="0" w:color="auto"/>
            </w:tcBorders>
          </w:tcPr>
          <w:p>
            <w:pPr>
              <w:pStyle w:val="TableParagraph"/>
              <w:spacing w:line="270" w:lineRule="exact"/>
              <w:ind w:right="2"/>
              <w:jc w:val="center"/>
              <w:rPr>
                <w:rFonts w:ascii="宋体" w:hAnsi="宋体" w:cs="宋体" w:eastAsia="宋体" w:hint="default"/>
                <w:sz w:val="21"/>
                <w:szCs w:val="21"/>
              </w:rPr>
            </w:pPr>
            <w:r>
              <w:rPr>
                <w:rFonts w:ascii="宋体" w:hAnsi="宋体" w:cs="宋体" w:eastAsia="宋体" w:hint="default"/>
                <w:b/>
                <w:bCs/>
                <w:sz w:val="21"/>
                <w:szCs w:val="21"/>
              </w:rPr>
              <w:t>行业地位</w:t>
            </w:r>
            <w:r>
              <w:rPr>
                <w:rFonts w:ascii="宋体" w:hAnsi="宋体" w:cs="宋体" w:eastAsia="宋体" w:hint="default"/>
                <w:sz w:val="21"/>
                <w:szCs w:val="21"/>
              </w:rPr>
            </w:r>
          </w:p>
        </w:tc>
      </w:tr>
      <w:tr>
        <w:trPr>
          <w:trHeight w:val="975" w:hRule="exact"/>
        </w:trPr>
        <w:tc>
          <w:tcPr>
            <w:tcW w:w="1119"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5"/>
                <w:szCs w:val="25"/>
              </w:rPr>
            </w:pPr>
          </w:p>
          <w:p>
            <w:pPr>
              <w:pStyle w:val="TableParagraph"/>
              <w:spacing w:line="240" w:lineRule="auto"/>
              <w:ind w:left="23" w:right="0"/>
              <w:jc w:val="center"/>
              <w:rPr>
                <w:rFonts w:ascii="宋体" w:hAnsi="宋体" w:cs="宋体" w:eastAsia="宋体" w:hint="default"/>
                <w:sz w:val="18"/>
                <w:szCs w:val="18"/>
              </w:rPr>
            </w:pPr>
            <w:r>
              <w:rPr>
                <w:rFonts w:ascii="宋体" w:hAnsi="宋体" w:cs="宋体" w:eastAsia="宋体" w:hint="default"/>
                <w:sz w:val="18"/>
                <w:szCs w:val="18"/>
              </w:rPr>
              <w:t>金融科技</w:t>
            </w:r>
          </w:p>
        </w:tc>
        <w:tc>
          <w:tcPr>
            <w:tcW w:w="4821" w:type="dxa"/>
            <w:tcBorders>
              <w:top w:val="single" w:sz="4" w:space="0" w:color="000000"/>
              <w:left w:val="single" w:sz="4" w:space="0" w:color="000000"/>
              <w:bottom w:val="single" w:sz="12" w:space="0" w:color="000000"/>
              <w:right w:val="single" w:sz="4" w:space="0" w:color="000000"/>
            </w:tcBorders>
          </w:tcPr>
          <w:p>
            <w:pPr>
              <w:pStyle w:val="TableParagraph"/>
              <w:spacing w:line="316" w:lineRule="auto" w:before="20"/>
              <w:ind w:left="4" w:right="-15"/>
              <w:jc w:val="both"/>
              <w:rPr>
                <w:rFonts w:ascii="宋体" w:hAnsi="宋体" w:cs="宋体" w:eastAsia="宋体" w:hint="default"/>
                <w:sz w:val="18"/>
                <w:szCs w:val="18"/>
              </w:rPr>
            </w:pPr>
            <w:r>
              <w:rPr>
                <w:rFonts w:ascii="宋体" w:hAnsi="宋体" w:cs="宋体" w:eastAsia="宋体" w:hint="default"/>
                <w:spacing w:val="-9"/>
                <w:w w:val="101"/>
                <w:sz w:val="18"/>
                <w:szCs w:val="18"/>
              </w:rPr>
              <w:t>2018</w:t>
            </w:r>
            <w:r>
              <w:rPr>
                <w:rFonts w:ascii="宋体" w:hAnsi="宋体" w:cs="宋体" w:eastAsia="宋体" w:hint="default"/>
                <w:spacing w:val="-9"/>
                <w:w w:val="101"/>
                <w:sz w:val="18"/>
                <w:szCs w:val="18"/>
              </w:rPr>
              <w:t>年，各大银行积极推动银行智能化改造，</w:t>
            </w:r>
            <w:r>
              <w:rPr>
                <w:rFonts w:ascii="宋体" w:hAnsi="宋体" w:cs="宋体" w:eastAsia="宋体" w:hint="default"/>
                <w:spacing w:val="-9"/>
                <w:w w:val="101"/>
                <w:sz w:val="18"/>
                <w:szCs w:val="18"/>
              </w:rPr>
              <w:t>2019</w:t>
            </w:r>
            <w:r>
              <w:rPr>
                <w:rFonts w:ascii="宋体" w:hAnsi="宋体" w:cs="宋体" w:eastAsia="宋体" w:hint="default"/>
                <w:spacing w:val="-9"/>
                <w:w w:val="101"/>
                <w:sz w:val="18"/>
                <w:szCs w:val="18"/>
              </w:rPr>
              <w:t>年工商银行、</w:t>
            </w:r>
            <w:r>
              <w:rPr>
                <w:rFonts w:ascii="宋体" w:hAnsi="宋体" w:cs="宋体" w:eastAsia="宋体" w:hint="default"/>
                <w:spacing w:val="-77"/>
                <w:w w:val="101"/>
                <w:sz w:val="18"/>
                <w:szCs w:val="18"/>
              </w:rPr>
              <w:t> </w:t>
            </w:r>
            <w:r>
              <w:rPr>
                <w:rFonts w:ascii="宋体" w:hAnsi="宋体" w:cs="宋体" w:eastAsia="宋体" w:hint="default"/>
                <w:spacing w:val="-5"/>
                <w:sz w:val="18"/>
                <w:szCs w:val="18"/>
              </w:rPr>
              <w:t>建设银行等银行推出基于</w:t>
            </w:r>
            <w:r>
              <w:rPr>
                <w:rFonts w:ascii="宋体" w:hAnsi="宋体" w:cs="宋体" w:eastAsia="宋体" w:hint="default"/>
                <w:spacing w:val="-5"/>
                <w:sz w:val="18"/>
                <w:szCs w:val="18"/>
              </w:rPr>
              <w:t>5G</w:t>
            </w:r>
            <w:r>
              <w:rPr>
                <w:rFonts w:ascii="宋体" w:hAnsi="宋体" w:cs="宋体" w:eastAsia="宋体" w:hint="default"/>
                <w:spacing w:val="-5"/>
                <w:sz w:val="18"/>
                <w:szCs w:val="18"/>
              </w:rPr>
              <w:t>应用的新型智能化网点，银行智能</w:t>
            </w:r>
            <w:r>
              <w:rPr>
                <w:rFonts w:ascii="宋体" w:hAnsi="宋体" w:cs="宋体" w:eastAsia="宋体" w:hint="default"/>
                <w:spacing w:val="-9"/>
                <w:sz w:val="18"/>
                <w:szCs w:val="18"/>
              </w:rPr>
              <w:t> </w:t>
            </w:r>
            <w:r>
              <w:rPr>
                <w:rFonts w:ascii="宋体" w:hAnsi="宋体" w:cs="宋体" w:eastAsia="宋体" w:hint="default"/>
                <w:spacing w:val="-9"/>
                <w:sz w:val="18"/>
                <w:szCs w:val="18"/>
              </w:rPr>
            </w:r>
            <w:r>
              <w:rPr>
                <w:rFonts w:ascii="宋体" w:hAnsi="宋体" w:cs="宋体" w:eastAsia="宋体" w:hint="default"/>
                <w:spacing w:val="-3"/>
                <w:sz w:val="18"/>
                <w:szCs w:val="18"/>
              </w:rPr>
              <w:t>化改造市场逐渐进入新的高潮。</w:t>
            </w:r>
          </w:p>
        </w:tc>
        <w:tc>
          <w:tcPr>
            <w:tcW w:w="2603" w:type="dxa"/>
            <w:tcBorders>
              <w:top w:val="single" w:sz="4" w:space="0" w:color="000000"/>
              <w:left w:val="single" w:sz="4" w:space="0" w:color="000000"/>
              <w:bottom w:val="single" w:sz="12" w:space="0" w:color="000000"/>
              <w:right w:val="nil" w:sz="6" w:space="0" w:color="auto"/>
            </w:tcBorders>
          </w:tcPr>
          <w:p>
            <w:pPr>
              <w:pStyle w:val="TableParagraph"/>
              <w:spacing w:line="316" w:lineRule="auto" w:before="20"/>
              <w:ind w:left="4" w:right="65"/>
              <w:jc w:val="both"/>
              <w:rPr>
                <w:rFonts w:ascii="宋体" w:hAnsi="宋体" w:cs="宋体" w:eastAsia="宋体" w:hint="default"/>
                <w:sz w:val="18"/>
                <w:szCs w:val="18"/>
              </w:rPr>
            </w:pPr>
            <w:r>
              <w:rPr>
                <w:rFonts w:ascii="宋体" w:hAnsi="宋体" w:cs="宋体" w:eastAsia="宋体" w:hint="default"/>
                <w:spacing w:val="-3"/>
                <w:sz w:val="18"/>
                <w:szCs w:val="18"/>
              </w:rPr>
              <w:t>智能银行、综合信息发布及指示</w:t>
            </w:r>
            <w:r>
              <w:rPr>
                <w:rFonts w:ascii="宋体" w:hAnsi="宋体" w:cs="宋体" w:eastAsia="宋体" w:hint="default"/>
                <w:spacing w:val="-45"/>
                <w:sz w:val="18"/>
                <w:szCs w:val="18"/>
              </w:rPr>
              <w:t> </w:t>
            </w:r>
            <w:r>
              <w:rPr>
                <w:rFonts w:ascii="宋体" w:hAnsi="宋体" w:cs="宋体" w:eastAsia="宋体" w:hint="default"/>
                <w:spacing w:val="-45"/>
                <w:sz w:val="18"/>
                <w:szCs w:val="18"/>
              </w:rPr>
            </w:r>
            <w:r>
              <w:rPr>
                <w:rFonts w:ascii="宋体" w:hAnsi="宋体" w:cs="宋体" w:eastAsia="宋体" w:hint="default"/>
                <w:spacing w:val="-3"/>
                <w:sz w:val="18"/>
                <w:szCs w:val="18"/>
              </w:rPr>
              <w:t>系统等综合解决方案国内市场占</w:t>
            </w:r>
            <w:r>
              <w:rPr>
                <w:rFonts w:ascii="宋体" w:hAnsi="宋体" w:cs="宋体" w:eastAsia="宋体" w:hint="default"/>
                <w:spacing w:val="-45"/>
                <w:sz w:val="18"/>
                <w:szCs w:val="18"/>
              </w:rPr>
              <w:t> </w:t>
            </w:r>
            <w:r>
              <w:rPr>
                <w:rFonts w:ascii="宋体" w:hAnsi="宋体" w:cs="宋体" w:eastAsia="宋体" w:hint="default"/>
                <w:spacing w:val="-45"/>
                <w:sz w:val="18"/>
                <w:szCs w:val="18"/>
              </w:rPr>
            </w:r>
            <w:r>
              <w:rPr>
                <w:rFonts w:ascii="宋体" w:hAnsi="宋体" w:cs="宋体" w:eastAsia="宋体" w:hint="default"/>
                <w:sz w:val="18"/>
                <w:szCs w:val="18"/>
              </w:rPr>
              <w:t>有率排名前列</w:t>
            </w:r>
          </w:p>
        </w:tc>
      </w:tr>
    </w:tbl>
    <w:p>
      <w:pPr>
        <w:spacing w:after="0" w:line="316" w:lineRule="auto"/>
        <w:jc w:val="both"/>
        <w:rPr>
          <w:rFonts w:ascii="宋体" w:hAnsi="宋体" w:cs="宋体" w:eastAsia="宋体" w:hint="default"/>
          <w:sz w:val="18"/>
          <w:szCs w:val="18"/>
        </w:rPr>
        <w:sectPr>
          <w:pgSz w:w="11910" w:h="16840"/>
          <w:pgMar w:header="784" w:footer="1022" w:top="1100" w:bottom="1220" w:left="980" w:right="0"/>
        </w:sectPr>
      </w:pPr>
    </w:p>
    <w:p>
      <w:pPr>
        <w:spacing w:line="240" w:lineRule="auto" w:before="7"/>
        <w:rPr>
          <w:rFonts w:ascii="宋体" w:hAnsi="宋体" w:cs="宋体" w:eastAsia="宋体" w:hint="default"/>
          <w:b/>
          <w:bCs/>
          <w:sz w:val="25"/>
          <w:szCs w:val="25"/>
        </w:rPr>
      </w:pPr>
    </w:p>
    <w:tbl>
      <w:tblPr>
        <w:tblW w:w="0" w:type="auto"/>
        <w:jc w:val="left"/>
        <w:tblInd w:w="681" w:type="dxa"/>
        <w:tblLayout w:type="fixed"/>
        <w:tblCellMar>
          <w:top w:w="0" w:type="dxa"/>
          <w:left w:w="0" w:type="dxa"/>
          <w:bottom w:w="0" w:type="dxa"/>
          <w:right w:w="0" w:type="dxa"/>
        </w:tblCellMar>
        <w:tblLook w:val="01E0"/>
      </w:tblPr>
      <w:tblGrid>
        <w:gridCol w:w="1119"/>
        <w:gridCol w:w="4821"/>
        <w:gridCol w:w="2603"/>
      </w:tblGrid>
      <w:tr>
        <w:trPr>
          <w:trHeight w:val="1287" w:hRule="exact"/>
        </w:trPr>
        <w:tc>
          <w:tcPr>
            <w:tcW w:w="1119" w:type="dxa"/>
            <w:tcBorders>
              <w:top w:val="single" w:sz="12"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left="254" w:right="0"/>
              <w:jc w:val="left"/>
              <w:rPr>
                <w:rFonts w:ascii="宋体" w:hAnsi="宋体" w:cs="宋体" w:eastAsia="宋体" w:hint="default"/>
                <w:sz w:val="18"/>
                <w:szCs w:val="18"/>
              </w:rPr>
            </w:pPr>
            <w:r>
              <w:rPr>
                <w:rFonts w:ascii="宋体" w:hAnsi="宋体" w:cs="宋体" w:eastAsia="宋体" w:hint="default"/>
                <w:sz w:val="18"/>
                <w:szCs w:val="18"/>
              </w:rPr>
              <w:t>LED</w:t>
            </w:r>
            <w:r>
              <w:rPr>
                <w:rFonts w:ascii="宋体" w:hAnsi="宋体" w:cs="宋体" w:eastAsia="宋体" w:hint="default"/>
                <w:sz w:val="18"/>
                <w:szCs w:val="18"/>
              </w:rPr>
              <w:t>显示</w:t>
            </w:r>
          </w:p>
        </w:tc>
        <w:tc>
          <w:tcPr>
            <w:tcW w:w="4821" w:type="dxa"/>
            <w:tcBorders>
              <w:top w:val="single" w:sz="12" w:space="0" w:color="000000"/>
              <w:left w:val="single" w:sz="4" w:space="0" w:color="000000"/>
              <w:bottom w:val="single" w:sz="4" w:space="0" w:color="000000"/>
              <w:right w:val="single" w:sz="4" w:space="0" w:color="000000"/>
            </w:tcBorders>
          </w:tcPr>
          <w:p>
            <w:pPr>
              <w:pStyle w:val="TableParagraph"/>
              <w:spacing w:line="319" w:lineRule="auto" w:before="20"/>
              <w:ind w:left="4" w:right="0"/>
              <w:jc w:val="both"/>
              <w:rPr>
                <w:rFonts w:ascii="宋体" w:hAnsi="宋体" w:cs="宋体" w:eastAsia="宋体" w:hint="default"/>
                <w:sz w:val="18"/>
                <w:szCs w:val="18"/>
              </w:rPr>
            </w:pPr>
            <w:r>
              <w:rPr>
                <w:rFonts w:ascii="宋体" w:hAnsi="宋体" w:cs="宋体" w:eastAsia="宋体" w:hint="default"/>
                <w:sz w:val="18"/>
                <w:szCs w:val="18"/>
              </w:rPr>
              <w:t>Mini </w:t>
            </w:r>
            <w:r>
              <w:rPr>
                <w:rFonts w:ascii="宋体" w:hAnsi="宋体" w:cs="宋体" w:eastAsia="宋体" w:hint="default"/>
                <w:spacing w:val="-3"/>
                <w:sz w:val="18"/>
                <w:szCs w:val="18"/>
              </w:rPr>
              <w:t>LED</w:t>
            </w:r>
            <w:r>
              <w:rPr>
                <w:rFonts w:ascii="宋体" w:hAnsi="宋体" w:cs="宋体" w:eastAsia="宋体" w:hint="default"/>
                <w:spacing w:val="-3"/>
                <w:sz w:val="18"/>
                <w:szCs w:val="18"/>
              </w:rPr>
              <w:t>显示市场处于爆发期，受国家政策驱动，超高清显示</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pacing w:val="-3"/>
                <w:sz w:val="18"/>
                <w:szCs w:val="18"/>
              </w:rPr>
              <w:t>市场将进入快速增长期；</w:t>
            </w:r>
            <w:r>
              <w:rPr>
                <w:rFonts w:ascii="宋体" w:hAnsi="宋体" w:cs="宋体" w:eastAsia="宋体" w:hint="default"/>
                <w:spacing w:val="-3"/>
                <w:sz w:val="18"/>
                <w:szCs w:val="18"/>
              </w:rPr>
              <w:t>2020</w:t>
            </w:r>
            <w:r>
              <w:rPr>
                <w:rFonts w:ascii="宋体" w:hAnsi="宋体" w:cs="宋体" w:eastAsia="宋体" w:hint="default"/>
                <w:spacing w:val="-3"/>
                <w:sz w:val="18"/>
                <w:szCs w:val="18"/>
              </w:rPr>
              <w:t>年，</w:t>
            </w:r>
            <w:r>
              <w:rPr>
                <w:rFonts w:ascii="宋体" w:hAnsi="宋体" w:cs="宋体" w:eastAsia="宋体" w:hint="default"/>
                <w:spacing w:val="-3"/>
                <w:sz w:val="18"/>
                <w:szCs w:val="18"/>
              </w:rPr>
              <w:t>LED</w:t>
            </w:r>
            <w:r>
              <w:rPr>
                <w:rFonts w:ascii="宋体" w:hAnsi="宋体" w:cs="宋体" w:eastAsia="宋体" w:hint="default"/>
                <w:spacing w:val="-3"/>
                <w:sz w:val="18"/>
                <w:szCs w:val="18"/>
              </w:rPr>
              <w:t>显示应用将有所提升，</w:t>
            </w:r>
            <w:r>
              <w:rPr>
                <w:rFonts w:ascii="宋体" w:hAnsi="宋体" w:cs="宋体" w:eastAsia="宋体" w:hint="default"/>
                <w:spacing w:val="2"/>
                <w:sz w:val="18"/>
                <w:szCs w:val="18"/>
              </w:rPr>
              <w:t> </w:t>
            </w:r>
            <w:r>
              <w:rPr>
                <w:rFonts w:ascii="宋体" w:hAnsi="宋体" w:cs="宋体" w:eastAsia="宋体" w:hint="default"/>
                <w:spacing w:val="2"/>
                <w:sz w:val="18"/>
                <w:szCs w:val="18"/>
              </w:rPr>
            </w:r>
            <w:r>
              <w:rPr>
                <w:rFonts w:ascii="宋体" w:hAnsi="宋体" w:cs="宋体" w:eastAsia="宋体" w:hint="default"/>
                <w:spacing w:val="-5"/>
                <w:sz w:val="18"/>
                <w:szCs w:val="18"/>
              </w:rPr>
              <w:t>远程医疗、大交通、远程会议系统等细分应用领域市场空间广</w:t>
            </w:r>
            <w:r>
              <w:rPr>
                <w:rFonts w:ascii="宋体" w:hAnsi="宋体" w:cs="宋体" w:eastAsia="宋体" w:hint="default"/>
                <w:spacing w:val="-14"/>
                <w:sz w:val="18"/>
                <w:szCs w:val="18"/>
              </w:rPr>
              <w:t> </w:t>
            </w:r>
            <w:r>
              <w:rPr>
                <w:rFonts w:ascii="宋体" w:hAnsi="宋体" w:cs="宋体" w:eastAsia="宋体" w:hint="default"/>
                <w:spacing w:val="-14"/>
                <w:sz w:val="18"/>
                <w:szCs w:val="18"/>
              </w:rPr>
            </w:r>
            <w:r>
              <w:rPr>
                <w:rFonts w:ascii="宋体" w:hAnsi="宋体" w:cs="宋体" w:eastAsia="宋体" w:hint="default"/>
                <w:sz w:val="18"/>
                <w:szCs w:val="18"/>
              </w:rPr>
              <w:t>阔。</w:t>
            </w:r>
          </w:p>
        </w:tc>
        <w:tc>
          <w:tcPr>
            <w:tcW w:w="2603"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b/>
                <w:bCs/>
                <w:sz w:val="25"/>
                <w:szCs w:val="25"/>
              </w:rPr>
            </w:pPr>
          </w:p>
          <w:p>
            <w:pPr>
              <w:pStyle w:val="TableParagraph"/>
              <w:spacing w:line="316" w:lineRule="auto"/>
              <w:ind w:left="4" w:right="65"/>
              <w:jc w:val="left"/>
              <w:rPr>
                <w:rFonts w:ascii="宋体" w:hAnsi="宋体" w:cs="宋体" w:eastAsia="宋体" w:hint="default"/>
                <w:sz w:val="18"/>
                <w:szCs w:val="18"/>
              </w:rPr>
            </w:pPr>
            <w:r>
              <w:rPr>
                <w:rFonts w:ascii="宋体" w:hAnsi="宋体" w:cs="宋体" w:eastAsia="宋体" w:hint="default"/>
                <w:sz w:val="18"/>
                <w:szCs w:val="18"/>
              </w:rPr>
              <w:t>Mini</w:t>
            </w:r>
            <w:r>
              <w:rPr>
                <w:rFonts w:ascii="宋体" w:hAnsi="宋体" w:cs="宋体" w:eastAsia="宋体" w:hint="default"/>
                <w:spacing w:val="2"/>
                <w:sz w:val="18"/>
                <w:szCs w:val="18"/>
              </w:rPr>
              <w:t> </w:t>
            </w:r>
            <w:r>
              <w:rPr>
                <w:rFonts w:ascii="宋体" w:hAnsi="宋体" w:cs="宋体" w:eastAsia="宋体" w:hint="default"/>
                <w:sz w:val="18"/>
                <w:szCs w:val="18"/>
              </w:rPr>
              <w:t>LED</w:t>
            </w:r>
            <w:r>
              <w:rPr>
                <w:rFonts w:ascii="宋体" w:hAnsi="宋体" w:cs="宋体" w:eastAsia="宋体" w:hint="default"/>
                <w:sz w:val="18"/>
                <w:szCs w:val="18"/>
              </w:rPr>
              <w:t>和显示控制技术行业领</w:t>
            </w:r>
            <w:r>
              <w:rPr>
                <w:rFonts w:ascii="宋体" w:hAnsi="宋体" w:cs="宋体" w:eastAsia="宋体" w:hint="default"/>
                <w:w w:val="101"/>
                <w:sz w:val="18"/>
                <w:szCs w:val="18"/>
              </w:rPr>
              <w:t> </w:t>
            </w:r>
            <w:r>
              <w:rPr>
                <w:rFonts w:ascii="宋体" w:hAnsi="宋体" w:cs="宋体" w:eastAsia="宋体" w:hint="default"/>
                <w:sz w:val="18"/>
                <w:szCs w:val="18"/>
              </w:rPr>
              <w:t>先</w:t>
            </w:r>
          </w:p>
        </w:tc>
      </w:tr>
      <w:tr>
        <w:trPr>
          <w:trHeight w:val="979" w:hRule="exact"/>
        </w:trPr>
        <w:tc>
          <w:tcPr>
            <w:tcW w:w="1119"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25"/>
                <w:szCs w:val="25"/>
              </w:rPr>
            </w:pPr>
          </w:p>
          <w:p>
            <w:pPr>
              <w:pStyle w:val="TableParagraph"/>
              <w:spacing w:line="240" w:lineRule="auto"/>
              <w:ind w:left="206" w:right="0"/>
              <w:jc w:val="left"/>
              <w:rPr>
                <w:rFonts w:ascii="宋体" w:hAnsi="宋体" w:cs="宋体" w:eastAsia="宋体" w:hint="default"/>
                <w:sz w:val="18"/>
                <w:szCs w:val="18"/>
              </w:rPr>
            </w:pPr>
            <w:r>
              <w:rPr>
                <w:rFonts w:ascii="宋体" w:hAnsi="宋体" w:cs="宋体" w:eastAsia="宋体" w:hint="default"/>
                <w:sz w:val="18"/>
                <w:szCs w:val="18"/>
              </w:rPr>
              <w:t>智慧照明</w:t>
            </w:r>
          </w:p>
        </w:tc>
        <w:tc>
          <w:tcPr>
            <w:tcW w:w="4821" w:type="dxa"/>
            <w:tcBorders>
              <w:top w:val="single" w:sz="4" w:space="0" w:color="000000"/>
              <w:left w:val="single" w:sz="4" w:space="0" w:color="000000"/>
              <w:bottom w:val="single" w:sz="12" w:space="0" w:color="000000"/>
              <w:right w:val="single" w:sz="4" w:space="0" w:color="000000"/>
            </w:tcBorders>
          </w:tcPr>
          <w:p>
            <w:pPr>
              <w:pStyle w:val="TableParagraph"/>
              <w:spacing w:line="316" w:lineRule="auto" w:before="25"/>
              <w:ind w:left="4" w:right="-1"/>
              <w:jc w:val="both"/>
              <w:rPr>
                <w:rFonts w:ascii="宋体" w:hAnsi="宋体" w:cs="宋体" w:eastAsia="宋体" w:hint="default"/>
                <w:sz w:val="18"/>
                <w:szCs w:val="18"/>
              </w:rPr>
            </w:pPr>
            <w:r>
              <w:rPr>
                <w:rFonts w:ascii="宋体" w:hAnsi="宋体" w:cs="宋体" w:eastAsia="宋体" w:hint="default"/>
                <w:spacing w:val="-5"/>
                <w:sz w:val="18"/>
                <w:szCs w:val="18"/>
              </w:rPr>
              <w:t>受国家政策等原因影响，城市景观亮化工程市场增速预计有所</w:t>
            </w:r>
            <w:r>
              <w:rPr>
                <w:rFonts w:ascii="宋体" w:hAnsi="宋体" w:cs="宋体" w:eastAsia="宋体" w:hint="default"/>
                <w:spacing w:val="-14"/>
                <w:sz w:val="18"/>
                <w:szCs w:val="18"/>
              </w:rPr>
              <w:t> </w:t>
            </w:r>
            <w:r>
              <w:rPr>
                <w:rFonts w:ascii="宋体" w:hAnsi="宋体" w:cs="宋体" w:eastAsia="宋体" w:hint="default"/>
                <w:spacing w:val="-14"/>
                <w:sz w:val="18"/>
                <w:szCs w:val="18"/>
              </w:rPr>
            </w:r>
            <w:r>
              <w:rPr>
                <w:rFonts w:ascii="宋体" w:hAnsi="宋体" w:cs="宋体" w:eastAsia="宋体" w:hint="default"/>
                <w:spacing w:val="-5"/>
                <w:sz w:val="18"/>
                <w:szCs w:val="18"/>
              </w:rPr>
              <w:t>放缓，行业逐渐进入调整期，但智慧灯杆等新兴市场将随着</w:t>
            </w:r>
            <w:r>
              <w:rPr>
                <w:rFonts w:ascii="宋体" w:hAnsi="宋体" w:cs="宋体" w:eastAsia="宋体" w:hint="default"/>
                <w:spacing w:val="-5"/>
                <w:sz w:val="18"/>
                <w:szCs w:val="18"/>
              </w:rPr>
              <w:t>5G</w:t>
            </w:r>
            <w:r>
              <w:rPr>
                <w:rFonts w:ascii="宋体" w:hAnsi="宋体" w:cs="宋体" w:eastAsia="宋体" w:hint="default"/>
                <w:spacing w:val="-8"/>
                <w:sz w:val="18"/>
                <w:szCs w:val="18"/>
              </w:rPr>
              <w:t> </w:t>
            </w:r>
            <w:r>
              <w:rPr>
                <w:rFonts w:ascii="宋体" w:hAnsi="宋体" w:cs="宋体" w:eastAsia="宋体" w:hint="default"/>
                <w:spacing w:val="-3"/>
                <w:sz w:val="18"/>
                <w:szCs w:val="18"/>
              </w:rPr>
              <w:t>建设的兴起有较大的市场空间。</w:t>
            </w:r>
          </w:p>
        </w:tc>
        <w:tc>
          <w:tcPr>
            <w:tcW w:w="2603"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10"/>
              <w:ind w:right="0"/>
              <w:jc w:val="left"/>
              <w:rPr>
                <w:rFonts w:ascii="宋体" w:hAnsi="宋体" w:cs="宋体" w:eastAsia="宋体" w:hint="default"/>
                <w:b/>
                <w:bCs/>
                <w:sz w:val="25"/>
                <w:szCs w:val="25"/>
              </w:rPr>
            </w:pPr>
          </w:p>
          <w:p>
            <w:pPr>
              <w:pStyle w:val="TableParagraph"/>
              <w:spacing w:line="240" w:lineRule="auto"/>
              <w:ind w:left="4" w:right="0"/>
              <w:jc w:val="left"/>
              <w:rPr>
                <w:rFonts w:ascii="宋体" w:hAnsi="宋体" w:cs="宋体" w:eastAsia="宋体" w:hint="default"/>
                <w:sz w:val="18"/>
                <w:szCs w:val="18"/>
              </w:rPr>
            </w:pPr>
            <w:r>
              <w:rPr>
                <w:rFonts w:ascii="宋体" w:hAnsi="宋体" w:cs="宋体" w:eastAsia="宋体" w:hint="default"/>
                <w:spacing w:val="-3"/>
                <w:sz w:val="18"/>
                <w:szCs w:val="18"/>
              </w:rPr>
              <w:t>业务规模在行业内处于第一梯队</w:t>
            </w:r>
          </w:p>
        </w:tc>
      </w:tr>
    </w:tbl>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1"/>
          <w:szCs w:val="21"/>
        </w:rPr>
      </w:pPr>
    </w:p>
    <w:p>
      <w:pPr>
        <w:pStyle w:val="Heading2"/>
        <w:spacing w:line="240" w:lineRule="auto" w:before="26"/>
        <w:ind w:right="0"/>
        <w:jc w:val="left"/>
        <w:rPr>
          <w:b w:val="0"/>
          <w:bCs w:val="0"/>
        </w:rPr>
      </w:pPr>
      <w:bookmarkStart w:name="二、主要资产重大变化情况" w:id="19"/>
      <w:bookmarkEnd w:id="19"/>
      <w:r>
        <w:rPr>
          <w:b w:val="0"/>
          <w:bCs w:val="0"/>
        </w:rPr>
      </w:r>
      <w:r>
        <w:rPr/>
        <w:t>二、主要资产重大变化情况</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0"/>
        <w:jc w:val="left"/>
        <w:rPr>
          <w:b w:val="0"/>
          <w:bCs w:val="0"/>
        </w:rPr>
      </w:pPr>
      <w:bookmarkStart w:name="1、主要资产重大变化情况" w:id="20"/>
      <w:bookmarkEnd w:id="20"/>
      <w:r>
        <w:rPr>
          <w:b w:val="0"/>
          <w:bCs w:val="0"/>
        </w:rPr>
      </w:r>
      <w:r>
        <w:rPr>
          <w:rFonts w:ascii="Times New Roman" w:hAnsi="Times New Roman" w:cs="Times New Roman" w:eastAsia="Times New Roman" w:hint="default"/>
        </w:rPr>
        <w:t>1</w:t>
      </w:r>
      <w:r>
        <w:rPr/>
        <w:t>、主要资产重大变化情况</w:t>
      </w:r>
      <w:r>
        <w:rPr>
          <w:b w:val="0"/>
          <w:bCs w:val="0"/>
        </w:rPr>
      </w:r>
    </w:p>
    <w:p>
      <w:pPr>
        <w:spacing w:line="240" w:lineRule="auto" w:before="11"/>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3054"/>
        <w:gridCol w:w="6516"/>
      </w:tblGrid>
      <w:tr>
        <w:trPr>
          <w:trHeight w:val="764" w:hRule="exact"/>
        </w:trPr>
        <w:tc>
          <w:tcPr>
            <w:tcW w:w="30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b/>
                <w:bCs/>
                <w:sz w:val="18"/>
                <w:szCs w:val="18"/>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主要资产</w:t>
            </w:r>
          </w:p>
        </w:tc>
        <w:tc>
          <w:tcPr>
            <w:tcW w:w="65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b/>
                <w:bCs/>
                <w:sz w:val="18"/>
                <w:szCs w:val="18"/>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重大变化说明</w:t>
            </w:r>
          </w:p>
        </w:tc>
      </w:tr>
      <w:tr>
        <w:trPr>
          <w:trHeight w:val="403" w:hRule="exact"/>
        </w:trPr>
        <w:tc>
          <w:tcPr>
            <w:tcW w:w="30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股权资产</w:t>
            </w:r>
          </w:p>
        </w:tc>
        <w:tc>
          <w:tcPr>
            <w:tcW w:w="6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z w:val="18"/>
                <w:szCs w:val="18"/>
              </w:rPr>
              <w:t>无重大变化。</w:t>
            </w:r>
          </w:p>
        </w:tc>
      </w:tr>
      <w:tr>
        <w:trPr>
          <w:trHeight w:val="403" w:hRule="exact"/>
        </w:trPr>
        <w:tc>
          <w:tcPr>
            <w:tcW w:w="30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6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z w:val="18"/>
                <w:szCs w:val="18"/>
              </w:rPr>
              <w:t>无重大变化。</w:t>
            </w:r>
          </w:p>
        </w:tc>
      </w:tr>
      <w:tr>
        <w:trPr>
          <w:trHeight w:val="398" w:hRule="exact"/>
        </w:trPr>
        <w:tc>
          <w:tcPr>
            <w:tcW w:w="30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6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z w:val="18"/>
                <w:szCs w:val="18"/>
              </w:rPr>
              <w:t>无重大变化。</w:t>
            </w:r>
          </w:p>
        </w:tc>
      </w:tr>
      <w:tr>
        <w:trPr>
          <w:trHeight w:val="404" w:hRule="exact"/>
        </w:trPr>
        <w:tc>
          <w:tcPr>
            <w:tcW w:w="30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6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0" w:right="0"/>
              <w:jc w:val="left"/>
              <w:rPr>
                <w:rFonts w:ascii="宋体" w:hAnsi="宋体" w:cs="宋体" w:eastAsia="宋体" w:hint="default"/>
                <w:sz w:val="18"/>
                <w:szCs w:val="18"/>
              </w:rPr>
            </w:pPr>
            <w:r>
              <w:rPr>
                <w:rFonts w:ascii="宋体" w:hAnsi="宋体" w:cs="宋体" w:eastAsia="宋体" w:hint="default"/>
                <w:sz w:val="18"/>
                <w:szCs w:val="18"/>
              </w:rPr>
              <w:t>无重大变化</w:t>
            </w:r>
          </w:p>
        </w:tc>
      </w:tr>
    </w:tbl>
    <w:p>
      <w:pPr>
        <w:spacing w:line="240" w:lineRule="auto" w:before="3"/>
        <w:rPr>
          <w:rFonts w:ascii="宋体" w:hAnsi="宋体" w:cs="宋体" w:eastAsia="宋体" w:hint="default"/>
          <w:b/>
          <w:bCs/>
          <w:sz w:val="19"/>
          <w:szCs w:val="19"/>
        </w:rPr>
      </w:pPr>
    </w:p>
    <w:p>
      <w:pPr>
        <w:pStyle w:val="Heading4"/>
        <w:spacing w:line="240" w:lineRule="auto" w:before="36"/>
        <w:ind w:right="0"/>
        <w:jc w:val="left"/>
        <w:rPr>
          <w:b w:val="0"/>
          <w:bCs w:val="0"/>
        </w:rPr>
      </w:pPr>
      <w:bookmarkStart w:name="2、主要境外资产情况" w:id="21"/>
      <w:bookmarkEnd w:id="21"/>
      <w:r>
        <w:rPr>
          <w:b w:val="0"/>
          <w:bCs w:val="0"/>
        </w:rPr>
      </w:r>
      <w:r>
        <w:rPr>
          <w:rFonts w:ascii="Times New Roman" w:hAnsi="Times New Roman" w:cs="Times New Roman" w:eastAsia="Times New Roman" w:hint="default"/>
        </w:rPr>
        <w:t>2</w:t>
      </w:r>
      <w:r>
        <w:rPr/>
        <w:t>、主要境外资产情况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before="0"/>
        <w:ind w:right="0"/>
        <w:jc w:val="left"/>
      </w:pPr>
      <w:r>
        <w:rPr/>
        <w:t>□ </w:t>
      </w:r>
      <w:r>
        <w:rPr>
          <w:spacing w:val="-3"/>
        </w:rPr>
        <w:t>适用 </w:t>
      </w:r>
      <w:r>
        <w:rPr/>
        <w:t>√</w:t>
      </w:r>
      <w:r>
        <w:rPr>
          <w:spacing w:val="13"/>
        </w:rPr>
        <w:t> </w:t>
      </w:r>
      <w:r>
        <w:rPr/>
        <w:t>不适用</w:t>
      </w:r>
    </w:p>
    <w:p>
      <w:pPr>
        <w:spacing w:line="240" w:lineRule="auto" w:before="5"/>
        <w:rPr>
          <w:rFonts w:ascii="宋体" w:hAnsi="宋体" w:cs="宋体" w:eastAsia="宋体" w:hint="default"/>
          <w:sz w:val="24"/>
          <w:szCs w:val="24"/>
        </w:rPr>
      </w:pPr>
    </w:p>
    <w:p>
      <w:pPr>
        <w:pStyle w:val="Heading2"/>
        <w:spacing w:line="240" w:lineRule="auto"/>
        <w:ind w:right="0"/>
        <w:jc w:val="left"/>
        <w:rPr>
          <w:b w:val="0"/>
          <w:bCs w:val="0"/>
        </w:rPr>
      </w:pPr>
      <w:bookmarkStart w:name="三、核心竞争力分析" w:id="22"/>
      <w:bookmarkEnd w:id="22"/>
      <w:r>
        <w:rPr>
          <w:b w:val="0"/>
          <w:bCs w:val="0"/>
        </w:rPr>
      </w:r>
      <w:r>
        <w:rPr/>
        <w:t>三、核心竞争力分析</w:t>
      </w:r>
      <w:r>
        <w:rPr>
          <w:b w:val="0"/>
          <w:bCs w:val="0"/>
        </w:rPr>
      </w:r>
    </w:p>
    <w:p>
      <w:pPr>
        <w:spacing w:line="240" w:lineRule="auto" w:before="5"/>
        <w:rPr>
          <w:rFonts w:ascii="宋体" w:hAnsi="宋体" w:cs="宋体" w:eastAsia="宋体" w:hint="default"/>
          <w:b/>
          <w:bCs/>
          <w:sz w:val="28"/>
          <w:szCs w:val="28"/>
        </w:rPr>
      </w:pPr>
    </w:p>
    <w:p>
      <w:pPr>
        <w:spacing w:line="4345" w:lineRule="exact"/>
        <w:ind w:left="1924" w:right="0" w:firstLine="0"/>
        <w:rPr>
          <w:rFonts w:ascii="宋体" w:hAnsi="宋体" w:cs="宋体" w:eastAsia="宋体" w:hint="default"/>
          <w:sz w:val="20"/>
          <w:szCs w:val="20"/>
        </w:rPr>
      </w:pPr>
      <w:r>
        <w:rPr>
          <w:rFonts w:ascii="宋体" w:hAnsi="宋体" w:cs="宋体" w:eastAsia="宋体" w:hint="default"/>
          <w:position w:val="-86"/>
          <w:sz w:val="20"/>
          <w:szCs w:val="20"/>
        </w:rPr>
        <w:drawing>
          <wp:inline distT="0" distB="0" distL="0" distR="0">
            <wp:extent cx="3890347" cy="2759202"/>
            <wp:effectExtent l="0" t="0" r="0" b="0"/>
            <wp:docPr id="5" name="image4.jpeg" descr=""/>
            <wp:cNvGraphicFramePr>
              <a:graphicFrameLocks noChangeAspect="1"/>
            </wp:cNvGraphicFramePr>
            <a:graphic>
              <a:graphicData uri="http://schemas.openxmlformats.org/drawingml/2006/picture">
                <pic:pic>
                  <pic:nvPicPr>
                    <pic:cNvPr id="6" name="image4.jpeg"/>
                    <pic:cNvPicPr/>
                  </pic:nvPicPr>
                  <pic:blipFill>
                    <a:blip r:embed="rId14" cstate="print"/>
                    <a:stretch>
                      <a:fillRect/>
                    </a:stretch>
                  </pic:blipFill>
                  <pic:spPr>
                    <a:xfrm>
                      <a:off x="0" y="0"/>
                      <a:ext cx="3890347" cy="2759202"/>
                    </a:xfrm>
                    <a:prstGeom prst="rect">
                      <a:avLst/>
                    </a:prstGeom>
                  </pic:spPr>
                </pic:pic>
              </a:graphicData>
            </a:graphic>
          </wp:inline>
        </w:drawing>
      </w:r>
      <w:r>
        <w:rPr>
          <w:rFonts w:ascii="宋体" w:hAnsi="宋体" w:cs="宋体" w:eastAsia="宋体" w:hint="default"/>
          <w:position w:val="-86"/>
          <w:sz w:val="20"/>
          <w:szCs w:val="20"/>
        </w:rPr>
      </w:r>
    </w:p>
    <w:p>
      <w:pPr>
        <w:pStyle w:val="BodyText"/>
        <w:spacing w:line="316" w:lineRule="auto" w:before="47"/>
        <w:ind w:right="0" w:firstLine="360"/>
        <w:jc w:val="left"/>
      </w:pPr>
      <w:r>
        <w:rPr>
          <w:spacing w:val="-3"/>
        </w:rPr>
        <w:t>公司作为技术驱动型的上市公司，专注于技术与产品创新，以“智能</w:t>
      </w:r>
      <w:r>
        <w:rPr>
          <w:rFonts w:ascii="宋体" w:hAnsi="宋体" w:cs="宋体" w:eastAsia="宋体" w:hint="default"/>
          <w:spacing w:val="-3"/>
        </w:rPr>
        <w:t>+</w:t>
      </w:r>
      <w:r>
        <w:rPr>
          <w:spacing w:val="-3"/>
        </w:rPr>
        <w:t>”作为核心战略，经过</w:t>
      </w:r>
      <w:r>
        <w:rPr>
          <w:rFonts w:ascii="宋体" w:hAnsi="宋体" w:cs="宋体" w:eastAsia="宋体" w:hint="default"/>
          <w:spacing w:val="-3"/>
        </w:rPr>
        <w:t>20</w:t>
      </w:r>
      <w:r>
        <w:rPr>
          <w:spacing w:val="-3"/>
        </w:rPr>
        <w:t>多年的快速发展，已在</w:t>
      </w:r>
      <w:r>
        <w:rPr>
          <w:w w:val="101"/>
        </w:rPr>
        <w:t> </w:t>
      </w:r>
      <w:r>
        <w:rPr>
          <w:spacing w:val="-3"/>
        </w:rPr>
        <w:t>研发、产品、市场、品牌、知识产权等方面形成独特的优势。</w:t>
      </w:r>
    </w:p>
    <w:p>
      <w:pPr>
        <w:pStyle w:val="Heading6"/>
        <w:spacing w:line="240" w:lineRule="auto" w:before="19"/>
        <w:ind w:right="0"/>
        <w:jc w:val="left"/>
        <w:rPr>
          <w:b w:val="0"/>
          <w:bCs w:val="0"/>
        </w:rPr>
      </w:pPr>
      <w:r>
        <w:rPr>
          <w:rFonts w:ascii="宋体" w:hAnsi="宋体" w:cs="宋体" w:eastAsia="宋体" w:hint="default"/>
        </w:rPr>
        <w:t>1</w:t>
      </w:r>
      <w:r>
        <w:rPr/>
        <w:t>、金融科技业务核心竞争力</w:t>
      </w:r>
      <w:r>
        <w:rPr>
          <w:b w:val="0"/>
          <w:bCs w:val="0"/>
        </w:rPr>
      </w:r>
    </w:p>
    <w:p>
      <w:pPr>
        <w:spacing w:after="0" w:line="240" w:lineRule="auto"/>
        <w:jc w:val="left"/>
        <w:sectPr>
          <w:pgSz w:w="11910" w:h="16840"/>
          <w:pgMar w:header="784" w:footer="1022" w:top="1100" w:bottom="1220" w:left="980" w:right="0"/>
        </w:sectPr>
      </w:pPr>
    </w:p>
    <w:p>
      <w:pPr>
        <w:spacing w:line="240" w:lineRule="auto" w:before="10"/>
        <w:rPr>
          <w:rFonts w:ascii="宋体" w:hAnsi="宋体" w:cs="宋体" w:eastAsia="宋体" w:hint="default"/>
          <w:b/>
          <w:bCs/>
          <w:sz w:val="22"/>
          <w:szCs w:val="22"/>
        </w:rPr>
      </w:pPr>
    </w:p>
    <w:p>
      <w:pPr>
        <w:pStyle w:val="BodyText"/>
        <w:spacing w:line="316" w:lineRule="auto"/>
        <w:ind w:right="1124" w:firstLine="360"/>
        <w:jc w:val="both"/>
      </w:pPr>
      <w:r>
        <w:rPr>
          <w:spacing w:val="-4"/>
        </w:rPr>
        <w:t>（</w:t>
      </w:r>
      <w:r>
        <w:rPr>
          <w:rFonts w:ascii="宋体" w:hAnsi="宋体" w:cs="宋体" w:eastAsia="宋体" w:hint="default"/>
          <w:spacing w:val="-4"/>
        </w:rPr>
        <w:t>1</w:t>
      </w:r>
      <w:r>
        <w:rPr>
          <w:spacing w:val="-4"/>
        </w:rPr>
        <w:t>）市场优势：公司服务于银行客户</w:t>
      </w:r>
      <w:r>
        <w:rPr>
          <w:rFonts w:ascii="宋体" w:hAnsi="宋体" w:cs="宋体" w:eastAsia="宋体" w:hint="default"/>
          <w:spacing w:val="-4"/>
        </w:rPr>
        <w:t>27</w:t>
      </w:r>
      <w:r>
        <w:rPr>
          <w:spacing w:val="-4"/>
        </w:rPr>
        <w:t>年，已累计为近</w:t>
      </w:r>
      <w:r>
        <w:rPr>
          <w:rFonts w:ascii="宋体" w:hAnsi="宋体" w:cs="宋体" w:eastAsia="宋体" w:hint="default"/>
          <w:spacing w:val="-4"/>
        </w:rPr>
        <w:t>7</w:t>
      </w:r>
      <w:r>
        <w:rPr>
          <w:spacing w:val="-4"/>
        </w:rPr>
        <w:t>万个银行网点提供解决方案及服务，也是国内最早一批智能银</w:t>
      </w:r>
      <w:r>
        <w:rPr>
          <w:w w:val="101"/>
        </w:rPr>
        <w:t> </w:t>
      </w:r>
      <w:r>
        <w:rPr>
          <w:spacing w:val="-3"/>
        </w:rPr>
        <w:t>行解决方案提供商之一。</w:t>
      </w:r>
    </w:p>
    <w:p>
      <w:pPr>
        <w:pStyle w:val="BodyText"/>
        <w:spacing w:line="319" w:lineRule="auto" w:before="19"/>
        <w:ind w:right="1122" w:firstLine="360"/>
        <w:jc w:val="both"/>
      </w:pPr>
      <w:r>
        <w:rPr>
          <w:spacing w:val="-3"/>
        </w:rPr>
        <w:t>（</w:t>
      </w:r>
      <w:r>
        <w:rPr>
          <w:rFonts w:ascii="宋体" w:hAnsi="宋体" w:cs="宋体" w:eastAsia="宋体" w:hint="default"/>
          <w:spacing w:val="-3"/>
        </w:rPr>
        <w:t>2</w:t>
      </w:r>
      <w:r>
        <w:rPr>
          <w:spacing w:val="-3"/>
        </w:rPr>
        <w:t>）标杆案例优势：报告期内，公司已参与实施多个大型标杆性智能网点项目，包括工商银行“金融科技创新体验中</w:t>
      </w:r>
      <w:r>
        <w:rPr>
          <w:w w:val="101"/>
        </w:rPr>
        <w:t> </w:t>
      </w:r>
      <w:r>
        <w:rPr>
          <w:spacing w:val="-4"/>
        </w:rPr>
        <w:t>心”，南京首家基于</w:t>
      </w:r>
      <w:r>
        <w:rPr>
          <w:rFonts w:ascii="宋体" w:hAnsi="宋体" w:cs="宋体" w:eastAsia="宋体" w:hint="default"/>
          <w:spacing w:val="-4"/>
        </w:rPr>
        <w:t>5G</w:t>
      </w:r>
      <w:r>
        <w:rPr>
          <w:spacing w:val="-4"/>
        </w:rPr>
        <w:t>应用的新型智能网点“工商银行南京大学未来广场支行”，光大银行首家具有</w:t>
      </w:r>
      <w:r>
        <w:rPr>
          <w:rFonts w:ascii="宋体" w:hAnsi="宋体" w:cs="宋体" w:eastAsia="宋体" w:hint="default"/>
          <w:spacing w:val="-4"/>
        </w:rPr>
        <w:t>5G</w:t>
      </w:r>
      <w:r>
        <w:rPr>
          <w:spacing w:val="-4"/>
        </w:rPr>
        <w:t>功能的网点“光大超</w:t>
      </w:r>
      <w:r>
        <w:rPr>
          <w:spacing w:val="49"/>
        </w:rPr>
        <w:t> </w:t>
      </w:r>
      <w:r>
        <w:rPr>
          <w:spacing w:val="49"/>
        </w:rPr>
      </w:r>
      <w:r>
        <w:rPr/>
        <w:t>市”，建设银行首批“</w:t>
      </w:r>
      <w:r>
        <w:rPr>
          <w:rFonts w:ascii="宋体" w:hAnsi="宋体" w:cs="宋体" w:eastAsia="宋体" w:hint="default"/>
        </w:rPr>
        <w:t>5G+</w:t>
      </w:r>
      <w:r>
        <w:rPr/>
        <w:t>智能银行”等。</w:t>
      </w:r>
    </w:p>
    <w:p>
      <w:pPr>
        <w:pStyle w:val="BodyText"/>
        <w:spacing w:line="316" w:lineRule="auto" w:before="17"/>
        <w:ind w:right="1127" w:firstLine="360"/>
        <w:jc w:val="both"/>
      </w:pPr>
      <w:r>
        <w:rPr>
          <w:spacing w:val="-3"/>
        </w:rPr>
        <w:t>（</w:t>
      </w:r>
      <w:r>
        <w:rPr>
          <w:rFonts w:ascii="宋体" w:hAnsi="宋体" w:cs="宋体" w:eastAsia="宋体" w:hint="default"/>
          <w:spacing w:val="-3"/>
        </w:rPr>
        <w:t>3</w:t>
      </w:r>
      <w:r>
        <w:rPr>
          <w:spacing w:val="-3"/>
        </w:rPr>
        <w:t>）解决方案优势：公司深耕金融科技领域</w:t>
      </w:r>
      <w:r>
        <w:rPr>
          <w:rFonts w:ascii="宋体" w:hAnsi="宋体" w:cs="宋体" w:eastAsia="宋体" w:hint="default"/>
          <w:spacing w:val="-3"/>
        </w:rPr>
        <w:t>20</w:t>
      </w:r>
      <w:r>
        <w:rPr>
          <w:spacing w:val="-3"/>
        </w:rPr>
        <w:t>多年，已形成智能银行、综合信息发布及指示、智能服务型机器人及区</w:t>
      </w:r>
      <w:r>
        <w:rPr>
          <w:w w:val="101"/>
        </w:rPr>
        <w:t> </w:t>
      </w:r>
      <w:r>
        <w:rPr>
          <w:spacing w:val="-3"/>
        </w:rPr>
        <w:t>块链技术应用等多个综合应用解决方案。</w:t>
      </w:r>
    </w:p>
    <w:p>
      <w:pPr>
        <w:pStyle w:val="BodyText"/>
        <w:spacing w:line="240" w:lineRule="auto" w:before="19"/>
        <w:ind w:left="513" w:right="0"/>
        <w:jc w:val="left"/>
      </w:pPr>
      <w:r>
        <w:rPr/>
        <w:pict>
          <v:group style="position:absolute;margin-left:84.024002pt;margin-top:16.261724pt;width:69.9pt;height:.1pt;mso-position-horizontal-relative:page;mso-position-vertical-relative:paragraph;z-index:-1079152" coordorigin="1680,325" coordsize="1398,2">
            <v:shape style="position:absolute;left:1680;top:325;width:1398;height:2" coordorigin="1680,325" coordsize="1398,0" path="m1680,325l3078,325e" filled="false" stroked="true" strokeweight=".48pt" strokecolor="#1b24ab">
              <v:path arrowok="t"/>
            </v:shape>
            <w10:wrap type="none"/>
          </v:group>
        </w:pict>
      </w:r>
      <w:r>
        <w:rPr/>
        <w:t>（</w:t>
      </w:r>
      <w:r>
        <w:rPr>
          <w:rFonts w:ascii="宋体" w:hAnsi="宋体" w:cs="宋体" w:eastAsia="宋体" w:hint="default"/>
        </w:rPr>
        <w:t>4</w:t>
      </w:r>
      <w:r>
        <w:rPr/>
        <w:t>）知识产权优势</w:t>
      </w:r>
    </w:p>
    <w:p>
      <w:pPr>
        <w:spacing w:line="240" w:lineRule="auto" w:before="11"/>
        <w:rPr>
          <w:rFonts w:ascii="宋体" w:hAnsi="宋体" w:cs="宋体" w:eastAsia="宋体" w:hint="default"/>
          <w:sz w:val="4"/>
          <w:szCs w:val="4"/>
        </w:rPr>
      </w:pPr>
    </w:p>
    <w:tbl>
      <w:tblPr>
        <w:tblW w:w="0" w:type="auto"/>
        <w:jc w:val="left"/>
        <w:tblInd w:w="693" w:type="dxa"/>
        <w:tblLayout w:type="fixed"/>
        <w:tblCellMar>
          <w:top w:w="0" w:type="dxa"/>
          <w:left w:w="0" w:type="dxa"/>
          <w:bottom w:w="0" w:type="dxa"/>
          <w:right w:w="0" w:type="dxa"/>
        </w:tblCellMar>
        <w:tblLook w:val="01E0"/>
      </w:tblPr>
      <w:tblGrid>
        <w:gridCol w:w="1395"/>
        <w:gridCol w:w="1427"/>
        <w:gridCol w:w="1426"/>
        <w:gridCol w:w="1426"/>
        <w:gridCol w:w="1426"/>
        <w:gridCol w:w="1431"/>
      </w:tblGrid>
      <w:tr>
        <w:trPr>
          <w:trHeight w:val="327" w:hRule="exact"/>
        </w:trPr>
        <w:tc>
          <w:tcPr>
            <w:tcW w:w="1395" w:type="dxa"/>
            <w:tcBorders>
              <w:top w:val="nil" w:sz="6" w:space="0" w:color="auto"/>
              <w:left w:val="single" w:sz="6" w:space="0" w:color="000000"/>
              <w:bottom w:val="nil" w:sz="6" w:space="0" w:color="auto"/>
              <w:right w:val="single" w:sz="4" w:space="0" w:color="000000"/>
            </w:tcBorders>
            <w:shd w:val="clear" w:color="auto" w:fill="1B24AB"/>
          </w:tcPr>
          <w:p>
            <w:pPr>
              <w:pStyle w:val="TableParagraph"/>
              <w:spacing w:line="240" w:lineRule="auto" w:before="20"/>
              <w:ind w:left="331" w:right="0"/>
              <w:jc w:val="left"/>
              <w:rPr>
                <w:rFonts w:ascii="宋体" w:hAnsi="宋体" w:cs="宋体" w:eastAsia="宋体" w:hint="default"/>
                <w:sz w:val="18"/>
                <w:szCs w:val="18"/>
              </w:rPr>
            </w:pPr>
            <w:r>
              <w:rPr>
                <w:rFonts w:ascii="宋体" w:hAnsi="宋体" w:cs="宋体" w:eastAsia="宋体" w:hint="default"/>
                <w:b/>
                <w:bCs/>
                <w:color w:val="FFFFFF"/>
                <w:sz w:val="18"/>
                <w:szCs w:val="18"/>
              </w:rPr>
              <w:t>业务领域</w:t>
            </w:r>
            <w:r>
              <w:rPr>
                <w:rFonts w:ascii="宋体" w:hAnsi="宋体" w:cs="宋体" w:eastAsia="宋体" w:hint="default"/>
                <w:sz w:val="18"/>
                <w:szCs w:val="18"/>
              </w:rPr>
            </w:r>
          </w:p>
        </w:tc>
        <w:tc>
          <w:tcPr>
            <w:tcW w:w="1427" w:type="dxa"/>
            <w:tcBorders>
              <w:top w:val="nil" w:sz="6" w:space="0" w:color="auto"/>
              <w:left w:val="single" w:sz="4" w:space="0" w:color="000000"/>
              <w:bottom w:val="nil" w:sz="6" w:space="0" w:color="auto"/>
              <w:right w:val="single" w:sz="4" w:space="0" w:color="000000"/>
            </w:tcBorders>
            <w:shd w:val="clear" w:color="auto" w:fill="1B24AB"/>
          </w:tcPr>
          <w:p>
            <w:pPr>
              <w:pStyle w:val="TableParagraph"/>
              <w:spacing w:line="240" w:lineRule="auto" w:before="20"/>
              <w:ind w:left="4" w:right="0"/>
              <w:jc w:val="center"/>
              <w:rPr>
                <w:rFonts w:ascii="宋体" w:hAnsi="宋体" w:cs="宋体" w:eastAsia="宋体" w:hint="default"/>
                <w:sz w:val="18"/>
                <w:szCs w:val="18"/>
              </w:rPr>
            </w:pPr>
            <w:r>
              <w:rPr>
                <w:rFonts w:ascii="宋体" w:hAnsi="宋体" w:cs="宋体" w:eastAsia="宋体" w:hint="default"/>
                <w:b/>
                <w:bCs/>
                <w:color w:val="FFFFFF"/>
                <w:sz w:val="18"/>
                <w:szCs w:val="18"/>
              </w:rPr>
              <w:t>发明专利</w:t>
            </w:r>
            <w:r>
              <w:rPr>
                <w:rFonts w:ascii="宋体" w:hAnsi="宋体" w:cs="宋体" w:eastAsia="宋体" w:hint="default"/>
                <w:sz w:val="18"/>
                <w:szCs w:val="18"/>
              </w:rPr>
            </w:r>
          </w:p>
        </w:tc>
        <w:tc>
          <w:tcPr>
            <w:tcW w:w="1426" w:type="dxa"/>
            <w:tcBorders>
              <w:top w:val="nil" w:sz="6" w:space="0" w:color="auto"/>
              <w:left w:val="single" w:sz="4" w:space="0" w:color="000000"/>
              <w:bottom w:val="nil" w:sz="6" w:space="0" w:color="auto"/>
              <w:right w:val="single" w:sz="4" w:space="0" w:color="000000"/>
            </w:tcBorders>
            <w:shd w:val="clear" w:color="auto" w:fill="1B24AB"/>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b/>
                <w:bCs/>
                <w:color w:val="FFFFFF"/>
                <w:sz w:val="18"/>
                <w:szCs w:val="18"/>
              </w:rPr>
              <w:t>实用新型专利</w:t>
            </w:r>
            <w:r>
              <w:rPr>
                <w:rFonts w:ascii="宋体" w:hAnsi="宋体" w:cs="宋体" w:eastAsia="宋体" w:hint="default"/>
                <w:sz w:val="18"/>
                <w:szCs w:val="18"/>
              </w:rPr>
            </w:r>
          </w:p>
        </w:tc>
        <w:tc>
          <w:tcPr>
            <w:tcW w:w="1426" w:type="dxa"/>
            <w:tcBorders>
              <w:top w:val="nil" w:sz="6" w:space="0" w:color="auto"/>
              <w:left w:val="single" w:sz="4" w:space="0" w:color="000000"/>
              <w:bottom w:val="nil" w:sz="6" w:space="0" w:color="auto"/>
              <w:right w:val="single" w:sz="4" w:space="0" w:color="000000"/>
            </w:tcBorders>
            <w:shd w:val="clear" w:color="auto" w:fill="1B24AB"/>
          </w:tcPr>
          <w:p>
            <w:pPr>
              <w:pStyle w:val="TableParagraph"/>
              <w:spacing w:line="240" w:lineRule="auto" w:before="20"/>
              <w:ind w:left="13" w:right="0"/>
              <w:jc w:val="center"/>
              <w:rPr>
                <w:rFonts w:ascii="宋体" w:hAnsi="宋体" w:cs="宋体" w:eastAsia="宋体" w:hint="default"/>
                <w:sz w:val="18"/>
                <w:szCs w:val="18"/>
              </w:rPr>
            </w:pPr>
            <w:r>
              <w:rPr>
                <w:rFonts w:ascii="宋体" w:hAnsi="宋体" w:cs="宋体" w:eastAsia="宋体" w:hint="default"/>
                <w:b/>
                <w:bCs/>
                <w:color w:val="FFFFFF"/>
                <w:sz w:val="18"/>
                <w:szCs w:val="18"/>
              </w:rPr>
              <w:t>外观专利</w:t>
            </w:r>
            <w:r>
              <w:rPr>
                <w:rFonts w:ascii="宋体" w:hAnsi="宋体" w:cs="宋体" w:eastAsia="宋体" w:hint="default"/>
                <w:sz w:val="18"/>
                <w:szCs w:val="18"/>
              </w:rPr>
            </w:r>
          </w:p>
        </w:tc>
        <w:tc>
          <w:tcPr>
            <w:tcW w:w="1426" w:type="dxa"/>
            <w:tcBorders>
              <w:top w:val="nil" w:sz="6" w:space="0" w:color="auto"/>
              <w:left w:val="single" w:sz="4" w:space="0" w:color="000000"/>
              <w:bottom w:val="nil" w:sz="6" w:space="0" w:color="auto"/>
              <w:right w:val="single" w:sz="4" w:space="0" w:color="000000"/>
            </w:tcBorders>
            <w:shd w:val="clear" w:color="auto" w:fill="1B24AB"/>
          </w:tcPr>
          <w:p>
            <w:pPr>
              <w:pStyle w:val="TableParagraph"/>
              <w:spacing w:line="240" w:lineRule="auto" w:before="20"/>
              <w:ind w:left="9" w:right="0"/>
              <w:jc w:val="center"/>
              <w:rPr>
                <w:rFonts w:ascii="宋体" w:hAnsi="宋体" w:cs="宋体" w:eastAsia="宋体" w:hint="default"/>
                <w:sz w:val="18"/>
                <w:szCs w:val="18"/>
              </w:rPr>
            </w:pPr>
            <w:r>
              <w:rPr>
                <w:rFonts w:ascii="宋体" w:hAnsi="宋体" w:cs="宋体" w:eastAsia="宋体" w:hint="default"/>
                <w:b/>
                <w:bCs/>
                <w:color w:val="FFFFFF"/>
                <w:sz w:val="18"/>
                <w:szCs w:val="18"/>
              </w:rPr>
              <w:t>软件著作权</w:t>
            </w:r>
            <w:r>
              <w:rPr>
                <w:rFonts w:ascii="宋体" w:hAnsi="宋体" w:cs="宋体" w:eastAsia="宋体" w:hint="default"/>
                <w:sz w:val="18"/>
                <w:szCs w:val="18"/>
              </w:rPr>
            </w:r>
          </w:p>
        </w:tc>
        <w:tc>
          <w:tcPr>
            <w:tcW w:w="1431" w:type="dxa"/>
            <w:tcBorders>
              <w:top w:val="nil" w:sz="6" w:space="0" w:color="auto"/>
              <w:left w:val="single" w:sz="4" w:space="0" w:color="000000"/>
              <w:bottom w:val="nil" w:sz="6" w:space="0" w:color="auto"/>
              <w:right w:val="nil" w:sz="6" w:space="0" w:color="auto"/>
            </w:tcBorders>
            <w:shd w:val="clear" w:color="auto" w:fill="1B24AB"/>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b/>
                <w:bCs/>
                <w:color w:val="FFFFFF"/>
                <w:sz w:val="18"/>
                <w:szCs w:val="18"/>
              </w:rPr>
              <w:t>正在申请专利</w:t>
            </w:r>
            <w:r>
              <w:rPr>
                <w:rFonts w:ascii="宋体" w:hAnsi="宋体" w:cs="宋体" w:eastAsia="宋体" w:hint="default"/>
                <w:sz w:val="18"/>
                <w:szCs w:val="18"/>
              </w:rPr>
            </w:r>
          </w:p>
        </w:tc>
      </w:tr>
      <w:tr>
        <w:trPr>
          <w:trHeight w:val="350" w:hRule="exact"/>
        </w:trPr>
        <w:tc>
          <w:tcPr>
            <w:tcW w:w="1395" w:type="dxa"/>
            <w:tcBorders>
              <w:top w:val="nil" w:sz="6" w:space="0" w:color="auto"/>
              <w:left w:val="nil" w:sz="6" w:space="0" w:color="auto"/>
              <w:bottom w:val="single" w:sz="12" w:space="0" w:color="000000"/>
              <w:right w:val="single" w:sz="4" w:space="0" w:color="000000"/>
            </w:tcBorders>
          </w:tcPr>
          <w:p>
            <w:pPr>
              <w:pStyle w:val="TableParagraph"/>
              <w:spacing w:line="240" w:lineRule="auto" w:before="20"/>
              <w:ind w:left="338" w:right="0"/>
              <w:jc w:val="left"/>
              <w:rPr>
                <w:rFonts w:ascii="宋体" w:hAnsi="宋体" w:cs="宋体" w:eastAsia="宋体" w:hint="default"/>
                <w:sz w:val="18"/>
                <w:szCs w:val="18"/>
              </w:rPr>
            </w:pPr>
            <w:r>
              <w:rPr>
                <w:rFonts w:ascii="宋体" w:hAnsi="宋体" w:cs="宋体" w:eastAsia="宋体" w:hint="default"/>
                <w:b/>
                <w:bCs/>
                <w:sz w:val="18"/>
                <w:szCs w:val="18"/>
              </w:rPr>
              <w:t>金融科技</w:t>
            </w:r>
            <w:r>
              <w:rPr>
                <w:rFonts w:ascii="宋体" w:hAnsi="宋体" w:cs="宋体" w:eastAsia="宋体" w:hint="default"/>
                <w:sz w:val="18"/>
                <w:szCs w:val="18"/>
              </w:rPr>
            </w:r>
          </w:p>
        </w:tc>
        <w:tc>
          <w:tcPr>
            <w:tcW w:w="142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0"/>
              <w:ind w:left="4" w:right="0"/>
              <w:jc w:val="center"/>
              <w:rPr>
                <w:rFonts w:ascii="宋体" w:hAnsi="宋体" w:cs="宋体" w:eastAsia="宋体" w:hint="default"/>
                <w:sz w:val="18"/>
                <w:szCs w:val="18"/>
              </w:rPr>
            </w:pPr>
            <w:r>
              <w:rPr>
                <w:rFonts w:ascii="宋体"/>
                <w:sz w:val="18"/>
              </w:rPr>
              <w:t>11</w:t>
            </w:r>
          </w:p>
        </w:tc>
        <w:tc>
          <w:tcPr>
            <w:tcW w:w="142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0"/>
              <w:ind w:left="4" w:right="0"/>
              <w:jc w:val="center"/>
              <w:rPr>
                <w:rFonts w:ascii="宋体" w:hAnsi="宋体" w:cs="宋体" w:eastAsia="宋体" w:hint="default"/>
                <w:sz w:val="18"/>
                <w:szCs w:val="18"/>
              </w:rPr>
            </w:pPr>
            <w:r>
              <w:rPr>
                <w:rFonts w:ascii="宋体"/>
                <w:sz w:val="18"/>
              </w:rPr>
              <w:t>24</w:t>
            </w:r>
          </w:p>
        </w:tc>
        <w:tc>
          <w:tcPr>
            <w:tcW w:w="142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0"/>
              <w:ind w:left="9" w:right="0"/>
              <w:jc w:val="center"/>
              <w:rPr>
                <w:rFonts w:ascii="宋体" w:hAnsi="宋体" w:cs="宋体" w:eastAsia="宋体" w:hint="default"/>
                <w:sz w:val="18"/>
                <w:szCs w:val="18"/>
              </w:rPr>
            </w:pPr>
            <w:r>
              <w:rPr>
                <w:rFonts w:ascii="宋体"/>
                <w:w w:val="101"/>
                <w:sz w:val="18"/>
              </w:rPr>
              <w:t>6</w:t>
            </w:r>
            <w:r>
              <w:rPr>
                <w:rFonts w:ascii="宋体"/>
                <w:sz w:val="18"/>
              </w:rPr>
            </w:r>
          </w:p>
        </w:tc>
        <w:tc>
          <w:tcPr>
            <w:tcW w:w="142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0"/>
              <w:ind w:left="13" w:right="0"/>
              <w:jc w:val="center"/>
              <w:rPr>
                <w:rFonts w:ascii="宋体" w:hAnsi="宋体" w:cs="宋体" w:eastAsia="宋体" w:hint="default"/>
                <w:sz w:val="18"/>
                <w:szCs w:val="18"/>
              </w:rPr>
            </w:pPr>
            <w:r>
              <w:rPr>
                <w:rFonts w:ascii="宋体"/>
                <w:sz w:val="18"/>
              </w:rPr>
              <w:t>75</w:t>
            </w:r>
          </w:p>
        </w:tc>
        <w:tc>
          <w:tcPr>
            <w:tcW w:w="1431" w:type="dxa"/>
            <w:tcBorders>
              <w:top w:val="nil" w:sz="6" w:space="0" w:color="auto"/>
              <w:left w:val="single" w:sz="4" w:space="0" w:color="000000"/>
              <w:bottom w:val="single" w:sz="12" w:space="0" w:color="000000"/>
              <w:right w:val="nil" w:sz="6" w:space="0" w:color="auto"/>
            </w:tcBorders>
          </w:tcPr>
          <w:p>
            <w:pPr>
              <w:pStyle w:val="TableParagraph"/>
              <w:spacing w:line="240" w:lineRule="auto" w:before="20"/>
              <w:ind w:left="4" w:right="0"/>
              <w:jc w:val="center"/>
              <w:rPr>
                <w:rFonts w:ascii="宋体" w:hAnsi="宋体" w:cs="宋体" w:eastAsia="宋体" w:hint="default"/>
                <w:sz w:val="18"/>
                <w:szCs w:val="18"/>
              </w:rPr>
            </w:pPr>
            <w:r>
              <w:rPr>
                <w:rFonts w:ascii="宋体"/>
                <w:sz w:val="18"/>
              </w:rPr>
              <w:t>35</w:t>
            </w:r>
          </w:p>
        </w:tc>
      </w:tr>
    </w:tbl>
    <w:p>
      <w:pPr>
        <w:pStyle w:val="BodyText"/>
        <w:spacing w:line="316" w:lineRule="auto" w:before="10"/>
        <w:ind w:left="513" w:right="0"/>
        <w:jc w:val="left"/>
      </w:pPr>
      <w:r>
        <w:rPr/>
        <w:t>（</w:t>
      </w:r>
      <w:r>
        <w:rPr>
          <w:rFonts w:ascii="宋体" w:hAnsi="宋体" w:cs="宋体" w:eastAsia="宋体" w:hint="default"/>
        </w:rPr>
        <w:t>5</w:t>
      </w:r>
      <w:r>
        <w:rPr/>
        <w:t>）品牌和服务优势</w:t>
      </w:r>
      <w:r>
        <w:rPr>
          <w:spacing w:val="-88"/>
        </w:rPr>
        <w:t> </w:t>
      </w:r>
      <w:r>
        <w:rPr>
          <w:spacing w:val="-88"/>
        </w:rPr>
      </w:r>
      <w:r>
        <w:rPr>
          <w:spacing w:val="-4"/>
        </w:rPr>
        <w:t>公司重视客户服务，已在国内建立</w:t>
      </w:r>
      <w:r>
        <w:rPr>
          <w:rFonts w:ascii="宋体" w:hAnsi="宋体" w:cs="宋体" w:eastAsia="宋体" w:hint="default"/>
          <w:spacing w:val="-4"/>
        </w:rPr>
        <w:t>67</w:t>
      </w:r>
      <w:r>
        <w:rPr>
          <w:spacing w:val="-4"/>
        </w:rPr>
        <w:t>个售后服务网点，形成辐射全国的客户服务平台，为客户提供全方位的售前售后服</w:t>
      </w:r>
    </w:p>
    <w:p>
      <w:pPr>
        <w:pStyle w:val="BodyText"/>
        <w:spacing w:line="316" w:lineRule="auto" w:before="19"/>
        <w:ind w:right="0"/>
        <w:jc w:val="left"/>
      </w:pPr>
      <w:r>
        <w:rPr>
          <w:spacing w:val="-3"/>
        </w:rPr>
        <w:t>务。同时，公司拥有</w:t>
      </w:r>
      <w:r>
        <w:rPr>
          <w:rFonts w:ascii="宋体" w:hAnsi="宋体" w:cs="宋体" w:eastAsia="宋体" w:hint="default"/>
          <w:spacing w:val="-3"/>
        </w:rPr>
        <w:t>220</w:t>
      </w:r>
      <w:r>
        <w:rPr>
          <w:spacing w:val="-3"/>
        </w:rPr>
        <w:t>人的服务工程师团队，服务设备总量近</w:t>
      </w:r>
      <w:r>
        <w:rPr>
          <w:rFonts w:ascii="宋体" w:hAnsi="宋体" w:cs="宋体" w:eastAsia="宋体" w:hint="default"/>
          <w:spacing w:val="-3"/>
        </w:rPr>
        <w:t>12</w:t>
      </w:r>
      <w:r>
        <w:rPr>
          <w:spacing w:val="-3"/>
        </w:rPr>
        <w:t>万台，经过多年的服务，已形成较强竞争力的维保服务能</w:t>
      </w:r>
      <w:r>
        <w:rPr>
          <w:spacing w:val="76"/>
        </w:rPr>
        <w:t> </w:t>
      </w:r>
      <w:r>
        <w:rPr>
          <w:spacing w:val="76"/>
        </w:rPr>
      </w:r>
      <w:r>
        <w:rPr>
          <w:spacing w:val="-3"/>
        </w:rPr>
        <w:t>力，基于公司自研的客服</w:t>
      </w:r>
      <w:r>
        <w:rPr>
          <w:rFonts w:ascii="宋体" w:hAnsi="宋体" w:cs="宋体" w:eastAsia="宋体" w:hint="default"/>
          <w:spacing w:val="-3"/>
        </w:rPr>
        <w:t>APP</w:t>
      </w:r>
      <w:r>
        <w:rPr>
          <w:spacing w:val="-3"/>
        </w:rPr>
        <w:t>平台，为全国各大银行及移动运营商提供及时、全面的服务。</w:t>
      </w:r>
    </w:p>
    <w:p>
      <w:pPr>
        <w:spacing w:line="240" w:lineRule="auto" w:before="4"/>
        <w:rPr>
          <w:rFonts w:ascii="宋体" w:hAnsi="宋体" w:cs="宋体" w:eastAsia="宋体" w:hint="default"/>
          <w:sz w:val="25"/>
          <w:szCs w:val="25"/>
        </w:rPr>
      </w:pPr>
    </w:p>
    <w:p>
      <w:pPr>
        <w:pStyle w:val="Heading6"/>
        <w:spacing w:line="240" w:lineRule="auto"/>
        <w:ind w:right="0"/>
        <w:jc w:val="left"/>
        <w:rPr>
          <w:b w:val="0"/>
          <w:bCs w:val="0"/>
        </w:rPr>
      </w:pPr>
      <w:r>
        <w:rPr>
          <w:rFonts w:ascii="宋体" w:hAnsi="宋体" w:cs="宋体" w:eastAsia="宋体" w:hint="default"/>
        </w:rPr>
        <w:t>2</w:t>
      </w:r>
      <w:r>
        <w:rPr/>
        <w:t>、</w:t>
      </w:r>
      <w:r>
        <w:rPr>
          <w:rFonts w:ascii="宋体" w:hAnsi="宋体" w:cs="宋体" w:eastAsia="宋体" w:hint="default"/>
        </w:rPr>
        <w:t>LED</w:t>
      </w:r>
      <w:r>
        <w:rPr/>
        <w:t>显示业务核心竞争力</w:t>
      </w:r>
      <w:r>
        <w:rPr>
          <w:b w:val="0"/>
          <w:bCs w:val="0"/>
        </w:rPr>
      </w:r>
    </w:p>
    <w:p>
      <w:pPr>
        <w:pStyle w:val="BodyText"/>
        <w:spacing w:line="316" w:lineRule="auto" w:before="76"/>
        <w:ind w:right="1122" w:firstLine="360"/>
        <w:jc w:val="both"/>
      </w:pPr>
      <w:r>
        <w:rPr>
          <w:spacing w:val="-3"/>
        </w:rPr>
        <w:t>（</w:t>
      </w:r>
      <w:r>
        <w:rPr>
          <w:rFonts w:ascii="宋体" w:hAnsi="宋体" w:cs="宋体" w:eastAsia="宋体" w:hint="default"/>
          <w:spacing w:val="-3"/>
        </w:rPr>
        <w:t>1</w:t>
      </w:r>
      <w:r>
        <w:rPr>
          <w:spacing w:val="-3"/>
        </w:rPr>
        <w:t>）技术优势：公司作为技术驱动型上市公司，重视研发创新和投入，是</w:t>
      </w:r>
      <w:r>
        <w:rPr>
          <w:rFonts w:ascii="宋体" w:hAnsi="宋体" w:cs="宋体" w:eastAsia="宋体" w:hint="default"/>
          <w:spacing w:val="-3"/>
        </w:rPr>
        <w:t>Mini LED</w:t>
      </w:r>
      <w:r>
        <w:rPr>
          <w:spacing w:val="-3"/>
        </w:rPr>
        <w:t>显示技术的发明者、领军者，</w:t>
      </w:r>
      <w:r>
        <w:rPr>
          <w:spacing w:val="63"/>
        </w:rPr>
        <w:t> </w:t>
      </w:r>
      <w:r>
        <w:rPr/>
        <w:t>已在</w:t>
      </w:r>
      <w:r>
        <w:rPr>
          <w:w w:val="101"/>
        </w:rPr>
        <w:t> </w:t>
      </w:r>
      <w:r>
        <w:rPr>
          <w:spacing w:val="-3"/>
        </w:rPr>
        <w:t>全球范围内申请了</w:t>
      </w:r>
      <w:r>
        <w:rPr>
          <w:rFonts w:ascii="宋体" w:hAnsi="宋体" w:cs="宋体" w:eastAsia="宋体" w:hint="default"/>
          <w:spacing w:val="-3"/>
        </w:rPr>
        <w:t>47</w:t>
      </w:r>
      <w:r>
        <w:rPr>
          <w:spacing w:val="-3"/>
        </w:rPr>
        <w:t>项专利，已获得</w:t>
      </w:r>
      <w:r>
        <w:rPr>
          <w:rFonts w:ascii="宋体" w:hAnsi="宋体" w:cs="宋体" w:eastAsia="宋体" w:hint="default"/>
          <w:spacing w:val="-3"/>
        </w:rPr>
        <w:t>25</w:t>
      </w:r>
      <w:r>
        <w:rPr>
          <w:spacing w:val="-3"/>
        </w:rPr>
        <w:t>项授权；</w:t>
      </w:r>
      <w:r>
        <w:rPr>
          <w:rFonts w:ascii="宋体" w:hAnsi="宋体" w:cs="宋体" w:eastAsia="宋体" w:hint="default"/>
          <w:spacing w:val="-3"/>
        </w:rPr>
        <w:t>LED</w:t>
      </w:r>
      <w:r>
        <w:rPr>
          <w:spacing w:val="-3"/>
        </w:rPr>
        <w:t>显示控制技术更是一直处于行业前列，其中</w:t>
      </w:r>
      <w:r>
        <w:rPr>
          <w:rFonts w:ascii="宋体" w:hAnsi="宋体" w:cs="宋体" w:eastAsia="宋体" w:hint="default"/>
          <w:spacing w:val="-3"/>
        </w:rPr>
        <w:t>8K</w:t>
      </w:r>
      <w:r>
        <w:rPr>
          <w:spacing w:val="-3"/>
        </w:rPr>
        <w:t>视频控制系统已获授权专</w:t>
      </w:r>
      <w:r>
        <w:rPr>
          <w:spacing w:val="-2"/>
        </w:rPr>
        <w:t> </w:t>
      </w:r>
      <w:r>
        <w:rPr>
          <w:spacing w:val="-2"/>
        </w:rPr>
      </w:r>
      <w:r>
        <w:rPr/>
        <w:t>利</w:t>
      </w:r>
      <w:r>
        <w:rPr>
          <w:rFonts w:ascii="宋体" w:hAnsi="宋体" w:cs="宋体" w:eastAsia="宋体" w:hint="default"/>
        </w:rPr>
        <w:t>46</w:t>
      </w:r>
      <w:r>
        <w:rPr/>
        <w:t>项，已登记软件著作权</w:t>
      </w:r>
      <w:r>
        <w:rPr>
          <w:rFonts w:ascii="宋体" w:hAnsi="宋体" w:cs="宋体" w:eastAsia="宋体" w:hint="default"/>
        </w:rPr>
        <w:t>5</w:t>
      </w:r>
      <w:r>
        <w:rPr/>
        <w:t>项。</w:t>
      </w:r>
    </w:p>
    <w:p>
      <w:pPr>
        <w:pStyle w:val="BodyText"/>
        <w:spacing w:line="316" w:lineRule="auto" w:before="19"/>
        <w:ind w:right="1030" w:firstLine="360"/>
        <w:jc w:val="both"/>
      </w:pPr>
      <w:r>
        <w:rPr>
          <w:spacing w:val="-3"/>
        </w:rPr>
        <w:t>（</w:t>
      </w:r>
      <w:r>
        <w:rPr>
          <w:rFonts w:ascii="宋体" w:hAnsi="宋体" w:cs="宋体" w:eastAsia="宋体" w:hint="default"/>
          <w:spacing w:val="-3"/>
        </w:rPr>
        <w:t>2</w:t>
      </w:r>
      <w:r>
        <w:rPr>
          <w:spacing w:val="-3"/>
        </w:rPr>
        <w:t>）产品优势：公司坚持“科技引人入胜”的理念，在产品上不断推陈出新。除了已有的一系列优势产品外，公司在</w:t>
      </w:r>
      <w:r>
        <w:rPr>
          <w:w w:val="101"/>
        </w:rPr>
        <w:t> </w:t>
      </w:r>
      <w:r>
        <w:rPr>
          <w:rFonts w:ascii="宋体" w:hAnsi="宋体" w:cs="宋体" w:eastAsia="宋体" w:hint="default"/>
        </w:rPr>
        <w:t>2020</w:t>
      </w:r>
      <w:r>
        <w:rPr/>
        <w:t>年</w:t>
      </w:r>
      <w:r>
        <w:rPr>
          <w:rFonts w:ascii="宋体" w:hAnsi="宋体" w:cs="宋体" w:eastAsia="宋体" w:hint="default"/>
        </w:rPr>
        <w:t>ISE</w:t>
      </w:r>
      <w:r>
        <w:rPr/>
        <w:t>展会上第一时间发布了</w:t>
      </w:r>
      <w:r>
        <w:rPr>
          <w:rFonts w:ascii="宋体" w:hAnsi="宋体" w:cs="宋体" w:eastAsia="宋体" w:hint="default"/>
        </w:rPr>
        <w:t>P0.4mm Micro </w:t>
      </w:r>
      <w:r>
        <w:rPr>
          <w:rFonts w:ascii="宋体" w:hAnsi="宋体" w:cs="宋体" w:eastAsia="宋体" w:hint="default"/>
          <w:spacing w:val="-3"/>
        </w:rPr>
        <w:t>LED</w:t>
      </w:r>
      <w:r>
        <w:rPr>
          <w:spacing w:val="-3"/>
        </w:rPr>
        <w:t>显示产品，并推出具备</w:t>
      </w:r>
      <w:r>
        <w:rPr>
          <w:rFonts w:ascii="宋体" w:hAnsi="宋体" w:cs="宋体" w:eastAsia="宋体" w:hint="default"/>
          <w:spacing w:val="-3"/>
        </w:rPr>
        <w:t>AI</w:t>
      </w:r>
      <w:r>
        <w:rPr>
          <w:spacing w:val="-3"/>
        </w:rPr>
        <w:t>技术的全无线</w:t>
      </w:r>
      <w:r>
        <w:rPr>
          <w:rFonts w:ascii="宋体" w:hAnsi="宋体" w:cs="宋体" w:eastAsia="宋体" w:hint="default"/>
          <w:spacing w:val="-3"/>
        </w:rPr>
        <w:t>Mini </w:t>
      </w:r>
      <w:r>
        <w:rPr>
          <w:rFonts w:ascii="宋体" w:hAnsi="宋体" w:cs="宋体" w:eastAsia="宋体" w:hint="default"/>
        </w:rPr>
        <w:t>LED</w:t>
      </w:r>
      <w:r>
        <w:rPr/>
        <w:t>显示租赁解决方案，同</w:t>
      </w:r>
      <w:r>
        <w:rPr>
          <w:spacing w:val="-11"/>
        </w:rPr>
        <w:t> </w:t>
      </w:r>
      <w:r>
        <w:rPr>
          <w:spacing w:val="-11"/>
        </w:rPr>
      </w:r>
      <w:r>
        <w:rPr>
          <w:spacing w:val="-4"/>
        </w:rPr>
        <w:t>时，展出的</w:t>
      </w:r>
      <w:r>
        <w:rPr>
          <w:rFonts w:ascii="宋体" w:hAnsi="宋体" w:cs="宋体" w:eastAsia="宋体" w:hint="default"/>
          <w:spacing w:val="-4"/>
        </w:rPr>
        <w:t>64K</w:t>
      </w:r>
      <w:r>
        <w:rPr>
          <w:spacing w:val="-4"/>
        </w:rPr>
        <w:t>控制器是行业内目前单台带载处理能力最大的</w:t>
      </w:r>
      <w:r>
        <w:rPr>
          <w:rFonts w:ascii="宋体" w:hAnsi="宋体" w:cs="宋体" w:eastAsia="宋体" w:hint="default"/>
          <w:spacing w:val="-4"/>
        </w:rPr>
        <w:t>LED</w:t>
      </w:r>
      <w:r>
        <w:rPr>
          <w:spacing w:val="-4"/>
        </w:rPr>
        <w:t>显示控制器，能更好适用于专业超大型超高分</w:t>
      </w:r>
      <w:r>
        <w:rPr>
          <w:rFonts w:ascii="宋体" w:hAnsi="宋体" w:cs="宋体" w:eastAsia="宋体" w:hint="default"/>
          <w:spacing w:val="-4"/>
        </w:rPr>
        <w:t>LED</w:t>
      </w:r>
      <w:r>
        <w:rPr>
          <w:spacing w:val="-4"/>
        </w:rPr>
        <w:t>显示领域。</w:t>
      </w:r>
    </w:p>
    <w:p>
      <w:pPr>
        <w:pStyle w:val="BodyText"/>
        <w:spacing w:line="240" w:lineRule="auto" w:before="19"/>
        <w:ind w:left="513" w:right="0"/>
        <w:jc w:val="left"/>
      </w:pPr>
      <w:r>
        <w:rPr/>
        <w:t>（</w:t>
      </w:r>
      <w:r>
        <w:rPr>
          <w:rFonts w:ascii="宋体" w:hAnsi="宋体" w:cs="宋体" w:eastAsia="宋体" w:hint="default"/>
        </w:rPr>
        <w:t>3</w:t>
      </w:r>
      <w:r>
        <w:rPr/>
        <w:t>）知识产权优势</w:t>
      </w:r>
    </w:p>
    <w:p>
      <w:pPr>
        <w:spacing w:line="240" w:lineRule="auto" w:before="0"/>
        <w:rPr>
          <w:rFonts w:ascii="宋体" w:hAnsi="宋体" w:cs="宋体" w:eastAsia="宋体" w:hint="default"/>
          <w:sz w:val="5"/>
          <w:szCs w:val="5"/>
        </w:rPr>
      </w:pPr>
    </w:p>
    <w:tbl>
      <w:tblPr>
        <w:tblW w:w="0" w:type="auto"/>
        <w:jc w:val="left"/>
        <w:tblInd w:w="695" w:type="dxa"/>
        <w:tblLayout w:type="fixed"/>
        <w:tblCellMar>
          <w:top w:w="0" w:type="dxa"/>
          <w:left w:w="0" w:type="dxa"/>
          <w:bottom w:w="0" w:type="dxa"/>
          <w:right w:w="0" w:type="dxa"/>
        </w:tblCellMar>
        <w:tblLook w:val="01E0"/>
      </w:tblPr>
      <w:tblGrid>
        <w:gridCol w:w="1527"/>
        <w:gridCol w:w="994"/>
        <w:gridCol w:w="850"/>
        <w:gridCol w:w="994"/>
        <w:gridCol w:w="989"/>
        <w:gridCol w:w="1138"/>
        <w:gridCol w:w="989"/>
        <w:gridCol w:w="1047"/>
      </w:tblGrid>
      <w:tr>
        <w:trPr>
          <w:trHeight w:val="730" w:hRule="exact"/>
        </w:trPr>
        <w:tc>
          <w:tcPr>
            <w:tcW w:w="1527" w:type="dxa"/>
            <w:tcBorders>
              <w:top w:val="nil" w:sz="6" w:space="0" w:color="auto"/>
              <w:left w:val="nil" w:sz="6" w:space="0" w:color="auto"/>
              <w:bottom w:val="nil" w:sz="6" w:space="0" w:color="auto"/>
              <w:right w:val="single" w:sz="4" w:space="0" w:color="000000"/>
            </w:tcBorders>
            <w:shd w:val="clear" w:color="auto" w:fill="1B24AB"/>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4" w:right="0"/>
              <w:jc w:val="center"/>
              <w:rPr>
                <w:rFonts w:ascii="宋体" w:hAnsi="宋体" w:cs="宋体" w:eastAsia="宋体" w:hint="default"/>
                <w:sz w:val="18"/>
                <w:szCs w:val="18"/>
              </w:rPr>
            </w:pPr>
            <w:r>
              <w:rPr>
                <w:rFonts w:ascii="宋体" w:hAnsi="宋体" w:cs="宋体" w:eastAsia="宋体" w:hint="default"/>
                <w:b/>
                <w:bCs/>
                <w:color w:val="FFFFFF"/>
                <w:sz w:val="18"/>
                <w:szCs w:val="18"/>
              </w:rPr>
              <w:t>业务领域</w:t>
            </w:r>
            <w:r>
              <w:rPr>
                <w:rFonts w:ascii="宋体" w:hAnsi="宋体" w:cs="宋体" w:eastAsia="宋体" w:hint="default"/>
                <w:sz w:val="18"/>
                <w:szCs w:val="18"/>
              </w:rPr>
            </w:r>
          </w:p>
        </w:tc>
        <w:tc>
          <w:tcPr>
            <w:tcW w:w="994" w:type="dxa"/>
            <w:tcBorders>
              <w:top w:val="nil" w:sz="6" w:space="0" w:color="auto"/>
              <w:left w:val="single" w:sz="4" w:space="0" w:color="000000"/>
              <w:bottom w:val="nil" w:sz="6" w:space="0" w:color="auto"/>
              <w:right w:val="single" w:sz="4" w:space="0" w:color="000000"/>
            </w:tcBorders>
            <w:shd w:val="clear" w:color="auto" w:fill="1B24AB"/>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b/>
                <w:bCs/>
                <w:color w:val="FFFFFF"/>
                <w:sz w:val="18"/>
                <w:szCs w:val="18"/>
              </w:rPr>
              <w:t>发明专利</w:t>
            </w:r>
            <w:r>
              <w:rPr>
                <w:rFonts w:ascii="宋体" w:hAnsi="宋体" w:cs="宋体" w:eastAsia="宋体" w:hint="default"/>
                <w:sz w:val="18"/>
                <w:szCs w:val="18"/>
              </w:rPr>
            </w:r>
          </w:p>
        </w:tc>
        <w:tc>
          <w:tcPr>
            <w:tcW w:w="850" w:type="dxa"/>
            <w:tcBorders>
              <w:top w:val="nil" w:sz="6" w:space="0" w:color="auto"/>
              <w:left w:val="single" w:sz="4" w:space="0" w:color="000000"/>
              <w:bottom w:val="nil" w:sz="6" w:space="0" w:color="auto"/>
              <w:right w:val="single" w:sz="4" w:space="0" w:color="000000"/>
            </w:tcBorders>
            <w:shd w:val="clear" w:color="auto" w:fill="1B24AB"/>
          </w:tcPr>
          <w:p>
            <w:pPr>
              <w:pStyle w:val="TableParagraph"/>
              <w:spacing w:line="319" w:lineRule="auto" w:before="82"/>
              <w:ind w:left="148" w:right="142"/>
              <w:jc w:val="left"/>
              <w:rPr>
                <w:rFonts w:ascii="宋体" w:hAnsi="宋体" w:cs="宋体" w:eastAsia="宋体" w:hint="default"/>
                <w:sz w:val="18"/>
                <w:szCs w:val="18"/>
              </w:rPr>
            </w:pPr>
            <w:r>
              <w:rPr>
                <w:rFonts w:ascii="宋体" w:hAnsi="宋体" w:cs="宋体" w:eastAsia="宋体" w:hint="default"/>
                <w:b/>
                <w:bCs/>
                <w:color w:val="FFFFFF"/>
                <w:sz w:val="18"/>
                <w:szCs w:val="18"/>
              </w:rPr>
              <w:t>实用新</w:t>
            </w:r>
            <w:r>
              <w:rPr>
                <w:rFonts w:ascii="宋体" w:hAnsi="宋体" w:cs="宋体" w:eastAsia="宋体" w:hint="default"/>
                <w:b/>
                <w:bCs/>
                <w:color w:val="FFFFFF"/>
                <w:spacing w:val="-86"/>
                <w:sz w:val="18"/>
                <w:szCs w:val="18"/>
              </w:rPr>
              <w:t> </w:t>
            </w:r>
            <w:r>
              <w:rPr>
                <w:rFonts w:ascii="宋体" w:hAnsi="宋体" w:cs="宋体" w:eastAsia="宋体" w:hint="default"/>
                <w:b/>
                <w:bCs/>
                <w:color w:val="FFFFFF"/>
                <w:sz w:val="18"/>
                <w:szCs w:val="18"/>
              </w:rPr>
              <w:t>型专利</w:t>
            </w:r>
            <w:r>
              <w:rPr>
                <w:rFonts w:ascii="宋体" w:hAnsi="宋体" w:cs="宋体" w:eastAsia="宋体" w:hint="default"/>
                <w:sz w:val="18"/>
                <w:szCs w:val="18"/>
              </w:rPr>
            </w:r>
          </w:p>
        </w:tc>
        <w:tc>
          <w:tcPr>
            <w:tcW w:w="994" w:type="dxa"/>
            <w:tcBorders>
              <w:top w:val="nil" w:sz="6" w:space="0" w:color="auto"/>
              <w:left w:val="single" w:sz="4" w:space="0" w:color="000000"/>
              <w:bottom w:val="nil" w:sz="6" w:space="0" w:color="auto"/>
              <w:right w:val="single" w:sz="4" w:space="0" w:color="000000"/>
            </w:tcBorders>
            <w:shd w:val="clear" w:color="auto" w:fill="1B24AB"/>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b/>
                <w:bCs/>
                <w:color w:val="FFFFFF"/>
                <w:sz w:val="18"/>
                <w:szCs w:val="18"/>
              </w:rPr>
              <w:t>外观专利</w:t>
            </w:r>
            <w:r>
              <w:rPr>
                <w:rFonts w:ascii="宋体" w:hAnsi="宋体" w:cs="宋体" w:eastAsia="宋体" w:hint="default"/>
                <w:sz w:val="18"/>
                <w:szCs w:val="18"/>
              </w:rPr>
            </w:r>
          </w:p>
        </w:tc>
        <w:tc>
          <w:tcPr>
            <w:tcW w:w="989" w:type="dxa"/>
            <w:tcBorders>
              <w:top w:val="nil" w:sz="6" w:space="0" w:color="auto"/>
              <w:left w:val="single" w:sz="4" w:space="0" w:color="000000"/>
              <w:bottom w:val="nil" w:sz="6" w:space="0" w:color="auto"/>
              <w:right w:val="single" w:sz="4" w:space="0" w:color="000000"/>
            </w:tcBorders>
            <w:shd w:val="clear" w:color="auto" w:fill="1B24AB"/>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b/>
                <w:bCs/>
                <w:color w:val="FFFFFF"/>
                <w:sz w:val="18"/>
                <w:szCs w:val="18"/>
              </w:rPr>
              <w:t>海外专利</w:t>
            </w:r>
            <w:r>
              <w:rPr>
                <w:rFonts w:ascii="宋体" w:hAnsi="宋体" w:cs="宋体" w:eastAsia="宋体" w:hint="default"/>
                <w:sz w:val="18"/>
                <w:szCs w:val="18"/>
              </w:rPr>
            </w:r>
          </w:p>
        </w:tc>
        <w:tc>
          <w:tcPr>
            <w:tcW w:w="1138" w:type="dxa"/>
            <w:tcBorders>
              <w:top w:val="nil" w:sz="6" w:space="0" w:color="auto"/>
              <w:left w:val="single" w:sz="4" w:space="0" w:color="000000"/>
              <w:bottom w:val="nil" w:sz="6" w:space="0" w:color="auto"/>
              <w:right w:val="single" w:sz="4" w:space="0" w:color="000000"/>
            </w:tcBorders>
            <w:shd w:val="clear" w:color="auto" w:fill="1B24AB"/>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color w:val="FFFFFF"/>
                <w:sz w:val="18"/>
                <w:szCs w:val="18"/>
              </w:rPr>
              <w:t>软件著作权</w:t>
            </w:r>
            <w:r>
              <w:rPr>
                <w:rFonts w:ascii="宋体" w:hAnsi="宋体" w:cs="宋体" w:eastAsia="宋体" w:hint="default"/>
                <w:sz w:val="18"/>
                <w:szCs w:val="18"/>
              </w:rPr>
            </w:r>
          </w:p>
        </w:tc>
        <w:tc>
          <w:tcPr>
            <w:tcW w:w="989" w:type="dxa"/>
            <w:tcBorders>
              <w:top w:val="nil" w:sz="6" w:space="0" w:color="auto"/>
              <w:left w:val="single" w:sz="4" w:space="0" w:color="000000"/>
              <w:bottom w:val="nil" w:sz="6" w:space="0" w:color="auto"/>
              <w:right w:val="single" w:sz="4" w:space="0" w:color="000000"/>
            </w:tcBorders>
            <w:shd w:val="clear" w:color="auto" w:fill="1B24AB"/>
          </w:tcPr>
          <w:p>
            <w:pPr>
              <w:pStyle w:val="TableParagraph"/>
              <w:spacing w:line="319" w:lineRule="auto" w:before="82"/>
              <w:ind w:left="307" w:right="122" w:hanging="183"/>
              <w:jc w:val="left"/>
              <w:rPr>
                <w:rFonts w:ascii="宋体" w:hAnsi="宋体" w:cs="宋体" w:eastAsia="宋体" w:hint="default"/>
                <w:sz w:val="18"/>
                <w:szCs w:val="18"/>
              </w:rPr>
            </w:pPr>
            <w:r>
              <w:rPr>
                <w:rFonts w:ascii="宋体" w:hAnsi="宋体" w:cs="宋体" w:eastAsia="宋体" w:hint="default"/>
                <w:b/>
                <w:bCs/>
                <w:color w:val="FFFFFF"/>
                <w:sz w:val="18"/>
                <w:szCs w:val="18"/>
              </w:rPr>
              <w:t>正在申请</w:t>
            </w:r>
            <w:r>
              <w:rPr>
                <w:rFonts w:ascii="宋体" w:hAnsi="宋体" w:cs="宋体" w:eastAsia="宋体" w:hint="default"/>
                <w:b/>
                <w:bCs/>
                <w:color w:val="FFFFFF"/>
                <w:spacing w:val="-84"/>
                <w:sz w:val="18"/>
                <w:szCs w:val="18"/>
              </w:rPr>
              <w:t> </w:t>
            </w:r>
            <w:r>
              <w:rPr>
                <w:rFonts w:ascii="宋体" w:hAnsi="宋体" w:cs="宋体" w:eastAsia="宋体" w:hint="default"/>
                <w:b/>
                <w:bCs/>
                <w:color w:val="FFFFFF"/>
                <w:sz w:val="18"/>
                <w:szCs w:val="18"/>
              </w:rPr>
              <w:t>专利</w:t>
            </w:r>
            <w:r>
              <w:rPr>
                <w:rFonts w:ascii="宋体" w:hAnsi="宋体" w:cs="宋体" w:eastAsia="宋体" w:hint="default"/>
                <w:sz w:val="18"/>
                <w:szCs w:val="18"/>
              </w:rPr>
            </w:r>
          </w:p>
        </w:tc>
        <w:tc>
          <w:tcPr>
            <w:tcW w:w="1047" w:type="dxa"/>
            <w:tcBorders>
              <w:top w:val="nil" w:sz="6" w:space="0" w:color="auto"/>
              <w:left w:val="single" w:sz="4" w:space="0" w:color="000000"/>
              <w:bottom w:val="nil" w:sz="6" w:space="0" w:color="auto"/>
              <w:right w:val="nil" w:sz="6" w:space="0" w:color="auto"/>
            </w:tcBorders>
            <w:shd w:val="clear" w:color="auto" w:fill="1B24AB"/>
          </w:tcPr>
          <w:p>
            <w:pPr>
              <w:pStyle w:val="TableParagraph"/>
              <w:spacing w:line="319" w:lineRule="auto" w:before="82"/>
              <w:ind w:left="153" w:right="156" w:firstLine="24"/>
              <w:jc w:val="left"/>
              <w:rPr>
                <w:rFonts w:ascii="宋体" w:hAnsi="宋体" w:cs="宋体" w:eastAsia="宋体" w:hint="default"/>
                <w:sz w:val="18"/>
                <w:szCs w:val="18"/>
              </w:rPr>
            </w:pPr>
            <w:r>
              <w:rPr>
                <w:rFonts w:ascii="宋体" w:hAnsi="宋体" w:cs="宋体" w:eastAsia="宋体" w:hint="default"/>
                <w:b/>
                <w:bCs/>
                <w:color w:val="FFFFFF"/>
                <w:sz w:val="18"/>
                <w:szCs w:val="18"/>
              </w:rPr>
              <w:t>PCT</w:t>
            </w:r>
            <w:r>
              <w:rPr>
                <w:rFonts w:ascii="宋体" w:hAnsi="宋体" w:cs="宋体" w:eastAsia="宋体" w:hint="default"/>
                <w:b/>
                <w:bCs/>
                <w:color w:val="FFFFFF"/>
                <w:spacing w:val="-46"/>
                <w:sz w:val="18"/>
                <w:szCs w:val="18"/>
              </w:rPr>
              <w:t> </w:t>
            </w:r>
            <w:r>
              <w:rPr>
                <w:rFonts w:ascii="宋体" w:hAnsi="宋体" w:cs="宋体" w:eastAsia="宋体" w:hint="default"/>
                <w:b/>
                <w:bCs/>
                <w:color w:val="FFFFFF"/>
                <w:sz w:val="18"/>
                <w:szCs w:val="18"/>
              </w:rPr>
              <w:t>国际</w:t>
            </w:r>
            <w:r>
              <w:rPr>
                <w:rFonts w:ascii="宋体" w:hAnsi="宋体" w:cs="宋体" w:eastAsia="宋体" w:hint="default"/>
                <w:b/>
                <w:bCs/>
                <w:color w:val="FFFFFF"/>
                <w:w w:val="100"/>
                <w:sz w:val="18"/>
                <w:szCs w:val="18"/>
              </w:rPr>
              <w:t> </w:t>
            </w:r>
            <w:r>
              <w:rPr>
                <w:rFonts w:ascii="宋体" w:hAnsi="宋体" w:cs="宋体" w:eastAsia="宋体" w:hint="default"/>
                <w:b/>
                <w:bCs/>
                <w:color w:val="FFFFFF"/>
                <w:sz w:val="18"/>
                <w:szCs w:val="18"/>
              </w:rPr>
              <w:t>申请专利</w:t>
            </w:r>
            <w:r>
              <w:rPr>
                <w:rFonts w:ascii="宋体" w:hAnsi="宋体" w:cs="宋体" w:eastAsia="宋体" w:hint="default"/>
                <w:sz w:val="18"/>
                <w:szCs w:val="18"/>
              </w:rPr>
            </w:r>
          </w:p>
        </w:tc>
      </w:tr>
      <w:tr>
        <w:trPr>
          <w:trHeight w:val="398" w:hRule="exact"/>
        </w:trPr>
        <w:tc>
          <w:tcPr>
            <w:tcW w:w="1527" w:type="dxa"/>
            <w:tcBorders>
              <w:top w:val="nil" w:sz="6" w:space="0" w:color="auto"/>
              <w:left w:val="nil" w:sz="6" w:space="0" w:color="auto"/>
              <w:bottom w:val="single" w:sz="4" w:space="0" w:color="000000"/>
              <w:right w:val="single" w:sz="4" w:space="0" w:color="000000"/>
            </w:tcBorders>
          </w:tcPr>
          <w:p>
            <w:pPr>
              <w:pStyle w:val="TableParagraph"/>
              <w:spacing w:line="240" w:lineRule="auto" w:before="53"/>
              <w:ind w:left="14" w:right="0"/>
              <w:jc w:val="center"/>
              <w:rPr>
                <w:rFonts w:ascii="宋体" w:hAnsi="宋体" w:cs="宋体" w:eastAsia="宋体" w:hint="default"/>
                <w:sz w:val="18"/>
                <w:szCs w:val="18"/>
              </w:rPr>
            </w:pPr>
            <w:r>
              <w:rPr>
                <w:rFonts w:ascii="宋体" w:hAnsi="宋体" w:cs="宋体" w:eastAsia="宋体" w:hint="default"/>
                <w:b/>
                <w:bCs/>
                <w:sz w:val="18"/>
                <w:szCs w:val="18"/>
              </w:rPr>
              <w:t>LED</w:t>
            </w:r>
            <w:r>
              <w:rPr>
                <w:rFonts w:ascii="宋体" w:hAnsi="宋体" w:cs="宋体" w:eastAsia="宋体" w:hint="default"/>
                <w:b/>
                <w:bCs/>
                <w:spacing w:val="-44"/>
                <w:sz w:val="18"/>
                <w:szCs w:val="18"/>
              </w:rPr>
              <w:t> </w:t>
            </w:r>
            <w:r>
              <w:rPr>
                <w:rFonts w:ascii="宋体" w:hAnsi="宋体" w:cs="宋体" w:eastAsia="宋体" w:hint="default"/>
                <w:b/>
                <w:bCs/>
                <w:sz w:val="18"/>
                <w:szCs w:val="18"/>
              </w:rPr>
              <w:t>显示</w:t>
            </w:r>
            <w:r>
              <w:rPr>
                <w:rFonts w:ascii="宋体" w:hAnsi="宋体" w:cs="宋体" w:eastAsia="宋体" w:hint="default"/>
                <w:sz w:val="18"/>
                <w:szCs w:val="18"/>
              </w:rPr>
            </w:r>
          </w:p>
        </w:tc>
        <w:tc>
          <w:tcPr>
            <w:tcW w:w="99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sz w:val="18"/>
              </w:rPr>
              <w:t>67</w:t>
            </w:r>
          </w:p>
        </w:tc>
        <w:tc>
          <w:tcPr>
            <w:tcW w:w="85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3"/>
              <w:ind w:left="288" w:right="0"/>
              <w:jc w:val="left"/>
              <w:rPr>
                <w:rFonts w:ascii="宋体" w:hAnsi="宋体" w:cs="宋体" w:eastAsia="宋体" w:hint="default"/>
                <w:sz w:val="18"/>
                <w:szCs w:val="18"/>
              </w:rPr>
            </w:pPr>
            <w:r>
              <w:rPr>
                <w:rFonts w:ascii="宋体"/>
                <w:sz w:val="18"/>
              </w:rPr>
              <w:t>232</w:t>
            </w:r>
          </w:p>
        </w:tc>
        <w:tc>
          <w:tcPr>
            <w:tcW w:w="99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sz w:val="18"/>
              </w:rPr>
              <w:t>27</w:t>
            </w:r>
          </w:p>
        </w:tc>
        <w:tc>
          <w:tcPr>
            <w:tcW w:w="98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3"/>
              <w:ind w:left="9" w:right="0"/>
              <w:jc w:val="center"/>
              <w:rPr>
                <w:rFonts w:ascii="宋体" w:hAnsi="宋体" w:cs="宋体" w:eastAsia="宋体" w:hint="default"/>
                <w:sz w:val="18"/>
                <w:szCs w:val="18"/>
              </w:rPr>
            </w:pPr>
            <w:r>
              <w:rPr>
                <w:rFonts w:ascii="宋体"/>
                <w:sz w:val="18"/>
              </w:rPr>
              <w:t>22</w:t>
            </w:r>
          </w:p>
        </w:tc>
        <w:tc>
          <w:tcPr>
            <w:tcW w:w="113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sz w:val="18"/>
              </w:rPr>
              <w:t>37</w:t>
            </w:r>
          </w:p>
        </w:tc>
        <w:tc>
          <w:tcPr>
            <w:tcW w:w="98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3"/>
              <w:ind w:left="5" w:right="0"/>
              <w:jc w:val="center"/>
              <w:rPr>
                <w:rFonts w:ascii="宋体" w:hAnsi="宋体" w:cs="宋体" w:eastAsia="宋体" w:hint="default"/>
                <w:sz w:val="18"/>
                <w:szCs w:val="18"/>
              </w:rPr>
            </w:pPr>
            <w:r>
              <w:rPr>
                <w:rFonts w:ascii="宋体"/>
                <w:sz w:val="18"/>
              </w:rPr>
              <w:t>176</w:t>
            </w:r>
          </w:p>
        </w:tc>
        <w:tc>
          <w:tcPr>
            <w:tcW w:w="1047" w:type="dxa"/>
            <w:tcBorders>
              <w:top w:val="nil" w:sz="6" w:space="0" w:color="auto"/>
              <w:left w:val="single" w:sz="4" w:space="0" w:color="000000"/>
              <w:bottom w:val="single" w:sz="4" w:space="0" w:color="000000"/>
              <w:right w:val="nil" w:sz="6" w:space="0" w:color="auto"/>
            </w:tcBorders>
          </w:tcPr>
          <w:p>
            <w:pPr>
              <w:pStyle w:val="TableParagraph"/>
              <w:spacing w:line="240" w:lineRule="auto" w:before="53"/>
              <w:ind w:left="427" w:right="0"/>
              <w:jc w:val="left"/>
              <w:rPr>
                <w:rFonts w:ascii="宋体" w:hAnsi="宋体" w:cs="宋体" w:eastAsia="宋体" w:hint="default"/>
                <w:sz w:val="18"/>
                <w:szCs w:val="18"/>
              </w:rPr>
            </w:pPr>
            <w:r>
              <w:rPr>
                <w:rFonts w:ascii="宋体"/>
                <w:sz w:val="18"/>
              </w:rPr>
              <w:t>31</w:t>
            </w:r>
          </w:p>
        </w:tc>
      </w:tr>
      <w:tr>
        <w:trPr>
          <w:trHeight w:val="725" w:hRule="exact"/>
        </w:trPr>
        <w:tc>
          <w:tcPr>
            <w:tcW w:w="1527" w:type="dxa"/>
            <w:tcBorders>
              <w:top w:val="single" w:sz="4" w:space="0" w:color="000000"/>
              <w:left w:val="nil" w:sz="6" w:space="0" w:color="auto"/>
              <w:bottom w:val="single" w:sz="12" w:space="0" w:color="000000"/>
              <w:right w:val="single" w:sz="4" w:space="0" w:color="000000"/>
            </w:tcBorders>
          </w:tcPr>
          <w:p>
            <w:pPr>
              <w:pStyle w:val="TableParagraph"/>
              <w:spacing w:line="321" w:lineRule="auto" w:before="53"/>
              <w:ind w:left="586" w:right="118" w:hanging="457"/>
              <w:jc w:val="left"/>
              <w:rPr>
                <w:rFonts w:ascii="宋体" w:hAnsi="宋体" w:cs="宋体" w:eastAsia="宋体" w:hint="default"/>
                <w:sz w:val="18"/>
                <w:szCs w:val="18"/>
              </w:rPr>
            </w:pPr>
            <w:r>
              <w:rPr>
                <w:rFonts w:ascii="宋体" w:hAnsi="宋体" w:cs="宋体" w:eastAsia="宋体" w:hint="default"/>
                <w:b/>
                <w:bCs/>
                <w:sz w:val="18"/>
                <w:szCs w:val="18"/>
              </w:rPr>
              <w:t>其中：</w:t>
            </w:r>
            <w:r>
              <w:rPr>
                <w:rFonts w:ascii="宋体" w:hAnsi="宋体" w:cs="宋体" w:eastAsia="宋体" w:hint="default"/>
                <w:b/>
                <w:bCs/>
                <w:sz w:val="18"/>
                <w:szCs w:val="18"/>
              </w:rPr>
              <w:t>Mini</w:t>
            </w:r>
            <w:r>
              <w:rPr>
                <w:rFonts w:ascii="宋体" w:hAnsi="宋体" w:cs="宋体" w:eastAsia="宋体" w:hint="default"/>
                <w:b/>
                <w:bCs/>
                <w:spacing w:val="3"/>
                <w:sz w:val="18"/>
                <w:szCs w:val="18"/>
              </w:rPr>
              <w:t> </w:t>
            </w:r>
            <w:r>
              <w:rPr>
                <w:rFonts w:ascii="宋体" w:hAnsi="宋体" w:cs="宋体" w:eastAsia="宋体" w:hint="default"/>
                <w:b/>
                <w:bCs/>
                <w:sz w:val="18"/>
                <w:szCs w:val="18"/>
              </w:rPr>
              <w:t>LED</w:t>
            </w:r>
            <w:r>
              <w:rPr>
                <w:rFonts w:ascii="宋体" w:hAnsi="宋体" w:cs="宋体" w:eastAsia="宋体" w:hint="default"/>
                <w:b/>
                <w:bCs/>
                <w:w w:val="100"/>
                <w:sz w:val="18"/>
                <w:szCs w:val="18"/>
              </w:rPr>
              <w:t> </w:t>
            </w:r>
            <w:r>
              <w:rPr>
                <w:rFonts w:ascii="宋体" w:hAnsi="宋体" w:cs="宋体" w:eastAsia="宋体" w:hint="default"/>
                <w:b/>
                <w:bCs/>
                <w:sz w:val="18"/>
                <w:szCs w:val="18"/>
              </w:rPr>
              <w:t>显示</w:t>
            </w:r>
            <w:r>
              <w:rPr>
                <w:rFonts w:ascii="宋体" w:hAnsi="宋体" w:cs="宋体" w:eastAsia="宋体" w:hint="default"/>
                <w:sz w:val="18"/>
                <w:szCs w:val="18"/>
              </w:rPr>
            </w:r>
          </w:p>
        </w:tc>
        <w:tc>
          <w:tcPr>
            <w:tcW w:w="99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w w:val="101"/>
                <w:sz w:val="18"/>
              </w:rPr>
              <w:t>2</w:t>
            </w:r>
            <w:r>
              <w:rPr>
                <w:rFonts w:ascii="宋体"/>
                <w:sz w:val="18"/>
              </w:rPr>
            </w:r>
          </w:p>
        </w:tc>
        <w:tc>
          <w:tcPr>
            <w:tcW w:w="85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331" w:right="0"/>
              <w:jc w:val="left"/>
              <w:rPr>
                <w:rFonts w:ascii="宋体" w:hAnsi="宋体" w:cs="宋体" w:eastAsia="宋体" w:hint="default"/>
                <w:sz w:val="18"/>
                <w:szCs w:val="18"/>
              </w:rPr>
            </w:pPr>
            <w:r>
              <w:rPr>
                <w:rFonts w:ascii="宋体"/>
                <w:sz w:val="18"/>
              </w:rPr>
              <w:t>12</w:t>
            </w:r>
          </w:p>
        </w:tc>
        <w:tc>
          <w:tcPr>
            <w:tcW w:w="99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w w:val="101"/>
                <w:sz w:val="18"/>
                <w:szCs w:val="18"/>
              </w:rPr>
              <w:t>—</w:t>
            </w:r>
            <w:r>
              <w:rPr>
                <w:rFonts w:ascii="宋体" w:hAnsi="宋体" w:cs="宋体" w:eastAsia="宋体" w:hint="default"/>
                <w:sz w:val="18"/>
                <w:szCs w:val="18"/>
              </w:rPr>
            </w:r>
          </w:p>
        </w:tc>
        <w:tc>
          <w:tcPr>
            <w:tcW w:w="98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9" w:right="0"/>
              <w:jc w:val="center"/>
              <w:rPr>
                <w:rFonts w:ascii="宋体" w:hAnsi="宋体" w:cs="宋体" w:eastAsia="宋体" w:hint="default"/>
                <w:sz w:val="18"/>
                <w:szCs w:val="18"/>
              </w:rPr>
            </w:pPr>
            <w:r>
              <w:rPr>
                <w:rFonts w:ascii="宋体"/>
                <w:sz w:val="18"/>
              </w:rPr>
              <w:t>11</w:t>
            </w:r>
          </w:p>
        </w:tc>
        <w:tc>
          <w:tcPr>
            <w:tcW w:w="113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w w:val="101"/>
                <w:sz w:val="18"/>
                <w:szCs w:val="18"/>
              </w:rPr>
              <w:t>—</w:t>
            </w:r>
            <w:r>
              <w:rPr>
                <w:rFonts w:ascii="宋体" w:hAnsi="宋体" w:cs="宋体" w:eastAsia="宋体" w:hint="default"/>
                <w:sz w:val="18"/>
                <w:szCs w:val="18"/>
              </w:rPr>
            </w:r>
          </w:p>
        </w:tc>
        <w:tc>
          <w:tcPr>
            <w:tcW w:w="98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sz w:val="18"/>
              </w:rPr>
              <w:t>13</w:t>
            </w:r>
          </w:p>
        </w:tc>
        <w:tc>
          <w:tcPr>
            <w:tcW w:w="1047"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470" w:right="0"/>
              <w:jc w:val="left"/>
              <w:rPr>
                <w:rFonts w:ascii="宋体" w:hAnsi="宋体" w:cs="宋体" w:eastAsia="宋体" w:hint="default"/>
                <w:sz w:val="18"/>
                <w:szCs w:val="18"/>
              </w:rPr>
            </w:pPr>
            <w:r>
              <w:rPr>
                <w:rFonts w:ascii="宋体"/>
                <w:w w:val="101"/>
                <w:sz w:val="18"/>
              </w:rPr>
              <w:t>9</w:t>
            </w:r>
            <w:r>
              <w:rPr>
                <w:rFonts w:ascii="宋体"/>
                <w:sz w:val="18"/>
              </w:rPr>
            </w:r>
          </w:p>
        </w:tc>
      </w:tr>
    </w:tbl>
    <w:p>
      <w:pPr>
        <w:spacing w:line="240" w:lineRule="auto" w:before="2"/>
        <w:rPr>
          <w:rFonts w:ascii="宋体" w:hAnsi="宋体" w:cs="宋体" w:eastAsia="宋体" w:hint="default"/>
          <w:sz w:val="21"/>
          <w:szCs w:val="21"/>
        </w:rPr>
      </w:pPr>
    </w:p>
    <w:p>
      <w:pPr>
        <w:pStyle w:val="BodyText"/>
        <w:spacing w:line="240" w:lineRule="auto"/>
        <w:ind w:left="513" w:right="0"/>
        <w:jc w:val="left"/>
      </w:pPr>
      <w:r>
        <w:rPr/>
        <w:t>（</w:t>
      </w:r>
      <w:r>
        <w:rPr>
          <w:rFonts w:ascii="宋体" w:hAnsi="宋体" w:cs="宋体" w:eastAsia="宋体" w:hint="default"/>
        </w:rPr>
        <w:t>4</w:t>
      </w:r>
      <w:r>
        <w:rPr/>
        <w:t>）品牌优势</w:t>
      </w:r>
    </w:p>
    <w:p>
      <w:pPr>
        <w:spacing w:line="240" w:lineRule="auto" w:before="0"/>
        <w:rPr>
          <w:rFonts w:ascii="宋体" w:hAnsi="宋体" w:cs="宋体" w:eastAsia="宋体" w:hint="default"/>
          <w:sz w:val="5"/>
          <w:szCs w:val="5"/>
        </w:rPr>
      </w:pPr>
    </w:p>
    <w:tbl>
      <w:tblPr>
        <w:tblW w:w="0" w:type="auto"/>
        <w:jc w:val="left"/>
        <w:tblInd w:w="669" w:type="dxa"/>
        <w:tblLayout w:type="fixed"/>
        <w:tblCellMar>
          <w:top w:w="0" w:type="dxa"/>
          <w:left w:w="0" w:type="dxa"/>
          <w:bottom w:w="0" w:type="dxa"/>
          <w:right w:w="0" w:type="dxa"/>
        </w:tblCellMar>
        <w:tblLook w:val="01E0"/>
      </w:tblPr>
      <w:tblGrid>
        <w:gridCol w:w="704"/>
        <w:gridCol w:w="994"/>
        <w:gridCol w:w="3649"/>
        <w:gridCol w:w="3231"/>
      </w:tblGrid>
      <w:tr>
        <w:trPr>
          <w:trHeight w:val="343" w:hRule="exact"/>
        </w:trPr>
        <w:tc>
          <w:tcPr>
            <w:tcW w:w="704" w:type="dxa"/>
            <w:tcBorders>
              <w:top w:val="single" w:sz="6" w:space="0" w:color="000000"/>
              <w:left w:val="single" w:sz="6" w:space="0" w:color="000000"/>
              <w:bottom w:val="single" w:sz="4" w:space="0" w:color="000000"/>
              <w:right w:val="single" w:sz="6" w:space="0" w:color="000000"/>
            </w:tcBorders>
            <w:shd w:val="clear" w:color="auto" w:fill="1B24AB"/>
          </w:tcPr>
          <w:p>
            <w:pPr>
              <w:pStyle w:val="TableParagraph"/>
              <w:spacing w:line="240" w:lineRule="auto" w:before="20"/>
              <w:ind w:left="1" w:right="0"/>
              <w:jc w:val="center"/>
              <w:rPr>
                <w:rFonts w:ascii="宋体" w:hAnsi="宋体" w:cs="宋体" w:eastAsia="宋体" w:hint="default"/>
                <w:sz w:val="18"/>
                <w:szCs w:val="18"/>
              </w:rPr>
            </w:pPr>
            <w:r>
              <w:rPr>
                <w:rFonts w:ascii="宋体" w:hAnsi="宋体" w:cs="宋体" w:eastAsia="宋体" w:hint="default"/>
                <w:b/>
                <w:bCs/>
                <w:color w:val="FFFFFF"/>
                <w:sz w:val="18"/>
                <w:szCs w:val="18"/>
              </w:rPr>
              <w:t>序号</w:t>
            </w:r>
            <w:r>
              <w:rPr>
                <w:rFonts w:ascii="宋体" w:hAnsi="宋体" w:cs="宋体" w:eastAsia="宋体" w:hint="default"/>
                <w:sz w:val="18"/>
                <w:szCs w:val="18"/>
              </w:rPr>
            </w:r>
          </w:p>
        </w:tc>
        <w:tc>
          <w:tcPr>
            <w:tcW w:w="994" w:type="dxa"/>
            <w:tcBorders>
              <w:top w:val="single" w:sz="6" w:space="0" w:color="000000"/>
              <w:left w:val="single" w:sz="6" w:space="0" w:color="000000"/>
              <w:bottom w:val="single" w:sz="4" w:space="0" w:color="000000"/>
              <w:right w:val="single" w:sz="6" w:space="0" w:color="000000"/>
            </w:tcBorders>
            <w:shd w:val="clear" w:color="auto" w:fill="1B24AB"/>
          </w:tcPr>
          <w:p>
            <w:pPr>
              <w:pStyle w:val="TableParagraph"/>
              <w:spacing w:line="240" w:lineRule="auto" w:before="20"/>
              <w:ind w:left="127" w:right="0"/>
              <w:jc w:val="left"/>
              <w:rPr>
                <w:rFonts w:ascii="宋体" w:hAnsi="宋体" w:cs="宋体" w:eastAsia="宋体" w:hint="default"/>
                <w:sz w:val="18"/>
                <w:szCs w:val="18"/>
              </w:rPr>
            </w:pPr>
            <w:r>
              <w:rPr>
                <w:rFonts w:ascii="宋体" w:hAnsi="宋体" w:cs="宋体" w:eastAsia="宋体" w:hint="default"/>
                <w:b/>
                <w:bCs/>
                <w:color w:val="FFFFFF"/>
                <w:sz w:val="18"/>
                <w:szCs w:val="18"/>
              </w:rPr>
              <w:t>获奖时间</w:t>
            </w:r>
            <w:r>
              <w:rPr>
                <w:rFonts w:ascii="宋体" w:hAnsi="宋体" w:cs="宋体" w:eastAsia="宋体" w:hint="default"/>
                <w:sz w:val="18"/>
                <w:szCs w:val="18"/>
              </w:rPr>
            </w:r>
          </w:p>
        </w:tc>
        <w:tc>
          <w:tcPr>
            <w:tcW w:w="3649" w:type="dxa"/>
            <w:tcBorders>
              <w:top w:val="single" w:sz="6" w:space="0" w:color="000000"/>
              <w:left w:val="single" w:sz="6" w:space="0" w:color="000000"/>
              <w:bottom w:val="single" w:sz="4" w:space="0" w:color="000000"/>
              <w:right w:val="single" w:sz="6" w:space="0" w:color="000000"/>
            </w:tcBorders>
            <w:shd w:val="clear" w:color="auto" w:fill="1B24AB"/>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b/>
                <w:bCs/>
                <w:color w:val="FFFFFF"/>
                <w:sz w:val="18"/>
                <w:szCs w:val="18"/>
              </w:rPr>
              <w:t>获奖名称</w:t>
            </w:r>
            <w:r>
              <w:rPr>
                <w:rFonts w:ascii="宋体" w:hAnsi="宋体" w:cs="宋体" w:eastAsia="宋体" w:hint="default"/>
                <w:sz w:val="18"/>
                <w:szCs w:val="18"/>
              </w:rPr>
            </w:r>
          </w:p>
        </w:tc>
        <w:tc>
          <w:tcPr>
            <w:tcW w:w="3231" w:type="dxa"/>
            <w:tcBorders>
              <w:top w:val="single" w:sz="6" w:space="0" w:color="000000"/>
              <w:left w:val="single" w:sz="6" w:space="0" w:color="000000"/>
              <w:bottom w:val="single" w:sz="4" w:space="0" w:color="000000"/>
              <w:right w:val="nil" w:sz="6" w:space="0" w:color="auto"/>
            </w:tcBorders>
            <w:shd w:val="clear" w:color="auto" w:fill="1B24AB"/>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b/>
                <w:bCs/>
                <w:color w:val="FFFFFF"/>
                <w:sz w:val="18"/>
                <w:szCs w:val="18"/>
              </w:rPr>
              <w:t>颁发单位</w:t>
            </w:r>
            <w:r>
              <w:rPr>
                <w:rFonts w:ascii="宋体" w:hAnsi="宋体" w:cs="宋体" w:eastAsia="宋体" w:hint="default"/>
                <w:sz w:val="18"/>
                <w:szCs w:val="18"/>
              </w:rPr>
            </w:r>
          </w:p>
        </w:tc>
      </w:tr>
      <w:tr>
        <w:trPr>
          <w:trHeight w:val="658" w:hRule="exact"/>
        </w:trPr>
        <w:tc>
          <w:tcPr>
            <w:tcW w:w="70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5"/>
              <w:ind w:left="2" w:right="0"/>
              <w:jc w:val="center"/>
              <w:rPr>
                <w:rFonts w:ascii="宋体" w:hAnsi="宋体" w:cs="宋体" w:eastAsia="宋体" w:hint="default"/>
                <w:sz w:val="18"/>
                <w:szCs w:val="18"/>
              </w:rPr>
            </w:pPr>
            <w:r>
              <w:rPr>
                <w:rFonts w:ascii="宋体"/>
                <w:b/>
                <w:w w:val="100"/>
                <w:sz w:val="18"/>
              </w:rPr>
              <w:t>1</w:t>
            </w:r>
            <w:r>
              <w:rPr>
                <w:rFonts w:ascii="宋体"/>
                <w:w w:val="100"/>
                <w:sz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77" w:right="0"/>
              <w:jc w:val="left"/>
              <w:rPr>
                <w:rFonts w:ascii="宋体" w:hAnsi="宋体" w:cs="宋体" w:eastAsia="宋体" w:hint="default"/>
                <w:sz w:val="18"/>
                <w:szCs w:val="18"/>
              </w:rPr>
            </w:pPr>
            <w:r>
              <w:rPr>
                <w:rFonts w:ascii="宋体"/>
                <w:sz w:val="18"/>
              </w:rPr>
              <w:t>2019.02</w:t>
            </w:r>
          </w:p>
        </w:tc>
        <w:tc>
          <w:tcPr>
            <w:tcW w:w="364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5"/>
              <w:ind w:left="331" w:right="60" w:hanging="269"/>
              <w:jc w:val="left"/>
              <w:rPr>
                <w:rFonts w:ascii="宋体" w:hAnsi="宋体" w:cs="宋体" w:eastAsia="宋体" w:hint="default"/>
                <w:sz w:val="18"/>
                <w:szCs w:val="18"/>
              </w:rPr>
            </w:pPr>
            <w:r>
              <w:rPr>
                <w:rFonts w:ascii="宋体" w:hAnsi="宋体" w:cs="宋体" w:eastAsia="宋体" w:hint="default"/>
                <w:spacing w:val="-3"/>
                <w:sz w:val="18"/>
                <w:szCs w:val="18"/>
              </w:rPr>
              <w:t>科学技术奖三等奖</w:t>
            </w:r>
            <w:r>
              <w:rPr>
                <w:rFonts w:ascii="宋体" w:hAnsi="宋体" w:cs="宋体" w:eastAsia="宋体" w:hint="default"/>
                <w:spacing w:val="-3"/>
                <w:sz w:val="18"/>
                <w:szCs w:val="18"/>
              </w:rPr>
              <w:t>-</w:t>
            </w:r>
            <w:r>
              <w:rPr>
                <w:rFonts w:ascii="宋体" w:hAnsi="宋体" w:cs="宋体" w:eastAsia="宋体" w:hint="default"/>
                <w:spacing w:val="-3"/>
                <w:sz w:val="18"/>
                <w:szCs w:val="18"/>
              </w:rPr>
              <w:t>依托视觉传达与信息交互</w:t>
            </w:r>
            <w:r>
              <w:rPr>
                <w:rFonts w:ascii="宋体" w:hAnsi="宋体" w:cs="宋体" w:eastAsia="宋体" w:hint="default"/>
                <w:spacing w:val="-29"/>
                <w:sz w:val="18"/>
                <w:szCs w:val="18"/>
              </w:rPr>
              <w:t> </w:t>
            </w:r>
            <w:r>
              <w:rPr>
                <w:rFonts w:ascii="宋体" w:hAnsi="宋体" w:cs="宋体" w:eastAsia="宋体" w:hint="default"/>
                <w:spacing w:val="-29"/>
                <w:sz w:val="18"/>
                <w:szCs w:val="18"/>
              </w:rPr>
            </w:r>
            <w:r>
              <w:rPr>
                <w:rFonts w:ascii="宋体" w:hAnsi="宋体" w:cs="宋体" w:eastAsia="宋体" w:hint="default"/>
                <w:sz w:val="18"/>
                <w:szCs w:val="18"/>
              </w:rPr>
              <w:t>设计的</w:t>
            </w:r>
            <w:r>
              <w:rPr>
                <w:rFonts w:ascii="宋体" w:hAnsi="宋体" w:cs="宋体" w:eastAsia="宋体" w:hint="default"/>
                <w:sz w:val="18"/>
                <w:szCs w:val="18"/>
              </w:rPr>
              <w:t>LED</w:t>
            </w:r>
            <w:r>
              <w:rPr>
                <w:rFonts w:ascii="宋体" w:hAnsi="宋体" w:cs="宋体" w:eastAsia="宋体" w:hint="default"/>
                <w:sz w:val="18"/>
                <w:szCs w:val="18"/>
              </w:rPr>
              <w:t>光产品关键技术及工程应用</w:t>
            </w:r>
          </w:p>
        </w:tc>
        <w:tc>
          <w:tcPr>
            <w:tcW w:w="32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right="3"/>
              <w:jc w:val="center"/>
              <w:rPr>
                <w:rFonts w:ascii="宋体" w:hAnsi="宋体" w:cs="宋体" w:eastAsia="宋体" w:hint="default"/>
                <w:sz w:val="18"/>
                <w:szCs w:val="18"/>
              </w:rPr>
            </w:pPr>
            <w:r>
              <w:rPr>
                <w:rFonts w:ascii="宋体" w:hAnsi="宋体" w:cs="宋体" w:eastAsia="宋体" w:hint="default"/>
                <w:sz w:val="18"/>
                <w:szCs w:val="18"/>
              </w:rPr>
              <w:t>中国轻工业联合会</w:t>
            </w:r>
          </w:p>
        </w:tc>
      </w:tr>
      <w:tr>
        <w:trPr>
          <w:trHeight w:val="341" w:hRule="exact"/>
        </w:trPr>
        <w:tc>
          <w:tcPr>
            <w:tcW w:w="70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2" w:right="0"/>
              <w:jc w:val="center"/>
              <w:rPr>
                <w:rFonts w:ascii="宋体" w:hAnsi="宋体" w:cs="宋体" w:eastAsia="宋体" w:hint="default"/>
                <w:sz w:val="18"/>
                <w:szCs w:val="18"/>
              </w:rPr>
            </w:pPr>
            <w:r>
              <w:rPr>
                <w:rFonts w:ascii="宋体"/>
                <w:b/>
                <w:w w:val="100"/>
                <w:sz w:val="18"/>
              </w:rPr>
              <w:t>2</w:t>
            </w:r>
            <w:r>
              <w:rPr>
                <w:rFonts w:ascii="宋体"/>
                <w:w w:val="100"/>
                <w:sz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72" w:right="0"/>
              <w:jc w:val="left"/>
              <w:rPr>
                <w:rFonts w:ascii="宋体" w:hAnsi="宋体" w:cs="宋体" w:eastAsia="宋体" w:hint="default"/>
                <w:sz w:val="18"/>
                <w:szCs w:val="18"/>
              </w:rPr>
            </w:pPr>
            <w:r>
              <w:rPr>
                <w:rFonts w:ascii="宋体"/>
                <w:sz w:val="18"/>
              </w:rPr>
              <w:t>2019.04</w:t>
            </w:r>
          </w:p>
        </w:tc>
        <w:tc>
          <w:tcPr>
            <w:tcW w:w="3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第六届</w:t>
            </w:r>
            <w:r>
              <w:rPr>
                <w:rFonts w:ascii="宋体" w:hAnsi="宋体" w:cs="宋体" w:eastAsia="宋体" w:hint="default"/>
                <w:sz w:val="18"/>
                <w:szCs w:val="18"/>
              </w:rPr>
              <w:t>LED</w:t>
            </w:r>
            <w:r>
              <w:rPr>
                <w:rFonts w:ascii="宋体" w:hAnsi="宋体" w:cs="宋体" w:eastAsia="宋体" w:hint="default"/>
                <w:sz w:val="18"/>
                <w:szCs w:val="18"/>
              </w:rPr>
              <w:t>首创奖</w:t>
            </w:r>
          </w:p>
        </w:tc>
        <w:tc>
          <w:tcPr>
            <w:tcW w:w="32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0"/>
              <w:ind w:right="3"/>
              <w:jc w:val="center"/>
              <w:rPr>
                <w:rFonts w:ascii="宋体" w:hAnsi="宋体" w:cs="宋体" w:eastAsia="宋体" w:hint="default"/>
                <w:sz w:val="18"/>
                <w:szCs w:val="18"/>
              </w:rPr>
            </w:pPr>
            <w:r>
              <w:rPr>
                <w:rFonts w:ascii="宋体" w:hAnsi="宋体" w:cs="宋体" w:eastAsia="宋体" w:hint="default"/>
                <w:spacing w:val="-3"/>
                <w:sz w:val="18"/>
                <w:szCs w:val="18"/>
              </w:rPr>
              <w:t>半导体照明技术与应用专业委员会</w:t>
            </w:r>
          </w:p>
        </w:tc>
      </w:tr>
      <w:tr>
        <w:trPr>
          <w:trHeight w:val="341" w:hRule="exact"/>
        </w:trPr>
        <w:tc>
          <w:tcPr>
            <w:tcW w:w="70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2" w:right="0"/>
              <w:jc w:val="center"/>
              <w:rPr>
                <w:rFonts w:ascii="宋体" w:hAnsi="宋体" w:cs="宋体" w:eastAsia="宋体" w:hint="default"/>
                <w:sz w:val="18"/>
                <w:szCs w:val="18"/>
              </w:rPr>
            </w:pPr>
            <w:r>
              <w:rPr>
                <w:rFonts w:ascii="宋体"/>
                <w:b/>
                <w:w w:val="100"/>
                <w:sz w:val="18"/>
              </w:rPr>
              <w:t>3</w:t>
            </w:r>
            <w:r>
              <w:rPr>
                <w:rFonts w:ascii="宋体"/>
                <w:w w:val="100"/>
                <w:sz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72" w:right="0"/>
              <w:jc w:val="left"/>
              <w:rPr>
                <w:rFonts w:ascii="宋体" w:hAnsi="宋体" w:cs="宋体" w:eastAsia="宋体" w:hint="default"/>
                <w:sz w:val="18"/>
                <w:szCs w:val="18"/>
              </w:rPr>
            </w:pPr>
            <w:r>
              <w:rPr>
                <w:rFonts w:ascii="宋体"/>
                <w:sz w:val="18"/>
              </w:rPr>
              <w:t>2019.05</w:t>
            </w:r>
          </w:p>
        </w:tc>
        <w:tc>
          <w:tcPr>
            <w:tcW w:w="3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z w:val="18"/>
                <w:szCs w:val="18"/>
              </w:rPr>
              <w:t>年度深圳市软件业务收入前百家企业</w:t>
            </w:r>
          </w:p>
        </w:tc>
        <w:tc>
          <w:tcPr>
            <w:tcW w:w="32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pacing w:val="-3"/>
                <w:sz w:val="18"/>
                <w:szCs w:val="18"/>
              </w:rPr>
              <w:t>深圳市软件行业协会</w:t>
            </w:r>
          </w:p>
        </w:tc>
      </w:tr>
      <w:tr>
        <w:trPr>
          <w:trHeight w:val="653" w:hRule="exact"/>
        </w:trPr>
        <w:tc>
          <w:tcPr>
            <w:tcW w:w="70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2" w:right="0"/>
              <w:jc w:val="center"/>
              <w:rPr>
                <w:rFonts w:ascii="宋体" w:hAnsi="宋体" w:cs="宋体" w:eastAsia="宋体" w:hint="default"/>
                <w:sz w:val="18"/>
                <w:szCs w:val="18"/>
              </w:rPr>
            </w:pPr>
            <w:r>
              <w:rPr>
                <w:rFonts w:ascii="宋体"/>
                <w:b/>
                <w:w w:val="100"/>
                <w:sz w:val="18"/>
              </w:rPr>
              <w:t>4</w:t>
            </w:r>
            <w:r>
              <w:rPr>
                <w:rFonts w:ascii="宋体"/>
                <w:w w:val="100"/>
                <w:sz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77" w:right="0"/>
              <w:jc w:val="left"/>
              <w:rPr>
                <w:rFonts w:ascii="宋体" w:hAnsi="宋体" w:cs="宋体" w:eastAsia="宋体" w:hint="default"/>
                <w:sz w:val="18"/>
                <w:szCs w:val="18"/>
              </w:rPr>
            </w:pPr>
            <w:r>
              <w:rPr>
                <w:rFonts w:ascii="宋体"/>
                <w:sz w:val="18"/>
              </w:rPr>
              <w:t>2019.06</w:t>
            </w:r>
          </w:p>
        </w:tc>
        <w:tc>
          <w:tcPr>
            <w:tcW w:w="364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0"/>
              <w:ind w:left="604" w:right="13" w:hanging="586"/>
              <w:jc w:val="left"/>
              <w:rPr>
                <w:rFonts w:ascii="宋体" w:hAnsi="宋体" w:cs="宋体" w:eastAsia="宋体" w:hint="default"/>
                <w:sz w:val="18"/>
                <w:szCs w:val="18"/>
              </w:rPr>
            </w:pPr>
            <w:r>
              <w:rPr>
                <w:rFonts w:ascii="宋体" w:hAnsi="宋体" w:cs="宋体" w:eastAsia="宋体" w:hint="default"/>
                <w:spacing w:val="-3"/>
                <w:sz w:val="18"/>
                <w:szCs w:val="18"/>
              </w:rPr>
              <w:t>2019</w:t>
            </w:r>
            <w:r>
              <w:rPr>
                <w:rFonts w:ascii="宋体" w:hAnsi="宋体" w:cs="宋体" w:eastAsia="宋体" w:hint="default"/>
                <w:spacing w:val="-3"/>
                <w:sz w:val="18"/>
                <w:szCs w:val="18"/>
              </w:rPr>
              <w:t>年粤港澳大湾区高价值专利培育布局大赛</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z w:val="18"/>
                <w:szCs w:val="18"/>
              </w:rPr>
              <w:t>五十强项目“超清晰</w:t>
            </w:r>
            <w:r>
              <w:rPr>
                <w:rFonts w:ascii="宋体" w:hAnsi="宋体" w:cs="宋体" w:eastAsia="宋体" w:hint="default"/>
                <w:sz w:val="18"/>
                <w:szCs w:val="18"/>
              </w:rPr>
              <w:t>LED</w:t>
            </w:r>
            <w:r>
              <w:rPr>
                <w:rFonts w:ascii="宋体" w:hAnsi="宋体" w:cs="宋体" w:eastAsia="宋体" w:hint="default"/>
                <w:sz w:val="18"/>
                <w:szCs w:val="18"/>
              </w:rPr>
              <w:t>显示”</w:t>
            </w:r>
          </w:p>
        </w:tc>
        <w:tc>
          <w:tcPr>
            <w:tcW w:w="3231" w:type="dxa"/>
            <w:tcBorders>
              <w:top w:val="single" w:sz="4" w:space="0" w:color="000000"/>
              <w:left w:val="single" w:sz="4" w:space="0" w:color="000000"/>
              <w:bottom w:val="single" w:sz="4" w:space="0" w:color="000000"/>
              <w:right w:val="nil" w:sz="6" w:space="0" w:color="auto"/>
            </w:tcBorders>
          </w:tcPr>
          <w:p>
            <w:pPr>
              <w:pStyle w:val="TableParagraph"/>
              <w:spacing w:line="316" w:lineRule="auto" w:before="20"/>
              <w:ind w:left="888" w:right="80" w:hanging="807"/>
              <w:jc w:val="left"/>
              <w:rPr>
                <w:rFonts w:ascii="宋体" w:hAnsi="宋体" w:cs="宋体" w:eastAsia="宋体" w:hint="default"/>
                <w:sz w:val="18"/>
                <w:szCs w:val="18"/>
              </w:rPr>
            </w:pPr>
            <w:r>
              <w:rPr>
                <w:rFonts w:ascii="宋体" w:hAnsi="宋体" w:cs="宋体" w:eastAsia="宋体" w:hint="default"/>
                <w:spacing w:val="-3"/>
                <w:sz w:val="18"/>
                <w:szCs w:val="18"/>
              </w:rPr>
              <w:t>2019</w:t>
            </w:r>
            <w:r>
              <w:rPr>
                <w:rFonts w:ascii="宋体" w:hAnsi="宋体" w:cs="宋体" w:eastAsia="宋体" w:hint="default"/>
                <w:spacing w:val="-3"/>
                <w:sz w:val="18"/>
                <w:szCs w:val="18"/>
              </w:rPr>
              <w:t>年粤港澳大湾区高价值专利培育布</w:t>
            </w:r>
            <w:r>
              <w:rPr>
                <w:rFonts w:ascii="宋体" w:hAnsi="宋体" w:cs="宋体" w:eastAsia="宋体" w:hint="default"/>
                <w:spacing w:val="-33"/>
                <w:sz w:val="18"/>
                <w:szCs w:val="18"/>
              </w:rPr>
              <w:t> </w:t>
            </w:r>
            <w:r>
              <w:rPr>
                <w:rFonts w:ascii="宋体" w:hAnsi="宋体" w:cs="宋体" w:eastAsia="宋体" w:hint="default"/>
                <w:spacing w:val="-33"/>
                <w:sz w:val="18"/>
                <w:szCs w:val="18"/>
              </w:rPr>
            </w:r>
            <w:r>
              <w:rPr>
                <w:rFonts w:ascii="宋体" w:hAnsi="宋体" w:cs="宋体" w:eastAsia="宋体" w:hint="default"/>
                <w:sz w:val="18"/>
                <w:szCs w:val="18"/>
              </w:rPr>
              <w:t>局大赛执行委员会</w:t>
            </w:r>
          </w:p>
        </w:tc>
      </w:tr>
      <w:tr>
        <w:trPr>
          <w:trHeight w:val="346" w:hRule="exact"/>
        </w:trPr>
        <w:tc>
          <w:tcPr>
            <w:tcW w:w="70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5"/>
              <w:ind w:left="2" w:right="0"/>
              <w:jc w:val="center"/>
              <w:rPr>
                <w:rFonts w:ascii="宋体" w:hAnsi="宋体" w:cs="宋体" w:eastAsia="宋体" w:hint="default"/>
                <w:sz w:val="18"/>
                <w:szCs w:val="18"/>
              </w:rPr>
            </w:pPr>
            <w:r>
              <w:rPr>
                <w:rFonts w:ascii="宋体"/>
                <w:b/>
                <w:w w:val="100"/>
                <w:sz w:val="18"/>
              </w:rPr>
              <w:t>5</w:t>
            </w:r>
            <w:r>
              <w:rPr>
                <w:rFonts w:ascii="宋体"/>
                <w:w w:val="100"/>
                <w:sz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77" w:right="0"/>
              <w:jc w:val="left"/>
              <w:rPr>
                <w:rFonts w:ascii="宋体" w:hAnsi="宋体" w:cs="宋体" w:eastAsia="宋体" w:hint="default"/>
                <w:sz w:val="18"/>
                <w:szCs w:val="18"/>
              </w:rPr>
            </w:pPr>
            <w:r>
              <w:rPr>
                <w:rFonts w:ascii="宋体"/>
                <w:sz w:val="18"/>
              </w:rPr>
              <w:t>2019.10</w:t>
            </w:r>
          </w:p>
        </w:tc>
        <w:tc>
          <w:tcPr>
            <w:tcW w:w="3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3" w:right="0"/>
              <w:jc w:val="center"/>
              <w:rPr>
                <w:rFonts w:ascii="宋体" w:hAnsi="宋体" w:cs="宋体" w:eastAsia="宋体" w:hint="default"/>
                <w:sz w:val="18"/>
                <w:szCs w:val="18"/>
              </w:rPr>
            </w:pPr>
            <w:r>
              <w:rPr>
                <w:rFonts w:ascii="宋体" w:hAnsi="宋体" w:cs="宋体" w:eastAsia="宋体" w:hint="default"/>
                <w:spacing w:val="-3"/>
                <w:sz w:val="18"/>
                <w:szCs w:val="18"/>
              </w:rPr>
              <w:t>深圳市奥拓电子股份有限公司工业设计中心</w:t>
            </w:r>
          </w:p>
        </w:tc>
        <w:tc>
          <w:tcPr>
            <w:tcW w:w="32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5"/>
              <w:ind w:right="0"/>
              <w:jc w:val="center"/>
              <w:rPr>
                <w:rFonts w:ascii="宋体" w:hAnsi="宋体" w:cs="宋体" w:eastAsia="宋体" w:hint="default"/>
                <w:sz w:val="18"/>
                <w:szCs w:val="18"/>
              </w:rPr>
            </w:pPr>
            <w:r>
              <w:rPr>
                <w:rFonts w:ascii="宋体" w:hAnsi="宋体" w:cs="宋体" w:eastAsia="宋体" w:hint="default"/>
                <w:sz w:val="18"/>
                <w:szCs w:val="18"/>
              </w:rPr>
              <w:t>广东省工业和信息化厅</w:t>
            </w:r>
          </w:p>
        </w:tc>
      </w:tr>
      <w:tr>
        <w:trPr>
          <w:trHeight w:val="341" w:hRule="exact"/>
        </w:trPr>
        <w:tc>
          <w:tcPr>
            <w:tcW w:w="70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2" w:right="0"/>
              <w:jc w:val="center"/>
              <w:rPr>
                <w:rFonts w:ascii="宋体" w:hAnsi="宋体" w:cs="宋体" w:eastAsia="宋体" w:hint="default"/>
                <w:sz w:val="18"/>
                <w:szCs w:val="18"/>
              </w:rPr>
            </w:pPr>
            <w:r>
              <w:rPr>
                <w:rFonts w:ascii="宋体"/>
                <w:b/>
                <w:w w:val="100"/>
                <w:sz w:val="18"/>
              </w:rPr>
              <w:t>6</w:t>
            </w:r>
            <w:r>
              <w:rPr>
                <w:rFonts w:ascii="宋体"/>
                <w:w w:val="100"/>
                <w:sz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72" w:right="0"/>
              <w:jc w:val="left"/>
              <w:rPr>
                <w:rFonts w:ascii="宋体" w:hAnsi="宋体" w:cs="宋体" w:eastAsia="宋体" w:hint="default"/>
                <w:sz w:val="18"/>
                <w:szCs w:val="18"/>
              </w:rPr>
            </w:pPr>
            <w:r>
              <w:rPr>
                <w:rFonts w:ascii="宋体"/>
                <w:sz w:val="18"/>
              </w:rPr>
              <w:t>2019.11</w:t>
            </w:r>
          </w:p>
        </w:tc>
        <w:tc>
          <w:tcPr>
            <w:tcW w:w="3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center"/>
              <w:rPr>
                <w:rFonts w:ascii="宋体" w:hAnsi="宋体" w:cs="宋体" w:eastAsia="宋体" w:hint="default"/>
                <w:sz w:val="18"/>
                <w:szCs w:val="18"/>
              </w:rPr>
            </w:pPr>
            <w:r>
              <w:rPr>
                <w:rFonts w:ascii="宋体" w:hAnsi="宋体" w:cs="宋体" w:eastAsia="宋体" w:hint="default"/>
                <w:sz w:val="18"/>
                <w:szCs w:val="18"/>
              </w:rPr>
              <w:t>当代好设计优胜奖</w:t>
            </w:r>
          </w:p>
        </w:tc>
        <w:tc>
          <w:tcPr>
            <w:tcW w:w="32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红点奖机构</w:t>
            </w:r>
          </w:p>
        </w:tc>
      </w:tr>
      <w:tr>
        <w:trPr>
          <w:trHeight w:val="341" w:hRule="exact"/>
        </w:trPr>
        <w:tc>
          <w:tcPr>
            <w:tcW w:w="70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2" w:right="0"/>
              <w:jc w:val="center"/>
              <w:rPr>
                <w:rFonts w:ascii="宋体" w:hAnsi="宋体" w:cs="宋体" w:eastAsia="宋体" w:hint="default"/>
                <w:sz w:val="18"/>
                <w:szCs w:val="18"/>
              </w:rPr>
            </w:pPr>
            <w:r>
              <w:rPr>
                <w:rFonts w:ascii="宋体"/>
                <w:b/>
                <w:w w:val="100"/>
                <w:sz w:val="18"/>
              </w:rPr>
              <w:t>7</w:t>
            </w:r>
            <w:r>
              <w:rPr>
                <w:rFonts w:ascii="宋体"/>
                <w:w w:val="100"/>
                <w:sz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72" w:right="0"/>
              <w:jc w:val="left"/>
              <w:rPr>
                <w:rFonts w:ascii="宋体" w:hAnsi="宋体" w:cs="宋体" w:eastAsia="宋体" w:hint="default"/>
                <w:sz w:val="18"/>
                <w:szCs w:val="18"/>
              </w:rPr>
            </w:pPr>
            <w:r>
              <w:rPr>
                <w:rFonts w:ascii="宋体"/>
                <w:sz w:val="18"/>
              </w:rPr>
              <w:t>2019.12</w:t>
            </w:r>
          </w:p>
        </w:tc>
        <w:tc>
          <w:tcPr>
            <w:tcW w:w="3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z w:val="18"/>
                <w:szCs w:val="18"/>
              </w:rPr>
              <w:t>年深圳</w:t>
            </w:r>
            <w:r>
              <w:rPr>
                <w:rFonts w:ascii="宋体" w:hAnsi="宋体" w:cs="宋体" w:eastAsia="宋体" w:hint="default"/>
                <w:sz w:val="18"/>
                <w:szCs w:val="18"/>
              </w:rPr>
              <w:t>500</w:t>
            </w:r>
            <w:r>
              <w:rPr>
                <w:rFonts w:ascii="宋体" w:hAnsi="宋体" w:cs="宋体" w:eastAsia="宋体" w:hint="default"/>
                <w:sz w:val="18"/>
                <w:szCs w:val="18"/>
              </w:rPr>
              <w:t>强企业</w:t>
            </w:r>
          </w:p>
        </w:tc>
        <w:tc>
          <w:tcPr>
            <w:tcW w:w="32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pacing w:val="-3"/>
                <w:sz w:val="18"/>
                <w:szCs w:val="18"/>
              </w:rPr>
              <w:t>深圳市企业联合会</w:t>
            </w:r>
            <w:r>
              <w:rPr>
                <w:rFonts w:ascii="宋体" w:hAnsi="宋体" w:cs="宋体" w:eastAsia="宋体" w:hint="default"/>
                <w:spacing w:val="-3"/>
                <w:sz w:val="18"/>
                <w:szCs w:val="18"/>
              </w:rPr>
              <w:t>/</w:t>
            </w:r>
            <w:r>
              <w:rPr>
                <w:rFonts w:ascii="宋体" w:hAnsi="宋体" w:cs="宋体" w:eastAsia="宋体" w:hint="default"/>
                <w:spacing w:val="-3"/>
                <w:sz w:val="18"/>
                <w:szCs w:val="18"/>
              </w:rPr>
              <w:t>深圳市企业家协会</w:t>
            </w:r>
          </w:p>
        </w:tc>
      </w:tr>
      <w:tr>
        <w:trPr>
          <w:trHeight w:val="341" w:hRule="exact"/>
        </w:trPr>
        <w:tc>
          <w:tcPr>
            <w:tcW w:w="70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2" w:right="0"/>
              <w:jc w:val="center"/>
              <w:rPr>
                <w:rFonts w:ascii="宋体" w:hAnsi="宋体" w:cs="宋体" w:eastAsia="宋体" w:hint="default"/>
                <w:sz w:val="18"/>
                <w:szCs w:val="18"/>
              </w:rPr>
            </w:pPr>
            <w:r>
              <w:rPr>
                <w:rFonts w:ascii="宋体"/>
                <w:b/>
                <w:w w:val="100"/>
                <w:sz w:val="18"/>
              </w:rPr>
              <w:t>8</w:t>
            </w:r>
            <w:r>
              <w:rPr>
                <w:rFonts w:ascii="宋体"/>
                <w:w w:val="100"/>
                <w:sz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77" w:right="0"/>
              <w:jc w:val="left"/>
              <w:rPr>
                <w:rFonts w:ascii="宋体" w:hAnsi="宋体" w:cs="宋体" w:eastAsia="宋体" w:hint="default"/>
                <w:sz w:val="18"/>
                <w:szCs w:val="18"/>
              </w:rPr>
            </w:pPr>
            <w:r>
              <w:rPr>
                <w:rFonts w:ascii="宋体"/>
                <w:sz w:val="18"/>
              </w:rPr>
              <w:t>2019.12</w:t>
            </w:r>
          </w:p>
        </w:tc>
        <w:tc>
          <w:tcPr>
            <w:tcW w:w="3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z w:val="18"/>
                <w:szCs w:val="18"/>
              </w:rPr>
              <w:t>年度国家知识产权优势企业</w:t>
            </w:r>
          </w:p>
        </w:tc>
        <w:tc>
          <w:tcPr>
            <w:tcW w:w="32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0"/>
              <w:ind w:right="3"/>
              <w:jc w:val="center"/>
              <w:rPr>
                <w:rFonts w:ascii="宋体" w:hAnsi="宋体" w:cs="宋体" w:eastAsia="宋体" w:hint="default"/>
                <w:sz w:val="18"/>
                <w:szCs w:val="18"/>
              </w:rPr>
            </w:pPr>
            <w:r>
              <w:rPr>
                <w:rFonts w:ascii="宋体" w:hAnsi="宋体" w:cs="宋体" w:eastAsia="宋体" w:hint="default"/>
                <w:spacing w:val="-3"/>
                <w:sz w:val="18"/>
                <w:szCs w:val="18"/>
              </w:rPr>
              <w:t>国家知识产权局</w:t>
            </w:r>
          </w:p>
        </w:tc>
      </w:tr>
      <w:tr>
        <w:trPr>
          <w:trHeight w:val="355" w:hRule="exact"/>
        </w:trPr>
        <w:tc>
          <w:tcPr>
            <w:tcW w:w="704"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25"/>
              <w:ind w:left="2" w:right="0"/>
              <w:jc w:val="center"/>
              <w:rPr>
                <w:rFonts w:ascii="宋体" w:hAnsi="宋体" w:cs="宋体" w:eastAsia="宋体" w:hint="default"/>
                <w:sz w:val="18"/>
                <w:szCs w:val="18"/>
              </w:rPr>
            </w:pPr>
            <w:r>
              <w:rPr>
                <w:rFonts w:ascii="宋体"/>
                <w:b/>
                <w:w w:val="100"/>
                <w:sz w:val="18"/>
              </w:rPr>
              <w:t>9</w:t>
            </w:r>
            <w:r>
              <w:rPr>
                <w:rFonts w:ascii="宋体"/>
                <w:w w:val="100"/>
                <w:sz w:val="18"/>
              </w:rPr>
            </w:r>
          </w:p>
        </w:tc>
        <w:tc>
          <w:tcPr>
            <w:tcW w:w="99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5"/>
              <w:ind w:left="172" w:right="0"/>
              <w:jc w:val="left"/>
              <w:rPr>
                <w:rFonts w:ascii="宋体" w:hAnsi="宋体" w:cs="宋体" w:eastAsia="宋体" w:hint="default"/>
                <w:sz w:val="18"/>
                <w:szCs w:val="18"/>
              </w:rPr>
            </w:pPr>
            <w:r>
              <w:rPr>
                <w:rFonts w:ascii="宋体"/>
                <w:sz w:val="18"/>
              </w:rPr>
              <w:t>2019.12</w:t>
            </w:r>
          </w:p>
        </w:tc>
        <w:tc>
          <w:tcPr>
            <w:tcW w:w="364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5"/>
              <w:ind w:right="0"/>
              <w:jc w:val="center"/>
              <w:rPr>
                <w:rFonts w:ascii="宋体" w:hAnsi="宋体" w:cs="宋体" w:eastAsia="宋体" w:hint="default"/>
                <w:sz w:val="18"/>
                <w:szCs w:val="18"/>
              </w:rPr>
            </w:pPr>
            <w:r>
              <w:rPr>
                <w:rFonts w:ascii="宋体" w:hAnsi="宋体" w:cs="宋体" w:eastAsia="宋体" w:hint="default"/>
                <w:sz w:val="18"/>
                <w:szCs w:val="18"/>
              </w:rPr>
              <w:t>深圳市专利奖</w:t>
            </w:r>
          </w:p>
        </w:tc>
        <w:tc>
          <w:tcPr>
            <w:tcW w:w="3231"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25"/>
              <w:ind w:right="3"/>
              <w:jc w:val="center"/>
              <w:rPr>
                <w:rFonts w:ascii="宋体" w:hAnsi="宋体" w:cs="宋体" w:eastAsia="宋体" w:hint="default"/>
                <w:sz w:val="18"/>
                <w:szCs w:val="18"/>
              </w:rPr>
            </w:pPr>
            <w:r>
              <w:rPr>
                <w:rFonts w:ascii="宋体" w:hAnsi="宋体" w:cs="宋体" w:eastAsia="宋体" w:hint="default"/>
                <w:spacing w:val="-3"/>
                <w:sz w:val="18"/>
                <w:szCs w:val="18"/>
              </w:rPr>
              <w:t>深圳市人民政府</w:t>
            </w:r>
          </w:p>
        </w:tc>
      </w:tr>
    </w:tbl>
    <w:p>
      <w:pPr>
        <w:spacing w:after="0" w:line="240" w:lineRule="auto"/>
        <w:jc w:val="center"/>
        <w:rPr>
          <w:rFonts w:ascii="宋体" w:hAnsi="宋体" w:cs="宋体" w:eastAsia="宋体" w:hint="default"/>
          <w:sz w:val="18"/>
          <w:szCs w:val="18"/>
        </w:rPr>
        <w:sectPr>
          <w:pgSz w:w="11910" w:h="16840"/>
          <w:pgMar w:header="784" w:footer="1022" w:top="1100" w:bottom="1220" w:left="980" w:right="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6"/>
          <w:szCs w:val="26"/>
        </w:rPr>
      </w:pPr>
    </w:p>
    <w:p>
      <w:pPr>
        <w:pStyle w:val="Heading6"/>
        <w:spacing w:line="240" w:lineRule="auto" w:before="46"/>
        <w:ind w:left="137" w:right="8486"/>
        <w:jc w:val="center"/>
        <w:rPr>
          <w:b w:val="0"/>
          <w:bCs w:val="0"/>
        </w:rPr>
      </w:pPr>
      <w:r>
        <w:rPr>
          <w:rFonts w:ascii="宋体" w:hAnsi="宋体" w:cs="宋体" w:eastAsia="宋体" w:hint="default"/>
        </w:rPr>
        <w:t>3</w:t>
      </w:r>
      <w:r>
        <w:rPr/>
        <w:t>、智慧照明业务核心竞争力</w:t>
      </w:r>
      <w:r>
        <w:rPr>
          <w:b w:val="0"/>
          <w:bCs w:val="0"/>
        </w:rPr>
      </w:r>
    </w:p>
    <w:p>
      <w:pPr>
        <w:pStyle w:val="BodyText"/>
        <w:spacing w:line="240" w:lineRule="auto" w:before="76"/>
        <w:ind w:left="513" w:right="0"/>
        <w:jc w:val="left"/>
      </w:pPr>
      <w:r>
        <w:rPr>
          <w:spacing w:val="-3"/>
        </w:rPr>
        <w:t>（</w:t>
      </w:r>
      <w:r>
        <w:rPr>
          <w:rFonts w:ascii="宋体" w:hAnsi="宋体" w:cs="宋体" w:eastAsia="宋体" w:hint="default"/>
          <w:spacing w:val="-3"/>
        </w:rPr>
        <w:t>1</w:t>
      </w:r>
      <w:r>
        <w:rPr>
          <w:spacing w:val="-3"/>
        </w:rPr>
        <w:t>）业务规模优势：公司从事智慧照明行业超过</w:t>
      </w:r>
      <w:r>
        <w:rPr>
          <w:rFonts w:ascii="宋体" w:hAnsi="宋体" w:cs="宋体" w:eastAsia="宋体" w:hint="default"/>
          <w:spacing w:val="-3"/>
        </w:rPr>
        <w:t>20</w:t>
      </w:r>
      <w:r>
        <w:rPr>
          <w:spacing w:val="-3"/>
        </w:rPr>
        <w:t>年，业务规模处于行业内第一梯队。</w:t>
      </w:r>
    </w:p>
    <w:p>
      <w:pPr>
        <w:pStyle w:val="BodyText"/>
        <w:spacing w:line="240" w:lineRule="auto" w:before="77"/>
        <w:ind w:left="513" w:right="0"/>
        <w:jc w:val="left"/>
      </w:pPr>
      <w:r>
        <w:rPr/>
        <w:t>（</w:t>
      </w:r>
      <w:r>
        <w:rPr>
          <w:rFonts w:ascii="宋体" w:hAnsi="宋体" w:cs="宋体" w:eastAsia="宋体" w:hint="default"/>
        </w:rPr>
        <w:t>2</w:t>
      </w:r>
      <w:r>
        <w:rPr/>
        <w:t>）行业资质优势</w:t>
      </w:r>
    </w:p>
    <w:p>
      <w:pPr>
        <w:spacing w:line="240" w:lineRule="auto" w:before="0"/>
        <w:rPr>
          <w:rFonts w:ascii="宋体" w:hAnsi="宋体" w:cs="宋体" w:eastAsia="宋体" w:hint="default"/>
          <w:sz w:val="5"/>
          <w:szCs w:val="5"/>
        </w:rPr>
      </w:pPr>
    </w:p>
    <w:tbl>
      <w:tblPr>
        <w:tblW w:w="0" w:type="auto"/>
        <w:jc w:val="left"/>
        <w:tblInd w:w="717" w:type="dxa"/>
        <w:tblLayout w:type="fixed"/>
        <w:tblCellMar>
          <w:top w:w="0" w:type="dxa"/>
          <w:left w:w="0" w:type="dxa"/>
          <w:bottom w:w="0" w:type="dxa"/>
          <w:right w:w="0" w:type="dxa"/>
        </w:tblCellMar>
        <w:tblLook w:val="01E0"/>
      </w:tblPr>
      <w:tblGrid>
        <w:gridCol w:w="680"/>
        <w:gridCol w:w="2127"/>
        <w:gridCol w:w="5676"/>
      </w:tblGrid>
      <w:tr>
        <w:trPr>
          <w:trHeight w:val="338" w:hRule="exact"/>
        </w:trPr>
        <w:tc>
          <w:tcPr>
            <w:tcW w:w="680" w:type="dxa"/>
            <w:tcBorders>
              <w:top w:val="single" w:sz="6" w:space="0" w:color="000000"/>
              <w:left w:val="single" w:sz="6" w:space="0" w:color="000000"/>
              <w:bottom w:val="nil" w:sz="6" w:space="0" w:color="auto"/>
              <w:right w:val="single" w:sz="6" w:space="0" w:color="000000"/>
            </w:tcBorders>
            <w:shd w:val="clear" w:color="auto" w:fill="1B24AB"/>
          </w:tcPr>
          <w:p>
            <w:pPr>
              <w:pStyle w:val="TableParagraph"/>
              <w:spacing w:line="240" w:lineRule="auto" w:before="20"/>
              <w:ind w:left="6" w:right="0"/>
              <w:jc w:val="center"/>
              <w:rPr>
                <w:rFonts w:ascii="宋体" w:hAnsi="宋体" w:cs="宋体" w:eastAsia="宋体" w:hint="default"/>
                <w:sz w:val="18"/>
                <w:szCs w:val="18"/>
              </w:rPr>
            </w:pPr>
            <w:r>
              <w:rPr>
                <w:rFonts w:ascii="宋体" w:hAnsi="宋体" w:cs="宋体" w:eastAsia="宋体" w:hint="default"/>
                <w:b/>
                <w:bCs/>
                <w:color w:val="FFFFFF"/>
                <w:sz w:val="18"/>
                <w:szCs w:val="18"/>
              </w:rPr>
              <w:t>序号</w:t>
            </w:r>
            <w:r>
              <w:rPr>
                <w:rFonts w:ascii="宋体" w:hAnsi="宋体" w:cs="宋体" w:eastAsia="宋体" w:hint="default"/>
                <w:sz w:val="18"/>
                <w:szCs w:val="18"/>
              </w:rPr>
            </w:r>
          </w:p>
        </w:tc>
        <w:tc>
          <w:tcPr>
            <w:tcW w:w="2127" w:type="dxa"/>
            <w:tcBorders>
              <w:top w:val="single" w:sz="6" w:space="0" w:color="000000"/>
              <w:left w:val="single" w:sz="6" w:space="0" w:color="000000"/>
              <w:bottom w:val="nil" w:sz="6" w:space="0" w:color="auto"/>
              <w:right w:val="single" w:sz="6" w:space="0" w:color="000000"/>
            </w:tcBorders>
            <w:shd w:val="clear" w:color="auto" w:fill="1B24AB"/>
          </w:tcPr>
          <w:p>
            <w:pPr>
              <w:pStyle w:val="TableParagraph"/>
              <w:spacing w:line="240" w:lineRule="auto" w:before="20"/>
              <w:ind w:left="3" w:right="0"/>
              <w:jc w:val="center"/>
              <w:rPr>
                <w:rFonts w:ascii="宋体" w:hAnsi="宋体" w:cs="宋体" w:eastAsia="宋体" w:hint="default"/>
                <w:sz w:val="18"/>
                <w:szCs w:val="18"/>
              </w:rPr>
            </w:pPr>
            <w:r>
              <w:rPr>
                <w:rFonts w:ascii="宋体" w:hAnsi="宋体" w:cs="宋体" w:eastAsia="宋体" w:hint="default"/>
                <w:b/>
                <w:bCs/>
                <w:color w:val="FFFFFF"/>
                <w:sz w:val="18"/>
                <w:szCs w:val="18"/>
              </w:rPr>
              <w:t>证书名称</w:t>
            </w:r>
            <w:r>
              <w:rPr>
                <w:rFonts w:ascii="宋体" w:hAnsi="宋体" w:cs="宋体" w:eastAsia="宋体" w:hint="default"/>
                <w:sz w:val="18"/>
                <w:szCs w:val="18"/>
              </w:rPr>
            </w:r>
          </w:p>
        </w:tc>
        <w:tc>
          <w:tcPr>
            <w:tcW w:w="5676" w:type="dxa"/>
            <w:tcBorders>
              <w:top w:val="single" w:sz="6" w:space="0" w:color="000000"/>
              <w:left w:val="single" w:sz="6" w:space="0" w:color="000000"/>
              <w:bottom w:val="nil" w:sz="6" w:space="0" w:color="auto"/>
              <w:right w:val="nil" w:sz="6" w:space="0" w:color="auto"/>
            </w:tcBorders>
            <w:shd w:val="clear" w:color="auto" w:fill="1B24AB"/>
          </w:tcPr>
          <w:p>
            <w:pPr>
              <w:pStyle w:val="TableParagraph"/>
              <w:spacing w:line="240" w:lineRule="auto" w:before="20"/>
              <w:ind w:left="2" w:right="0"/>
              <w:jc w:val="center"/>
              <w:rPr>
                <w:rFonts w:ascii="宋体" w:hAnsi="宋体" w:cs="宋体" w:eastAsia="宋体" w:hint="default"/>
                <w:sz w:val="18"/>
                <w:szCs w:val="18"/>
              </w:rPr>
            </w:pPr>
            <w:r>
              <w:rPr>
                <w:rFonts w:ascii="宋体" w:hAnsi="宋体" w:cs="宋体" w:eastAsia="宋体" w:hint="default"/>
                <w:b/>
                <w:bCs/>
                <w:color w:val="FFFFFF"/>
                <w:sz w:val="18"/>
                <w:szCs w:val="18"/>
              </w:rPr>
              <w:t>许可范围</w:t>
            </w:r>
            <w:r>
              <w:rPr>
                <w:rFonts w:ascii="宋体" w:hAnsi="宋体" w:cs="宋体" w:eastAsia="宋体" w:hint="default"/>
                <w:sz w:val="18"/>
                <w:szCs w:val="18"/>
              </w:rPr>
            </w:r>
          </w:p>
        </w:tc>
      </w:tr>
      <w:tr>
        <w:trPr>
          <w:trHeight w:val="336" w:hRule="exact"/>
        </w:trPr>
        <w:tc>
          <w:tcPr>
            <w:tcW w:w="680" w:type="dxa"/>
            <w:tcBorders>
              <w:top w:val="nil" w:sz="6" w:space="0" w:color="auto"/>
              <w:left w:val="nil" w:sz="6" w:space="0" w:color="auto"/>
              <w:bottom w:val="single" w:sz="4" w:space="0" w:color="000000"/>
              <w:right w:val="single" w:sz="4" w:space="0" w:color="000000"/>
            </w:tcBorders>
          </w:tcPr>
          <w:p>
            <w:pPr>
              <w:pStyle w:val="TableParagraph"/>
              <w:spacing w:line="240" w:lineRule="auto" w:before="20"/>
              <w:ind w:left="7" w:right="0"/>
              <w:jc w:val="center"/>
              <w:rPr>
                <w:rFonts w:ascii="宋体" w:hAnsi="宋体" w:cs="宋体" w:eastAsia="宋体" w:hint="default"/>
                <w:sz w:val="18"/>
                <w:szCs w:val="18"/>
              </w:rPr>
            </w:pPr>
            <w:r>
              <w:rPr>
                <w:rFonts w:ascii="宋体"/>
                <w:b/>
                <w:w w:val="100"/>
                <w:sz w:val="18"/>
              </w:rPr>
              <w:t>1</w:t>
            </w:r>
            <w:r>
              <w:rPr>
                <w:rFonts w:ascii="宋体"/>
                <w:w w:val="100"/>
                <w:sz w:val="18"/>
              </w:rPr>
            </w:r>
          </w:p>
        </w:tc>
        <w:tc>
          <w:tcPr>
            <w:tcW w:w="212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0"/>
              <w:ind w:left="4" w:right="0"/>
              <w:jc w:val="center"/>
              <w:rPr>
                <w:rFonts w:ascii="宋体" w:hAnsi="宋体" w:cs="宋体" w:eastAsia="宋体" w:hint="default"/>
                <w:sz w:val="18"/>
                <w:szCs w:val="18"/>
              </w:rPr>
            </w:pPr>
            <w:r>
              <w:rPr>
                <w:rFonts w:ascii="宋体" w:hAnsi="宋体" w:cs="宋体" w:eastAsia="宋体" w:hint="default"/>
                <w:spacing w:val="-3"/>
                <w:sz w:val="18"/>
                <w:szCs w:val="18"/>
              </w:rPr>
              <w:t>建筑业企业资质证书</w:t>
            </w:r>
          </w:p>
        </w:tc>
        <w:tc>
          <w:tcPr>
            <w:tcW w:w="5676" w:type="dxa"/>
            <w:tcBorders>
              <w:top w:val="nil" w:sz="6" w:space="0" w:color="auto"/>
              <w:left w:val="single" w:sz="4" w:space="0" w:color="000000"/>
              <w:bottom w:val="single" w:sz="4" w:space="0" w:color="000000"/>
              <w:right w:val="nil" w:sz="6" w:space="0" w:color="auto"/>
            </w:tcBorders>
          </w:tcPr>
          <w:p>
            <w:pPr>
              <w:pStyle w:val="TableParagraph"/>
              <w:spacing w:line="240" w:lineRule="auto" w:before="20"/>
              <w:ind w:left="3" w:right="0"/>
              <w:jc w:val="center"/>
              <w:rPr>
                <w:rFonts w:ascii="宋体" w:hAnsi="宋体" w:cs="宋体" w:eastAsia="宋体" w:hint="default"/>
                <w:sz w:val="18"/>
                <w:szCs w:val="18"/>
              </w:rPr>
            </w:pPr>
            <w:r>
              <w:rPr>
                <w:rFonts w:ascii="宋体" w:hAnsi="宋体" w:cs="宋体" w:eastAsia="宋体" w:hint="default"/>
                <w:spacing w:val="-3"/>
                <w:sz w:val="18"/>
                <w:szCs w:val="18"/>
              </w:rPr>
              <w:t>城市及道路照明专业承包一级、电子与智能化工程专业承包一级</w:t>
            </w:r>
          </w:p>
        </w:tc>
      </w:tr>
      <w:tr>
        <w:trPr>
          <w:trHeight w:val="346" w:hRule="exact"/>
        </w:trPr>
        <w:tc>
          <w:tcPr>
            <w:tcW w:w="68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5"/>
              <w:ind w:left="7" w:right="0"/>
              <w:jc w:val="center"/>
              <w:rPr>
                <w:rFonts w:ascii="宋体" w:hAnsi="宋体" w:cs="宋体" w:eastAsia="宋体" w:hint="default"/>
                <w:sz w:val="18"/>
                <w:szCs w:val="18"/>
              </w:rPr>
            </w:pPr>
            <w:r>
              <w:rPr>
                <w:rFonts w:ascii="宋体"/>
                <w:b/>
                <w:w w:val="100"/>
                <w:sz w:val="18"/>
              </w:rPr>
              <w:t>2</w:t>
            </w:r>
            <w:r>
              <w:rPr>
                <w:rFonts w:ascii="宋体"/>
                <w:w w:val="100"/>
                <w:sz w:val="18"/>
              </w:rPr>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4" w:right="0"/>
              <w:jc w:val="center"/>
              <w:rPr>
                <w:rFonts w:ascii="宋体" w:hAnsi="宋体" w:cs="宋体" w:eastAsia="宋体" w:hint="default"/>
                <w:sz w:val="18"/>
                <w:szCs w:val="18"/>
              </w:rPr>
            </w:pPr>
            <w:r>
              <w:rPr>
                <w:rFonts w:ascii="宋体" w:hAnsi="宋体" w:cs="宋体" w:eastAsia="宋体" w:hint="default"/>
                <w:spacing w:val="-3"/>
                <w:sz w:val="18"/>
                <w:szCs w:val="18"/>
              </w:rPr>
              <w:t>建筑业企业资质证书</w:t>
            </w:r>
          </w:p>
        </w:tc>
        <w:tc>
          <w:tcPr>
            <w:tcW w:w="567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5"/>
              <w:ind w:left="3" w:right="0"/>
              <w:jc w:val="center"/>
              <w:rPr>
                <w:rFonts w:ascii="宋体" w:hAnsi="宋体" w:cs="宋体" w:eastAsia="宋体" w:hint="default"/>
                <w:sz w:val="18"/>
                <w:szCs w:val="18"/>
              </w:rPr>
            </w:pPr>
            <w:r>
              <w:rPr>
                <w:rFonts w:ascii="宋体" w:hAnsi="宋体" w:cs="宋体" w:eastAsia="宋体" w:hint="default"/>
                <w:spacing w:val="-3"/>
                <w:sz w:val="18"/>
                <w:szCs w:val="18"/>
              </w:rPr>
              <w:t>建筑机电安装工程专业承包叁级、市政公用工程施工总承包叁级</w:t>
            </w:r>
          </w:p>
        </w:tc>
      </w:tr>
      <w:tr>
        <w:trPr>
          <w:trHeight w:val="341" w:hRule="exact"/>
        </w:trPr>
        <w:tc>
          <w:tcPr>
            <w:tcW w:w="68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7" w:right="0"/>
              <w:jc w:val="center"/>
              <w:rPr>
                <w:rFonts w:ascii="宋体" w:hAnsi="宋体" w:cs="宋体" w:eastAsia="宋体" w:hint="default"/>
                <w:sz w:val="18"/>
                <w:szCs w:val="18"/>
              </w:rPr>
            </w:pPr>
            <w:r>
              <w:rPr>
                <w:rFonts w:ascii="宋体"/>
                <w:b/>
                <w:w w:val="100"/>
                <w:sz w:val="18"/>
              </w:rPr>
              <w:t>3</w:t>
            </w:r>
            <w:r>
              <w:rPr>
                <w:rFonts w:ascii="宋体"/>
                <w:w w:val="100"/>
                <w:sz w:val="18"/>
              </w:rPr>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工程设计资质证书</w:t>
            </w:r>
          </w:p>
        </w:tc>
        <w:tc>
          <w:tcPr>
            <w:tcW w:w="567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0"/>
              <w:ind w:left="3" w:right="0"/>
              <w:jc w:val="center"/>
              <w:rPr>
                <w:rFonts w:ascii="宋体" w:hAnsi="宋体" w:cs="宋体" w:eastAsia="宋体" w:hint="default"/>
                <w:sz w:val="18"/>
                <w:szCs w:val="18"/>
              </w:rPr>
            </w:pPr>
            <w:r>
              <w:rPr>
                <w:rFonts w:ascii="宋体" w:hAnsi="宋体" w:cs="宋体" w:eastAsia="宋体" w:hint="default"/>
                <w:sz w:val="18"/>
                <w:szCs w:val="18"/>
              </w:rPr>
              <w:t>照明工程设计专项甲级</w:t>
            </w:r>
          </w:p>
        </w:tc>
      </w:tr>
      <w:tr>
        <w:trPr>
          <w:trHeight w:val="351" w:hRule="exact"/>
        </w:trPr>
        <w:tc>
          <w:tcPr>
            <w:tcW w:w="680"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20"/>
              <w:ind w:left="7" w:right="0"/>
              <w:jc w:val="center"/>
              <w:rPr>
                <w:rFonts w:ascii="宋体" w:hAnsi="宋体" w:cs="宋体" w:eastAsia="宋体" w:hint="default"/>
                <w:sz w:val="18"/>
                <w:szCs w:val="18"/>
              </w:rPr>
            </w:pPr>
            <w:r>
              <w:rPr>
                <w:rFonts w:ascii="宋体"/>
                <w:b/>
                <w:w w:val="100"/>
                <w:sz w:val="18"/>
              </w:rPr>
              <w:t>4</w:t>
            </w:r>
            <w:r>
              <w:rPr>
                <w:rFonts w:ascii="宋体"/>
                <w:w w:val="100"/>
                <w:sz w:val="18"/>
              </w:rPr>
            </w:r>
          </w:p>
        </w:tc>
        <w:tc>
          <w:tcPr>
            <w:tcW w:w="212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工程设计资质证书</w:t>
            </w:r>
          </w:p>
        </w:tc>
        <w:tc>
          <w:tcPr>
            <w:tcW w:w="5676"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pacing w:val="-3"/>
                <w:sz w:val="18"/>
                <w:szCs w:val="18"/>
              </w:rPr>
              <w:t>建筑装饰工程设计专项乙级</w:t>
            </w:r>
          </w:p>
        </w:tc>
      </w:tr>
    </w:tbl>
    <w:p>
      <w:pPr>
        <w:pStyle w:val="BodyText"/>
        <w:spacing w:line="316" w:lineRule="auto" w:before="10"/>
        <w:ind w:right="0" w:firstLine="360"/>
        <w:jc w:val="left"/>
      </w:pPr>
      <w:r>
        <w:rPr>
          <w:spacing w:val="-3"/>
        </w:rPr>
        <w:t>（</w:t>
      </w:r>
      <w:r>
        <w:rPr>
          <w:rFonts w:ascii="宋体" w:hAnsi="宋体" w:cs="宋体" w:eastAsia="宋体" w:hint="default"/>
          <w:spacing w:val="-3"/>
        </w:rPr>
        <w:t>3</w:t>
      </w:r>
      <w:r>
        <w:rPr>
          <w:spacing w:val="-3"/>
        </w:rPr>
        <w:t>）标杆案例优势：报告期内，公司实施完成了多个重点城市景观亮化工程项目，包括三亚市、郑州二七广场、东莞</w:t>
      </w:r>
      <w:r>
        <w:rPr>
          <w:w w:val="101"/>
        </w:rPr>
        <w:t> </w:t>
      </w:r>
      <w:r>
        <w:rPr>
          <w:spacing w:val="-3"/>
        </w:rPr>
        <w:t>中心城区、平潭金井新城及珠海大剧院等多个标杆项目。</w:t>
      </w:r>
    </w:p>
    <w:p>
      <w:pPr>
        <w:pStyle w:val="BodyText"/>
        <w:spacing w:line="240" w:lineRule="auto" w:before="19"/>
        <w:ind w:left="513" w:right="0"/>
        <w:jc w:val="left"/>
      </w:pPr>
      <w:r>
        <w:rPr/>
        <w:pict>
          <v:group style="position:absolute;margin-left:84.384003pt;margin-top:16.021727pt;width:426.9pt;height:1.45pt;mso-position-horizontal-relative:page;mso-position-vertical-relative:paragraph;z-index:-1079128" coordorigin="1688,320" coordsize="8538,29">
            <v:group style="position:absolute;left:8509;top:344;width:1710;height:2" coordorigin="8509,344" coordsize="1710,2">
              <v:shape style="position:absolute;left:8509;top:344;width:1710;height:2" coordorigin="8509,344" coordsize="1710,0" path="m8509,344l10218,344e" filled="false" stroked="true" strokeweight=".47998pt" strokecolor="#1b24ab">
                <v:path arrowok="t"/>
              </v:shape>
            </v:group>
            <v:group style="position:absolute;left:1695;top:328;width:2646;height:2" coordorigin="1695,328" coordsize="2646,2">
              <v:shape style="position:absolute;left:1695;top:328;width:2646;height:2" coordorigin="1695,328" coordsize="2646,0" path="m1695,328l4341,328e" filled="false" stroked="true" strokeweight=".72pt" strokecolor="#000000">
                <v:path arrowok="t"/>
              </v:shape>
            </v:group>
            <v:group style="position:absolute;left:1695;top:340;width:2646;height:2" coordorigin="1695,340" coordsize="2646,2">
              <v:shape style="position:absolute;left:1695;top:340;width:2646;height:2" coordorigin="1695,340" coordsize="2646,0" path="m1695,340l4341,340e" filled="false" stroked="true" strokeweight=".48001pt" strokecolor="#1b24ab">
                <v:path arrowok="t"/>
              </v:shape>
            </v:group>
            <v:group style="position:absolute;left:4355;top:328;width:1547;height:2" coordorigin="4355,328" coordsize="1547,2">
              <v:shape style="position:absolute;left:4355;top:328;width:1547;height:2" coordorigin="4355,328" coordsize="1547,0" path="m4355,328l5902,328e" filled="false" stroked="true" strokeweight=".72pt" strokecolor="#000000">
                <v:path arrowok="t"/>
              </v:shape>
            </v:group>
            <v:group style="position:absolute;left:5916;top:328;width:1263;height:2" coordorigin="5916,328" coordsize="1263,2">
              <v:shape style="position:absolute;left:5916;top:328;width:1263;height:2" coordorigin="5916,328" coordsize="1263,0" path="m5916,328l7179,328e" filled="false" stroked="true" strokeweight=".72pt" strokecolor="#000000">
                <v:path arrowok="t"/>
              </v:shape>
            </v:group>
            <v:group style="position:absolute;left:7193;top:328;width:1302;height:2" coordorigin="7193,328" coordsize="1302,2">
              <v:shape style="position:absolute;left:7193;top:328;width:1302;height:2" coordorigin="7193,328" coordsize="1302,0" path="m7193,328l8494,328e" filled="false" stroked="true" strokeweight=".72pt" strokecolor="#000000">
                <v:path arrowok="t"/>
              </v:shape>
            </v:group>
            <v:group style="position:absolute;left:8509;top:328;width:1710;height:2" coordorigin="8509,328" coordsize="1710,2">
              <v:shape style="position:absolute;left:8509;top:328;width:1710;height:2" coordorigin="8509,328" coordsize="1710,0" path="m8509,328l10218,328e" filled="false" stroked="true" strokeweight=".72pt" strokecolor="#000000">
                <v:path arrowok="t"/>
              </v:shape>
            </v:group>
            <w10:wrap type="none"/>
          </v:group>
        </w:pict>
      </w:r>
      <w:r>
        <w:rPr/>
        <w:t>（</w:t>
      </w:r>
      <w:r>
        <w:rPr>
          <w:rFonts w:ascii="宋体" w:hAnsi="宋体" w:cs="宋体" w:eastAsia="宋体" w:hint="default"/>
        </w:rPr>
        <w:t>4</w:t>
      </w:r>
      <w:r>
        <w:rPr/>
        <w:t>）知识产权优势</w:t>
      </w:r>
    </w:p>
    <w:p>
      <w:pPr>
        <w:spacing w:line="240" w:lineRule="auto" w:before="12"/>
        <w:rPr>
          <w:rFonts w:ascii="宋体" w:hAnsi="宋体" w:cs="宋体" w:eastAsia="宋体" w:hint="default"/>
          <w:sz w:val="5"/>
          <w:szCs w:val="5"/>
        </w:rPr>
      </w:pPr>
    </w:p>
    <w:tbl>
      <w:tblPr>
        <w:tblW w:w="0" w:type="auto"/>
        <w:jc w:val="left"/>
        <w:tblInd w:w="693" w:type="dxa"/>
        <w:tblLayout w:type="fixed"/>
        <w:tblCellMar>
          <w:top w:w="0" w:type="dxa"/>
          <w:left w:w="0" w:type="dxa"/>
          <w:bottom w:w="0" w:type="dxa"/>
          <w:right w:w="0" w:type="dxa"/>
        </w:tblCellMar>
        <w:tblLook w:val="01E0"/>
      </w:tblPr>
      <w:tblGrid>
        <w:gridCol w:w="2660"/>
        <w:gridCol w:w="1561"/>
        <w:gridCol w:w="1277"/>
        <w:gridCol w:w="1316"/>
        <w:gridCol w:w="1716"/>
      </w:tblGrid>
      <w:tr>
        <w:trPr>
          <w:trHeight w:val="338" w:hRule="exact"/>
        </w:trPr>
        <w:tc>
          <w:tcPr>
            <w:tcW w:w="2660" w:type="dxa"/>
            <w:tcBorders>
              <w:top w:val="nil" w:sz="6" w:space="0" w:color="auto"/>
              <w:left w:val="nil" w:sz="6" w:space="0" w:color="auto"/>
              <w:bottom w:val="nil" w:sz="6" w:space="0" w:color="auto"/>
              <w:right w:val="single" w:sz="6" w:space="0" w:color="000000"/>
            </w:tcBorders>
            <w:shd w:val="clear" w:color="auto" w:fill="1B24AB"/>
          </w:tcPr>
          <w:p>
            <w:pPr>
              <w:pStyle w:val="TableParagraph"/>
              <w:spacing w:line="240" w:lineRule="auto" w:before="25"/>
              <w:ind w:left="381" w:right="0"/>
              <w:jc w:val="center"/>
              <w:rPr>
                <w:rFonts w:ascii="宋体" w:hAnsi="宋体" w:cs="宋体" w:eastAsia="宋体" w:hint="default"/>
                <w:sz w:val="18"/>
                <w:szCs w:val="18"/>
              </w:rPr>
            </w:pPr>
            <w:r>
              <w:rPr>
                <w:rFonts w:ascii="宋体" w:hAnsi="宋体" w:cs="宋体" w:eastAsia="宋体" w:hint="default"/>
                <w:b/>
                <w:bCs/>
                <w:color w:val="FFFFFF"/>
                <w:sz w:val="18"/>
                <w:szCs w:val="18"/>
              </w:rPr>
              <w:t>领域</w:t>
            </w:r>
            <w:r>
              <w:rPr>
                <w:rFonts w:ascii="宋体" w:hAnsi="宋体" w:cs="宋体" w:eastAsia="宋体" w:hint="default"/>
                <w:sz w:val="18"/>
                <w:szCs w:val="18"/>
              </w:rPr>
            </w:r>
          </w:p>
        </w:tc>
        <w:tc>
          <w:tcPr>
            <w:tcW w:w="1561" w:type="dxa"/>
            <w:tcBorders>
              <w:top w:val="nil" w:sz="6" w:space="0" w:color="auto"/>
              <w:left w:val="single" w:sz="6" w:space="0" w:color="000000"/>
              <w:bottom w:val="nil" w:sz="6" w:space="0" w:color="auto"/>
              <w:right w:val="single" w:sz="6" w:space="0" w:color="000000"/>
            </w:tcBorders>
            <w:shd w:val="clear" w:color="auto" w:fill="1B24AB"/>
          </w:tcPr>
          <w:p>
            <w:pPr>
              <w:pStyle w:val="TableParagraph"/>
              <w:spacing w:line="240" w:lineRule="auto" w:before="25"/>
              <w:ind w:left="14" w:right="0"/>
              <w:jc w:val="center"/>
              <w:rPr>
                <w:rFonts w:ascii="宋体" w:hAnsi="宋体" w:cs="宋体" w:eastAsia="宋体" w:hint="default"/>
                <w:sz w:val="18"/>
                <w:szCs w:val="18"/>
              </w:rPr>
            </w:pPr>
            <w:r>
              <w:rPr>
                <w:rFonts w:ascii="宋体" w:hAnsi="宋体" w:cs="宋体" w:eastAsia="宋体" w:hint="default"/>
                <w:b/>
                <w:bCs/>
                <w:color w:val="FFFFFF"/>
                <w:sz w:val="18"/>
                <w:szCs w:val="18"/>
              </w:rPr>
              <w:t>实用新型专利</w:t>
            </w:r>
            <w:r>
              <w:rPr>
                <w:rFonts w:ascii="宋体" w:hAnsi="宋体" w:cs="宋体" w:eastAsia="宋体" w:hint="default"/>
                <w:sz w:val="18"/>
                <w:szCs w:val="18"/>
              </w:rPr>
            </w:r>
          </w:p>
        </w:tc>
        <w:tc>
          <w:tcPr>
            <w:tcW w:w="1277" w:type="dxa"/>
            <w:tcBorders>
              <w:top w:val="nil" w:sz="6" w:space="0" w:color="auto"/>
              <w:left w:val="single" w:sz="6" w:space="0" w:color="000000"/>
              <w:bottom w:val="nil" w:sz="6" w:space="0" w:color="auto"/>
              <w:right w:val="single" w:sz="6" w:space="0" w:color="000000"/>
            </w:tcBorders>
            <w:shd w:val="clear" w:color="auto" w:fill="1B24AB"/>
          </w:tcPr>
          <w:p>
            <w:pPr>
              <w:pStyle w:val="TableParagraph"/>
              <w:spacing w:line="240" w:lineRule="auto" w:before="25"/>
              <w:ind w:left="18" w:right="0"/>
              <w:jc w:val="center"/>
              <w:rPr>
                <w:rFonts w:ascii="宋体" w:hAnsi="宋体" w:cs="宋体" w:eastAsia="宋体" w:hint="default"/>
                <w:sz w:val="18"/>
                <w:szCs w:val="18"/>
              </w:rPr>
            </w:pPr>
            <w:r>
              <w:rPr>
                <w:rFonts w:ascii="宋体" w:hAnsi="宋体" w:cs="宋体" w:eastAsia="宋体" w:hint="default"/>
                <w:b/>
                <w:bCs/>
                <w:color w:val="FFFFFF"/>
                <w:sz w:val="18"/>
                <w:szCs w:val="18"/>
              </w:rPr>
              <w:t>软件著作权</w:t>
            </w:r>
            <w:r>
              <w:rPr>
                <w:rFonts w:ascii="宋体" w:hAnsi="宋体" w:cs="宋体" w:eastAsia="宋体" w:hint="default"/>
                <w:sz w:val="18"/>
                <w:szCs w:val="18"/>
              </w:rPr>
            </w:r>
          </w:p>
        </w:tc>
        <w:tc>
          <w:tcPr>
            <w:tcW w:w="1316" w:type="dxa"/>
            <w:tcBorders>
              <w:top w:val="nil" w:sz="6" w:space="0" w:color="auto"/>
              <w:left w:val="single" w:sz="6" w:space="0" w:color="000000"/>
              <w:bottom w:val="nil" w:sz="6" w:space="0" w:color="auto"/>
              <w:right w:val="single" w:sz="6" w:space="0" w:color="000000"/>
            </w:tcBorders>
            <w:shd w:val="clear" w:color="auto" w:fill="1B24AB"/>
          </w:tcPr>
          <w:p>
            <w:pPr>
              <w:pStyle w:val="TableParagraph"/>
              <w:spacing w:line="240" w:lineRule="auto" w:before="25"/>
              <w:ind w:right="0"/>
              <w:jc w:val="center"/>
              <w:rPr>
                <w:rFonts w:ascii="宋体" w:hAnsi="宋体" w:cs="宋体" w:eastAsia="宋体" w:hint="default"/>
                <w:sz w:val="18"/>
                <w:szCs w:val="18"/>
              </w:rPr>
            </w:pPr>
            <w:r>
              <w:rPr>
                <w:rFonts w:ascii="宋体" w:hAnsi="宋体" w:cs="宋体" w:eastAsia="宋体" w:hint="default"/>
                <w:b/>
                <w:bCs/>
                <w:color w:val="FFFFFF"/>
                <w:sz w:val="18"/>
                <w:szCs w:val="18"/>
              </w:rPr>
              <w:t>正在申请专利</w:t>
            </w:r>
            <w:r>
              <w:rPr>
                <w:rFonts w:ascii="宋体" w:hAnsi="宋体" w:cs="宋体" w:eastAsia="宋体" w:hint="default"/>
                <w:sz w:val="18"/>
                <w:szCs w:val="18"/>
              </w:rPr>
            </w:r>
          </w:p>
        </w:tc>
        <w:tc>
          <w:tcPr>
            <w:tcW w:w="1716" w:type="dxa"/>
            <w:tcBorders>
              <w:top w:val="nil" w:sz="6" w:space="0" w:color="auto"/>
              <w:left w:val="single" w:sz="6" w:space="0" w:color="000000"/>
              <w:bottom w:val="nil" w:sz="6" w:space="0" w:color="auto"/>
              <w:right w:val="nil" w:sz="6" w:space="0" w:color="auto"/>
            </w:tcBorders>
            <w:shd w:val="clear" w:color="auto" w:fill="1B24AB"/>
          </w:tcPr>
          <w:p>
            <w:pPr>
              <w:pStyle w:val="TableParagraph"/>
              <w:spacing w:line="240" w:lineRule="auto" w:before="25"/>
              <w:ind w:right="0"/>
              <w:jc w:val="center"/>
              <w:rPr>
                <w:rFonts w:ascii="宋体" w:hAnsi="宋体" w:cs="宋体" w:eastAsia="宋体" w:hint="default"/>
                <w:sz w:val="18"/>
                <w:szCs w:val="18"/>
              </w:rPr>
            </w:pPr>
            <w:r>
              <w:rPr>
                <w:rFonts w:ascii="宋体" w:hAnsi="宋体" w:cs="宋体" w:eastAsia="宋体" w:hint="default"/>
                <w:b/>
                <w:bCs/>
                <w:color w:val="FFFFFF"/>
                <w:sz w:val="18"/>
                <w:szCs w:val="18"/>
              </w:rPr>
              <w:t>PCT</w:t>
            </w:r>
            <w:r>
              <w:rPr>
                <w:rFonts w:ascii="宋体" w:hAnsi="宋体" w:cs="宋体" w:eastAsia="宋体" w:hint="default"/>
                <w:b/>
                <w:bCs/>
                <w:color w:val="FFFFFF"/>
                <w:sz w:val="18"/>
                <w:szCs w:val="18"/>
              </w:rPr>
              <w:t>国际申请专利</w:t>
            </w:r>
            <w:r>
              <w:rPr>
                <w:rFonts w:ascii="宋体" w:hAnsi="宋体" w:cs="宋体" w:eastAsia="宋体" w:hint="default"/>
                <w:sz w:val="18"/>
                <w:szCs w:val="18"/>
              </w:rPr>
            </w:r>
          </w:p>
        </w:tc>
      </w:tr>
      <w:tr>
        <w:trPr>
          <w:trHeight w:val="334" w:hRule="exact"/>
        </w:trPr>
        <w:tc>
          <w:tcPr>
            <w:tcW w:w="2660" w:type="dxa"/>
            <w:tcBorders>
              <w:top w:val="nil" w:sz="6" w:space="0" w:color="auto"/>
              <w:left w:val="nil" w:sz="6" w:space="0" w:color="auto"/>
              <w:bottom w:val="single" w:sz="2" w:space="0" w:color="000000"/>
              <w:right w:val="single" w:sz="6" w:space="0" w:color="000000"/>
            </w:tcBorders>
          </w:tcPr>
          <w:p>
            <w:pPr>
              <w:pStyle w:val="TableParagraph"/>
              <w:spacing w:line="240" w:lineRule="auto" w:before="20"/>
              <w:ind w:left="21" w:right="0"/>
              <w:jc w:val="center"/>
              <w:rPr>
                <w:rFonts w:ascii="宋体" w:hAnsi="宋体" w:cs="宋体" w:eastAsia="宋体" w:hint="default"/>
                <w:sz w:val="18"/>
                <w:szCs w:val="18"/>
              </w:rPr>
            </w:pPr>
            <w:r>
              <w:rPr>
                <w:rFonts w:ascii="宋体" w:hAnsi="宋体" w:cs="宋体" w:eastAsia="宋体" w:hint="default"/>
                <w:b/>
                <w:bCs/>
                <w:sz w:val="18"/>
                <w:szCs w:val="18"/>
              </w:rPr>
              <w:t>智慧照明</w:t>
            </w:r>
            <w:r>
              <w:rPr>
                <w:rFonts w:ascii="宋体" w:hAnsi="宋体" w:cs="宋体" w:eastAsia="宋体" w:hint="default"/>
                <w:sz w:val="18"/>
                <w:szCs w:val="18"/>
              </w:rPr>
            </w:r>
          </w:p>
        </w:tc>
        <w:tc>
          <w:tcPr>
            <w:tcW w:w="1561" w:type="dxa"/>
            <w:tcBorders>
              <w:top w:val="nil" w:sz="6" w:space="0" w:color="auto"/>
              <w:left w:val="single" w:sz="6" w:space="0" w:color="000000"/>
              <w:bottom w:val="single" w:sz="2" w:space="0" w:color="000000"/>
              <w:right w:val="single" w:sz="6" w:space="0" w:color="000000"/>
            </w:tcBorders>
          </w:tcPr>
          <w:p>
            <w:pPr>
              <w:pStyle w:val="TableParagraph"/>
              <w:spacing w:line="240" w:lineRule="auto" w:before="20"/>
              <w:ind w:left="19" w:right="0"/>
              <w:jc w:val="center"/>
              <w:rPr>
                <w:rFonts w:ascii="宋体" w:hAnsi="宋体" w:cs="宋体" w:eastAsia="宋体" w:hint="default"/>
                <w:sz w:val="18"/>
                <w:szCs w:val="18"/>
              </w:rPr>
            </w:pPr>
            <w:r>
              <w:rPr>
                <w:rFonts w:ascii="宋体"/>
                <w:sz w:val="18"/>
              </w:rPr>
              <w:t>21</w:t>
            </w:r>
          </w:p>
        </w:tc>
        <w:tc>
          <w:tcPr>
            <w:tcW w:w="1277" w:type="dxa"/>
            <w:tcBorders>
              <w:top w:val="nil" w:sz="6" w:space="0" w:color="auto"/>
              <w:left w:val="single" w:sz="6" w:space="0" w:color="000000"/>
              <w:bottom w:val="single" w:sz="2" w:space="0" w:color="000000"/>
              <w:right w:val="single" w:sz="6" w:space="0" w:color="000000"/>
            </w:tcBorders>
          </w:tcPr>
          <w:p>
            <w:pPr>
              <w:pStyle w:val="TableParagraph"/>
              <w:spacing w:line="240" w:lineRule="auto" w:before="20"/>
              <w:ind w:left="14" w:right="0"/>
              <w:jc w:val="center"/>
              <w:rPr>
                <w:rFonts w:ascii="宋体" w:hAnsi="宋体" w:cs="宋体" w:eastAsia="宋体" w:hint="default"/>
                <w:sz w:val="18"/>
                <w:szCs w:val="18"/>
              </w:rPr>
            </w:pPr>
            <w:r>
              <w:rPr>
                <w:rFonts w:ascii="宋体"/>
                <w:sz w:val="18"/>
              </w:rPr>
              <w:t>17</w:t>
            </w:r>
          </w:p>
        </w:tc>
        <w:tc>
          <w:tcPr>
            <w:tcW w:w="1316" w:type="dxa"/>
            <w:tcBorders>
              <w:top w:val="nil" w:sz="6" w:space="0" w:color="auto"/>
              <w:left w:val="single" w:sz="6" w:space="0" w:color="000000"/>
              <w:bottom w:val="single" w:sz="2" w:space="0" w:color="000000"/>
              <w:right w:val="single" w:sz="6" w:space="0" w:color="000000"/>
            </w:tcBorders>
          </w:tcPr>
          <w:p>
            <w:pPr>
              <w:pStyle w:val="TableParagraph"/>
              <w:spacing w:line="240" w:lineRule="auto" w:before="20"/>
              <w:ind w:left="4" w:right="0"/>
              <w:jc w:val="center"/>
              <w:rPr>
                <w:rFonts w:ascii="宋体" w:hAnsi="宋体" w:cs="宋体" w:eastAsia="宋体" w:hint="default"/>
                <w:sz w:val="18"/>
                <w:szCs w:val="18"/>
              </w:rPr>
            </w:pPr>
            <w:r>
              <w:rPr>
                <w:rFonts w:ascii="宋体"/>
                <w:sz w:val="18"/>
              </w:rPr>
              <w:t>15</w:t>
            </w:r>
          </w:p>
        </w:tc>
        <w:tc>
          <w:tcPr>
            <w:tcW w:w="1716" w:type="dxa"/>
            <w:tcBorders>
              <w:top w:val="nil" w:sz="6" w:space="0" w:color="auto"/>
              <w:left w:val="single" w:sz="6" w:space="0" w:color="000000"/>
              <w:bottom w:val="single" w:sz="2" w:space="0" w:color="000000"/>
              <w:right w:val="nil" w:sz="6" w:space="0" w:color="auto"/>
            </w:tcBorders>
          </w:tcPr>
          <w:p>
            <w:pPr>
              <w:pStyle w:val="TableParagraph"/>
              <w:spacing w:line="240" w:lineRule="auto" w:before="20"/>
              <w:ind w:right="3"/>
              <w:jc w:val="center"/>
              <w:rPr>
                <w:rFonts w:ascii="宋体" w:hAnsi="宋体" w:cs="宋体" w:eastAsia="宋体" w:hint="default"/>
                <w:sz w:val="18"/>
                <w:szCs w:val="18"/>
              </w:rPr>
            </w:pPr>
            <w:r>
              <w:rPr>
                <w:rFonts w:ascii="宋体"/>
                <w:w w:val="101"/>
                <w:sz w:val="18"/>
              </w:rPr>
              <w:t>1</w:t>
            </w:r>
            <w:r>
              <w:rPr>
                <w:rFonts w:ascii="宋体"/>
                <w:sz w:val="18"/>
              </w:rPr>
            </w:r>
          </w:p>
        </w:tc>
      </w:tr>
      <w:tr>
        <w:trPr>
          <w:trHeight w:val="348" w:hRule="exact"/>
        </w:trPr>
        <w:tc>
          <w:tcPr>
            <w:tcW w:w="2660" w:type="dxa"/>
            <w:tcBorders>
              <w:top w:val="single" w:sz="2" w:space="0" w:color="000000"/>
              <w:left w:val="nil" w:sz="6" w:space="0" w:color="auto"/>
              <w:bottom w:val="single" w:sz="12" w:space="0" w:color="000000"/>
              <w:right w:val="single" w:sz="6" w:space="0" w:color="000000"/>
            </w:tcBorders>
          </w:tcPr>
          <w:p>
            <w:pPr>
              <w:pStyle w:val="TableParagraph"/>
              <w:spacing w:line="240" w:lineRule="auto" w:before="20"/>
              <w:ind w:left="521" w:right="0"/>
              <w:jc w:val="left"/>
              <w:rPr>
                <w:rFonts w:ascii="宋体" w:hAnsi="宋体" w:cs="宋体" w:eastAsia="宋体" w:hint="default"/>
                <w:sz w:val="18"/>
                <w:szCs w:val="18"/>
              </w:rPr>
            </w:pPr>
            <w:r>
              <w:rPr>
                <w:rFonts w:ascii="宋体" w:hAnsi="宋体" w:cs="宋体" w:eastAsia="宋体" w:hint="default"/>
                <w:b/>
                <w:bCs/>
                <w:sz w:val="18"/>
                <w:szCs w:val="18"/>
              </w:rPr>
              <w:t>其中：智慧照明控制系统</w:t>
            </w:r>
            <w:r>
              <w:rPr>
                <w:rFonts w:ascii="宋体" w:hAnsi="宋体" w:cs="宋体" w:eastAsia="宋体" w:hint="default"/>
                <w:sz w:val="18"/>
                <w:szCs w:val="18"/>
              </w:rPr>
            </w:r>
          </w:p>
        </w:tc>
        <w:tc>
          <w:tcPr>
            <w:tcW w:w="1561" w:type="dxa"/>
            <w:tcBorders>
              <w:top w:val="single" w:sz="2" w:space="0" w:color="000000"/>
              <w:left w:val="single" w:sz="6" w:space="0" w:color="000000"/>
              <w:bottom w:val="single" w:sz="12" w:space="0" w:color="000000"/>
              <w:right w:val="single" w:sz="6" w:space="0" w:color="000000"/>
            </w:tcBorders>
          </w:tcPr>
          <w:p>
            <w:pPr>
              <w:pStyle w:val="TableParagraph"/>
              <w:spacing w:line="240" w:lineRule="auto" w:before="20"/>
              <w:ind w:left="19" w:right="0"/>
              <w:jc w:val="center"/>
              <w:rPr>
                <w:rFonts w:ascii="宋体" w:hAnsi="宋体" w:cs="宋体" w:eastAsia="宋体" w:hint="default"/>
                <w:sz w:val="18"/>
                <w:szCs w:val="18"/>
              </w:rPr>
            </w:pPr>
            <w:r>
              <w:rPr>
                <w:rFonts w:ascii="宋体" w:hAnsi="宋体" w:cs="宋体" w:eastAsia="宋体" w:hint="default"/>
                <w:w w:val="101"/>
                <w:sz w:val="18"/>
                <w:szCs w:val="18"/>
              </w:rPr>
              <w:t>—</w:t>
            </w:r>
            <w:r>
              <w:rPr>
                <w:rFonts w:ascii="宋体" w:hAnsi="宋体" w:cs="宋体" w:eastAsia="宋体" w:hint="default"/>
                <w:sz w:val="18"/>
                <w:szCs w:val="18"/>
              </w:rPr>
            </w:r>
          </w:p>
        </w:tc>
        <w:tc>
          <w:tcPr>
            <w:tcW w:w="1277" w:type="dxa"/>
            <w:tcBorders>
              <w:top w:val="single" w:sz="2" w:space="0" w:color="000000"/>
              <w:left w:val="single" w:sz="6" w:space="0" w:color="000000"/>
              <w:bottom w:val="single" w:sz="12" w:space="0" w:color="000000"/>
              <w:right w:val="single" w:sz="6" w:space="0" w:color="000000"/>
            </w:tcBorders>
          </w:tcPr>
          <w:p>
            <w:pPr>
              <w:pStyle w:val="TableParagraph"/>
              <w:spacing w:line="240" w:lineRule="auto" w:before="20"/>
              <w:ind w:left="9" w:right="0"/>
              <w:jc w:val="center"/>
              <w:rPr>
                <w:rFonts w:ascii="宋体" w:hAnsi="宋体" w:cs="宋体" w:eastAsia="宋体" w:hint="default"/>
                <w:sz w:val="18"/>
                <w:szCs w:val="18"/>
              </w:rPr>
            </w:pPr>
            <w:r>
              <w:rPr>
                <w:rFonts w:ascii="宋体"/>
                <w:w w:val="101"/>
                <w:sz w:val="18"/>
              </w:rPr>
              <w:t>6</w:t>
            </w:r>
            <w:r>
              <w:rPr>
                <w:rFonts w:ascii="宋体"/>
                <w:sz w:val="18"/>
              </w:rPr>
            </w:r>
          </w:p>
        </w:tc>
        <w:tc>
          <w:tcPr>
            <w:tcW w:w="1316" w:type="dxa"/>
            <w:tcBorders>
              <w:top w:val="single" w:sz="2" w:space="0" w:color="000000"/>
              <w:left w:val="single" w:sz="6" w:space="0" w:color="000000"/>
              <w:bottom w:val="single" w:sz="12" w:space="0" w:color="000000"/>
              <w:right w:val="single" w:sz="6"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w w:val="101"/>
                <w:sz w:val="18"/>
              </w:rPr>
              <w:t>7</w:t>
            </w:r>
            <w:r>
              <w:rPr>
                <w:rFonts w:ascii="宋体"/>
                <w:sz w:val="18"/>
              </w:rPr>
            </w:r>
          </w:p>
        </w:tc>
        <w:tc>
          <w:tcPr>
            <w:tcW w:w="1716" w:type="dxa"/>
            <w:tcBorders>
              <w:top w:val="single" w:sz="2" w:space="0" w:color="000000"/>
              <w:left w:val="single" w:sz="6" w:space="0" w:color="000000"/>
              <w:bottom w:val="single" w:sz="12" w:space="0" w:color="000000"/>
              <w:right w:val="nil" w:sz="6" w:space="0" w:color="auto"/>
            </w:tcBorders>
          </w:tcPr>
          <w:p>
            <w:pPr>
              <w:pStyle w:val="TableParagraph"/>
              <w:spacing w:line="240" w:lineRule="auto" w:before="20"/>
              <w:ind w:right="3"/>
              <w:jc w:val="center"/>
              <w:rPr>
                <w:rFonts w:ascii="宋体" w:hAnsi="宋体" w:cs="宋体" w:eastAsia="宋体" w:hint="default"/>
                <w:sz w:val="18"/>
                <w:szCs w:val="18"/>
              </w:rPr>
            </w:pPr>
            <w:r>
              <w:rPr>
                <w:rFonts w:ascii="宋体"/>
                <w:w w:val="101"/>
                <w:sz w:val="18"/>
              </w:rPr>
              <w:t>1</w:t>
            </w:r>
            <w:r>
              <w:rPr>
                <w:rFonts w:ascii="宋体"/>
                <w:sz w:val="18"/>
              </w:rPr>
            </w:r>
          </w:p>
        </w:tc>
      </w:tr>
    </w:tbl>
    <w:p>
      <w:pPr>
        <w:pStyle w:val="BodyText"/>
        <w:spacing w:line="240" w:lineRule="auto" w:before="10"/>
        <w:ind w:left="513" w:right="0"/>
        <w:jc w:val="left"/>
      </w:pPr>
      <w:r>
        <w:rPr/>
        <w:pict>
          <v:group style="position:absolute;margin-left:84.384018pt;margin-top:15.571744pt;width:426.9pt;height:1.2pt;mso-position-horizontal-relative:page;mso-position-vertical-relative:paragraph;z-index:-1079104" coordorigin="1688,311" coordsize="8538,24">
            <v:group style="position:absolute;left:1695;top:319;width:639;height:2" coordorigin="1695,319" coordsize="639,2">
              <v:shape style="position:absolute;left:1695;top:319;width:639;height:2" coordorigin="1695,319" coordsize="639,0" path="m1695,319l2334,319e" filled="false" stroked="true" strokeweight=".71997pt" strokecolor="#000000">
                <v:path arrowok="t"/>
              </v:shape>
            </v:group>
            <v:group style="position:absolute;left:1695;top:331;width:639;height:2" coordorigin="1695,331" coordsize="639,2">
              <v:shape style="position:absolute;left:1695;top:331;width:639;height:2" coordorigin="1695,331" coordsize="639,0" path="m1695,331l2334,331e" filled="false" stroked="true" strokeweight=".48001pt" strokecolor="#1b24ab">
                <v:path arrowok="t"/>
              </v:shape>
            </v:group>
            <v:group style="position:absolute;left:2348;top:319;width:1004;height:2" coordorigin="2348,319" coordsize="1004,2">
              <v:shape style="position:absolute;left:2348;top:319;width:1004;height:2" coordorigin="2348,319" coordsize="1004,0" path="m2348,319l3352,319e" filled="false" stroked="true" strokeweight=".71997pt" strokecolor="#000000">
                <v:path arrowok="t"/>
              </v:shape>
            </v:group>
            <v:group style="position:absolute;left:3366;top:319;width:4663;height:2" coordorigin="3366,319" coordsize="4663,2">
              <v:shape style="position:absolute;left:3366;top:319;width:4663;height:2" coordorigin="3366,319" coordsize="4663,0" path="m3366,319l8028,319e" filled="false" stroked="true" strokeweight=".71997pt" strokecolor="#000000">
                <v:path arrowok="t"/>
              </v:shape>
            </v:group>
            <v:group style="position:absolute;left:8043;top:319;width:2176;height:2" coordorigin="8043,319" coordsize="2176,2">
              <v:shape style="position:absolute;left:8043;top:319;width:2176;height:2" coordorigin="8043,319" coordsize="2176,0" path="m8043,319l10218,319e" filled="false" stroked="true" strokeweight=".71997pt" strokecolor="#000000">
                <v:path arrowok="t"/>
              </v:shape>
            </v:group>
            <w10:wrap type="none"/>
          </v:group>
        </w:pict>
      </w:r>
      <w:r>
        <w:rPr/>
        <w:t>（</w:t>
      </w:r>
      <w:r>
        <w:rPr>
          <w:rFonts w:ascii="宋体" w:hAnsi="宋体" w:cs="宋体" w:eastAsia="宋体" w:hint="default"/>
        </w:rPr>
        <w:t>5</w:t>
      </w:r>
      <w:r>
        <w:rPr/>
        <w:t>）品牌优势</w:t>
      </w:r>
    </w:p>
    <w:p>
      <w:pPr>
        <w:spacing w:line="240" w:lineRule="auto" w:before="8"/>
        <w:rPr>
          <w:rFonts w:ascii="宋体" w:hAnsi="宋体" w:cs="宋体" w:eastAsia="宋体" w:hint="default"/>
          <w:sz w:val="5"/>
          <w:szCs w:val="5"/>
        </w:rPr>
      </w:pPr>
    </w:p>
    <w:tbl>
      <w:tblPr>
        <w:tblW w:w="0" w:type="auto"/>
        <w:jc w:val="left"/>
        <w:tblInd w:w="693" w:type="dxa"/>
        <w:tblLayout w:type="fixed"/>
        <w:tblCellMar>
          <w:top w:w="0" w:type="dxa"/>
          <w:left w:w="0" w:type="dxa"/>
          <w:bottom w:w="0" w:type="dxa"/>
          <w:right w:w="0" w:type="dxa"/>
        </w:tblCellMar>
        <w:tblLook w:val="01E0"/>
      </w:tblPr>
      <w:tblGrid>
        <w:gridCol w:w="656"/>
        <w:gridCol w:w="1018"/>
        <w:gridCol w:w="4677"/>
        <w:gridCol w:w="2180"/>
      </w:tblGrid>
      <w:tr>
        <w:trPr>
          <w:trHeight w:val="343" w:hRule="exact"/>
        </w:trPr>
        <w:tc>
          <w:tcPr>
            <w:tcW w:w="656" w:type="dxa"/>
            <w:tcBorders>
              <w:top w:val="nil" w:sz="6" w:space="0" w:color="auto"/>
              <w:left w:val="nil" w:sz="6" w:space="0" w:color="auto"/>
              <w:bottom w:val="nil" w:sz="6" w:space="0" w:color="auto"/>
              <w:right w:val="single" w:sz="6" w:space="0" w:color="000000"/>
            </w:tcBorders>
            <w:shd w:val="clear" w:color="auto" w:fill="1B24AB"/>
          </w:tcPr>
          <w:p>
            <w:pPr>
              <w:pStyle w:val="TableParagraph"/>
              <w:spacing w:line="240" w:lineRule="auto" w:before="25"/>
              <w:ind w:left="14" w:right="0"/>
              <w:jc w:val="center"/>
              <w:rPr>
                <w:rFonts w:ascii="宋体" w:hAnsi="宋体" w:cs="宋体" w:eastAsia="宋体" w:hint="default"/>
                <w:sz w:val="18"/>
                <w:szCs w:val="18"/>
              </w:rPr>
            </w:pPr>
            <w:r>
              <w:rPr>
                <w:rFonts w:ascii="宋体" w:hAnsi="宋体" w:cs="宋体" w:eastAsia="宋体" w:hint="default"/>
                <w:b/>
                <w:bCs/>
                <w:color w:val="FFFFFF"/>
                <w:sz w:val="18"/>
                <w:szCs w:val="18"/>
              </w:rPr>
              <w:t>序号</w:t>
            </w:r>
            <w:r>
              <w:rPr>
                <w:rFonts w:ascii="宋体" w:hAnsi="宋体" w:cs="宋体" w:eastAsia="宋体" w:hint="default"/>
                <w:sz w:val="18"/>
                <w:szCs w:val="18"/>
              </w:rPr>
            </w:r>
          </w:p>
        </w:tc>
        <w:tc>
          <w:tcPr>
            <w:tcW w:w="1018" w:type="dxa"/>
            <w:tcBorders>
              <w:top w:val="nil" w:sz="6" w:space="0" w:color="auto"/>
              <w:left w:val="single" w:sz="6" w:space="0" w:color="000000"/>
              <w:bottom w:val="nil" w:sz="6" w:space="0" w:color="auto"/>
              <w:right w:val="single" w:sz="6" w:space="0" w:color="000000"/>
            </w:tcBorders>
            <w:shd w:val="clear" w:color="auto" w:fill="1B24AB"/>
          </w:tcPr>
          <w:p>
            <w:pPr>
              <w:pStyle w:val="TableParagraph"/>
              <w:spacing w:line="240" w:lineRule="auto" w:before="25"/>
              <w:ind w:left="9" w:right="0"/>
              <w:jc w:val="center"/>
              <w:rPr>
                <w:rFonts w:ascii="宋体" w:hAnsi="宋体" w:cs="宋体" w:eastAsia="宋体" w:hint="default"/>
                <w:sz w:val="18"/>
                <w:szCs w:val="18"/>
              </w:rPr>
            </w:pPr>
            <w:r>
              <w:rPr>
                <w:rFonts w:ascii="宋体" w:hAnsi="宋体" w:cs="宋体" w:eastAsia="宋体" w:hint="default"/>
                <w:b/>
                <w:bCs/>
                <w:color w:val="FFFFFF"/>
                <w:sz w:val="18"/>
                <w:szCs w:val="18"/>
              </w:rPr>
              <w:t>获奖时间</w:t>
            </w:r>
            <w:r>
              <w:rPr>
                <w:rFonts w:ascii="宋体" w:hAnsi="宋体" w:cs="宋体" w:eastAsia="宋体" w:hint="default"/>
                <w:sz w:val="18"/>
                <w:szCs w:val="18"/>
              </w:rPr>
            </w:r>
          </w:p>
        </w:tc>
        <w:tc>
          <w:tcPr>
            <w:tcW w:w="4677" w:type="dxa"/>
            <w:tcBorders>
              <w:top w:val="nil" w:sz="6" w:space="0" w:color="auto"/>
              <w:left w:val="single" w:sz="6" w:space="0" w:color="000000"/>
              <w:bottom w:val="nil" w:sz="6" w:space="0" w:color="auto"/>
              <w:right w:val="single" w:sz="6" w:space="0" w:color="000000"/>
            </w:tcBorders>
            <w:shd w:val="clear" w:color="auto" w:fill="1B24AB"/>
          </w:tcPr>
          <w:p>
            <w:pPr>
              <w:pStyle w:val="TableParagraph"/>
              <w:spacing w:line="240" w:lineRule="auto" w:before="25"/>
              <w:ind w:right="0"/>
              <w:jc w:val="center"/>
              <w:rPr>
                <w:rFonts w:ascii="宋体" w:hAnsi="宋体" w:cs="宋体" w:eastAsia="宋体" w:hint="default"/>
                <w:sz w:val="18"/>
                <w:szCs w:val="18"/>
              </w:rPr>
            </w:pPr>
            <w:r>
              <w:rPr>
                <w:rFonts w:ascii="宋体" w:hAnsi="宋体" w:cs="宋体" w:eastAsia="宋体" w:hint="default"/>
                <w:b/>
                <w:bCs/>
                <w:color w:val="FFFFFF"/>
                <w:sz w:val="18"/>
                <w:szCs w:val="18"/>
              </w:rPr>
              <w:t>获奖名称</w:t>
            </w:r>
            <w:r>
              <w:rPr>
                <w:rFonts w:ascii="宋体" w:hAnsi="宋体" w:cs="宋体" w:eastAsia="宋体" w:hint="default"/>
                <w:sz w:val="18"/>
                <w:szCs w:val="18"/>
              </w:rPr>
            </w:r>
          </w:p>
        </w:tc>
        <w:tc>
          <w:tcPr>
            <w:tcW w:w="2180" w:type="dxa"/>
            <w:tcBorders>
              <w:top w:val="nil" w:sz="6" w:space="0" w:color="auto"/>
              <w:left w:val="single" w:sz="6" w:space="0" w:color="000000"/>
              <w:bottom w:val="nil" w:sz="6" w:space="0" w:color="auto"/>
              <w:right w:val="nil" w:sz="6" w:space="0" w:color="auto"/>
            </w:tcBorders>
            <w:shd w:val="clear" w:color="auto" w:fill="1B24AB"/>
          </w:tcPr>
          <w:p>
            <w:pPr>
              <w:pStyle w:val="TableParagraph"/>
              <w:spacing w:line="240" w:lineRule="auto" w:before="25"/>
              <w:ind w:right="5"/>
              <w:jc w:val="center"/>
              <w:rPr>
                <w:rFonts w:ascii="宋体" w:hAnsi="宋体" w:cs="宋体" w:eastAsia="宋体" w:hint="default"/>
                <w:sz w:val="18"/>
                <w:szCs w:val="18"/>
              </w:rPr>
            </w:pPr>
            <w:r>
              <w:rPr>
                <w:rFonts w:ascii="宋体" w:hAnsi="宋体" w:cs="宋体" w:eastAsia="宋体" w:hint="default"/>
                <w:b/>
                <w:bCs/>
                <w:color w:val="FFFFFF"/>
                <w:sz w:val="18"/>
                <w:szCs w:val="18"/>
              </w:rPr>
              <w:t>颁发单位</w:t>
            </w:r>
            <w:r>
              <w:rPr>
                <w:rFonts w:ascii="宋体" w:hAnsi="宋体" w:cs="宋体" w:eastAsia="宋体" w:hint="default"/>
                <w:sz w:val="18"/>
                <w:szCs w:val="18"/>
              </w:rPr>
            </w:r>
          </w:p>
        </w:tc>
      </w:tr>
      <w:tr>
        <w:trPr>
          <w:trHeight w:val="336" w:hRule="exact"/>
        </w:trPr>
        <w:tc>
          <w:tcPr>
            <w:tcW w:w="656" w:type="dxa"/>
            <w:tcBorders>
              <w:top w:val="nil" w:sz="6" w:space="0" w:color="auto"/>
              <w:left w:val="nil" w:sz="6" w:space="0" w:color="auto"/>
              <w:bottom w:val="single" w:sz="4" w:space="0" w:color="000000"/>
              <w:right w:val="single" w:sz="4" w:space="0" w:color="000000"/>
            </w:tcBorders>
          </w:tcPr>
          <w:p>
            <w:pPr>
              <w:pStyle w:val="TableParagraph"/>
              <w:spacing w:line="240" w:lineRule="auto" w:before="20"/>
              <w:ind w:left="12" w:right="0"/>
              <w:jc w:val="center"/>
              <w:rPr>
                <w:rFonts w:ascii="宋体" w:hAnsi="宋体" w:cs="宋体" w:eastAsia="宋体" w:hint="default"/>
                <w:sz w:val="18"/>
                <w:szCs w:val="18"/>
              </w:rPr>
            </w:pPr>
            <w:r>
              <w:rPr>
                <w:rFonts w:ascii="宋体"/>
                <w:b/>
                <w:w w:val="100"/>
                <w:sz w:val="18"/>
              </w:rPr>
              <w:t>1</w:t>
            </w:r>
            <w:r>
              <w:rPr>
                <w:rFonts w:ascii="宋体"/>
                <w:w w:val="100"/>
                <w:sz w:val="18"/>
              </w:rPr>
            </w:r>
          </w:p>
        </w:tc>
        <w:tc>
          <w:tcPr>
            <w:tcW w:w="101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0"/>
              <w:ind w:left="9" w:right="0"/>
              <w:jc w:val="center"/>
              <w:rPr>
                <w:rFonts w:ascii="宋体" w:hAnsi="宋体" w:cs="宋体" w:eastAsia="宋体" w:hint="default"/>
                <w:sz w:val="18"/>
                <w:szCs w:val="18"/>
              </w:rPr>
            </w:pPr>
            <w:r>
              <w:rPr>
                <w:rFonts w:ascii="宋体"/>
                <w:sz w:val="18"/>
              </w:rPr>
              <w:t>2019.01</w:t>
            </w:r>
          </w:p>
        </w:tc>
        <w:tc>
          <w:tcPr>
            <w:tcW w:w="467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0"/>
              <w:ind w:left="4" w:right="0"/>
              <w:jc w:val="center"/>
              <w:rPr>
                <w:rFonts w:ascii="宋体" w:hAnsi="宋体" w:cs="宋体" w:eastAsia="宋体" w:hint="default"/>
                <w:sz w:val="18"/>
                <w:szCs w:val="18"/>
              </w:rPr>
            </w:pPr>
            <w:r>
              <w:rPr>
                <w:rFonts w:ascii="宋体" w:hAnsi="宋体" w:cs="宋体" w:eastAsia="宋体" w:hint="default"/>
                <w:spacing w:val="-3"/>
                <w:sz w:val="18"/>
                <w:szCs w:val="18"/>
              </w:rPr>
              <w:t>突出贡献奖</w:t>
            </w:r>
            <w:r>
              <w:rPr>
                <w:rFonts w:ascii="宋体" w:hAnsi="宋体" w:cs="宋体" w:eastAsia="宋体" w:hint="default"/>
                <w:spacing w:val="-3"/>
                <w:sz w:val="18"/>
                <w:szCs w:val="18"/>
              </w:rPr>
              <w:t>--</w:t>
            </w:r>
            <w:r>
              <w:rPr>
                <w:rFonts w:ascii="宋体" w:hAnsi="宋体" w:cs="宋体" w:eastAsia="宋体" w:hint="default"/>
                <w:spacing w:val="-3"/>
                <w:sz w:val="18"/>
                <w:szCs w:val="18"/>
              </w:rPr>
              <w:t>上合组织青岛峰会夜景亮化项目</w:t>
            </w:r>
          </w:p>
        </w:tc>
        <w:tc>
          <w:tcPr>
            <w:tcW w:w="2180" w:type="dxa"/>
            <w:tcBorders>
              <w:top w:val="nil" w:sz="6" w:space="0" w:color="auto"/>
              <w:left w:val="single" w:sz="4" w:space="0" w:color="000000"/>
              <w:bottom w:val="single" w:sz="4" w:space="0" w:color="000000"/>
              <w:right w:val="nil" w:sz="6" w:space="0" w:color="auto"/>
            </w:tcBorders>
          </w:tcPr>
          <w:p>
            <w:pPr>
              <w:pStyle w:val="TableParagraph"/>
              <w:spacing w:line="240" w:lineRule="auto" w:before="20"/>
              <w:ind w:right="2"/>
              <w:jc w:val="center"/>
              <w:rPr>
                <w:rFonts w:ascii="宋体" w:hAnsi="宋体" w:cs="宋体" w:eastAsia="宋体" w:hint="default"/>
                <w:sz w:val="18"/>
                <w:szCs w:val="18"/>
              </w:rPr>
            </w:pPr>
            <w:r>
              <w:rPr>
                <w:rFonts w:ascii="宋体" w:hAnsi="宋体" w:cs="宋体" w:eastAsia="宋体" w:hint="default"/>
                <w:sz w:val="18"/>
                <w:szCs w:val="18"/>
              </w:rPr>
              <w:t>青岛市南投资有限公司</w:t>
            </w:r>
          </w:p>
        </w:tc>
      </w:tr>
      <w:tr>
        <w:trPr>
          <w:trHeight w:val="653" w:hRule="exact"/>
        </w:trPr>
        <w:tc>
          <w:tcPr>
            <w:tcW w:w="65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 w:right="0"/>
              <w:jc w:val="center"/>
              <w:rPr>
                <w:rFonts w:ascii="宋体" w:hAnsi="宋体" w:cs="宋体" w:eastAsia="宋体" w:hint="default"/>
                <w:sz w:val="18"/>
                <w:szCs w:val="18"/>
              </w:rPr>
            </w:pPr>
            <w:r>
              <w:rPr>
                <w:rFonts w:ascii="宋体"/>
                <w:b/>
                <w:w w:val="100"/>
                <w:sz w:val="18"/>
              </w:rPr>
              <w:t>2</w:t>
            </w:r>
            <w:r>
              <w:rPr>
                <w:rFonts w:ascii="宋体"/>
                <w:w w:val="100"/>
                <w:sz w:val="18"/>
              </w:rPr>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9" w:right="0"/>
              <w:jc w:val="center"/>
              <w:rPr>
                <w:rFonts w:ascii="宋体" w:hAnsi="宋体" w:cs="宋体" w:eastAsia="宋体" w:hint="default"/>
                <w:sz w:val="18"/>
                <w:szCs w:val="18"/>
              </w:rPr>
            </w:pPr>
            <w:r>
              <w:rPr>
                <w:rFonts w:ascii="宋体"/>
                <w:sz w:val="18"/>
              </w:rPr>
              <w:t>2019.03</w:t>
            </w:r>
          </w:p>
        </w:tc>
        <w:tc>
          <w:tcPr>
            <w:tcW w:w="467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0"/>
              <w:ind w:left="1973" w:right="0" w:hanging="1969"/>
              <w:jc w:val="left"/>
              <w:rPr>
                <w:rFonts w:ascii="宋体" w:hAnsi="宋体" w:cs="宋体" w:eastAsia="宋体" w:hint="default"/>
                <w:sz w:val="18"/>
                <w:szCs w:val="18"/>
              </w:rPr>
            </w:pPr>
            <w:r>
              <w:rPr>
                <w:rFonts w:ascii="宋体" w:hAnsi="宋体" w:cs="宋体" w:eastAsia="宋体" w:hint="default"/>
                <w:spacing w:val="-4"/>
                <w:sz w:val="18"/>
                <w:szCs w:val="18"/>
              </w:rPr>
              <w:t>深圳照明建设奖一等奖</w:t>
            </w:r>
            <w:r>
              <w:rPr>
                <w:rFonts w:ascii="宋体" w:hAnsi="宋体" w:cs="宋体" w:eastAsia="宋体" w:hint="default"/>
                <w:spacing w:val="-4"/>
                <w:sz w:val="18"/>
                <w:szCs w:val="18"/>
              </w:rPr>
              <w:t>--</w:t>
            </w:r>
            <w:r>
              <w:rPr>
                <w:rFonts w:ascii="宋体" w:hAnsi="宋体" w:cs="宋体" w:eastAsia="宋体" w:hint="default"/>
                <w:spacing w:val="-4"/>
                <w:sz w:val="18"/>
                <w:szCs w:val="18"/>
              </w:rPr>
              <w:t>深南大道（福田段）景观照明提升</w:t>
            </w:r>
            <w:r>
              <w:rPr>
                <w:rFonts w:ascii="宋体" w:hAnsi="宋体" w:cs="宋体" w:eastAsia="宋体" w:hint="default"/>
                <w:spacing w:val="-5"/>
                <w:sz w:val="18"/>
                <w:szCs w:val="18"/>
              </w:rPr>
              <w:t> </w:t>
            </w:r>
            <w:r>
              <w:rPr>
                <w:rFonts w:ascii="宋体" w:hAnsi="宋体" w:cs="宋体" w:eastAsia="宋体" w:hint="default"/>
                <w:spacing w:val="-5"/>
                <w:sz w:val="18"/>
                <w:szCs w:val="18"/>
              </w:rPr>
            </w:r>
            <w:r>
              <w:rPr>
                <w:rFonts w:ascii="宋体" w:hAnsi="宋体" w:cs="宋体" w:eastAsia="宋体" w:hint="default"/>
                <w:sz w:val="18"/>
                <w:szCs w:val="18"/>
              </w:rPr>
              <w:t>项目东段</w:t>
            </w:r>
          </w:p>
        </w:tc>
        <w:tc>
          <w:tcPr>
            <w:tcW w:w="218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0"/>
              <w:ind w:right="7"/>
              <w:jc w:val="center"/>
              <w:rPr>
                <w:rFonts w:ascii="宋体" w:hAnsi="宋体" w:cs="宋体" w:eastAsia="宋体" w:hint="default"/>
                <w:sz w:val="18"/>
                <w:szCs w:val="18"/>
              </w:rPr>
            </w:pPr>
            <w:r>
              <w:rPr>
                <w:rFonts w:ascii="宋体" w:hAnsi="宋体" w:cs="宋体" w:eastAsia="宋体" w:hint="default"/>
                <w:spacing w:val="-3"/>
                <w:sz w:val="18"/>
                <w:szCs w:val="18"/>
              </w:rPr>
              <w:t>深圳市照明学会</w:t>
            </w:r>
          </w:p>
        </w:tc>
      </w:tr>
      <w:tr>
        <w:trPr>
          <w:trHeight w:val="653" w:hRule="exact"/>
        </w:trPr>
        <w:tc>
          <w:tcPr>
            <w:tcW w:w="65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 w:right="0"/>
              <w:jc w:val="center"/>
              <w:rPr>
                <w:rFonts w:ascii="宋体" w:hAnsi="宋体" w:cs="宋体" w:eastAsia="宋体" w:hint="default"/>
                <w:sz w:val="18"/>
                <w:szCs w:val="18"/>
              </w:rPr>
            </w:pPr>
            <w:r>
              <w:rPr>
                <w:rFonts w:ascii="宋体"/>
                <w:b/>
                <w:w w:val="100"/>
                <w:sz w:val="18"/>
              </w:rPr>
              <w:t>3</w:t>
            </w:r>
            <w:r>
              <w:rPr>
                <w:rFonts w:ascii="宋体"/>
                <w:w w:val="100"/>
                <w:sz w:val="18"/>
              </w:rPr>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9" w:right="0"/>
              <w:jc w:val="center"/>
              <w:rPr>
                <w:rFonts w:ascii="宋体" w:hAnsi="宋体" w:cs="宋体" w:eastAsia="宋体" w:hint="default"/>
                <w:sz w:val="18"/>
                <w:szCs w:val="18"/>
              </w:rPr>
            </w:pPr>
            <w:r>
              <w:rPr>
                <w:rFonts w:ascii="宋体"/>
                <w:sz w:val="18"/>
              </w:rPr>
              <w:t>2019.09</w:t>
            </w:r>
          </w:p>
        </w:tc>
        <w:tc>
          <w:tcPr>
            <w:tcW w:w="467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0"/>
              <w:ind w:left="263" w:right="-1" w:hanging="260"/>
              <w:jc w:val="left"/>
              <w:rPr>
                <w:rFonts w:ascii="宋体" w:hAnsi="宋体" w:cs="宋体" w:eastAsia="宋体" w:hint="default"/>
                <w:sz w:val="18"/>
                <w:szCs w:val="18"/>
              </w:rPr>
            </w:pPr>
            <w:r>
              <w:rPr>
                <w:rFonts w:ascii="宋体" w:hAnsi="宋体" w:cs="宋体" w:eastAsia="宋体" w:hint="default"/>
                <w:spacing w:val="-4"/>
                <w:sz w:val="18"/>
                <w:szCs w:val="18"/>
              </w:rPr>
              <w:t>深圳市深南大道东段（上海宾馆</w:t>
            </w:r>
            <w:r>
              <w:rPr>
                <w:rFonts w:ascii="宋体" w:hAnsi="宋体" w:cs="宋体" w:eastAsia="宋体" w:hint="default"/>
                <w:spacing w:val="-4"/>
                <w:sz w:val="18"/>
                <w:szCs w:val="18"/>
              </w:rPr>
              <w:t>-</w:t>
            </w:r>
            <w:r>
              <w:rPr>
                <w:rFonts w:ascii="宋体" w:hAnsi="宋体" w:cs="宋体" w:eastAsia="宋体" w:hint="default"/>
                <w:spacing w:val="-4"/>
                <w:sz w:val="18"/>
                <w:szCs w:val="18"/>
              </w:rPr>
              <w:t>地王大厦）夜景照明工程</w:t>
            </w:r>
            <w:r>
              <w:rPr>
                <w:rFonts w:ascii="宋体" w:hAnsi="宋体" w:cs="宋体" w:eastAsia="宋体" w:hint="default"/>
                <w:spacing w:val="-4"/>
                <w:sz w:val="18"/>
                <w:szCs w:val="18"/>
              </w:rPr>
              <w:t>-</w:t>
            </w:r>
            <w:r>
              <w:rPr>
                <w:rFonts w:ascii="宋体" w:hAnsi="宋体" w:cs="宋体" w:eastAsia="宋体" w:hint="default"/>
                <w:spacing w:val="-5"/>
                <w:sz w:val="18"/>
                <w:szCs w:val="18"/>
              </w:rPr>
              <w:t> </w:t>
            </w:r>
            <w:r>
              <w:rPr>
                <w:rFonts w:ascii="宋体" w:hAnsi="宋体" w:cs="宋体" w:eastAsia="宋体" w:hint="default"/>
                <w:spacing w:val="-3"/>
                <w:sz w:val="18"/>
                <w:szCs w:val="18"/>
              </w:rPr>
              <w:t>第十四届中照照明评选中获得照明工程设计奖一等奖</w:t>
            </w:r>
          </w:p>
        </w:tc>
        <w:tc>
          <w:tcPr>
            <w:tcW w:w="218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0"/>
              <w:ind w:right="2"/>
              <w:jc w:val="center"/>
              <w:rPr>
                <w:rFonts w:ascii="宋体" w:hAnsi="宋体" w:cs="宋体" w:eastAsia="宋体" w:hint="default"/>
                <w:sz w:val="18"/>
                <w:szCs w:val="18"/>
              </w:rPr>
            </w:pPr>
            <w:r>
              <w:rPr>
                <w:rFonts w:ascii="宋体" w:hAnsi="宋体" w:cs="宋体" w:eastAsia="宋体" w:hint="default"/>
                <w:sz w:val="18"/>
                <w:szCs w:val="18"/>
              </w:rPr>
              <w:t>中国照明学会</w:t>
            </w:r>
          </w:p>
        </w:tc>
      </w:tr>
      <w:tr>
        <w:trPr>
          <w:trHeight w:val="658" w:hRule="exact"/>
        </w:trPr>
        <w:tc>
          <w:tcPr>
            <w:tcW w:w="65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 w:right="0"/>
              <w:jc w:val="center"/>
              <w:rPr>
                <w:rFonts w:ascii="宋体" w:hAnsi="宋体" w:cs="宋体" w:eastAsia="宋体" w:hint="default"/>
                <w:sz w:val="18"/>
                <w:szCs w:val="18"/>
              </w:rPr>
            </w:pPr>
            <w:r>
              <w:rPr>
                <w:rFonts w:ascii="宋体"/>
                <w:b/>
                <w:w w:val="100"/>
                <w:sz w:val="18"/>
              </w:rPr>
              <w:t>4</w:t>
            </w:r>
            <w:r>
              <w:rPr>
                <w:rFonts w:ascii="宋体"/>
                <w:w w:val="100"/>
                <w:sz w:val="18"/>
              </w:rPr>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9" w:right="0"/>
              <w:jc w:val="center"/>
              <w:rPr>
                <w:rFonts w:ascii="宋体" w:hAnsi="宋体" w:cs="宋体" w:eastAsia="宋体" w:hint="default"/>
                <w:sz w:val="18"/>
                <w:szCs w:val="18"/>
              </w:rPr>
            </w:pPr>
            <w:r>
              <w:rPr>
                <w:rFonts w:ascii="宋体"/>
                <w:sz w:val="18"/>
              </w:rPr>
              <w:t>2019.09</w:t>
            </w:r>
          </w:p>
        </w:tc>
        <w:tc>
          <w:tcPr>
            <w:tcW w:w="467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0"/>
              <w:ind w:left="1071" w:right="31" w:hanging="1033"/>
              <w:jc w:val="left"/>
              <w:rPr>
                <w:rFonts w:ascii="宋体" w:hAnsi="宋体" w:cs="宋体" w:eastAsia="宋体" w:hint="default"/>
                <w:sz w:val="18"/>
                <w:szCs w:val="18"/>
              </w:rPr>
            </w:pPr>
            <w:r>
              <w:rPr>
                <w:rFonts w:ascii="宋体" w:hAnsi="宋体" w:cs="宋体" w:eastAsia="宋体" w:hint="default"/>
                <w:spacing w:val="-3"/>
                <w:sz w:val="18"/>
                <w:szCs w:val="18"/>
              </w:rPr>
              <w:t>青岛市东方影都融创茂夜景照明工程</w:t>
            </w:r>
            <w:r>
              <w:rPr>
                <w:rFonts w:ascii="宋体" w:hAnsi="宋体" w:cs="宋体" w:eastAsia="宋体" w:hint="default"/>
                <w:spacing w:val="-3"/>
                <w:sz w:val="18"/>
                <w:szCs w:val="18"/>
              </w:rPr>
              <w:t>-</w:t>
            </w:r>
            <w:r>
              <w:rPr>
                <w:rFonts w:ascii="宋体" w:hAnsi="宋体" w:cs="宋体" w:eastAsia="宋体" w:hint="default"/>
                <w:spacing w:val="-3"/>
                <w:sz w:val="18"/>
                <w:szCs w:val="18"/>
              </w:rPr>
              <w:t>第十四届中照照明评</w:t>
            </w:r>
            <w:r>
              <w:rPr>
                <w:rFonts w:ascii="宋体" w:hAnsi="宋体" w:cs="宋体" w:eastAsia="宋体" w:hint="default"/>
                <w:spacing w:val="-11"/>
                <w:sz w:val="18"/>
                <w:szCs w:val="18"/>
              </w:rPr>
              <w:t> </w:t>
            </w:r>
            <w:r>
              <w:rPr>
                <w:rFonts w:ascii="宋体" w:hAnsi="宋体" w:cs="宋体" w:eastAsia="宋体" w:hint="default"/>
                <w:spacing w:val="-11"/>
                <w:sz w:val="18"/>
                <w:szCs w:val="18"/>
              </w:rPr>
            </w:r>
            <w:r>
              <w:rPr>
                <w:rFonts w:ascii="宋体" w:hAnsi="宋体" w:cs="宋体" w:eastAsia="宋体" w:hint="default"/>
                <w:spacing w:val="-3"/>
                <w:sz w:val="18"/>
                <w:szCs w:val="18"/>
              </w:rPr>
              <w:t>选中获得照明工程设计奖优秀奖</w:t>
            </w:r>
          </w:p>
        </w:tc>
        <w:tc>
          <w:tcPr>
            <w:tcW w:w="218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0"/>
              <w:ind w:right="2"/>
              <w:jc w:val="center"/>
              <w:rPr>
                <w:rFonts w:ascii="宋体" w:hAnsi="宋体" w:cs="宋体" w:eastAsia="宋体" w:hint="default"/>
                <w:sz w:val="18"/>
                <w:szCs w:val="18"/>
              </w:rPr>
            </w:pPr>
            <w:r>
              <w:rPr>
                <w:rFonts w:ascii="宋体" w:hAnsi="宋体" w:cs="宋体" w:eastAsia="宋体" w:hint="default"/>
                <w:sz w:val="18"/>
                <w:szCs w:val="18"/>
              </w:rPr>
              <w:t>中国照明学会</w:t>
            </w:r>
          </w:p>
        </w:tc>
      </w:tr>
      <w:tr>
        <w:trPr>
          <w:trHeight w:val="653" w:hRule="exact"/>
        </w:trPr>
        <w:tc>
          <w:tcPr>
            <w:tcW w:w="65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 w:right="0"/>
              <w:jc w:val="center"/>
              <w:rPr>
                <w:rFonts w:ascii="宋体" w:hAnsi="宋体" w:cs="宋体" w:eastAsia="宋体" w:hint="default"/>
                <w:sz w:val="18"/>
                <w:szCs w:val="18"/>
              </w:rPr>
            </w:pPr>
            <w:r>
              <w:rPr>
                <w:rFonts w:ascii="宋体"/>
                <w:b/>
                <w:w w:val="100"/>
                <w:sz w:val="18"/>
              </w:rPr>
              <w:t>5</w:t>
            </w:r>
            <w:r>
              <w:rPr>
                <w:rFonts w:ascii="宋体"/>
                <w:w w:val="100"/>
                <w:sz w:val="18"/>
              </w:rPr>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9" w:right="0"/>
              <w:jc w:val="center"/>
              <w:rPr>
                <w:rFonts w:ascii="宋体" w:hAnsi="宋体" w:cs="宋体" w:eastAsia="宋体" w:hint="default"/>
                <w:sz w:val="18"/>
                <w:szCs w:val="18"/>
              </w:rPr>
            </w:pPr>
            <w:r>
              <w:rPr>
                <w:rFonts w:ascii="宋体"/>
                <w:sz w:val="18"/>
              </w:rPr>
              <w:t>2019.09</w:t>
            </w:r>
          </w:p>
        </w:tc>
        <w:tc>
          <w:tcPr>
            <w:tcW w:w="467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0"/>
              <w:ind w:left="801" w:right="0" w:hanging="797"/>
              <w:jc w:val="left"/>
              <w:rPr>
                <w:rFonts w:ascii="宋体" w:hAnsi="宋体" w:cs="宋体" w:eastAsia="宋体" w:hint="default"/>
                <w:sz w:val="18"/>
                <w:szCs w:val="18"/>
              </w:rPr>
            </w:pPr>
            <w:r>
              <w:rPr>
                <w:rFonts w:ascii="宋体" w:hAnsi="宋体" w:cs="宋体" w:eastAsia="宋体" w:hint="default"/>
                <w:spacing w:val="-4"/>
                <w:sz w:val="18"/>
                <w:szCs w:val="18"/>
              </w:rPr>
              <w:t>“美丽青岛行动”浮山湾核心区夜景照明工程第十四届中照</w:t>
            </w:r>
            <w:r>
              <w:rPr>
                <w:rFonts w:ascii="宋体" w:hAnsi="宋体" w:cs="宋体" w:eastAsia="宋体" w:hint="default"/>
                <w:spacing w:val="-10"/>
                <w:sz w:val="18"/>
                <w:szCs w:val="18"/>
              </w:rPr>
              <w:t> </w:t>
            </w:r>
            <w:r>
              <w:rPr>
                <w:rFonts w:ascii="宋体" w:hAnsi="宋体" w:cs="宋体" w:eastAsia="宋体" w:hint="default"/>
                <w:spacing w:val="-10"/>
                <w:sz w:val="18"/>
                <w:szCs w:val="18"/>
              </w:rPr>
            </w:r>
            <w:r>
              <w:rPr>
                <w:rFonts w:ascii="宋体" w:hAnsi="宋体" w:cs="宋体" w:eastAsia="宋体" w:hint="default"/>
                <w:spacing w:val="-3"/>
                <w:sz w:val="18"/>
                <w:szCs w:val="18"/>
              </w:rPr>
              <w:t>照明评选中获得照明工程设计奖一等奖</w:t>
            </w:r>
          </w:p>
        </w:tc>
        <w:tc>
          <w:tcPr>
            <w:tcW w:w="218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0"/>
              <w:ind w:right="2"/>
              <w:jc w:val="center"/>
              <w:rPr>
                <w:rFonts w:ascii="宋体" w:hAnsi="宋体" w:cs="宋体" w:eastAsia="宋体" w:hint="default"/>
                <w:sz w:val="18"/>
                <w:szCs w:val="18"/>
              </w:rPr>
            </w:pPr>
            <w:r>
              <w:rPr>
                <w:rFonts w:ascii="宋体" w:hAnsi="宋体" w:cs="宋体" w:eastAsia="宋体" w:hint="default"/>
                <w:sz w:val="18"/>
                <w:szCs w:val="18"/>
              </w:rPr>
              <w:t>中国照明学会</w:t>
            </w:r>
          </w:p>
        </w:tc>
      </w:tr>
      <w:tr>
        <w:trPr>
          <w:trHeight w:val="662" w:hRule="exact"/>
        </w:trPr>
        <w:tc>
          <w:tcPr>
            <w:tcW w:w="656"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20"/>
              <w:ind w:left="12" w:right="0"/>
              <w:jc w:val="center"/>
              <w:rPr>
                <w:rFonts w:ascii="宋体" w:hAnsi="宋体" w:cs="宋体" w:eastAsia="宋体" w:hint="default"/>
                <w:sz w:val="18"/>
                <w:szCs w:val="18"/>
              </w:rPr>
            </w:pPr>
            <w:r>
              <w:rPr>
                <w:rFonts w:ascii="宋体"/>
                <w:b/>
                <w:w w:val="100"/>
                <w:sz w:val="18"/>
              </w:rPr>
              <w:t>6</w:t>
            </w:r>
            <w:r>
              <w:rPr>
                <w:rFonts w:ascii="宋体"/>
                <w:w w:val="100"/>
                <w:sz w:val="18"/>
              </w:rPr>
            </w:r>
          </w:p>
        </w:tc>
        <w:tc>
          <w:tcPr>
            <w:tcW w:w="101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0"/>
              <w:ind w:left="9" w:right="0"/>
              <w:jc w:val="center"/>
              <w:rPr>
                <w:rFonts w:ascii="宋体" w:hAnsi="宋体" w:cs="宋体" w:eastAsia="宋体" w:hint="default"/>
                <w:sz w:val="18"/>
                <w:szCs w:val="18"/>
              </w:rPr>
            </w:pPr>
            <w:r>
              <w:rPr>
                <w:rFonts w:ascii="宋体"/>
                <w:sz w:val="18"/>
              </w:rPr>
              <w:t>2019.11</w:t>
            </w:r>
          </w:p>
        </w:tc>
        <w:tc>
          <w:tcPr>
            <w:tcW w:w="4677" w:type="dxa"/>
            <w:tcBorders>
              <w:top w:val="single" w:sz="4" w:space="0" w:color="000000"/>
              <w:left w:val="single" w:sz="4" w:space="0" w:color="000000"/>
              <w:bottom w:val="single" w:sz="12" w:space="0" w:color="000000"/>
              <w:right w:val="single" w:sz="4" w:space="0" w:color="000000"/>
            </w:tcBorders>
          </w:tcPr>
          <w:p>
            <w:pPr>
              <w:pStyle w:val="TableParagraph"/>
              <w:spacing w:line="316" w:lineRule="auto" w:before="20"/>
              <w:ind w:left="1704" w:right="36" w:hanging="1667"/>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宋体" w:hAnsi="宋体" w:cs="宋体" w:eastAsia="宋体" w:hint="default"/>
                <w:spacing w:val="-3"/>
                <w:sz w:val="18"/>
                <w:szCs w:val="18"/>
              </w:rPr>
              <w:t>泉州市公共文化中心</w:t>
            </w:r>
            <w:r>
              <w:rPr>
                <w:rFonts w:ascii="宋体" w:hAnsi="宋体" w:cs="宋体" w:eastAsia="宋体" w:hint="default"/>
                <w:spacing w:val="-3"/>
                <w:sz w:val="18"/>
                <w:szCs w:val="18"/>
              </w:rPr>
              <w:t>"</w:t>
            </w:r>
            <w:r>
              <w:rPr>
                <w:rFonts w:ascii="宋体" w:hAnsi="宋体" w:cs="宋体" w:eastAsia="宋体" w:hint="default"/>
                <w:spacing w:val="-3"/>
                <w:sz w:val="18"/>
                <w:szCs w:val="18"/>
              </w:rPr>
              <w:t>项目，荣获</w:t>
            </w:r>
            <w:r>
              <w:rPr>
                <w:rFonts w:ascii="宋体" w:hAnsi="宋体" w:cs="宋体" w:eastAsia="宋体" w:hint="default"/>
                <w:spacing w:val="-3"/>
                <w:sz w:val="18"/>
                <w:szCs w:val="18"/>
              </w:rPr>
              <w:t>2019</w:t>
            </w:r>
            <w:r>
              <w:rPr>
                <w:rFonts w:ascii="宋体" w:hAnsi="宋体" w:cs="宋体" w:eastAsia="宋体" w:hint="default"/>
                <w:spacing w:val="-3"/>
                <w:sz w:val="18"/>
                <w:szCs w:val="18"/>
              </w:rPr>
              <w:t>白玉兰照明奖</w:t>
            </w:r>
            <w:r>
              <w:rPr>
                <w:rFonts w:ascii="宋体" w:hAnsi="宋体" w:cs="宋体" w:eastAsia="宋体" w:hint="default"/>
                <w:spacing w:val="-3"/>
                <w:sz w:val="18"/>
                <w:szCs w:val="18"/>
              </w:rPr>
              <w:t>-</w:t>
            </w:r>
            <w:r>
              <w:rPr>
                <w:rFonts w:ascii="宋体" w:hAnsi="宋体" w:cs="宋体" w:eastAsia="宋体" w:hint="default"/>
                <w:spacing w:val="-3"/>
                <w:sz w:val="18"/>
                <w:szCs w:val="18"/>
              </w:rPr>
              <w:t>室外</w:t>
            </w:r>
            <w:r>
              <w:rPr>
                <w:rFonts w:ascii="宋体" w:hAnsi="宋体" w:cs="宋体" w:eastAsia="宋体" w:hint="default"/>
                <w:spacing w:val="-8"/>
                <w:sz w:val="18"/>
                <w:szCs w:val="18"/>
              </w:rPr>
              <w:t> </w:t>
            </w:r>
            <w:r>
              <w:rPr>
                <w:rFonts w:ascii="宋体" w:hAnsi="宋体" w:cs="宋体" w:eastAsia="宋体" w:hint="default"/>
                <w:spacing w:val="-3"/>
                <w:sz w:val="18"/>
                <w:szCs w:val="18"/>
              </w:rPr>
              <w:t>工程设计奖铜奖</w:t>
            </w:r>
          </w:p>
        </w:tc>
        <w:tc>
          <w:tcPr>
            <w:tcW w:w="2180" w:type="dxa"/>
            <w:tcBorders>
              <w:top w:val="single" w:sz="4" w:space="0" w:color="000000"/>
              <w:left w:val="single" w:sz="4" w:space="0" w:color="000000"/>
              <w:bottom w:val="single" w:sz="12" w:space="0" w:color="000000"/>
              <w:right w:val="nil" w:sz="6" w:space="0" w:color="auto"/>
            </w:tcBorders>
          </w:tcPr>
          <w:p>
            <w:pPr>
              <w:pStyle w:val="TableParagraph"/>
              <w:spacing w:line="316" w:lineRule="auto" w:before="20"/>
              <w:ind w:left="542" w:right="98" w:hanging="452"/>
              <w:jc w:val="left"/>
              <w:rPr>
                <w:rFonts w:ascii="宋体" w:hAnsi="宋体" w:cs="宋体" w:eastAsia="宋体" w:hint="default"/>
                <w:sz w:val="18"/>
                <w:szCs w:val="18"/>
              </w:rPr>
            </w:pPr>
            <w:r>
              <w:rPr>
                <w:rFonts w:ascii="宋体" w:hAnsi="宋体" w:cs="宋体" w:eastAsia="宋体" w:hint="default"/>
                <w:spacing w:val="-2"/>
                <w:sz w:val="18"/>
                <w:szCs w:val="18"/>
              </w:rPr>
              <w:t>上海照明学会</w:t>
            </w:r>
            <w:r>
              <w:rPr>
                <w:rFonts w:ascii="宋体" w:hAnsi="宋体" w:cs="宋体" w:eastAsia="宋体" w:hint="default"/>
                <w:spacing w:val="-2"/>
                <w:sz w:val="18"/>
                <w:szCs w:val="18"/>
              </w:rPr>
              <w:t>2019</w:t>
            </w:r>
            <w:r>
              <w:rPr>
                <w:rFonts w:ascii="宋体" w:hAnsi="宋体" w:cs="宋体" w:eastAsia="宋体" w:hint="default"/>
                <w:spacing w:val="-2"/>
                <w:sz w:val="18"/>
                <w:szCs w:val="18"/>
              </w:rPr>
              <w:t>白玉兰</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照明奖组委员</w:t>
            </w:r>
          </w:p>
        </w:tc>
      </w:tr>
    </w:tbl>
    <w:p>
      <w:pPr>
        <w:spacing w:after="0" w:line="316" w:lineRule="auto"/>
        <w:jc w:val="left"/>
        <w:rPr>
          <w:rFonts w:ascii="宋体" w:hAnsi="宋体" w:cs="宋体" w:eastAsia="宋体" w:hint="default"/>
          <w:sz w:val="18"/>
          <w:szCs w:val="18"/>
        </w:rPr>
        <w:sectPr>
          <w:pgSz w:w="11910" w:h="16840"/>
          <w:pgMar w:header="784" w:footer="1022" w:top="1100" w:bottom="122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0"/>
          <w:szCs w:val="20"/>
        </w:rPr>
      </w:pPr>
    </w:p>
    <w:p>
      <w:pPr>
        <w:pStyle w:val="Heading1"/>
        <w:spacing w:line="240" w:lineRule="auto"/>
        <w:ind w:left="3043" w:right="0"/>
        <w:jc w:val="left"/>
        <w:rPr>
          <w:b w:val="0"/>
          <w:bCs w:val="0"/>
        </w:rPr>
      </w:pPr>
      <w:bookmarkStart w:name="第四节经营情况讨论与分析" w:id="23"/>
      <w:bookmarkEnd w:id="23"/>
      <w:r>
        <w:rPr>
          <w:b w:val="0"/>
          <w:bCs w:val="0"/>
        </w:rPr>
      </w:r>
      <w:bookmarkStart w:name="_bookmark3" w:id="24"/>
      <w:bookmarkEnd w:id="24"/>
      <w:r>
        <w:rPr>
          <w:b w:val="0"/>
          <w:bCs w:val="0"/>
        </w:rPr>
      </w:r>
      <w:r>
        <w:rPr/>
        <w:t>第四节经营情况讨论与分析</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5"/>
          <w:szCs w:val="15"/>
        </w:rPr>
      </w:pPr>
    </w:p>
    <w:p>
      <w:pPr>
        <w:pStyle w:val="Heading2"/>
        <w:spacing w:line="240" w:lineRule="auto" w:before="26"/>
        <w:ind w:right="0"/>
        <w:jc w:val="left"/>
        <w:rPr>
          <w:b w:val="0"/>
          <w:bCs w:val="0"/>
        </w:rPr>
      </w:pPr>
      <w:bookmarkStart w:name="一、概述" w:id="25"/>
      <w:bookmarkEnd w:id="25"/>
      <w:r>
        <w:rPr>
          <w:b w:val="0"/>
          <w:bCs w:val="0"/>
        </w:rPr>
      </w:r>
      <w:r>
        <w:rPr/>
        <w:t>一、概述</w:t>
      </w:r>
      <w:r>
        <w:rPr>
          <w:b w:val="0"/>
          <w:bCs w:val="0"/>
        </w:rPr>
      </w:r>
    </w:p>
    <w:p>
      <w:pPr>
        <w:spacing w:line="240" w:lineRule="auto" w:before="3"/>
        <w:rPr>
          <w:rFonts w:ascii="宋体" w:hAnsi="宋体" w:cs="宋体" w:eastAsia="宋体" w:hint="default"/>
          <w:b/>
          <w:bCs/>
          <w:sz w:val="27"/>
          <w:szCs w:val="27"/>
        </w:rPr>
      </w:pPr>
    </w:p>
    <w:p>
      <w:pPr>
        <w:pStyle w:val="BodyText"/>
        <w:spacing w:line="316" w:lineRule="auto" w:before="0"/>
        <w:ind w:right="1128" w:firstLine="364"/>
        <w:jc w:val="both"/>
      </w:pPr>
      <w:r>
        <w:rPr>
          <w:rFonts w:ascii="宋体" w:hAnsi="宋体" w:cs="宋体" w:eastAsia="宋体" w:hint="default"/>
          <w:spacing w:val="-3"/>
        </w:rPr>
        <w:t>2019-2021</w:t>
      </w:r>
      <w:r>
        <w:rPr>
          <w:spacing w:val="-3"/>
        </w:rPr>
        <w:t>年是公司新的三年战略发展期，在经历上一个战略发展期的“跨越式发展”后，公司总结发展经验，梳理战</w:t>
      </w:r>
      <w:r>
        <w:rPr>
          <w:w w:val="101"/>
        </w:rPr>
        <w:t> </w:t>
      </w:r>
      <w:r>
        <w:rPr>
          <w:spacing w:val="-3"/>
        </w:rPr>
        <w:t>略思路，将新战略发展时期的战略方向定位为“创新进取，构建赋能，合作协同，快速发展”。</w:t>
      </w:r>
    </w:p>
    <w:p>
      <w:pPr>
        <w:pStyle w:val="BodyText"/>
        <w:spacing w:line="316" w:lineRule="auto" w:before="19"/>
        <w:ind w:right="1124" w:firstLine="360"/>
        <w:jc w:val="both"/>
      </w:pPr>
      <w:r>
        <w:rPr>
          <w:rFonts w:ascii="宋体" w:hAnsi="宋体" w:cs="宋体" w:eastAsia="宋体" w:hint="default"/>
          <w:spacing w:val="-3"/>
        </w:rPr>
        <w:t>2019</w:t>
      </w:r>
      <w:r>
        <w:rPr>
          <w:spacing w:val="-3"/>
        </w:rPr>
        <w:t>年作为新战略发展时期的第一年，公司继续围绕“智能</w:t>
      </w:r>
      <w:r>
        <w:rPr>
          <w:rFonts w:ascii="宋体" w:hAnsi="宋体" w:cs="宋体" w:eastAsia="宋体" w:hint="default"/>
          <w:spacing w:val="-3"/>
        </w:rPr>
        <w:t>+</w:t>
      </w:r>
      <w:r>
        <w:rPr>
          <w:spacing w:val="-3"/>
        </w:rPr>
        <w:t>”战略，调整组织架构，组成新管理团队，构建赋能型管</w:t>
      </w:r>
      <w:r>
        <w:rPr>
          <w:w w:val="101"/>
        </w:rPr>
        <w:t> </w:t>
      </w:r>
      <w:r>
        <w:rPr>
          <w:spacing w:val="-4"/>
        </w:rPr>
        <w:t>理平台，提升公司资源聚集能力，促进各事业群相互协同，加大产品研发及技术创新力度，为新三年战略规划的落地奠定了</w:t>
      </w:r>
      <w:r>
        <w:rPr>
          <w:spacing w:val="40"/>
        </w:rPr>
        <w:t> </w:t>
      </w:r>
      <w:r>
        <w:rPr>
          <w:spacing w:val="40"/>
        </w:rPr>
      </w:r>
      <w:r>
        <w:rPr/>
        <w:t>基础。</w:t>
      </w:r>
    </w:p>
    <w:p>
      <w:pPr>
        <w:spacing w:line="240" w:lineRule="auto" w:before="4"/>
        <w:rPr>
          <w:rFonts w:ascii="宋体" w:hAnsi="宋体" w:cs="宋体" w:eastAsia="宋体" w:hint="default"/>
          <w:sz w:val="25"/>
          <w:szCs w:val="25"/>
        </w:rPr>
      </w:pPr>
    </w:p>
    <w:p>
      <w:pPr>
        <w:pStyle w:val="BodyText"/>
        <w:spacing w:line="240" w:lineRule="auto" w:before="0"/>
        <w:ind w:left="513" w:right="0"/>
        <w:jc w:val="left"/>
      </w:pPr>
      <w:r>
        <w:rPr>
          <w:rFonts w:ascii="宋体" w:hAnsi="宋体" w:cs="宋体" w:eastAsia="宋体" w:hint="default"/>
          <w:spacing w:val="-3"/>
        </w:rPr>
        <w:t>2019</w:t>
      </w:r>
      <w:r>
        <w:rPr>
          <w:spacing w:val="-3"/>
        </w:rPr>
        <w:t>年公司经营情况主要体现在如下三个方面：</w:t>
      </w:r>
    </w:p>
    <w:p>
      <w:pPr>
        <w:pStyle w:val="Heading6"/>
        <w:spacing w:line="240" w:lineRule="auto" w:before="76"/>
        <w:ind w:right="0"/>
        <w:jc w:val="left"/>
        <w:rPr>
          <w:b w:val="0"/>
          <w:bCs w:val="0"/>
        </w:rPr>
      </w:pPr>
      <w:r>
        <w:rPr>
          <w:rFonts w:ascii="宋体" w:hAnsi="宋体" w:cs="宋体" w:eastAsia="宋体" w:hint="default"/>
        </w:rPr>
        <w:t>1</w:t>
      </w:r>
      <w:r>
        <w:rPr/>
        <w:t>、业务结构优化，盈利能力持续增长</w:t>
      </w:r>
      <w:r>
        <w:rPr>
          <w:b w:val="0"/>
          <w:bCs w:val="0"/>
        </w:rPr>
      </w:r>
    </w:p>
    <w:p>
      <w:pPr>
        <w:pStyle w:val="BodyText"/>
        <w:spacing w:line="316" w:lineRule="auto" w:before="77"/>
        <w:ind w:right="1123" w:firstLine="360"/>
        <w:jc w:val="both"/>
      </w:pPr>
      <w:r>
        <w:rPr>
          <w:rFonts w:ascii="宋体" w:hAnsi="宋体" w:cs="宋体" w:eastAsia="宋体" w:hint="default"/>
          <w:spacing w:val="-3"/>
        </w:rPr>
        <w:t>2019</w:t>
      </w:r>
      <w:r>
        <w:rPr>
          <w:spacing w:val="-3"/>
        </w:rPr>
        <w:t>年，金融科技业务和</w:t>
      </w:r>
      <w:r>
        <w:rPr>
          <w:rFonts w:ascii="宋体" w:hAnsi="宋体" w:cs="宋体" w:eastAsia="宋体" w:hint="default"/>
          <w:spacing w:val="-3"/>
        </w:rPr>
        <w:t>LED</w:t>
      </w:r>
      <w:r>
        <w:rPr>
          <w:spacing w:val="-3"/>
        </w:rPr>
        <w:t>显示业务均取得同比较大增长，实现快速发展，其中智能网点改造项目和</w:t>
      </w:r>
      <w:r>
        <w:rPr>
          <w:rFonts w:ascii="宋体" w:hAnsi="宋体" w:cs="宋体" w:eastAsia="宋体" w:hint="default"/>
          <w:spacing w:val="-3"/>
        </w:rPr>
        <w:t>Mini</w:t>
      </w:r>
      <w:r>
        <w:rPr>
          <w:rFonts w:ascii="宋体" w:hAnsi="宋体" w:cs="宋体" w:eastAsia="宋体" w:hint="default"/>
          <w:spacing w:val="32"/>
        </w:rPr>
        <w:t> </w:t>
      </w:r>
      <w:r>
        <w:rPr>
          <w:rFonts w:ascii="宋体" w:hAnsi="宋体" w:cs="宋体" w:eastAsia="宋体" w:hint="default"/>
        </w:rPr>
        <w:t>LED</w:t>
      </w:r>
      <w:r>
        <w:rPr/>
        <w:t>显示新</w:t>
      </w:r>
      <w:r>
        <w:rPr>
          <w:w w:val="101"/>
        </w:rPr>
        <w:t> </w:t>
      </w:r>
      <w:r>
        <w:rPr>
          <w:spacing w:val="-4"/>
        </w:rPr>
        <w:t>产品增长明显，但受宏观政策等影响，智慧照明业务营业收入大幅下降，导致公司营业收入减少；公司总体业务结构更加健</w:t>
      </w:r>
      <w:r>
        <w:rPr>
          <w:spacing w:val="40"/>
        </w:rPr>
        <w:t> </w:t>
      </w:r>
      <w:r>
        <w:rPr>
          <w:spacing w:val="40"/>
        </w:rPr>
      </w:r>
      <w:r>
        <w:rPr/>
        <w:t>康，净利润保持增长。</w:t>
      </w:r>
    </w:p>
    <w:p>
      <w:pPr>
        <w:pStyle w:val="BodyText"/>
        <w:spacing w:line="319" w:lineRule="auto" w:before="19"/>
        <w:ind w:right="0" w:firstLine="360"/>
        <w:jc w:val="left"/>
      </w:pPr>
      <w:r>
        <w:rPr>
          <w:spacing w:val="-4"/>
        </w:rPr>
        <w:t>报告期内，公司实现营业收入</w:t>
      </w:r>
      <w:r>
        <w:rPr>
          <w:rFonts w:ascii="宋体" w:hAnsi="宋体" w:cs="宋体" w:eastAsia="宋体" w:hint="default"/>
          <w:spacing w:val="-4"/>
        </w:rPr>
        <w:t>124,513.04</w:t>
      </w:r>
      <w:r>
        <w:rPr>
          <w:spacing w:val="-4"/>
        </w:rPr>
        <w:t>万元，同比下降</w:t>
      </w:r>
      <w:r>
        <w:rPr>
          <w:rFonts w:ascii="宋体" w:hAnsi="宋体" w:cs="宋体" w:eastAsia="宋体" w:hint="default"/>
          <w:spacing w:val="-4"/>
        </w:rPr>
        <w:t>20.86%</w:t>
      </w:r>
      <w:r>
        <w:rPr>
          <w:spacing w:val="-4"/>
        </w:rPr>
        <w:t>；实现营业利润</w:t>
      </w:r>
      <w:r>
        <w:rPr>
          <w:rFonts w:ascii="宋体" w:hAnsi="宋体" w:cs="宋体" w:eastAsia="宋体" w:hint="default"/>
          <w:spacing w:val="-4"/>
        </w:rPr>
        <w:t>20,706.57</w:t>
      </w:r>
      <w:r>
        <w:rPr>
          <w:spacing w:val="-4"/>
        </w:rPr>
        <w:t>万元，同比增长</w:t>
      </w:r>
      <w:r>
        <w:rPr>
          <w:rFonts w:ascii="宋体" w:hAnsi="宋体" w:cs="宋体" w:eastAsia="宋体" w:hint="default"/>
          <w:spacing w:val="-4"/>
        </w:rPr>
        <w:t>0.74%</w:t>
      </w:r>
      <w:r>
        <w:rPr>
          <w:spacing w:val="-4"/>
        </w:rPr>
        <w:t>；实现</w:t>
      </w:r>
      <w:r>
        <w:rPr>
          <w:w w:val="101"/>
        </w:rPr>
        <w:t> </w:t>
      </w:r>
      <w:r>
        <w:rPr>
          <w:spacing w:val="-3"/>
        </w:rPr>
        <w:t>归属于上市公司股东的净利润</w:t>
      </w:r>
      <w:r>
        <w:rPr>
          <w:rFonts w:ascii="宋体" w:hAnsi="宋体" w:cs="宋体" w:eastAsia="宋体" w:hint="default"/>
          <w:spacing w:val="-3"/>
        </w:rPr>
        <w:t>18,222.68</w:t>
      </w:r>
      <w:r>
        <w:rPr>
          <w:spacing w:val="-3"/>
        </w:rPr>
        <w:t>万元，同比增长</w:t>
      </w:r>
      <w:r>
        <w:rPr>
          <w:rFonts w:ascii="宋体" w:hAnsi="宋体" w:cs="宋体" w:eastAsia="宋体" w:hint="default"/>
          <w:spacing w:val="-3"/>
        </w:rPr>
        <w:t>1.43%</w:t>
      </w:r>
      <w:r>
        <w:rPr>
          <w:spacing w:val="-3"/>
        </w:rPr>
        <w:t>。净利润增长主要是因为公司重点加大金融科技业务和</w:t>
      </w:r>
      <w:r>
        <w:rPr>
          <w:rFonts w:ascii="宋体" w:hAnsi="宋体" w:cs="宋体" w:eastAsia="宋体" w:hint="default"/>
          <w:spacing w:val="-3"/>
        </w:rPr>
        <w:t>LED</w:t>
      </w:r>
      <w:r>
        <w:rPr>
          <w:spacing w:val="-3"/>
        </w:rPr>
        <w:t>显</w:t>
      </w:r>
      <w:r>
        <w:rPr>
          <w:spacing w:val="5"/>
        </w:rPr>
        <w:t> </w:t>
      </w:r>
      <w:r>
        <w:rPr/>
        <w:t>示业务的开拓，</w:t>
      </w:r>
      <w:r>
        <w:rPr>
          <w:rFonts w:ascii="宋体" w:hAnsi="宋体" w:cs="宋体" w:eastAsia="宋体" w:hint="default"/>
        </w:rPr>
        <w:t>2019</w:t>
      </w:r>
      <w:r>
        <w:rPr/>
        <w:t>年公司金融科技业务营业收入</w:t>
      </w:r>
      <w:r>
        <w:rPr>
          <w:rFonts w:ascii="宋体" w:hAnsi="宋体" w:cs="宋体" w:eastAsia="宋体" w:hint="default"/>
        </w:rPr>
        <w:t>38,467.51</w:t>
      </w:r>
      <w:r>
        <w:rPr/>
        <w:t>万元，相比去年同期增长</w:t>
      </w:r>
      <w:r>
        <w:rPr>
          <w:rFonts w:ascii="宋体" w:hAnsi="宋体" w:cs="宋体" w:eastAsia="宋体" w:hint="default"/>
        </w:rPr>
        <w:t>31.59%</w:t>
      </w:r>
      <w:r>
        <w:rPr/>
        <w:t>；</w:t>
      </w:r>
      <w:r>
        <w:rPr>
          <w:rFonts w:ascii="宋体" w:hAnsi="宋体" w:cs="宋体" w:eastAsia="宋体" w:hint="default"/>
        </w:rPr>
        <w:t>LED</w:t>
      </w:r>
      <w:r>
        <w:rPr/>
        <w:t>显示业务营业收入</w:t>
      </w:r>
      <w:r>
        <w:rPr>
          <w:w w:val="101"/>
        </w:rPr>
        <w:t> </w:t>
      </w:r>
      <w:r>
        <w:rPr>
          <w:rFonts w:ascii="宋体" w:hAnsi="宋体" w:cs="宋体" w:eastAsia="宋体" w:hint="default"/>
        </w:rPr>
        <w:t>40,458.90</w:t>
      </w:r>
      <w:r>
        <w:rPr/>
        <w:t>万元，相比去年同期增长</w:t>
      </w:r>
      <w:r>
        <w:rPr>
          <w:rFonts w:ascii="宋体" w:hAnsi="宋体" w:cs="宋体" w:eastAsia="宋体" w:hint="default"/>
        </w:rPr>
        <w:t>23.38%</w:t>
      </w:r>
      <w:r>
        <w:rPr/>
        <w:t>；其中，出口业务占总营业收入</w:t>
      </w:r>
      <w:r>
        <w:rPr>
          <w:rFonts w:ascii="宋体" w:hAnsi="宋体" w:cs="宋体" w:eastAsia="宋体" w:hint="default"/>
        </w:rPr>
        <w:t>27.99%</w:t>
      </w:r>
      <w:r>
        <w:rPr/>
        <w:t>，同比增长</w:t>
      </w:r>
      <w:r>
        <w:rPr>
          <w:rFonts w:ascii="宋体" w:hAnsi="宋体" w:cs="宋体" w:eastAsia="宋体" w:hint="default"/>
        </w:rPr>
        <w:t>50.72%</w:t>
      </w:r>
      <w:r>
        <w:rPr/>
        <w:t>。</w:t>
      </w:r>
    </w:p>
    <w:p>
      <w:pPr>
        <w:pStyle w:val="BodyText"/>
        <w:spacing w:line="316" w:lineRule="auto" w:before="17"/>
        <w:ind w:left="513" w:right="0"/>
        <w:jc w:val="left"/>
      </w:pPr>
      <w:r>
        <w:rPr>
          <w:spacing w:val="-3"/>
        </w:rPr>
        <w:t>公司重视信用政策管理，现金流情况良好，经营活动产生的现金流量净额为</w:t>
      </w:r>
      <w:r>
        <w:rPr>
          <w:rFonts w:ascii="宋体" w:hAnsi="宋体" w:cs="宋体" w:eastAsia="宋体" w:hint="default"/>
          <w:spacing w:val="-3"/>
        </w:rPr>
        <w:t>18,385.68</w:t>
      </w:r>
      <w:r>
        <w:rPr>
          <w:spacing w:val="-3"/>
        </w:rPr>
        <w:t>万元。</w:t>
      </w:r>
      <w:r>
        <w:rPr>
          <w:spacing w:val="43"/>
        </w:rPr>
        <w:t> </w:t>
      </w:r>
      <w:r>
        <w:rPr>
          <w:spacing w:val="43"/>
        </w:rPr>
      </w:r>
      <w:r>
        <w:rPr>
          <w:spacing w:val="-3"/>
        </w:rPr>
        <w:t>由于业务结构的变化，公司整体毛利率从</w:t>
      </w:r>
      <w:r>
        <w:rPr>
          <w:rFonts w:ascii="宋体" w:hAnsi="宋体" w:cs="宋体" w:eastAsia="宋体" w:hint="default"/>
          <w:spacing w:val="-3"/>
        </w:rPr>
        <w:t>33.52%</w:t>
      </w:r>
      <w:r>
        <w:rPr>
          <w:spacing w:val="-3"/>
        </w:rPr>
        <w:t>提升至</w:t>
      </w:r>
      <w:r>
        <w:rPr>
          <w:rFonts w:ascii="宋体" w:hAnsi="宋体" w:cs="宋体" w:eastAsia="宋体" w:hint="default"/>
          <w:spacing w:val="-3"/>
        </w:rPr>
        <w:t>44.43%</w:t>
      </w:r>
      <w:r>
        <w:rPr>
          <w:spacing w:val="-3"/>
        </w:rPr>
        <w:t>，盈利能力大幅提升。</w:t>
      </w:r>
    </w:p>
    <w:p>
      <w:pPr>
        <w:pStyle w:val="Heading6"/>
        <w:spacing w:line="240" w:lineRule="auto" w:before="19"/>
        <w:ind w:right="0"/>
        <w:jc w:val="left"/>
        <w:rPr>
          <w:b w:val="0"/>
          <w:bCs w:val="0"/>
        </w:rPr>
      </w:pPr>
      <w:r>
        <w:rPr>
          <w:rFonts w:ascii="宋体" w:hAnsi="宋体" w:cs="宋体" w:eastAsia="宋体" w:hint="default"/>
        </w:rPr>
        <w:t>2</w:t>
      </w:r>
      <w:r>
        <w:rPr/>
        <w:t>、梳理顶层架构，构建赋能型管理平台</w:t>
      </w:r>
      <w:r>
        <w:rPr>
          <w:b w:val="0"/>
          <w:bCs w:val="0"/>
        </w:rPr>
      </w:r>
    </w:p>
    <w:p>
      <w:pPr>
        <w:pStyle w:val="BodyText"/>
        <w:spacing w:line="316" w:lineRule="auto" w:before="77"/>
        <w:ind w:right="1123" w:firstLine="360"/>
        <w:jc w:val="both"/>
      </w:pPr>
      <w:r>
        <w:rPr>
          <w:spacing w:val="-4"/>
        </w:rPr>
        <w:t>（</w:t>
      </w:r>
      <w:r>
        <w:rPr>
          <w:rFonts w:ascii="宋体" w:hAnsi="宋体" w:cs="宋体" w:eastAsia="宋体" w:hint="default"/>
          <w:spacing w:val="-4"/>
        </w:rPr>
        <w:t>1</w:t>
      </w:r>
      <w:r>
        <w:rPr>
          <w:spacing w:val="-4"/>
        </w:rPr>
        <w:t>）建立事业群模式：公司将</w:t>
      </w:r>
      <w:r>
        <w:rPr>
          <w:rFonts w:ascii="宋体" w:hAnsi="宋体" w:cs="宋体" w:eastAsia="宋体" w:hint="default"/>
          <w:spacing w:val="-4"/>
        </w:rPr>
        <w:t>LED</w:t>
      </w:r>
      <w:r>
        <w:rPr>
          <w:spacing w:val="-4"/>
        </w:rPr>
        <w:t>显示业务独立出来，金融科技及智慧照明业务也按事业群的架构进行了重建，形成了</w:t>
      </w:r>
      <w:r>
        <w:rPr>
          <w:w w:val="101"/>
        </w:rPr>
        <w:t> </w:t>
      </w:r>
      <w:r>
        <w:rPr>
          <w:spacing w:val="-3"/>
        </w:rPr>
        <w:t>以</w:t>
      </w:r>
      <w:r>
        <w:rPr>
          <w:rFonts w:ascii="宋体" w:hAnsi="宋体" w:cs="宋体" w:eastAsia="宋体" w:hint="default"/>
          <w:spacing w:val="-3"/>
        </w:rPr>
        <w:t>3</w:t>
      </w:r>
      <w:r>
        <w:rPr>
          <w:spacing w:val="-3"/>
        </w:rPr>
        <w:t>大事业群、</w:t>
      </w:r>
      <w:r>
        <w:rPr>
          <w:rFonts w:ascii="宋体" w:hAnsi="宋体" w:cs="宋体" w:eastAsia="宋体" w:hint="default"/>
          <w:spacing w:val="-3"/>
        </w:rPr>
        <w:t>11</w:t>
      </w:r>
      <w:r>
        <w:rPr>
          <w:spacing w:val="-3"/>
        </w:rPr>
        <w:t>个职能部门为核心的组织架构，使得分工更明确，架构更清晰。</w:t>
      </w:r>
    </w:p>
    <w:p>
      <w:pPr>
        <w:pStyle w:val="BodyText"/>
        <w:spacing w:line="316" w:lineRule="auto" w:before="19"/>
        <w:ind w:right="1127" w:firstLine="360"/>
        <w:jc w:val="both"/>
      </w:pPr>
      <w:r>
        <w:rPr>
          <w:spacing w:val="-4"/>
        </w:rPr>
        <w:t>（</w:t>
      </w:r>
      <w:r>
        <w:rPr>
          <w:rFonts w:ascii="宋体" w:hAnsi="宋体" w:cs="宋体" w:eastAsia="宋体" w:hint="default"/>
          <w:spacing w:val="-4"/>
        </w:rPr>
        <w:t>2</w:t>
      </w:r>
      <w:r>
        <w:rPr>
          <w:spacing w:val="-4"/>
        </w:rPr>
        <w:t>）调整经营管理团队：公司根据组织架构调整，重组新一届经营管理团队，</w:t>
      </w:r>
      <w:r>
        <w:rPr>
          <w:rFonts w:ascii="宋体" w:hAnsi="宋体" w:cs="宋体" w:eastAsia="宋体" w:hint="default"/>
          <w:spacing w:val="-4"/>
        </w:rPr>
        <w:t>3</w:t>
      </w:r>
      <w:r>
        <w:rPr>
          <w:spacing w:val="-4"/>
        </w:rPr>
        <w:t>大事业群负责人全部纳入新一届经营管</w:t>
      </w:r>
      <w:r>
        <w:rPr>
          <w:w w:val="101"/>
        </w:rPr>
        <w:t> </w:t>
      </w:r>
      <w:r>
        <w:rPr>
          <w:spacing w:val="-3"/>
        </w:rPr>
        <w:t>理团队，保证了公司业务的稳定发展及各事业群的相互协同。</w:t>
      </w:r>
    </w:p>
    <w:p>
      <w:pPr>
        <w:pStyle w:val="BodyText"/>
        <w:spacing w:line="316" w:lineRule="auto" w:before="19"/>
        <w:ind w:right="1127" w:firstLine="360"/>
        <w:jc w:val="both"/>
      </w:pPr>
      <w:r>
        <w:rPr>
          <w:spacing w:val="-3"/>
        </w:rPr>
        <w:t>（</w:t>
      </w:r>
      <w:r>
        <w:rPr>
          <w:rFonts w:ascii="宋体" w:hAnsi="宋体" w:cs="宋体" w:eastAsia="宋体" w:hint="default"/>
          <w:spacing w:val="-3"/>
        </w:rPr>
        <w:t>3</w:t>
      </w:r>
      <w:r>
        <w:rPr>
          <w:spacing w:val="-3"/>
        </w:rPr>
        <w:t>）成立智能视讯技术研究院：公司整合研发资源，成立“中央研究院”</w:t>
      </w:r>
      <w:r>
        <w:rPr>
          <w:rFonts w:ascii="宋体" w:hAnsi="宋体" w:cs="宋体" w:eastAsia="宋体" w:hint="default"/>
          <w:spacing w:val="-3"/>
        </w:rPr>
        <w:t>--</w:t>
      </w:r>
      <w:r>
        <w:rPr>
          <w:spacing w:val="-3"/>
        </w:rPr>
        <w:t>智能视讯技术研究院，作为公司研发“大</w:t>
      </w:r>
      <w:r>
        <w:rPr>
          <w:w w:val="101"/>
        </w:rPr>
        <w:t> </w:t>
      </w:r>
      <w:r>
        <w:rPr>
          <w:spacing w:val="-3"/>
        </w:rPr>
        <w:t>脑”，全面落实“智能</w:t>
      </w:r>
      <w:r>
        <w:rPr>
          <w:rFonts w:ascii="宋体" w:hAnsi="宋体" w:cs="宋体" w:eastAsia="宋体" w:hint="default"/>
          <w:spacing w:val="-3"/>
        </w:rPr>
        <w:t>+</w:t>
      </w:r>
      <w:r>
        <w:rPr>
          <w:spacing w:val="-3"/>
        </w:rPr>
        <w:t>”战略，以技术创新推动公司快速发展。全年研发投入</w:t>
      </w:r>
      <w:r>
        <w:rPr>
          <w:rFonts w:ascii="宋体" w:hAnsi="宋体" w:cs="宋体" w:eastAsia="宋体" w:hint="default"/>
          <w:spacing w:val="-3"/>
        </w:rPr>
        <w:t>8,571.95</w:t>
      </w:r>
      <w:r>
        <w:rPr>
          <w:spacing w:val="-3"/>
        </w:rPr>
        <w:t>万元，占营业收入的</w:t>
      </w:r>
      <w:r>
        <w:rPr>
          <w:rFonts w:ascii="宋体" w:hAnsi="宋体" w:cs="宋体" w:eastAsia="宋体" w:hint="default"/>
          <w:spacing w:val="-3"/>
        </w:rPr>
        <w:t>6.88</w:t>
      </w:r>
      <w:r>
        <w:rPr>
          <w:rFonts w:ascii="Times New Roman" w:hAnsi="Times New Roman" w:cs="Times New Roman" w:eastAsia="Times New Roman" w:hint="default"/>
          <w:spacing w:val="-3"/>
        </w:rPr>
        <w:t>%</w:t>
      </w:r>
      <w:r>
        <w:rPr>
          <w:spacing w:val="-3"/>
        </w:rPr>
        <w:t>。</w:t>
      </w:r>
    </w:p>
    <w:p>
      <w:pPr>
        <w:pStyle w:val="BodyText"/>
        <w:spacing w:line="316" w:lineRule="auto" w:before="0"/>
        <w:ind w:right="1128" w:firstLine="360"/>
        <w:jc w:val="both"/>
      </w:pPr>
      <w:r>
        <w:rPr>
          <w:spacing w:val="-3"/>
        </w:rPr>
        <w:t>（</w:t>
      </w:r>
      <w:r>
        <w:rPr>
          <w:rFonts w:ascii="宋体" w:hAnsi="宋体" w:cs="宋体" w:eastAsia="宋体" w:hint="default"/>
          <w:spacing w:val="-3"/>
        </w:rPr>
        <w:t>4</w:t>
      </w:r>
      <w:r>
        <w:rPr>
          <w:spacing w:val="-3"/>
        </w:rPr>
        <w:t>）构建赋能型管理平台：公司构建赋能型管理平台初显成效，提升了公司资源聚集能力，有效促进总公司向各事业</w:t>
      </w:r>
      <w:r>
        <w:rPr>
          <w:w w:val="101"/>
        </w:rPr>
        <w:t> </w:t>
      </w:r>
      <w:r>
        <w:rPr/>
        <w:t>群赋能。</w:t>
      </w:r>
    </w:p>
    <w:p>
      <w:pPr>
        <w:pStyle w:val="Heading6"/>
        <w:spacing w:line="240" w:lineRule="auto" w:before="19"/>
        <w:ind w:right="0"/>
        <w:jc w:val="left"/>
        <w:rPr>
          <w:b w:val="0"/>
          <w:bCs w:val="0"/>
        </w:rPr>
      </w:pPr>
      <w:r>
        <w:rPr>
          <w:rFonts w:ascii="宋体" w:hAnsi="宋体" w:cs="宋体" w:eastAsia="宋体" w:hint="default"/>
        </w:rPr>
        <w:t>3</w:t>
      </w:r>
      <w:r>
        <w:rPr/>
        <w:t>、金融科技和</w:t>
      </w:r>
      <w:r>
        <w:rPr>
          <w:rFonts w:ascii="宋体" w:hAnsi="宋体" w:cs="宋体" w:eastAsia="宋体" w:hint="default"/>
        </w:rPr>
        <w:t>LED</w:t>
      </w:r>
      <w:r>
        <w:rPr/>
        <w:t>显示业务快速发展</w:t>
      </w:r>
      <w:r>
        <w:rPr>
          <w:b w:val="0"/>
          <w:bCs w:val="0"/>
        </w:rPr>
      </w:r>
    </w:p>
    <w:p>
      <w:pPr>
        <w:pStyle w:val="BodyText"/>
        <w:spacing w:line="316" w:lineRule="auto" w:before="76"/>
        <w:ind w:right="1030" w:firstLine="360"/>
        <w:jc w:val="both"/>
      </w:pPr>
      <w:r>
        <w:rPr>
          <w:rFonts w:ascii="宋体" w:hAnsi="宋体" w:cs="宋体" w:eastAsia="宋体" w:hint="default"/>
          <w:spacing w:val="-4"/>
        </w:rPr>
        <w:t>2019</w:t>
      </w:r>
      <w:r>
        <w:rPr>
          <w:spacing w:val="-4"/>
        </w:rPr>
        <w:t>年公司优化业务结构，金融科技业务规模创历史新高，网点智能化改造业务全面推广，打造了一批“</w:t>
      </w:r>
      <w:r>
        <w:rPr>
          <w:rFonts w:ascii="宋体" w:hAnsi="宋体" w:cs="宋体" w:eastAsia="宋体" w:hint="default"/>
          <w:spacing w:val="-4"/>
        </w:rPr>
        <w:t>5G+</w:t>
      </w:r>
      <w:r>
        <w:rPr>
          <w:spacing w:val="-4"/>
        </w:rPr>
        <w:t>智能银行”</w:t>
      </w:r>
      <w:r>
        <w:rPr>
          <w:w w:val="101"/>
        </w:rPr>
        <w:t> </w:t>
      </w:r>
      <w:r>
        <w:rPr/>
        <w:t>标杆项目；</w:t>
      </w:r>
      <w:r>
        <w:rPr>
          <w:rFonts w:ascii="宋体" w:hAnsi="宋体" w:cs="宋体" w:eastAsia="宋体" w:hint="default"/>
        </w:rPr>
        <w:t>LED</w:t>
      </w:r>
      <w:r>
        <w:rPr/>
        <w:t>显示业务再创佳绩，</w:t>
      </w:r>
      <w:r>
        <w:rPr>
          <w:rFonts w:ascii="宋体" w:hAnsi="宋体" w:cs="宋体" w:eastAsia="宋体" w:hint="default"/>
        </w:rPr>
        <w:t>Mini </w:t>
      </w:r>
      <w:r>
        <w:rPr>
          <w:rFonts w:ascii="宋体" w:hAnsi="宋体" w:cs="宋体" w:eastAsia="宋体" w:hint="default"/>
          <w:spacing w:val="13"/>
        </w:rPr>
        <w:t> </w:t>
      </w:r>
      <w:r>
        <w:rPr>
          <w:rFonts w:ascii="宋体" w:hAnsi="宋体" w:cs="宋体" w:eastAsia="宋体" w:hint="default"/>
          <w:spacing w:val="-3"/>
        </w:rPr>
        <w:t>LED</w:t>
      </w:r>
      <w:r>
        <w:rPr>
          <w:spacing w:val="-3"/>
        </w:rPr>
        <w:t>显示产品销售规模大幅增长。两个业务板块均实现快速发展的战略目标。</w:t>
      </w:r>
    </w:p>
    <w:p>
      <w:pPr>
        <w:spacing w:line="240" w:lineRule="auto" w:before="4"/>
        <w:rPr>
          <w:rFonts w:ascii="宋体" w:hAnsi="宋体" w:cs="宋体" w:eastAsia="宋体" w:hint="default"/>
          <w:sz w:val="25"/>
          <w:szCs w:val="25"/>
        </w:rPr>
      </w:pPr>
    </w:p>
    <w:p>
      <w:pPr>
        <w:pStyle w:val="BodyText"/>
        <w:spacing w:line="316" w:lineRule="auto" w:before="0"/>
        <w:ind w:right="1127" w:firstLine="360"/>
        <w:jc w:val="both"/>
      </w:pPr>
      <w:r>
        <w:rPr>
          <w:rFonts w:ascii="宋体" w:hAnsi="宋体" w:cs="宋体" w:eastAsia="宋体" w:hint="default"/>
          <w:spacing w:val="-3"/>
        </w:rPr>
        <w:t>2019</w:t>
      </w:r>
      <w:r>
        <w:rPr>
          <w:spacing w:val="-3"/>
        </w:rPr>
        <w:t>年，公司在金融科技业务、</w:t>
      </w:r>
      <w:r>
        <w:rPr>
          <w:rFonts w:ascii="宋体" w:hAnsi="宋体" w:cs="宋体" w:eastAsia="宋体" w:hint="default"/>
          <w:spacing w:val="-3"/>
        </w:rPr>
        <w:t>LED</w:t>
      </w:r>
      <w:r>
        <w:rPr>
          <w:spacing w:val="-3"/>
        </w:rPr>
        <w:t>显示业务、智慧照明业务、运营管理、企业文化、社会责任等方面主要完成的工作</w:t>
      </w:r>
      <w:r>
        <w:rPr>
          <w:w w:val="101"/>
        </w:rPr>
        <w:t> </w:t>
      </w:r>
      <w:r>
        <w:rPr/>
        <w:t>情况如下：</w:t>
      </w:r>
    </w:p>
    <w:p>
      <w:pPr>
        <w:pStyle w:val="Heading6"/>
        <w:spacing w:line="240" w:lineRule="auto" w:before="19"/>
        <w:ind w:right="0"/>
        <w:jc w:val="left"/>
        <w:rPr>
          <w:b w:val="0"/>
          <w:bCs w:val="0"/>
        </w:rPr>
      </w:pPr>
      <w:r>
        <w:rPr>
          <w:rFonts w:ascii="宋体" w:hAnsi="宋体" w:cs="宋体" w:eastAsia="宋体" w:hint="default"/>
        </w:rPr>
        <w:t>1</w:t>
      </w:r>
      <w:r>
        <w:rPr/>
        <w:t>、金融科技业务</w:t>
      </w:r>
      <w:r>
        <w:rPr>
          <w:rFonts w:ascii="宋体" w:hAnsi="宋体" w:cs="宋体" w:eastAsia="宋体" w:hint="default"/>
        </w:rPr>
        <w:t>--</w:t>
      </w:r>
      <w:r>
        <w:rPr/>
        <w:t>业务规模创历史新高，打造行业首批“</w:t>
      </w:r>
      <w:r>
        <w:rPr>
          <w:rFonts w:ascii="宋体" w:hAnsi="宋体" w:cs="宋体" w:eastAsia="宋体" w:hint="default"/>
        </w:rPr>
        <w:t>5G+</w:t>
      </w:r>
      <w:r>
        <w:rPr/>
        <w:t>智能银行”</w:t>
      </w:r>
      <w:r>
        <w:rPr>
          <w:b w:val="0"/>
          <w:bCs w:val="0"/>
        </w:rPr>
      </w:r>
    </w:p>
    <w:p>
      <w:pPr>
        <w:pStyle w:val="BodyText"/>
        <w:spacing w:line="316" w:lineRule="auto" w:before="76"/>
        <w:ind w:left="513" w:right="0"/>
        <w:jc w:val="left"/>
      </w:pPr>
      <w:r>
        <w:rPr>
          <w:rFonts w:ascii="宋体" w:hAnsi="宋体" w:cs="宋体" w:eastAsia="宋体" w:hint="default"/>
          <w:b/>
          <w:bCs/>
        </w:rPr>
        <w:t>（</w:t>
      </w:r>
      <w:r>
        <w:rPr>
          <w:rFonts w:ascii="宋体" w:hAnsi="宋体" w:cs="宋体" w:eastAsia="宋体" w:hint="default"/>
          <w:b/>
          <w:bCs/>
        </w:rPr>
        <w:t>1</w:t>
      </w:r>
      <w:r>
        <w:rPr>
          <w:rFonts w:ascii="宋体" w:hAnsi="宋体" w:cs="宋体" w:eastAsia="宋体" w:hint="default"/>
          <w:b/>
          <w:bCs/>
        </w:rPr>
        <w:t>）业务规模创历史新高</w:t>
      </w:r>
      <w:r>
        <w:rPr>
          <w:rFonts w:ascii="宋体" w:hAnsi="宋体" w:cs="宋体" w:eastAsia="宋体" w:hint="default"/>
          <w:b/>
          <w:bCs/>
          <w:spacing w:val="-87"/>
        </w:rPr>
        <w:t> </w:t>
      </w:r>
      <w:r>
        <w:rPr>
          <w:rFonts w:ascii="宋体" w:hAnsi="宋体" w:cs="宋体" w:eastAsia="宋体" w:hint="default"/>
          <w:b/>
          <w:bCs/>
          <w:spacing w:val="-87"/>
        </w:rPr>
      </w:r>
      <w:r>
        <w:rPr>
          <w:spacing w:val="-4"/>
        </w:rPr>
        <w:t>报告期内，公司金融科技业务规模创历史新高，实施完成多个“</w:t>
      </w:r>
      <w:r>
        <w:rPr>
          <w:rFonts w:ascii="宋体" w:hAnsi="宋体" w:cs="宋体" w:eastAsia="宋体" w:hint="default"/>
          <w:spacing w:val="-4"/>
        </w:rPr>
        <w:t>5G+</w:t>
      </w:r>
      <w:r>
        <w:rPr>
          <w:spacing w:val="-4"/>
        </w:rPr>
        <w:t>智能银行”项目和一大批中国电信智慧营业厅改造。</w:t>
      </w:r>
    </w:p>
    <w:p>
      <w:pPr>
        <w:pStyle w:val="BodyText"/>
        <w:spacing w:line="240" w:lineRule="auto" w:before="19"/>
        <w:ind w:right="0"/>
        <w:jc w:val="left"/>
      </w:pPr>
      <w:r>
        <w:rPr>
          <w:rFonts w:ascii="宋体" w:hAnsi="宋体" w:cs="宋体" w:eastAsia="宋体" w:hint="default"/>
        </w:rPr>
        <w:t>2019</w:t>
      </w:r>
      <w:r>
        <w:rPr/>
        <w:t>年公司金融科技业务营业收入</w:t>
      </w:r>
      <w:r>
        <w:rPr>
          <w:rFonts w:ascii="宋体" w:hAnsi="宋体" w:cs="宋体" w:eastAsia="宋体" w:hint="default"/>
        </w:rPr>
        <w:t>38,467.51</w:t>
      </w:r>
      <w:r>
        <w:rPr/>
        <w:t>万元，相比去年同期增长</w:t>
      </w:r>
      <w:r>
        <w:rPr>
          <w:rFonts w:ascii="宋体" w:hAnsi="宋体" w:cs="宋体" w:eastAsia="宋体" w:hint="default"/>
        </w:rPr>
        <w:t>31.59%</w:t>
      </w:r>
      <w:r>
        <w:rPr/>
        <w:t>。</w:t>
      </w:r>
    </w:p>
    <w:p>
      <w:pPr>
        <w:spacing w:line="316" w:lineRule="auto" w:before="76"/>
        <w:ind w:left="513" w:right="0" w:firstLine="0"/>
        <w:jc w:val="left"/>
        <w:rPr>
          <w:rFonts w:ascii="宋体" w:hAnsi="宋体" w:cs="宋体" w:eastAsia="宋体" w:hint="default"/>
          <w:sz w:val="18"/>
          <w:szCs w:val="18"/>
        </w:rPr>
      </w:pPr>
      <w:r>
        <w:rPr>
          <w:rFonts w:ascii="宋体" w:hAnsi="宋体" w:cs="宋体" w:eastAsia="宋体" w:hint="default"/>
          <w:b/>
          <w:bCs/>
          <w:sz w:val="18"/>
          <w:szCs w:val="18"/>
        </w:rPr>
        <w:t>（</w:t>
      </w:r>
      <w:r>
        <w:rPr>
          <w:rFonts w:ascii="宋体" w:hAnsi="宋体" w:cs="宋体" w:eastAsia="宋体" w:hint="default"/>
          <w:b/>
          <w:bCs/>
          <w:sz w:val="18"/>
          <w:szCs w:val="18"/>
        </w:rPr>
        <w:t>2</w:t>
      </w:r>
      <w:r>
        <w:rPr>
          <w:rFonts w:ascii="宋体" w:hAnsi="宋体" w:cs="宋体" w:eastAsia="宋体" w:hint="default"/>
          <w:b/>
          <w:bCs/>
          <w:sz w:val="18"/>
          <w:szCs w:val="18"/>
        </w:rPr>
        <w:t>）打造行业首批“</w:t>
      </w:r>
      <w:r>
        <w:rPr>
          <w:rFonts w:ascii="宋体" w:hAnsi="宋体" w:cs="宋体" w:eastAsia="宋体" w:hint="default"/>
          <w:b/>
          <w:bCs/>
          <w:sz w:val="18"/>
          <w:szCs w:val="18"/>
        </w:rPr>
        <w:t>5G+</w:t>
      </w:r>
      <w:r>
        <w:rPr>
          <w:rFonts w:ascii="宋体" w:hAnsi="宋体" w:cs="宋体" w:eastAsia="宋体" w:hint="default"/>
          <w:b/>
          <w:bCs/>
          <w:sz w:val="18"/>
          <w:szCs w:val="18"/>
        </w:rPr>
        <w:t>智能银行”</w:t>
      </w:r>
      <w:r>
        <w:rPr>
          <w:rFonts w:ascii="宋体" w:hAnsi="宋体" w:cs="宋体" w:eastAsia="宋体" w:hint="default"/>
          <w:b/>
          <w:bCs/>
          <w:spacing w:val="-86"/>
          <w:sz w:val="18"/>
          <w:szCs w:val="18"/>
        </w:rPr>
        <w:t> </w:t>
      </w:r>
      <w:r>
        <w:rPr>
          <w:rFonts w:ascii="宋体" w:hAnsi="宋体" w:cs="宋体" w:eastAsia="宋体" w:hint="default"/>
          <w:b/>
          <w:bCs/>
          <w:spacing w:val="-86"/>
          <w:sz w:val="18"/>
          <w:szCs w:val="18"/>
        </w:rPr>
      </w:r>
      <w:r>
        <w:rPr>
          <w:rFonts w:ascii="宋体" w:hAnsi="宋体" w:cs="宋体" w:eastAsia="宋体" w:hint="default"/>
          <w:spacing w:val="-3"/>
          <w:sz w:val="18"/>
          <w:szCs w:val="18"/>
        </w:rPr>
        <w:t>2019</w:t>
      </w:r>
      <w:r>
        <w:rPr>
          <w:rFonts w:ascii="宋体" w:hAnsi="宋体" w:cs="宋体" w:eastAsia="宋体" w:hint="default"/>
          <w:spacing w:val="-3"/>
          <w:sz w:val="18"/>
          <w:szCs w:val="18"/>
        </w:rPr>
        <w:t>年，公司共参与实施了</w:t>
      </w:r>
      <w:r>
        <w:rPr>
          <w:rFonts w:ascii="宋体" w:hAnsi="宋体" w:cs="宋体" w:eastAsia="宋体" w:hint="default"/>
          <w:spacing w:val="-3"/>
          <w:sz w:val="18"/>
          <w:szCs w:val="18"/>
        </w:rPr>
        <w:t>30</w:t>
      </w:r>
      <w:r>
        <w:rPr>
          <w:rFonts w:ascii="宋体" w:hAnsi="宋体" w:cs="宋体" w:eastAsia="宋体" w:hint="default"/>
          <w:spacing w:val="-3"/>
          <w:sz w:val="18"/>
          <w:szCs w:val="18"/>
        </w:rPr>
        <w:t>多个大型银行网点智能化改造项目，包含多个“</w:t>
      </w:r>
      <w:r>
        <w:rPr>
          <w:rFonts w:ascii="宋体" w:hAnsi="宋体" w:cs="宋体" w:eastAsia="宋体" w:hint="default"/>
          <w:spacing w:val="-3"/>
          <w:sz w:val="18"/>
          <w:szCs w:val="18"/>
        </w:rPr>
        <w:t>5G+</w:t>
      </w:r>
      <w:r>
        <w:rPr>
          <w:rFonts w:ascii="宋体" w:hAnsi="宋体" w:cs="宋体" w:eastAsia="宋体" w:hint="default"/>
          <w:spacing w:val="-3"/>
          <w:sz w:val="18"/>
          <w:szCs w:val="18"/>
        </w:rPr>
        <w:t>智能银行”项目。</w:t>
      </w:r>
    </w:p>
    <w:p>
      <w:pPr>
        <w:spacing w:after="0" w:line="316" w:lineRule="auto"/>
        <w:jc w:val="left"/>
        <w:rPr>
          <w:rFonts w:ascii="宋体" w:hAnsi="宋体" w:cs="宋体" w:eastAsia="宋体" w:hint="default"/>
          <w:sz w:val="18"/>
          <w:szCs w:val="18"/>
        </w:rPr>
        <w:sectPr>
          <w:pgSz w:w="11910" w:h="16840"/>
          <w:pgMar w:header="784" w:footer="1022" w:top="1100" w:bottom="1220" w:left="980" w:right="0"/>
        </w:sectPr>
      </w:pPr>
    </w:p>
    <w:p>
      <w:pPr>
        <w:spacing w:line="240" w:lineRule="auto" w:before="10"/>
        <w:rPr>
          <w:rFonts w:ascii="宋体" w:hAnsi="宋体" w:cs="宋体" w:eastAsia="宋体" w:hint="default"/>
          <w:sz w:val="22"/>
          <w:szCs w:val="22"/>
        </w:rPr>
      </w:pPr>
    </w:p>
    <w:p>
      <w:pPr>
        <w:pStyle w:val="BodyText"/>
        <w:spacing w:line="319" w:lineRule="auto"/>
        <w:ind w:right="0" w:firstLine="360"/>
        <w:jc w:val="left"/>
      </w:pPr>
      <w:r>
        <w:rPr>
          <w:spacing w:val="-4"/>
        </w:rPr>
        <w:t>报告期内，公司参与实施了多个标杆性智能银行项目，包括工商银行“金融科技创新体验中心”，南京首家基于</w:t>
      </w:r>
      <w:r>
        <w:rPr>
          <w:rFonts w:ascii="宋体" w:hAnsi="宋体" w:cs="宋体" w:eastAsia="宋体" w:hint="default"/>
          <w:spacing w:val="-4"/>
        </w:rPr>
        <w:t>5G</w:t>
      </w:r>
      <w:r>
        <w:rPr>
          <w:spacing w:val="-4"/>
        </w:rPr>
        <w:t>应用</w:t>
      </w:r>
      <w:r>
        <w:rPr>
          <w:spacing w:val="-5"/>
          <w:w w:val="101"/>
        </w:rPr>
        <w:t> </w:t>
      </w:r>
      <w:r>
        <w:rPr>
          <w:spacing w:val="-3"/>
        </w:rPr>
        <w:t>的新型智能网点“工商银行南京大学未来广场支行”，光大银行首家具有</w:t>
      </w:r>
      <w:r>
        <w:rPr>
          <w:rFonts w:ascii="宋体" w:hAnsi="宋体" w:cs="宋体" w:eastAsia="宋体" w:hint="default"/>
          <w:spacing w:val="-3"/>
        </w:rPr>
        <w:t>5G</w:t>
      </w:r>
      <w:r>
        <w:rPr>
          <w:spacing w:val="-3"/>
        </w:rPr>
        <w:t>功能的网点“光大超市”，建设银行首批“</w:t>
      </w:r>
      <w:r>
        <w:rPr>
          <w:rFonts w:ascii="宋体" w:hAnsi="宋体" w:cs="宋体" w:eastAsia="宋体" w:hint="default"/>
          <w:spacing w:val="-3"/>
        </w:rPr>
        <w:t>5G+</w:t>
      </w:r>
      <w:r>
        <w:rPr>
          <w:rFonts w:ascii="宋体" w:hAnsi="宋体" w:cs="宋体" w:eastAsia="宋体" w:hint="default"/>
          <w:spacing w:val="82"/>
        </w:rPr>
        <w:t> </w:t>
      </w:r>
      <w:r>
        <w:rPr>
          <w:rFonts w:ascii="宋体" w:hAnsi="宋体" w:cs="宋体" w:eastAsia="宋体" w:hint="default"/>
          <w:spacing w:val="82"/>
        </w:rPr>
      </w:r>
      <w:r>
        <w:rPr>
          <w:spacing w:val="-3"/>
        </w:rPr>
        <w:t>智能银行”等多个智能银行项目，通过标杆性智能银行项目的建设，逐步探索银行网点新型智能化产品及智慧应用新场景，</w:t>
      </w:r>
      <w:r>
        <w:rPr>
          <w:spacing w:val="68"/>
        </w:rPr>
        <w:t> </w:t>
      </w:r>
      <w:r>
        <w:rPr>
          <w:spacing w:val="68"/>
        </w:rPr>
      </w:r>
      <w:r>
        <w:rPr>
          <w:spacing w:val="-3"/>
        </w:rPr>
        <w:t>引领银行网点智能化改造行业标准。</w:t>
      </w:r>
    </w:p>
    <w:p>
      <w:pPr>
        <w:spacing w:line="240" w:lineRule="auto" w:before="2"/>
        <w:rPr>
          <w:rFonts w:ascii="宋体" w:hAnsi="宋体" w:cs="宋体" w:eastAsia="宋体" w:hint="default"/>
          <w:sz w:val="19"/>
          <w:szCs w:val="19"/>
        </w:rPr>
      </w:pPr>
    </w:p>
    <w:tbl>
      <w:tblPr>
        <w:tblW w:w="0" w:type="auto"/>
        <w:jc w:val="left"/>
        <w:tblInd w:w="686" w:type="dxa"/>
        <w:tblLayout w:type="fixed"/>
        <w:tblCellMar>
          <w:top w:w="0" w:type="dxa"/>
          <w:left w:w="0" w:type="dxa"/>
          <w:bottom w:w="0" w:type="dxa"/>
          <w:right w:w="0" w:type="dxa"/>
        </w:tblCellMar>
        <w:tblLook w:val="01E0"/>
      </w:tblPr>
      <w:tblGrid>
        <w:gridCol w:w="4285"/>
        <w:gridCol w:w="4298"/>
      </w:tblGrid>
      <w:tr>
        <w:trPr>
          <w:trHeight w:val="2646" w:hRule="exact"/>
        </w:trPr>
        <w:tc>
          <w:tcPr>
            <w:tcW w:w="4285" w:type="dxa"/>
            <w:tcBorders>
              <w:top w:val="nil" w:sz="6" w:space="0" w:color="auto"/>
              <w:left w:val="nil" w:sz="6" w:space="0" w:color="auto"/>
              <w:bottom w:val="nil" w:sz="6" w:space="0" w:color="auto"/>
              <w:right w:val="nil" w:sz="6" w:space="0" w:color="auto"/>
            </w:tcBorders>
          </w:tcPr>
          <w:p>
            <w:pPr>
              <w:pStyle w:val="TableParagraph"/>
              <w:spacing w:line="2567" w:lineRule="exact"/>
              <w:ind w:left="200" w:right="0"/>
              <w:jc w:val="left"/>
              <w:rPr>
                <w:rFonts w:ascii="宋体" w:hAnsi="宋体" w:cs="宋体" w:eastAsia="宋体" w:hint="default"/>
                <w:sz w:val="20"/>
                <w:szCs w:val="20"/>
              </w:rPr>
            </w:pPr>
            <w:r>
              <w:rPr>
                <w:rFonts w:ascii="宋体" w:hAnsi="宋体" w:cs="宋体" w:eastAsia="宋体" w:hint="default"/>
                <w:position w:val="-50"/>
                <w:sz w:val="20"/>
                <w:szCs w:val="20"/>
              </w:rPr>
              <w:drawing>
                <wp:inline distT="0" distB="0" distL="0" distR="0">
                  <wp:extent cx="2465595" cy="1630299"/>
                  <wp:effectExtent l="0" t="0" r="0" b="0"/>
                  <wp:docPr id="7" name="image5.jpeg" descr=""/>
                  <wp:cNvGraphicFramePr>
                    <a:graphicFrameLocks noChangeAspect="1"/>
                  </wp:cNvGraphicFramePr>
                  <a:graphic>
                    <a:graphicData uri="http://schemas.openxmlformats.org/drawingml/2006/picture">
                      <pic:pic>
                        <pic:nvPicPr>
                          <pic:cNvPr id="8" name="image5.jpeg"/>
                          <pic:cNvPicPr/>
                        </pic:nvPicPr>
                        <pic:blipFill>
                          <a:blip r:embed="rId15" cstate="print"/>
                          <a:stretch>
                            <a:fillRect/>
                          </a:stretch>
                        </pic:blipFill>
                        <pic:spPr>
                          <a:xfrm>
                            <a:off x="0" y="0"/>
                            <a:ext cx="2465595" cy="1630299"/>
                          </a:xfrm>
                          <a:prstGeom prst="rect">
                            <a:avLst/>
                          </a:prstGeom>
                        </pic:spPr>
                      </pic:pic>
                    </a:graphicData>
                  </a:graphic>
                </wp:inline>
              </w:drawing>
            </w:r>
            <w:r>
              <w:rPr>
                <w:rFonts w:ascii="宋体" w:hAnsi="宋体" w:cs="宋体" w:eastAsia="宋体" w:hint="default"/>
                <w:position w:val="-50"/>
                <w:sz w:val="20"/>
                <w:szCs w:val="20"/>
              </w:rPr>
            </w:r>
          </w:p>
        </w:tc>
        <w:tc>
          <w:tcPr>
            <w:tcW w:w="4298" w:type="dxa"/>
            <w:tcBorders>
              <w:top w:val="nil" w:sz="6" w:space="0" w:color="auto"/>
              <w:left w:val="nil" w:sz="6" w:space="0" w:color="auto"/>
              <w:bottom w:val="nil" w:sz="6" w:space="0" w:color="auto"/>
              <w:right w:val="nil" w:sz="6" w:space="0" w:color="auto"/>
            </w:tcBorders>
          </w:tcPr>
          <w:p>
            <w:pPr>
              <w:pStyle w:val="TableParagraph"/>
              <w:spacing w:line="2574" w:lineRule="exact"/>
              <w:ind w:left="230" w:right="0"/>
              <w:jc w:val="left"/>
              <w:rPr>
                <w:rFonts w:ascii="宋体" w:hAnsi="宋体" w:cs="宋体" w:eastAsia="宋体" w:hint="default"/>
                <w:sz w:val="20"/>
                <w:szCs w:val="20"/>
              </w:rPr>
            </w:pPr>
            <w:r>
              <w:rPr>
                <w:rFonts w:ascii="宋体" w:hAnsi="宋体" w:cs="宋体" w:eastAsia="宋体" w:hint="default"/>
                <w:position w:val="-50"/>
                <w:sz w:val="20"/>
                <w:szCs w:val="20"/>
              </w:rPr>
              <w:drawing>
                <wp:inline distT="0" distB="0" distL="0" distR="0">
                  <wp:extent cx="2471933" cy="1634489"/>
                  <wp:effectExtent l="0" t="0" r="0" b="0"/>
                  <wp:docPr id="9" name="image6.jpeg" descr=""/>
                  <wp:cNvGraphicFramePr>
                    <a:graphicFrameLocks noChangeAspect="1"/>
                  </wp:cNvGraphicFramePr>
                  <a:graphic>
                    <a:graphicData uri="http://schemas.openxmlformats.org/drawingml/2006/picture">
                      <pic:pic>
                        <pic:nvPicPr>
                          <pic:cNvPr id="10" name="image6.jpeg"/>
                          <pic:cNvPicPr/>
                        </pic:nvPicPr>
                        <pic:blipFill>
                          <a:blip r:embed="rId16" cstate="print"/>
                          <a:stretch>
                            <a:fillRect/>
                          </a:stretch>
                        </pic:blipFill>
                        <pic:spPr>
                          <a:xfrm>
                            <a:off x="0" y="0"/>
                            <a:ext cx="2471933" cy="1634489"/>
                          </a:xfrm>
                          <a:prstGeom prst="rect">
                            <a:avLst/>
                          </a:prstGeom>
                        </pic:spPr>
                      </pic:pic>
                    </a:graphicData>
                  </a:graphic>
                </wp:inline>
              </w:drawing>
            </w:r>
            <w:r>
              <w:rPr>
                <w:rFonts w:ascii="宋体" w:hAnsi="宋体" w:cs="宋体" w:eastAsia="宋体" w:hint="default"/>
                <w:position w:val="-50"/>
                <w:sz w:val="20"/>
                <w:szCs w:val="20"/>
              </w:rPr>
            </w:r>
          </w:p>
        </w:tc>
      </w:tr>
      <w:tr>
        <w:trPr>
          <w:trHeight w:val="377" w:hRule="exact"/>
        </w:trPr>
        <w:tc>
          <w:tcPr>
            <w:tcW w:w="428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08" w:right="0"/>
              <w:jc w:val="left"/>
              <w:rPr>
                <w:rFonts w:ascii="宋体" w:hAnsi="宋体" w:cs="宋体" w:eastAsia="宋体" w:hint="default"/>
                <w:sz w:val="18"/>
                <w:szCs w:val="18"/>
              </w:rPr>
            </w:pPr>
            <w:r>
              <w:rPr>
                <w:rFonts w:ascii="宋体" w:hAnsi="宋体" w:cs="宋体" w:eastAsia="宋体" w:hint="default"/>
                <w:spacing w:val="-3"/>
                <w:sz w:val="18"/>
                <w:szCs w:val="18"/>
              </w:rPr>
              <w:t>工商银行“金融科技创新体验中心”项目</w:t>
            </w:r>
          </w:p>
        </w:tc>
        <w:tc>
          <w:tcPr>
            <w:tcW w:w="429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98"/>
              <w:jc w:val="right"/>
              <w:rPr>
                <w:rFonts w:ascii="宋体" w:hAnsi="宋体" w:cs="宋体" w:eastAsia="宋体" w:hint="default"/>
                <w:sz w:val="18"/>
                <w:szCs w:val="18"/>
              </w:rPr>
            </w:pPr>
            <w:r>
              <w:rPr>
                <w:rFonts w:ascii="宋体" w:hAnsi="宋体" w:cs="宋体" w:eastAsia="宋体" w:hint="default"/>
                <w:sz w:val="18"/>
                <w:szCs w:val="18"/>
              </w:rPr>
              <w:t>工商银行 </w:t>
            </w:r>
            <w:r>
              <w:rPr>
                <w:rFonts w:ascii="宋体" w:hAnsi="宋体" w:cs="宋体" w:eastAsia="宋体" w:hint="default"/>
                <w:sz w:val="18"/>
                <w:szCs w:val="18"/>
              </w:rPr>
              <w:t>5G</w:t>
            </w:r>
            <w:r>
              <w:rPr>
                <w:rFonts w:ascii="宋体" w:hAnsi="宋体" w:cs="宋体" w:eastAsia="宋体" w:hint="default"/>
                <w:spacing w:val="-51"/>
                <w:sz w:val="18"/>
                <w:szCs w:val="18"/>
              </w:rPr>
              <w:t> </w:t>
            </w:r>
            <w:r>
              <w:rPr>
                <w:rFonts w:ascii="宋体" w:hAnsi="宋体" w:cs="宋体" w:eastAsia="宋体" w:hint="default"/>
                <w:spacing w:val="-3"/>
                <w:sz w:val="18"/>
                <w:szCs w:val="18"/>
              </w:rPr>
              <w:t>智慧网点南京大学未来广场支行项目</w:t>
            </w:r>
          </w:p>
        </w:tc>
      </w:tr>
      <w:tr>
        <w:trPr>
          <w:trHeight w:val="2744" w:hRule="exact"/>
        </w:trPr>
        <w:tc>
          <w:tcPr>
            <w:tcW w:w="428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7"/>
                <w:szCs w:val="7"/>
              </w:rPr>
            </w:pPr>
          </w:p>
          <w:p>
            <w:pPr>
              <w:pStyle w:val="TableParagraph"/>
              <w:spacing w:line="2567" w:lineRule="exact"/>
              <w:ind w:left="200" w:right="0"/>
              <w:jc w:val="left"/>
              <w:rPr>
                <w:rFonts w:ascii="宋体" w:hAnsi="宋体" w:cs="宋体" w:eastAsia="宋体" w:hint="default"/>
                <w:sz w:val="20"/>
                <w:szCs w:val="20"/>
              </w:rPr>
            </w:pPr>
            <w:r>
              <w:rPr>
                <w:rFonts w:ascii="宋体" w:hAnsi="宋体" w:cs="宋体" w:eastAsia="宋体" w:hint="default"/>
                <w:position w:val="-50"/>
                <w:sz w:val="20"/>
                <w:szCs w:val="20"/>
              </w:rPr>
              <w:drawing>
                <wp:inline distT="0" distB="0" distL="0" distR="0">
                  <wp:extent cx="2465595" cy="1630299"/>
                  <wp:effectExtent l="0" t="0" r="0" b="0"/>
                  <wp:docPr id="11" name="image7.jpeg" descr=""/>
                  <wp:cNvGraphicFramePr>
                    <a:graphicFrameLocks noChangeAspect="1"/>
                  </wp:cNvGraphicFramePr>
                  <a:graphic>
                    <a:graphicData uri="http://schemas.openxmlformats.org/drawingml/2006/picture">
                      <pic:pic>
                        <pic:nvPicPr>
                          <pic:cNvPr id="12" name="image7.jpeg"/>
                          <pic:cNvPicPr/>
                        </pic:nvPicPr>
                        <pic:blipFill>
                          <a:blip r:embed="rId17" cstate="print"/>
                          <a:stretch>
                            <a:fillRect/>
                          </a:stretch>
                        </pic:blipFill>
                        <pic:spPr>
                          <a:xfrm>
                            <a:off x="0" y="0"/>
                            <a:ext cx="2465595" cy="1630299"/>
                          </a:xfrm>
                          <a:prstGeom prst="rect">
                            <a:avLst/>
                          </a:prstGeom>
                        </pic:spPr>
                      </pic:pic>
                    </a:graphicData>
                  </a:graphic>
                </wp:inline>
              </w:drawing>
            </w:r>
            <w:r>
              <w:rPr>
                <w:rFonts w:ascii="宋体" w:hAnsi="宋体" w:cs="宋体" w:eastAsia="宋体" w:hint="default"/>
                <w:position w:val="-50"/>
                <w:sz w:val="20"/>
                <w:szCs w:val="20"/>
              </w:rPr>
            </w:r>
          </w:p>
        </w:tc>
        <w:tc>
          <w:tcPr>
            <w:tcW w:w="429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7"/>
                <w:szCs w:val="7"/>
              </w:rPr>
            </w:pPr>
          </w:p>
          <w:p>
            <w:pPr>
              <w:pStyle w:val="TableParagraph"/>
              <w:spacing w:line="2574" w:lineRule="exact"/>
              <w:ind w:left="230" w:right="0"/>
              <w:jc w:val="left"/>
              <w:rPr>
                <w:rFonts w:ascii="宋体" w:hAnsi="宋体" w:cs="宋体" w:eastAsia="宋体" w:hint="default"/>
                <w:sz w:val="20"/>
                <w:szCs w:val="20"/>
              </w:rPr>
            </w:pPr>
            <w:r>
              <w:rPr>
                <w:rFonts w:ascii="宋体" w:hAnsi="宋体" w:cs="宋体" w:eastAsia="宋体" w:hint="default"/>
                <w:position w:val="-50"/>
                <w:sz w:val="20"/>
                <w:szCs w:val="20"/>
              </w:rPr>
              <w:drawing>
                <wp:inline distT="0" distB="0" distL="0" distR="0">
                  <wp:extent cx="2475139" cy="1634489"/>
                  <wp:effectExtent l="0" t="0" r="0" b="0"/>
                  <wp:docPr id="13" name="image8.jpeg" descr=""/>
                  <wp:cNvGraphicFramePr>
                    <a:graphicFrameLocks noChangeAspect="1"/>
                  </wp:cNvGraphicFramePr>
                  <a:graphic>
                    <a:graphicData uri="http://schemas.openxmlformats.org/drawingml/2006/picture">
                      <pic:pic>
                        <pic:nvPicPr>
                          <pic:cNvPr id="14" name="image8.jpeg"/>
                          <pic:cNvPicPr/>
                        </pic:nvPicPr>
                        <pic:blipFill>
                          <a:blip r:embed="rId18" cstate="print"/>
                          <a:stretch>
                            <a:fillRect/>
                          </a:stretch>
                        </pic:blipFill>
                        <pic:spPr>
                          <a:xfrm>
                            <a:off x="0" y="0"/>
                            <a:ext cx="2475139" cy="1634489"/>
                          </a:xfrm>
                          <a:prstGeom prst="rect">
                            <a:avLst/>
                          </a:prstGeom>
                        </pic:spPr>
                      </pic:pic>
                    </a:graphicData>
                  </a:graphic>
                </wp:inline>
              </w:drawing>
            </w:r>
            <w:r>
              <w:rPr>
                <w:rFonts w:ascii="宋体" w:hAnsi="宋体" w:cs="宋体" w:eastAsia="宋体" w:hint="default"/>
                <w:position w:val="-50"/>
                <w:sz w:val="20"/>
                <w:szCs w:val="20"/>
              </w:rPr>
            </w:r>
          </w:p>
        </w:tc>
      </w:tr>
      <w:tr>
        <w:trPr>
          <w:trHeight w:val="280" w:hRule="exact"/>
        </w:trPr>
        <w:tc>
          <w:tcPr>
            <w:tcW w:w="428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56" w:right="0"/>
              <w:jc w:val="left"/>
              <w:rPr>
                <w:rFonts w:ascii="宋体" w:hAnsi="宋体" w:cs="宋体" w:eastAsia="宋体" w:hint="default"/>
                <w:sz w:val="18"/>
                <w:szCs w:val="18"/>
              </w:rPr>
            </w:pPr>
            <w:r>
              <w:rPr>
                <w:rFonts w:ascii="宋体" w:hAnsi="宋体" w:cs="宋体" w:eastAsia="宋体" w:hint="default"/>
                <w:sz w:val="18"/>
                <w:szCs w:val="18"/>
              </w:rPr>
              <w:t>光大银行 </w:t>
            </w:r>
            <w:r>
              <w:rPr>
                <w:rFonts w:ascii="宋体" w:hAnsi="宋体" w:cs="宋体" w:eastAsia="宋体" w:hint="default"/>
                <w:sz w:val="18"/>
                <w:szCs w:val="18"/>
              </w:rPr>
              <w:t>5G</w:t>
            </w:r>
            <w:r>
              <w:rPr>
                <w:rFonts w:ascii="宋体" w:hAnsi="宋体" w:cs="宋体" w:eastAsia="宋体" w:hint="default"/>
                <w:spacing w:val="-53"/>
                <w:sz w:val="18"/>
                <w:szCs w:val="18"/>
              </w:rPr>
              <w:t> </w:t>
            </w:r>
            <w:r>
              <w:rPr>
                <w:rFonts w:ascii="宋体" w:hAnsi="宋体" w:cs="宋体" w:eastAsia="宋体" w:hint="default"/>
                <w:spacing w:val="-3"/>
                <w:sz w:val="18"/>
                <w:szCs w:val="18"/>
              </w:rPr>
              <w:t>功能网点“光大超市”项目</w:t>
            </w:r>
          </w:p>
        </w:tc>
        <w:tc>
          <w:tcPr>
            <w:tcW w:w="429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98"/>
              <w:jc w:val="right"/>
              <w:rPr>
                <w:rFonts w:ascii="宋体" w:hAnsi="宋体" w:cs="宋体" w:eastAsia="宋体" w:hint="default"/>
                <w:sz w:val="18"/>
                <w:szCs w:val="18"/>
              </w:rPr>
            </w:pPr>
            <w:r>
              <w:rPr>
                <w:rFonts w:ascii="宋体" w:hAnsi="宋体" w:cs="宋体" w:eastAsia="宋体" w:hint="default"/>
                <w:spacing w:val="-3"/>
                <w:sz w:val="18"/>
                <w:szCs w:val="18"/>
              </w:rPr>
              <w:t>建设银行“</w:t>
            </w:r>
            <w:r>
              <w:rPr>
                <w:rFonts w:ascii="宋体" w:hAnsi="宋体" w:cs="宋体" w:eastAsia="宋体" w:hint="default"/>
                <w:spacing w:val="-3"/>
                <w:sz w:val="18"/>
                <w:szCs w:val="18"/>
              </w:rPr>
              <w:t>5G+</w:t>
            </w:r>
            <w:r>
              <w:rPr>
                <w:rFonts w:ascii="宋体" w:hAnsi="宋体" w:cs="宋体" w:eastAsia="宋体" w:hint="default"/>
                <w:spacing w:val="-3"/>
                <w:sz w:val="18"/>
                <w:szCs w:val="18"/>
              </w:rPr>
              <w:t>智能银行”北京市清华园支行项目</w:t>
            </w:r>
          </w:p>
        </w:tc>
      </w:tr>
    </w:tbl>
    <w:p>
      <w:pPr>
        <w:spacing w:line="240" w:lineRule="auto" w:before="7"/>
        <w:rPr>
          <w:rFonts w:ascii="宋体" w:hAnsi="宋体" w:cs="宋体" w:eastAsia="宋体" w:hint="default"/>
          <w:sz w:val="20"/>
          <w:szCs w:val="20"/>
        </w:rPr>
      </w:pPr>
    </w:p>
    <w:p>
      <w:pPr>
        <w:spacing w:line="316" w:lineRule="auto" w:before="0"/>
        <w:ind w:left="513" w:right="0" w:firstLine="0"/>
        <w:jc w:val="left"/>
        <w:rPr>
          <w:rFonts w:ascii="宋体" w:hAnsi="宋体" w:cs="宋体" w:eastAsia="宋体" w:hint="default"/>
          <w:sz w:val="18"/>
          <w:szCs w:val="18"/>
        </w:rPr>
      </w:pPr>
      <w:r>
        <w:rPr>
          <w:rFonts w:ascii="宋体" w:hAnsi="宋体" w:cs="宋体" w:eastAsia="宋体" w:hint="default"/>
          <w:b/>
          <w:bCs/>
          <w:sz w:val="18"/>
          <w:szCs w:val="18"/>
        </w:rPr>
        <w:t>（</w:t>
      </w:r>
      <w:r>
        <w:rPr>
          <w:rFonts w:ascii="宋体" w:hAnsi="宋体" w:cs="宋体" w:eastAsia="宋体" w:hint="default"/>
          <w:b/>
          <w:bCs/>
          <w:sz w:val="18"/>
          <w:szCs w:val="18"/>
        </w:rPr>
        <w:t>3</w:t>
      </w:r>
      <w:r>
        <w:rPr>
          <w:rFonts w:ascii="宋体" w:hAnsi="宋体" w:cs="宋体" w:eastAsia="宋体" w:hint="default"/>
          <w:b/>
          <w:bCs/>
          <w:sz w:val="18"/>
          <w:szCs w:val="18"/>
        </w:rPr>
        <w:t>）加速推进中国电信智慧营业厅建设</w:t>
      </w:r>
      <w:r>
        <w:rPr>
          <w:rFonts w:ascii="宋体" w:hAnsi="宋体" w:cs="宋体" w:eastAsia="宋体" w:hint="default"/>
          <w:b/>
          <w:bCs/>
          <w:spacing w:val="-87"/>
          <w:sz w:val="18"/>
          <w:szCs w:val="18"/>
        </w:rPr>
        <w:t> </w:t>
      </w:r>
      <w:r>
        <w:rPr>
          <w:rFonts w:ascii="宋体" w:hAnsi="宋体" w:cs="宋体" w:eastAsia="宋体" w:hint="default"/>
          <w:b/>
          <w:bCs/>
          <w:spacing w:val="-87"/>
          <w:sz w:val="18"/>
          <w:szCs w:val="18"/>
        </w:rPr>
      </w:r>
      <w:r>
        <w:rPr>
          <w:rFonts w:ascii="宋体" w:hAnsi="宋体" w:cs="宋体" w:eastAsia="宋体" w:hint="default"/>
          <w:spacing w:val="-4"/>
          <w:sz w:val="18"/>
          <w:szCs w:val="18"/>
        </w:rPr>
        <w:t>2019</w:t>
      </w:r>
      <w:r>
        <w:rPr>
          <w:rFonts w:ascii="宋体" w:hAnsi="宋体" w:cs="宋体" w:eastAsia="宋体" w:hint="default"/>
          <w:spacing w:val="-4"/>
          <w:sz w:val="18"/>
          <w:szCs w:val="18"/>
        </w:rPr>
        <w:t>年，三大运营商相继加速推动营业厅智能化建设。报告期内，公司共实施完成了近</w:t>
      </w:r>
      <w:r>
        <w:rPr>
          <w:rFonts w:ascii="宋体" w:hAnsi="宋体" w:cs="宋体" w:eastAsia="宋体" w:hint="default"/>
          <w:spacing w:val="-4"/>
          <w:sz w:val="18"/>
          <w:szCs w:val="18"/>
        </w:rPr>
        <w:t>300</w:t>
      </w:r>
      <w:r>
        <w:rPr>
          <w:rFonts w:ascii="宋体" w:hAnsi="宋体" w:cs="宋体" w:eastAsia="宋体" w:hint="default"/>
          <w:spacing w:val="-4"/>
          <w:sz w:val="18"/>
          <w:szCs w:val="18"/>
        </w:rPr>
        <w:t>个中国电信智慧营业厅项目，</w:t>
      </w:r>
    </w:p>
    <w:p>
      <w:pPr>
        <w:pStyle w:val="BodyText"/>
        <w:spacing w:line="240" w:lineRule="auto" w:before="19"/>
        <w:ind w:right="0"/>
        <w:jc w:val="left"/>
      </w:pPr>
      <w:r>
        <w:rPr>
          <w:spacing w:val="-3"/>
        </w:rPr>
        <w:t>项目遍布全国</w:t>
      </w:r>
      <w:r>
        <w:rPr>
          <w:rFonts w:ascii="宋体" w:hAnsi="宋体" w:cs="宋体" w:eastAsia="宋体" w:hint="default"/>
          <w:spacing w:val="-3"/>
        </w:rPr>
        <w:t>30</w:t>
      </w:r>
      <w:r>
        <w:rPr>
          <w:spacing w:val="-3"/>
        </w:rPr>
        <w:t>多个省份、自治区及直辖市，为通信行业营业厅智能化改造奠定了基础。</w:t>
      </w:r>
    </w:p>
    <w:p>
      <w:pPr>
        <w:spacing w:line="316" w:lineRule="auto" w:before="76"/>
        <w:ind w:left="513" w:right="0" w:firstLine="0"/>
        <w:jc w:val="left"/>
        <w:rPr>
          <w:rFonts w:ascii="宋体" w:hAnsi="宋体" w:cs="宋体" w:eastAsia="宋体" w:hint="default"/>
          <w:sz w:val="18"/>
          <w:szCs w:val="18"/>
        </w:rPr>
      </w:pPr>
      <w:r>
        <w:rPr>
          <w:rFonts w:ascii="宋体" w:hAnsi="宋体" w:cs="宋体" w:eastAsia="宋体" w:hint="default"/>
          <w:b/>
          <w:bCs/>
          <w:sz w:val="18"/>
          <w:szCs w:val="18"/>
        </w:rPr>
        <w:t>（</w:t>
      </w:r>
      <w:r>
        <w:rPr>
          <w:rFonts w:ascii="宋体" w:hAnsi="宋体" w:cs="宋体" w:eastAsia="宋体" w:hint="default"/>
          <w:b/>
          <w:bCs/>
          <w:sz w:val="18"/>
          <w:szCs w:val="18"/>
        </w:rPr>
        <w:t>4</w:t>
      </w:r>
      <w:r>
        <w:rPr>
          <w:rFonts w:ascii="宋体" w:hAnsi="宋体" w:cs="宋体" w:eastAsia="宋体" w:hint="default"/>
          <w:b/>
          <w:bCs/>
          <w:sz w:val="18"/>
          <w:szCs w:val="18"/>
        </w:rPr>
        <w:t>）联手工商银行探索银行智慧网点发展方向</w:t>
      </w:r>
      <w:r>
        <w:rPr>
          <w:rFonts w:ascii="宋体" w:hAnsi="宋体" w:cs="宋体" w:eastAsia="宋体" w:hint="default"/>
          <w:b/>
          <w:bCs/>
          <w:spacing w:val="-86"/>
          <w:sz w:val="18"/>
          <w:szCs w:val="18"/>
        </w:rPr>
        <w:t> </w:t>
      </w:r>
      <w:r>
        <w:rPr>
          <w:rFonts w:ascii="宋体" w:hAnsi="宋体" w:cs="宋体" w:eastAsia="宋体" w:hint="default"/>
          <w:b/>
          <w:bCs/>
          <w:spacing w:val="-86"/>
          <w:sz w:val="18"/>
          <w:szCs w:val="18"/>
        </w:rPr>
      </w:r>
      <w:r>
        <w:rPr>
          <w:rFonts w:ascii="宋体" w:hAnsi="宋体" w:cs="宋体" w:eastAsia="宋体" w:hint="default"/>
          <w:spacing w:val="-3"/>
          <w:sz w:val="18"/>
          <w:szCs w:val="18"/>
        </w:rPr>
        <w:t>2019</w:t>
      </w:r>
      <w:r>
        <w:rPr>
          <w:rFonts w:ascii="宋体" w:hAnsi="宋体" w:cs="宋体" w:eastAsia="宋体" w:hint="default"/>
          <w:spacing w:val="-3"/>
          <w:sz w:val="18"/>
          <w:szCs w:val="18"/>
        </w:rPr>
        <w:t>年</w:t>
      </w:r>
      <w:r>
        <w:rPr>
          <w:rFonts w:ascii="宋体" w:hAnsi="宋体" w:cs="宋体" w:eastAsia="宋体" w:hint="default"/>
          <w:spacing w:val="-3"/>
          <w:sz w:val="18"/>
          <w:szCs w:val="18"/>
        </w:rPr>
        <w:t>9</w:t>
      </w:r>
      <w:r>
        <w:rPr>
          <w:rFonts w:ascii="宋体" w:hAnsi="宋体" w:cs="宋体" w:eastAsia="宋体" w:hint="default"/>
          <w:spacing w:val="-3"/>
          <w:sz w:val="18"/>
          <w:szCs w:val="18"/>
        </w:rPr>
        <w:t>月，公司与中国工商银行业务研发中心达成战略合作，双方将在人员及技术方面展开更深入的合作，共同探索</w:t>
      </w:r>
    </w:p>
    <w:p>
      <w:pPr>
        <w:pStyle w:val="BodyText"/>
        <w:spacing w:line="316" w:lineRule="auto" w:before="19"/>
        <w:ind w:left="513" w:right="0" w:hanging="360"/>
        <w:jc w:val="left"/>
      </w:pPr>
      <w:r>
        <w:rPr>
          <w:spacing w:val="-3"/>
        </w:rPr>
        <w:t>银行网点新型智能化产品及智慧应用新场景。</w:t>
      </w:r>
      <w:r>
        <w:rPr>
          <w:spacing w:val="-27"/>
        </w:rPr>
        <w:t> </w:t>
      </w:r>
      <w:r>
        <w:rPr>
          <w:spacing w:val="-27"/>
        </w:rPr>
      </w:r>
      <w:r>
        <w:rPr>
          <w:spacing w:val="-3"/>
        </w:rPr>
        <w:t>报告期内，已建设完成中国工商银行“金融科技创新体验中心”项目，为双方进一步战略合作落地奠定了基础。</w:t>
      </w:r>
    </w:p>
    <w:p>
      <w:pPr>
        <w:spacing w:line="316" w:lineRule="auto" w:before="19"/>
        <w:ind w:left="513" w:right="0" w:firstLine="0"/>
        <w:jc w:val="left"/>
        <w:rPr>
          <w:rFonts w:ascii="宋体" w:hAnsi="宋体" w:cs="宋体" w:eastAsia="宋体" w:hint="default"/>
          <w:sz w:val="18"/>
          <w:szCs w:val="18"/>
        </w:rPr>
      </w:pPr>
      <w:r>
        <w:rPr>
          <w:rFonts w:ascii="宋体" w:hAnsi="宋体" w:cs="宋体" w:eastAsia="宋体" w:hint="default"/>
          <w:b/>
          <w:bCs/>
          <w:sz w:val="18"/>
          <w:szCs w:val="18"/>
        </w:rPr>
        <w:t>（</w:t>
      </w:r>
      <w:r>
        <w:rPr>
          <w:rFonts w:ascii="宋体" w:hAnsi="宋体" w:cs="宋体" w:eastAsia="宋体" w:hint="default"/>
          <w:b/>
          <w:bCs/>
          <w:sz w:val="18"/>
          <w:szCs w:val="18"/>
        </w:rPr>
        <w:t>5</w:t>
      </w:r>
      <w:r>
        <w:rPr>
          <w:rFonts w:ascii="宋体" w:hAnsi="宋体" w:cs="宋体" w:eastAsia="宋体" w:hint="default"/>
          <w:b/>
          <w:bCs/>
          <w:sz w:val="18"/>
          <w:szCs w:val="18"/>
        </w:rPr>
        <w:t>）进军“无人邮局”领域</w:t>
      </w:r>
      <w:r>
        <w:rPr>
          <w:rFonts w:ascii="宋体" w:hAnsi="宋体" w:cs="宋体" w:eastAsia="宋体" w:hint="default"/>
          <w:b/>
          <w:bCs/>
          <w:spacing w:val="-85"/>
          <w:sz w:val="18"/>
          <w:szCs w:val="18"/>
        </w:rPr>
        <w:t> </w:t>
      </w:r>
      <w:r>
        <w:rPr>
          <w:rFonts w:ascii="宋体" w:hAnsi="宋体" w:cs="宋体" w:eastAsia="宋体" w:hint="default"/>
          <w:b/>
          <w:bCs/>
          <w:spacing w:val="-85"/>
          <w:sz w:val="18"/>
          <w:szCs w:val="18"/>
        </w:rPr>
      </w:r>
      <w:r>
        <w:rPr>
          <w:rFonts w:ascii="宋体" w:hAnsi="宋体" w:cs="宋体" w:eastAsia="宋体" w:hint="default"/>
          <w:spacing w:val="-4"/>
          <w:sz w:val="18"/>
          <w:szCs w:val="18"/>
        </w:rPr>
        <w:t>2019</w:t>
      </w:r>
      <w:r>
        <w:rPr>
          <w:rFonts w:ascii="宋体" w:hAnsi="宋体" w:cs="宋体" w:eastAsia="宋体" w:hint="default"/>
          <w:spacing w:val="-4"/>
          <w:sz w:val="18"/>
          <w:szCs w:val="18"/>
        </w:rPr>
        <w:t>年，邮政行业开始推进邮政网点的无人化、智能化改造。报告期内，公司成功中标中国邮政集团公司邮政研究中心</w:t>
      </w:r>
    </w:p>
    <w:p>
      <w:pPr>
        <w:pStyle w:val="BodyText"/>
        <w:spacing w:line="240" w:lineRule="auto" w:before="19"/>
        <w:ind w:right="0"/>
        <w:jc w:val="left"/>
      </w:pPr>
      <w:r>
        <w:rPr>
          <w:spacing w:val="-3"/>
        </w:rPr>
        <w:t>无人邮局硬件设备采购项目，正式进军邮政领域。</w:t>
      </w:r>
    </w:p>
    <w:p>
      <w:pPr>
        <w:pStyle w:val="BodyText"/>
        <w:spacing w:line="319" w:lineRule="auto" w:before="76"/>
        <w:ind w:left="513" w:right="0"/>
        <w:jc w:val="left"/>
      </w:pPr>
      <w:r>
        <w:rPr>
          <w:rFonts w:ascii="宋体" w:hAnsi="宋体" w:cs="宋体" w:eastAsia="宋体" w:hint="default"/>
          <w:b/>
          <w:bCs/>
        </w:rPr>
        <w:t>（</w:t>
      </w:r>
      <w:r>
        <w:rPr>
          <w:rFonts w:ascii="宋体" w:hAnsi="宋体" w:cs="宋体" w:eastAsia="宋体" w:hint="default"/>
          <w:b/>
          <w:bCs/>
        </w:rPr>
        <w:t>6</w:t>
      </w:r>
      <w:r>
        <w:rPr>
          <w:rFonts w:ascii="宋体" w:hAnsi="宋体" w:cs="宋体" w:eastAsia="宋体" w:hint="default"/>
          <w:b/>
          <w:bCs/>
        </w:rPr>
        <w:t>）区块链应用落地</w:t>
      </w:r>
      <w:r>
        <w:rPr>
          <w:rFonts w:ascii="宋体" w:hAnsi="宋体" w:cs="宋体" w:eastAsia="宋体" w:hint="default"/>
          <w:b/>
          <w:bCs/>
          <w:spacing w:val="-85"/>
        </w:rPr>
        <w:t> </w:t>
      </w:r>
      <w:r>
        <w:rPr>
          <w:rFonts w:ascii="宋体" w:hAnsi="宋体" w:cs="宋体" w:eastAsia="宋体" w:hint="default"/>
          <w:b/>
          <w:bCs/>
          <w:spacing w:val="-85"/>
        </w:rPr>
      </w:r>
      <w:r>
        <w:rPr>
          <w:rFonts w:ascii="宋体" w:hAnsi="宋体" w:cs="宋体" w:eastAsia="宋体" w:hint="default"/>
          <w:spacing w:val="-4"/>
        </w:rPr>
        <w:t>2019</w:t>
      </w:r>
      <w:r>
        <w:rPr>
          <w:spacing w:val="-4"/>
        </w:rPr>
        <w:t>年，受国家政策支持，区块链行业加速发展。公司已于</w:t>
      </w:r>
      <w:r>
        <w:rPr>
          <w:rFonts w:ascii="宋体" w:hAnsi="宋体" w:cs="宋体" w:eastAsia="宋体" w:hint="default"/>
          <w:spacing w:val="-4"/>
        </w:rPr>
        <w:t>2017</w:t>
      </w:r>
      <w:r>
        <w:rPr>
          <w:spacing w:val="-4"/>
        </w:rPr>
        <w:t>年布局区块链应用市场，成立专门研发团队，投入到区</w:t>
      </w:r>
    </w:p>
    <w:p>
      <w:pPr>
        <w:pStyle w:val="BodyText"/>
        <w:spacing w:line="316" w:lineRule="auto" w:before="17"/>
        <w:ind w:left="513" w:right="0" w:hanging="360"/>
        <w:jc w:val="left"/>
      </w:pPr>
      <w:r>
        <w:rPr>
          <w:spacing w:val="-3"/>
        </w:rPr>
        <w:t>块链的技术及应用研究。</w:t>
      </w:r>
      <w:r>
        <w:rPr>
          <w:spacing w:val="-56"/>
        </w:rPr>
        <w:t> </w:t>
      </w:r>
      <w:r>
        <w:rPr>
          <w:spacing w:val="-56"/>
        </w:rPr>
      </w:r>
      <w:r>
        <w:rPr>
          <w:spacing w:val="-4"/>
        </w:rPr>
        <w:t>报告期内，公司中标了建设银行</w:t>
      </w:r>
      <w:r>
        <w:rPr>
          <w:rFonts w:ascii="宋体" w:hAnsi="宋体" w:cs="宋体" w:eastAsia="宋体" w:hint="default"/>
          <w:spacing w:val="-4"/>
        </w:rPr>
        <w:t>E</w:t>
      </w:r>
      <w:r>
        <w:rPr>
          <w:spacing w:val="-4"/>
        </w:rPr>
        <w:t>存托原型设计项目，该项目是基于区块链技术来设计实现存托凭证（</w:t>
      </w:r>
      <w:r>
        <w:rPr>
          <w:rFonts w:ascii="宋体" w:hAnsi="宋体" w:cs="宋体" w:eastAsia="宋体" w:hint="default"/>
          <w:spacing w:val="-4"/>
        </w:rPr>
        <w:t>CDR</w:t>
      </w:r>
      <w:r>
        <w:rPr>
          <w:spacing w:val="-4"/>
        </w:rPr>
        <w:t>）的签发、转</w:t>
      </w:r>
    </w:p>
    <w:p>
      <w:pPr>
        <w:pStyle w:val="BodyText"/>
        <w:spacing w:line="319" w:lineRule="auto" w:before="19"/>
        <w:ind w:right="1123"/>
        <w:jc w:val="both"/>
      </w:pPr>
      <w:r>
        <w:rPr>
          <w:spacing w:val="-3"/>
        </w:rPr>
        <w:t>移、查询、注销等业务的应用原型，能够帮助商业银行进一步探索存托凭证（</w:t>
      </w:r>
      <w:r>
        <w:rPr>
          <w:rFonts w:ascii="宋体" w:hAnsi="宋体" w:cs="宋体" w:eastAsia="宋体" w:hint="default"/>
          <w:spacing w:val="-3"/>
        </w:rPr>
        <w:t>CDR</w:t>
      </w:r>
      <w:r>
        <w:rPr>
          <w:spacing w:val="-3"/>
        </w:rPr>
        <w:t>）的管理流程。公司已取得多项基于区块</w:t>
      </w:r>
      <w:r>
        <w:rPr>
          <w:spacing w:val="79"/>
        </w:rPr>
        <w:t> </w:t>
      </w:r>
      <w:r>
        <w:rPr>
          <w:spacing w:val="79"/>
        </w:rPr>
      </w:r>
      <w:r>
        <w:rPr>
          <w:spacing w:val="-4"/>
        </w:rPr>
        <w:t>链的软件著作权，包括《奥拓翰明基于区块链技术的电子存证软件</w:t>
      </w:r>
      <w:r>
        <w:rPr>
          <w:rFonts w:ascii="宋体" w:hAnsi="宋体" w:cs="宋体" w:eastAsia="宋体" w:hint="default"/>
          <w:spacing w:val="-4"/>
        </w:rPr>
        <w:t>V1.0</w:t>
      </w:r>
      <w:r>
        <w:rPr>
          <w:spacing w:val="-4"/>
        </w:rPr>
        <w:t>》等，同时，与毕马威、深圳市和信中欧金融科技研</w:t>
      </w:r>
      <w:r>
        <w:rPr>
          <w:spacing w:val="48"/>
        </w:rPr>
        <w:t> </w:t>
      </w:r>
      <w:r>
        <w:rPr>
          <w:spacing w:val="48"/>
        </w:rPr>
      </w:r>
      <w:r>
        <w:rPr>
          <w:spacing w:val="-3"/>
        </w:rPr>
        <w:t>究院、无锡井通网络科技有限公司等知名机构合作探索区块链技术的应用落地。</w:t>
      </w:r>
    </w:p>
    <w:p>
      <w:pPr>
        <w:spacing w:line="316" w:lineRule="auto" w:before="17"/>
        <w:ind w:left="513" w:right="6445" w:firstLine="0"/>
        <w:jc w:val="left"/>
        <w:rPr>
          <w:rFonts w:ascii="宋体" w:hAnsi="宋体" w:cs="宋体" w:eastAsia="宋体" w:hint="default"/>
          <w:sz w:val="18"/>
          <w:szCs w:val="18"/>
        </w:rPr>
      </w:pPr>
      <w:r>
        <w:rPr>
          <w:rFonts w:ascii="宋体" w:hAnsi="宋体" w:cs="宋体" w:eastAsia="宋体" w:hint="default"/>
          <w:b/>
          <w:bCs/>
          <w:sz w:val="18"/>
          <w:szCs w:val="18"/>
        </w:rPr>
        <w:t>（</w:t>
      </w:r>
      <w:r>
        <w:rPr>
          <w:rFonts w:ascii="宋体" w:hAnsi="宋体" w:cs="宋体" w:eastAsia="宋体" w:hint="default"/>
          <w:b/>
          <w:bCs/>
          <w:sz w:val="18"/>
          <w:szCs w:val="18"/>
        </w:rPr>
        <w:t>7</w:t>
      </w:r>
      <w:r>
        <w:rPr>
          <w:rFonts w:ascii="宋体" w:hAnsi="宋体" w:cs="宋体" w:eastAsia="宋体" w:hint="default"/>
          <w:b/>
          <w:bCs/>
          <w:sz w:val="18"/>
          <w:szCs w:val="18"/>
        </w:rPr>
        <w:t>）“智慧”模式新产品</w:t>
      </w:r>
      <w:r>
        <w:rPr>
          <w:rFonts w:ascii="宋体" w:hAnsi="宋体" w:cs="宋体" w:eastAsia="宋体" w:hint="default"/>
          <w:b/>
          <w:bCs/>
          <w:spacing w:val="-87"/>
          <w:sz w:val="18"/>
          <w:szCs w:val="18"/>
        </w:rPr>
        <w:t> </w:t>
      </w:r>
      <w:r>
        <w:rPr>
          <w:rFonts w:ascii="宋体" w:hAnsi="宋体" w:cs="宋体" w:eastAsia="宋体" w:hint="default"/>
          <w:b/>
          <w:bCs/>
          <w:spacing w:val="-87"/>
          <w:sz w:val="18"/>
          <w:szCs w:val="18"/>
        </w:rPr>
      </w:r>
      <w:r>
        <w:rPr>
          <w:rFonts w:ascii="宋体" w:hAnsi="宋体" w:cs="宋体" w:eastAsia="宋体" w:hint="default"/>
          <w:spacing w:val="-2"/>
          <w:sz w:val="18"/>
          <w:szCs w:val="18"/>
        </w:rPr>
        <w:t>1</w:t>
      </w:r>
      <w:r>
        <w:rPr>
          <w:rFonts w:ascii="宋体" w:hAnsi="宋体" w:cs="宋体" w:eastAsia="宋体" w:hint="default"/>
          <w:spacing w:val="-2"/>
          <w:sz w:val="18"/>
          <w:szCs w:val="18"/>
        </w:rPr>
        <w:t>）</w:t>
      </w:r>
      <w:r>
        <w:rPr>
          <w:rFonts w:ascii="宋体" w:hAnsi="宋体" w:cs="宋体" w:eastAsia="宋体" w:hint="default"/>
          <w:spacing w:val="-2"/>
          <w:sz w:val="18"/>
          <w:szCs w:val="18"/>
        </w:rPr>
        <w:t>5G</w:t>
      </w:r>
      <w:r>
        <w:rPr>
          <w:rFonts w:ascii="宋体" w:hAnsi="宋体" w:cs="宋体" w:eastAsia="宋体" w:hint="default"/>
          <w:spacing w:val="-2"/>
          <w:sz w:val="18"/>
          <w:szCs w:val="18"/>
        </w:rPr>
        <w:t>智慧银行整体解决方案</w:t>
      </w:r>
    </w:p>
    <w:p>
      <w:pPr>
        <w:spacing w:after="0" w:line="316" w:lineRule="auto"/>
        <w:jc w:val="left"/>
        <w:rPr>
          <w:rFonts w:ascii="宋体" w:hAnsi="宋体" w:cs="宋体" w:eastAsia="宋体" w:hint="default"/>
          <w:sz w:val="18"/>
          <w:szCs w:val="18"/>
        </w:rPr>
        <w:sectPr>
          <w:pgSz w:w="11910" w:h="16840"/>
          <w:pgMar w:header="784" w:footer="1022" w:top="1100" w:bottom="1220" w:left="980" w:right="0"/>
        </w:sectPr>
      </w:pPr>
    </w:p>
    <w:p>
      <w:pPr>
        <w:spacing w:line="240" w:lineRule="auto" w:before="10"/>
        <w:rPr>
          <w:rFonts w:ascii="宋体" w:hAnsi="宋体" w:cs="宋体" w:eastAsia="宋体" w:hint="default"/>
          <w:sz w:val="22"/>
          <w:szCs w:val="22"/>
        </w:rPr>
      </w:pPr>
    </w:p>
    <w:p>
      <w:pPr>
        <w:pStyle w:val="BodyText"/>
        <w:spacing w:line="316" w:lineRule="auto"/>
        <w:ind w:right="0" w:firstLine="360"/>
        <w:jc w:val="left"/>
      </w:pPr>
      <w:r>
        <w:rPr>
          <w:spacing w:val="-6"/>
        </w:rPr>
        <w:t>公司</w:t>
      </w:r>
      <w:r>
        <w:rPr>
          <w:rFonts w:ascii="宋体" w:hAnsi="宋体" w:cs="宋体" w:eastAsia="宋体" w:hint="default"/>
          <w:spacing w:val="-6"/>
        </w:rPr>
        <w:t>5G</w:t>
      </w:r>
      <w:r>
        <w:rPr>
          <w:spacing w:val="-6"/>
        </w:rPr>
        <w:t>智慧银行整体解决方案以“智慧银行平台及场景超市”为依托，构建银行服务新生态，通过平台赋能、场景连接、</w:t>
      </w:r>
      <w:r>
        <w:rPr>
          <w:w w:val="101"/>
        </w:rPr>
        <w:t> </w:t>
      </w:r>
      <w:r>
        <w:rPr>
          <w:spacing w:val="-3"/>
        </w:rPr>
        <w:t>科技突破，帮助行业客户更好的营销、宣传、服务，从而实现数字化、智能化创新和转型。</w:t>
      </w:r>
    </w:p>
    <w:p>
      <w:pPr>
        <w:pStyle w:val="BodyText"/>
        <w:spacing w:line="319" w:lineRule="auto" w:before="19"/>
        <w:ind w:left="513" w:right="1120"/>
        <w:jc w:val="left"/>
      </w:pPr>
      <w:r>
        <w:rPr>
          <w:rFonts w:ascii="宋体" w:hAnsi="宋体" w:cs="宋体" w:eastAsia="宋体" w:hint="default"/>
          <w:spacing w:val="-3"/>
        </w:rPr>
        <w:t>2</w:t>
      </w:r>
      <w:r>
        <w:rPr>
          <w:spacing w:val="-3"/>
        </w:rPr>
        <w:t>）基于区块链技术的奥拓金融信息服务链</w:t>
      </w:r>
      <w:r>
        <w:rPr>
          <w:spacing w:val="-29"/>
        </w:rPr>
        <w:t> </w:t>
      </w:r>
      <w:r>
        <w:rPr>
          <w:spacing w:val="-29"/>
        </w:rPr>
      </w:r>
      <w:r>
        <w:rPr>
          <w:spacing w:val="-2"/>
        </w:rPr>
        <w:t>奥拓金融信息服务链是公司联合</w:t>
      </w:r>
      <w:r>
        <w:rPr>
          <w:rFonts w:ascii="宋体" w:hAnsi="宋体" w:cs="宋体" w:eastAsia="宋体" w:hint="default"/>
          <w:spacing w:val="-2"/>
        </w:rPr>
        <w:t>MOAC</w:t>
      </w:r>
      <w:r>
        <w:rPr>
          <w:spacing w:val="-2"/>
        </w:rPr>
        <w:t>科技合作研发基于区块链技术和</w:t>
      </w:r>
      <w:r>
        <w:rPr>
          <w:rFonts w:ascii="宋体" w:hAnsi="宋体" w:cs="宋体" w:eastAsia="宋体" w:hint="default"/>
          <w:spacing w:val="-2"/>
        </w:rPr>
        <w:t>IPFS</w:t>
      </w:r>
      <w:r>
        <w:rPr>
          <w:spacing w:val="-2"/>
        </w:rPr>
        <w:t>（</w:t>
      </w:r>
      <w:r>
        <w:rPr>
          <w:rFonts w:ascii="宋体" w:hAnsi="宋体" w:cs="宋体" w:eastAsia="宋体" w:hint="default"/>
          <w:spacing w:val="-2"/>
        </w:rPr>
        <w:t>InterPlanetary</w:t>
      </w:r>
      <w:r>
        <w:rPr>
          <w:rFonts w:ascii="宋体" w:hAnsi="宋体" w:cs="宋体" w:eastAsia="宋体" w:hint="default"/>
        </w:rPr>
        <w:t> File</w:t>
      </w:r>
      <w:r>
        <w:rPr>
          <w:rFonts w:ascii="宋体" w:hAnsi="宋体" w:cs="宋体" w:eastAsia="宋体" w:hint="default"/>
          <w:spacing w:val="49"/>
        </w:rPr>
        <w:t> </w:t>
      </w:r>
      <w:r>
        <w:rPr>
          <w:rFonts w:ascii="宋体" w:hAnsi="宋体" w:cs="宋体" w:eastAsia="宋体" w:hint="default"/>
          <w:spacing w:val="-3"/>
        </w:rPr>
        <w:t>System</w:t>
      </w:r>
      <w:r>
        <w:rPr>
          <w:spacing w:val="-3"/>
        </w:rPr>
        <w:t>，星际文件系</w:t>
      </w:r>
    </w:p>
    <w:p>
      <w:pPr>
        <w:pStyle w:val="BodyText"/>
        <w:spacing w:line="316" w:lineRule="auto" w:before="17"/>
        <w:ind w:left="513" w:right="0" w:hanging="360"/>
        <w:jc w:val="left"/>
      </w:pPr>
      <w:r>
        <w:rPr>
          <w:spacing w:val="-3"/>
        </w:rPr>
        <w:t>统）的支持金融行业应用专有链。</w:t>
      </w:r>
      <w:r>
        <w:rPr>
          <w:spacing w:val="-44"/>
        </w:rPr>
        <w:t> </w:t>
      </w:r>
      <w:r>
        <w:rPr>
          <w:spacing w:val="-44"/>
        </w:rPr>
      </w:r>
      <w:r>
        <w:rPr>
          <w:spacing w:val="-3"/>
        </w:rPr>
        <w:t>公司计划推出基于分布式电子存证解决方案产品——奥拓存证链（</w:t>
      </w:r>
      <w:r>
        <w:rPr>
          <w:rFonts w:ascii="宋体" w:hAnsi="宋体" w:cs="宋体" w:eastAsia="宋体" w:hint="default"/>
          <w:spacing w:val="-3"/>
        </w:rPr>
        <w:t>AEC</w:t>
      </w:r>
      <w:r>
        <w:rPr>
          <w:spacing w:val="-3"/>
        </w:rPr>
        <w:t>）作为第一项应用服务，该产品可为金融机构、</w:t>
      </w:r>
    </w:p>
    <w:p>
      <w:pPr>
        <w:pStyle w:val="BodyText"/>
        <w:spacing w:line="316" w:lineRule="auto" w:before="19"/>
        <w:ind w:right="0"/>
        <w:jc w:val="left"/>
      </w:pPr>
      <w:r>
        <w:rPr>
          <w:spacing w:val="-4"/>
        </w:rPr>
        <w:t>政府及企业提供更安全、更高效的分布式存储服务。另外，还能为客户及第三方合作机构开放平台接口，提供基于存证链的</w:t>
      </w:r>
      <w:r>
        <w:rPr>
          <w:spacing w:val="40"/>
        </w:rPr>
        <w:t> </w:t>
      </w:r>
      <w:r>
        <w:rPr>
          <w:spacing w:val="40"/>
        </w:rPr>
      </w:r>
      <w:r>
        <w:rPr/>
        <w:t>存储及智能履约服务。</w:t>
      </w:r>
    </w:p>
    <w:p>
      <w:pPr>
        <w:pStyle w:val="BodyText"/>
        <w:spacing w:line="319" w:lineRule="auto" w:before="19"/>
        <w:ind w:left="513" w:right="0"/>
        <w:jc w:val="left"/>
      </w:pPr>
      <w:r>
        <w:rPr>
          <w:rFonts w:ascii="宋体" w:hAnsi="宋体" w:cs="宋体" w:eastAsia="宋体" w:hint="default"/>
        </w:rPr>
        <w:t>3</w:t>
      </w:r>
      <w:r>
        <w:rPr/>
        <w:t>）第三代智能服务型机器人</w:t>
      </w:r>
      <w:r>
        <w:rPr>
          <w:spacing w:val="-85"/>
        </w:rPr>
        <w:t> </w:t>
      </w:r>
      <w:r>
        <w:rPr>
          <w:spacing w:val="-85"/>
        </w:rPr>
      </w:r>
      <w:r>
        <w:rPr>
          <w:spacing w:val="-5"/>
          <w:w w:val="101"/>
        </w:rPr>
        <w:t>基于智能银行设备核心技术和经验的经年积累，公司构建的大堂智能服务型机器人整体解决方案已应用于南京政府活动</w:t>
      </w:r>
      <w:r>
        <w:rPr>
          <w:spacing w:val="-5"/>
        </w:rPr>
      </w:r>
    </w:p>
    <w:p>
      <w:pPr>
        <w:pStyle w:val="BodyText"/>
        <w:spacing w:line="316" w:lineRule="auto" w:before="17"/>
        <w:ind w:left="513" w:right="7667" w:hanging="360"/>
        <w:jc w:val="left"/>
      </w:pPr>
      <w:r>
        <w:rPr>
          <w:spacing w:val="-3"/>
        </w:rPr>
        <w:t>创新周等多个公开活动。</w:t>
      </w:r>
      <w:r>
        <w:rPr>
          <w:spacing w:val="-56"/>
        </w:rPr>
        <w:t> </w:t>
      </w:r>
      <w:r>
        <w:rPr>
          <w:spacing w:val="-56"/>
        </w:rPr>
      </w:r>
      <w:r>
        <w:rPr>
          <w:rFonts w:ascii="宋体" w:hAnsi="宋体" w:cs="宋体" w:eastAsia="宋体" w:hint="default"/>
        </w:rPr>
        <w:t>4</w:t>
      </w:r>
      <w:r>
        <w:rPr/>
        <w:t>）智能营销终端</w:t>
      </w:r>
    </w:p>
    <w:p>
      <w:pPr>
        <w:pStyle w:val="BodyText"/>
        <w:spacing w:line="316" w:lineRule="auto" w:before="19"/>
        <w:ind w:right="1120" w:firstLine="360"/>
        <w:jc w:val="left"/>
      </w:pPr>
      <w:r>
        <w:rPr/>
        <w:t>公司推出基于</w:t>
      </w:r>
      <w:r>
        <w:rPr>
          <w:rFonts w:ascii="宋体" w:hAnsi="宋体" w:cs="宋体" w:eastAsia="宋体" w:hint="default"/>
        </w:rPr>
        <w:t>Android</w:t>
      </w:r>
      <w:r>
        <w:rPr/>
        <w:t>和</w:t>
      </w:r>
      <w:r>
        <w:rPr>
          <w:spacing w:val="23"/>
        </w:rPr>
        <w:t> </w:t>
      </w:r>
      <w:r>
        <w:rPr>
          <w:rFonts w:ascii="宋体" w:hAnsi="宋体" w:cs="宋体" w:eastAsia="宋体" w:hint="default"/>
          <w:spacing w:val="-3"/>
        </w:rPr>
        <w:t>Windows</w:t>
      </w:r>
      <w:r>
        <w:rPr>
          <w:spacing w:val="-3"/>
        </w:rPr>
        <w:t>两大系统平台的智能营销终端，并提供配套的</w:t>
      </w:r>
      <w:r>
        <w:rPr>
          <w:rFonts w:ascii="宋体" w:hAnsi="宋体" w:cs="宋体" w:eastAsia="宋体" w:hint="default"/>
          <w:spacing w:val="-3"/>
        </w:rPr>
        <w:t>AI</w:t>
      </w:r>
      <w:r>
        <w:rPr>
          <w:spacing w:val="-3"/>
        </w:rPr>
        <w:t>营销软件，完善了现有的智慧银行整</w:t>
      </w:r>
      <w:r>
        <w:rPr>
          <w:w w:val="101"/>
        </w:rPr>
        <w:t> </w:t>
      </w:r>
      <w:r>
        <w:rPr/>
        <w:t>体解决方案。</w:t>
      </w:r>
    </w:p>
    <w:p>
      <w:pPr>
        <w:spacing w:line="316" w:lineRule="auto" w:before="19"/>
        <w:ind w:left="513" w:right="6445" w:firstLine="0"/>
        <w:jc w:val="left"/>
        <w:rPr>
          <w:rFonts w:ascii="宋体" w:hAnsi="宋体" w:cs="宋体" w:eastAsia="宋体" w:hint="default"/>
          <w:sz w:val="18"/>
          <w:szCs w:val="18"/>
        </w:rPr>
      </w:pPr>
      <w:r>
        <w:rPr>
          <w:rFonts w:ascii="宋体" w:hAnsi="宋体" w:cs="宋体" w:eastAsia="宋体" w:hint="default"/>
          <w:b/>
          <w:bCs/>
          <w:sz w:val="18"/>
          <w:szCs w:val="18"/>
        </w:rPr>
        <w:t>（</w:t>
      </w:r>
      <w:r>
        <w:rPr>
          <w:rFonts w:ascii="宋体" w:hAnsi="宋体" w:cs="宋体" w:eastAsia="宋体" w:hint="default"/>
          <w:b/>
          <w:bCs/>
          <w:sz w:val="18"/>
          <w:szCs w:val="18"/>
        </w:rPr>
        <w:t>8</w:t>
      </w:r>
      <w:r>
        <w:rPr>
          <w:rFonts w:ascii="宋体" w:hAnsi="宋体" w:cs="宋体" w:eastAsia="宋体" w:hint="default"/>
          <w:b/>
          <w:bCs/>
          <w:sz w:val="18"/>
          <w:szCs w:val="18"/>
        </w:rPr>
        <w:t>）举办多场金融科技市场推广活动</w:t>
      </w:r>
      <w:r>
        <w:rPr>
          <w:rFonts w:ascii="宋体" w:hAnsi="宋体" w:cs="宋体" w:eastAsia="宋体" w:hint="default"/>
          <w:b/>
          <w:bCs/>
          <w:spacing w:val="-89"/>
          <w:sz w:val="18"/>
          <w:szCs w:val="18"/>
        </w:rPr>
        <w:t> </w:t>
      </w:r>
      <w:r>
        <w:rPr>
          <w:rFonts w:ascii="宋体" w:hAnsi="宋体" w:cs="宋体" w:eastAsia="宋体" w:hint="default"/>
          <w:b/>
          <w:bCs/>
          <w:spacing w:val="-89"/>
          <w:sz w:val="18"/>
          <w:szCs w:val="18"/>
        </w:rPr>
      </w:r>
      <w:r>
        <w:rPr>
          <w:rFonts w:ascii="宋体" w:hAnsi="宋体" w:cs="宋体" w:eastAsia="宋体" w:hint="default"/>
          <w:spacing w:val="-3"/>
          <w:sz w:val="18"/>
          <w:szCs w:val="18"/>
        </w:rPr>
        <w:t>1</w:t>
      </w:r>
      <w:r>
        <w:rPr>
          <w:rFonts w:ascii="宋体" w:hAnsi="宋体" w:cs="宋体" w:eastAsia="宋体" w:hint="default"/>
          <w:spacing w:val="-3"/>
          <w:sz w:val="18"/>
          <w:szCs w:val="18"/>
        </w:rPr>
        <w:t>）承办</w:t>
      </w:r>
      <w:r>
        <w:rPr>
          <w:rFonts w:ascii="宋体" w:hAnsi="宋体" w:cs="宋体" w:eastAsia="宋体" w:hint="default"/>
          <w:spacing w:val="-3"/>
          <w:sz w:val="18"/>
          <w:szCs w:val="18"/>
        </w:rPr>
        <w:t>2019</w:t>
      </w:r>
      <w:r>
        <w:rPr>
          <w:rFonts w:ascii="宋体" w:hAnsi="宋体" w:cs="宋体" w:eastAsia="宋体" w:hint="default"/>
          <w:spacing w:val="-3"/>
          <w:sz w:val="18"/>
          <w:szCs w:val="18"/>
        </w:rPr>
        <w:t>年中国金融发展论坛分论坛</w:t>
      </w:r>
    </w:p>
    <w:p>
      <w:pPr>
        <w:pStyle w:val="BodyText"/>
        <w:spacing w:line="316" w:lineRule="auto" w:before="19"/>
        <w:ind w:right="0" w:firstLine="360"/>
        <w:jc w:val="left"/>
      </w:pPr>
      <w:r>
        <w:rPr>
          <w:rFonts w:ascii="宋体" w:hAnsi="宋体" w:cs="宋体" w:eastAsia="宋体" w:hint="default"/>
          <w:spacing w:val="-3"/>
        </w:rPr>
        <w:t>2019</w:t>
      </w:r>
      <w:r>
        <w:rPr>
          <w:spacing w:val="-3"/>
        </w:rPr>
        <w:t>年</w:t>
      </w:r>
      <w:r>
        <w:rPr>
          <w:rFonts w:ascii="宋体" w:hAnsi="宋体" w:cs="宋体" w:eastAsia="宋体" w:hint="default"/>
          <w:spacing w:val="-3"/>
        </w:rPr>
        <w:t>11</w:t>
      </w:r>
      <w:r>
        <w:rPr>
          <w:spacing w:val="-3"/>
        </w:rPr>
        <w:t>月</w:t>
      </w:r>
      <w:r>
        <w:rPr>
          <w:rFonts w:ascii="宋体" w:hAnsi="宋体" w:cs="宋体" w:eastAsia="宋体" w:hint="default"/>
          <w:spacing w:val="-3"/>
        </w:rPr>
        <w:t>5</w:t>
      </w:r>
      <w:r>
        <w:rPr>
          <w:spacing w:val="-3"/>
        </w:rPr>
        <w:t>日，公司承办的“第二十一届中国金融发展论坛分论坛”在深圳市四季酒店举行，国内众多银行、高校及</w:t>
      </w:r>
      <w:r>
        <w:rPr>
          <w:w w:val="101"/>
        </w:rPr>
        <w:t> </w:t>
      </w:r>
      <w:r>
        <w:rPr>
          <w:spacing w:val="-3"/>
        </w:rPr>
        <w:t>金融科技企业专家共同参与，并探讨金融科技在智慧银行的未来发展趋势。</w:t>
      </w:r>
    </w:p>
    <w:p>
      <w:pPr>
        <w:spacing w:line="240" w:lineRule="auto" w:before="3"/>
        <w:rPr>
          <w:rFonts w:ascii="宋体" w:hAnsi="宋体" w:cs="宋体" w:eastAsia="宋体" w:hint="default"/>
          <w:sz w:val="19"/>
          <w:szCs w:val="19"/>
        </w:rPr>
      </w:pPr>
    </w:p>
    <w:tbl>
      <w:tblPr>
        <w:tblW w:w="0" w:type="auto"/>
        <w:jc w:val="left"/>
        <w:tblInd w:w="686" w:type="dxa"/>
        <w:tblLayout w:type="fixed"/>
        <w:tblCellMar>
          <w:top w:w="0" w:type="dxa"/>
          <w:left w:w="0" w:type="dxa"/>
          <w:bottom w:w="0" w:type="dxa"/>
          <w:right w:w="0" w:type="dxa"/>
        </w:tblCellMar>
        <w:tblLook w:val="01E0"/>
      </w:tblPr>
      <w:tblGrid>
        <w:gridCol w:w="4288"/>
        <w:gridCol w:w="4287"/>
      </w:tblGrid>
      <w:tr>
        <w:trPr>
          <w:trHeight w:val="2549" w:hRule="exact"/>
        </w:trPr>
        <w:tc>
          <w:tcPr>
            <w:tcW w:w="4288" w:type="dxa"/>
            <w:tcBorders>
              <w:top w:val="nil" w:sz="6" w:space="0" w:color="auto"/>
              <w:left w:val="nil" w:sz="6" w:space="0" w:color="auto"/>
              <w:bottom w:val="nil" w:sz="6" w:space="0" w:color="auto"/>
              <w:right w:val="nil" w:sz="6" w:space="0" w:color="auto"/>
            </w:tcBorders>
          </w:tcPr>
          <w:p>
            <w:pPr>
              <w:pStyle w:val="TableParagraph"/>
              <w:spacing w:line="2567" w:lineRule="exact"/>
              <w:ind w:left="200" w:right="0"/>
              <w:jc w:val="left"/>
              <w:rPr>
                <w:rFonts w:ascii="宋体" w:hAnsi="宋体" w:cs="宋体" w:eastAsia="宋体" w:hint="default"/>
                <w:sz w:val="20"/>
                <w:szCs w:val="20"/>
              </w:rPr>
            </w:pPr>
            <w:r>
              <w:rPr>
                <w:rFonts w:ascii="宋体" w:hAnsi="宋体" w:cs="宋体" w:eastAsia="宋体" w:hint="default"/>
                <w:position w:val="-50"/>
                <w:sz w:val="20"/>
                <w:szCs w:val="20"/>
              </w:rPr>
              <w:drawing>
                <wp:inline distT="0" distB="0" distL="0" distR="0">
                  <wp:extent cx="2465595" cy="1630299"/>
                  <wp:effectExtent l="0" t="0" r="0" b="0"/>
                  <wp:docPr id="15" name="image9.jpeg" descr=""/>
                  <wp:cNvGraphicFramePr>
                    <a:graphicFrameLocks noChangeAspect="1"/>
                  </wp:cNvGraphicFramePr>
                  <a:graphic>
                    <a:graphicData uri="http://schemas.openxmlformats.org/drawingml/2006/picture">
                      <pic:pic>
                        <pic:nvPicPr>
                          <pic:cNvPr id="16" name="image9.jpeg"/>
                          <pic:cNvPicPr/>
                        </pic:nvPicPr>
                        <pic:blipFill>
                          <a:blip r:embed="rId19" cstate="print"/>
                          <a:stretch>
                            <a:fillRect/>
                          </a:stretch>
                        </pic:blipFill>
                        <pic:spPr>
                          <a:xfrm>
                            <a:off x="0" y="0"/>
                            <a:ext cx="2465595" cy="1630299"/>
                          </a:xfrm>
                          <a:prstGeom prst="rect">
                            <a:avLst/>
                          </a:prstGeom>
                        </pic:spPr>
                      </pic:pic>
                    </a:graphicData>
                  </a:graphic>
                </wp:inline>
              </w:drawing>
            </w:r>
            <w:r>
              <w:rPr>
                <w:rFonts w:ascii="宋体" w:hAnsi="宋体" w:cs="宋体" w:eastAsia="宋体" w:hint="default"/>
                <w:position w:val="-50"/>
                <w:sz w:val="20"/>
                <w:szCs w:val="20"/>
              </w:rPr>
            </w:r>
          </w:p>
        </w:tc>
        <w:tc>
          <w:tcPr>
            <w:tcW w:w="4287" w:type="dxa"/>
            <w:tcBorders>
              <w:top w:val="nil" w:sz="6" w:space="0" w:color="auto"/>
              <w:left w:val="nil" w:sz="6" w:space="0" w:color="auto"/>
              <w:bottom w:val="nil" w:sz="6" w:space="0" w:color="auto"/>
              <w:right w:val="nil" w:sz="6" w:space="0" w:color="auto"/>
            </w:tcBorders>
          </w:tcPr>
          <w:p>
            <w:pPr>
              <w:pStyle w:val="TableParagraph"/>
              <w:spacing w:line="2567" w:lineRule="exact"/>
              <w:ind w:left="232" w:right="0"/>
              <w:jc w:val="left"/>
              <w:rPr>
                <w:rFonts w:ascii="宋体" w:hAnsi="宋体" w:cs="宋体" w:eastAsia="宋体" w:hint="default"/>
                <w:sz w:val="20"/>
                <w:szCs w:val="20"/>
              </w:rPr>
            </w:pPr>
            <w:r>
              <w:rPr>
                <w:rFonts w:ascii="宋体" w:hAnsi="宋体" w:cs="宋体" w:eastAsia="宋体" w:hint="default"/>
                <w:position w:val="-50"/>
                <w:sz w:val="20"/>
                <w:szCs w:val="20"/>
              </w:rPr>
              <w:drawing>
                <wp:inline distT="0" distB="0" distL="0" distR="0">
                  <wp:extent cx="2465595" cy="1630299"/>
                  <wp:effectExtent l="0" t="0" r="0" b="0"/>
                  <wp:docPr id="17" name="image10.jpeg" descr=""/>
                  <wp:cNvGraphicFramePr>
                    <a:graphicFrameLocks noChangeAspect="1"/>
                  </wp:cNvGraphicFramePr>
                  <a:graphic>
                    <a:graphicData uri="http://schemas.openxmlformats.org/drawingml/2006/picture">
                      <pic:pic>
                        <pic:nvPicPr>
                          <pic:cNvPr id="18" name="image10.jpeg"/>
                          <pic:cNvPicPr/>
                        </pic:nvPicPr>
                        <pic:blipFill>
                          <a:blip r:embed="rId20" cstate="print"/>
                          <a:stretch>
                            <a:fillRect/>
                          </a:stretch>
                        </pic:blipFill>
                        <pic:spPr>
                          <a:xfrm>
                            <a:off x="0" y="0"/>
                            <a:ext cx="2465595" cy="1630299"/>
                          </a:xfrm>
                          <a:prstGeom prst="rect">
                            <a:avLst/>
                          </a:prstGeom>
                        </pic:spPr>
                      </pic:pic>
                    </a:graphicData>
                  </a:graphic>
                </wp:inline>
              </w:drawing>
            </w:r>
            <w:r>
              <w:rPr>
                <w:rFonts w:ascii="宋体" w:hAnsi="宋体" w:cs="宋体" w:eastAsia="宋体" w:hint="default"/>
                <w:position w:val="-50"/>
                <w:sz w:val="20"/>
                <w:szCs w:val="20"/>
              </w:rPr>
            </w:r>
          </w:p>
        </w:tc>
      </w:tr>
    </w:tbl>
    <w:p>
      <w:pPr>
        <w:spacing w:line="240" w:lineRule="auto" w:before="10"/>
        <w:rPr>
          <w:rFonts w:ascii="宋体" w:hAnsi="宋体" w:cs="宋体" w:eastAsia="宋体" w:hint="default"/>
          <w:sz w:val="16"/>
          <w:szCs w:val="16"/>
        </w:rPr>
      </w:pPr>
    </w:p>
    <w:p>
      <w:pPr>
        <w:pStyle w:val="BodyText"/>
        <w:spacing w:line="240" w:lineRule="auto" w:before="0"/>
        <w:ind w:left="513" w:right="0"/>
        <w:jc w:val="left"/>
      </w:pPr>
      <w:r>
        <w:rPr>
          <w:rFonts w:ascii="宋体" w:hAnsi="宋体" w:cs="宋体" w:eastAsia="宋体" w:hint="default"/>
        </w:rPr>
        <w:t>2</w:t>
      </w:r>
      <w:r>
        <w:rPr/>
        <w:t>）召开金融科技年度新品发布会</w:t>
      </w:r>
    </w:p>
    <w:p>
      <w:pPr>
        <w:pStyle w:val="BodyText"/>
        <w:spacing w:line="316" w:lineRule="auto" w:before="76"/>
        <w:ind w:right="0" w:firstLine="360"/>
        <w:jc w:val="left"/>
      </w:pPr>
      <w:r>
        <w:rPr>
          <w:rFonts w:ascii="宋体" w:hAnsi="宋体" w:cs="宋体" w:eastAsia="宋体" w:hint="default"/>
          <w:spacing w:val="-6"/>
        </w:rPr>
        <w:t>2019</w:t>
      </w:r>
      <w:r>
        <w:rPr>
          <w:spacing w:val="-6"/>
        </w:rPr>
        <w:t>年</w:t>
      </w:r>
      <w:r>
        <w:rPr>
          <w:rFonts w:ascii="宋体" w:hAnsi="宋体" w:cs="宋体" w:eastAsia="宋体" w:hint="default"/>
          <w:spacing w:val="-6"/>
        </w:rPr>
        <w:t>12</w:t>
      </w:r>
      <w:r>
        <w:rPr>
          <w:spacing w:val="-6"/>
        </w:rPr>
        <w:t>月</w:t>
      </w:r>
      <w:r>
        <w:rPr>
          <w:rFonts w:ascii="宋体" w:hAnsi="宋体" w:cs="宋体" w:eastAsia="宋体" w:hint="default"/>
          <w:spacing w:val="-6"/>
        </w:rPr>
        <w:t>20</w:t>
      </w:r>
      <w:r>
        <w:rPr>
          <w:spacing w:val="-6"/>
        </w:rPr>
        <w:t>日，公司在上海外滩悦榕庄酒店举行“奥拓·金融科技年度新品发布会”，获得国内多家银行、金融机构、</w:t>
      </w:r>
      <w:r>
        <w:rPr>
          <w:w w:val="101"/>
        </w:rPr>
        <w:t> </w:t>
      </w:r>
      <w:r>
        <w:rPr>
          <w:spacing w:val="-3"/>
        </w:rPr>
        <w:t>电信及媒体等机构的关注和参与，发布会上，现场推出和展示了多款公司最新研发的金融科技产品及解决方案。</w:t>
      </w:r>
    </w:p>
    <w:p>
      <w:pPr>
        <w:spacing w:line="240" w:lineRule="auto" w:before="2"/>
        <w:rPr>
          <w:rFonts w:ascii="宋体" w:hAnsi="宋体" w:cs="宋体" w:eastAsia="宋体" w:hint="default"/>
          <w:sz w:val="19"/>
          <w:szCs w:val="19"/>
        </w:rPr>
      </w:pPr>
    </w:p>
    <w:tbl>
      <w:tblPr>
        <w:tblW w:w="0" w:type="auto"/>
        <w:jc w:val="left"/>
        <w:tblInd w:w="686" w:type="dxa"/>
        <w:tblLayout w:type="fixed"/>
        <w:tblCellMar>
          <w:top w:w="0" w:type="dxa"/>
          <w:left w:w="0" w:type="dxa"/>
          <w:bottom w:w="0" w:type="dxa"/>
          <w:right w:w="0" w:type="dxa"/>
        </w:tblCellMar>
        <w:tblLook w:val="01E0"/>
      </w:tblPr>
      <w:tblGrid>
        <w:gridCol w:w="4288"/>
        <w:gridCol w:w="4287"/>
      </w:tblGrid>
      <w:tr>
        <w:trPr>
          <w:trHeight w:val="2549" w:hRule="exact"/>
        </w:trPr>
        <w:tc>
          <w:tcPr>
            <w:tcW w:w="4288" w:type="dxa"/>
            <w:tcBorders>
              <w:top w:val="nil" w:sz="6" w:space="0" w:color="auto"/>
              <w:left w:val="nil" w:sz="6" w:space="0" w:color="auto"/>
              <w:bottom w:val="nil" w:sz="6" w:space="0" w:color="auto"/>
              <w:right w:val="nil" w:sz="6" w:space="0" w:color="auto"/>
            </w:tcBorders>
          </w:tcPr>
          <w:p>
            <w:pPr>
              <w:pStyle w:val="TableParagraph"/>
              <w:spacing w:line="2567" w:lineRule="exact"/>
              <w:ind w:left="200" w:right="0"/>
              <w:jc w:val="left"/>
              <w:rPr>
                <w:rFonts w:ascii="宋体" w:hAnsi="宋体" w:cs="宋体" w:eastAsia="宋体" w:hint="default"/>
                <w:sz w:val="20"/>
                <w:szCs w:val="20"/>
              </w:rPr>
            </w:pPr>
            <w:r>
              <w:rPr>
                <w:rFonts w:ascii="宋体" w:hAnsi="宋体" w:cs="宋体" w:eastAsia="宋体" w:hint="default"/>
                <w:position w:val="-50"/>
                <w:sz w:val="20"/>
                <w:szCs w:val="20"/>
              </w:rPr>
              <w:drawing>
                <wp:inline distT="0" distB="0" distL="0" distR="0">
                  <wp:extent cx="2465595" cy="1630299"/>
                  <wp:effectExtent l="0" t="0" r="0" b="0"/>
                  <wp:docPr id="19" name="image11.jpeg" descr=""/>
                  <wp:cNvGraphicFramePr>
                    <a:graphicFrameLocks noChangeAspect="1"/>
                  </wp:cNvGraphicFramePr>
                  <a:graphic>
                    <a:graphicData uri="http://schemas.openxmlformats.org/drawingml/2006/picture">
                      <pic:pic>
                        <pic:nvPicPr>
                          <pic:cNvPr id="20" name="image11.jpeg"/>
                          <pic:cNvPicPr/>
                        </pic:nvPicPr>
                        <pic:blipFill>
                          <a:blip r:embed="rId21" cstate="print"/>
                          <a:stretch>
                            <a:fillRect/>
                          </a:stretch>
                        </pic:blipFill>
                        <pic:spPr>
                          <a:xfrm>
                            <a:off x="0" y="0"/>
                            <a:ext cx="2465595" cy="1630299"/>
                          </a:xfrm>
                          <a:prstGeom prst="rect">
                            <a:avLst/>
                          </a:prstGeom>
                        </pic:spPr>
                      </pic:pic>
                    </a:graphicData>
                  </a:graphic>
                </wp:inline>
              </w:drawing>
            </w:r>
            <w:r>
              <w:rPr>
                <w:rFonts w:ascii="宋体" w:hAnsi="宋体" w:cs="宋体" w:eastAsia="宋体" w:hint="default"/>
                <w:position w:val="-50"/>
                <w:sz w:val="20"/>
                <w:szCs w:val="20"/>
              </w:rPr>
            </w:r>
          </w:p>
        </w:tc>
        <w:tc>
          <w:tcPr>
            <w:tcW w:w="4287" w:type="dxa"/>
            <w:tcBorders>
              <w:top w:val="nil" w:sz="6" w:space="0" w:color="auto"/>
              <w:left w:val="nil" w:sz="6" w:space="0" w:color="auto"/>
              <w:bottom w:val="nil" w:sz="6" w:space="0" w:color="auto"/>
              <w:right w:val="nil" w:sz="6" w:space="0" w:color="auto"/>
            </w:tcBorders>
          </w:tcPr>
          <w:p>
            <w:pPr>
              <w:pStyle w:val="TableParagraph"/>
              <w:spacing w:line="2567" w:lineRule="exact"/>
              <w:ind w:left="232" w:right="0"/>
              <w:jc w:val="left"/>
              <w:rPr>
                <w:rFonts w:ascii="宋体" w:hAnsi="宋体" w:cs="宋体" w:eastAsia="宋体" w:hint="default"/>
                <w:sz w:val="20"/>
                <w:szCs w:val="20"/>
              </w:rPr>
            </w:pPr>
            <w:r>
              <w:rPr>
                <w:rFonts w:ascii="宋体" w:hAnsi="宋体" w:cs="宋体" w:eastAsia="宋体" w:hint="default"/>
                <w:position w:val="-50"/>
                <w:sz w:val="20"/>
                <w:szCs w:val="20"/>
              </w:rPr>
              <w:drawing>
                <wp:inline distT="0" distB="0" distL="0" distR="0">
                  <wp:extent cx="2465595" cy="1630299"/>
                  <wp:effectExtent l="0" t="0" r="0" b="0"/>
                  <wp:docPr id="21" name="image12.jpeg" descr=""/>
                  <wp:cNvGraphicFramePr>
                    <a:graphicFrameLocks noChangeAspect="1"/>
                  </wp:cNvGraphicFramePr>
                  <a:graphic>
                    <a:graphicData uri="http://schemas.openxmlformats.org/drawingml/2006/picture">
                      <pic:pic>
                        <pic:nvPicPr>
                          <pic:cNvPr id="22" name="image12.jpeg"/>
                          <pic:cNvPicPr/>
                        </pic:nvPicPr>
                        <pic:blipFill>
                          <a:blip r:embed="rId22" cstate="print"/>
                          <a:stretch>
                            <a:fillRect/>
                          </a:stretch>
                        </pic:blipFill>
                        <pic:spPr>
                          <a:xfrm>
                            <a:off x="0" y="0"/>
                            <a:ext cx="2465595" cy="1630299"/>
                          </a:xfrm>
                          <a:prstGeom prst="rect">
                            <a:avLst/>
                          </a:prstGeom>
                        </pic:spPr>
                      </pic:pic>
                    </a:graphicData>
                  </a:graphic>
                </wp:inline>
              </w:drawing>
            </w:r>
            <w:r>
              <w:rPr>
                <w:rFonts w:ascii="宋体" w:hAnsi="宋体" w:cs="宋体" w:eastAsia="宋体" w:hint="default"/>
                <w:position w:val="-50"/>
                <w:sz w:val="20"/>
                <w:szCs w:val="20"/>
              </w:rPr>
            </w:r>
          </w:p>
        </w:tc>
      </w:tr>
    </w:tbl>
    <w:p>
      <w:pPr>
        <w:spacing w:line="240" w:lineRule="auto" w:before="11"/>
        <w:rPr>
          <w:rFonts w:ascii="宋体" w:hAnsi="宋体" w:cs="宋体" w:eastAsia="宋体" w:hint="default"/>
          <w:sz w:val="16"/>
          <w:szCs w:val="16"/>
        </w:rPr>
      </w:pPr>
    </w:p>
    <w:p>
      <w:pPr>
        <w:spacing w:line="319" w:lineRule="auto" w:before="0"/>
        <w:ind w:left="513" w:right="0" w:firstLine="0"/>
        <w:jc w:val="left"/>
        <w:rPr>
          <w:rFonts w:ascii="宋体" w:hAnsi="宋体" w:cs="宋体" w:eastAsia="宋体" w:hint="default"/>
          <w:sz w:val="18"/>
          <w:szCs w:val="18"/>
        </w:rPr>
      </w:pPr>
      <w:r>
        <w:rPr>
          <w:rFonts w:ascii="宋体" w:hAnsi="宋体" w:cs="宋体" w:eastAsia="宋体" w:hint="default"/>
          <w:b/>
          <w:bCs/>
          <w:sz w:val="18"/>
          <w:szCs w:val="18"/>
        </w:rPr>
        <w:t>（</w:t>
      </w:r>
      <w:r>
        <w:rPr>
          <w:rFonts w:ascii="宋体" w:hAnsi="宋体" w:cs="宋体" w:eastAsia="宋体" w:hint="default"/>
          <w:b/>
          <w:bCs/>
          <w:sz w:val="18"/>
          <w:szCs w:val="18"/>
        </w:rPr>
        <w:t>9</w:t>
      </w:r>
      <w:r>
        <w:rPr>
          <w:rFonts w:ascii="宋体" w:hAnsi="宋体" w:cs="宋体" w:eastAsia="宋体" w:hint="default"/>
          <w:b/>
          <w:bCs/>
          <w:sz w:val="18"/>
          <w:szCs w:val="18"/>
        </w:rPr>
        <w:t>）积极研发疫情防控功能新产品</w:t>
      </w:r>
      <w:r>
        <w:rPr>
          <w:rFonts w:ascii="宋体" w:hAnsi="宋体" w:cs="宋体" w:eastAsia="宋体" w:hint="default"/>
          <w:b/>
          <w:bCs/>
          <w:spacing w:val="-85"/>
          <w:sz w:val="18"/>
          <w:szCs w:val="18"/>
        </w:rPr>
        <w:t> </w:t>
      </w:r>
      <w:r>
        <w:rPr>
          <w:rFonts w:ascii="宋体" w:hAnsi="宋体" w:cs="宋体" w:eastAsia="宋体" w:hint="default"/>
          <w:b/>
          <w:bCs/>
          <w:spacing w:val="-85"/>
          <w:sz w:val="18"/>
          <w:szCs w:val="18"/>
        </w:rPr>
      </w:r>
      <w:r>
        <w:rPr>
          <w:rFonts w:ascii="宋体" w:hAnsi="宋体" w:cs="宋体" w:eastAsia="宋体" w:hint="default"/>
          <w:spacing w:val="-4"/>
          <w:sz w:val="18"/>
          <w:szCs w:val="18"/>
        </w:rPr>
        <w:t>2020</w:t>
      </w:r>
      <w:r>
        <w:rPr>
          <w:rFonts w:ascii="宋体" w:hAnsi="宋体" w:cs="宋体" w:eastAsia="宋体" w:hint="default"/>
          <w:spacing w:val="-4"/>
          <w:sz w:val="18"/>
          <w:szCs w:val="18"/>
        </w:rPr>
        <w:t>年初，新型冠状病毒疫情爆发，为满足客户的防疫需求，公司积极研发具有疫情防控功能的新产品，帮助客户降低</w:t>
      </w:r>
    </w:p>
    <w:p>
      <w:pPr>
        <w:pStyle w:val="BodyText"/>
        <w:spacing w:line="316" w:lineRule="auto" w:before="17"/>
        <w:ind w:left="513" w:right="6445" w:hanging="360"/>
        <w:jc w:val="left"/>
      </w:pPr>
      <w:r>
        <w:rPr>
          <w:spacing w:val="-3"/>
        </w:rPr>
        <w:t>交叉感染风险，助力国家抗疫。</w:t>
      </w:r>
      <w:r>
        <w:rPr>
          <w:spacing w:val="-45"/>
        </w:rPr>
        <w:t> </w:t>
      </w:r>
      <w:r>
        <w:rPr>
          <w:spacing w:val="-45"/>
        </w:rPr>
      </w:r>
      <w:r>
        <w:rPr>
          <w:rFonts w:ascii="宋体" w:hAnsi="宋体" w:cs="宋体" w:eastAsia="宋体" w:hint="default"/>
          <w:spacing w:val="-3"/>
        </w:rPr>
        <w:t>1</w:t>
      </w:r>
      <w:r>
        <w:rPr>
          <w:spacing w:val="-3"/>
        </w:rPr>
        <w:t>）带有红外测温模块的智能分流系统</w:t>
      </w:r>
    </w:p>
    <w:p>
      <w:pPr>
        <w:spacing w:after="0" w:line="316" w:lineRule="auto"/>
        <w:jc w:val="left"/>
        <w:sectPr>
          <w:pgSz w:w="11910" w:h="16840"/>
          <w:pgMar w:header="784" w:footer="1022" w:top="1100" w:bottom="1220" w:left="980" w:right="0"/>
        </w:sectPr>
      </w:pPr>
    </w:p>
    <w:p>
      <w:pPr>
        <w:spacing w:line="240" w:lineRule="auto" w:before="10"/>
        <w:rPr>
          <w:rFonts w:ascii="宋体" w:hAnsi="宋体" w:cs="宋体" w:eastAsia="宋体" w:hint="default"/>
          <w:sz w:val="22"/>
          <w:szCs w:val="22"/>
        </w:rPr>
      </w:pPr>
    </w:p>
    <w:p>
      <w:pPr>
        <w:pStyle w:val="BodyText"/>
        <w:spacing w:line="316" w:lineRule="auto"/>
        <w:ind w:right="0" w:firstLine="360"/>
        <w:jc w:val="left"/>
      </w:pPr>
      <w:r>
        <w:rPr>
          <w:spacing w:val="-4"/>
        </w:rPr>
        <w:t>公司在客户分流系统的基础上，新增了红外测体温模块。客户在取号机前就可以进行红外线检测体温，系统不仅能自动</w:t>
      </w:r>
      <w:r>
        <w:rPr>
          <w:w w:val="101"/>
        </w:rPr>
        <w:t> </w:t>
      </w:r>
      <w:r>
        <w:rPr>
          <w:spacing w:val="-3"/>
        </w:rPr>
        <w:t>识别、预警体温异常人员，还支持语音识别及扫码办理业务等，有效的减少接触感染的机会。</w:t>
      </w:r>
    </w:p>
    <w:p>
      <w:pPr>
        <w:spacing w:line="240" w:lineRule="auto" w:before="7"/>
        <w:rPr>
          <w:rFonts w:ascii="宋体" w:hAnsi="宋体" w:cs="宋体" w:eastAsia="宋体" w:hint="default"/>
          <w:sz w:val="10"/>
          <w:szCs w:val="10"/>
        </w:rPr>
      </w:pPr>
    </w:p>
    <w:tbl>
      <w:tblPr>
        <w:tblW w:w="0" w:type="auto"/>
        <w:jc w:val="left"/>
        <w:tblInd w:w="2847" w:type="dxa"/>
        <w:tblLayout w:type="fixed"/>
        <w:tblCellMar>
          <w:top w:w="0" w:type="dxa"/>
          <w:left w:w="0" w:type="dxa"/>
          <w:bottom w:w="0" w:type="dxa"/>
          <w:right w:w="0" w:type="dxa"/>
        </w:tblCellMar>
        <w:tblLook w:val="01E0"/>
      </w:tblPr>
      <w:tblGrid>
        <w:gridCol w:w="4255"/>
      </w:tblGrid>
      <w:tr>
        <w:trPr>
          <w:trHeight w:val="2646" w:hRule="exact"/>
        </w:trPr>
        <w:tc>
          <w:tcPr>
            <w:tcW w:w="4255" w:type="dxa"/>
            <w:tcBorders>
              <w:top w:val="nil" w:sz="6" w:space="0" w:color="auto"/>
              <w:left w:val="nil" w:sz="6" w:space="0" w:color="auto"/>
              <w:bottom w:val="nil" w:sz="6" w:space="0" w:color="auto"/>
              <w:right w:val="nil" w:sz="6" w:space="0" w:color="auto"/>
            </w:tcBorders>
          </w:tcPr>
          <w:p>
            <w:pPr>
              <w:pStyle w:val="TableParagraph"/>
              <w:spacing w:line="2574" w:lineRule="exact"/>
              <w:ind w:left="200" w:right="0"/>
              <w:jc w:val="left"/>
              <w:rPr>
                <w:rFonts w:ascii="宋体" w:hAnsi="宋体" w:cs="宋体" w:eastAsia="宋体" w:hint="default"/>
                <w:sz w:val="20"/>
                <w:szCs w:val="20"/>
              </w:rPr>
            </w:pPr>
            <w:r>
              <w:rPr>
                <w:rFonts w:ascii="宋体" w:hAnsi="宋体" w:cs="宋体" w:eastAsia="宋体" w:hint="default"/>
                <w:position w:val="-50"/>
                <w:sz w:val="20"/>
                <w:szCs w:val="20"/>
              </w:rPr>
              <w:drawing>
                <wp:inline distT="0" distB="0" distL="0" distR="0">
                  <wp:extent cx="2472903" cy="1634490"/>
                  <wp:effectExtent l="0" t="0" r="0" b="0"/>
                  <wp:docPr id="23" name="image13.jpeg" descr=""/>
                  <wp:cNvGraphicFramePr>
                    <a:graphicFrameLocks noChangeAspect="1"/>
                  </wp:cNvGraphicFramePr>
                  <a:graphic>
                    <a:graphicData uri="http://schemas.openxmlformats.org/drawingml/2006/picture">
                      <pic:pic>
                        <pic:nvPicPr>
                          <pic:cNvPr id="24" name="image13.jpeg"/>
                          <pic:cNvPicPr/>
                        </pic:nvPicPr>
                        <pic:blipFill>
                          <a:blip r:embed="rId23" cstate="print"/>
                          <a:stretch>
                            <a:fillRect/>
                          </a:stretch>
                        </pic:blipFill>
                        <pic:spPr>
                          <a:xfrm>
                            <a:off x="0" y="0"/>
                            <a:ext cx="2472903" cy="1634490"/>
                          </a:xfrm>
                          <a:prstGeom prst="rect">
                            <a:avLst/>
                          </a:prstGeom>
                        </pic:spPr>
                      </pic:pic>
                    </a:graphicData>
                  </a:graphic>
                </wp:inline>
              </w:drawing>
            </w:r>
            <w:r>
              <w:rPr>
                <w:rFonts w:ascii="宋体" w:hAnsi="宋体" w:cs="宋体" w:eastAsia="宋体" w:hint="default"/>
                <w:position w:val="-50"/>
                <w:sz w:val="20"/>
                <w:szCs w:val="20"/>
              </w:rPr>
            </w:r>
          </w:p>
        </w:tc>
      </w:tr>
      <w:tr>
        <w:trPr>
          <w:trHeight w:val="280" w:hRule="exact"/>
        </w:trPr>
        <w:tc>
          <w:tcPr>
            <w:tcW w:w="425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78" w:right="0"/>
              <w:jc w:val="left"/>
              <w:rPr>
                <w:rFonts w:ascii="宋体" w:hAnsi="宋体" w:cs="宋体" w:eastAsia="宋体" w:hint="default"/>
                <w:sz w:val="18"/>
                <w:szCs w:val="18"/>
              </w:rPr>
            </w:pPr>
            <w:r>
              <w:rPr>
                <w:rFonts w:ascii="宋体" w:hAnsi="宋体" w:cs="宋体" w:eastAsia="宋体" w:hint="default"/>
                <w:spacing w:val="-3"/>
                <w:sz w:val="18"/>
                <w:szCs w:val="18"/>
              </w:rPr>
              <w:t>带有红外测温模块的智能分流系统</w:t>
            </w:r>
          </w:p>
        </w:tc>
      </w:tr>
    </w:tbl>
    <w:p>
      <w:pPr>
        <w:pStyle w:val="BodyText"/>
        <w:spacing w:line="316" w:lineRule="auto" w:before="76"/>
        <w:ind w:left="513" w:right="0"/>
        <w:jc w:val="left"/>
      </w:pPr>
      <w:r>
        <w:rPr>
          <w:rFonts w:ascii="宋体" w:hAnsi="宋体" w:cs="宋体" w:eastAsia="宋体" w:hint="default"/>
        </w:rPr>
        <w:t>2</w:t>
      </w:r>
      <w:r>
        <w:rPr/>
        <w:t>）应急信息发布系统</w:t>
      </w:r>
      <w:r>
        <w:rPr>
          <w:spacing w:val="-88"/>
        </w:rPr>
        <w:t> </w:t>
      </w:r>
      <w:r>
        <w:rPr>
          <w:spacing w:val="-88"/>
        </w:rPr>
      </w:r>
      <w:r>
        <w:rPr>
          <w:spacing w:val="-4"/>
        </w:rPr>
        <w:t>公司应急信息发布系统采用多样化的发布通道，支持各种供电方式，还采用先进</w:t>
      </w:r>
      <w:r>
        <w:rPr>
          <w:rFonts w:ascii="宋体" w:hAnsi="宋体" w:cs="宋体" w:eastAsia="宋体" w:hint="default"/>
          <w:spacing w:val="-4"/>
        </w:rPr>
        <w:t>RSA</w:t>
      </w:r>
      <w:r>
        <w:rPr>
          <w:spacing w:val="-4"/>
        </w:rPr>
        <w:t>非对称加密、</w:t>
      </w:r>
      <w:r>
        <w:rPr>
          <w:rFonts w:ascii="宋体" w:hAnsi="宋体" w:cs="宋体" w:eastAsia="宋体" w:hint="default"/>
          <w:spacing w:val="-4"/>
        </w:rPr>
        <w:t>MAC</w:t>
      </w:r>
      <w:r>
        <w:rPr>
          <w:spacing w:val="-4"/>
        </w:rPr>
        <w:t>网络安全校验、严</w:t>
      </w:r>
    </w:p>
    <w:p>
      <w:pPr>
        <w:pStyle w:val="BodyText"/>
        <w:spacing w:line="316" w:lineRule="auto" w:before="19"/>
        <w:ind w:right="1124"/>
        <w:jc w:val="both"/>
      </w:pPr>
      <w:r>
        <w:rPr>
          <w:spacing w:val="-4"/>
        </w:rPr>
        <w:t>密的信息发布追踪等技术，确保在各种紧急情况下，信息发布系统都能有效运行，该系统适用于酒店、写字楼、公园、购物</w:t>
      </w:r>
      <w:r>
        <w:rPr>
          <w:spacing w:val="40"/>
        </w:rPr>
        <w:t> </w:t>
      </w:r>
      <w:r>
        <w:rPr>
          <w:spacing w:val="40"/>
        </w:rPr>
      </w:r>
      <w:r>
        <w:rPr>
          <w:spacing w:val="-3"/>
        </w:rPr>
        <w:t>中心、俱乐部、公寓等场所。</w:t>
      </w:r>
    </w:p>
    <w:p>
      <w:pPr>
        <w:spacing w:line="240" w:lineRule="auto" w:before="4"/>
        <w:rPr>
          <w:rFonts w:ascii="宋体" w:hAnsi="宋体" w:cs="宋体" w:eastAsia="宋体" w:hint="default"/>
          <w:sz w:val="9"/>
          <w:szCs w:val="9"/>
        </w:rPr>
      </w:pPr>
    </w:p>
    <w:tbl>
      <w:tblPr>
        <w:tblW w:w="0" w:type="auto"/>
        <w:jc w:val="left"/>
        <w:tblInd w:w="2847" w:type="dxa"/>
        <w:tblLayout w:type="fixed"/>
        <w:tblCellMar>
          <w:top w:w="0" w:type="dxa"/>
          <w:left w:w="0" w:type="dxa"/>
          <w:bottom w:w="0" w:type="dxa"/>
          <w:right w:w="0" w:type="dxa"/>
        </w:tblCellMar>
        <w:tblLook w:val="01E0"/>
      </w:tblPr>
      <w:tblGrid>
        <w:gridCol w:w="4255"/>
      </w:tblGrid>
      <w:tr>
        <w:trPr>
          <w:trHeight w:val="2666" w:hRule="exact"/>
        </w:trPr>
        <w:tc>
          <w:tcPr>
            <w:tcW w:w="4255" w:type="dxa"/>
            <w:tcBorders>
              <w:top w:val="nil" w:sz="6" w:space="0" w:color="auto"/>
              <w:left w:val="nil" w:sz="6" w:space="0" w:color="auto"/>
              <w:bottom w:val="nil" w:sz="6" w:space="0" w:color="auto"/>
              <w:right w:val="nil" w:sz="6" w:space="0" w:color="auto"/>
            </w:tcBorders>
          </w:tcPr>
          <w:p>
            <w:pPr>
              <w:pStyle w:val="TableParagraph"/>
              <w:spacing w:line="2593" w:lineRule="exact"/>
              <w:ind w:left="200" w:right="0"/>
              <w:jc w:val="left"/>
              <w:rPr>
                <w:rFonts w:ascii="宋体" w:hAnsi="宋体" w:cs="宋体" w:eastAsia="宋体" w:hint="default"/>
                <w:sz w:val="20"/>
                <w:szCs w:val="20"/>
              </w:rPr>
            </w:pPr>
            <w:r>
              <w:rPr>
                <w:rFonts w:ascii="宋体" w:hAnsi="宋体" w:cs="宋体" w:eastAsia="宋体" w:hint="default"/>
                <w:position w:val="-51"/>
                <w:sz w:val="20"/>
                <w:szCs w:val="20"/>
              </w:rPr>
              <w:drawing>
                <wp:inline distT="0" distB="0" distL="0" distR="0">
                  <wp:extent cx="2467713" cy="1647063"/>
                  <wp:effectExtent l="0" t="0" r="0" b="0"/>
                  <wp:docPr id="25" name="image14.jpeg" descr=""/>
                  <wp:cNvGraphicFramePr>
                    <a:graphicFrameLocks noChangeAspect="1"/>
                  </wp:cNvGraphicFramePr>
                  <a:graphic>
                    <a:graphicData uri="http://schemas.openxmlformats.org/drawingml/2006/picture">
                      <pic:pic>
                        <pic:nvPicPr>
                          <pic:cNvPr id="26" name="image14.jpeg"/>
                          <pic:cNvPicPr/>
                        </pic:nvPicPr>
                        <pic:blipFill>
                          <a:blip r:embed="rId24" cstate="print"/>
                          <a:stretch>
                            <a:fillRect/>
                          </a:stretch>
                        </pic:blipFill>
                        <pic:spPr>
                          <a:xfrm>
                            <a:off x="0" y="0"/>
                            <a:ext cx="2467713" cy="1647063"/>
                          </a:xfrm>
                          <a:prstGeom prst="rect">
                            <a:avLst/>
                          </a:prstGeom>
                        </pic:spPr>
                      </pic:pic>
                    </a:graphicData>
                  </a:graphic>
                </wp:inline>
              </w:drawing>
            </w:r>
            <w:r>
              <w:rPr>
                <w:rFonts w:ascii="宋体" w:hAnsi="宋体" w:cs="宋体" w:eastAsia="宋体" w:hint="default"/>
                <w:position w:val="-51"/>
                <w:sz w:val="20"/>
                <w:szCs w:val="20"/>
              </w:rPr>
            </w:r>
          </w:p>
        </w:tc>
      </w:tr>
      <w:tr>
        <w:trPr>
          <w:trHeight w:val="276" w:hRule="exact"/>
        </w:trPr>
        <w:tc>
          <w:tcPr>
            <w:tcW w:w="4255"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407" w:right="0"/>
              <w:jc w:val="left"/>
              <w:rPr>
                <w:rFonts w:ascii="宋体" w:hAnsi="宋体" w:cs="宋体" w:eastAsia="宋体" w:hint="default"/>
                <w:sz w:val="18"/>
                <w:szCs w:val="18"/>
              </w:rPr>
            </w:pPr>
            <w:r>
              <w:rPr>
                <w:rFonts w:ascii="宋体" w:hAnsi="宋体" w:cs="宋体" w:eastAsia="宋体" w:hint="default"/>
                <w:sz w:val="18"/>
                <w:szCs w:val="18"/>
              </w:rPr>
              <w:t>应急信息发布系统</w:t>
            </w:r>
          </w:p>
        </w:tc>
      </w:tr>
    </w:tbl>
    <w:p>
      <w:pPr>
        <w:pStyle w:val="BodyText"/>
        <w:spacing w:line="316" w:lineRule="auto" w:before="76"/>
        <w:ind w:left="513" w:right="0"/>
        <w:jc w:val="left"/>
      </w:pPr>
      <w:r>
        <w:rPr>
          <w:rFonts w:ascii="宋体" w:hAnsi="宋体" w:cs="宋体" w:eastAsia="宋体" w:hint="default"/>
        </w:rPr>
        <w:t>3</w:t>
      </w:r>
      <w:r>
        <w:rPr/>
        <w:t>）防疫智能识别终端</w:t>
      </w:r>
      <w:r>
        <w:rPr>
          <w:spacing w:val="-88"/>
        </w:rPr>
        <w:t> </w:t>
      </w:r>
      <w:r>
        <w:rPr>
          <w:spacing w:val="-88"/>
        </w:rPr>
      </w:r>
      <w:r>
        <w:rPr>
          <w:spacing w:val="-4"/>
        </w:rPr>
        <w:t>防疫智能识别终端配备自主测温功能及高端图像处理算法，可自动识别进出人员身份、口罩佩戴及体温情况，减少和杜</w:t>
      </w:r>
    </w:p>
    <w:p>
      <w:pPr>
        <w:pStyle w:val="BodyText"/>
        <w:spacing w:line="240" w:lineRule="auto" w:before="19"/>
        <w:ind w:right="0"/>
        <w:jc w:val="both"/>
      </w:pPr>
      <w:r>
        <w:rPr>
          <w:spacing w:val="-3"/>
        </w:rPr>
        <w:t>绝接触性传染，该终端适用于银行、政务、电信、学校、超市等人流量大的场所。</w:t>
      </w:r>
    </w:p>
    <w:p>
      <w:pPr>
        <w:spacing w:line="240" w:lineRule="auto" w:before="10"/>
        <w:rPr>
          <w:rFonts w:ascii="宋体" w:hAnsi="宋体" w:cs="宋体" w:eastAsia="宋体" w:hint="default"/>
          <w:sz w:val="14"/>
          <w:szCs w:val="14"/>
        </w:rPr>
      </w:pPr>
    </w:p>
    <w:tbl>
      <w:tblPr>
        <w:tblW w:w="0" w:type="auto"/>
        <w:jc w:val="left"/>
        <w:tblInd w:w="2847" w:type="dxa"/>
        <w:tblLayout w:type="fixed"/>
        <w:tblCellMar>
          <w:top w:w="0" w:type="dxa"/>
          <w:left w:w="0" w:type="dxa"/>
          <w:bottom w:w="0" w:type="dxa"/>
          <w:right w:w="0" w:type="dxa"/>
        </w:tblCellMar>
        <w:tblLook w:val="01E0"/>
      </w:tblPr>
      <w:tblGrid>
        <w:gridCol w:w="4255"/>
      </w:tblGrid>
      <w:tr>
        <w:trPr>
          <w:trHeight w:val="2647" w:hRule="exact"/>
        </w:trPr>
        <w:tc>
          <w:tcPr>
            <w:tcW w:w="4255" w:type="dxa"/>
            <w:tcBorders>
              <w:top w:val="nil" w:sz="6" w:space="0" w:color="auto"/>
              <w:left w:val="nil" w:sz="6" w:space="0" w:color="auto"/>
              <w:bottom w:val="nil" w:sz="6" w:space="0" w:color="auto"/>
              <w:right w:val="nil" w:sz="6" w:space="0" w:color="auto"/>
            </w:tcBorders>
          </w:tcPr>
          <w:p>
            <w:pPr>
              <w:pStyle w:val="TableParagraph"/>
              <w:spacing w:line="2574" w:lineRule="exact"/>
              <w:ind w:left="200" w:right="0"/>
              <w:jc w:val="left"/>
              <w:rPr>
                <w:rFonts w:ascii="宋体" w:hAnsi="宋体" w:cs="宋体" w:eastAsia="宋体" w:hint="default"/>
                <w:sz w:val="20"/>
                <w:szCs w:val="20"/>
              </w:rPr>
            </w:pPr>
            <w:r>
              <w:rPr>
                <w:rFonts w:ascii="宋体" w:hAnsi="宋体" w:cs="宋体" w:eastAsia="宋体" w:hint="default"/>
                <w:position w:val="-50"/>
                <w:sz w:val="20"/>
                <w:szCs w:val="20"/>
              </w:rPr>
              <w:drawing>
                <wp:inline distT="0" distB="0" distL="0" distR="0">
                  <wp:extent cx="2472903" cy="1634489"/>
                  <wp:effectExtent l="0" t="0" r="0" b="0"/>
                  <wp:docPr id="27" name="image15.jpeg" descr=""/>
                  <wp:cNvGraphicFramePr>
                    <a:graphicFrameLocks noChangeAspect="1"/>
                  </wp:cNvGraphicFramePr>
                  <a:graphic>
                    <a:graphicData uri="http://schemas.openxmlformats.org/drawingml/2006/picture">
                      <pic:pic>
                        <pic:nvPicPr>
                          <pic:cNvPr id="28" name="image15.jpeg"/>
                          <pic:cNvPicPr/>
                        </pic:nvPicPr>
                        <pic:blipFill>
                          <a:blip r:embed="rId25" cstate="print"/>
                          <a:stretch>
                            <a:fillRect/>
                          </a:stretch>
                        </pic:blipFill>
                        <pic:spPr>
                          <a:xfrm>
                            <a:off x="0" y="0"/>
                            <a:ext cx="2472903" cy="1634489"/>
                          </a:xfrm>
                          <a:prstGeom prst="rect">
                            <a:avLst/>
                          </a:prstGeom>
                        </pic:spPr>
                      </pic:pic>
                    </a:graphicData>
                  </a:graphic>
                </wp:inline>
              </w:drawing>
            </w:r>
            <w:r>
              <w:rPr>
                <w:rFonts w:ascii="宋体" w:hAnsi="宋体" w:cs="宋体" w:eastAsia="宋体" w:hint="default"/>
                <w:position w:val="-50"/>
                <w:sz w:val="20"/>
                <w:szCs w:val="20"/>
              </w:rPr>
            </w:r>
          </w:p>
        </w:tc>
      </w:tr>
      <w:tr>
        <w:trPr>
          <w:trHeight w:val="281" w:hRule="exact"/>
        </w:trPr>
        <w:tc>
          <w:tcPr>
            <w:tcW w:w="4255"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407" w:right="0"/>
              <w:jc w:val="left"/>
              <w:rPr>
                <w:rFonts w:ascii="宋体" w:hAnsi="宋体" w:cs="宋体" w:eastAsia="宋体" w:hint="default"/>
                <w:sz w:val="18"/>
                <w:szCs w:val="18"/>
              </w:rPr>
            </w:pPr>
            <w:r>
              <w:rPr>
                <w:rFonts w:ascii="宋体" w:hAnsi="宋体" w:cs="宋体" w:eastAsia="宋体" w:hint="default"/>
                <w:sz w:val="18"/>
                <w:szCs w:val="18"/>
              </w:rPr>
              <w:t>防疫智能识别终端</w:t>
            </w:r>
          </w:p>
        </w:tc>
      </w:tr>
    </w:tbl>
    <w:p>
      <w:pPr>
        <w:pStyle w:val="BodyText"/>
        <w:spacing w:line="316" w:lineRule="auto" w:before="76"/>
        <w:ind w:left="513" w:right="0"/>
        <w:jc w:val="left"/>
      </w:pPr>
      <w:r>
        <w:rPr>
          <w:rFonts w:ascii="宋体" w:hAnsi="宋体" w:cs="宋体" w:eastAsia="宋体" w:hint="default"/>
          <w:spacing w:val="-3"/>
        </w:rPr>
        <w:t>4</w:t>
      </w:r>
      <w:r>
        <w:rPr>
          <w:spacing w:val="-3"/>
        </w:rPr>
        <w:t>）奥拓视频会议解决方案</w:t>
      </w:r>
      <w:r>
        <w:rPr>
          <w:spacing w:val="-52"/>
        </w:rPr>
        <w:t> </w:t>
      </w:r>
      <w:r>
        <w:rPr>
          <w:spacing w:val="-52"/>
        </w:rPr>
      </w:r>
      <w:r>
        <w:rPr>
          <w:spacing w:val="-4"/>
        </w:rPr>
        <w:t>奥拓视频会议解决方案，能实现远程实时高清沟通，最大限度地减少工作人员的聚集。视频会议解决方案由大屏幕显示</w:t>
      </w:r>
    </w:p>
    <w:p>
      <w:pPr>
        <w:pStyle w:val="BodyText"/>
        <w:spacing w:line="316" w:lineRule="auto" w:before="19"/>
        <w:ind w:right="1124"/>
        <w:jc w:val="both"/>
      </w:pPr>
      <w:r>
        <w:rPr>
          <w:spacing w:val="-4"/>
        </w:rPr>
        <w:t>系统、会议发言系统、扩声系统、视频会议系统、中央控制系统五个部分组成，满足会议、讨论、演讲、讲座、培训、学术</w:t>
      </w:r>
      <w:r>
        <w:rPr>
          <w:spacing w:val="40"/>
        </w:rPr>
        <w:t> </w:t>
      </w:r>
      <w:r>
        <w:rPr>
          <w:spacing w:val="40"/>
        </w:rPr>
      </w:r>
      <w:r>
        <w:rPr>
          <w:spacing w:val="-4"/>
        </w:rPr>
        <w:t>交流、指挥调度、新闻发布、远程视频会议等方面的需要。中国电信总部会议室、中银香港总部会议室、北京中超总部会议</w:t>
      </w:r>
      <w:r>
        <w:rPr>
          <w:spacing w:val="40"/>
        </w:rPr>
        <w:t> </w:t>
      </w:r>
      <w:r>
        <w:rPr>
          <w:spacing w:val="40"/>
        </w:rPr>
      </w:r>
      <w:r>
        <w:rPr>
          <w:spacing w:val="-3"/>
        </w:rPr>
        <w:t>室均采用了奥拓视频会议解决方案。</w:t>
      </w:r>
    </w:p>
    <w:p>
      <w:pPr>
        <w:spacing w:after="0" w:line="316" w:lineRule="auto"/>
        <w:jc w:val="both"/>
        <w:sectPr>
          <w:pgSz w:w="11910" w:h="16840"/>
          <w:pgMar w:header="784" w:footer="1022" w:top="1100" w:bottom="1220" w:left="980" w:right="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6"/>
          <w:szCs w:val="16"/>
        </w:rPr>
      </w:pPr>
    </w:p>
    <w:p>
      <w:pPr>
        <w:spacing w:line="2550" w:lineRule="exact"/>
        <w:ind w:left="3046" w:right="0" w:firstLine="0"/>
        <w:rPr>
          <w:rFonts w:ascii="宋体" w:hAnsi="宋体" w:cs="宋体" w:eastAsia="宋体" w:hint="default"/>
          <w:sz w:val="20"/>
          <w:szCs w:val="20"/>
        </w:rPr>
      </w:pPr>
      <w:r>
        <w:rPr>
          <w:rFonts w:ascii="宋体" w:hAnsi="宋体" w:cs="宋体" w:eastAsia="宋体" w:hint="default"/>
          <w:position w:val="-50"/>
          <w:sz w:val="20"/>
          <w:szCs w:val="20"/>
        </w:rPr>
        <w:drawing>
          <wp:inline distT="0" distB="0" distL="0" distR="0">
            <wp:extent cx="2454084" cy="1619250"/>
            <wp:effectExtent l="0" t="0" r="0" b="0"/>
            <wp:docPr id="29" name="image16.jpeg" descr=""/>
            <wp:cNvGraphicFramePr>
              <a:graphicFrameLocks noChangeAspect="1"/>
            </wp:cNvGraphicFramePr>
            <a:graphic>
              <a:graphicData uri="http://schemas.openxmlformats.org/drawingml/2006/picture">
                <pic:pic>
                  <pic:nvPicPr>
                    <pic:cNvPr id="30" name="image16.jpeg"/>
                    <pic:cNvPicPr/>
                  </pic:nvPicPr>
                  <pic:blipFill>
                    <a:blip r:embed="rId26" cstate="print"/>
                    <a:stretch>
                      <a:fillRect/>
                    </a:stretch>
                  </pic:blipFill>
                  <pic:spPr>
                    <a:xfrm>
                      <a:off x="0" y="0"/>
                      <a:ext cx="2454084" cy="1619250"/>
                    </a:xfrm>
                    <a:prstGeom prst="rect">
                      <a:avLst/>
                    </a:prstGeom>
                  </pic:spPr>
                </pic:pic>
              </a:graphicData>
            </a:graphic>
          </wp:inline>
        </w:drawing>
      </w:r>
      <w:r>
        <w:rPr>
          <w:rFonts w:ascii="宋体" w:hAnsi="宋体" w:cs="宋体" w:eastAsia="宋体" w:hint="default"/>
          <w:position w:val="-50"/>
          <w:sz w:val="20"/>
          <w:szCs w:val="20"/>
        </w:rPr>
      </w:r>
    </w:p>
    <w:p>
      <w:pPr>
        <w:spacing w:line="240" w:lineRule="auto" w:before="6"/>
        <w:rPr>
          <w:rFonts w:ascii="宋体" w:hAnsi="宋体" w:cs="宋体" w:eastAsia="宋体" w:hint="default"/>
          <w:sz w:val="7"/>
          <w:szCs w:val="7"/>
        </w:rPr>
      </w:pPr>
    </w:p>
    <w:p>
      <w:pPr>
        <w:pStyle w:val="BodyText"/>
        <w:spacing w:line="240" w:lineRule="auto"/>
        <w:ind w:left="4071" w:right="0"/>
        <w:jc w:val="left"/>
      </w:pPr>
      <w:r>
        <w:rPr/>
        <w:t>奥拓视频会议解决方案</w:t>
      </w:r>
    </w:p>
    <w:p>
      <w:pPr>
        <w:spacing w:line="240" w:lineRule="auto" w:before="0"/>
        <w:rPr>
          <w:rFonts w:ascii="宋体" w:hAnsi="宋体" w:cs="宋体" w:eastAsia="宋体" w:hint="default"/>
          <w:sz w:val="18"/>
          <w:szCs w:val="18"/>
        </w:rPr>
      </w:pPr>
    </w:p>
    <w:p>
      <w:pPr>
        <w:pStyle w:val="Heading6"/>
        <w:spacing w:line="240" w:lineRule="auto" w:before="153"/>
        <w:ind w:right="0"/>
        <w:jc w:val="left"/>
        <w:rPr>
          <w:b w:val="0"/>
          <w:bCs w:val="0"/>
        </w:rPr>
      </w:pPr>
      <w:r>
        <w:rPr>
          <w:rFonts w:ascii="宋体" w:hAnsi="宋体" w:cs="宋体" w:eastAsia="宋体" w:hint="default"/>
        </w:rPr>
        <w:t>2</w:t>
      </w:r>
      <w:r>
        <w:rPr/>
        <w:t>、</w:t>
      </w:r>
      <w:r>
        <w:rPr>
          <w:rFonts w:ascii="宋体" w:hAnsi="宋体" w:cs="宋体" w:eastAsia="宋体" w:hint="default"/>
        </w:rPr>
        <w:t>LED</w:t>
      </w:r>
      <w:r>
        <w:rPr/>
        <w:t>显示业务——业务规模再创新高，</w:t>
      </w:r>
      <w:r>
        <w:rPr>
          <w:rFonts w:ascii="宋体" w:hAnsi="宋体" w:cs="宋体" w:eastAsia="宋体" w:hint="default"/>
        </w:rPr>
        <w:t>Mini</w:t>
      </w:r>
      <w:r>
        <w:rPr>
          <w:rFonts w:ascii="宋体" w:hAnsi="宋体" w:cs="宋体" w:eastAsia="宋体" w:hint="default"/>
          <w:spacing w:val="1"/>
        </w:rPr>
        <w:t> </w:t>
      </w:r>
      <w:r>
        <w:rPr>
          <w:rFonts w:ascii="宋体" w:hAnsi="宋体" w:cs="宋体" w:eastAsia="宋体" w:hint="default"/>
        </w:rPr>
        <w:t>LED</w:t>
      </w:r>
      <w:r>
        <w:rPr/>
        <w:t>显示业务大幅增长</w:t>
      </w:r>
      <w:r>
        <w:rPr>
          <w:b w:val="0"/>
          <w:bCs w:val="0"/>
        </w:rPr>
      </w:r>
    </w:p>
    <w:p>
      <w:pPr>
        <w:pStyle w:val="Heading6"/>
        <w:spacing w:line="240" w:lineRule="auto" w:before="76"/>
        <w:ind w:left="513" w:right="0"/>
        <w:jc w:val="left"/>
        <w:rPr>
          <w:b w:val="0"/>
          <w:bCs w:val="0"/>
        </w:rPr>
      </w:pPr>
      <w:r>
        <w:rPr/>
        <w:t>（</w:t>
      </w:r>
      <w:r>
        <w:rPr>
          <w:rFonts w:ascii="宋体" w:hAnsi="宋体" w:cs="宋体" w:eastAsia="宋体" w:hint="default"/>
        </w:rPr>
        <w:t>1</w:t>
      </w:r>
      <w:r>
        <w:rPr/>
        <w:t>）</w:t>
      </w:r>
      <w:r>
        <w:rPr>
          <w:rFonts w:ascii="宋体" w:hAnsi="宋体" w:cs="宋体" w:eastAsia="宋体" w:hint="default"/>
        </w:rPr>
        <w:t>LED</w:t>
      </w:r>
      <w:r>
        <w:rPr/>
        <w:t>显示业务再创新高</w:t>
      </w:r>
      <w:r>
        <w:rPr>
          <w:b w:val="0"/>
          <w:bCs w:val="0"/>
        </w:rPr>
      </w:r>
    </w:p>
    <w:p>
      <w:pPr>
        <w:pStyle w:val="BodyText"/>
        <w:spacing w:line="319" w:lineRule="auto" w:before="76"/>
        <w:ind w:right="0" w:firstLine="360"/>
        <w:jc w:val="left"/>
      </w:pPr>
      <w:r>
        <w:rPr>
          <w:spacing w:val="-3"/>
        </w:rPr>
        <w:t>报告期内，公司</w:t>
      </w:r>
      <w:r>
        <w:rPr>
          <w:rFonts w:ascii="宋体" w:hAnsi="宋体" w:cs="宋体" w:eastAsia="宋体" w:hint="default"/>
          <w:spacing w:val="-3"/>
        </w:rPr>
        <w:t>LED</w:t>
      </w:r>
      <w:r>
        <w:rPr>
          <w:spacing w:val="-3"/>
        </w:rPr>
        <w:t>显示业务规模再创新高， </w:t>
      </w:r>
      <w:r>
        <w:rPr>
          <w:rFonts w:ascii="宋体" w:hAnsi="宋体" w:cs="宋体" w:eastAsia="宋体" w:hint="default"/>
        </w:rPr>
        <w:t>Mini</w:t>
      </w:r>
      <w:r>
        <w:rPr>
          <w:rFonts w:ascii="宋体" w:hAnsi="宋体" w:cs="宋体" w:eastAsia="宋体" w:hint="default"/>
          <w:spacing w:val="-20"/>
        </w:rPr>
        <w:t> </w:t>
      </w:r>
      <w:r>
        <w:rPr>
          <w:rFonts w:ascii="宋体" w:hAnsi="宋体" w:cs="宋体" w:eastAsia="宋体" w:hint="default"/>
          <w:spacing w:val="-3"/>
        </w:rPr>
        <w:t>LED</w:t>
      </w:r>
      <w:r>
        <w:rPr>
          <w:spacing w:val="-3"/>
        </w:rPr>
        <w:t>显示业务大幅增长。</w:t>
      </w:r>
      <w:r>
        <w:rPr>
          <w:rFonts w:ascii="宋体" w:hAnsi="宋体" w:cs="宋体" w:eastAsia="宋体" w:hint="default"/>
          <w:spacing w:val="-3"/>
        </w:rPr>
        <w:t>LED</w:t>
      </w:r>
      <w:r>
        <w:rPr>
          <w:spacing w:val="-3"/>
        </w:rPr>
        <w:t>显示业务营业收入</w:t>
      </w:r>
      <w:r>
        <w:rPr>
          <w:rFonts w:ascii="宋体" w:hAnsi="宋体" w:cs="宋体" w:eastAsia="宋体" w:hint="default"/>
          <w:spacing w:val="-3"/>
        </w:rPr>
        <w:t>40,458.90</w:t>
      </w:r>
      <w:r>
        <w:rPr>
          <w:spacing w:val="-3"/>
        </w:rPr>
        <w:t>万元，相比</w:t>
      </w:r>
      <w:r>
        <w:rPr>
          <w:w w:val="101"/>
        </w:rPr>
        <w:t> </w:t>
      </w:r>
      <w:r>
        <w:rPr>
          <w:spacing w:val="-3"/>
        </w:rPr>
        <w:t>去年同期增长</w:t>
      </w:r>
      <w:r>
        <w:rPr>
          <w:rFonts w:ascii="宋体" w:hAnsi="宋体" w:cs="宋体" w:eastAsia="宋体" w:hint="default"/>
          <w:spacing w:val="-3"/>
        </w:rPr>
        <w:t>23.38%</w:t>
      </w:r>
      <w:r>
        <w:rPr>
          <w:spacing w:val="-3"/>
        </w:rPr>
        <w:t>；营业利润大幅增长。</w:t>
      </w:r>
    </w:p>
    <w:p>
      <w:pPr>
        <w:spacing w:line="316" w:lineRule="auto" w:before="17"/>
        <w:ind w:left="513" w:right="0" w:firstLine="0"/>
        <w:jc w:val="left"/>
        <w:rPr>
          <w:rFonts w:ascii="宋体" w:hAnsi="宋体" w:cs="宋体" w:eastAsia="宋体" w:hint="default"/>
          <w:sz w:val="18"/>
          <w:szCs w:val="18"/>
        </w:rPr>
      </w:pPr>
      <w:r>
        <w:rPr>
          <w:rFonts w:ascii="宋体" w:hAnsi="宋体" w:cs="宋体" w:eastAsia="宋体" w:hint="default"/>
          <w:b/>
          <w:bCs/>
          <w:sz w:val="18"/>
          <w:szCs w:val="18"/>
        </w:rPr>
        <w:t>（</w:t>
      </w:r>
      <w:r>
        <w:rPr>
          <w:rFonts w:ascii="宋体" w:hAnsi="宋体" w:cs="宋体" w:eastAsia="宋体" w:hint="default"/>
          <w:b/>
          <w:bCs/>
          <w:sz w:val="18"/>
          <w:szCs w:val="18"/>
        </w:rPr>
        <w:t>2</w:t>
      </w:r>
      <w:r>
        <w:rPr>
          <w:rFonts w:ascii="宋体" w:hAnsi="宋体" w:cs="宋体" w:eastAsia="宋体" w:hint="default"/>
          <w:b/>
          <w:bCs/>
          <w:sz w:val="18"/>
          <w:szCs w:val="18"/>
        </w:rPr>
        <w:t>）</w:t>
      </w:r>
      <w:r>
        <w:rPr>
          <w:rFonts w:ascii="宋体" w:hAnsi="宋体" w:cs="宋体" w:eastAsia="宋体" w:hint="default"/>
          <w:b/>
          <w:bCs/>
          <w:sz w:val="18"/>
          <w:szCs w:val="18"/>
        </w:rPr>
        <w:t>LED</w:t>
      </w:r>
      <w:r>
        <w:rPr>
          <w:rFonts w:ascii="宋体" w:hAnsi="宋体" w:cs="宋体" w:eastAsia="宋体" w:hint="default"/>
          <w:b/>
          <w:bCs/>
          <w:sz w:val="18"/>
          <w:szCs w:val="18"/>
        </w:rPr>
        <w:t>显示产品闪耀全球地标</w:t>
      </w:r>
      <w:r>
        <w:rPr>
          <w:rFonts w:ascii="宋体" w:hAnsi="宋体" w:cs="宋体" w:eastAsia="宋体" w:hint="default"/>
          <w:b/>
          <w:bCs/>
          <w:spacing w:val="-89"/>
          <w:sz w:val="18"/>
          <w:szCs w:val="18"/>
        </w:rPr>
        <w:t> </w:t>
      </w:r>
      <w:r>
        <w:rPr>
          <w:rFonts w:ascii="宋体" w:hAnsi="宋体" w:cs="宋体" w:eastAsia="宋体" w:hint="default"/>
          <w:b/>
          <w:bCs/>
          <w:spacing w:val="-89"/>
          <w:sz w:val="18"/>
          <w:szCs w:val="18"/>
        </w:rPr>
      </w:r>
      <w:r>
        <w:rPr>
          <w:rFonts w:ascii="宋体" w:hAnsi="宋体" w:cs="宋体" w:eastAsia="宋体" w:hint="default"/>
          <w:spacing w:val="-3"/>
          <w:sz w:val="18"/>
          <w:szCs w:val="18"/>
        </w:rPr>
        <w:t>公司始终坚持大市场、大客户营销战略，以创新的技术和稳定的性能为客户提供优质的高端</w:t>
      </w:r>
      <w:r>
        <w:rPr>
          <w:rFonts w:ascii="宋体" w:hAnsi="宋体" w:cs="宋体" w:eastAsia="宋体" w:hint="default"/>
          <w:spacing w:val="-3"/>
          <w:sz w:val="18"/>
          <w:szCs w:val="18"/>
        </w:rPr>
        <w:t>LED</w:t>
      </w:r>
      <w:r>
        <w:rPr>
          <w:rFonts w:ascii="宋体" w:hAnsi="宋体" w:cs="宋体" w:eastAsia="宋体" w:hint="default"/>
          <w:spacing w:val="-3"/>
          <w:sz w:val="18"/>
          <w:szCs w:val="18"/>
        </w:rPr>
        <w:t>显示解决方案。报告期</w:t>
      </w:r>
    </w:p>
    <w:p>
      <w:pPr>
        <w:pStyle w:val="BodyText"/>
        <w:spacing w:line="316" w:lineRule="auto" w:before="19"/>
        <w:ind w:right="0"/>
        <w:jc w:val="left"/>
      </w:pPr>
      <w:r>
        <w:rPr>
          <w:spacing w:val="-3"/>
        </w:rPr>
        <w:t>内，公司的</w:t>
      </w:r>
      <w:r>
        <w:rPr>
          <w:rFonts w:ascii="宋体" w:hAnsi="宋体" w:cs="宋体" w:eastAsia="宋体" w:hint="default"/>
          <w:spacing w:val="-3"/>
        </w:rPr>
        <w:t>LED</w:t>
      </w:r>
      <w:r>
        <w:rPr>
          <w:spacing w:val="-3"/>
        </w:rPr>
        <w:t>显示整体解决方案已成功在中国、英国、阿联酋、新加坡、日本、印度、法国及美国等国家应用，打造了包</w:t>
      </w:r>
      <w:r>
        <w:rPr>
          <w:spacing w:val="78"/>
        </w:rPr>
        <w:t> </w:t>
      </w:r>
      <w:r>
        <w:rPr>
          <w:spacing w:val="78"/>
        </w:rPr>
      </w:r>
      <w:r>
        <w:rPr>
          <w:spacing w:val="-3"/>
        </w:rPr>
        <w:t>括北京首都国际机场、迪拜机场等多个海内外地标性项目。</w:t>
      </w:r>
    </w:p>
    <w:p>
      <w:pPr>
        <w:spacing w:line="240" w:lineRule="auto" w:before="12"/>
        <w:rPr>
          <w:rFonts w:ascii="宋体" w:hAnsi="宋体" w:cs="宋体" w:eastAsia="宋体" w:hint="default"/>
          <w:sz w:val="18"/>
          <w:szCs w:val="18"/>
        </w:rPr>
      </w:pPr>
    </w:p>
    <w:p>
      <w:pPr>
        <w:pStyle w:val="Heading5"/>
        <w:tabs>
          <w:tab w:pos="5207" w:val="left" w:leader="none"/>
        </w:tabs>
        <w:spacing w:line="2555" w:lineRule="exact"/>
        <w:ind w:left="896" w:right="0" w:firstLine="0"/>
        <w:jc w:val="left"/>
      </w:pPr>
      <w:r>
        <w:rPr>
          <w:position w:val="-50"/>
        </w:rPr>
        <w:drawing>
          <wp:inline distT="0" distB="0" distL="0" distR="0">
            <wp:extent cx="2446290" cy="1621916"/>
            <wp:effectExtent l="0" t="0" r="0" b="0"/>
            <wp:docPr id="31" name="image17.jpeg" descr=""/>
            <wp:cNvGraphicFramePr>
              <a:graphicFrameLocks noChangeAspect="1"/>
            </wp:cNvGraphicFramePr>
            <a:graphic>
              <a:graphicData uri="http://schemas.openxmlformats.org/drawingml/2006/picture">
                <pic:pic>
                  <pic:nvPicPr>
                    <pic:cNvPr id="32" name="image17.jpeg"/>
                    <pic:cNvPicPr/>
                  </pic:nvPicPr>
                  <pic:blipFill>
                    <a:blip r:embed="rId27" cstate="print"/>
                    <a:stretch>
                      <a:fillRect/>
                    </a:stretch>
                  </pic:blipFill>
                  <pic:spPr>
                    <a:xfrm>
                      <a:off x="0" y="0"/>
                      <a:ext cx="2446290" cy="1621916"/>
                    </a:xfrm>
                    <a:prstGeom prst="rect">
                      <a:avLst/>
                    </a:prstGeom>
                  </pic:spPr>
                </pic:pic>
              </a:graphicData>
            </a:graphic>
          </wp:inline>
        </w:drawing>
      </w:r>
      <w:r>
        <w:rPr>
          <w:position w:val="-50"/>
        </w:rPr>
      </w:r>
      <w:r>
        <w:rPr>
          <w:position w:val="-50"/>
        </w:rPr>
        <w:tab/>
      </w:r>
      <w:r>
        <w:rPr>
          <w:position w:val="-50"/>
        </w:rPr>
        <w:drawing>
          <wp:inline distT="0" distB="0" distL="0" distR="0">
            <wp:extent cx="2448740" cy="1621059"/>
            <wp:effectExtent l="0" t="0" r="0" b="0"/>
            <wp:docPr id="33" name="image18.png" descr=""/>
            <wp:cNvGraphicFramePr>
              <a:graphicFrameLocks noChangeAspect="1"/>
            </wp:cNvGraphicFramePr>
            <a:graphic>
              <a:graphicData uri="http://schemas.openxmlformats.org/drawingml/2006/picture">
                <pic:pic>
                  <pic:nvPicPr>
                    <pic:cNvPr id="34" name="image18.png"/>
                    <pic:cNvPicPr/>
                  </pic:nvPicPr>
                  <pic:blipFill>
                    <a:blip r:embed="rId28" cstate="print"/>
                    <a:stretch>
                      <a:fillRect/>
                    </a:stretch>
                  </pic:blipFill>
                  <pic:spPr>
                    <a:xfrm>
                      <a:off x="0" y="0"/>
                      <a:ext cx="2448740" cy="1621059"/>
                    </a:xfrm>
                    <a:prstGeom prst="rect">
                      <a:avLst/>
                    </a:prstGeom>
                  </pic:spPr>
                </pic:pic>
              </a:graphicData>
            </a:graphic>
          </wp:inline>
        </w:drawing>
      </w:r>
      <w:r>
        <w:rPr>
          <w:position w:val="-50"/>
        </w:rPr>
      </w:r>
    </w:p>
    <w:p>
      <w:pPr>
        <w:spacing w:line="240" w:lineRule="auto" w:before="11"/>
        <w:rPr>
          <w:rFonts w:ascii="宋体" w:hAnsi="宋体" w:cs="宋体" w:eastAsia="宋体" w:hint="default"/>
          <w:sz w:val="14"/>
          <w:szCs w:val="14"/>
        </w:rPr>
      </w:pPr>
    </w:p>
    <w:tbl>
      <w:tblPr>
        <w:tblW w:w="0" w:type="auto"/>
        <w:jc w:val="left"/>
        <w:tblInd w:w="690" w:type="dxa"/>
        <w:tblLayout w:type="fixed"/>
        <w:tblCellMar>
          <w:top w:w="0" w:type="dxa"/>
          <w:left w:w="0" w:type="dxa"/>
          <w:bottom w:w="0" w:type="dxa"/>
          <w:right w:w="0" w:type="dxa"/>
        </w:tblCellMar>
        <w:tblLook w:val="01E0"/>
      </w:tblPr>
      <w:tblGrid>
        <w:gridCol w:w="4279"/>
        <w:gridCol w:w="4392"/>
      </w:tblGrid>
      <w:tr>
        <w:trPr>
          <w:trHeight w:val="278" w:hRule="exact"/>
        </w:trPr>
        <w:tc>
          <w:tcPr>
            <w:tcW w:w="4279" w:type="dxa"/>
            <w:tcBorders>
              <w:top w:val="nil" w:sz="6" w:space="0" w:color="auto"/>
              <w:left w:val="nil" w:sz="6" w:space="0" w:color="auto"/>
              <w:bottom w:val="nil" w:sz="6" w:space="0" w:color="auto"/>
              <w:right w:val="nil" w:sz="6" w:space="0" w:color="auto"/>
            </w:tcBorders>
          </w:tcPr>
          <w:p>
            <w:pPr>
              <w:pStyle w:val="TableParagraph"/>
              <w:spacing w:line="182" w:lineRule="exact"/>
              <w:ind w:right="16"/>
              <w:jc w:val="center"/>
              <w:rPr>
                <w:rFonts w:ascii="宋体" w:hAnsi="宋体" w:cs="宋体" w:eastAsia="宋体" w:hint="default"/>
                <w:sz w:val="18"/>
                <w:szCs w:val="18"/>
              </w:rPr>
            </w:pPr>
            <w:r>
              <w:rPr>
                <w:rFonts w:ascii="宋体" w:hAnsi="宋体" w:cs="宋体" w:eastAsia="宋体" w:hint="default"/>
                <w:sz w:val="18"/>
                <w:szCs w:val="18"/>
              </w:rPr>
              <w:t>北京首都国际机场项目（</w:t>
            </w:r>
            <w:r>
              <w:rPr>
                <w:rFonts w:ascii="宋体" w:hAnsi="宋体" w:cs="宋体" w:eastAsia="宋体" w:hint="default"/>
                <w:sz w:val="18"/>
                <w:szCs w:val="18"/>
              </w:rPr>
              <w:t>Mini</w:t>
            </w:r>
            <w:r>
              <w:rPr>
                <w:rFonts w:ascii="宋体" w:hAnsi="宋体" w:cs="宋体" w:eastAsia="宋体" w:hint="default"/>
                <w:spacing w:val="3"/>
                <w:sz w:val="18"/>
                <w:szCs w:val="18"/>
              </w:rPr>
              <w:t> </w:t>
            </w:r>
            <w:r>
              <w:rPr>
                <w:rFonts w:ascii="宋体" w:hAnsi="宋体" w:cs="宋体" w:eastAsia="宋体" w:hint="default"/>
                <w:sz w:val="18"/>
                <w:szCs w:val="18"/>
              </w:rPr>
              <w:t>LED</w:t>
            </w:r>
            <w:r>
              <w:rPr>
                <w:rFonts w:ascii="宋体" w:hAnsi="宋体" w:cs="宋体" w:eastAsia="宋体" w:hint="default"/>
                <w:sz w:val="18"/>
                <w:szCs w:val="18"/>
              </w:rPr>
              <w:t>）</w:t>
            </w:r>
          </w:p>
        </w:tc>
        <w:tc>
          <w:tcPr>
            <w:tcW w:w="4392" w:type="dxa"/>
            <w:tcBorders>
              <w:top w:val="nil" w:sz="6" w:space="0" w:color="auto"/>
              <w:left w:val="nil" w:sz="6" w:space="0" w:color="auto"/>
              <w:bottom w:val="nil" w:sz="6" w:space="0" w:color="auto"/>
              <w:right w:val="nil" w:sz="6" w:space="0" w:color="auto"/>
            </w:tcBorders>
          </w:tcPr>
          <w:p>
            <w:pPr>
              <w:pStyle w:val="TableParagraph"/>
              <w:spacing w:line="182" w:lineRule="exact"/>
              <w:ind w:left="235" w:right="0"/>
              <w:jc w:val="left"/>
              <w:rPr>
                <w:rFonts w:ascii="宋体" w:hAnsi="宋体" w:cs="宋体" w:eastAsia="宋体" w:hint="default"/>
                <w:sz w:val="18"/>
                <w:szCs w:val="18"/>
              </w:rPr>
            </w:pPr>
            <w:r>
              <w:rPr>
                <w:rFonts w:ascii="宋体" w:hAnsi="宋体" w:cs="宋体" w:eastAsia="宋体" w:hint="default"/>
                <w:sz w:val="18"/>
                <w:szCs w:val="18"/>
              </w:rPr>
              <w:t>日本</w:t>
            </w:r>
            <w:r>
              <w:rPr>
                <w:rFonts w:ascii="宋体" w:hAnsi="宋体" w:cs="宋体" w:eastAsia="宋体" w:hint="default"/>
                <w:spacing w:val="-46"/>
                <w:sz w:val="18"/>
                <w:szCs w:val="18"/>
              </w:rPr>
              <w:t> </w:t>
            </w:r>
            <w:r>
              <w:rPr>
                <w:rFonts w:ascii="宋体" w:hAnsi="宋体" w:cs="宋体" w:eastAsia="宋体" w:hint="default"/>
                <w:sz w:val="18"/>
                <w:szCs w:val="18"/>
              </w:rPr>
              <w:t>Pony</w:t>
            </w:r>
            <w:r>
              <w:rPr>
                <w:rFonts w:ascii="宋体" w:hAnsi="宋体" w:cs="宋体" w:eastAsia="宋体" w:hint="default"/>
                <w:spacing w:val="-1"/>
                <w:sz w:val="18"/>
                <w:szCs w:val="18"/>
              </w:rPr>
              <w:t> </w:t>
            </w:r>
            <w:r>
              <w:rPr>
                <w:rFonts w:ascii="宋体" w:hAnsi="宋体" w:cs="宋体" w:eastAsia="宋体" w:hint="default"/>
                <w:sz w:val="18"/>
                <w:szCs w:val="18"/>
              </w:rPr>
              <w:t>canyon</w:t>
            </w:r>
            <w:r>
              <w:rPr>
                <w:rFonts w:ascii="宋体" w:hAnsi="宋体" w:cs="宋体" w:eastAsia="宋体" w:hint="default"/>
                <w:spacing w:val="-51"/>
                <w:sz w:val="18"/>
                <w:szCs w:val="18"/>
              </w:rPr>
              <w:t> </w:t>
            </w:r>
            <w:r>
              <w:rPr>
                <w:rFonts w:ascii="宋体" w:hAnsi="宋体" w:cs="宋体" w:eastAsia="宋体" w:hint="default"/>
                <w:sz w:val="18"/>
                <w:szCs w:val="18"/>
              </w:rPr>
              <w:t>影视制作公司项目（</w:t>
            </w:r>
            <w:r>
              <w:rPr>
                <w:rFonts w:ascii="宋体" w:hAnsi="宋体" w:cs="宋体" w:eastAsia="宋体" w:hint="default"/>
                <w:sz w:val="18"/>
                <w:szCs w:val="18"/>
              </w:rPr>
              <w:t>Mini</w:t>
            </w:r>
            <w:r>
              <w:rPr>
                <w:rFonts w:ascii="宋体" w:hAnsi="宋体" w:cs="宋体" w:eastAsia="宋体" w:hint="default"/>
                <w:spacing w:val="-1"/>
                <w:sz w:val="18"/>
                <w:szCs w:val="18"/>
              </w:rPr>
              <w:t> </w:t>
            </w:r>
            <w:r>
              <w:rPr>
                <w:rFonts w:ascii="宋体" w:hAnsi="宋体" w:cs="宋体" w:eastAsia="宋体" w:hint="default"/>
                <w:sz w:val="18"/>
                <w:szCs w:val="18"/>
              </w:rPr>
              <w:t>LED</w:t>
            </w:r>
            <w:r>
              <w:rPr>
                <w:rFonts w:ascii="宋体" w:hAnsi="宋体" w:cs="宋体" w:eastAsia="宋体" w:hint="default"/>
                <w:sz w:val="18"/>
                <w:szCs w:val="18"/>
              </w:rPr>
              <w:t>）</w:t>
            </w:r>
          </w:p>
        </w:tc>
      </w:tr>
      <w:tr>
        <w:trPr>
          <w:trHeight w:val="2745" w:hRule="exact"/>
        </w:trPr>
        <w:tc>
          <w:tcPr>
            <w:tcW w:w="427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7"/>
                <w:szCs w:val="7"/>
              </w:rPr>
            </w:pPr>
          </w:p>
          <w:p>
            <w:pPr>
              <w:pStyle w:val="TableParagraph"/>
              <w:spacing w:line="2567" w:lineRule="exact"/>
              <w:ind w:left="200" w:right="0"/>
              <w:jc w:val="left"/>
              <w:rPr>
                <w:rFonts w:ascii="宋体" w:hAnsi="宋体" w:cs="宋体" w:eastAsia="宋体" w:hint="default"/>
                <w:sz w:val="20"/>
                <w:szCs w:val="20"/>
              </w:rPr>
            </w:pPr>
            <w:r>
              <w:rPr>
                <w:rFonts w:ascii="宋体" w:hAnsi="宋体" w:cs="宋体" w:eastAsia="宋体" w:hint="default"/>
                <w:position w:val="-50"/>
                <w:sz w:val="20"/>
                <w:szCs w:val="20"/>
              </w:rPr>
              <w:drawing>
                <wp:inline distT="0" distB="0" distL="0" distR="0">
                  <wp:extent cx="2458231" cy="1630299"/>
                  <wp:effectExtent l="0" t="0" r="0" b="0"/>
                  <wp:docPr id="35" name="image19.jpeg" descr=""/>
                  <wp:cNvGraphicFramePr>
                    <a:graphicFrameLocks noChangeAspect="1"/>
                  </wp:cNvGraphicFramePr>
                  <a:graphic>
                    <a:graphicData uri="http://schemas.openxmlformats.org/drawingml/2006/picture">
                      <pic:pic>
                        <pic:nvPicPr>
                          <pic:cNvPr id="36" name="image19.jpeg"/>
                          <pic:cNvPicPr/>
                        </pic:nvPicPr>
                        <pic:blipFill>
                          <a:blip r:embed="rId29" cstate="print"/>
                          <a:stretch>
                            <a:fillRect/>
                          </a:stretch>
                        </pic:blipFill>
                        <pic:spPr>
                          <a:xfrm>
                            <a:off x="0" y="0"/>
                            <a:ext cx="2458231" cy="1630299"/>
                          </a:xfrm>
                          <a:prstGeom prst="rect">
                            <a:avLst/>
                          </a:prstGeom>
                        </pic:spPr>
                      </pic:pic>
                    </a:graphicData>
                  </a:graphic>
                </wp:inline>
              </w:drawing>
            </w:r>
            <w:r>
              <w:rPr>
                <w:rFonts w:ascii="宋体" w:hAnsi="宋体" w:cs="宋体" w:eastAsia="宋体" w:hint="default"/>
                <w:position w:val="-50"/>
                <w:sz w:val="20"/>
                <w:szCs w:val="20"/>
              </w:rPr>
            </w:r>
          </w:p>
        </w:tc>
        <w:tc>
          <w:tcPr>
            <w:tcW w:w="439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7"/>
                <w:szCs w:val="7"/>
              </w:rPr>
            </w:pPr>
          </w:p>
          <w:p>
            <w:pPr>
              <w:pStyle w:val="TableParagraph"/>
              <w:spacing w:line="2574" w:lineRule="exact"/>
              <w:ind w:left="232" w:right="0"/>
              <w:jc w:val="left"/>
              <w:rPr>
                <w:rFonts w:ascii="宋体" w:hAnsi="宋体" w:cs="宋体" w:eastAsia="宋体" w:hint="default"/>
                <w:sz w:val="20"/>
                <w:szCs w:val="20"/>
              </w:rPr>
            </w:pPr>
            <w:r>
              <w:rPr>
                <w:rFonts w:ascii="宋体" w:hAnsi="宋体" w:cs="宋体" w:eastAsia="宋体" w:hint="default"/>
                <w:position w:val="-50"/>
                <w:sz w:val="20"/>
                <w:szCs w:val="20"/>
              </w:rPr>
              <w:drawing>
                <wp:inline distT="0" distB="0" distL="0" distR="0">
                  <wp:extent cx="2471933" cy="1634489"/>
                  <wp:effectExtent l="0" t="0" r="0" b="0"/>
                  <wp:docPr id="37" name="image20.jpeg" descr=""/>
                  <wp:cNvGraphicFramePr>
                    <a:graphicFrameLocks noChangeAspect="1"/>
                  </wp:cNvGraphicFramePr>
                  <a:graphic>
                    <a:graphicData uri="http://schemas.openxmlformats.org/drawingml/2006/picture">
                      <pic:pic>
                        <pic:nvPicPr>
                          <pic:cNvPr id="38" name="image20.jpeg"/>
                          <pic:cNvPicPr/>
                        </pic:nvPicPr>
                        <pic:blipFill>
                          <a:blip r:embed="rId30" cstate="print"/>
                          <a:stretch>
                            <a:fillRect/>
                          </a:stretch>
                        </pic:blipFill>
                        <pic:spPr>
                          <a:xfrm>
                            <a:off x="0" y="0"/>
                            <a:ext cx="2471933" cy="1634489"/>
                          </a:xfrm>
                          <a:prstGeom prst="rect">
                            <a:avLst/>
                          </a:prstGeom>
                        </pic:spPr>
                      </pic:pic>
                    </a:graphicData>
                  </a:graphic>
                </wp:inline>
              </w:drawing>
            </w:r>
            <w:r>
              <w:rPr>
                <w:rFonts w:ascii="宋体" w:hAnsi="宋体" w:cs="宋体" w:eastAsia="宋体" w:hint="default"/>
                <w:position w:val="-50"/>
                <w:sz w:val="20"/>
                <w:szCs w:val="20"/>
              </w:rPr>
            </w:r>
          </w:p>
        </w:tc>
      </w:tr>
      <w:tr>
        <w:trPr>
          <w:trHeight w:val="281" w:hRule="exact"/>
        </w:trPr>
        <w:tc>
          <w:tcPr>
            <w:tcW w:w="4279"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0"/>
              <w:jc w:val="center"/>
              <w:rPr>
                <w:rFonts w:ascii="宋体" w:hAnsi="宋体" w:cs="宋体" w:eastAsia="宋体" w:hint="default"/>
                <w:sz w:val="18"/>
                <w:szCs w:val="18"/>
              </w:rPr>
            </w:pPr>
            <w:r>
              <w:rPr>
                <w:rFonts w:ascii="宋体" w:hAnsi="宋体" w:cs="宋体" w:eastAsia="宋体" w:hint="default"/>
                <w:sz w:val="18"/>
                <w:szCs w:val="18"/>
              </w:rPr>
              <w:t>迪拜机场项目</w:t>
            </w:r>
          </w:p>
        </w:tc>
        <w:tc>
          <w:tcPr>
            <w:tcW w:w="4392"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085" w:right="0"/>
              <w:jc w:val="left"/>
              <w:rPr>
                <w:rFonts w:ascii="宋体" w:hAnsi="宋体" w:cs="宋体" w:eastAsia="宋体" w:hint="default"/>
                <w:sz w:val="18"/>
                <w:szCs w:val="18"/>
              </w:rPr>
            </w:pPr>
            <w:r>
              <w:rPr>
                <w:rFonts w:ascii="宋体" w:hAnsi="宋体" w:cs="宋体" w:eastAsia="宋体" w:hint="default"/>
                <w:sz w:val="18"/>
                <w:szCs w:val="18"/>
              </w:rPr>
              <w:t>新加坡</w:t>
            </w:r>
            <w:r>
              <w:rPr>
                <w:rFonts w:ascii="宋体" w:hAnsi="宋体" w:cs="宋体" w:eastAsia="宋体" w:hint="default"/>
                <w:spacing w:val="-45"/>
                <w:sz w:val="18"/>
                <w:szCs w:val="18"/>
              </w:rPr>
              <w:t> </w:t>
            </w:r>
            <w:r>
              <w:rPr>
                <w:rFonts w:ascii="宋体" w:hAnsi="宋体" w:cs="宋体" w:eastAsia="宋体" w:hint="default"/>
                <w:sz w:val="18"/>
                <w:szCs w:val="18"/>
              </w:rPr>
              <w:t>orchard</w:t>
            </w:r>
            <w:r>
              <w:rPr>
                <w:rFonts w:ascii="宋体" w:hAnsi="宋体" w:cs="宋体" w:eastAsia="宋体" w:hint="default"/>
                <w:spacing w:val="7"/>
                <w:sz w:val="18"/>
                <w:szCs w:val="18"/>
              </w:rPr>
              <w:t> </w:t>
            </w:r>
            <w:r>
              <w:rPr>
                <w:rFonts w:ascii="宋体" w:hAnsi="宋体" w:cs="宋体" w:eastAsia="宋体" w:hint="default"/>
                <w:sz w:val="18"/>
                <w:szCs w:val="18"/>
              </w:rPr>
              <w:t>hotel</w:t>
            </w:r>
            <w:r>
              <w:rPr>
                <w:rFonts w:ascii="宋体" w:hAnsi="宋体" w:cs="宋体" w:eastAsia="宋体" w:hint="default"/>
                <w:spacing w:val="-50"/>
                <w:sz w:val="18"/>
                <w:szCs w:val="18"/>
              </w:rPr>
              <w:t> </w:t>
            </w:r>
            <w:r>
              <w:rPr>
                <w:rFonts w:ascii="宋体" w:hAnsi="宋体" w:cs="宋体" w:eastAsia="宋体" w:hint="default"/>
                <w:sz w:val="18"/>
                <w:szCs w:val="18"/>
              </w:rPr>
              <w:t>项目</w:t>
            </w:r>
          </w:p>
        </w:tc>
      </w:tr>
    </w:tbl>
    <w:p>
      <w:pPr>
        <w:spacing w:line="240" w:lineRule="auto" w:before="6"/>
        <w:rPr>
          <w:rFonts w:ascii="宋体" w:hAnsi="宋体" w:cs="宋体" w:eastAsia="宋体" w:hint="default"/>
          <w:sz w:val="20"/>
          <w:szCs w:val="20"/>
        </w:rPr>
      </w:pPr>
    </w:p>
    <w:p>
      <w:pPr>
        <w:spacing w:line="319" w:lineRule="auto" w:before="0"/>
        <w:ind w:left="513" w:right="0" w:firstLine="0"/>
        <w:jc w:val="left"/>
        <w:rPr>
          <w:rFonts w:ascii="宋体" w:hAnsi="宋体" w:cs="宋体" w:eastAsia="宋体" w:hint="default"/>
          <w:sz w:val="18"/>
          <w:szCs w:val="18"/>
        </w:rPr>
      </w:pPr>
      <w:r>
        <w:rPr>
          <w:rFonts w:ascii="宋体" w:hAnsi="宋体" w:cs="宋体" w:eastAsia="宋体" w:hint="default"/>
          <w:b/>
          <w:bCs/>
          <w:sz w:val="18"/>
          <w:szCs w:val="18"/>
        </w:rPr>
        <w:t>（</w:t>
      </w:r>
      <w:r>
        <w:rPr>
          <w:rFonts w:ascii="宋体" w:hAnsi="宋体" w:cs="宋体" w:eastAsia="宋体" w:hint="default"/>
          <w:b/>
          <w:bCs/>
          <w:sz w:val="18"/>
          <w:szCs w:val="18"/>
        </w:rPr>
        <w:t>3</w:t>
      </w:r>
      <w:r>
        <w:rPr>
          <w:rFonts w:ascii="宋体" w:hAnsi="宋体" w:cs="宋体" w:eastAsia="宋体" w:hint="default"/>
          <w:b/>
          <w:bCs/>
          <w:sz w:val="18"/>
          <w:szCs w:val="18"/>
        </w:rPr>
        <w:t>）</w:t>
      </w:r>
      <w:r>
        <w:rPr>
          <w:rFonts w:ascii="宋体" w:hAnsi="宋体" w:cs="宋体" w:eastAsia="宋体" w:hint="default"/>
          <w:b/>
          <w:bCs/>
          <w:sz w:val="18"/>
          <w:szCs w:val="18"/>
        </w:rPr>
        <w:t>LED</w:t>
      </w:r>
      <w:r>
        <w:rPr>
          <w:rFonts w:ascii="宋体" w:hAnsi="宋体" w:cs="宋体" w:eastAsia="宋体" w:hint="default"/>
          <w:b/>
          <w:bCs/>
          <w:sz w:val="18"/>
          <w:szCs w:val="18"/>
        </w:rPr>
        <w:t>影院屏有望</w:t>
      </w:r>
      <w:r>
        <w:rPr>
          <w:rFonts w:ascii="宋体" w:hAnsi="宋体" w:cs="宋体" w:eastAsia="宋体" w:hint="default"/>
          <w:b/>
          <w:bCs/>
          <w:sz w:val="18"/>
          <w:szCs w:val="18"/>
        </w:rPr>
        <w:t>2020</w:t>
      </w:r>
      <w:r>
        <w:rPr>
          <w:rFonts w:ascii="宋体" w:hAnsi="宋体" w:cs="宋体" w:eastAsia="宋体" w:hint="default"/>
          <w:b/>
          <w:bCs/>
          <w:sz w:val="18"/>
          <w:szCs w:val="18"/>
        </w:rPr>
        <w:t>年落地</w:t>
      </w:r>
      <w:r>
        <w:rPr>
          <w:rFonts w:ascii="宋体" w:hAnsi="宋体" w:cs="宋体" w:eastAsia="宋体" w:hint="default"/>
          <w:b/>
          <w:bCs/>
          <w:spacing w:val="-86"/>
          <w:sz w:val="18"/>
          <w:szCs w:val="18"/>
        </w:rPr>
        <w:t> </w:t>
      </w:r>
      <w:r>
        <w:rPr>
          <w:rFonts w:ascii="宋体" w:hAnsi="宋体" w:cs="宋体" w:eastAsia="宋体" w:hint="default"/>
          <w:spacing w:val="-6"/>
          <w:sz w:val="18"/>
          <w:szCs w:val="18"/>
        </w:rPr>
        <w:t>公司联合中国电影科学技术研究所共同组建“</w:t>
      </w:r>
      <w:r>
        <w:rPr>
          <w:rFonts w:ascii="宋体" w:hAnsi="宋体" w:cs="宋体" w:eastAsia="宋体" w:hint="default"/>
          <w:spacing w:val="-6"/>
          <w:sz w:val="18"/>
          <w:szCs w:val="18"/>
        </w:rPr>
        <w:t>LED</w:t>
      </w:r>
      <w:r>
        <w:rPr>
          <w:rFonts w:ascii="宋体" w:hAnsi="宋体" w:cs="宋体" w:eastAsia="宋体" w:hint="default"/>
          <w:spacing w:val="-6"/>
          <w:sz w:val="18"/>
          <w:szCs w:val="18"/>
        </w:rPr>
        <w:t>屏电影播放系统联合实验室”，致力于建立“中国</w:t>
      </w:r>
      <w:r>
        <w:rPr>
          <w:rFonts w:ascii="宋体" w:hAnsi="宋体" w:cs="宋体" w:eastAsia="宋体" w:hint="default"/>
          <w:spacing w:val="-6"/>
          <w:sz w:val="18"/>
          <w:szCs w:val="18"/>
        </w:rPr>
        <w:t>LED</w:t>
      </w:r>
      <w:r>
        <w:rPr>
          <w:rFonts w:ascii="宋体" w:hAnsi="宋体" w:cs="宋体" w:eastAsia="宋体" w:hint="default"/>
          <w:spacing w:val="-6"/>
          <w:sz w:val="18"/>
          <w:szCs w:val="18"/>
        </w:rPr>
        <w:t>屏电影播放系统”</w:t>
      </w:r>
    </w:p>
    <w:p>
      <w:pPr>
        <w:pStyle w:val="BodyText"/>
        <w:spacing w:line="316" w:lineRule="auto" w:before="17"/>
        <w:ind w:right="0"/>
        <w:jc w:val="left"/>
      </w:pPr>
      <w:r>
        <w:rPr>
          <w:spacing w:val="-6"/>
        </w:rPr>
        <w:t>的技术标准，通过国际认证，取得国内外数字电影片源的放映许可权，推进“中国</w:t>
      </w:r>
      <w:r>
        <w:rPr>
          <w:rFonts w:ascii="宋体" w:hAnsi="宋体" w:cs="宋体" w:eastAsia="宋体" w:hint="default"/>
          <w:spacing w:val="-6"/>
        </w:rPr>
        <w:t>LED</w:t>
      </w:r>
      <w:r>
        <w:rPr>
          <w:spacing w:val="-6"/>
        </w:rPr>
        <w:t>屏电影播放系统”的商业化，增强“中</w:t>
      </w:r>
      <w:r>
        <w:rPr>
          <w:spacing w:val="66"/>
        </w:rPr>
        <w:t> </w:t>
      </w:r>
      <w:r>
        <w:rPr>
          <w:spacing w:val="66"/>
        </w:rPr>
      </w:r>
      <w:r>
        <w:rPr>
          <w:spacing w:val="-3"/>
        </w:rPr>
        <w:t>国</w:t>
      </w:r>
      <w:r>
        <w:rPr>
          <w:rFonts w:ascii="宋体" w:hAnsi="宋体" w:cs="宋体" w:eastAsia="宋体" w:hint="default"/>
          <w:spacing w:val="-3"/>
        </w:rPr>
        <w:t>LED</w:t>
      </w:r>
      <w:r>
        <w:rPr>
          <w:spacing w:val="-3"/>
        </w:rPr>
        <w:t>屏电影播放系统”在国内外市场的竞争力。</w:t>
      </w:r>
    </w:p>
    <w:p>
      <w:pPr>
        <w:spacing w:after="0" w:line="316" w:lineRule="auto"/>
        <w:jc w:val="left"/>
        <w:sectPr>
          <w:pgSz w:w="11910" w:h="16840"/>
          <w:pgMar w:header="784" w:footer="1022" w:top="1100" w:bottom="1220" w:left="980" w:right="0"/>
        </w:sectPr>
      </w:pPr>
    </w:p>
    <w:p>
      <w:pPr>
        <w:spacing w:line="240" w:lineRule="auto" w:before="10"/>
        <w:rPr>
          <w:rFonts w:ascii="宋体" w:hAnsi="宋体" w:cs="宋体" w:eastAsia="宋体" w:hint="default"/>
          <w:sz w:val="22"/>
          <w:szCs w:val="22"/>
        </w:rPr>
      </w:pPr>
    </w:p>
    <w:p>
      <w:pPr>
        <w:pStyle w:val="BodyText"/>
        <w:spacing w:line="316" w:lineRule="auto"/>
        <w:ind w:right="1131" w:firstLine="360"/>
        <w:jc w:val="both"/>
      </w:pPr>
      <w:r>
        <w:rPr>
          <w:spacing w:val="-3"/>
        </w:rPr>
        <w:t>报告期内，公司已完成</w:t>
      </w:r>
      <w:r>
        <w:rPr>
          <w:rFonts w:ascii="宋体" w:hAnsi="宋体" w:cs="宋体" w:eastAsia="宋体" w:hint="default"/>
          <w:spacing w:val="-3"/>
        </w:rPr>
        <w:t>LED</w:t>
      </w:r>
      <w:r>
        <w:rPr>
          <w:spacing w:val="-3"/>
        </w:rPr>
        <w:t>影院屏样品的研发，正在积极推动</w:t>
      </w:r>
      <w:r>
        <w:rPr>
          <w:rFonts w:ascii="宋体" w:hAnsi="宋体" w:cs="宋体" w:eastAsia="宋体" w:hint="default"/>
          <w:spacing w:val="-3"/>
        </w:rPr>
        <w:t>LED</w:t>
      </w:r>
      <w:r>
        <w:rPr>
          <w:spacing w:val="-3"/>
        </w:rPr>
        <w:t>影院屏相关资质的认证，并计划于</w:t>
      </w:r>
      <w:r>
        <w:rPr>
          <w:rFonts w:ascii="宋体" w:hAnsi="宋体" w:cs="宋体" w:eastAsia="宋体" w:hint="default"/>
          <w:spacing w:val="-3"/>
        </w:rPr>
        <w:t>2020</w:t>
      </w:r>
      <w:r>
        <w:rPr>
          <w:spacing w:val="-3"/>
        </w:rPr>
        <w:t>年建设</w:t>
      </w:r>
      <w:r>
        <w:rPr>
          <w:rFonts w:ascii="宋体" w:hAnsi="宋体" w:cs="宋体" w:eastAsia="宋体" w:hint="default"/>
          <w:spacing w:val="-3"/>
        </w:rPr>
        <w:t>LED</w:t>
      </w:r>
      <w:r>
        <w:rPr>
          <w:spacing w:val="-3"/>
        </w:rPr>
        <w:t>影院</w:t>
      </w:r>
      <w:r>
        <w:rPr>
          <w:spacing w:val="-5"/>
          <w:w w:val="101"/>
        </w:rPr>
        <w:t> </w:t>
      </w:r>
      <w:r>
        <w:rPr/>
        <w:t>屏示范点。</w:t>
      </w:r>
    </w:p>
    <w:p>
      <w:pPr>
        <w:spacing w:line="319" w:lineRule="auto" w:before="19"/>
        <w:ind w:left="513" w:right="0" w:firstLine="0"/>
        <w:jc w:val="left"/>
        <w:rPr>
          <w:rFonts w:ascii="宋体" w:hAnsi="宋体" w:cs="宋体" w:eastAsia="宋体" w:hint="default"/>
          <w:sz w:val="18"/>
          <w:szCs w:val="18"/>
        </w:rPr>
      </w:pPr>
      <w:r>
        <w:rPr>
          <w:rFonts w:ascii="宋体" w:hAnsi="宋体" w:cs="宋体" w:eastAsia="宋体" w:hint="default"/>
          <w:b/>
          <w:bCs/>
          <w:sz w:val="18"/>
          <w:szCs w:val="18"/>
        </w:rPr>
        <w:t>（</w:t>
      </w:r>
      <w:r>
        <w:rPr>
          <w:rFonts w:ascii="宋体" w:hAnsi="宋体" w:cs="宋体" w:eastAsia="宋体" w:hint="default"/>
          <w:b/>
          <w:bCs/>
          <w:sz w:val="18"/>
          <w:szCs w:val="18"/>
        </w:rPr>
        <w:t>4</w:t>
      </w:r>
      <w:r>
        <w:rPr>
          <w:rFonts w:ascii="宋体" w:hAnsi="宋体" w:cs="宋体" w:eastAsia="宋体" w:hint="default"/>
          <w:b/>
          <w:bCs/>
          <w:sz w:val="18"/>
          <w:szCs w:val="18"/>
        </w:rPr>
        <w:t>）联手中国联通加速</w:t>
      </w:r>
      <w:r>
        <w:rPr>
          <w:rFonts w:ascii="宋体" w:hAnsi="宋体" w:cs="宋体" w:eastAsia="宋体" w:hint="default"/>
          <w:b/>
          <w:bCs/>
          <w:sz w:val="18"/>
          <w:szCs w:val="18"/>
        </w:rPr>
        <w:t>5G</w:t>
      </w:r>
      <w:r>
        <w:rPr>
          <w:rFonts w:ascii="宋体" w:hAnsi="宋体" w:cs="宋体" w:eastAsia="宋体" w:hint="default"/>
          <w:b/>
          <w:bCs/>
          <w:sz w:val="18"/>
          <w:szCs w:val="18"/>
        </w:rPr>
        <w:t>智慧场馆建设进程</w:t>
      </w:r>
      <w:r>
        <w:rPr>
          <w:rFonts w:ascii="宋体" w:hAnsi="宋体" w:cs="宋体" w:eastAsia="宋体" w:hint="default"/>
          <w:b/>
          <w:bCs/>
          <w:spacing w:val="-89"/>
          <w:sz w:val="18"/>
          <w:szCs w:val="18"/>
        </w:rPr>
        <w:t> </w:t>
      </w:r>
      <w:r>
        <w:rPr>
          <w:rFonts w:ascii="宋体" w:hAnsi="宋体" w:cs="宋体" w:eastAsia="宋体" w:hint="default"/>
          <w:b/>
          <w:bCs/>
          <w:spacing w:val="-89"/>
          <w:sz w:val="18"/>
          <w:szCs w:val="18"/>
        </w:rPr>
      </w:r>
      <w:r>
        <w:rPr>
          <w:rFonts w:ascii="宋体" w:hAnsi="宋体" w:cs="宋体" w:eastAsia="宋体" w:hint="default"/>
          <w:spacing w:val="-4"/>
          <w:sz w:val="18"/>
          <w:szCs w:val="18"/>
        </w:rPr>
        <w:t>报告期内，公司与中国联合网络通信有限公司网络技术研究院签署战略合作协议，双方共同合作研究“</w:t>
      </w:r>
      <w:r>
        <w:rPr>
          <w:rFonts w:ascii="宋体" w:hAnsi="宋体" w:cs="宋体" w:eastAsia="宋体" w:hint="default"/>
          <w:spacing w:val="-4"/>
          <w:sz w:val="18"/>
          <w:szCs w:val="18"/>
        </w:rPr>
        <w:t>5G</w:t>
      </w:r>
      <w:r>
        <w:rPr>
          <w:rFonts w:ascii="宋体" w:hAnsi="宋体" w:cs="宋体" w:eastAsia="宋体" w:hint="default"/>
          <w:spacing w:val="-4"/>
          <w:sz w:val="18"/>
          <w:szCs w:val="18"/>
        </w:rPr>
        <w:t>智慧场馆建设</w:t>
      </w:r>
    </w:p>
    <w:p>
      <w:pPr>
        <w:pStyle w:val="BodyText"/>
        <w:spacing w:line="240" w:lineRule="auto" w:before="17"/>
        <w:ind w:right="0"/>
        <w:jc w:val="both"/>
      </w:pPr>
      <w:r>
        <w:rPr>
          <w:spacing w:val="-6"/>
        </w:rPr>
        <w:t>及改造标准”，并推动团体标准的制订，逐步形成行业标准；另外，双方也将共享资源，共同打造“</w:t>
      </w:r>
      <w:r>
        <w:rPr>
          <w:rFonts w:ascii="宋体" w:hAnsi="宋体" w:cs="宋体" w:eastAsia="宋体" w:hint="default"/>
          <w:spacing w:val="-6"/>
        </w:rPr>
        <w:t>5G</w:t>
      </w:r>
      <w:r>
        <w:rPr>
          <w:spacing w:val="-6"/>
        </w:rPr>
        <w:t>智慧场馆”样板场馆。</w:t>
      </w:r>
    </w:p>
    <w:p>
      <w:pPr>
        <w:pStyle w:val="BodyText"/>
        <w:spacing w:line="316" w:lineRule="auto" w:before="76"/>
        <w:ind w:left="513" w:right="0"/>
        <w:jc w:val="left"/>
        <w:rPr>
          <w:rFonts w:ascii="宋体" w:hAnsi="宋体" w:cs="宋体" w:eastAsia="宋体" w:hint="default"/>
        </w:rPr>
      </w:pPr>
      <w:r>
        <w:rPr>
          <w:rFonts w:ascii="宋体" w:hAnsi="宋体" w:cs="宋体" w:eastAsia="宋体" w:hint="default"/>
          <w:b/>
          <w:bCs/>
        </w:rPr>
        <w:t>（</w:t>
      </w:r>
      <w:r>
        <w:rPr>
          <w:rFonts w:ascii="宋体" w:hAnsi="宋体" w:cs="宋体" w:eastAsia="宋体" w:hint="default"/>
          <w:b/>
          <w:bCs/>
        </w:rPr>
        <w:t>5</w:t>
      </w:r>
      <w:r>
        <w:rPr>
          <w:rFonts w:ascii="宋体" w:hAnsi="宋体" w:cs="宋体" w:eastAsia="宋体" w:hint="default"/>
          <w:b/>
          <w:bCs/>
        </w:rPr>
        <w:t>）正式进军电竞市场</w:t>
      </w:r>
      <w:r>
        <w:rPr>
          <w:rFonts w:ascii="宋体" w:hAnsi="宋体" w:cs="宋体" w:eastAsia="宋体" w:hint="default"/>
          <w:b/>
          <w:bCs/>
          <w:spacing w:val="-89"/>
        </w:rPr>
        <w:t> </w:t>
      </w:r>
      <w:r>
        <w:rPr>
          <w:rFonts w:ascii="宋体" w:hAnsi="宋体" w:cs="宋体" w:eastAsia="宋体" w:hint="default"/>
          <w:b/>
          <w:bCs/>
          <w:spacing w:val="-89"/>
        </w:rPr>
      </w:r>
      <w:r>
        <w:rPr/>
        <w:t>公司一直以来持续关注电竞蓝海市场，并提早布局电子竞技解决方案。报告期内，公司实施了新加坡电竞城</w:t>
      </w:r>
      <w:r>
        <w:rPr>
          <w:rFonts w:ascii="宋体" w:hAnsi="宋体" w:cs="宋体" w:eastAsia="宋体" w:hint="default"/>
        </w:rPr>
        <w:t>Bountie</w:t>
      </w:r>
    </w:p>
    <w:p>
      <w:pPr>
        <w:pStyle w:val="BodyText"/>
        <w:spacing w:line="316" w:lineRule="auto" w:before="19"/>
        <w:ind w:right="1127"/>
        <w:jc w:val="both"/>
      </w:pPr>
      <w:r>
        <w:rPr>
          <w:rFonts w:ascii="宋体" w:hAnsi="宋体" w:cs="宋体" w:eastAsia="宋体" w:hint="default"/>
        </w:rPr>
        <w:t>Esports </w:t>
      </w:r>
      <w:r>
        <w:rPr>
          <w:rFonts w:ascii="宋体" w:hAnsi="宋体" w:cs="宋体" w:eastAsia="宋体" w:hint="default"/>
          <w:spacing w:val="-3"/>
        </w:rPr>
        <w:t>Arena</w:t>
      </w:r>
      <w:r>
        <w:rPr>
          <w:spacing w:val="-3"/>
        </w:rPr>
        <w:t>项目，正式进入电竞市场；同时，公司在</w:t>
      </w:r>
      <w:r>
        <w:rPr>
          <w:rFonts w:ascii="宋体" w:hAnsi="宋体" w:cs="宋体" w:eastAsia="宋体" w:hint="default"/>
          <w:spacing w:val="-3"/>
        </w:rPr>
        <w:t>2020</w:t>
      </w:r>
      <w:r>
        <w:rPr>
          <w:spacing w:val="-3"/>
        </w:rPr>
        <w:t>年荷兰</w:t>
      </w:r>
      <w:r>
        <w:rPr>
          <w:rFonts w:ascii="宋体" w:hAnsi="宋体" w:cs="宋体" w:eastAsia="宋体" w:hint="default"/>
          <w:spacing w:val="-3"/>
        </w:rPr>
        <w:t>ISE</w:t>
      </w:r>
      <w:r>
        <w:rPr>
          <w:spacing w:val="-3"/>
        </w:rPr>
        <w:t>展会推出全新电子竞技</w:t>
      </w:r>
      <w:r>
        <w:rPr>
          <w:rFonts w:ascii="宋体" w:hAnsi="宋体" w:cs="宋体" w:eastAsia="宋体" w:hint="default"/>
          <w:spacing w:val="-3"/>
        </w:rPr>
        <w:t>LED</w:t>
      </w:r>
      <w:r>
        <w:rPr>
          <w:spacing w:val="-3"/>
        </w:rPr>
        <w:t>显示解决方案，该解决方</w:t>
      </w:r>
      <w:r>
        <w:rPr>
          <w:spacing w:val="-7"/>
        </w:rPr>
        <w:t> </w:t>
      </w:r>
      <w:r>
        <w:rPr>
          <w:spacing w:val="-7"/>
        </w:rPr>
      </w:r>
      <w:r>
        <w:rPr>
          <w:spacing w:val="-3"/>
        </w:rPr>
        <w:t>案可完全满足当下所有电竞赛场的标准及需求。</w:t>
      </w:r>
    </w:p>
    <w:p>
      <w:pPr>
        <w:spacing w:line="240" w:lineRule="auto" w:before="12"/>
        <w:rPr>
          <w:rFonts w:ascii="宋体" w:hAnsi="宋体" w:cs="宋体" w:eastAsia="宋体" w:hint="default"/>
          <w:sz w:val="18"/>
          <w:szCs w:val="18"/>
        </w:rPr>
      </w:pPr>
    </w:p>
    <w:tbl>
      <w:tblPr>
        <w:tblW w:w="0" w:type="auto"/>
        <w:jc w:val="left"/>
        <w:tblInd w:w="2842" w:type="dxa"/>
        <w:tblLayout w:type="fixed"/>
        <w:tblCellMar>
          <w:top w:w="0" w:type="dxa"/>
          <w:left w:w="0" w:type="dxa"/>
          <w:bottom w:w="0" w:type="dxa"/>
          <w:right w:w="0" w:type="dxa"/>
        </w:tblCellMar>
        <w:tblLook w:val="01E0"/>
      </w:tblPr>
      <w:tblGrid>
        <w:gridCol w:w="4255"/>
      </w:tblGrid>
      <w:tr>
        <w:trPr>
          <w:trHeight w:val="2652" w:hRule="exact"/>
        </w:trPr>
        <w:tc>
          <w:tcPr>
            <w:tcW w:w="4255" w:type="dxa"/>
            <w:tcBorders>
              <w:top w:val="nil" w:sz="6" w:space="0" w:color="auto"/>
              <w:left w:val="nil" w:sz="6" w:space="0" w:color="auto"/>
              <w:bottom w:val="nil" w:sz="6" w:space="0" w:color="auto"/>
              <w:right w:val="nil" w:sz="6" w:space="0" w:color="auto"/>
            </w:tcBorders>
          </w:tcPr>
          <w:p>
            <w:pPr>
              <w:pStyle w:val="TableParagraph"/>
              <w:spacing w:line="2553" w:lineRule="exact"/>
              <w:ind w:left="200" w:right="0"/>
              <w:jc w:val="left"/>
              <w:rPr>
                <w:rFonts w:ascii="宋体" w:hAnsi="宋体" w:cs="宋体" w:eastAsia="宋体" w:hint="default"/>
                <w:sz w:val="20"/>
                <w:szCs w:val="20"/>
              </w:rPr>
            </w:pPr>
            <w:r>
              <w:rPr>
                <w:rFonts w:ascii="宋体" w:hAnsi="宋体" w:cs="宋体" w:eastAsia="宋体" w:hint="default"/>
                <w:position w:val="-50"/>
                <w:sz w:val="20"/>
                <w:szCs w:val="20"/>
              </w:rPr>
              <w:drawing>
                <wp:inline distT="0" distB="0" distL="0" distR="0">
                  <wp:extent cx="2447541" cy="1621536"/>
                  <wp:effectExtent l="0" t="0" r="0" b="0"/>
                  <wp:docPr id="39" name="image21.jpeg" descr=""/>
                  <wp:cNvGraphicFramePr>
                    <a:graphicFrameLocks noChangeAspect="1"/>
                  </wp:cNvGraphicFramePr>
                  <a:graphic>
                    <a:graphicData uri="http://schemas.openxmlformats.org/drawingml/2006/picture">
                      <pic:pic>
                        <pic:nvPicPr>
                          <pic:cNvPr id="40" name="image21.jpeg"/>
                          <pic:cNvPicPr/>
                        </pic:nvPicPr>
                        <pic:blipFill>
                          <a:blip r:embed="rId31" cstate="print"/>
                          <a:stretch>
                            <a:fillRect/>
                          </a:stretch>
                        </pic:blipFill>
                        <pic:spPr>
                          <a:xfrm>
                            <a:off x="0" y="0"/>
                            <a:ext cx="2447541" cy="1621536"/>
                          </a:xfrm>
                          <a:prstGeom prst="rect">
                            <a:avLst/>
                          </a:prstGeom>
                        </pic:spPr>
                      </pic:pic>
                    </a:graphicData>
                  </a:graphic>
                </wp:inline>
              </w:drawing>
            </w:r>
            <w:r>
              <w:rPr>
                <w:rFonts w:ascii="宋体" w:hAnsi="宋体" w:cs="宋体" w:eastAsia="宋体" w:hint="default"/>
                <w:position w:val="-50"/>
                <w:sz w:val="20"/>
                <w:szCs w:val="20"/>
              </w:rPr>
            </w:r>
          </w:p>
        </w:tc>
      </w:tr>
      <w:tr>
        <w:trPr>
          <w:trHeight w:val="280" w:hRule="exact"/>
        </w:trPr>
        <w:tc>
          <w:tcPr>
            <w:tcW w:w="425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22" w:right="0"/>
              <w:jc w:val="left"/>
              <w:rPr>
                <w:rFonts w:ascii="宋体" w:hAnsi="宋体" w:cs="宋体" w:eastAsia="宋体" w:hint="default"/>
                <w:sz w:val="18"/>
                <w:szCs w:val="18"/>
              </w:rPr>
            </w:pPr>
            <w:r>
              <w:rPr>
                <w:rFonts w:ascii="宋体" w:hAnsi="宋体" w:cs="宋体" w:eastAsia="宋体" w:hint="default"/>
                <w:sz w:val="18"/>
                <w:szCs w:val="18"/>
              </w:rPr>
              <w:t>新加坡</w:t>
            </w:r>
            <w:r>
              <w:rPr>
                <w:rFonts w:ascii="宋体" w:hAnsi="宋体" w:cs="宋体" w:eastAsia="宋体" w:hint="default"/>
                <w:spacing w:val="-46"/>
                <w:sz w:val="18"/>
                <w:szCs w:val="18"/>
              </w:rPr>
              <w:t> </w:t>
            </w:r>
            <w:r>
              <w:rPr>
                <w:rFonts w:ascii="宋体" w:hAnsi="宋体" w:cs="宋体" w:eastAsia="宋体" w:hint="default"/>
                <w:sz w:val="18"/>
                <w:szCs w:val="18"/>
              </w:rPr>
              <w:t>Bountie</w:t>
            </w:r>
            <w:r>
              <w:rPr>
                <w:rFonts w:ascii="宋体" w:hAnsi="宋体" w:cs="宋体" w:eastAsia="宋体" w:hint="default"/>
                <w:spacing w:val="3"/>
                <w:sz w:val="18"/>
                <w:szCs w:val="18"/>
              </w:rPr>
              <w:t> </w:t>
            </w:r>
            <w:r>
              <w:rPr>
                <w:rFonts w:ascii="宋体" w:hAnsi="宋体" w:cs="宋体" w:eastAsia="宋体" w:hint="default"/>
                <w:sz w:val="18"/>
                <w:szCs w:val="18"/>
              </w:rPr>
              <w:t>Esports</w:t>
            </w:r>
            <w:r>
              <w:rPr>
                <w:rFonts w:ascii="宋体" w:hAnsi="宋体" w:cs="宋体" w:eastAsia="宋体" w:hint="default"/>
                <w:spacing w:val="3"/>
                <w:sz w:val="18"/>
                <w:szCs w:val="18"/>
              </w:rPr>
              <w:t> </w:t>
            </w:r>
            <w:r>
              <w:rPr>
                <w:rFonts w:ascii="宋体" w:hAnsi="宋体" w:cs="宋体" w:eastAsia="宋体" w:hint="default"/>
                <w:sz w:val="18"/>
                <w:szCs w:val="18"/>
              </w:rPr>
              <w:t>Arena</w:t>
            </w:r>
            <w:r>
              <w:rPr>
                <w:rFonts w:ascii="宋体" w:hAnsi="宋体" w:cs="宋体" w:eastAsia="宋体" w:hint="default"/>
                <w:spacing w:val="-51"/>
                <w:sz w:val="18"/>
                <w:szCs w:val="18"/>
              </w:rPr>
              <w:t> </w:t>
            </w:r>
            <w:r>
              <w:rPr>
                <w:rFonts w:ascii="宋体" w:hAnsi="宋体" w:cs="宋体" w:eastAsia="宋体" w:hint="default"/>
                <w:sz w:val="18"/>
                <w:szCs w:val="18"/>
              </w:rPr>
              <w:t>电竞屏项目</w:t>
            </w:r>
          </w:p>
        </w:tc>
      </w:tr>
    </w:tbl>
    <w:p>
      <w:pPr>
        <w:spacing w:line="316" w:lineRule="auto" w:before="153"/>
        <w:ind w:left="513" w:right="0" w:firstLine="0"/>
        <w:jc w:val="left"/>
        <w:rPr>
          <w:rFonts w:ascii="宋体" w:hAnsi="宋体" w:cs="宋体" w:eastAsia="宋体" w:hint="default"/>
          <w:sz w:val="18"/>
          <w:szCs w:val="18"/>
        </w:rPr>
      </w:pPr>
      <w:r>
        <w:rPr>
          <w:rFonts w:ascii="宋体" w:hAnsi="宋体" w:cs="宋体" w:eastAsia="宋体" w:hint="default"/>
          <w:b/>
          <w:bCs/>
          <w:sz w:val="18"/>
          <w:szCs w:val="18"/>
        </w:rPr>
        <w:t>(6)</w:t>
      </w:r>
      <w:r>
        <w:rPr>
          <w:rFonts w:ascii="宋体" w:hAnsi="宋体" w:cs="宋体" w:eastAsia="宋体" w:hint="default"/>
          <w:b/>
          <w:bCs/>
          <w:sz w:val="18"/>
          <w:szCs w:val="18"/>
        </w:rPr>
        <w:t>持续服务高端体育赛事</w:t>
      </w:r>
      <w:r>
        <w:rPr>
          <w:rFonts w:ascii="宋体" w:hAnsi="宋体" w:cs="宋体" w:eastAsia="宋体" w:hint="default"/>
          <w:b/>
          <w:bCs/>
          <w:spacing w:val="-88"/>
          <w:sz w:val="18"/>
          <w:szCs w:val="18"/>
        </w:rPr>
        <w:t> </w:t>
      </w:r>
      <w:r>
        <w:rPr>
          <w:rFonts w:ascii="宋体" w:hAnsi="宋体" w:cs="宋体" w:eastAsia="宋体" w:hint="default"/>
          <w:b/>
          <w:bCs/>
          <w:spacing w:val="-88"/>
          <w:sz w:val="18"/>
          <w:szCs w:val="18"/>
        </w:rPr>
      </w:r>
      <w:r>
        <w:rPr>
          <w:rFonts w:ascii="宋体" w:hAnsi="宋体" w:cs="宋体" w:eastAsia="宋体" w:hint="default"/>
          <w:spacing w:val="-3"/>
          <w:sz w:val="18"/>
          <w:szCs w:val="18"/>
        </w:rPr>
        <w:t>体育市场是公司</w:t>
      </w:r>
      <w:r>
        <w:rPr>
          <w:rFonts w:ascii="宋体" w:hAnsi="宋体" w:cs="宋体" w:eastAsia="宋体" w:hint="default"/>
          <w:spacing w:val="-3"/>
          <w:sz w:val="18"/>
          <w:szCs w:val="18"/>
        </w:rPr>
        <w:t>LED</w:t>
      </w:r>
      <w:r>
        <w:rPr>
          <w:rFonts w:ascii="宋体" w:hAnsi="宋体" w:cs="宋体" w:eastAsia="宋体" w:hint="default"/>
          <w:spacing w:val="-3"/>
          <w:sz w:val="18"/>
          <w:szCs w:val="18"/>
        </w:rPr>
        <w:t>显示产品的重要应用领域，公司产品已先后应用于众多体育赛事，积累了丰富的技术和经验。报告</w:t>
      </w:r>
    </w:p>
    <w:p>
      <w:pPr>
        <w:pStyle w:val="BodyText"/>
        <w:spacing w:line="316" w:lineRule="auto" w:before="19"/>
        <w:ind w:right="1126"/>
        <w:jc w:val="both"/>
      </w:pPr>
      <w:r>
        <w:rPr>
          <w:spacing w:val="-3"/>
        </w:rPr>
        <w:t>期内，公司为多个体育赛事提供</w:t>
      </w:r>
      <w:r>
        <w:rPr>
          <w:rFonts w:ascii="宋体" w:hAnsi="宋体" w:cs="宋体" w:eastAsia="宋体" w:hint="default"/>
          <w:spacing w:val="-3"/>
        </w:rPr>
        <w:t>LED</w:t>
      </w:r>
      <w:r>
        <w:rPr>
          <w:spacing w:val="-3"/>
        </w:rPr>
        <w:t>显示解决方案，包括</w:t>
      </w:r>
      <w:r>
        <w:rPr>
          <w:rFonts w:ascii="宋体" w:hAnsi="宋体" w:cs="宋体" w:eastAsia="宋体" w:hint="default"/>
          <w:spacing w:val="-3"/>
        </w:rPr>
        <w:t>2019</w:t>
      </w:r>
      <w:r>
        <w:rPr>
          <w:spacing w:val="-3"/>
        </w:rPr>
        <w:t>深圳国际马拉松赛、中超嘉年华、中国女子排球联赛、鲁能潍</w:t>
      </w:r>
      <w:r>
        <w:rPr>
          <w:spacing w:val="-2"/>
        </w:rPr>
        <w:t> </w:t>
      </w:r>
      <w:r>
        <w:rPr>
          <w:spacing w:val="-2"/>
        </w:rPr>
      </w:r>
      <w:r>
        <w:rPr>
          <w:spacing w:val="-3"/>
        </w:rPr>
        <w:t>坊杯及福特宝中国之队赛事等；同时，公司在</w:t>
      </w:r>
      <w:r>
        <w:rPr>
          <w:rFonts w:ascii="宋体" w:hAnsi="宋体" w:cs="宋体" w:eastAsia="宋体" w:hint="default"/>
          <w:spacing w:val="-3"/>
        </w:rPr>
        <w:t>2019</w:t>
      </w:r>
      <w:r>
        <w:rPr>
          <w:spacing w:val="-3"/>
        </w:rPr>
        <w:t>阿姆斯特丹</w:t>
      </w:r>
      <w:r>
        <w:rPr>
          <w:rFonts w:ascii="宋体" w:hAnsi="宋体" w:cs="宋体" w:eastAsia="宋体" w:hint="default"/>
          <w:spacing w:val="-3"/>
        </w:rPr>
        <w:t>IBC</w:t>
      </w:r>
      <w:r>
        <w:rPr>
          <w:spacing w:val="-3"/>
        </w:rPr>
        <w:t>展会上展出的全新第二代虚拟转播技术可实现赛场广告的</w:t>
      </w:r>
      <w:r>
        <w:rPr>
          <w:spacing w:val="-2"/>
        </w:rPr>
        <w:t> </w:t>
      </w:r>
      <w:r>
        <w:rPr>
          <w:spacing w:val="-2"/>
        </w:rPr>
      </w:r>
      <w:r>
        <w:rPr>
          <w:spacing w:val="-3"/>
        </w:rPr>
        <w:t>精准投放，为国际大型赛事的转播提供了一种新方式。</w:t>
      </w:r>
    </w:p>
    <w:p>
      <w:pPr>
        <w:spacing w:line="240" w:lineRule="auto" w:before="2"/>
        <w:rPr>
          <w:rFonts w:ascii="宋体" w:hAnsi="宋体" w:cs="宋体" w:eastAsia="宋体" w:hint="default"/>
          <w:sz w:val="19"/>
          <w:szCs w:val="19"/>
        </w:rPr>
      </w:pPr>
    </w:p>
    <w:tbl>
      <w:tblPr>
        <w:tblW w:w="0" w:type="auto"/>
        <w:jc w:val="left"/>
        <w:tblInd w:w="686" w:type="dxa"/>
        <w:tblLayout w:type="fixed"/>
        <w:tblCellMar>
          <w:top w:w="0" w:type="dxa"/>
          <w:left w:w="0" w:type="dxa"/>
          <w:bottom w:w="0" w:type="dxa"/>
          <w:right w:w="0" w:type="dxa"/>
        </w:tblCellMar>
        <w:tblLook w:val="01E0"/>
      </w:tblPr>
      <w:tblGrid>
        <w:gridCol w:w="4288"/>
        <w:gridCol w:w="4287"/>
      </w:tblGrid>
      <w:tr>
        <w:trPr>
          <w:trHeight w:val="2647" w:hRule="exact"/>
        </w:trPr>
        <w:tc>
          <w:tcPr>
            <w:tcW w:w="4288" w:type="dxa"/>
            <w:tcBorders>
              <w:top w:val="nil" w:sz="6" w:space="0" w:color="auto"/>
              <w:left w:val="nil" w:sz="6" w:space="0" w:color="auto"/>
              <w:bottom w:val="nil" w:sz="6" w:space="0" w:color="auto"/>
              <w:right w:val="nil" w:sz="6" w:space="0" w:color="auto"/>
            </w:tcBorders>
          </w:tcPr>
          <w:p>
            <w:pPr>
              <w:pStyle w:val="TableParagraph"/>
              <w:spacing w:line="2574" w:lineRule="exact"/>
              <w:ind w:left="200" w:right="0"/>
              <w:jc w:val="left"/>
              <w:rPr>
                <w:rFonts w:ascii="宋体" w:hAnsi="宋体" w:cs="宋体" w:eastAsia="宋体" w:hint="default"/>
                <w:sz w:val="20"/>
                <w:szCs w:val="20"/>
              </w:rPr>
            </w:pPr>
            <w:r>
              <w:rPr>
                <w:rFonts w:ascii="宋体" w:hAnsi="宋体" w:cs="宋体" w:eastAsia="宋体" w:hint="default"/>
                <w:position w:val="-50"/>
                <w:sz w:val="20"/>
                <w:szCs w:val="20"/>
              </w:rPr>
              <w:drawing>
                <wp:inline distT="0" distB="0" distL="0" distR="0">
                  <wp:extent cx="2471933" cy="1634489"/>
                  <wp:effectExtent l="0" t="0" r="0" b="0"/>
                  <wp:docPr id="41" name="image22.jpeg" descr=""/>
                  <wp:cNvGraphicFramePr>
                    <a:graphicFrameLocks noChangeAspect="1"/>
                  </wp:cNvGraphicFramePr>
                  <a:graphic>
                    <a:graphicData uri="http://schemas.openxmlformats.org/drawingml/2006/picture">
                      <pic:pic>
                        <pic:nvPicPr>
                          <pic:cNvPr id="42" name="image22.jpeg"/>
                          <pic:cNvPicPr/>
                        </pic:nvPicPr>
                        <pic:blipFill>
                          <a:blip r:embed="rId32" cstate="print"/>
                          <a:stretch>
                            <a:fillRect/>
                          </a:stretch>
                        </pic:blipFill>
                        <pic:spPr>
                          <a:xfrm>
                            <a:off x="0" y="0"/>
                            <a:ext cx="2471933" cy="1634489"/>
                          </a:xfrm>
                          <a:prstGeom prst="rect">
                            <a:avLst/>
                          </a:prstGeom>
                        </pic:spPr>
                      </pic:pic>
                    </a:graphicData>
                  </a:graphic>
                </wp:inline>
              </w:drawing>
            </w:r>
            <w:r>
              <w:rPr>
                <w:rFonts w:ascii="宋体" w:hAnsi="宋体" w:cs="宋体" w:eastAsia="宋体" w:hint="default"/>
                <w:position w:val="-50"/>
                <w:sz w:val="20"/>
                <w:szCs w:val="20"/>
              </w:rPr>
            </w:r>
          </w:p>
        </w:tc>
        <w:tc>
          <w:tcPr>
            <w:tcW w:w="4287" w:type="dxa"/>
            <w:tcBorders>
              <w:top w:val="nil" w:sz="6" w:space="0" w:color="auto"/>
              <w:left w:val="nil" w:sz="6" w:space="0" w:color="auto"/>
              <w:bottom w:val="nil" w:sz="6" w:space="0" w:color="auto"/>
              <w:right w:val="nil" w:sz="6" w:space="0" w:color="auto"/>
            </w:tcBorders>
          </w:tcPr>
          <w:p>
            <w:pPr>
              <w:pStyle w:val="TableParagraph"/>
              <w:spacing w:line="2567" w:lineRule="exact"/>
              <w:ind w:left="232" w:right="0"/>
              <w:jc w:val="left"/>
              <w:rPr>
                <w:rFonts w:ascii="宋体" w:hAnsi="宋体" w:cs="宋体" w:eastAsia="宋体" w:hint="default"/>
                <w:sz w:val="20"/>
                <w:szCs w:val="20"/>
              </w:rPr>
            </w:pPr>
            <w:r>
              <w:rPr>
                <w:rFonts w:ascii="宋体" w:hAnsi="宋体" w:cs="宋体" w:eastAsia="宋体" w:hint="default"/>
                <w:position w:val="-50"/>
                <w:sz w:val="20"/>
                <w:szCs w:val="20"/>
              </w:rPr>
              <w:drawing>
                <wp:inline distT="0" distB="0" distL="0" distR="0">
                  <wp:extent cx="2465595" cy="1630299"/>
                  <wp:effectExtent l="0" t="0" r="0" b="0"/>
                  <wp:docPr id="43" name="image23.jpeg" descr=""/>
                  <wp:cNvGraphicFramePr>
                    <a:graphicFrameLocks noChangeAspect="1"/>
                  </wp:cNvGraphicFramePr>
                  <a:graphic>
                    <a:graphicData uri="http://schemas.openxmlformats.org/drawingml/2006/picture">
                      <pic:pic>
                        <pic:nvPicPr>
                          <pic:cNvPr id="44" name="image23.jpeg"/>
                          <pic:cNvPicPr/>
                        </pic:nvPicPr>
                        <pic:blipFill>
                          <a:blip r:embed="rId33" cstate="print"/>
                          <a:stretch>
                            <a:fillRect/>
                          </a:stretch>
                        </pic:blipFill>
                        <pic:spPr>
                          <a:xfrm>
                            <a:off x="0" y="0"/>
                            <a:ext cx="2465595" cy="1630299"/>
                          </a:xfrm>
                          <a:prstGeom prst="rect">
                            <a:avLst/>
                          </a:prstGeom>
                        </pic:spPr>
                      </pic:pic>
                    </a:graphicData>
                  </a:graphic>
                </wp:inline>
              </w:drawing>
            </w:r>
            <w:r>
              <w:rPr>
                <w:rFonts w:ascii="宋体" w:hAnsi="宋体" w:cs="宋体" w:eastAsia="宋体" w:hint="default"/>
                <w:position w:val="-50"/>
                <w:sz w:val="20"/>
                <w:szCs w:val="20"/>
              </w:rPr>
            </w:r>
          </w:p>
        </w:tc>
      </w:tr>
      <w:tr>
        <w:trPr>
          <w:trHeight w:val="281" w:hRule="exact"/>
        </w:trPr>
        <w:tc>
          <w:tcPr>
            <w:tcW w:w="4288" w:type="dxa"/>
            <w:tcBorders>
              <w:top w:val="nil" w:sz="6" w:space="0" w:color="auto"/>
              <w:left w:val="nil" w:sz="6" w:space="0" w:color="auto"/>
              <w:bottom w:val="nil" w:sz="6" w:space="0" w:color="auto"/>
              <w:right w:val="nil" w:sz="6" w:space="0" w:color="auto"/>
            </w:tcBorders>
          </w:tcPr>
          <w:p>
            <w:pPr>
              <w:pStyle w:val="TableParagraph"/>
              <w:spacing w:line="240" w:lineRule="auto" w:before="45"/>
              <w:ind w:left="782" w:right="0"/>
              <w:jc w:val="left"/>
              <w:rPr>
                <w:rFonts w:ascii="宋体" w:hAnsi="宋体" w:cs="宋体" w:eastAsia="宋体" w:hint="default"/>
                <w:sz w:val="18"/>
                <w:szCs w:val="18"/>
              </w:rPr>
            </w:pPr>
            <w:r>
              <w:rPr>
                <w:rFonts w:ascii="宋体" w:hAnsi="宋体" w:cs="宋体" w:eastAsia="宋体" w:hint="default"/>
                <w:sz w:val="18"/>
                <w:szCs w:val="18"/>
              </w:rPr>
              <w:t>深圳国际马拉松赛</w:t>
            </w:r>
            <w:r>
              <w:rPr>
                <w:rFonts w:ascii="宋体" w:hAnsi="宋体" w:cs="宋体" w:eastAsia="宋体" w:hint="default"/>
                <w:spacing w:val="-42"/>
                <w:sz w:val="18"/>
                <w:szCs w:val="18"/>
              </w:rPr>
              <w:t> </w:t>
            </w:r>
            <w:r>
              <w:rPr>
                <w:rFonts w:ascii="宋体" w:hAnsi="宋体" w:cs="宋体" w:eastAsia="宋体" w:hint="default"/>
                <w:sz w:val="18"/>
                <w:szCs w:val="18"/>
              </w:rPr>
              <w:t>LED</w:t>
            </w:r>
            <w:r>
              <w:rPr>
                <w:rFonts w:ascii="宋体" w:hAnsi="宋体" w:cs="宋体" w:eastAsia="宋体" w:hint="default"/>
                <w:spacing w:val="-48"/>
                <w:sz w:val="18"/>
                <w:szCs w:val="18"/>
              </w:rPr>
              <w:t> </w:t>
            </w:r>
            <w:r>
              <w:rPr>
                <w:rFonts w:ascii="宋体" w:hAnsi="宋体" w:cs="宋体" w:eastAsia="宋体" w:hint="default"/>
                <w:sz w:val="18"/>
                <w:szCs w:val="18"/>
              </w:rPr>
              <w:t>车载屏项目</w:t>
            </w:r>
          </w:p>
        </w:tc>
        <w:tc>
          <w:tcPr>
            <w:tcW w:w="4287"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080" w:right="0"/>
              <w:jc w:val="left"/>
              <w:rPr>
                <w:rFonts w:ascii="宋体" w:hAnsi="宋体" w:cs="宋体" w:eastAsia="宋体" w:hint="default"/>
                <w:sz w:val="18"/>
                <w:szCs w:val="18"/>
              </w:rPr>
            </w:pPr>
            <w:r>
              <w:rPr>
                <w:rFonts w:ascii="宋体" w:hAnsi="宋体" w:cs="宋体" w:eastAsia="宋体" w:hint="default"/>
                <w:sz w:val="18"/>
                <w:szCs w:val="18"/>
              </w:rPr>
              <w:t>中超嘉年华</w:t>
            </w:r>
            <w:r>
              <w:rPr>
                <w:rFonts w:ascii="宋体" w:hAnsi="宋体" w:cs="宋体" w:eastAsia="宋体" w:hint="default"/>
                <w:spacing w:val="-44"/>
                <w:sz w:val="18"/>
                <w:szCs w:val="18"/>
              </w:rPr>
              <w:t> </w:t>
            </w:r>
            <w:r>
              <w:rPr>
                <w:rFonts w:ascii="宋体" w:hAnsi="宋体" w:cs="宋体" w:eastAsia="宋体" w:hint="default"/>
                <w:sz w:val="18"/>
                <w:szCs w:val="18"/>
              </w:rPr>
              <w:t>LED</w:t>
            </w:r>
            <w:r>
              <w:rPr>
                <w:rFonts w:ascii="宋体" w:hAnsi="宋体" w:cs="宋体" w:eastAsia="宋体" w:hint="default"/>
                <w:spacing w:val="-44"/>
                <w:sz w:val="18"/>
                <w:szCs w:val="18"/>
              </w:rPr>
              <w:t> </w:t>
            </w:r>
            <w:r>
              <w:rPr>
                <w:rFonts w:ascii="宋体" w:hAnsi="宋体" w:cs="宋体" w:eastAsia="宋体" w:hint="default"/>
                <w:sz w:val="18"/>
                <w:szCs w:val="18"/>
              </w:rPr>
              <w:t>车载屏项目</w:t>
            </w:r>
          </w:p>
        </w:tc>
      </w:tr>
    </w:tbl>
    <w:p>
      <w:pPr>
        <w:spacing w:line="319" w:lineRule="auto" w:before="114"/>
        <w:ind w:left="513" w:right="7667" w:firstLine="0"/>
        <w:jc w:val="left"/>
        <w:rPr>
          <w:rFonts w:ascii="宋体" w:hAnsi="宋体" w:cs="宋体" w:eastAsia="宋体" w:hint="default"/>
          <w:sz w:val="18"/>
          <w:szCs w:val="18"/>
        </w:rPr>
      </w:pPr>
      <w:r>
        <w:rPr>
          <w:rFonts w:ascii="宋体" w:hAnsi="宋体" w:cs="宋体" w:eastAsia="宋体" w:hint="default"/>
          <w:b/>
          <w:bCs/>
          <w:spacing w:val="-2"/>
          <w:sz w:val="18"/>
          <w:szCs w:val="18"/>
        </w:rPr>
        <w:t>（</w:t>
      </w:r>
      <w:r>
        <w:rPr>
          <w:rFonts w:ascii="宋体" w:hAnsi="宋体" w:cs="宋体" w:eastAsia="宋体" w:hint="default"/>
          <w:b/>
          <w:bCs/>
          <w:spacing w:val="-2"/>
          <w:sz w:val="18"/>
          <w:szCs w:val="18"/>
        </w:rPr>
        <w:t>7</w:t>
      </w:r>
      <w:r>
        <w:rPr>
          <w:rFonts w:ascii="宋体" w:hAnsi="宋体" w:cs="宋体" w:eastAsia="宋体" w:hint="default"/>
          <w:b/>
          <w:bCs/>
          <w:spacing w:val="-2"/>
          <w:sz w:val="18"/>
          <w:szCs w:val="18"/>
        </w:rPr>
        <w:t>）</w:t>
      </w:r>
      <w:r>
        <w:rPr>
          <w:rFonts w:ascii="宋体" w:hAnsi="宋体" w:cs="宋体" w:eastAsia="宋体" w:hint="default"/>
          <w:b/>
          <w:bCs/>
          <w:spacing w:val="-2"/>
          <w:sz w:val="18"/>
          <w:szCs w:val="18"/>
        </w:rPr>
        <w:t>LED</w:t>
      </w:r>
      <w:r>
        <w:rPr>
          <w:rFonts w:ascii="宋体" w:hAnsi="宋体" w:cs="宋体" w:eastAsia="宋体" w:hint="default"/>
          <w:b/>
          <w:bCs/>
          <w:spacing w:val="-2"/>
          <w:sz w:val="18"/>
          <w:szCs w:val="18"/>
        </w:rPr>
        <w:t>显示“黑科技”层出不穷</w:t>
      </w:r>
      <w:r>
        <w:rPr>
          <w:rFonts w:ascii="宋体" w:hAnsi="宋体" w:cs="宋体" w:eastAsia="宋体" w:hint="default"/>
          <w:b/>
          <w:bCs/>
          <w:spacing w:val="-53"/>
          <w:sz w:val="18"/>
          <w:szCs w:val="18"/>
        </w:rPr>
        <w:t> </w:t>
      </w:r>
      <w:r>
        <w:rPr>
          <w:rFonts w:ascii="宋体" w:hAnsi="宋体" w:cs="宋体" w:eastAsia="宋体" w:hint="default"/>
          <w:b/>
          <w:bCs/>
          <w:spacing w:val="-53"/>
          <w:sz w:val="18"/>
          <w:szCs w:val="18"/>
        </w:rPr>
      </w:r>
      <w:r>
        <w:rPr>
          <w:rFonts w:ascii="宋体" w:hAnsi="宋体" w:cs="宋体" w:eastAsia="宋体" w:hint="default"/>
          <w:sz w:val="18"/>
          <w:szCs w:val="18"/>
        </w:rPr>
        <w:t>1</w:t>
      </w:r>
      <w:r>
        <w:rPr>
          <w:rFonts w:ascii="宋体" w:hAnsi="宋体" w:cs="宋体" w:eastAsia="宋体" w:hint="default"/>
          <w:sz w:val="18"/>
          <w:szCs w:val="18"/>
        </w:rPr>
        <w:t>）</w:t>
      </w:r>
      <w:r>
        <w:rPr>
          <w:rFonts w:ascii="宋体" w:hAnsi="宋体" w:cs="宋体" w:eastAsia="宋体" w:hint="default"/>
          <w:sz w:val="18"/>
          <w:szCs w:val="18"/>
        </w:rPr>
        <w:t>Mini</w:t>
      </w:r>
      <w:r>
        <w:rPr>
          <w:rFonts w:ascii="宋体" w:hAnsi="宋体" w:cs="宋体" w:eastAsia="宋体" w:hint="default"/>
          <w:spacing w:val="24"/>
          <w:sz w:val="18"/>
          <w:szCs w:val="18"/>
        </w:rPr>
        <w:t> </w:t>
      </w:r>
      <w:r>
        <w:rPr>
          <w:rFonts w:ascii="宋体" w:hAnsi="宋体" w:cs="宋体" w:eastAsia="宋体" w:hint="default"/>
          <w:spacing w:val="-3"/>
          <w:sz w:val="18"/>
          <w:szCs w:val="18"/>
        </w:rPr>
        <w:t>LED</w:t>
      </w:r>
      <w:r>
        <w:rPr>
          <w:rFonts w:ascii="宋体" w:hAnsi="宋体" w:cs="宋体" w:eastAsia="宋体" w:hint="default"/>
          <w:spacing w:val="-3"/>
          <w:sz w:val="18"/>
          <w:szCs w:val="18"/>
        </w:rPr>
        <w:t>技术领军行业</w:t>
      </w:r>
      <w:r>
        <w:rPr>
          <w:rFonts w:ascii="宋体" w:hAnsi="宋体" w:cs="宋体" w:eastAsia="宋体" w:hint="default"/>
          <w:sz w:val="18"/>
          <w:szCs w:val="18"/>
        </w:rPr>
      </w:r>
    </w:p>
    <w:p>
      <w:pPr>
        <w:pStyle w:val="BodyText"/>
        <w:spacing w:line="316" w:lineRule="auto" w:before="17"/>
        <w:ind w:right="1122" w:firstLine="360"/>
        <w:jc w:val="both"/>
      </w:pPr>
      <w:r>
        <w:rPr>
          <w:spacing w:val="-2"/>
          <w:w w:val="101"/>
        </w:rPr>
        <w:t>公司作为</w:t>
      </w:r>
      <w:r>
        <w:rPr>
          <w:rFonts w:ascii="宋体" w:hAnsi="宋体" w:cs="宋体" w:eastAsia="宋体" w:hint="default"/>
          <w:spacing w:val="-2"/>
          <w:w w:val="101"/>
        </w:rPr>
        <w:t>Mini</w:t>
      </w:r>
      <w:r>
        <w:rPr>
          <w:rFonts w:ascii="宋体" w:hAnsi="宋体" w:cs="宋体" w:eastAsia="宋体" w:hint="default"/>
          <w:w w:val="101"/>
        </w:rPr>
        <w:t> </w:t>
      </w:r>
      <w:r>
        <w:rPr>
          <w:rFonts w:ascii="宋体" w:hAnsi="宋体" w:cs="宋体" w:eastAsia="宋体" w:hint="default"/>
          <w:spacing w:val="-8"/>
          <w:w w:val="101"/>
        </w:rPr>
        <w:t>LED</w:t>
      </w:r>
      <w:r>
        <w:rPr>
          <w:spacing w:val="-8"/>
          <w:w w:val="101"/>
        </w:rPr>
        <w:t>显示行业的先行者、领军者，产品早已于</w:t>
      </w:r>
      <w:r>
        <w:rPr>
          <w:rFonts w:ascii="宋体" w:hAnsi="宋体" w:cs="宋体" w:eastAsia="宋体" w:hint="default"/>
          <w:spacing w:val="-8"/>
          <w:w w:val="101"/>
        </w:rPr>
        <w:t>2018</w:t>
      </w:r>
      <w:r>
        <w:rPr>
          <w:spacing w:val="-8"/>
          <w:w w:val="101"/>
        </w:rPr>
        <w:t>年成熟批量投放市场。经过</w:t>
      </w:r>
      <w:r>
        <w:rPr>
          <w:rFonts w:ascii="宋体" w:hAnsi="宋体" w:cs="宋体" w:eastAsia="宋体" w:hint="default"/>
          <w:spacing w:val="-8"/>
          <w:w w:val="101"/>
        </w:rPr>
        <w:t>7</w:t>
      </w:r>
      <w:r>
        <w:rPr>
          <w:spacing w:val="-8"/>
          <w:w w:val="101"/>
        </w:rPr>
        <w:t>年的经验积累，奥拓</w:t>
      </w:r>
      <w:r>
        <w:rPr>
          <w:rFonts w:ascii="宋体" w:hAnsi="宋体" w:cs="宋体" w:eastAsia="宋体" w:hint="default"/>
          <w:spacing w:val="-8"/>
          <w:w w:val="101"/>
        </w:rPr>
        <w:t>Mini</w:t>
      </w:r>
      <w:r>
        <w:rPr>
          <w:rFonts w:ascii="宋体" w:hAnsi="宋体" w:cs="宋体" w:eastAsia="宋体" w:hint="default"/>
          <w:spacing w:val="-67"/>
          <w:w w:val="101"/>
        </w:rPr>
        <w:t> </w:t>
      </w:r>
      <w:r>
        <w:rPr>
          <w:rFonts w:ascii="宋体" w:hAnsi="宋体" w:cs="宋体" w:eastAsia="宋体" w:hint="default"/>
          <w:spacing w:val="-2"/>
          <w:w w:val="101"/>
        </w:rPr>
        <w:t>LED</w:t>
      </w:r>
      <w:r>
        <w:rPr>
          <w:rFonts w:ascii="宋体" w:hAnsi="宋体" w:cs="宋体" w:eastAsia="宋体" w:hint="default"/>
          <w:w w:val="101"/>
        </w:rPr>
        <w:t> </w:t>
      </w:r>
      <w:r>
        <w:rPr>
          <w:spacing w:val="-4"/>
        </w:rPr>
        <w:t>显示技术研发能力不断提升，截至目前，公司的</w:t>
      </w:r>
      <w:r>
        <w:rPr>
          <w:rFonts w:ascii="宋体" w:hAnsi="宋体" w:cs="宋体" w:eastAsia="宋体" w:hint="default"/>
          <w:spacing w:val="-4"/>
        </w:rPr>
        <w:t>Mini </w:t>
      </w:r>
      <w:r>
        <w:rPr>
          <w:rFonts w:ascii="宋体" w:hAnsi="宋体" w:cs="宋体" w:eastAsia="宋体" w:hint="default"/>
          <w:spacing w:val="-3"/>
        </w:rPr>
        <w:t>LED</w:t>
      </w:r>
      <w:r>
        <w:rPr>
          <w:spacing w:val="-3"/>
        </w:rPr>
        <w:t>显示产品在全世界范围内申请了</w:t>
      </w:r>
      <w:r>
        <w:rPr>
          <w:rFonts w:ascii="宋体" w:hAnsi="宋体" w:cs="宋体" w:eastAsia="宋体" w:hint="default"/>
          <w:spacing w:val="-3"/>
        </w:rPr>
        <w:t>47</w:t>
      </w:r>
      <w:r>
        <w:rPr>
          <w:spacing w:val="-3"/>
        </w:rPr>
        <w:t>项专利，其中</w:t>
      </w:r>
      <w:r>
        <w:rPr>
          <w:rFonts w:ascii="宋体" w:hAnsi="宋体" w:cs="宋体" w:eastAsia="宋体" w:hint="default"/>
          <w:spacing w:val="-3"/>
        </w:rPr>
        <w:t>25</w:t>
      </w:r>
      <w:r>
        <w:rPr>
          <w:spacing w:val="-3"/>
        </w:rPr>
        <w:t>项专利成功获得</w:t>
      </w:r>
      <w:r>
        <w:rPr>
          <w:spacing w:val="-54"/>
        </w:rPr>
        <w:t> </w:t>
      </w:r>
      <w:r>
        <w:rPr>
          <w:spacing w:val="-54"/>
        </w:rPr>
      </w:r>
      <w:r>
        <w:rPr/>
        <w:t>授权。同时，公司</w:t>
      </w:r>
      <w:r>
        <w:rPr>
          <w:rFonts w:ascii="宋体" w:hAnsi="宋体" w:cs="宋体" w:eastAsia="宋体" w:hint="default"/>
        </w:rPr>
        <w:t>Mini </w:t>
      </w:r>
      <w:r>
        <w:rPr>
          <w:rFonts w:ascii="宋体" w:hAnsi="宋体" w:cs="宋体" w:eastAsia="宋体" w:hint="default"/>
          <w:spacing w:val="-3"/>
        </w:rPr>
        <w:t>LED</w:t>
      </w:r>
      <w:r>
        <w:rPr>
          <w:spacing w:val="-3"/>
        </w:rPr>
        <w:t>显示技术也获得专业客户的认可，已成熟批量投放市场，再次成为</w:t>
      </w:r>
      <w:r>
        <w:rPr>
          <w:rFonts w:ascii="宋体" w:hAnsi="宋体" w:cs="宋体" w:eastAsia="宋体" w:hint="default"/>
          <w:spacing w:val="-3"/>
        </w:rPr>
        <w:t>LED</w:t>
      </w:r>
      <w:r>
        <w:rPr>
          <w:spacing w:val="-3"/>
        </w:rPr>
        <w:t>显示行业中技术的先行者</w:t>
      </w:r>
      <w:r>
        <w:rPr>
          <w:spacing w:val="-39"/>
        </w:rPr>
        <w:t> </w:t>
      </w:r>
      <w:r>
        <w:rPr>
          <w:spacing w:val="-39"/>
        </w:rPr>
      </w:r>
      <w:r>
        <w:rPr/>
        <w:t>和领军者。</w:t>
      </w:r>
    </w:p>
    <w:p>
      <w:pPr>
        <w:pStyle w:val="BodyText"/>
        <w:spacing w:line="316" w:lineRule="auto" w:before="19"/>
        <w:ind w:left="575" w:right="4900" w:hanging="63"/>
        <w:jc w:val="left"/>
      </w:pPr>
      <w:r>
        <w:rPr>
          <w:rFonts w:ascii="宋体" w:hAnsi="宋体" w:cs="宋体" w:eastAsia="宋体" w:hint="default"/>
        </w:rPr>
        <w:t>2</w:t>
      </w:r>
      <w:r>
        <w:rPr/>
        <w:t>）点间距</w:t>
      </w:r>
      <w:r>
        <w:rPr>
          <w:rFonts w:ascii="宋体" w:hAnsi="宋体" w:cs="宋体" w:eastAsia="宋体" w:hint="default"/>
        </w:rPr>
        <w:t>0.4mm Micro</w:t>
      </w:r>
      <w:r>
        <w:rPr>
          <w:rFonts w:ascii="宋体" w:hAnsi="宋体" w:cs="宋体" w:eastAsia="宋体" w:hint="default"/>
          <w:spacing w:val="2"/>
        </w:rPr>
        <w:t> </w:t>
      </w:r>
      <w:r>
        <w:rPr>
          <w:rFonts w:ascii="宋体" w:hAnsi="宋体" w:cs="宋体" w:eastAsia="宋体" w:hint="default"/>
        </w:rPr>
        <w:t>LED</w:t>
      </w:r>
      <w:r>
        <w:rPr/>
        <w:t>、</w:t>
      </w:r>
      <w:r>
        <w:rPr>
          <w:rFonts w:ascii="宋体" w:hAnsi="宋体" w:cs="宋体" w:eastAsia="宋体" w:hint="default"/>
        </w:rPr>
        <w:t>64K</w:t>
      </w:r>
      <w:r>
        <w:rPr/>
        <w:t>控制器等重量级“黑科技”引发关注</w:t>
      </w:r>
      <w:r>
        <w:rPr>
          <w:w w:val="101"/>
        </w:rPr>
        <w:t> </w:t>
      </w:r>
      <w:r>
        <w:rPr>
          <w:rFonts w:ascii="宋体" w:hAnsi="宋体" w:cs="宋体" w:eastAsia="宋体" w:hint="default"/>
        </w:rPr>
        <w:t>A</w:t>
      </w:r>
      <w:r>
        <w:rPr/>
        <w:t>、</w:t>
      </w:r>
      <w:r>
        <w:rPr>
          <w:rFonts w:ascii="宋体" w:hAnsi="宋体" w:cs="宋体" w:eastAsia="宋体" w:hint="default"/>
        </w:rPr>
        <w:t>P0.4mm Micro</w:t>
      </w:r>
      <w:r>
        <w:rPr>
          <w:rFonts w:ascii="宋体" w:hAnsi="宋体" w:cs="宋体" w:eastAsia="宋体" w:hint="default"/>
          <w:spacing w:val="23"/>
        </w:rPr>
        <w:t> </w:t>
      </w:r>
      <w:r>
        <w:rPr>
          <w:rFonts w:ascii="宋体" w:hAnsi="宋体" w:cs="宋体" w:eastAsia="宋体" w:hint="default"/>
          <w:spacing w:val="-3"/>
        </w:rPr>
        <w:t>LED</w:t>
      </w:r>
      <w:r>
        <w:rPr>
          <w:spacing w:val="-3"/>
        </w:rPr>
        <w:t>显示产品</w:t>
      </w:r>
    </w:p>
    <w:p>
      <w:pPr>
        <w:pStyle w:val="BodyText"/>
        <w:spacing w:line="240" w:lineRule="auto" w:before="18"/>
        <w:ind w:left="513" w:right="0"/>
        <w:jc w:val="left"/>
      </w:pPr>
      <w:r>
        <w:rPr>
          <w:spacing w:val="-3"/>
        </w:rPr>
        <w:t>公司一直致力于新型显示技术的开拓，公司</w:t>
      </w:r>
      <w:r>
        <w:rPr>
          <w:rFonts w:ascii="宋体" w:hAnsi="宋体" w:cs="宋体" w:eastAsia="宋体" w:hint="default"/>
          <w:spacing w:val="-3"/>
        </w:rPr>
        <w:t>Micro </w:t>
      </w:r>
      <w:r>
        <w:rPr>
          <w:rFonts w:ascii="宋体" w:hAnsi="宋体" w:cs="宋体" w:eastAsia="宋体" w:hint="default"/>
          <w:spacing w:val="14"/>
        </w:rPr>
        <w:t> </w:t>
      </w:r>
      <w:r>
        <w:rPr>
          <w:rFonts w:ascii="宋体" w:hAnsi="宋体" w:cs="宋体" w:eastAsia="宋体" w:hint="default"/>
          <w:spacing w:val="-3"/>
        </w:rPr>
        <w:t>LED</w:t>
      </w:r>
      <w:r>
        <w:rPr>
          <w:spacing w:val="-3"/>
        </w:rPr>
        <w:t>显示产品在</w:t>
      </w:r>
      <w:r>
        <w:rPr>
          <w:rFonts w:ascii="宋体" w:hAnsi="宋体" w:cs="宋体" w:eastAsia="宋体" w:hint="default"/>
          <w:spacing w:val="-3"/>
        </w:rPr>
        <w:t>2020</w:t>
      </w:r>
      <w:r>
        <w:rPr>
          <w:spacing w:val="-3"/>
        </w:rPr>
        <w:t>年</w:t>
      </w:r>
      <w:r>
        <w:rPr>
          <w:rFonts w:ascii="宋体" w:hAnsi="宋体" w:cs="宋体" w:eastAsia="宋体" w:hint="default"/>
          <w:spacing w:val="-3"/>
        </w:rPr>
        <w:t>ISE</w:t>
      </w:r>
      <w:r>
        <w:rPr>
          <w:spacing w:val="-3"/>
        </w:rPr>
        <w:t>展会上首次亮相，点间距为最小间距</w:t>
      </w:r>
      <w:r>
        <w:rPr>
          <w:rFonts w:ascii="宋体" w:hAnsi="宋体" w:cs="宋体" w:eastAsia="宋体" w:hint="default"/>
          <w:spacing w:val="-3"/>
        </w:rPr>
        <w:t>0.4mm</w:t>
      </w:r>
      <w:r>
        <w:rPr>
          <w:spacing w:val="-3"/>
        </w:rPr>
        <w:t>，</w:t>
      </w:r>
    </w:p>
    <w:p>
      <w:pPr>
        <w:spacing w:after="0" w:line="240" w:lineRule="auto"/>
        <w:jc w:val="left"/>
        <w:sectPr>
          <w:pgSz w:w="11910" w:h="16840"/>
          <w:pgMar w:header="784" w:footer="1022" w:top="1100" w:bottom="1220" w:left="980" w:right="0"/>
        </w:sectPr>
      </w:pPr>
    </w:p>
    <w:p>
      <w:pPr>
        <w:spacing w:line="240" w:lineRule="auto" w:before="10"/>
        <w:rPr>
          <w:rFonts w:ascii="宋体" w:hAnsi="宋体" w:cs="宋体" w:eastAsia="宋体" w:hint="default"/>
          <w:sz w:val="22"/>
          <w:szCs w:val="22"/>
        </w:rPr>
      </w:pPr>
    </w:p>
    <w:p>
      <w:pPr>
        <w:pStyle w:val="BodyText"/>
        <w:spacing w:line="240" w:lineRule="auto"/>
        <w:ind w:right="0"/>
        <w:jc w:val="left"/>
      </w:pPr>
      <w:r>
        <w:rPr>
          <w:spacing w:val="-3"/>
        </w:rPr>
        <w:t>引起行业关注。</w:t>
      </w:r>
    </w:p>
    <w:p>
      <w:pPr>
        <w:spacing w:line="240" w:lineRule="auto" w:before="10"/>
        <w:rPr>
          <w:rFonts w:ascii="宋体" w:hAnsi="宋体" w:cs="宋体" w:eastAsia="宋体" w:hint="default"/>
          <w:sz w:val="23"/>
          <w:szCs w:val="23"/>
        </w:rPr>
      </w:pPr>
    </w:p>
    <w:tbl>
      <w:tblPr>
        <w:tblW w:w="0" w:type="auto"/>
        <w:jc w:val="left"/>
        <w:tblInd w:w="2842" w:type="dxa"/>
        <w:tblLayout w:type="fixed"/>
        <w:tblCellMar>
          <w:top w:w="0" w:type="dxa"/>
          <w:left w:w="0" w:type="dxa"/>
          <w:bottom w:w="0" w:type="dxa"/>
          <w:right w:w="0" w:type="dxa"/>
        </w:tblCellMar>
        <w:tblLook w:val="01E0"/>
      </w:tblPr>
      <w:tblGrid>
        <w:gridCol w:w="4255"/>
      </w:tblGrid>
      <w:tr>
        <w:trPr>
          <w:trHeight w:val="2646" w:hRule="exact"/>
        </w:trPr>
        <w:tc>
          <w:tcPr>
            <w:tcW w:w="4255" w:type="dxa"/>
            <w:tcBorders>
              <w:top w:val="nil" w:sz="6" w:space="0" w:color="auto"/>
              <w:left w:val="nil" w:sz="6" w:space="0" w:color="auto"/>
              <w:bottom w:val="nil" w:sz="6" w:space="0" w:color="auto"/>
              <w:right w:val="nil" w:sz="6" w:space="0" w:color="auto"/>
            </w:tcBorders>
          </w:tcPr>
          <w:p>
            <w:pPr>
              <w:pStyle w:val="TableParagraph"/>
              <w:spacing w:line="2567" w:lineRule="exact"/>
              <w:ind w:left="200" w:right="0"/>
              <w:jc w:val="left"/>
              <w:rPr>
                <w:rFonts w:ascii="宋体" w:hAnsi="宋体" w:cs="宋体" w:eastAsia="宋体" w:hint="default"/>
                <w:sz w:val="20"/>
                <w:szCs w:val="20"/>
              </w:rPr>
            </w:pPr>
            <w:r>
              <w:rPr>
                <w:rFonts w:ascii="宋体" w:hAnsi="宋体" w:cs="宋体" w:eastAsia="宋体" w:hint="default"/>
                <w:position w:val="-50"/>
                <w:sz w:val="20"/>
                <w:szCs w:val="20"/>
              </w:rPr>
              <w:drawing>
                <wp:inline distT="0" distB="0" distL="0" distR="0">
                  <wp:extent cx="2465595" cy="1630299"/>
                  <wp:effectExtent l="0" t="0" r="0" b="0"/>
                  <wp:docPr id="45" name="image24.jpeg" descr=""/>
                  <wp:cNvGraphicFramePr>
                    <a:graphicFrameLocks noChangeAspect="1"/>
                  </wp:cNvGraphicFramePr>
                  <a:graphic>
                    <a:graphicData uri="http://schemas.openxmlformats.org/drawingml/2006/picture">
                      <pic:pic>
                        <pic:nvPicPr>
                          <pic:cNvPr id="46" name="image24.jpeg"/>
                          <pic:cNvPicPr/>
                        </pic:nvPicPr>
                        <pic:blipFill>
                          <a:blip r:embed="rId34" cstate="print"/>
                          <a:stretch>
                            <a:fillRect/>
                          </a:stretch>
                        </pic:blipFill>
                        <pic:spPr>
                          <a:xfrm>
                            <a:off x="0" y="0"/>
                            <a:ext cx="2465595" cy="1630299"/>
                          </a:xfrm>
                          <a:prstGeom prst="rect">
                            <a:avLst/>
                          </a:prstGeom>
                        </pic:spPr>
                      </pic:pic>
                    </a:graphicData>
                  </a:graphic>
                </wp:inline>
              </w:drawing>
            </w:r>
            <w:r>
              <w:rPr>
                <w:rFonts w:ascii="宋体" w:hAnsi="宋体" w:cs="宋体" w:eastAsia="宋体" w:hint="default"/>
                <w:position w:val="-50"/>
                <w:sz w:val="20"/>
                <w:szCs w:val="20"/>
              </w:rPr>
            </w:r>
          </w:p>
        </w:tc>
      </w:tr>
      <w:tr>
        <w:trPr>
          <w:trHeight w:val="280" w:hRule="exact"/>
        </w:trPr>
        <w:tc>
          <w:tcPr>
            <w:tcW w:w="425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071" w:right="0"/>
              <w:jc w:val="left"/>
              <w:rPr>
                <w:rFonts w:ascii="宋体" w:hAnsi="宋体" w:cs="宋体" w:eastAsia="宋体" w:hint="default"/>
                <w:sz w:val="18"/>
                <w:szCs w:val="18"/>
              </w:rPr>
            </w:pPr>
            <w:r>
              <w:rPr>
                <w:rFonts w:ascii="宋体" w:hAnsi="宋体" w:cs="宋体" w:eastAsia="宋体" w:hint="default"/>
                <w:sz w:val="18"/>
                <w:szCs w:val="18"/>
              </w:rPr>
              <w:t>0.4mm Micro LED</w:t>
            </w:r>
            <w:r>
              <w:rPr>
                <w:rFonts w:ascii="宋体" w:hAnsi="宋体" w:cs="宋体" w:eastAsia="宋体" w:hint="default"/>
                <w:spacing w:val="-40"/>
                <w:sz w:val="18"/>
                <w:szCs w:val="18"/>
              </w:rPr>
              <w:t> </w:t>
            </w:r>
            <w:r>
              <w:rPr>
                <w:rFonts w:ascii="宋体" w:hAnsi="宋体" w:cs="宋体" w:eastAsia="宋体" w:hint="default"/>
                <w:sz w:val="18"/>
                <w:szCs w:val="18"/>
              </w:rPr>
              <w:t>显示产品</w:t>
            </w:r>
          </w:p>
        </w:tc>
      </w:tr>
    </w:tbl>
    <w:p>
      <w:pPr>
        <w:spacing w:line="240" w:lineRule="auto" w:before="11"/>
        <w:rPr>
          <w:rFonts w:ascii="宋体" w:hAnsi="宋体" w:cs="宋体" w:eastAsia="宋体" w:hint="default"/>
          <w:sz w:val="20"/>
          <w:szCs w:val="20"/>
        </w:rPr>
      </w:pPr>
    </w:p>
    <w:p>
      <w:pPr>
        <w:pStyle w:val="BodyText"/>
        <w:spacing w:line="316" w:lineRule="auto" w:before="0"/>
        <w:ind w:left="513" w:right="1120" w:firstLine="62"/>
        <w:jc w:val="left"/>
      </w:pPr>
      <w:r>
        <w:rPr>
          <w:rFonts w:ascii="宋体" w:hAnsi="宋体" w:cs="宋体" w:eastAsia="宋体" w:hint="default"/>
        </w:rPr>
        <w:t>B</w:t>
      </w:r>
      <w:r>
        <w:rPr/>
        <w:t>、</w:t>
      </w:r>
      <w:r>
        <w:rPr>
          <w:rFonts w:ascii="宋体" w:hAnsi="宋体" w:cs="宋体" w:eastAsia="宋体" w:hint="default"/>
        </w:rPr>
        <w:t>64K</w:t>
      </w:r>
      <w:r>
        <w:rPr/>
        <w:t>控制器</w:t>
      </w:r>
      <w:r>
        <w:rPr>
          <w:w w:val="101"/>
        </w:rPr>
        <w:t> </w:t>
      </w:r>
      <w:r>
        <w:rPr>
          <w:spacing w:val="-4"/>
        </w:rPr>
        <w:t>公司作为行业内少数自主研发控制系统的企业之一，所有的</w:t>
      </w:r>
      <w:r>
        <w:rPr>
          <w:rFonts w:ascii="宋体" w:hAnsi="宋体" w:cs="宋体" w:eastAsia="宋体" w:hint="default"/>
          <w:spacing w:val="-4"/>
        </w:rPr>
        <w:t>LED</w:t>
      </w:r>
      <w:r>
        <w:rPr>
          <w:spacing w:val="-4"/>
        </w:rPr>
        <w:t>显示解决方案均依托于自研的控制系统。</w:t>
      </w:r>
      <w:r>
        <w:rPr>
          <w:rFonts w:ascii="宋体" w:hAnsi="宋体" w:cs="宋体" w:eastAsia="宋体" w:hint="default"/>
          <w:spacing w:val="-4"/>
        </w:rPr>
        <w:t>64K</w:t>
      </w:r>
      <w:r>
        <w:rPr>
          <w:spacing w:val="-4"/>
        </w:rPr>
        <w:t>控制器作为</w:t>
      </w:r>
    </w:p>
    <w:p>
      <w:pPr>
        <w:pStyle w:val="BodyText"/>
        <w:spacing w:line="316" w:lineRule="auto" w:before="19"/>
        <w:ind w:right="1120"/>
        <w:jc w:val="left"/>
      </w:pPr>
      <w:r>
        <w:rPr>
          <w:spacing w:val="-4"/>
        </w:rPr>
        <w:t>公司核心产品之一，也是行业内目前单台带载处理能力最大的</w:t>
      </w:r>
      <w:r>
        <w:rPr>
          <w:rFonts w:ascii="宋体" w:hAnsi="宋体" w:cs="宋体" w:eastAsia="宋体" w:hint="default"/>
          <w:spacing w:val="-4"/>
        </w:rPr>
        <w:t>LED</w:t>
      </w:r>
      <w:r>
        <w:rPr>
          <w:spacing w:val="-4"/>
        </w:rPr>
        <w:t>显示控制器，能更好地适用于专业超大型超高分</w:t>
      </w:r>
      <w:r>
        <w:rPr>
          <w:rFonts w:ascii="宋体" w:hAnsi="宋体" w:cs="宋体" w:eastAsia="宋体" w:hint="default"/>
          <w:spacing w:val="-4"/>
        </w:rPr>
        <w:t>LED</w:t>
      </w:r>
      <w:r>
        <w:rPr>
          <w:spacing w:val="-4"/>
        </w:rPr>
        <w:t>显示领</w:t>
      </w:r>
      <w:r>
        <w:rPr>
          <w:spacing w:val="56"/>
        </w:rPr>
        <w:t> </w:t>
      </w:r>
      <w:r>
        <w:rPr>
          <w:spacing w:val="56"/>
        </w:rPr>
      </w:r>
      <w:r>
        <w:rPr/>
        <w:t>域。</w:t>
      </w:r>
    </w:p>
    <w:p>
      <w:pPr>
        <w:spacing w:line="240" w:lineRule="auto" w:before="6"/>
        <w:rPr>
          <w:rFonts w:ascii="宋体" w:hAnsi="宋体" w:cs="宋体" w:eastAsia="宋体" w:hint="default"/>
          <w:sz w:val="22"/>
          <w:szCs w:val="22"/>
        </w:rPr>
      </w:pPr>
    </w:p>
    <w:tbl>
      <w:tblPr>
        <w:tblW w:w="0" w:type="auto"/>
        <w:jc w:val="left"/>
        <w:tblInd w:w="2845" w:type="dxa"/>
        <w:tblLayout w:type="fixed"/>
        <w:tblCellMar>
          <w:top w:w="0" w:type="dxa"/>
          <w:left w:w="0" w:type="dxa"/>
          <w:bottom w:w="0" w:type="dxa"/>
          <w:right w:w="0" w:type="dxa"/>
        </w:tblCellMar>
        <w:tblLook w:val="01E0"/>
      </w:tblPr>
      <w:tblGrid>
        <w:gridCol w:w="4252"/>
      </w:tblGrid>
      <w:tr>
        <w:trPr>
          <w:trHeight w:val="2686" w:hRule="exact"/>
        </w:trPr>
        <w:tc>
          <w:tcPr>
            <w:tcW w:w="4252" w:type="dxa"/>
            <w:tcBorders>
              <w:top w:val="nil" w:sz="6" w:space="0" w:color="auto"/>
              <w:left w:val="nil" w:sz="6" w:space="0" w:color="auto"/>
              <w:bottom w:val="nil" w:sz="6" w:space="0" w:color="auto"/>
              <w:right w:val="nil" w:sz="6" w:space="0" w:color="auto"/>
            </w:tcBorders>
          </w:tcPr>
          <w:p>
            <w:pPr>
              <w:pStyle w:val="TableParagraph"/>
              <w:spacing w:line="2567" w:lineRule="exact"/>
              <w:ind w:left="200" w:right="0"/>
              <w:jc w:val="left"/>
              <w:rPr>
                <w:rFonts w:ascii="宋体" w:hAnsi="宋体" w:cs="宋体" w:eastAsia="宋体" w:hint="default"/>
                <w:sz w:val="20"/>
                <w:szCs w:val="20"/>
              </w:rPr>
            </w:pPr>
            <w:r>
              <w:rPr>
                <w:rFonts w:ascii="宋体" w:hAnsi="宋体" w:cs="宋体" w:eastAsia="宋体" w:hint="default"/>
                <w:position w:val="-50"/>
                <w:sz w:val="20"/>
                <w:szCs w:val="20"/>
              </w:rPr>
              <w:drawing>
                <wp:inline distT="0" distB="0" distL="0" distR="0">
                  <wp:extent cx="2463548" cy="1630299"/>
                  <wp:effectExtent l="0" t="0" r="0" b="0"/>
                  <wp:docPr id="47" name="image25.jpeg" descr=""/>
                  <wp:cNvGraphicFramePr>
                    <a:graphicFrameLocks noChangeAspect="1"/>
                  </wp:cNvGraphicFramePr>
                  <a:graphic>
                    <a:graphicData uri="http://schemas.openxmlformats.org/drawingml/2006/picture">
                      <pic:pic>
                        <pic:nvPicPr>
                          <pic:cNvPr id="48" name="image25.jpeg"/>
                          <pic:cNvPicPr/>
                        </pic:nvPicPr>
                        <pic:blipFill>
                          <a:blip r:embed="rId35" cstate="print"/>
                          <a:stretch>
                            <a:fillRect/>
                          </a:stretch>
                        </pic:blipFill>
                        <pic:spPr>
                          <a:xfrm>
                            <a:off x="0" y="0"/>
                            <a:ext cx="2463548" cy="1630299"/>
                          </a:xfrm>
                          <a:prstGeom prst="rect">
                            <a:avLst/>
                          </a:prstGeom>
                        </pic:spPr>
                      </pic:pic>
                    </a:graphicData>
                  </a:graphic>
                </wp:inline>
              </w:drawing>
            </w:r>
            <w:r>
              <w:rPr>
                <w:rFonts w:ascii="宋体" w:hAnsi="宋体" w:cs="宋体" w:eastAsia="宋体" w:hint="default"/>
                <w:position w:val="-50"/>
                <w:sz w:val="20"/>
                <w:szCs w:val="20"/>
              </w:rPr>
            </w:r>
          </w:p>
        </w:tc>
      </w:tr>
      <w:tr>
        <w:trPr>
          <w:trHeight w:val="319" w:hRule="exact"/>
        </w:trPr>
        <w:tc>
          <w:tcPr>
            <w:tcW w:w="4252" w:type="dxa"/>
            <w:tcBorders>
              <w:top w:val="nil" w:sz="6" w:space="0" w:color="auto"/>
              <w:left w:val="nil" w:sz="6" w:space="0" w:color="auto"/>
              <w:bottom w:val="nil" w:sz="6" w:space="0" w:color="auto"/>
              <w:right w:val="nil" w:sz="6" w:space="0" w:color="auto"/>
            </w:tcBorders>
          </w:tcPr>
          <w:p>
            <w:pPr>
              <w:pStyle w:val="TableParagraph"/>
              <w:spacing w:line="240" w:lineRule="auto" w:before="83"/>
              <w:ind w:left="11" w:right="0"/>
              <w:jc w:val="center"/>
              <w:rPr>
                <w:rFonts w:ascii="宋体" w:hAnsi="宋体" w:cs="宋体" w:eastAsia="宋体" w:hint="default"/>
                <w:sz w:val="18"/>
                <w:szCs w:val="18"/>
              </w:rPr>
            </w:pPr>
            <w:r>
              <w:rPr>
                <w:rFonts w:ascii="宋体" w:hAnsi="宋体" w:cs="宋体" w:eastAsia="宋体" w:hint="default"/>
                <w:sz w:val="18"/>
                <w:szCs w:val="18"/>
              </w:rPr>
              <w:t>64K</w:t>
            </w:r>
            <w:r>
              <w:rPr>
                <w:rFonts w:ascii="宋体" w:hAnsi="宋体" w:cs="宋体" w:eastAsia="宋体" w:hint="default"/>
                <w:spacing w:val="-42"/>
                <w:sz w:val="18"/>
                <w:szCs w:val="18"/>
              </w:rPr>
              <w:t> </w:t>
            </w:r>
            <w:r>
              <w:rPr>
                <w:rFonts w:ascii="宋体" w:hAnsi="宋体" w:cs="宋体" w:eastAsia="宋体" w:hint="default"/>
                <w:sz w:val="18"/>
                <w:szCs w:val="18"/>
              </w:rPr>
              <w:t>控制器</w:t>
            </w:r>
          </w:p>
        </w:tc>
      </w:tr>
    </w:tbl>
    <w:p>
      <w:pPr>
        <w:pStyle w:val="BodyText"/>
        <w:spacing w:line="240" w:lineRule="auto" w:before="153"/>
        <w:ind w:left="575" w:right="0"/>
        <w:jc w:val="left"/>
      </w:pPr>
      <w:r>
        <w:rPr>
          <w:rFonts w:ascii="宋体" w:hAnsi="宋体" w:cs="宋体" w:eastAsia="宋体" w:hint="default"/>
        </w:rPr>
        <w:t>C</w:t>
      </w:r>
      <w:r>
        <w:rPr/>
        <w:t>、</w:t>
      </w:r>
      <w:r>
        <w:rPr>
          <w:rFonts w:ascii="宋体" w:hAnsi="宋体" w:cs="宋体" w:eastAsia="宋体" w:hint="default"/>
        </w:rPr>
        <w:t>AI+</w:t>
      </w:r>
      <w:r>
        <w:rPr/>
        <w:t>全无线显示产品</w:t>
      </w:r>
    </w:p>
    <w:p>
      <w:pPr>
        <w:pStyle w:val="BodyText"/>
        <w:spacing w:line="319" w:lineRule="auto" w:before="76"/>
        <w:ind w:right="0" w:firstLine="360"/>
        <w:jc w:val="left"/>
      </w:pPr>
      <w:r>
        <w:rPr>
          <w:spacing w:val="-2"/>
          <w:w w:val="101"/>
        </w:rPr>
        <w:t>租赁市场作为公司</w:t>
      </w:r>
      <w:r>
        <w:rPr>
          <w:rFonts w:ascii="宋体" w:hAnsi="宋体" w:cs="宋体" w:eastAsia="宋体" w:hint="default"/>
          <w:spacing w:val="-2"/>
          <w:w w:val="101"/>
        </w:rPr>
        <w:t>Mini</w:t>
      </w:r>
      <w:r>
        <w:rPr>
          <w:rFonts w:ascii="宋体" w:hAnsi="宋体" w:cs="宋体" w:eastAsia="宋体" w:hint="default"/>
          <w:spacing w:val="-38"/>
          <w:w w:val="101"/>
        </w:rPr>
        <w:t> </w:t>
      </w:r>
      <w:r>
        <w:rPr>
          <w:rFonts w:ascii="宋体" w:hAnsi="宋体" w:cs="宋体" w:eastAsia="宋体" w:hint="default"/>
          <w:spacing w:val="-7"/>
          <w:w w:val="101"/>
        </w:rPr>
        <w:t>LED</w:t>
      </w:r>
      <w:r>
        <w:rPr>
          <w:spacing w:val="-7"/>
          <w:w w:val="101"/>
        </w:rPr>
        <w:t>在商业显示应用的又一个重要领域，前景广阔。公司在</w:t>
      </w:r>
      <w:r>
        <w:rPr>
          <w:rFonts w:ascii="宋体" w:hAnsi="宋体" w:cs="宋体" w:eastAsia="宋体" w:hint="default"/>
          <w:spacing w:val="-7"/>
          <w:w w:val="101"/>
        </w:rPr>
        <w:t>ISE2020</w:t>
      </w:r>
      <w:r>
        <w:rPr>
          <w:spacing w:val="-7"/>
          <w:w w:val="101"/>
        </w:rPr>
        <w:t>展会上，展出了</w:t>
      </w:r>
      <w:r>
        <w:rPr>
          <w:rFonts w:ascii="宋体" w:hAnsi="宋体" w:cs="宋体" w:eastAsia="宋体" w:hint="default"/>
          <w:spacing w:val="-7"/>
          <w:w w:val="101"/>
        </w:rPr>
        <w:t>AI+</w:t>
      </w:r>
      <w:r>
        <w:rPr>
          <w:spacing w:val="-7"/>
          <w:w w:val="101"/>
        </w:rPr>
        <w:t>全无线</w:t>
      </w:r>
      <w:r>
        <w:rPr>
          <w:rFonts w:ascii="宋体" w:hAnsi="宋体" w:cs="宋体" w:eastAsia="宋体" w:hint="default"/>
          <w:spacing w:val="-7"/>
          <w:w w:val="101"/>
        </w:rPr>
        <w:t>Mini</w:t>
      </w:r>
      <w:r>
        <w:rPr>
          <w:rFonts w:ascii="宋体" w:hAnsi="宋体" w:cs="宋体" w:eastAsia="宋体" w:hint="default"/>
          <w:w w:val="101"/>
        </w:rPr>
        <w:t> </w:t>
      </w:r>
      <w:r>
        <w:rPr>
          <w:rFonts w:ascii="宋体" w:hAnsi="宋体" w:cs="宋体" w:eastAsia="宋体" w:hint="default"/>
          <w:spacing w:val="-4"/>
        </w:rPr>
        <w:t>LED</w:t>
      </w:r>
      <w:r>
        <w:rPr>
          <w:spacing w:val="-4"/>
        </w:rPr>
        <w:t>租赁产品，该产品采用最新的</w:t>
      </w:r>
      <w:r>
        <w:rPr>
          <w:rFonts w:ascii="宋体" w:hAnsi="宋体" w:cs="宋体" w:eastAsia="宋体" w:hint="default"/>
          <w:spacing w:val="-4"/>
        </w:rPr>
        <w:t>AI</w:t>
      </w:r>
      <w:r>
        <w:rPr>
          <w:spacing w:val="-4"/>
        </w:rPr>
        <w:t>技术，可实现智能连接和自动配置，显示模块之间无任何连线，随着创意进行灵活移动，</w:t>
      </w:r>
      <w:r>
        <w:rPr>
          <w:spacing w:val="53"/>
        </w:rPr>
        <w:t> </w:t>
      </w:r>
      <w:r>
        <w:rPr>
          <w:spacing w:val="53"/>
        </w:rPr>
      </w:r>
      <w:r>
        <w:rPr>
          <w:spacing w:val="-3"/>
        </w:rPr>
        <w:t>从而满足租赁行业多样化的需求。</w:t>
      </w:r>
    </w:p>
    <w:p>
      <w:pPr>
        <w:spacing w:line="240" w:lineRule="auto" w:before="13"/>
        <w:rPr>
          <w:rFonts w:ascii="宋体" w:hAnsi="宋体" w:cs="宋体" w:eastAsia="宋体" w:hint="default"/>
          <w:sz w:val="18"/>
          <w:szCs w:val="18"/>
        </w:rPr>
      </w:pPr>
    </w:p>
    <w:tbl>
      <w:tblPr>
        <w:tblW w:w="0" w:type="auto"/>
        <w:jc w:val="left"/>
        <w:tblInd w:w="2842" w:type="dxa"/>
        <w:tblLayout w:type="fixed"/>
        <w:tblCellMar>
          <w:top w:w="0" w:type="dxa"/>
          <w:left w:w="0" w:type="dxa"/>
          <w:bottom w:w="0" w:type="dxa"/>
          <w:right w:w="0" w:type="dxa"/>
        </w:tblCellMar>
        <w:tblLook w:val="01E0"/>
      </w:tblPr>
      <w:tblGrid>
        <w:gridCol w:w="4255"/>
      </w:tblGrid>
      <w:tr>
        <w:trPr>
          <w:trHeight w:val="2648" w:hRule="exact"/>
        </w:trPr>
        <w:tc>
          <w:tcPr>
            <w:tcW w:w="4255" w:type="dxa"/>
            <w:tcBorders>
              <w:top w:val="nil" w:sz="6" w:space="0" w:color="auto"/>
              <w:left w:val="nil" w:sz="6" w:space="0" w:color="auto"/>
              <w:bottom w:val="nil" w:sz="6" w:space="0" w:color="auto"/>
              <w:right w:val="nil" w:sz="6" w:space="0" w:color="auto"/>
            </w:tcBorders>
          </w:tcPr>
          <w:p>
            <w:pPr>
              <w:pStyle w:val="TableParagraph"/>
              <w:spacing w:line="2567" w:lineRule="exact"/>
              <w:ind w:left="200" w:right="0"/>
              <w:jc w:val="left"/>
              <w:rPr>
                <w:rFonts w:ascii="宋体" w:hAnsi="宋体" w:cs="宋体" w:eastAsia="宋体" w:hint="default"/>
                <w:sz w:val="20"/>
                <w:szCs w:val="20"/>
              </w:rPr>
            </w:pPr>
            <w:r>
              <w:rPr>
                <w:rFonts w:ascii="宋体" w:hAnsi="宋体" w:cs="宋体" w:eastAsia="宋体" w:hint="default"/>
                <w:position w:val="-50"/>
                <w:sz w:val="20"/>
                <w:szCs w:val="20"/>
              </w:rPr>
              <w:drawing>
                <wp:inline distT="0" distB="0" distL="0" distR="0">
                  <wp:extent cx="2465595" cy="1630299"/>
                  <wp:effectExtent l="0" t="0" r="0" b="0"/>
                  <wp:docPr id="49" name="image26.jpeg" descr=""/>
                  <wp:cNvGraphicFramePr>
                    <a:graphicFrameLocks noChangeAspect="1"/>
                  </wp:cNvGraphicFramePr>
                  <a:graphic>
                    <a:graphicData uri="http://schemas.openxmlformats.org/drawingml/2006/picture">
                      <pic:pic>
                        <pic:nvPicPr>
                          <pic:cNvPr id="50" name="image26.jpeg"/>
                          <pic:cNvPicPr/>
                        </pic:nvPicPr>
                        <pic:blipFill>
                          <a:blip r:embed="rId36" cstate="print"/>
                          <a:stretch>
                            <a:fillRect/>
                          </a:stretch>
                        </pic:blipFill>
                        <pic:spPr>
                          <a:xfrm>
                            <a:off x="0" y="0"/>
                            <a:ext cx="2465595" cy="1630299"/>
                          </a:xfrm>
                          <a:prstGeom prst="rect">
                            <a:avLst/>
                          </a:prstGeom>
                        </pic:spPr>
                      </pic:pic>
                    </a:graphicData>
                  </a:graphic>
                </wp:inline>
              </w:drawing>
            </w:r>
            <w:r>
              <w:rPr>
                <w:rFonts w:ascii="宋体" w:hAnsi="宋体" w:cs="宋体" w:eastAsia="宋体" w:hint="default"/>
                <w:position w:val="-50"/>
                <w:sz w:val="20"/>
                <w:szCs w:val="20"/>
              </w:rPr>
            </w:r>
          </w:p>
        </w:tc>
      </w:tr>
      <w:tr>
        <w:trPr>
          <w:trHeight w:val="281" w:hRule="exact"/>
        </w:trPr>
        <w:tc>
          <w:tcPr>
            <w:tcW w:w="4255"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277" w:right="0"/>
              <w:jc w:val="left"/>
              <w:rPr>
                <w:rFonts w:ascii="宋体" w:hAnsi="宋体" w:cs="宋体" w:eastAsia="宋体" w:hint="default"/>
                <w:sz w:val="18"/>
                <w:szCs w:val="18"/>
              </w:rPr>
            </w:pPr>
            <w:r>
              <w:rPr>
                <w:rFonts w:ascii="宋体" w:hAnsi="宋体" w:cs="宋体" w:eastAsia="宋体" w:hint="default"/>
                <w:sz w:val="18"/>
                <w:szCs w:val="18"/>
              </w:rPr>
              <w:t>AI+</w:t>
            </w:r>
            <w:r>
              <w:rPr>
                <w:rFonts w:ascii="宋体" w:hAnsi="宋体" w:cs="宋体" w:eastAsia="宋体" w:hint="default"/>
                <w:sz w:val="18"/>
                <w:szCs w:val="18"/>
              </w:rPr>
              <w:t>无线租赁显示产品</w:t>
            </w:r>
          </w:p>
        </w:tc>
      </w:tr>
    </w:tbl>
    <w:p>
      <w:pPr>
        <w:spacing w:line="316" w:lineRule="auto" w:before="115"/>
        <w:ind w:left="513" w:right="0" w:firstLine="0"/>
        <w:jc w:val="left"/>
        <w:rPr>
          <w:rFonts w:ascii="宋体" w:hAnsi="宋体" w:cs="宋体" w:eastAsia="宋体" w:hint="default"/>
          <w:sz w:val="18"/>
          <w:szCs w:val="18"/>
        </w:rPr>
      </w:pPr>
      <w:r>
        <w:rPr>
          <w:rFonts w:ascii="宋体" w:hAnsi="宋体" w:cs="宋体" w:eastAsia="宋体" w:hint="default"/>
          <w:b/>
          <w:bCs/>
          <w:sz w:val="18"/>
          <w:szCs w:val="18"/>
        </w:rPr>
        <w:t>（</w:t>
      </w:r>
      <w:r>
        <w:rPr>
          <w:rFonts w:ascii="宋体" w:hAnsi="宋体" w:cs="宋体" w:eastAsia="宋体" w:hint="default"/>
          <w:b/>
          <w:bCs/>
          <w:sz w:val="18"/>
          <w:szCs w:val="18"/>
        </w:rPr>
        <w:t>8</w:t>
      </w:r>
      <w:r>
        <w:rPr>
          <w:rFonts w:ascii="宋体" w:hAnsi="宋体" w:cs="宋体" w:eastAsia="宋体" w:hint="default"/>
          <w:b/>
          <w:bCs/>
          <w:sz w:val="18"/>
          <w:szCs w:val="18"/>
        </w:rPr>
        <w:t>）当选超高清委员会主任单位</w:t>
      </w:r>
      <w:r>
        <w:rPr>
          <w:rFonts w:ascii="宋体" w:hAnsi="宋体" w:cs="宋体" w:eastAsia="宋体" w:hint="default"/>
          <w:b/>
          <w:bCs/>
          <w:spacing w:val="-87"/>
          <w:sz w:val="18"/>
          <w:szCs w:val="18"/>
        </w:rPr>
        <w:t> </w:t>
      </w:r>
      <w:r>
        <w:rPr>
          <w:rFonts w:ascii="宋体" w:hAnsi="宋体" w:cs="宋体" w:eastAsia="宋体" w:hint="default"/>
          <w:b/>
          <w:bCs/>
          <w:spacing w:val="-87"/>
          <w:sz w:val="18"/>
          <w:szCs w:val="18"/>
        </w:rPr>
      </w:r>
      <w:r>
        <w:rPr>
          <w:rFonts w:ascii="宋体" w:hAnsi="宋体" w:cs="宋体" w:eastAsia="宋体" w:hint="default"/>
          <w:spacing w:val="-3"/>
          <w:sz w:val="18"/>
          <w:szCs w:val="18"/>
        </w:rPr>
        <w:t>2019</w:t>
      </w:r>
      <w:r>
        <w:rPr>
          <w:rFonts w:ascii="宋体" w:hAnsi="宋体" w:cs="宋体" w:eastAsia="宋体" w:hint="default"/>
          <w:spacing w:val="-3"/>
          <w:sz w:val="18"/>
          <w:szCs w:val="18"/>
        </w:rPr>
        <w:t>年</w:t>
      </w:r>
      <w:r>
        <w:rPr>
          <w:rFonts w:ascii="宋体" w:hAnsi="宋体" w:cs="宋体" w:eastAsia="宋体" w:hint="default"/>
          <w:spacing w:val="-3"/>
          <w:sz w:val="18"/>
          <w:szCs w:val="18"/>
        </w:rPr>
        <w:t>3</w:t>
      </w:r>
      <w:r>
        <w:rPr>
          <w:rFonts w:ascii="宋体" w:hAnsi="宋体" w:cs="宋体" w:eastAsia="宋体" w:hint="default"/>
          <w:spacing w:val="-3"/>
          <w:sz w:val="18"/>
          <w:szCs w:val="18"/>
        </w:rPr>
        <w:t>月，工信部、国家广播电视总局和中央广播电视总台联合发布《超高清视频产业发展行动计划》，标志着超高</w:t>
      </w:r>
    </w:p>
    <w:p>
      <w:pPr>
        <w:pStyle w:val="BodyText"/>
        <w:spacing w:line="240" w:lineRule="auto" w:before="19"/>
        <w:ind w:right="0"/>
        <w:jc w:val="left"/>
      </w:pPr>
      <w:r>
        <w:rPr>
          <w:spacing w:val="-4"/>
        </w:rPr>
        <w:t>清显示产业得到了国家层面的政策支持。报告期内，深圳市照明与显示工程行业协会超高清显示专业委员会在深圳成立，公</w:t>
      </w:r>
    </w:p>
    <w:p>
      <w:pPr>
        <w:spacing w:after="0" w:line="240" w:lineRule="auto"/>
        <w:jc w:val="left"/>
        <w:sectPr>
          <w:pgSz w:w="11910" w:h="16840"/>
          <w:pgMar w:header="784" w:footer="1022" w:top="1100" w:bottom="1220" w:left="980" w:right="0"/>
        </w:sectPr>
      </w:pPr>
    </w:p>
    <w:p>
      <w:pPr>
        <w:spacing w:line="240" w:lineRule="auto" w:before="10"/>
        <w:rPr>
          <w:rFonts w:ascii="宋体" w:hAnsi="宋体" w:cs="宋体" w:eastAsia="宋体" w:hint="default"/>
          <w:sz w:val="22"/>
          <w:szCs w:val="22"/>
        </w:rPr>
      </w:pPr>
    </w:p>
    <w:p>
      <w:pPr>
        <w:pStyle w:val="BodyText"/>
        <w:spacing w:line="240" w:lineRule="auto"/>
        <w:ind w:right="0"/>
        <w:jc w:val="both"/>
      </w:pPr>
      <w:r>
        <w:rPr/>
        <w:pict>
          <v:shape style="position:absolute;margin-left:93.599998pt;margin-top:24.301704pt;width:194.472476pt;height:128.37pt;mso-position-horizontal-relative:page;mso-position-vertical-relative:paragraph;z-index:1168" type="#_x0000_t75" stroked="false">
            <v:imagedata r:id="rId37" o:title=""/>
          </v:shape>
        </w:pict>
      </w:r>
      <w:r>
        <w:rPr/>
        <w:pict>
          <v:shape style="position:absolute;margin-left:309.100006pt;margin-top:24.301704pt;width:194.522936pt;height:128.37pt;mso-position-horizontal-relative:page;mso-position-vertical-relative:paragraph;z-index:1192" type="#_x0000_t75" stroked="false">
            <v:imagedata r:id="rId38" o:title=""/>
          </v:shape>
        </w:pict>
      </w:r>
      <w:r>
        <w:rPr>
          <w:spacing w:val="-3"/>
        </w:rPr>
        <w:t>司当选专委会首任主任单位，董事长吴涵渠先生当选专委会名誉主任。</w:t>
      </w:r>
    </w:p>
    <w:p>
      <w:pPr>
        <w:spacing w:line="240" w:lineRule="auto" w:before="8"/>
        <w:rPr>
          <w:rFonts w:ascii="宋体" w:hAnsi="宋体" w:cs="宋体" w:eastAsia="宋体" w:hint="default"/>
          <w:sz w:val="15"/>
          <w:szCs w:val="15"/>
        </w:rPr>
      </w:pPr>
    </w:p>
    <w:tbl>
      <w:tblPr>
        <w:tblW w:w="0" w:type="auto"/>
        <w:jc w:val="left"/>
        <w:tblInd w:w="691" w:type="dxa"/>
        <w:tblLayout w:type="fixed"/>
        <w:tblCellMar>
          <w:top w:w="0" w:type="dxa"/>
          <w:left w:w="0" w:type="dxa"/>
          <w:bottom w:w="0" w:type="dxa"/>
          <w:right w:w="0" w:type="dxa"/>
        </w:tblCellMar>
        <w:tblLook w:val="01E0"/>
      </w:tblPr>
      <w:tblGrid>
        <w:gridCol w:w="4282"/>
        <w:gridCol w:w="4283"/>
      </w:tblGrid>
      <w:tr>
        <w:trPr>
          <w:trHeight w:val="2544" w:hRule="exact"/>
        </w:trPr>
        <w:tc>
          <w:tcPr>
            <w:tcW w:w="428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4"/>
                <w:szCs w:val="14"/>
              </w:rPr>
            </w:pPr>
          </w:p>
        </w:tc>
        <w:tc>
          <w:tcPr>
            <w:tcW w:w="4283"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7"/>
          <w:szCs w:val="17"/>
        </w:rPr>
      </w:pPr>
    </w:p>
    <w:p>
      <w:pPr>
        <w:pStyle w:val="Heading6"/>
        <w:spacing w:line="240" w:lineRule="auto"/>
        <w:ind w:right="0"/>
        <w:jc w:val="both"/>
        <w:rPr>
          <w:b w:val="0"/>
          <w:bCs w:val="0"/>
        </w:rPr>
      </w:pPr>
      <w:r>
        <w:rPr>
          <w:rFonts w:ascii="宋体" w:hAnsi="宋体" w:cs="宋体" w:eastAsia="宋体" w:hint="default"/>
        </w:rPr>
        <w:t>3</w:t>
      </w:r>
      <w:r>
        <w:rPr/>
        <w:t>、智慧照明业务——调整业务重心，提前布局智慧灯杆系统平台研发</w:t>
      </w:r>
      <w:r>
        <w:rPr>
          <w:b w:val="0"/>
          <w:bCs w:val="0"/>
        </w:rPr>
      </w:r>
    </w:p>
    <w:p>
      <w:pPr>
        <w:spacing w:line="316" w:lineRule="auto" w:before="76"/>
        <w:ind w:left="513" w:right="0" w:firstLine="0"/>
        <w:jc w:val="left"/>
        <w:rPr>
          <w:rFonts w:ascii="宋体" w:hAnsi="宋体" w:cs="宋体" w:eastAsia="宋体" w:hint="default"/>
          <w:sz w:val="18"/>
          <w:szCs w:val="18"/>
        </w:rPr>
      </w:pPr>
      <w:r>
        <w:rPr>
          <w:rFonts w:ascii="宋体" w:hAnsi="宋体" w:cs="宋体" w:eastAsia="宋体" w:hint="default"/>
          <w:b/>
          <w:bCs/>
          <w:sz w:val="18"/>
          <w:szCs w:val="18"/>
        </w:rPr>
        <w:t>（</w:t>
      </w:r>
      <w:r>
        <w:rPr>
          <w:rFonts w:ascii="宋体" w:hAnsi="宋体" w:cs="宋体" w:eastAsia="宋体" w:hint="default"/>
          <w:b/>
          <w:bCs/>
          <w:sz w:val="18"/>
          <w:szCs w:val="18"/>
        </w:rPr>
        <w:t>1</w:t>
      </w:r>
      <w:r>
        <w:rPr>
          <w:rFonts w:ascii="宋体" w:hAnsi="宋体" w:cs="宋体" w:eastAsia="宋体" w:hint="default"/>
          <w:b/>
          <w:bCs/>
          <w:sz w:val="18"/>
          <w:szCs w:val="18"/>
        </w:rPr>
        <w:t>）受政策影响，业务重心有所调整</w:t>
      </w:r>
      <w:r>
        <w:rPr>
          <w:rFonts w:ascii="宋体" w:hAnsi="宋体" w:cs="宋体" w:eastAsia="宋体" w:hint="default"/>
          <w:b/>
          <w:bCs/>
          <w:spacing w:val="-89"/>
          <w:sz w:val="18"/>
          <w:szCs w:val="18"/>
        </w:rPr>
        <w:t> </w:t>
      </w:r>
      <w:r>
        <w:rPr>
          <w:rFonts w:ascii="宋体" w:hAnsi="宋体" w:cs="宋体" w:eastAsia="宋体" w:hint="default"/>
          <w:b/>
          <w:bCs/>
          <w:spacing w:val="-89"/>
          <w:sz w:val="18"/>
          <w:szCs w:val="18"/>
        </w:rPr>
      </w:r>
      <w:r>
        <w:rPr>
          <w:rFonts w:ascii="宋体" w:hAnsi="宋体" w:cs="宋体" w:eastAsia="宋体" w:hint="default"/>
          <w:spacing w:val="-4"/>
          <w:sz w:val="18"/>
          <w:szCs w:val="18"/>
        </w:rPr>
        <w:t>2019</w:t>
      </w:r>
      <w:r>
        <w:rPr>
          <w:rFonts w:ascii="宋体" w:hAnsi="宋体" w:cs="宋体" w:eastAsia="宋体" w:hint="default"/>
          <w:spacing w:val="-4"/>
          <w:sz w:val="18"/>
          <w:szCs w:val="18"/>
        </w:rPr>
        <w:t>年受国家政策等原因影响，景观照明行业逐渐步入调整期。报告期内，公司调整业务重心，智慧照明业务营业收入</w:t>
      </w:r>
    </w:p>
    <w:p>
      <w:pPr>
        <w:pStyle w:val="BodyText"/>
        <w:spacing w:line="316" w:lineRule="auto" w:before="19"/>
        <w:ind w:right="0"/>
        <w:jc w:val="left"/>
      </w:pPr>
      <w:r>
        <w:rPr>
          <w:spacing w:val="-4"/>
        </w:rPr>
        <w:t>占比大幅减少，但公司加强了风险控制及财务管理，现金流情况良好，毛利率水平有所提升；并提前布局智慧灯杆系统平台</w:t>
      </w:r>
      <w:r>
        <w:rPr>
          <w:spacing w:val="40"/>
        </w:rPr>
        <w:t> </w:t>
      </w:r>
      <w:r>
        <w:rPr>
          <w:spacing w:val="40"/>
        </w:rPr>
      </w:r>
      <w:r>
        <w:rPr>
          <w:spacing w:val="-3"/>
        </w:rPr>
        <w:t>研发领域，储备相关人才及技术，为后续业务发展打下基础。</w:t>
      </w:r>
    </w:p>
    <w:p>
      <w:pPr>
        <w:pStyle w:val="BodyText"/>
        <w:spacing w:line="316" w:lineRule="auto" w:before="19"/>
        <w:ind w:left="513" w:right="0"/>
        <w:jc w:val="left"/>
      </w:pPr>
      <w:r>
        <w:rPr>
          <w:rFonts w:ascii="宋体" w:hAnsi="宋体" w:cs="宋体" w:eastAsia="宋体" w:hint="default"/>
          <w:b/>
          <w:bCs/>
        </w:rPr>
        <w:t>（</w:t>
      </w:r>
      <w:r>
        <w:rPr>
          <w:rFonts w:ascii="宋体" w:hAnsi="宋体" w:cs="宋体" w:eastAsia="宋体" w:hint="default"/>
          <w:b/>
          <w:bCs/>
        </w:rPr>
        <w:t>2</w:t>
      </w:r>
      <w:r>
        <w:rPr>
          <w:rFonts w:ascii="宋体" w:hAnsi="宋体" w:cs="宋体" w:eastAsia="宋体" w:hint="default"/>
          <w:b/>
          <w:bCs/>
        </w:rPr>
        <w:t>）点亮多个地标建筑</w:t>
      </w:r>
      <w:r>
        <w:rPr>
          <w:rFonts w:ascii="宋体" w:hAnsi="宋体" w:cs="宋体" w:eastAsia="宋体" w:hint="default"/>
          <w:b/>
          <w:bCs/>
          <w:spacing w:val="-89"/>
        </w:rPr>
        <w:t> </w:t>
      </w:r>
      <w:r>
        <w:rPr>
          <w:rFonts w:ascii="宋体" w:hAnsi="宋体" w:cs="宋体" w:eastAsia="宋体" w:hint="default"/>
          <w:b/>
          <w:bCs/>
          <w:spacing w:val="-89"/>
        </w:rPr>
      </w:r>
      <w:r>
        <w:rPr>
          <w:spacing w:val="-5"/>
        </w:rPr>
        <w:t>在行业增速放缓的大环境下，公司仍然承接了多个重点城市标杆项目，包括三亚市、郑州二七广场、东莞中心城区、平</w:t>
      </w:r>
    </w:p>
    <w:p>
      <w:pPr>
        <w:pStyle w:val="BodyText"/>
        <w:spacing w:line="240" w:lineRule="auto" w:before="19"/>
        <w:ind w:right="0"/>
        <w:jc w:val="both"/>
      </w:pPr>
      <w:r>
        <w:rPr>
          <w:spacing w:val="-3"/>
        </w:rPr>
        <w:t>潭金井新城及珠海大剧院等。</w:t>
      </w:r>
    </w:p>
    <w:p>
      <w:pPr>
        <w:spacing w:line="240" w:lineRule="auto" w:before="8"/>
        <w:rPr>
          <w:rFonts w:ascii="宋体" w:hAnsi="宋体" w:cs="宋体" w:eastAsia="宋体" w:hint="default"/>
          <w:sz w:val="23"/>
          <w:szCs w:val="23"/>
        </w:rPr>
      </w:pPr>
    </w:p>
    <w:tbl>
      <w:tblPr>
        <w:tblW w:w="0" w:type="auto"/>
        <w:jc w:val="left"/>
        <w:tblInd w:w="686" w:type="dxa"/>
        <w:tblLayout w:type="fixed"/>
        <w:tblCellMar>
          <w:top w:w="0" w:type="dxa"/>
          <w:left w:w="0" w:type="dxa"/>
          <w:bottom w:w="0" w:type="dxa"/>
          <w:right w:w="0" w:type="dxa"/>
        </w:tblCellMar>
        <w:tblLook w:val="01E0"/>
      </w:tblPr>
      <w:tblGrid>
        <w:gridCol w:w="4288"/>
        <w:gridCol w:w="4287"/>
      </w:tblGrid>
      <w:tr>
        <w:trPr>
          <w:trHeight w:val="2647" w:hRule="exact"/>
        </w:trPr>
        <w:tc>
          <w:tcPr>
            <w:tcW w:w="4288" w:type="dxa"/>
            <w:tcBorders>
              <w:top w:val="nil" w:sz="6" w:space="0" w:color="auto"/>
              <w:left w:val="nil" w:sz="6" w:space="0" w:color="auto"/>
              <w:bottom w:val="nil" w:sz="6" w:space="0" w:color="auto"/>
              <w:right w:val="nil" w:sz="6" w:space="0" w:color="auto"/>
            </w:tcBorders>
          </w:tcPr>
          <w:p>
            <w:pPr>
              <w:pStyle w:val="TableParagraph"/>
              <w:spacing w:line="2574" w:lineRule="exact"/>
              <w:ind w:left="200" w:right="0"/>
              <w:jc w:val="left"/>
              <w:rPr>
                <w:rFonts w:ascii="宋体" w:hAnsi="宋体" w:cs="宋体" w:eastAsia="宋体" w:hint="default"/>
                <w:sz w:val="20"/>
                <w:szCs w:val="20"/>
              </w:rPr>
            </w:pPr>
            <w:r>
              <w:rPr>
                <w:rFonts w:ascii="宋体" w:hAnsi="宋体" w:cs="宋体" w:eastAsia="宋体" w:hint="default"/>
                <w:position w:val="-50"/>
                <w:sz w:val="20"/>
                <w:szCs w:val="20"/>
              </w:rPr>
              <w:drawing>
                <wp:inline distT="0" distB="0" distL="0" distR="0">
                  <wp:extent cx="2471933" cy="1634489"/>
                  <wp:effectExtent l="0" t="0" r="0" b="0"/>
                  <wp:docPr id="51" name="image29.jpeg" descr=""/>
                  <wp:cNvGraphicFramePr>
                    <a:graphicFrameLocks noChangeAspect="1"/>
                  </wp:cNvGraphicFramePr>
                  <a:graphic>
                    <a:graphicData uri="http://schemas.openxmlformats.org/drawingml/2006/picture">
                      <pic:pic>
                        <pic:nvPicPr>
                          <pic:cNvPr id="52" name="image29.jpeg"/>
                          <pic:cNvPicPr/>
                        </pic:nvPicPr>
                        <pic:blipFill>
                          <a:blip r:embed="rId39" cstate="print"/>
                          <a:stretch>
                            <a:fillRect/>
                          </a:stretch>
                        </pic:blipFill>
                        <pic:spPr>
                          <a:xfrm>
                            <a:off x="0" y="0"/>
                            <a:ext cx="2471933" cy="1634489"/>
                          </a:xfrm>
                          <a:prstGeom prst="rect">
                            <a:avLst/>
                          </a:prstGeom>
                        </pic:spPr>
                      </pic:pic>
                    </a:graphicData>
                  </a:graphic>
                </wp:inline>
              </w:drawing>
            </w:r>
            <w:r>
              <w:rPr>
                <w:rFonts w:ascii="宋体" w:hAnsi="宋体" w:cs="宋体" w:eastAsia="宋体" w:hint="default"/>
                <w:position w:val="-50"/>
                <w:sz w:val="20"/>
                <w:szCs w:val="20"/>
              </w:rPr>
            </w:r>
          </w:p>
        </w:tc>
        <w:tc>
          <w:tcPr>
            <w:tcW w:w="4287" w:type="dxa"/>
            <w:tcBorders>
              <w:top w:val="nil" w:sz="6" w:space="0" w:color="auto"/>
              <w:left w:val="nil" w:sz="6" w:space="0" w:color="auto"/>
              <w:bottom w:val="nil" w:sz="6" w:space="0" w:color="auto"/>
              <w:right w:val="nil" w:sz="6" w:space="0" w:color="auto"/>
            </w:tcBorders>
          </w:tcPr>
          <w:p>
            <w:pPr>
              <w:pStyle w:val="TableParagraph"/>
              <w:spacing w:line="2574" w:lineRule="exact"/>
              <w:ind w:left="232" w:right="0"/>
              <w:jc w:val="left"/>
              <w:rPr>
                <w:rFonts w:ascii="宋体" w:hAnsi="宋体" w:cs="宋体" w:eastAsia="宋体" w:hint="default"/>
                <w:sz w:val="20"/>
                <w:szCs w:val="20"/>
              </w:rPr>
            </w:pPr>
            <w:r>
              <w:rPr>
                <w:rFonts w:ascii="宋体" w:hAnsi="宋体" w:cs="宋体" w:eastAsia="宋体" w:hint="default"/>
                <w:position w:val="-50"/>
                <w:sz w:val="20"/>
                <w:szCs w:val="20"/>
              </w:rPr>
              <w:drawing>
                <wp:inline distT="0" distB="0" distL="0" distR="0">
                  <wp:extent cx="2471933" cy="1634489"/>
                  <wp:effectExtent l="0" t="0" r="0" b="0"/>
                  <wp:docPr id="53" name="image30.jpeg" descr=""/>
                  <wp:cNvGraphicFramePr>
                    <a:graphicFrameLocks noChangeAspect="1"/>
                  </wp:cNvGraphicFramePr>
                  <a:graphic>
                    <a:graphicData uri="http://schemas.openxmlformats.org/drawingml/2006/picture">
                      <pic:pic>
                        <pic:nvPicPr>
                          <pic:cNvPr id="54" name="image30.jpeg"/>
                          <pic:cNvPicPr/>
                        </pic:nvPicPr>
                        <pic:blipFill>
                          <a:blip r:embed="rId40" cstate="print"/>
                          <a:stretch>
                            <a:fillRect/>
                          </a:stretch>
                        </pic:blipFill>
                        <pic:spPr>
                          <a:xfrm>
                            <a:off x="0" y="0"/>
                            <a:ext cx="2471933" cy="1634489"/>
                          </a:xfrm>
                          <a:prstGeom prst="rect">
                            <a:avLst/>
                          </a:prstGeom>
                        </pic:spPr>
                      </pic:pic>
                    </a:graphicData>
                  </a:graphic>
                </wp:inline>
              </w:drawing>
            </w:r>
            <w:r>
              <w:rPr>
                <w:rFonts w:ascii="宋体" w:hAnsi="宋体" w:cs="宋体" w:eastAsia="宋体" w:hint="default"/>
                <w:position w:val="-50"/>
                <w:sz w:val="20"/>
                <w:szCs w:val="20"/>
              </w:rPr>
            </w:r>
          </w:p>
        </w:tc>
      </w:tr>
      <w:tr>
        <w:trPr>
          <w:trHeight w:val="281" w:hRule="exact"/>
        </w:trPr>
        <w:tc>
          <w:tcPr>
            <w:tcW w:w="428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050" w:right="0"/>
              <w:jc w:val="left"/>
              <w:rPr>
                <w:rFonts w:ascii="宋体" w:hAnsi="宋体" w:cs="宋体" w:eastAsia="宋体" w:hint="default"/>
                <w:sz w:val="18"/>
                <w:szCs w:val="18"/>
              </w:rPr>
            </w:pPr>
            <w:r>
              <w:rPr>
                <w:rFonts w:ascii="宋体" w:hAnsi="宋体" w:cs="宋体" w:eastAsia="宋体" w:hint="default"/>
                <w:spacing w:val="-3"/>
                <w:sz w:val="18"/>
                <w:szCs w:val="18"/>
              </w:rPr>
              <w:t>珠海大剧院灯光秀工程项目</w:t>
            </w:r>
          </w:p>
        </w:tc>
        <w:tc>
          <w:tcPr>
            <w:tcW w:w="428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440" w:right="0"/>
              <w:jc w:val="left"/>
              <w:rPr>
                <w:rFonts w:ascii="宋体" w:hAnsi="宋体" w:cs="宋体" w:eastAsia="宋体" w:hint="default"/>
                <w:sz w:val="18"/>
                <w:szCs w:val="18"/>
              </w:rPr>
            </w:pPr>
            <w:r>
              <w:rPr>
                <w:rFonts w:ascii="宋体" w:hAnsi="宋体" w:cs="宋体" w:eastAsia="宋体" w:hint="default"/>
                <w:sz w:val="18"/>
                <w:szCs w:val="18"/>
              </w:rPr>
              <w:t>郑州二七广场项目</w:t>
            </w:r>
          </w:p>
        </w:tc>
      </w:tr>
    </w:tbl>
    <w:p>
      <w:pPr>
        <w:pStyle w:val="BodyText"/>
        <w:spacing w:line="319" w:lineRule="auto" w:before="114"/>
        <w:ind w:left="513" w:right="0"/>
        <w:jc w:val="left"/>
      </w:pPr>
      <w:r>
        <w:rPr>
          <w:rFonts w:ascii="宋体" w:hAnsi="宋体" w:cs="宋体" w:eastAsia="宋体" w:hint="default"/>
          <w:b/>
          <w:bCs/>
        </w:rPr>
        <w:t>（</w:t>
      </w:r>
      <w:r>
        <w:rPr>
          <w:rFonts w:ascii="宋体" w:hAnsi="宋体" w:cs="宋体" w:eastAsia="宋体" w:hint="default"/>
          <w:b/>
          <w:bCs/>
        </w:rPr>
        <w:t>3</w:t>
      </w:r>
      <w:r>
        <w:rPr>
          <w:rFonts w:ascii="宋体" w:hAnsi="宋体" w:cs="宋体" w:eastAsia="宋体" w:hint="default"/>
          <w:b/>
          <w:bCs/>
        </w:rPr>
        <w:t>）现金流情况良好</w:t>
      </w:r>
      <w:r>
        <w:rPr>
          <w:rFonts w:ascii="宋体" w:hAnsi="宋体" w:cs="宋体" w:eastAsia="宋体" w:hint="default"/>
          <w:b/>
          <w:bCs/>
          <w:spacing w:val="-85"/>
        </w:rPr>
        <w:t> </w:t>
      </w:r>
      <w:r>
        <w:rPr>
          <w:rFonts w:ascii="宋体" w:hAnsi="宋体" w:cs="宋体" w:eastAsia="宋体" w:hint="default"/>
          <w:b/>
          <w:bCs/>
          <w:spacing w:val="-85"/>
        </w:rPr>
      </w:r>
      <w:r>
        <w:rPr>
          <w:spacing w:val="2"/>
        </w:rPr>
        <w:t>报告期内，公司注重风险控制及财务管理，加大应收账款回收力度，智慧照明业务经营活动产生的现金流量净额为</w:t>
      </w:r>
    </w:p>
    <w:p>
      <w:pPr>
        <w:pStyle w:val="BodyText"/>
        <w:spacing w:line="240" w:lineRule="auto" w:before="17"/>
        <w:ind w:right="0"/>
        <w:jc w:val="both"/>
      </w:pPr>
      <w:r>
        <w:rPr>
          <w:rFonts w:ascii="宋体" w:hAnsi="宋体" w:cs="宋体" w:eastAsia="宋体" w:hint="default"/>
          <w:spacing w:val="-3"/>
        </w:rPr>
        <w:t>4,671.06</w:t>
      </w:r>
      <w:r>
        <w:rPr>
          <w:spacing w:val="-3"/>
        </w:rPr>
        <w:t>万元，智慧照明业务连续两年经营性现金流净额为正值。</w:t>
      </w:r>
    </w:p>
    <w:p>
      <w:pPr>
        <w:spacing w:line="316" w:lineRule="auto" w:before="76"/>
        <w:ind w:left="513" w:right="6445" w:firstLine="0"/>
        <w:jc w:val="left"/>
        <w:rPr>
          <w:rFonts w:ascii="宋体" w:hAnsi="宋体" w:cs="宋体" w:eastAsia="宋体" w:hint="default"/>
          <w:sz w:val="18"/>
          <w:szCs w:val="18"/>
        </w:rPr>
      </w:pPr>
      <w:r>
        <w:rPr>
          <w:rFonts w:ascii="宋体" w:hAnsi="宋体" w:cs="宋体" w:eastAsia="宋体" w:hint="default"/>
          <w:b/>
          <w:bCs/>
          <w:sz w:val="18"/>
          <w:szCs w:val="18"/>
        </w:rPr>
        <w:t>（</w:t>
      </w:r>
      <w:r>
        <w:rPr>
          <w:rFonts w:ascii="宋体" w:hAnsi="宋体" w:cs="宋体" w:eastAsia="宋体" w:hint="default"/>
          <w:b/>
          <w:bCs/>
          <w:sz w:val="18"/>
          <w:szCs w:val="18"/>
        </w:rPr>
        <w:t>4</w:t>
      </w:r>
      <w:r>
        <w:rPr>
          <w:rFonts w:ascii="宋体" w:hAnsi="宋体" w:cs="宋体" w:eastAsia="宋体" w:hint="default"/>
          <w:b/>
          <w:bCs/>
          <w:sz w:val="18"/>
          <w:szCs w:val="18"/>
        </w:rPr>
        <w:t>）深耕智慧城市细分领域</w:t>
      </w:r>
      <w:r>
        <w:rPr>
          <w:rFonts w:ascii="宋体" w:hAnsi="宋体" w:cs="宋体" w:eastAsia="宋体" w:hint="default"/>
          <w:b/>
          <w:bCs/>
          <w:spacing w:val="-85"/>
          <w:sz w:val="18"/>
          <w:szCs w:val="18"/>
        </w:rPr>
        <w:t> </w:t>
      </w:r>
      <w:r>
        <w:rPr>
          <w:rFonts w:ascii="宋体" w:hAnsi="宋体" w:cs="宋体" w:eastAsia="宋体" w:hint="default"/>
          <w:b/>
          <w:bCs/>
          <w:spacing w:val="-85"/>
          <w:sz w:val="18"/>
          <w:szCs w:val="18"/>
        </w:rPr>
      </w:r>
      <w:r>
        <w:rPr>
          <w:rFonts w:ascii="宋体" w:hAnsi="宋体" w:cs="宋体" w:eastAsia="宋体" w:hint="default"/>
          <w:spacing w:val="-3"/>
          <w:sz w:val="18"/>
          <w:szCs w:val="18"/>
        </w:rPr>
        <w:t>1</w:t>
      </w:r>
      <w:r>
        <w:rPr>
          <w:rFonts w:ascii="宋体" w:hAnsi="宋体" w:cs="宋体" w:eastAsia="宋体" w:hint="default"/>
          <w:spacing w:val="-3"/>
          <w:sz w:val="18"/>
          <w:szCs w:val="18"/>
        </w:rPr>
        <w:t>）智慧照明控制系统研发落地</w:t>
      </w:r>
    </w:p>
    <w:p>
      <w:pPr>
        <w:pStyle w:val="BodyText"/>
        <w:spacing w:line="319" w:lineRule="auto" w:before="19"/>
        <w:ind w:right="1126" w:firstLine="360"/>
        <w:jc w:val="both"/>
      </w:pPr>
      <w:r>
        <w:rPr>
          <w:spacing w:val="-3"/>
        </w:rPr>
        <w:t>凭借公司在控制系统领域的研发实力，公司已于</w:t>
      </w:r>
      <w:r>
        <w:rPr>
          <w:rFonts w:ascii="宋体" w:hAnsi="宋体" w:cs="宋体" w:eastAsia="宋体" w:hint="default"/>
          <w:spacing w:val="-3"/>
        </w:rPr>
        <w:t>2017</w:t>
      </w:r>
      <w:r>
        <w:rPr>
          <w:spacing w:val="-3"/>
        </w:rPr>
        <w:t>年开始智慧照明控制系统的研发，共获得</w:t>
      </w:r>
      <w:r>
        <w:rPr>
          <w:rFonts w:ascii="宋体" w:hAnsi="宋体" w:cs="宋体" w:eastAsia="宋体" w:hint="default"/>
          <w:spacing w:val="-3"/>
        </w:rPr>
        <w:t>6</w:t>
      </w:r>
      <w:r>
        <w:rPr>
          <w:spacing w:val="-3"/>
        </w:rPr>
        <w:t>项软件著作权，并已申</w:t>
      </w:r>
      <w:r>
        <w:rPr>
          <w:w w:val="101"/>
        </w:rPr>
        <w:t> </w:t>
      </w:r>
      <w:r>
        <w:rPr>
          <w:spacing w:val="-3"/>
        </w:rPr>
        <w:t>请</w:t>
      </w:r>
      <w:r>
        <w:rPr>
          <w:rFonts w:ascii="宋体" w:hAnsi="宋体" w:cs="宋体" w:eastAsia="宋体" w:hint="default"/>
          <w:spacing w:val="-3"/>
        </w:rPr>
        <w:t>7</w:t>
      </w:r>
      <w:r>
        <w:rPr>
          <w:spacing w:val="-3"/>
        </w:rPr>
        <w:t>项发明专利以及</w:t>
      </w:r>
      <w:r>
        <w:rPr>
          <w:rFonts w:ascii="宋体" w:hAnsi="宋体" w:cs="宋体" w:eastAsia="宋体" w:hint="default"/>
          <w:spacing w:val="-3"/>
        </w:rPr>
        <w:t>1</w:t>
      </w:r>
      <w:r>
        <w:rPr>
          <w:spacing w:val="-3"/>
        </w:rPr>
        <w:t>项</w:t>
      </w:r>
      <w:r>
        <w:rPr>
          <w:rFonts w:ascii="宋体" w:hAnsi="宋体" w:cs="宋体" w:eastAsia="宋体" w:hint="default"/>
          <w:spacing w:val="-3"/>
        </w:rPr>
        <w:t>PCT</w:t>
      </w:r>
      <w:r>
        <w:rPr>
          <w:spacing w:val="-3"/>
        </w:rPr>
        <w:t>国际申请专利。报告期内，公司智慧照明控制系统已完成样机研发和测试，以及典型项目的应用</w:t>
      </w:r>
      <w:r>
        <w:rPr>
          <w:spacing w:val="81"/>
        </w:rPr>
        <w:t> </w:t>
      </w:r>
      <w:r>
        <w:rPr>
          <w:spacing w:val="81"/>
        </w:rPr>
      </w:r>
      <w:r>
        <w:rPr/>
        <w:t>和推广。</w:t>
      </w:r>
    </w:p>
    <w:p>
      <w:pPr>
        <w:pStyle w:val="BodyText"/>
        <w:spacing w:line="316" w:lineRule="auto" w:before="17"/>
        <w:ind w:left="513" w:right="1115"/>
        <w:jc w:val="left"/>
        <w:rPr>
          <w:rFonts w:ascii="宋体" w:hAnsi="宋体" w:cs="宋体" w:eastAsia="宋体" w:hint="default"/>
        </w:rPr>
      </w:pPr>
      <w:r>
        <w:rPr>
          <w:rFonts w:ascii="宋体" w:hAnsi="宋体" w:cs="宋体" w:eastAsia="宋体" w:hint="default"/>
        </w:rPr>
        <w:t>2</w:t>
      </w:r>
      <w:r>
        <w:rPr/>
        <w:t>）布局</w:t>
      </w:r>
      <w:r>
        <w:rPr>
          <w:rFonts w:ascii="宋体" w:hAnsi="宋体" w:cs="宋体" w:eastAsia="宋体" w:hint="default"/>
        </w:rPr>
        <w:t>5G</w:t>
      </w:r>
      <w:r>
        <w:rPr/>
        <w:t>智慧灯杆系统平台研发</w:t>
      </w:r>
      <w:r>
        <w:rPr>
          <w:spacing w:val="-87"/>
        </w:rPr>
        <w:t> </w:t>
      </w:r>
      <w:r>
        <w:rPr>
          <w:spacing w:val="-87"/>
        </w:rPr>
      </w:r>
      <w:r>
        <w:rPr>
          <w:spacing w:val="-7"/>
          <w:w w:val="101"/>
        </w:rPr>
        <w:t>为了开拓智慧照明领域的新业务，公司在</w:t>
      </w:r>
      <w:r>
        <w:rPr>
          <w:rFonts w:ascii="宋体" w:hAnsi="宋体" w:cs="宋体" w:eastAsia="宋体" w:hint="default"/>
          <w:spacing w:val="-7"/>
          <w:w w:val="101"/>
        </w:rPr>
        <w:t>5G</w:t>
      </w:r>
      <w:r>
        <w:rPr>
          <w:spacing w:val="-7"/>
          <w:w w:val="101"/>
        </w:rPr>
        <w:t>智慧灯杆系统平台的研究方面已提前布局，并引进行业领军人才及团队。</w:t>
      </w:r>
      <w:r>
        <w:rPr>
          <w:rFonts w:ascii="宋体" w:hAnsi="宋体" w:cs="宋体" w:eastAsia="宋体" w:hint="default"/>
          <w:spacing w:val="-7"/>
          <w:w w:val="101"/>
        </w:rPr>
        <w:t>2019</w:t>
      </w:r>
      <w:r>
        <w:rPr>
          <w:rFonts w:ascii="宋体" w:hAnsi="宋体" w:cs="宋体" w:eastAsia="宋体" w:hint="default"/>
          <w:spacing w:val="-7"/>
        </w:rPr>
      </w:r>
    </w:p>
    <w:p>
      <w:pPr>
        <w:pStyle w:val="BodyText"/>
        <w:spacing w:line="319" w:lineRule="auto" w:before="19"/>
        <w:ind w:right="1123"/>
        <w:jc w:val="both"/>
      </w:pPr>
      <w:r>
        <w:rPr>
          <w:spacing w:val="-3"/>
        </w:rPr>
        <w:t>年公司已开展智慧灯杆系统平台的前期研发工作，并在</w:t>
      </w:r>
      <w:r>
        <w:rPr>
          <w:rFonts w:ascii="宋体" w:hAnsi="宋体" w:cs="宋体" w:eastAsia="宋体" w:hint="default"/>
          <w:spacing w:val="-3"/>
        </w:rPr>
        <w:t>2019</w:t>
      </w:r>
      <w:r>
        <w:rPr>
          <w:spacing w:val="-3"/>
        </w:rPr>
        <w:t>年公布的非公开发行</w:t>
      </w:r>
      <w:r>
        <w:rPr>
          <w:rFonts w:ascii="宋体" w:hAnsi="宋体" w:cs="宋体" w:eastAsia="宋体" w:hint="default"/>
          <w:spacing w:val="-3"/>
        </w:rPr>
        <w:t>A</w:t>
      </w:r>
      <w:r>
        <w:rPr>
          <w:spacing w:val="-3"/>
        </w:rPr>
        <w:t>股股票预案中，将智慧灯杆系统的研发作</w:t>
      </w:r>
      <w:r>
        <w:rPr>
          <w:spacing w:val="82"/>
        </w:rPr>
        <w:t> </w:t>
      </w:r>
      <w:r>
        <w:rPr>
          <w:spacing w:val="82"/>
        </w:rPr>
      </w:r>
      <w:r>
        <w:rPr>
          <w:spacing w:val="-4"/>
        </w:rPr>
        <w:t>为募投项目之一，拟投入</w:t>
      </w:r>
      <w:r>
        <w:rPr>
          <w:rFonts w:ascii="宋体" w:hAnsi="宋体" w:cs="宋体" w:eastAsia="宋体" w:hint="default"/>
          <w:spacing w:val="-4"/>
        </w:rPr>
        <w:t>5,690.82</w:t>
      </w:r>
      <w:r>
        <w:rPr>
          <w:spacing w:val="-4"/>
        </w:rPr>
        <w:t>万元，从而扩大智慧照明事业群的业务范围，提升智慧照明业务的多元化水平及抗风险能</w:t>
      </w:r>
      <w:r>
        <w:rPr>
          <w:spacing w:val="59"/>
        </w:rPr>
        <w:t> </w:t>
      </w:r>
      <w:r>
        <w:rPr>
          <w:spacing w:val="59"/>
        </w:rPr>
      </w:r>
      <w:r>
        <w:rPr/>
        <w:t>力。</w:t>
      </w:r>
    </w:p>
    <w:p>
      <w:pPr>
        <w:spacing w:after="0" w:line="319" w:lineRule="auto"/>
        <w:jc w:val="both"/>
        <w:sectPr>
          <w:pgSz w:w="11910" w:h="16840"/>
          <w:pgMar w:header="784" w:footer="1022" w:top="1100" w:bottom="1220" w:left="980" w:right="0"/>
        </w:sectPr>
      </w:pPr>
    </w:p>
    <w:p>
      <w:pPr>
        <w:spacing w:line="240" w:lineRule="auto" w:before="10"/>
        <w:rPr>
          <w:rFonts w:ascii="宋体" w:hAnsi="宋体" w:cs="宋体" w:eastAsia="宋体" w:hint="default"/>
          <w:sz w:val="22"/>
          <w:szCs w:val="22"/>
        </w:rPr>
      </w:pPr>
    </w:p>
    <w:p>
      <w:pPr>
        <w:pStyle w:val="Heading6"/>
        <w:spacing w:line="240" w:lineRule="auto" w:before="46"/>
        <w:ind w:right="0"/>
        <w:jc w:val="left"/>
        <w:rPr>
          <w:b w:val="0"/>
          <w:bCs w:val="0"/>
        </w:rPr>
      </w:pPr>
      <w:r>
        <w:rPr>
          <w:rFonts w:ascii="宋体" w:hAnsi="宋体" w:cs="宋体" w:eastAsia="宋体" w:hint="default"/>
        </w:rPr>
        <w:t>4</w:t>
      </w:r>
      <w:r>
        <w:rPr/>
        <w:t>、运营管理——梳理顶层架构，赋能型管理平台初显成效</w:t>
      </w:r>
      <w:r>
        <w:rPr>
          <w:b w:val="0"/>
          <w:bCs w:val="0"/>
        </w:rPr>
      </w:r>
    </w:p>
    <w:p>
      <w:pPr>
        <w:spacing w:line="316" w:lineRule="auto" w:before="76"/>
        <w:ind w:left="513" w:right="0" w:firstLine="0"/>
        <w:jc w:val="left"/>
        <w:rPr>
          <w:rFonts w:ascii="宋体" w:hAnsi="宋体" w:cs="宋体" w:eastAsia="宋体" w:hint="default"/>
          <w:sz w:val="18"/>
          <w:szCs w:val="18"/>
        </w:rPr>
      </w:pPr>
      <w:r>
        <w:rPr>
          <w:rFonts w:ascii="宋体" w:hAnsi="宋体" w:cs="宋体" w:eastAsia="宋体" w:hint="default"/>
          <w:b/>
          <w:bCs/>
          <w:sz w:val="18"/>
          <w:szCs w:val="18"/>
        </w:rPr>
        <w:t>（</w:t>
      </w:r>
      <w:r>
        <w:rPr>
          <w:rFonts w:ascii="宋体" w:hAnsi="宋体" w:cs="宋体" w:eastAsia="宋体" w:hint="default"/>
          <w:b/>
          <w:bCs/>
          <w:sz w:val="18"/>
          <w:szCs w:val="18"/>
        </w:rPr>
        <w:t>1</w:t>
      </w:r>
      <w:r>
        <w:rPr>
          <w:rFonts w:ascii="宋体" w:hAnsi="宋体" w:cs="宋体" w:eastAsia="宋体" w:hint="default"/>
          <w:b/>
          <w:bCs/>
          <w:sz w:val="18"/>
          <w:szCs w:val="18"/>
        </w:rPr>
        <w:t>）调整组织架构，提升管理效率</w:t>
      </w:r>
      <w:r>
        <w:rPr>
          <w:rFonts w:ascii="宋体" w:hAnsi="宋体" w:cs="宋体" w:eastAsia="宋体" w:hint="default"/>
          <w:b/>
          <w:bCs/>
          <w:spacing w:val="-85"/>
          <w:sz w:val="18"/>
          <w:szCs w:val="18"/>
        </w:rPr>
        <w:t> </w:t>
      </w:r>
      <w:r>
        <w:rPr>
          <w:rFonts w:ascii="宋体" w:hAnsi="宋体" w:cs="宋体" w:eastAsia="宋体" w:hint="default"/>
          <w:b/>
          <w:bCs/>
          <w:spacing w:val="-85"/>
          <w:sz w:val="18"/>
          <w:szCs w:val="18"/>
        </w:rPr>
      </w:r>
      <w:r>
        <w:rPr>
          <w:rFonts w:ascii="宋体" w:hAnsi="宋体" w:cs="宋体" w:eastAsia="宋体" w:hint="default"/>
          <w:spacing w:val="-6"/>
          <w:sz w:val="18"/>
          <w:szCs w:val="18"/>
        </w:rPr>
        <w:t>报告期内，公司将</w:t>
      </w:r>
      <w:r>
        <w:rPr>
          <w:rFonts w:ascii="宋体" w:hAnsi="宋体" w:cs="宋体" w:eastAsia="宋体" w:hint="default"/>
          <w:spacing w:val="-6"/>
          <w:sz w:val="18"/>
          <w:szCs w:val="18"/>
        </w:rPr>
        <w:t>LED</w:t>
      </w:r>
      <w:r>
        <w:rPr>
          <w:rFonts w:ascii="宋体" w:hAnsi="宋体" w:cs="宋体" w:eastAsia="宋体" w:hint="default"/>
          <w:spacing w:val="-6"/>
          <w:sz w:val="18"/>
          <w:szCs w:val="18"/>
        </w:rPr>
        <w:t>显示业务独立出来，金融科技及智慧照明业务也按事业群的架构进行了重建，形成了以</w:t>
      </w:r>
      <w:r>
        <w:rPr>
          <w:rFonts w:ascii="宋体" w:hAnsi="宋体" w:cs="宋体" w:eastAsia="宋体" w:hint="default"/>
          <w:spacing w:val="-6"/>
          <w:sz w:val="18"/>
          <w:szCs w:val="18"/>
        </w:rPr>
        <w:t>3</w:t>
      </w:r>
      <w:r>
        <w:rPr>
          <w:rFonts w:ascii="宋体" w:hAnsi="宋体" w:cs="宋体" w:eastAsia="宋体" w:hint="default"/>
          <w:spacing w:val="-6"/>
          <w:sz w:val="18"/>
          <w:szCs w:val="18"/>
        </w:rPr>
        <w:t>大事业群、</w:t>
      </w:r>
    </w:p>
    <w:p>
      <w:pPr>
        <w:pStyle w:val="BodyText"/>
        <w:spacing w:line="240" w:lineRule="auto" w:before="19"/>
        <w:ind w:right="0"/>
        <w:jc w:val="left"/>
      </w:pPr>
      <w:r>
        <w:rPr>
          <w:rFonts w:ascii="宋体" w:hAnsi="宋体" w:cs="宋体" w:eastAsia="宋体" w:hint="default"/>
          <w:spacing w:val="-3"/>
        </w:rPr>
        <w:t>11</w:t>
      </w:r>
      <w:r>
        <w:rPr>
          <w:spacing w:val="-3"/>
        </w:rPr>
        <w:t>个职能部门为核心的组织架构，调整后的架构更加清晰，分工更明确。</w:t>
      </w:r>
    </w:p>
    <w:p>
      <w:pPr>
        <w:spacing w:line="240" w:lineRule="auto" w:before="3"/>
        <w:rPr>
          <w:rFonts w:ascii="宋体" w:hAnsi="宋体" w:cs="宋体" w:eastAsia="宋体" w:hint="default"/>
          <w:sz w:val="15"/>
          <w:szCs w:val="15"/>
        </w:rPr>
      </w:pPr>
    </w:p>
    <w:p>
      <w:pPr>
        <w:spacing w:line="3470" w:lineRule="exact"/>
        <w:ind w:left="2831" w:right="0" w:firstLine="0"/>
        <w:rPr>
          <w:rFonts w:ascii="宋体" w:hAnsi="宋体" w:cs="宋体" w:eastAsia="宋体" w:hint="default"/>
          <w:sz w:val="20"/>
          <w:szCs w:val="20"/>
        </w:rPr>
      </w:pPr>
      <w:r>
        <w:rPr>
          <w:rFonts w:ascii="宋体" w:hAnsi="宋体" w:cs="宋体" w:eastAsia="宋体" w:hint="default"/>
          <w:position w:val="-68"/>
          <w:sz w:val="20"/>
          <w:szCs w:val="20"/>
        </w:rPr>
        <w:drawing>
          <wp:inline distT="0" distB="0" distL="0" distR="0">
            <wp:extent cx="2711519" cy="2203704"/>
            <wp:effectExtent l="0" t="0" r="0" b="0"/>
            <wp:docPr id="55" name="image31.png" descr=""/>
            <wp:cNvGraphicFramePr>
              <a:graphicFrameLocks noChangeAspect="1"/>
            </wp:cNvGraphicFramePr>
            <a:graphic>
              <a:graphicData uri="http://schemas.openxmlformats.org/drawingml/2006/picture">
                <pic:pic>
                  <pic:nvPicPr>
                    <pic:cNvPr id="56" name="image31.png"/>
                    <pic:cNvPicPr/>
                  </pic:nvPicPr>
                  <pic:blipFill>
                    <a:blip r:embed="rId41" cstate="print"/>
                    <a:stretch>
                      <a:fillRect/>
                    </a:stretch>
                  </pic:blipFill>
                  <pic:spPr>
                    <a:xfrm>
                      <a:off x="0" y="0"/>
                      <a:ext cx="2711519" cy="2203704"/>
                    </a:xfrm>
                    <a:prstGeom prst="rect">
                      <a:avLst/>
                    </a:prstGeom>
                  </pic:spPr>
                </pic:pic>
              </a:graphicData>
            </a:graphic>
          </wp:inline>
        </w:drawing>
      </w:r>
      <w:r>
        <w:rPr>
          <w:rFonts w:ascii="宋体" w:hAnsi="宋体" w:cs="宋体" w:eastAsia="宋体" w:hint="default"/>
          <w:position w:val="-68"/>
          <w:sz w:val="20"/>
          <w:szCs w:val="20"/>
        </w:rPr>
      </w:r>
    </w:p>
    <w:p>
      <w:pPr>
        <w:pStyle w:val="BodyText"/>
        <w:spacing w:line="316" w:lineRule="auto" w:before="152"/>
        <w:ind w:left="513" w:right="0"/>
        <w:jc w:val="left"/>
      </w:pPr>
      <w:r>
        <w:rPr>
          <w:rFonts w:ascii="宋体" w:hAnsi="宋体" w:cs="宋体" w:eastAsia="宋体" w:hint="default"/>
          <w:b/>
          <w:bCs/>
        </w:rPr>
        <w:t>（</w:t>
      </w:r>
      <w:r>
        <w:rPr>
          <w:rFonts w:ascii="宋体" w:hAnsi="宋体" w:cs="宋体" w:eastAsia="宋体" w:hint="default"/>
          <w:b/>
          <w:bCs/>
        </w:rPr>
        <w:t>2</w:t>
      </w:r>
      <w:r>
        <w:rPr>
          <w:rFonts w:ascii="宋体" w:hAnsi="宋体" w:cs="宋体" w:eastAsia="宋体" w:hint="default"/>
          <w:b/>
          <w:bCs/>
        </w:rPr>
        <w:t>）成立“中央”研究院</w:t>
      </w:r>
      <w:r>
        <w:rPr>
          <w:rFonts w:ascii="宋体" w:hAnsi="宋体" w:cs="宋体" w:eastAsia="宋体" w:hint="default"/>
          <w:b/>
          <w:bCs/>
          <w:spacing w:val="-87"/>
        </w:rPr>
        <w:t> </w:t>
      </w:r>
      <w:r>
        <w:rPr>
          <w:rFonts w:ascii="宋体" w:hAnsi="宋体" w:cs="宋体" w:eastAsia="宋体" w:hint="default"/>
          <w:b/>
          <w:bCs/>
          <w:spacing w:val="-87"/>
        </w:rPr>
      </w:r>
      <w:r>
        <w:rPr>
          <w:spacing w:val="-5"/>
        </w:rPr>
        <w:t>报告期内，为了进一步整合研发资源，公司成立智能视讯技术研究院，以智能视讯技术研究院为研发“大脑”，新设立</w:t>
      </w:r>
    </w:p>
    <w:p>
      <w:pPr>
        <w:pStyle w:val="BodyText"/>
        <w:spacing w:line="319" w:lineRule="auto" w:before="19"/>
        <w:ind w:right="1120"/>
        <w:jc w:val="left"/>
      </w:pPr>
      <w:r>
        <w:rPr>
          <w:spacing w:val="-4"/>
        </w:rPr>
        <w:t>的武汉奥拓为软件开发中心，连接</w:t>
      </w:r>
      <w:r>
        <w:rPr>
          <w:rFonts w:ascii="宋体" w:hAnsi="宋体" w:cs="宋体" w:eastAsia="宋体" w:hint="default"/>
          <w:spacing w:val="-4"/>
        </w:rPr>
        <w:t>LED</w:t>
      </w:r>
      <w:r>
        <w:rPr>
          <w:spacing w:val="-4"/>
        </w:rPr>
        <w:t>显示、金融科技、智慧照明三大业务，提升公司的智能视讯集成能力，统筹公司深圳、</w:t>
      </w:r>
      <w:r>
        <w:rPr>
          <w:spacing w:val="48"/>
        </w:rPr>
        <w:t> </w:t>
      </w:r>
      <w:r>
        <w:rPr>
          <w:spacing w:val="48"/>
        </w:rPr>
      </w:r>
      <w:r>
        <w:rPr>
          <w:spacing w:val="-4"/>
        </w:rPr>
        <w:t>惠州、南京、上海、武汉等地的研发资源，形成公司技术研发及科研合作的全国性辐射网络，通过技术创新引领公司快速发</w:t>
      </w:r>
      <w:r>
        <w:rPr>
          <w:spacing w:val="40"/>
        </w:rPr>
        <w:t> </w:t>
      </w:r>
      <w:r>
        <w:rPr>
          <w:spacing w:val="40"/>
        </w:rPr>
      </w:r>
      <w:r>
        <w:rPr/>
        <w:t>展。</w:t>
      </w:r>
    </w:p>
    <w:p>
      <w:pPr>
        <w:spacing w:line="240" w:lineRule="auto" w:before="7"/>
        <w:rPr>
          <w:rFonts w:ascii="宋体" w:hAnsi="宋体" w:cs="宋体" w:eastAsia="宋体" w:hint="default"/>
          <w:sz w:val="10"/>
          <w:szCs w:val="10"/>
        </w:rPr>
      </w:pPr>
    </w:p>
    <w:p>
      <w:pPr>
        <w:spacing w:line="2230" w:lineRule="exact"/>
        <w:ind w:left="1818" w:right="0" w:firstLine="0"/>
        <w:rPr>
          <w:rFonts w:ascii="宋体" w:hAnsi="宋体" w:cs="宋体" w:eastAsia="宋体" w:hint="default"/>
          <w:sz w:val="20"/>
          <w:szCs w:val="20"/>
        </w:rPr>
      </w:pPr>
      <w:r>
        <w:rPr>
          <w:rFonts w:ascii="宋体" w:hAnsi="宋体" w:cs="宋体" w:eastAsia="宋体" w:hint="default"/>
          <w:position w:val="-44"/>
          <w:sz w:val="20"/>
          <w:szCs w:val="20"/>
        </w:rPr>
        <w:drawing>
          <wp:inline distT="0" distB="0" distL="0" distR="0">
            <wp:extent cx="4009535" cy="1416177"/>
            <wp:effectExtent l="0" t="0" r="0" b="0"/>
            <wp:docPr id="57" name="image32.png" descr=""/>
            <wp:cNvGraphicFramePr>
              <a:graphicFrameLocks noChangeAspect="1"/>
            </wp:cNvGraphicFramePr>
            <a:graphic>
              <a:graphicData uri="http://schemas.openxmlformats.org/drawingml/2006/picture">
                <pic:pic>
                  <pic:nvPicPr>
                    <pic:cNvPr id="58" name="image32.png"/>
                    <pic:cNvPicPr/>
                  </pic:nvPicPr>
                  <pic:blipFill>
                    <a:blip r:embed="rId42" cstate="print"/>
                    <a:stretch>
                      <a:fillRect/>
                    </a:stretch>
                  </pic:blipFill>
                  <pic:spPr>
                    <a:xfrm>
                      <a:off x="0" y="0"/>
                      <a:ext cx="4009535" cy="1416177"/>
                    </a:xfrm>
                    <a:prstGeom prst="rect">
                      <a:avLst/>
                    </a:prstGeom>
                  </pic:spPr>
                </pic:pic>
              </a:graphicData>
            </a:graphic>
          </wp:inline>
        </w:drawing>
      </w:r>
      <w:r>
        <w:rPr>
          <w:rFonts w:ascii="宋体" w:hAnsi="宋体" w:cs="宋体" w:eastAsia="宋体" w:hint="default"/>
          <w:position w:val="-44"/>
          <w:sz w:val="20"/>
          <w:szCs w:val="20"/>
        </w:rPr>
      </w:r>
    </w:p>
    <w:p>
      <w:pPr>
        <w:spacing w:line="319" w:lineRule="auto" w:before="145"/>
        <w:ind w:left="513" w:right="0" w:firstLine="0"/>
        <w:jc w:val="left"/>
        <w:rPr>
          <w:rFonts w:ascii="宋体" w:hAnsi="宋体" w:cs="宋体" w:eastAsia="宋体" w:hint="default"/>
          <w:sz w:val="18"/>
          <w:szCs w:val="18"/>
        </w:rPr>
      </w:pPr>
      <w:r>
        <w:rPr>
          <w:rFonts w:ascii="宋体" w:hAnsi="宋体" w:cs="宋体" w:eastAsia="宋体" w:hint="default"/>
          <w:b/>
          <w:bCs/>
          <w:sz w:val="18"/>
          <w:szCs w:val="18"/>
        </w:rPr>
        <w:t>（</w:t>
      </w:r>
      <w:r>
        <w:rPr>
          <w:rFonts w:ascii="宋体" w:hAnsi="宋体" w:cs="宋体" w:eastAsia="宋体" w:hint="default"/>
          <w:b/>
          <w:bCs/>
          <w:sz w:val="18"/>
          <w:szCs w:val="18"/>
        </w:rPr>
        <w:t>3</w:t>
      </w:r>
      <w:r>
        <w:rPr>
          <w:rFonts w:ascii="宋体" w:hAnsi="宋体" w:cs="宋体" w:eastAsia="宋体" w:hint="default"/>
          <w:b/>
          <w:bCs/>
          <w:sz w:val="18"/>
          <w:szCs w:val="18"/>
        </w:rPr>
        <w:t>）赋能型管理平台初显成效</w:t>
      </w:r>
      <w:r>
        <w:rPr>
          <w:rFonts w:ascii="宋体" w:hAnsi="宋体" w:cs="宋体" w:eastAsia="宋体" w:hint="default"/>
          <w:b/>
          <w:bCs/>
          <w:spacing w:val="-89"/>
          <w:sz w:val="18"/>
          <w:szCs w:val="18"/>
        </w:rPr>
        <w:t> </w:t>
      </w:r>
      <w:r>
        <w:rPr>
          <w:rFonts w:ascii="宋体" w:hAnsi="宋体" w:cs="宋体" w:eastAsia="宋体" w:hint="default"/>
          <w:b/>
          <w:bCs/>
          <w:spacing w:val="-89"/>
          <w:sz w:val="18"/>
          <w:szCs w:val="18"/>
        </w:rPr>
      </w:r>
      <w:r>
        <w:rPr>
          <w:rFonts w:ascii="宋体" w:hAnsi="宋体" w:cs="宋体" w:eastAsia="宋体" w:hint="default"/>
          <w:spacing w:val="-5"/>
          <w:sz w:val="18"/>
          <w:szCs w:val="18"/>
        </w:rPr>
        <w:t>公司已初步搭建了赋能型管理平台，分别从人才发展、资金及财务筹划、核心技术、重大项目、资质和品牌、空间、投</w:t>
      </w:r>
    </w:p>
    <w:p>
      <w:pPr>
        <w:pStyle w:val="BodyText"/>
        <w:spacing w:line="316" w:lineRule="auto" w:before="17"/>
        <w:ind w:right="1122"/>
        <w:jc w:val="both"/>
      </w:pPr>
      <w:r>
        <w:rPr>
          <w:spacing w:val="-4"/>
        </w:rPr>
        <w:t>资及战略宣贯、信息化、采购管理、企业文化及法律事务等</w:t>
      </w:r>
      <w:r>
        <w:rPr>
          <w:rFonts w:ascii="宋体" w:hAnsi="宋体" w:cs="宋体" w:eastAsia="宋体" w:hint="default"/>
          <w:spacing w:val="-4"/>
        </w:rPr>
        <w:t>11</w:t>
      </w:r>
      <w:r>
        <w:rPr>
          <w:spacing w:val="-4"/>
        </w:rPr>
        <w:t>个方面，提升公司资源聚集能力，促进各业务单位之间的相互</w:t>
      </w:r>
      <w:r>
        <w:rPr>
          <w:spacing w:val="45"/>
        </w:rPr>
        <w:t> </w:t>
      </w:r>
      <w:r>
        <w:rPr>
          <w:spacing w:val="45"/>
        </w:rPr>
      </w:r>
      <w:r>
        <w:rPr>
          <w:spacing w:val="-4"/>
        </w:rPr>
        <w:t>协同及融合，交叉赋能。报告期内，公司战略协同达到新的高度，事业群内部业务协同金额创历史新高，职能部门资源获取</w:t>
      </w:r>
      <w:r>
        <w:rPr>
          <w:spacing w:val="40"/>
        </w:rPr>
        <w:t> </w:t>
      </w:r>
      <w:r>
        <w:rPr>
          <w:spacing w:val="40"/>
        </w:rPr>
      </w:r>
      <w:r>
        <w:rPr>
          <w:spacing w:val="-3"/>
        </w:rPr>
        <w:t>能力明显提升。</w:t>
      </w:r>
    </w:p>
    <w:p>
      <w:pPr>
        <w:spacing w:line="240" w:lineRule="auto" w:before="12"/>
        <w:rPr>
          <w:rFonts w:ascii="宋体" w:hAnsi="宋体" w:cs="宋体" w:eastAsia="宋体" w:hint="default"/>
          <w:sz w:val="6"/>
          <w:szCs w:val="6"/>
        </w:rPr>
      </w:pPr>
    </w:p>
    <w:p>
      <w:pPr>
        <w:spacing w:line="3254" w:lineRule="exact"/>
        <w:ind w:left="2433" w:right="0" w:firstLine="0"/>
        <w:rPr>
          <w:rFonts w:ascii="宋体" w:hAnsi="宋体" w:cs="宋体" w:eastAsia="宋体" w:hint="default"/>
          <w:sz w:val="20"/>
          <w:szCs w:val="20"/>
        </w:rPr>
      </w:pPr>
      <w:r>
        <w:rPr>
          <w:rFonts w:ascii="宋体" w:hAnsi="宋体" w:cs="宋体" w:eastAsia="宋体" w:hint="default"/>
          <w:position w:val="-64"/>
          <w:sz w:val="20"/>
          <w:szCs w:val="20"/>
        </w:rPr>
        <w:drawing>
          <wp:inline distT="0" distB="0" distL="0" distR="0">
            <wp:extent cx="3444028" cy="2066544"/>
            <wp:effectExtent l="0" t="0" r="0" b="0"/>
            <wp:docPr id="59" name="image33.png" descr=""/>
            <wp:cNvGraphicFramePr>
              <a:graphicFrameLocks noChangeAspect="1"/>
            </wp:cNvGraphicFramePr>
            <a:graphic>
              <a:graphicData uri="http://schemas.openxmlformats.org/drawingml/2006/picture">
                <pic:pic>
                  <pic:nvPicPr>
                    <pic:cNvPr id="60" name="image33.png"/>
                    <pic:cNvPicPr/>
                  </pic:nvPicPr>
                  <pic:blipFill>
                    <a:blip r:embed="rId43" cstate="print"/>
                    <a:stretch>
                      <a:fillRect/>
                    </a:stretch>
                  </pic:blipFill>
                  <pic:spPr>
                    <a:xfrm>
                      <a:off x="0" y="0"/>
                      <a:ext cx="3444028" cy="2066544"/>
                    </a:xfrm>
                    <a:prstGeom prst="rect">
                      <a:avLst/>
                    </a:prstGeom>
                  </pic:spPr>
                </pic:pic>
              </a:graphicData>
            </a:graphic>
          </wp:inline>
        </w:drawing>
      </w:r>
      <w:r>
        <w:rPr>
          <w:rFonts w:ascii="宋体" w:hAnsi="宋体" w:cs="宋体" w:eastAsia="宋体" w:hint="default"/>
          <w:position w:val="-64"/>
          <w:sz w:val="20"/>
          <w:szCs w:val="20"/>
        </w:rPr>
      </w:r>
    </w:p>
    <w:p>
      <w:pPr>
        <w:spacing w:after="0" w:line="3254" w:lineRule="exact"/>
        <w:rPr>
          <w:rFonts w:ascii="宋体" w:hAnsi="宋体" w:cs="宋体" w:eastAsia="宋体" w:hint="default"/>
          <w:sz w:val="20"/>
          <w:szCs w:val="20"/>
        </w:rPr>
        <w:sectPr>
          <w:pgSz w:w="11910" w:h="16840"/>
          <w:pgMar w:header="784" w:footer="1022" w:top="1100" w:bottom="1220" w:left="980" w:right="0"/>
        </w:sectPr>
      </w:pPr>
    </w:p>
    <w:p>
      <w:pPr>
        <w:spacing w:line="240" w:lineRule="auto" w:before="10"/>
        <w:rPr>
          <w:rFonts w:ascii="宋体" w:hAnsi="宋体" w:cs="宋体" w:eastAsia="宋体" w:hint="default"/>
          <w:sz w:val="22"/>
          <w:szCs w:val="22"/>
        </w:rPr>
      </w:pPr>
    </w:p>
    <w:p>
      <w:pPr>
        <w:spacing w:line="316" w:lineRule="auto" w:before="46"/>
        <w:ind w:left="513" w:right="0" w:firstLine="0"/>
        <w:jc w:val="left"/>
        <w:rPr>
          <w:rFonts w:ascii="宋体" w:hAnsi="宋体" w:cs="宋体" w:eastAsia="宋体" w:hint="default"/>
          <w:sz w:val="18"/>
          <w:szCs w:val="18"/>
        </w:rPr>
      </w:pPr>
      <w:r>
        <w:rPr>
          <w:rFonts w:ascii="宋体" w:hAnsi="宋体" w:cs="宋体" w:eastAsia="宋体" w:hint="default"/>
          <w:b/>
          <w:bCs/>
          <w:sz w:val="18"/>
          <w:szCs w:val="18"/>
        </w:rPr>
        <w:t>（</w:t>
      </w:r>
      <w:r>
        <w:rPr>
          <w:rFonts w:ascii="宋体" w:hAnsi="宋体" w:cs="宋体" w:eastAsia="宋体" w:hint="default"/>
          <w:b/>
          <w:bCs/>
          <w:sz w:val="18"/>
          <w:szCs w:val="18"/>
        </w:rPr>
        <w:t>4</w:t>
      </w:r>
      <w:r>
        <w:rPr>
          <w:rFonts w:ascii="宋体" w:hAnsi="宋体" w:cs="宋体" w:eastAsia="宋体" w:hint="default"/>
          <w:b/>
          <w:bCs/>
          <w:sz w:val="18"/>
          <w:szCs w:val="18"/>
        </w:rPr>
        <w:t>）优化业务结构，提升盈利能力</w:t>
      </w:r>
      <w:r>
        <w:rPr>
          <w:rFonts w:ascii="宋体" w:hAnsi="宋体" w:cs="宋体" w:eastAsia="宋体" w:hint="default"/>
          <w:b/>
          <w:bCs/>
          <w:spacing w:val="-85"/>
          <w:sz w:val="18"/>
          <w:szCs w:val="18"/>
        </w:rPr>
        <w:t> </w:t>
      </w:r>
      <w:r>
        <w:rPr>
          <w:rFonts w:ascii="宋体" w:hAnsi="宋体" w:cs="宋体" w:eastAsia="宋体" w:hint="default"/>
          <w:b/>
          <w:bCs/>
          <w:spacing w:val="-85"/>
          <w:sz w:val="18"/>
          <w:szCs w:val="18"/>
        </w:rPr>
      </w:r>
      <w:r>
        <w:rPr>
          <w:rFonts w:ascii="宋体" w:hAnsi="宋体" w:cs="宋体" w:eastAsia="宋体" w:hint="default"/>
          <w:spacing w:val="-3"/>
          <w:sz w:val="18"/>
          <w:szCs w:val="18"/>
        </w:rPr>
        <w:t>报告期内，公司加强业务结构优化，三大业务板块的营收占比趋于均衡，金融科技业务及</w:t>
      </w:r>
      <w:r>
        <w:rPr>
          <w:rFonts w:ascii="宋体" w:hAnsi="宋体" w:cs="宋体" w:eastAsia="宋体" w:hint="default"/>
          <w:spacing w:val="-3"/>
          <w:sz w:val="18"/>
          <w:szCs w:val="18"/>
        </w:rPr>
        <w:t>LED</w:t>
      </w:r>
      <w:r>
        <w:rPr>
          <w:rFonts w:ascii="宋体" w:hAnsi="宋体" w:cs="宋体" w:eastAsia="宋体" w:hint="default"/>
          <w:spacing w:val="-3"/>
          <w:sz w:val="18"/>
          <w:szCs w:val="18"/>
        </w:rPr>
        <w:t>显示业务营收占比上升，</w:t>
      </w:r>
    </w:p>
    <w:p>
      <w:pPr>
        <w:pStyle w:val="BodyText"/>
        <w:spacing w:line="240" w:lineRule="auto" w:before="19"/>
        <w:ind w:right="0"/>
        <w:jc w:val="left"/>
      </w:pPr>
      <w:r>
        <w:rPr/>
        <w:pict>
          <v:group style="position:absolute;margin-left:82.704002pt;margin-top:16.021692pt;width:430.25pt;height:1.2pt;mso-position-horizontal-relative:page;mso-position-vertical-relative:paragraph;z-index:-1079032" coordorigin="1654,320" coordsize="8605,24">
            <v:group style="position:absolute;left:1661;top:340;width:2858;height:2" coordorigin="1661,340" coordsize="2858,2">
              <v:shape style="position:absolute;left:1661;top:340;width:2858;height:2" coordorigin="1661,340" coordsize="2858,0" path="m1661,340l4519,340e" filled="false" stroked="true" strokeweight=".48pt" strokecolor="#1b24ab">
                <v:path arrowok="t"/>
              </v:shape>
            </v:group>
            <v:group style="position:absolute;left:4528;top:340;width:2857;height:2" coordorigin="4528,340" coordsize="2857,2">
              <v:shape style="position:absolute;left:4528;top:340;width:2857;height:2" coordorigin="4528,340" coordsize="2857,0" path="m4528,340l7385,340e" filled="false" stroked="true" strokeweight=".48pt" strokecolor="#1b24ab">
                <v:path arrowok="t"/>
              </v:shape>
            </v:group>
            <v:group style="position:absolute;left:7395;top:340;width:2857;height:2" coordorigin="7395,340" coordsize="2857,2">
              <v:shape style="position:absolute;left:7395;top:340;width:2857;height:2" coordorigin="7395,340" coordsize="2857,0" path="m7395,340l10252,340e" filled="false" stroked="true" strokeweight=".48pt" strokecolor="#1b24ab">
                <v:path arrowok="t"/>
              </v:shape>
            </v:group>
            <v:group style="position:absolute;left:1661;top:328;width:2848;height:2" coordorigin="1661,328" coordsize="2848,2">
              <v:shape style="position:absolute;left:1661;top:328;width:2848;height:2" coordorigin="1661,328" coordsize="2848,0" path="m1661,328l4509,328e" filled="false" stroked="true" strokeweight=".72pt" strokecolor="#000000">
                <v:path arrowok="t"/>
              </v:shape>
            </v:group>
            <v:group style="position:absolute;left:1661;top:340;width:2848;height:2" coordorigin="1661,340" coordsize="2848,2">
              <v:shape style="position:absolute;left:1661;top:340;width:2848;height:2" coordorigin="1661,340" coordsize="2848,0" path="m1661,340l4509,340e" filled="false" stroked="true" strokeweight=".48pt" strokecolor="#1b24ab">
                <v:path arrowok="t"/>
              </v:shape>
            </v:group>
            <v:group style="position:absolute;left:4524;top:328;width:2853;height:2" coordorigin="4524,328" coordsize="2853,2">
              <v:shape style="position:absolute;left:4524;top:328;width:2853;height:2" coordorigin="4524,328" coordsize="2853,0" path="m4524,328l7376,328e" filled="false" stroked="true" strokeweight=".72pt" strokecolor="#000000">
                <v:path arrowok="t"/>
              </v:shape>
            </v:group>
            <v:group style="position:absolute;left:4524;top:340;width:2853;height:2" coordorigin="4524,340" coordsize="2853,2">
              <v:shape style="position:absolute;left:4524;top:340;width:2853;height:2" coordorigin="4524,340" coordsize="2853,0" path="m4524,340l7376,340e" filled="false" stroked="true" strokeweight=".48pt" strokecolor="#1b24ab">
                <v:path arrowok="t"/>
              </v:shape>
            </v:group>
            <v:group style="position:absolute;left:7390;top:328;width:2862;height:2" coordorigin="7390,328" coordsize="2862,2">
              <v:shape style="position:absolute;left:7390;top:328;width:2862;height:2" coordorigin="7390,328" coordsize="2862,0" path="m7390,328l10252,328e" filled="false" stroked="true" strokeweight=".72pt" strokecolor="#000000">
                <v:path arrowok="t"/>
              </v:shape>
            </v:group>
            <v:group style="position:absolute;left:7390;top:340;width:2862;height:2" coordorigin="7390,340" coordsize="2862,2">
              <v:shape style="position:absolute;left:7390;top:340;width:2862;height:2" coordorigin="7390,340" coordsize="2862,0" path="m7390,340l10252,340e" filled="false" stroked="true" strokeweight=".48pt" strokecolor="#1b24ab">
                <v:path arrowok="t"/>
              </v:shape>
            </v:group>
            <w10:wrap type="none"/>
          </v:group>
        </w:pict>
      </w:r>
      <w:r>
        <w:rPr>
          <w:spacing w:val="-3"/>
        </w:rPr>
        <w:t>智慧照明业务营收占比大幅下降；公司综合毛利率大幅上升，整体盈利能力得到显著提升。</w:t>
      </w:r>
    </w:p>
    <w:p>
      <w:pPr>
        <w:spacing w:line="240" w:lineRule="auto" w:before="12"/>
        <w:rPr>
          <w:rFonts w:ascii="宋体" w:hAnsi="宋体" w:cs="宋体" w:eastAsia="宋体" w:hint="default"/>
          <w:sz w:val="5"/>
          <w:szCs w:val="5"/>
        </w:rPr>
      </w:pPr>
    </w:p>
    <w:tbl>
      <w:tblPr>
        <w:tblW w:w="0" w:type="auto"/>
        <w:jc w:val="left"/>
        <w:tblInd w:w="659" w:type="dxa"/>
        <w:tblLayout w:type="fixed"/>
        <w:tblCellMar>
          <w:top w:w="0" w:type="dxa"/>
          <w:left w:w="0" w:type="dxa"/>
          <w:bottom w:w="0" w:type="dxa"/>
          <w:right w:w="0" w:type="dxa"/>
        </w:tblCellMar>
        <w:tblLook w:val="01E0"/>
      </w:tblPr>
      <w:tblGrid>
        <w:gridCol w:w="2862"/>
        <w:gridCol w:w="2866"/>
        <w:gridCol w:w="2869"/>
      </w:tblGrid>
      <w:tr>
        <w:trPr>
          <w:trHeight w:val="334" w:hRule="exact"/>
        </w:trPr>
        <w:tc>
          <w:tcPr>
            <w:tcW w:w="2862" w:type="dxa"/>
            <w:tcBorders>
              <w:top w:val="nil" w:sz="6" w:space="0" w:color="auto"/>
              <w:left w:val="nil" w:sz="6" w:space="0" w:color="auto"/>
              <w:bottom w:val="nil" w:sz="6" w:space="0" w:color="auto"/>
              <w:right w:val="single" w:sz="6" w:space="0" w:color="000000"/>
            </w:tcBorders>
            <w:shd w:val="clear" w:color="auto" w:fill="1B24AB"/>
          </w:tcPr>
          <w:p>
            <w:pPr>
              <w:pStyle w:val="TableParagraph"/>
              <w:spacing w:line="240" w:lineRule="auto" w:before="11"/>
              <w:ind w:left="6" w:right="0"/>
              <w:jc w:val="center"/>
              <w:rPr>
                <w:rFonts w:ascii="宋体" w:hAnsi="宋体" w:cs="宋体" w:eastAsia="宋体" w:hint="default"/>
                <w:sz w:val="18"/>
                <w:szCs w:val="18"/>
              </w:rPr>
            </w:pPr>
            <w:r>
              <w:rPr>
                <w:rFonts w:ascii="宋体" w:hAnsi="宋体" w:cs="宋体" w:eastAsia="宋体" w:hint="default"/>
                <w:b/>
                <w:bCs/>
                <w:color w:val="FFFFFF"/>
                <w:sz w:val="18"/>
                <w:szCs w:val="18"/>
              </w:rPr>
              <w:t>业务</w:t>
            </w:r>
            <w:r>
              <w:rPr>
                <w:rFonts w:ascii="宋体" w:hAnsi="宋体" w:cs="宋体" w:eastAsia="宋体" w:hint="default"/>
                <w:sz w:val="18"/>
                <w:szCs w:val="18"/>
              </w:rPr>
            </w:r>
          </w:p>
        </w:tc>
        <w:tc>
          <w:tcPr>
            <w:tcW w:w="2866" w:type="dxa"/>
            <w:tcBorders>
              <w:top w:val="nil" w:sz="6" w:space="0" w:color="auto"/>
              <w:left w:val="single" w:sz="6" w:space="0" w:color="000000"/>
              <w:bottom w:val="nil" w:sz="6" w:space="0" w:color="auto"/>
              <w:right w:val="single" w:sz="6" w:space="0" w:color="000000"/>
            </w:tcBorders>
            <w:shd w:val="clear" w:color="auto" w:fill="1B24AB"/>
          </w:tcPr>
          <w:p>
            <w:pPr>
              <w:pStyle w:val="TableParagraph"/>
              <w:spacing w:line="240" w:lineRule="auto" w:before="11"/>
              <w:ind w:left="14" w:right="0"/>
              <w:jc w:val="center"/>
              <w:rPr>
                <w:rFonts w:ascii="宋体" w:hAnsi="宋体" w:cs="宋体" w:eastAsia="宋体" w:hint="default"/>
                <w:sz w:val="18"/>
                <w:szCs w:val="18"/>
              </w:rPr>
            </w:pPr>
            <w:r>
              <w:rPr>
                <w:rFonts w:ascii="宋体" w:hAnsi="宋体" w:cs="宋体" w:eastAsia="宋体" w:hint="default"/>
                <w:b/>
                <w:bCs/>
                <w:color w:val="FFFFFF"/>
                <w:sz w:val="18"/>
                <w:szCs w:val="18"/>
              </w:rPr>
              <w:t>2018</w:t>
            </w:r>
            <w:r>
              <w:rPr>
                <w:rFonts w:ascii="宋体" w:hAnsi="宋体" w:cs="宋体" w:eastAsia="宋体" w:hint="default"/>
                <w:b/>
                <w:bCs/>
                <w:color w:val="FFFFFF"/>
                <w:sz w:val="18"/>
                <w:szCs w:val="18"/>
              </w:rPr>
              <w:t>年营收占比</w:t>
            </w:r>
            <w:r>
              <w:rPr>
                <w:rFonts w:ascii="宋体" w:hAnsi="宋体" w:cs="宋体" w:eastAsia="宋体" w:hint="default"/>
                <w:sz w:val="18"/>
                <w:szCs w:val="18"/>
              </w:rPr>
            </w:r>
          </w:p>
        </w:tc>
        <w:tc>
          <w:tcPr>
            <w:tcW w:w="2869" w:type="dxa"/>
            <w:tcBorders>
              <w:top w:val="nil" w:sz="6" w:space="0" w:color="auto"/>
              <w:left w:val="single" w:sz="6" w:space="0" w:color="000000"/>
              <w:bottom w:val="nil" w:sz="6" w:space="0" w:color="auto"/>
              <w:right w:val="nil" w:sz="6" w:space="0" w:color="auto"/>
            </w:tcBorders>
            <w:shd w:val="clear" w:color="auto" w:fill="1B24AB"/>
          </w:tcPr>
          <w:p>
            <w:pPr>
              <w:pStyle w:val="TableParagraph"/>
              <w:spacing w:line="240" w:lineRule="auto" w:before="11"/>
              <w:ind w:right="3"/>
              <w:jc w:val="center"/>
              <w:rPr>
                <w:rFonts w:ascii="宋体" w:hAnsi="宋体" w:cs="宋体" w:eastAsia="宋体" w:hint="default"/>
                <w:sz w:val="18"/>
                <w:szCs w:val="18"/>
              </w:rPr>
            </w:pPr>
            <w:r>
              <w:rPr>
                <w:rFonts w:ascii="宋体" w:hAnsi="宋体" w:cs="宋体" w:eastAsia="宋体" w:hint="default"/>
                <w:b/>
                <w:bCs/>
                <w:color w:val="FFFFFF"/>
                <w:sz w:val="18"/>
                <w:szCs w:val="18"/>
              </w:rPr>
              <w:t>2019</w:t>
            </w:r>
            <w:r>
              <w:rPr>
                <w:rFonts w:ascii="宋体" w:hAnsi="宋体" w:cs="宋体" w:eastAsia="宋体" w:hint="default"/>
                <w:b/>
                <w:bCs/>
                <w:color w:val="FFFFFF"/>
                <w:sz w:val="18"/>
                <w:szCs w:val="18"/>
              </w:rPr>
              <w:t>年营收占比</w:t>
            </w:r>
            <w:r>
              <w:rPr>
                <w:rFonts w:ascii="宋体" w:hAnsi="宋体" w:cs="宋体" w:eastAsia="宋体" w:hint="default"/>
                <w:sz w:val="18"/>
                <w:szCs w:val="18"/>
              </w:rPr>
            </w:r>
          </w:p>
        </w:tc>
      </w:tr>
      <w:tr>
        <w:trPr>
          <w:trHeight w:val="338" w:hRule="exact"/>
        </w:trPr>
        <w:tc>
          <w:tcPr>
            <w:tcW w:w="2862" w:type="dxa"/>
            <w:tcBorders>
              <w:top w:val="nil" w:sz="6" w:space="0" w:color="auto"/>
              <w:left w:val="nil" w:sz="6" w:space="0" w:color="auto"/>
              <w:bottom w:val="single" w:sz="6" w:space="0" w:color="000000"/>
              <w:right w:val="single" w:sz="6" w:space="0" w:color="000000"/>
            </w:tcBorders>
          </w:tcPr>
          <w:p>
            <w:pPr>
              <w:pStyle w:val="TableParagraph"/>
              <w:spacing w:line="240" w:lineRule="auto" w:before="20"/>
              <w:ind w:left="16" w:right="0"/>
              <w:jc w:val="center"/>
              <w:rPr>
                <w:rFonts w:ascii="宋体" w:hAnsi="宋体" w:cs="宋体" w:eastAsia="宋体" w:hint="default"/>
                <w:sz w:val="18"/>
                <w:szCs w:val="18"/>
              </w:rPr>
            </w:pPr>
            <w:r>
              <w:rPr>
                <w:rFonts w:ascii="宋体" w:hAnsi="宋体" w:cs="宋体" w:eastAsia="宋体" w:hint="default"/>
                <w:b/>
                <w:bCs/>
                <w:sz w:val="18"/>
                <w:szCs w:val="18"/>
              </w:rPr>
              <w:t>金融科技业务</w:t>
            </w:r>
            <w:r>
              <w:rPr>
                <w:rFonts w:ascii="宋体" w:hAnsi="宋体" w:cs="宋体" w:eastAsia="宋体" w:hint="default"/>
                <w:sz w:val="18"/>
                <w:szCs w:val="18"/>
              </w:rPr>
            </w:r>
          </w:p>
        </w:tc>
        <w:tc>
          <w:tcPr>
            <w:tcW w:w="2866"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20"/>
              <w:ind w:left="14" w:right="0"/>
              <w:jc w:val="center"/>
              <w:rPr>
                <w:rFonts w:ascii="宋体" w:hAnsi="宋体" w:cs="宋体" w:eastAsia="宋体" w:hint="default"/>
                <w:sz w:val="18"/>
                <w:szCs w:val="18"/>
              </w:rPr>
            </w:pPr>
            <w:r>
              <w:rPr>
                <w:rFonts w:ascii="宋体"/>
                <w:sz w:val="18"/>
              </w:rPr>
              <w:t>18.58%</w:t>
            </w:r>
          </w:p>
        </w:tc>
        <w:tc>
          <w:tcPr>
            <w:tcW w:w="2869" w:type="dxa"/>
            <w:tcBorders>
              <w:top w:val="nil" w:sz="6" w:space="0" w:color="auto"/>
              <w:left w:val="single" w:sz="6" w:space="0" w:color="000000"/>
              <w:bottom w:val="single" w:sz="6" w:space="0" w:color="000000"/>
              <w:right w:val="nil" w:sz="6" w:space="0" w:color="auto"/>
            </w:tcBorders>
          </w:tcPr>
          <w:p>
            <w:pPr>
              <w:pStyle w:val="TableParagraph"/>
              <w:spacing w:line="240" w:lineRule="auto" w:before="20"/>
              <w:ind w:right="2"/>
              <w:jc w:val="center"/>
              <w:rPr>
                <w:rFonts w:ascii="宋体" w:hAnsi="宋体" w:cs="宋体" w:eastAsia="宋体" w:hint="default"/>
                <w:sz w:val="18"/>
                <w:szCs w:val="18"/>
              </w:rPr>
            </w:pPr>
            <w:r>
              <w:rPr>
                <w:rFonts w:ascii="宋体"/>
                <w:sz w:val="18"/>
              </w:rPr>
              <w:t>30.89%</w:t>
            </w:r>
          </w:p>
        </w:tc>
      </w:tr>
      <w:tr>
        <w:trPr>
          <w:trHeight w:val="350" w:hRule="exact"/>
        </w:trPr>
        <w:tc>
          <w:tcPr>
            <w:tcW w:w="2862"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25"/>
              <w:ind w:left="11" w:right="0"/>
              <w:jc w:val="center"/>
              <w:rPr>
                <w:rFonts w:ascii="宋体" w:hAnsi="宋体" w:cs="宋体" w:eastAsia="宋体" w:hint="default"/>
                <w:sz w:val="18"/>
                <w:szCs w:val="18"/>
              </w:rPr>
            </w:pPr>
            <w:r>
              <w:rPr>
                <w:rFonts w:ascii="宋体" w:hAnsi="宋体" w:cs="宋体" w:eastAsia="宋体" w:hint="default"/>
                <w:b/>
                <w:bCs/>
                <w:sz w:val="18"/>
                <w:szCs w:val="18"/>
              </w:rPr>
              <w:t>LED</w:t>
            </w:r>
            <w:r>
              <w:rPr>
                <w:rFonts w:ascii="宋体" w:hAnsi="宋体" w:cs="宋体" w:eastAsia="宋体" w:hint="default"/>
                <w:b/>
                <w:bCs/>
                <w:sz w:val="18"/>
                <w:szCs w:val="18"/>
              </w:rPr>
              <w:t>显示业务</w:t>
            </w:r>
            <w:r>
              <w:rPr>
                <w:rFonts w:ascii="宋体" w:hAnsi="宋体" w:cs="宋体" w:eastAsia="宋体" w:hint="default"/>
                <w:sz w:val="18"/>
                <w:szCs w:val="18"/>
              </w:rPr>
            </w:r>
          </w:p>
        </w:tc>
        <w:tc>
          <w:tcPr>
            <w:tcW w:w="28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5"/>
              <w:ind w:left="14" w:right="0"/>
              <w:jc w:val="center"/>
              <w:rPr>
                <w:rFonts w:ascii="宋体" w:hAnsi="宋体" w:cs="宋体" w:eastAsia="宋体" w:hint="default"/>
                <w:sz w:val="18"/>
                <w:szCs w:val="18"/>
              </w:rPr>
            </w:pPr>
            <w:r>
              <w:rPr>
                <w:rFonts w:ascii="宋体"/>
                <w:sz w:val="18"/>
              </w:rPr>
              <w:t>20.84%</w:t>
            </w:r>
          </w:p>
        </w:tc>
        <w:tc>
          <w:tcPr>
            <w:tcW w:w="2869"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25"/>
              <w:ind w:right="2"/>
              <w:jc w:val="center"/>
              <w:rPr>
                <w:rFonts w:ascii="宋体" w:hAnsi="宋体" w:cs="宋体" w:eastAsia="宋体" w:hint="default"/>
                <w:sz w:val="18"/>
                <w:szCs w:val="18"/>
              </w:rPr>
            </w:pPr>
            <w:r>
              <w:rPr>
                <w:rFonts w:ascii="宋体"/>
                <w:sz w:val="18"/>
              </w:rPr>
              <w:t>32.49%</w:t>
            </w:r>
          </w:p>
        </w:tc>
      </w:tr>
      <w:tr>
        <w:trPr>
          <w:trHeight w:val="353" w:hRule="exact"/>
        </w:trPr>
        <w:tc>
          <w:tcPr>
            <w:tcW w:w="2862" w:type="dxa"/>
            <w:tcBorders>
              <w:top w:val="single" w:sz="6" w:space="0" w:color="000000"/>
              <w:left w:val="nil" w:sz="6" w:space="0" w:color="auto"/>
              <w:bottom w:val="single" w:sz="12" w:space="0" w:color="000000"/>
              <w:right w:val="single" w:sz="6" w:space="0" w:color="000000"/>
            </w:tcBorders>
          </w:tcPr>
          <w:p>
            <w:pPr>
              <w:pStyle w:val="TableParagraph"/>
              <w:spacing w:line="240" w:lineRule="auto" w:before="20"/>
              <w:ind w:left="16" w:right="0"/>
              <w:jc w:val="center"/>
              <w:rPr>
                <w:rFonts w:ascii="宋体" w:hAnsi="宋体" w:cs="宋体" w:eastAsia="宋体" w:hint="default"/>
                <w:sz w:val="18"/>
                <w:szCs w:val="18"/>
              </w:rPr>
            </w:pPr>
            <w:r>
              <w:rPr>
                <w:rFonts w:ascii="宋体" w:hAnsi="宋体" w:cs="宋体" w:eastAsia="宋体" w:hint="default"/>
                <w:b/>
                <w:bCs/>
                <w:sz w:val="18"/>
                <w:szCs w:val="18"/>
              </w:rPr>
              <w:t>智慧照明业务</w:t>
            </w:r>
            <w:r>
              <w:rPr>
                <w:rFonts w:ascii="宋体" w:hAnsi="宋体" w:cs="宋体" w:eastAsia="宋体" w:hint="default"/>
                <w:sz w:val="18"/>
                <w:szCs w:val="18"/>
              </w:rPr>
            </w:r>
          </w:p>
        </w:tc>
        <w:tc>
          <w:tcPr>
            <w:tcW w:w="286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0"/>
              <w:ind w:left="14" w:right="0"/>
              <w:jc w:val="center"/>
              <w:rPr>
                <w:rFonts w:ascii="宋体" w:hAnsi="宋体" w:cs="宋体" w:eastAsia="宋体" w:hint="default"/>
                <w:sz w:val="18"/>
                <w:szCs w:val="18"/>
              </w:rPr>
            </w:pPr>
            <w:r>
              <w:rPr>
                <w:rFonts w:ascii="宋体"/>
                <w:sz w:val="18"/>
              </w:rPr>
              <w:t>60.58%</w:t>
            </w:r>
          </w:p>
        </w:tc>
        <w:tc>
          <w:tcPr>
            <w:tcW w:w="2869" w:type="dxa"/>
            <w:tcBorders>
              <w:top w:val="single" w:sz="6" w:space="0" w:color="000000"/>
              <w:left w:val="single" w:sz="6" w:space="0" w:color="000000"/>
              <w:bottom w:val="single" w:sz="12" w:space="0" w:color="000000"/>
              <w:right w:val="nil" w:sz="6" w:space="0" w:color="auto"/>
            </w:tcBorders>
          </w:tcPr>
          <w:p>
            <w:pPr>
              <w:pStyle w:val="TableParagraph"/>
              <w:spacing w:line="240" w:lineRule="auto" w:before="20"/>
              <w:ind w:right="2"/>
              <w:jc w:val="center"/>
              <w:rPr>
                <w:rFonts w:ascii="宋体" w:hAnsi="宋体" w:cs="宋体" w:eastAsia="宋体" w:hint="default"/>
                <w:sz w:val="18"/>
                <w:szCs w:val="18"/>
              </w:rPr>
            </w:pPr>
            <w:r>
              <w:rPr>
                <w:rFonts w:ascii="宋体"/>
                <w:sz w:val="18"/>
              </w:rPr>
              <w:t>36.61%</w:t>
            </w:r>
          </w:p>
        </w:tc>
      </w:tr>
    </w:tbl>
    <w:p>
      <w:pPr>
        <w:spacing w:line="240" w:lineRule="auto" w:before="11"/>
        <w:rPr>
          <w:rFonts w:ascii="宋体" w:hAnsi="宋体" w:cs="宋体" w:eastAsia="宋体" w:hint="default"/>
          <w:sz w:val="23"/>
          <w:szCs w:val="23"/>
        </w:rPr>
      </w:pPr>
    </w:p>
    <w:tbl>
      <w:tblPr>
        <w:tblW w:w="0" w:type="auto"/>
        <w:jc w:val="left"/>
        <w:tblInd w:w="650" w:type="dxa"/>
        <w:tblLayout w:type="fixed"/>
        <w:tblCellMar>
          <w:top w:w="0" w:type="dxa"/>
          <w:left w:w="0" w:type="dxa"/>
          <w:bottom w:w="0" w:type="dxa"/>
          <w:right w:w="0" w:type="dxa"/>
        </w:tblCellMar>
        <w:tblLook w:val="01E0"/>
      </w:tblPr>
      <w:tblGrid>
        <w:gridCol w:w="2872"/>
        <w:gridCol w:w="2871"/>
        <w:gridCol w:w="2874"/>
      </w:tblGrid>
      <w:tr>
        <w:trPr>
          <w:trHeight w:val="344" w:hRule="exact"/>
        </w:trPr>
        <w:tc>
          <w:tcPr>
            <w:tcW w:w="2872" w:type="dxa"/>
            <w:tcBorders>
              <w:top w:val="single" w:sz="6" w:space="0" w:color="000000"/>
              <w:left w:val="single" w:sz="6" w:space="0" w:color="000000"/>
              <w:bottom w:val="nil" w:sz="6" w:space="0" w:color="auto"/>
              <w:right w:val="single" w:sz="6" w:space="0" w:color="000000"/>
            </w:tcBorders>
            <w:shd w:val="clear" w:color="auto" w:fill="1B24AB"/>
          </w:tcPr>
          <w:p>
            <w:pPr>
              <w:pStyle w:val="TableParagraph"/>
              <w:spacing w:line="240" w:lineRule="auto" w:before="20"/>
              <w:ind w:left="4" w:right="0"/>
              <w:jc w:val="center"/>
              <w:rPr>
                <w:rFonts w:ascii="宋体" w:hAnsi="宋体" w:cs="宋体" w:eastAsia="宋体" w:hint="default"/>
                <w:sz w:val="18"/>
                <w:szCs w:val="18"/>
              </w:rPr>
            </w:pPr>
            <w:r>
              <w:rPr>
                <w:rFonts w:ascii="宋体" w:hAnsi="宋体" w:cs="宋体" w:eastAsia="宋体" w:hint="default"/>
                <w:b/>
                <w:bCs/>
                <w:color w:val="FFFFFF"/>
                <w:sz w:val="18"/>
                <w:szCs w:val="18"/>
              </w:rPr>
              <w:t>业务</w:t>
            </w:r>
            <w:r>
              <w:rPr>
                <w:rFonts w:ascii="宋体" w:hAnsi="宋体" w:cs="宋体" w:eastAsia="宋体" w:hint="default"/>
                <w:sz w:val="18"/>
                <w:szCs w:val="18"/>
              </w:rPr>
            </w:r>
          </w:p>
        </w:tc>
        <w:tc>
          <w:tcPr>
            <w:tcW w:w="2871" w:type="dxa"/>
            <w:tcBorders>
              <w:top w:val="single" w:sz="6" w:space="0" w:color="000000"/>
              <w:left w:val="single" w:sz="6" w:space="0" w:color="000000"/>
              <w:bottom w:val="nil" w:sz="6" w:space="0" w:color="auto"/>
              <w:right w:val="single" w:sz="6" w:space="0" w:color="000000"/>
            </w:tcBorders>
            <w:shd w:val="clear" w:color="auto" w:fill="1B24AB"/>
          </w:tcPr>
          <w:p>
            <w:pPr>
              <w:pStyle w:val="TableParagraph"/>
              <w:spacing w:line="240" w:lineRule="auto" w:before="20"/>
              <w:ind w:left="9" w:right="0"/>
              <w:jc w:val="center"/>
              <w:rPr>
                <w:rFonts w:ascii="宋体" w:hAnsi="宋体" w:cs="宋体" w:eastAsia="宋体" w:hint="default"/>
                <w:sz w:val="18"/>
                <w:szCs w:val="18"/>
              </w:rPr>
            </w:pPr>
            <w:r>
              <w:rPr>
                <w:rFonts w:ascii="宋体" w:hAnsi="宋体" w:cs="宋体" w:eastAsia="宋体" w:hint="default"/>
                <w:b/>
                <w:bCs/>
                <w:color w:val="FFFFFF"/>
                <w:sz w:val="18"/>
                <w:szCs w:val="18"/>
              </w:rPr>
              <w:t>2018</w:t>
            </w:r>
            <w:r>
              <w:rPr>
                <w:rFonts w:ascii="宋体" w:hAnsi="宋体" w:cs="宋体" w:eastAsia="宋体" w:hint="default"/>
                <w:b/>
                <w:bCs/>
                <w:color w:val="FFFFFF"/>
                <w:sz w:val="18"/>
                <w:szCs w:val="18"/>
              </w:rPr>
              <w:t>年毛利率</w:t>
            </w:r>
            <w:r>
              <w:rPr>
                <w:rFonts w:ascii="宋体" w:hAnsi="宋体" w:cs="宋体" w:eastAsia="宋体" w:hint="default"/>
                <w:sz w:val="18"/>
                <w:szCs w:val="18"/>
              </w:rPr>
            </w:r>
          </w:p>
        </w:tc>
        <w:tc>
          <w:tcPr>
            <w:tcW w:w="2874" w:type="dxa"/>
            <w:tcBorders>
              <w:top w:val="single" w:sz="6" w:space="0" w:color="000000"/>
              <w:left w:val="single" w:sz="6" w:space="0" w:color="000000"/>
              <w:bottom w:val="nil" w:sz="6" w:space="0" w:color="auto"/>
              <w:right w:val="nil" w:sz="6" w:space="0" w:color="auto"/>
            </w:tcBorders>
            <w:shd w:val="clear" w:color="auto" w:fill="1B24AB"/>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b/>
                <w:bCs/>
                <w:color w:val="FFFFFF"/>
                <w:sz w:val="18"/>
                <w:szCs w:val="18"/>
              </w:rPr>
              <w:t>2019</w:t>
            </w:r>
            <w:r>
              <w:rPr>
                <w:rFonts w:ascii="宋体" w:hAnsi="宋体" w:cs="宋体" w:eastAsia="宋体" w:hint="default"/>
                <w:b/>
                <w:bCs/>
                <w:color w:val="FFFFFF"/>
                <w:sz w:val="18"/>
                <w:szCs w:val="18"/>
              </w:rPr>
              <w:t>年毛利率</w:t>
            </w:r>
            <w:r>
              <w:rPr>
                <w:rFonts w:ascii="宋体" w:hAnsi="宋体" w:cs="宋体" w:eastAsia="宋体" w:hint="default"/>
                <w:sz w:val="18"/>
                <w:szCs w:val="18"/>
              </w:rPr>
            </w:r>
          </w:p>
        </w:tc>
      </w:tr>
      <w:tr>
        <w:trPr>
          <w:trHeight w:val="338" w:hRule="exact"/>
        </w:trPr>
        <w:tc>
          <w:tcPr>
            <w:tcW w:w="2872" w:type="dxa"/>
            <w:tcBorders>
              <w:top w:val="single" w:sz="4" w:space="0" w:color="1B24AB"/>
              <w:left w:val="nil" w:sz="6" w:space="0" w:color="auto"/>
              <w:bottom w:val="single" w:sz="6" w:space="0" w:color="000000"/>
              <w:right w:val="single" w:sz="6" w:space="0" w:color="000000"/>
            </w:tcBorders>
          </w:tcPr>
          <w:p>
            <w:pPr>
              <w:pStyle w:val="TableParagraph"/>
              <w:spacing w:line="240" w:lineRule="auto" w:before="15"/>
              <w:ind w:left="16" w:right="0"/>
              <w:jc w:val="center"/>
              <w:rPr>
                <w:rFonts w:ascii="宋体" w:hAnsi="宋体" w:cs="宋体" w:eastAsia="宋体" w:hint="default"/>
                <w:sz w:val="18"/>
                <w:szCs w:val="18"/>
              </w:rPr>
            </w:pPr>
            <w:r>
              <w:rPr>
                <w:rFonts w:ascii="宋体" w:hAnsi="宋体" w:cs="宋体" w:eastAsia="宋体" w:hint="default"/>
                <w:b/>
                <w:bCs/>
                <w:sz w:val="18"/>
                <w:szCs w:val="18"/>
              </w:rPr>
              <w:t>金融科技业务</w:t>
            </w:r>
            <w:r>
              <w:rPr>
                <w:rFonts w:ascii="宋体" w:hAnsi="宋体" w:cs="宋体" w:eastAsia="宋体" w:hint="default"/>
                <w:sz w:val="18"/>
                <w:szCs w:val="18"/>
              </w:rPr>
            </w:r>
          </w:p>
        </w:tc>
        <w:tc>
          <w:tcPr>
            <w:tcW w:w="2871"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20"/>
              <w:ind w:left="9" w:right="0"/>
              <w:jc w:val="center"/>
              <w:rPr>
                <w:rFonts w:ascii="宋体" w:hAnsi="宋体" w:cs="宋体" w:eastAsia="宋体" w:hint="default"/>
                <w:sz w:val="18"/>
                <w:szCs w:val="18"/>
              </w:rPr>
            </w:pPr>
            <w:r>
              <w:rPr>
                <w:rFonts w:ascii="宋体"/>
                <w:sz w:val="18"/>
              </w:rPr>
              <w:t>47.06%</w:t>
            </w:r>
          </w:p>
        </w:tc>
        <w:tc>
          <w:tcPr>
            <w:tcW w:w="2874" w:type="dxa"/>
            <w:tcBorders>
              <w:top w:val="nil" w:sz="6" w:space="0" w:color="auto"/>
              <w:left w:val="single" w:sz="6" w:space="0" w:color="000000"/>
              <w:bottom w:val="single" w:sz="6" w:space="0" w:color="000000"/>
              <w:right w:val="nil" w:sz="6" w:space="0" w:color="auto"/>
            </w:tcBorders>
          </w:tcPr>
          <w:p>
            <w:pPr>
              <w:pStyle w:val="TableParagraph"/>
              <w:spacing w:line="240" w:lineRule="auto" w:before="20"/>
              <w:ind w:right="0"/>
              <w:jc w:val="center"/>
              <w:rPr>
                <w:rFonts w:ascii="宋体" w:hAnsi="宋体" w:cs="宋体" w:eastAsia="宋体" w:hint="default"/>
                <w:sz w:val="18"/>
                <w:szCs w:val="18"/>
              </w:rPr>
            </w:pPr>
            <w:r>
              <w:rPr>
                <w:rFonts w:ascii="宋体"/>
                <w:sz w:val="18"/>
              </w:rPr>
              <w:t>44.32%</w:t>
            </w:r>
          </w:p>
        </w:tc>
      </w:tr>
      <w:tr>
        <w:trPr>
          <w:trHeight w:val="346" w:hRule="exact"/>
        </w:trPr>
        <w:tc>
          <w:tcPr>
            <w:tcW w:w="2872"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20"/>
              <w:ind w:left="11" w:right="0"/>
              <w:jc w:val="center"/>
              <w:rPr>
                <w:rFonts w:ascii="宋体" w:hAnsi="宋体" w:cs="宋体" w:eastAsia="宋体" w:hint="default"/>
                <w:sz w:val="18"/>
                <w:szCs w:val="18"/>
              </w:rPr>
            </w:pPr>
            <w:r>
              <w:rPr>
                <w:rFonts w:ascii="宋体" w:hAnsi="宋体" w:cs="宋体" w:eastAsia="宋体" w:hint="default"/>
                <w:b/>
                <w:bCs/>
                <w:sz w:val="18"/>
                <w:szCs w:val="18"/>
              </w:rPr>
              <w:t>LED</w:t>
            </w:r>
            <w:r>
              <w:rPr>
                <w:rFonts w:ascii="宋体" w:hAnsi="宋体" w:cs="宋体" w:eastAsia="宋体" w:hint="default"/>
                <w:b/>
                <w:bCs/>
                <w:sz w:val="18"/>
                <w:szCs w:val="18"/>
              </w:rPr>
              <w:t>显示业务</w:t>
            </w:r>
            <w:r>
              <w:rPr>
                <w:rFonts w:ascii="宋体" w:hAnsi="宋体" w:cs="宋体" w:eastAsia="宋体" w:hint="default"/>
                <w:sz w:val="18"/>
                <w:szCs w:val="18"/>
              </w:rPr>
            </w:r>
          </w:p>
        </w:tc>
        <w:tc>
          <w:tcPr>
            <w:tcW w:w="28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9" w:right="0"/>
              <w:jc w:val="center"/>
              <w:rPr>
                <w:rFonts w:ascii="宋体" w:hAnsi="宋体" w:cs="宋体" w:eastAsia="宋体" w:hint="default"/>
                <w:sz w:val="18"/>
                <w:szCs w:val="18"/>
              </w:rPr>
            </w:pPr>
            <w:r>
              <w:rPr>
                <w:rFonts w:ascii="宋体"/>
                <w:sz w:val="18"/>
              </w:rPr>
              <w:t>51.39%</w:t>
            </w:r>
          </w:p>
        </w:tc>
        <w:tc>
          <w:tcPr>
            <w:tcW w:w="2874"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20"/>
              <w:ind w:right="0"/>
              <w:jc w:val="center"/>
              <w:rPr>
                <w:rFonts w:ascii="宋体" w:hAnsi="宋体" w:cs="宋体" w:eastAsia="宋体" w:hint="default"/>
                <w:sz w:val="18"/>
                <w:szCs w:val="18"/>
              </w:rPr>
            </w:pPr>
            <w:r>
              <w:rPr>
                <w:rFonts w:ascii="宋体"/>
                <w:sz w:val="18"/>
              </w:rPr>
              <w:t>57.48%</w:t>
            </w:r>
          </w:p>
        </w:tc>
      </w:tr>
      <w:tr>
        <w:trPr>
          <w:trHeight w:val="346" w:hRule="exact"/>
        </w:trPr>
        <w:tc>
          <w:tcPr>
            <w:tcW w:w="2872"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20"/>
              <w:ind w:left="16" w:right="0"/>
              <w:jc w:val="center"/>
              <w:rPr>
                <w:rFonts w:ascii="宋体" w:hAnsi="宋体" w:cs="宋体" w:eastAsia="宋体" w:hint="default"/>
                <w:sz w:val="18"/>
                <w:szCs w:val="18"/>
              </w:rPr>
            </w:pPr>
            <w:r>
              <w:rPr>
                <w:rFonts w:ascii="宋体" w:hAnsi="宋体" w:cs="宋体" w:eastAsia="宋体" w:hint="default"/>
                <w:b/>
                <w:bCs/>
                <w:sz w:val="18"/>
                <w:szCs w:val="18"/>
              </w:rPr>
              <w:t>智慧照明业务</w:t>
            </w:r>
            <w:r>
              <w:rPr>
                <w:rFonts w:ascii="宋体" w:hAnsi="宋体" w:cs="宋体" w:eastAsia="宋体" w:hint="default"/>
                <w:sz w:val="18"/>
                <w:szCs w:val="18"/>
              </w:rPr>
            </w:r>
          </w:p>
        </w:tc>
        <w:tc>
          <w:tcPr>
            <w:tcW w:w="28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9" w:right="0"/>
              <w:jc w:val="center"/>
              <w:rPr>
                <w:rFonts w:ascii="宋体" w:hAnsi="宋体" w:cs="宋体" w:eastAsia="宋体" w:hint="default"/>
                <w:sz w:val="18"/>
                <w:szCs w:val="18"/>
              </w:rPr>
            </w:pPr>
            <w:r>
              <w:rPr>
                <w:rFonts w:ascii="宋体"/>
                <w:sz w:val="18"/>
              </w:rPr>
              <w:t>23.22%</w:t>
            </w:r>
          </w:p>
        </w:tc>
        <w:tc>
          <w:tcPr>
            <w:tcW w:w="2874"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20"/>
              <w:ind w:right="0"/>
              <w:jc w:val="center"/>
              <w:rPr>
                <w:rFonts w:ascii="宋体" w:hAnsi="宋体" w:cs="宋体" w:eastAsia="宋体" w:hint="default"/>
                <w:sz w:val="18"/>
                <w:szCs w:val="18"/>
              </w:rPr>
            </w:pPr>
            <w:r>
              <w:rPr>
                <w:rFonts w:ascii="宋体"/>
                <w:sz w:val="18"/>
              </w:rPr>
              <w:t>32.93%</w:t>
            </w:r>
          </w:p>
        </w:tc>
      </w:tr>
      <w:tr>
        <w:trPr>
          <w:trHeight w:val="358" w:hRule="exact"/>
        </w:trPr>
        <w:tc>
          <w:tcPr>
            <w:tcW w:w="2872" w:type="dxa"/>
            <w:tcBorders>
              <w:top w:val="single" w:sz="6" w:space="0" w:color="000000"/>
              <w:left w:val="nil" w:sz="6" w:space="0" w:color="auto"/>
              <w:bottom w:val="single" w:sz="12" w:space="0" w:color="000000"/>
              <w:right w:val="single" w:sz="6" w:space="0" w:color="000000"/>
            </w:tcBorders>
          </w:tcPr>
          <w:p>
            <w:pPr>
              <w:pStyle w:val="TableParagraph"/>
              <w:spacing w:line="240" w:lineRule="auto" w:before="25"/>
              <w:ind w:left="16" w:right="0"/>
              <w:jc w:val="center"/>
              <w:rPr>
                <w:rFonts w:ascii="宋体" w:hAnsi="宋体" w:cs="宋体" w:eastAsia="宋体" w:hint="default"/>
                <w:sz w:val="18"/>
                <w:szCs w:val="18"/>
              </w:rPr>
            </w:pPr>
            <w:r>
              <w:rPr>
                <w:rFonts w:ascii="宋体" w:hAnsi="宋体" w:cs="宋体" w:eastAsia="宋体" w:hint="default"/>
                <w:b/>
                <w:bCs/>
                <w:sz w:val="18"/>
                <w:szCs w:val="18"/>
              </w:rPr>
              <w:t>综合毛利率</w:t>
            </w:r>
            <w:r>
              <w:rPr>
                <w:rFonts w:ascii="宋体" w:hAnsi="宋体" w:cs="宋体" w:eastAsia="宋体" w:hint="default"/>
                <w:sz w:val="18"/>
                <w:szCs w:val="18"/>
              </w:rPr>
            </w:r>
          </w:p>
        </w:tc>
        <w:tc>
          <w:tcPr>
            <w:tcW w:w="287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5"/>
              <w:ind w:left="9" w:right="0"/>
              <w:jc w:val="center"/>
              <w:rPr>
                <w:rFonts w:ascii="宋体" w:hAnsi="宋体" w:cs="宋体" w:eastAsia="宋体" w:hint="default"/>
                <w:sz w:val="18"/>
                <w:szCs w:val="18"/>
              </w:rPr>
            </w:pPr>
            <w:r>
              <w:rPr>
                <w:rFonts w:ascii="宋体"/>
                <w:sz w:val="18"/>
              </w:rPr>
              <w:t>33.52%</w:t>
            </w:r>
          </w:p>
        </w:tc>
        <w:tc>
          <w:tcPr>
            <w:tcW w:w="2874" w:type="dxa"/>
            <w:tcBorders>
              <w:top w:val="single" w:sz="6" w:space="0" w:color="000000"/>
              <w:left w:val="single" w:sz="6" w:space="0" w:color="000000"/>
              <w:bottom w:val="single" w:sz="12" w:space="0" w:color="000000"/>
              <w:right w:val="nil" w:sz="6" w:space="0" w:color="auto"/>
            </w:tcBorders>
          </w:tcPr>
          <w:p>
            <w:pPr>
              <w:pStyle w:val="TableParagraph"/>
              <w:spacing w:line="240" w:lineRule="auto" w:before="25"/>
              <w:ind w:right="0"/>
              <w:jc w:val="center"/>
              <w:rPr>
                <w:rFonts w:ascii="宋体" w:hAnsi="宋体" w:cs="宋体" w:eastAsia="宋体" w:hint="default"/>
                <w:sz w:val="18"/>
                <w:szCs w:val="18"/>
              </w:rPr>
            </w:pPr>
            <w:r>
              <w:rPr>
                <w:rFonts w:ascii="宋体"/>
                <w:sz w:val="18"/>
              </w:rPr>
              <w:t>44.43%</w:t>
            </w:r>
          </w:p>
        </w:tc>
      </w:tr>
    </w:tbl>
    <w:p>
      <w:pPr>
        <w:spacing w:line="316" w:lineRule="auto" w:before="11"/>
        <w:ind w:left="513" w:right="0" w:firstLine="0"/>
        <w:jc w:val="left"/>
        <w:rPr>
          <w:rFonts w:ascii="宋体" w:hAnsi="宋体" w:cs="宋体" w:eastAsia="宋体" w:hint="default"/>
          <w:sz w:val="18"/>
          <w:szCs w:val="18"/>
        </w:rPr>
      </w:pPr>
      <w:r>
        <w:rPr>
          <w:rFonts w:ascii="宋体" w:hAnsi="宋体" w:cs="宋体" w:eastAsia="宋体" w:hint="default"/>
          <w:b/>
          <w:bCs/>
          <w:sz w:val="18"/>
          <w:szCs w:val="18"/>
        </w:rPr>
        <w:t>（</w:t>
      </w:r>
      <w:r>
        <w:rPr>
          <w:rFonts w:ascii="宋体" w:hAnsi="宋体" w:cs="宋体" w:eastAsia="宋体" w:hint="default"/>
          <w:b/>
          <w:bCs/>
          <w:sz w:val="18"/>
          <w:szCs w:val="18"/>
        </w:rPr>
        <w:t>5</w:t>
      </w:r>
      <w:r>
        <w:rPr>
          <w:rFonts w:ascii="宋体" w:hAnsi="宋体" w:cs="宋体" w:eastAsia="宋体" w:hint="default"/>
          <w:b/>
          <w:bCs/>
          <w:sz w:val="18"/>
          <w:szCs w:val="18"/>
        </w:rPr>
        <w:t>）加强财务管理，控制经营风险</w:t>
      </w:r>
      <w:r>
        <w:rPr>
          <w:rFonts w:ascii="宋体" w:hAnsi="宋体" w:cs="宋体" w:eastAsia="宋体" w:hint="default"/>
          <w:b/>
          <w:bCs/>
          <w:spacing w:val="-85"/>
          <w:sz w:val="18"/>
          <w:szCs w:val="18"/>
        </w:rPr>
        <w:t> </w:t>
      </w:r>
      <w:r>
        <w:rPr>
          <w:rFonts w:ascii="宋体" w:hAnsi="宋体" w:cs="宋体" w:eastAsia="宋体" w:hint="default"/>
          <w:b/>
          <w:bCs/>
          <w:spacing w:val="-85"/>
          <w:sz w:val="18"/>
          <w:szCs w:val="18"/>
        </w:rPr>
      </w:r>
      <w:r>
        <w:rPr>
          <w:rFonts w:ascii="宋体" w:hAnsi="宋体" w:cs="宋体" w:eastAsia="宋体" w:hint="default"/>
          <w:spacing w:val="-4"/>
          <w:sz w:val="18"/>
          <w:szCs w:val="18"/>
        </w:rPr>
        <w:t>报告期内，公司重视信用政策管理，加强对应收账款的催收，较好的控制了经营风险，公司的经营性现金流量净额及资</w:t>
      </w:r>
    </w:p>
    <w:p>
      <w:pPr>
        <w:pStyle w:val="BodyText"/>
        <w:spacing w:line="240" w:lineRule="auto" w:before="19"/>
        <w:ind w:right="0"/>
        <w:jc w:val="left"/>
      </w:pPr>
      <w:r>
        <w:rPr>
          <w:spacing w:val="-3"/>
        </w:rPr>
        <w:t>产负债率保持合理良性。</w:t>
      </w:r>
    </w:p>
    <w:p>
      <w:pPr>
        <w:spacing w:line="240" w:lineRule="auto" w:before="0"/>
        <w:rPr>
          <w:rFonts w:ascii="宋体" w:hAnsi="宋体" w:cs="宋体" w:eastAsia="宋体" w:hint="default"/>
          <w:sz w:val="5"/>
          <w:szCs w:val="5"/>
        </w:rPr>
      </w:pPr>
    </w:p>
    <w:tbl>
      <w:tblPr>
        <w:tblW w:w="0" w:type="auto"/>
        <w:jc w:val="left"/>
        <w:tblInd w:w="674" w:type="dxa"/>
        <w:tblLayout w:type="fixed"/>
        <w:tblCellMar>
          <w:top w:w="0" w:type="dxa"/>
          <w:left w:w="0" w:type="dxa"/>
          <w:bottom w:w="0" w:type="dxa"/>
          <w:right w:w="0" w:type="dxa"/>
        </w:tblCellMar>
        <w:tblLook w:val="01E0"/>
      </w:tblPr>
      <w:tblGrid>
        <w:gridCol w:w="3227"/>
        <w:gridCol w:w="2482"/>
        <w:gridCol w:w="2859"/>
      </w:tblGrid>
      <w:tr>
        <w:trPr>
          <w:trHeight w:val="338" w:hRule="exact"/>
        </w:trPr>
        <w:tc>
          <w:tcPr>
            <w:tcW w:w="3227" w:type="dxa"/>
            <w:tcBorders>
              <w:top w:val="single" w:sz="6" w:space="0" w:color="000000"/>
              <w:left w:val="single" w:sz="6" w:space="0" w:color="000000"/>
              <w:bottom w:val="nil" w:sz="6" w:space="0" w:color="auto"/>
              <w:right w:val="single" w:sz="6" w:space="0" w:color="000000"/>
            </w:tcBorders>
            <w:shd w:val="clear" w:color="auto" w:fill="1B24AB"/>
          </w:tcPr>
          <w:p>
            <w:pPr/>
          </w:p>
        </w:tc>
        <w:tc>
          <w:tcPr>
            <w:tcW w:w="2482" w:type="dxa"/>
            <w:tcBorders>
              <w:top w:val="single" w:sz="6" w:space="0" w:color="000000"/>
              <w:left w:val="single" w:sz="6" w:space="0" w:color="000000"/>
              <w:bottom w:val="nil" w:sz="6" w:space="0" w:color="auto"/>
              <w:right w:val="single" w:sz="6" w:space="0" w:color="000000"/>
            </w:tcBorders>
            <w:shd w:val="clear" w:color="auto" w:fill="1B24AB"/>
          </w:tcPr>
          <w:p>
            <w:pPr>
              <w:pStyle w:val="TableParagraph"/>
              <w:spacing w:line="240" w:lineRule="auto" w:before="20"/>
              <w:ind w:left="9" w:right="0"/>
              <w:jc w:val="center"/>
              <w:rPr>
                <w:rFonts w:ascii="宋体" w:hAnsi="宋体" w:cs="宋体" w:eastAsia="宋体" w:hint="default"/>
                <w:sz w:val="18"/>
                <w:szCs w:val="18"/>
              </w:rPr>
            </w:pPr>
            <w:r>
              <w:rPr>
                <w:rFonts w:ascii="宋体" w:hAnsi="宋体" w:cs="宋体" w:eastAsia="宋体" w:hint="default"/>
                <w:b/>
                <w:bCs/>
                <w:color w:val="FFFFFF"/>
                <w:sz w:val="18"/>
                <w:szCs w:val="18"/>
              </w:rPr>
              <w:t>2018</w:t>
            </w:r>
            <w:r>
              <w:rPr>
                <w:rFonts w:ascii="宋体" w:hAnsi="宋体" w:cs="宋体" w:eastAsia="宋体" w:hint="default"/>
                <w:b/>
                <w:bCs/>
                <w:color w:val="FFFFFF"/>
                <w:sz w:val="18"/>
                <w:szCs w:val="18"/>
              </w:rPr>
              <w:t>年</w:t>
            </w:r>
            <w:r>
              <w:rPr>
                <w:rFonts w:ascii="宋体" w:hAnsi="宋体" w:cs="宋体" w:eastAsia="宋体" w:hint="default"/>
                <w:sz w:val="18"/>
                <w:szCs w:val="18"/>
              </w:rPr>
            </w:r>
          </w:p>
        </w:tc>
        <w:tc>
          <w:tcPr>
            <w:tcW w:w="2859" w:type="dxa"/>
            <w:tcBorders>
              <w:top w:val="single" w:sz="6" w:space="0" w:color="000000"/>
              <w:left w:val="single" w:sz="6" w:space="0" w:color="000000"/>
              <w:bottom w:val="nil" w:sz="6" w:space="0" w:color="auto"/>
              <w:right w:val="nil" w:sz="6" w:space="0" w:color="auto"/>
            </w:tcBorders>
            <w:shd w:val="clear" w:color="auto" w:fill="1B24AB"/>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b/>
                <w:bCs/>
                <w:color w:val="FFFFFF"/>
                <w:sz w:val="18"/>
                <w:szCs w:val="18"/>
              </w:rPr>
              <w:t>2019</w:t>
            </w:r>
            <w:r>
              <w:rPr>
                <w:rFonts w:ascii="宋体" w:hAnsi="宋体" w:cs="宋体" w:eastAsia="宋体" w:hint="default"/>
                <w:b/>
                <w:bCs/>
                <w:color w:val="FFFFFF"/>
                <w:sz w:val="18"/>
                <w:szCs w:val="18"/>
              </w:rPr>
              <w:t>年</w:t>
            </w:r>
            <w:r>
              <w:rPr>
                <w:rFonts w:ascii="宋体" w:hAnsi="宋体" w:cs="宋体" w:eastAsia="宋体" w:hint="default"/>
                <w:sz w:val="18"/>
                <w:szCs w:val="18"/>
              </w:rPr>
            </w:r>
          </w:p>
        </w:tc>
      </w:tr>
      <w:tr>
        <w:trPr>
          <w:trHeight w:val="338" w:hRule="exact"/>
        </w:trPr>
        <w:tc>
          <w:tcPr>
            <w:tcW w:w="3227" w:type="dxa"/>
            <w:tcBorders>
              <w:top w:val="nil" w:sz="6" w:space="0" w:color="auto"/>
              <w:left w:val="nil" w:sz="6" w:space="0" w:color="auto"/>
              <w:bottom w:val="single" w:sz="6" w:space="0" w:color="000000"/>
              <w:right w:val="single" w:sz="6" w:space="0" w:color="000000"/>
            </w:tcBorders>
          </w:tcPr>
          <w:p>
            <w:pPr>
              <w:pStyle w:val="TableParagraph"/>
              <w:spacing w:line="240" w:lineRule="auto" w:before="20"/>
              <w:ind w:left="11" w:right="0"/>
              <w:jc w:val="center"/>
              <w:rPr>
                <w:rFonts w:ascii="宋体" w:hAnsi="宋体" w:cs="宋体" w:eastAsia="宋体" w:hint="default"/>
                <w:sz w:val="18"/>
                <w:szCs w:val="18"/>
              </w:rPr>
            </w:pPr>
            <w:r>
              <w:rPr>
                <w:rFonts w:ascii="宋体" w:hAnsi="宋体" w:cs="宋体" w:eastAsia="宋体" w:hint="default"/>
                <w:b/>
                <w:bCs/>
                <w:sz w:val="18"/>
                <w:szCs w:val="18"/>
              </w:rPr>
              <w:t>经营性现金流量净额</w:t>
            </w:r>
            <w:r>
              <w:rPr>
                <w:rFonts w:ascii="宋体" w:hAnsi="宋体" w:cs="宋体" w:eastAsia="宋体" w:hint="default"/>
                <w:sz w:val="18"/>
                <w:szCs w:val="18"/>
              </w:rPr>
            </w:r>
          </w:p>
        </w:tc>
        <w:tc>
          <w:tcPr>
            <w:tcW w:w="2482"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20"/>
              <w:ind w:left="4" w:right="0"/>
              <w:jc w:val="center"/>
              <w:rPr>
                <w:rFonts w:ascii="宋体" w:hAnsi="宋体" w:cs="宋体" w:eastAsia="宋体" w:hint="default"/>
                <w:sz w:val="18"/>
                <w:szCs w:val="18"/>
              </w:rPr>
            </w:pPr>
            <w:r>
              <w:rPr>
                <w:rFonts w:ascii="宋体" w:hAnsi="宋体" w:cs="宋体" w:eastAsia="宋体" w:hint="default"/>
                <w:sz w:val="18"/>
                <w:szCs w:val="18"/>
              </w:rPr>
              <w:t>19,291.61</w:t>
            </w:r>
            <w:r>
              <w:rPr>
                <w:rFonts w:ascii="宋体" w:hAnsi="宋体" w:cs="宋体" w:eastAsia="宋体" w:hint="default"/>
                <w:sz w:val="18"/>
                <w:szCs w:val="18"/>
              </w:rPr>
              <w:t>万元</w:t>
            </w:r>
          </w:p>
        </w:tc>
        <w:tc>
          <w:tcPr>
            <w:tcW w:w="2859" w:type="dxa"/>
            <w:tcBorders>
              <w:top w:val="nil" w:sz="6" w:space="0" w:color="auto"/>
              <w:left w:val="single" w:sz="6" w:space="0" w:color="000000"/>
              <w:bottom w:val="single" w:sz="6" w:space="0" w:color="000000"/>
              <w:right w:val="nil" w:sz="6" w:space="0" w:color="auto"/>
            </w:tcBorders>
          </w:tcPr>
          <w:p>
            <w:pPr>
              <w:pStyle w:val="TableParagraph"/>
              <w:spacing w:line="240" w:lineRule="auto" w:before="20"/>
              <w:ind w:right="2"/>
              <w:jc w:val="center"/>
              <w:rPr>
                <w:rFonts w:ascii="宋体" w:hAnsi="宋体" w:cs="宋体" w:eastAsia="宋体" w:hint="default"/>
                <w:sz w:val="18"/>
                <w:szCs w:val="18"/>
              </w:rPr>
            </w:pPr>
            <w:r>
              <w:rPr>
                <w:rFonts w:ascii="宋体" w:hAnsi="宋体" w:cs="宋体" w:eastAsia="宋体" w:hint="default"/>
                <w:sz w:val="18"/>
                <w:szCs w:val="18"/>
              </w:rPr>
              <w:t>18,385.68</w:t>
            </w:r>
            <w:r>
              <w:rPr>
                <w:rFonts w:ascii="宋体" w:hAnsi="宋体" w:cs="宋体" w:eastAsia="宋体" w:hint="default"/>
                <w:sz w:val="18"/>
                <w:szCs w:val="18"/>
              </w:rPr>
              <w:t>万元</w:t>
            </w:r>
          </w:p>
        </w:tc>
      </w:tr>
      <w:tr>
        <w:trPr>
          <w:trHeight w:val="351" w:hRule="exact"/>
        </w:trPr>
        <w:tc>
          <w:tcPr>
            <w:tcW w:w="3227"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25"/>
              <w:ind w:left="16" w:right="0"/>
              <w:jc w:val="center"/>
              <w:rPr>
                <w:rFonts w:ascii="宋体" w:hAnsi="宋体" w:cs="宋体" w:eastAsia="宋体" w:hint="default"/>
                <w:sz w:val="18"/>
                <w:szCs w:val="18"/>
              </w:rPr>
            </w:pPr>
            <w:r>
              <w:rPr>
                <w:rFonts w:ascii="宋体" w:hAnsi="宋体" w:cs="宋体" w:eastAsia="宋体" w:hint="default"/>
                <w:b/>
                <w:bCs/>
                <w:sz w:val="18"/>
                <w:szCs w:val="18"/>
              </w:rPr>
              <w:t>经营性现金流量净额</w:t>
            </w:r>
            <w:r>
              <w:rPr>
                <w:rFonts w:ascii="宋体" w:hAnsi="宋体" w:cs="宋体" w:eastAsia="宋体" w:hint="default"/>
                <w:b/>
                <w:bCs/>
                <w:sz w:val="18"/>
                <w:szCs w:val="18"/>
              </w:rPr>
              <w:t>/</w:t>
            </w:r>
            <w:r>
              <w:rPr>
                <w:rFonts w:ascii="宋体" w:hAnsi="宋体" w:cs="宋体" w:eastAsia="宋体" w:hint="default"/>
                <w:b/>
                <w:bCs/>
                <w:sz w:val="18"/>
                <w:szCs w:val="18"/>
              </w:rPr>
              <w:t>归母净利润</w:t>
            </w:r>
            <w:r>
              <w:rPr>
                <w:rFonts w:ascii="宋体" w:hAnsi="宋体" w:cs="宋体" w:eastAsia="宋体" w:hint="default"/>
                <w:sz w:val="18"/>
                <w:szCs w:val="18"/>
              </w:rPr>
            </w:r>
          </w:p>
        </w:tc>
        <w:tc>
          <w:tcPr>
            <w:tcW w:w="24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5"/>
              <w:ind w:left="9" w:right="0"/>
              <w:jc w:val="center"/>
              <w:rPr>
                <w:rFonts w:ascii="宋体" w:hAnsi="宋体" w:cs="宋体" w:eastAsia="宋体" w:hint="default"/>
                <w:sz w:val="18"/>
                <w:szCs w:val="18"/>
              </w:rPr>
            </w:pPr>
            <w:r>
              <w:rPr>
                <w:rFonts w:ascii="宋体"/>
                <w:sz w:val="18"/>
              </w:rPr>
              <w:t>107.38%</w:t>
            </w:r>
          </w:p>
        </w:tc>
        <w:tc>
          <w:tcPr>
            <w:tcW w:w="2859"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25"/>
              <w:ind w:right="0"/>
              <w:jc w:val="center"/>
              <w:rPr>
                <w:rFonts w:ascii="宋体" w:hAnsi="宋体" w:cs="宋体" w:eastAsia="宋体" w:hint="default"/>
                <w:sz w:val="18"/>
                <w:szCs w:val="18"/>
              </w:rPr>
            </w:pPr>
            <w:r>
              <w:rPr>
                <w:rFonts w:ascii="宋体"/>
                <w:sz w:val="18"/>
              </w:rPr>
              <w:t>100.89%</w:t>
            </w:r>
          </w:p>
        </w:tc>
      </w:tr>
      <w:tr>
        <w:trPr>
          <w:trHeight w:val="353" w:hRule="exact"/>
        </w:trPr>
        <w:tc>
          <w:tcPr>
            <w:tcW w:w="3227" w:type="dxa"/>
            <w:tcBorders>
              <w:top w:val="single" w:sz="6" w:space="0" w:color="000000"/>
              <w:left w:val="nil" w:sz="6" w:space="0" w:color="auto"/>
              <w:bottom w:val="single" w:sz="12" w:space="0" w:color="000000"/>
              <w:right w:val="single" w:sz="6" w:space="0" w:color="000000"/>
            </w:tcBorders>
          </w:tcPr>
          <w:p>
            <w:pPr>
              <w:pStyle w:val="TableParagraph"/>
              <w:spacing w:line="240" w:lineRule="auto" w:before="20"/>
              <w:ind w:left="16" w:right="0"/>
              <w:jc w:val="center"/>
              <w:rPr>
                <w:rFonts w:ascii="宋体" w:hAnsi="宋体" w:cs="宋体" w:eastAsia="宋体" w:hint="default"/>
                <w:sz w:val="18"/>
                <w:szCs w:val="18"/>
              </w:rPr>
            </w:pPr>
            <w:r>
              <w:rPr>
                <w:rFonts w:ascii="宋体" w:hAnsi="宋体" w:cs="宋体" w:eastAsia="宋体" w:hint="default"/>
                <w:b/>
                <w:bCs/>
                <w:sz w:val="18"/>
                <w:szCs w:val="18"/>
              </w:rPr>
              <w:t>资产负债率</w:t>
            </w:r>
            <w:r>
              <w:rPr>
                <w:rFonts w:ascii="宋体" w:hAnsi="宋体" w:cs="宋体" w:eastAsia="宋体" w:hint="default"/>
                <w:sz w:val="18"/>
                <w:szCs w:val="18"/>
              </w:rPr>
            </w:r>
          </w:p>
        </w:tc>
        <w:tc>
          <w:tcPr>
            <w:tcW w:w="248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0"/>
              <w:ind w:left="4" w:right="0"/>
              <w:jc w:val="center"/>
              <w:rPr>
                <w:rFonts w:ascii="宋体" w:hAnsi="宋体" w:cs="宋体" w:eastAsia="宋体" w:hint="default"/>
                <w:sz w:val="18"/>
                <w:szCs w:val="18"/>
              </w:rPr>
            </w:pPr>
            <w:r>
              <w:rPr>
                <w:rFonts w:ascii="宋体"/>
                <w:sz w:val="18"/>
              </w:rPr>
              <w:t>42.98%</w:t>
            </w:r>
          </w:p>
        </w:tc>
        <w:tc>
          <w:tcPr>
            <w:tcW w:w="2859" w:type="dxa"/>
            <w:tcBorders>
              <w:top w:val="single" w:sz="6" w:space="0" w:color="000000"/>
              <w:left w:val="single" w:sz="6" w:space="0" w:color="000000"/>
              <w:bottom w:val="single" w:sz="12" w:space="0" w:color="000000"/>
              <w:right w:val="nil" w:sz="6" w:space="0" w:color="auto"/>
            </w:tcBorders>
          </w:tcPr>
          <w:p>
            <w:pPr>
              <w:pStyle w:val="TableParagraph"/>
              <w:spacing w:line="240" w:lineRule="auto" w:before="20"/>
              <w:ind w:right="2"/>
              <w:jc w:val="center"/>
              <w:rPr>
                <w:rFonts w:ascii="宋体" w:hAnsi="宋体" w:cs="宋体" w:eastAsia="宋体" w:hint="default"/>
                <w:sz w:val="18"/>
                <w:szCs w:val="18"/>
              </w:rPr>
            </w:pPr>
            <w:r>
              <w:rPr>
                <w:rFonts w:ascii="宋体"/>
                <w:sz w:val="18"/>
              </w:rPr>
              <w:t>41.90%</w:t>
            </w:r>
          </w:p>
        </w:tc>
      </w:tr>
    </w:tbl>
    <w:p>
      <w:pPr>
        <w:spacing w:line="240" w:lineRule="auto" w:before="1"/>
        <w:rPr>
          <w:rFonts w:ascii="宋体" w:hAnsi="宋体" w:cs="宋体" w:eastAsia="宋体" w:hint="default"/>
          <w:sz w:val="21"/>
          <w:szCs w:val="21"/>
        </w:rPr>
      </w:pPr>
    </w:p>
    <w:p>
      <w:pPr>
        <w:spacing w:line="316" w:lineRule="auto" w:before="46"/>
        <w:ind w:left="518" w:right="0" w:hanging="365"/>
        <w:jc w:val="left"/>
        <w:rPr>
          <w:rFonts w:ascii="宋体" w:hAnsi="宋体" w:cs="宋体" w:eastAsia="宋体" w:hint="default"/>
          <w:sz w:val="18"/>
          <w:szCs w:val="18"/>
        </w:rPr>
      </w:pPr>
      <w:r>
        <w:rPr>
          <w:rFonts w:ascii="宋体" w:hAnsi="宋体" w:cs="宋体" w:eastAsia="宋体" w:hint="default"/>
          <w:b/>
          <w:bCs/>
          <w:sz w:val="18"/>
          <w:szCs w:val="18"/>
        </w:rPr>
        <w:t>5</w:t>
      </w:r>
      <w:r>
        <w:rPr>
          <w:rFonts w:ascii="宋体" w:hAnsi="宋体" w:cs="宋体" w:eastAsia="宋体" w:hint="default"/>
          <w:b/>
          <w:bCs/>
          <w:sz w:val="18"/>
          <w:szCs w:val="18"/>
        </w:rPr>
        <w:t>、启用“智慧蓝”新标识，彰显“智能</w:t>
      </w:r>
      <w:r>
        <w:rPr>
          <w:rFonts w:ascii="宋体" w:hAnsi="宋体" w:cs="宋体" w:eastAsia="宋体" w:hint="default"/>
          <w:b/>
          <w:bCs/>
          <w:sz w:val="18"/>
          <w:szCs w:val="18"/>
        </w:rPr>
        <w:t>+</w:t>
      </w:r>
      <w:r>
        <w:rPr>
          <w:rFonts w:ascii="宋体" w:hAnsi="宋体" w:cs="宋体" w:eastAsia="宋体" w:hint="default"/>
          <w:b/>
          <w:bCs/>
          <w:sz w:val="18"/>
          <w:szCs w:val="18"/>
        </w:rPr>
        <w:t>”战略</w:t>
      </w:r>
      <w:r>
        <w:rPr>
          <w:rFonts w:ascii="宋体" w:hAnsi="宋体" w:cs="宋体" w:eastAsia="宋体" w:hint="default"/>
          <w:b/>
          <w:bCs/>
          <w:spacing w:val="-86"/>
          <w:sz w:val="18"/>
          <w:szCs w:val="18"/>
        </w:rPr>
        <w:t> </w:t>
      </w:r>
      <w:r>
        <w:rPr>
          <w:rFonts w:ascii="宋体" w:hAnsi="宋体" w:cs="宋体" w:eastAsia="宋体" w:hint="default"/>
          <w:spacing w:val="-4"/>
          <w:sz w:val="18"/>
          <w:szCs w:val="18"/>
        </w:rPr>
        <w:t>自</w:t>
      </w:r>
      <w:r>
        <w:rPr>
          <w:rFonts w:ascii="宋体" w:hAnsi="宋体" w:cs="宋体" w:eastAsia="宋体" w:hint="default"/>
          <w:spacing w:val="-4"/>
          <w:sz w:val="18"/>
          <w:szCs w:val="18"/>
        </w:rPr>
        <w:t>2019</w:t>
      </w:r>
      <w:r>
        <w:rPr>
          <w:rFonts w:ascii="宋体" w:hAnsi="宋体" w:cs="宋体" w:eastAsia="宋体" w:hint="default"/>
          <w:spacing w:val="-4"/>
          <w:sz w:val="18"/>
          <w:szCs w:val="18"/>
        </w:rPr>
        <w:t>年</w:t>
      </w:r>
      <w:r>
        <w:rPr>
          <w:rFonts w:ascii="宋体" w:hAnsi="宋体" w:cs="宋体" w:eastAsia="宋体" w:hint="default"/>
          <w:spacing w:val="-4"/>
          <w:sz w:val="18"/>
          <w:szCs w:val="18"/>
        </w:rPr>
        <w:t>9</w:t>
      </w:r>
      <w:r>
        <w:rPr>
          <w:rFonts w:ascii="宋体" w:hAnsi="宋体" w:cs="宋体" w:eastAsia="宋体" w:hint="default"/>
          <w:spacing w:val="-4"/>
          <w:sz w:val="18"/>
          <w:szCs w:val="18"/>
        </w:rPr>
        <w:t>月</w:t>
      </w:r>
      <w:r>
        <w:rPr>
          <w:rFonts w:ascii="宋体" w:hAnsi="宋体" w:cs="宋体" w:eastAsia="宋体" w:hint="default"/>
          <w:spacing w:val="-4"/>
          <w:sz w:val="18"/>
          <w:szCs w:val="18"/>
        </w:rPr>
        <w:t>1</w:t>
      </w:r>
      <w:r>
        <w:rPr>
          <w:rFonts w:ascii="宋体" w:hAnsi="宋体" w:cs="宋体" w:eastAsia="宋体" w:hint="default"/>
          <w:spacing w:val="-4"/>
          <w:sz w:val="18"/>
          <w:szCs w:val="18"/>
        </w:rPr>
        <w:t>日起，公司正式启用新一代企业标识，升级公司形象，新的标识采用智慧蓝，体现公司未来</w:t>
      </w:r>
      <w:r>
        <w:rPr>
          <w:rFonts w:ascii="宋体" w:hAnsi="宋体" w:cs="宋体" w:eastAsia="宋体" w:hint="default"/>
          <w:spacing w:val="-4"/>
          <w:sz w:val="18"/>
          <w:szCs w:val="18"/>
        </w:rPr>
        <w:t>20</w:t>
      </w:r>
      <w:r>
        <w:rPr>
          <w:rFonts w:ascii="宋体" w:hAnsi="宋体" w:cs="宋体" w:eastAsia="宋体" w:hint="default"/>
          <w:spacing w:val="-4"/>
          <w:sz w:val="18"/>
          <w:szCs w:val="18"/>
        </w:rPr>
        <w:t>年“智能</w:t>
      </w:r>
      <w:r>
        <w:rPr>
          <w:rFonts w:ascii="宋体" w:hAnsi="宋体" w:cs="宋体" w:eastAsia="宋体" w:hint="default"/>
          <w:spacing w:val="-4"/>
          <w:sz w:val="18"/>
          <w:szCs w:val="18"/>
        </w:rPr>
        <w:t>+</w:t>
      </w:r>
      <w:r>
        <w:rPr>
          <w:rFonts w:ascii="宋体" w:hAnsi="宋体" w:cs="宋体" w:eastAsia="宋体" w:hint="default"/>
          <w:spacing w:val="-4"/>
          <w:sz w:val="18"/>
          <w:szCs w:val="18"/>
        </w:rPr>
        <w:t>”</w:t>
      </w:r>
    </w:p>
    <w:p>
      <w:pPr>
        <w:pStyle w:val="BodyText"/>
        <w:spacing w:line="240" w:lineRule="auto" w:before="19"/>
        <w:ind w:right="0"/>
        <w:jc w:val="left"/>
      </w:pPr>
      <w:r>
        <w:rPr>
          <w:spacing w:val="-3"/>
        </w:rPr>
        <w:t>战略发展方向及公司“科技引人入胜”的理念。</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Heading6"/>
        <w:spacing w:line="240" w:lineRule="auto" w:before="157"/>
        <w:ind w:right="0"/>
        <w:jc w:val="left"/>
        <w:rPr>
          <w:b w:val="0"/>
          <w:bCs w:val="0"/>
        </w:rPr>
      </w:pPr>
      <w:r>
        <w:rPr>
          <w:rFonts w:ascii="宋体" w:hAnsi="宋体" w:cs="宋体" w:eastAsia="宋体" w:hint="default"/>
        </w:rPr>
        <w:t>6</w:t>
      </w:r>
      <w:r>
        <w:rPr/>
        <w:t>、创立奥之爱公益基金，积极承担扶贫社会责任</w:t>
      </w:r>
      <w:r>
        <w:rPr>
          <w:b w:val="0"/>
          <w:bCs w:val="0"/>
        </w:rPr>
      </w:r>
    </w:p>
    <w:p>
      <w:pPr>
        <w:pStyle w:val="BodyText"/>
        <w:spacing w:line="240" w:lineRule="auto" w:before="148"/>
        <w:ind w:left="513" w:right="0"/>
        <w:jc w:val="left"/>
      </w:pPr>
      <w:r>
        <w:rPr>
          <w:rFonts w:ascii="宋体" w:hAnsi="宋体" w:cs="宋体" w:eastAsia="宋体" w:hint="default"/>
          <w:spacing w:val="-3"/>
        </w:rPr>
        <w:t>2019</w:t>
      </w:r>
      <w:r>
        <w:rPr>
          <w:spacing w:val="-3"/>
        </w:rPr>
        <w:t>年</w:t>
      </w:r>
      <w:r>
        <w:rPr>
          <w:rFonts w:ascii="宋体" w:hAnsi="宋体" w:cs="宋体" w:eastAsia="宋体" w:hint="default"/>
          <w:spacing w:val="-3"/>
        </w:rPr>
        <w:t>10</w:t>
      </w:r>
      <w:r>
        <w:rPr>
          <w:spacing w:val="-3"/>
        </w:rPr>
        <w:t>月</w:t>
      </w:r>
      <w:r>
        <w:rPr>
          <w:rFonts w:ascii="宋体" w:hAnsi="宋体" w:cs="宋体" w:eastAsia="宋体" w:hint="default"/>
          <w:spacing w:val="-3"/>
        </w:rPr>
        <w:t>8</w:t>
      </w:r>
      <w:r>
        <w:rPr>
          <w:spacing w:val="-3"/>
        </w:rPr>
        <w:t>日，公司联合多名公司股东发起并出资</w:t>
      </w:r>
      <w:r>
        <w:rPr>
          <w:rFonts w:ascii="宋体" w:hAnsi="宋体" w:cs="宋体" w:eastAsia="宋体" w:hint="default"/>
          <w:spacing w:val="-3"/>
        </w:rPr>
        <w:t>200</w:t>
      </w:r>
      <w:r>
        <w:rPr>
          <w:spacing w:val="-3"/>
        </w:rPr>
        <w:t>万元设立深圳市奥之爱公益基金会，积极承担社会责任：</w:t>
      </w:r>
    </w:p>
    <w:p>
      <w:pPr>
        <w:pStyle w:val="BodyText"/>
        <w:spacing w:line="240" w:lineRule="auto" w:before="76"/>
        <w:ind w:left="513" w:right="0"/>
        <w:jc w:val="left"/>
      </w:pPr>
      <w:r>
        <w:rPr>
          <w:spacing w:val="-3"/>
        </w:rPr>
        <w:t>（</w:t>
      </w:r>
      <w:r>
        <w:rPr>
          <w:rFonts w:ascii="宋体" w:hAnsi="宋体" w:cs="宋体" w:eastAsia="宋体" w:hint="default"/>
          <w:spacing w:val="-3"/>
        </w:rPr>
        <w:t>1</w:t>
      </w:r>
      <w:r>
        <w:rPr>
          <w:spacing w:val="-3"/>
        </w:rPr>
        <w:t>）奥之爱公益基金会向江西省景德镇市浮梁县瑶里中学捐建篮球场。</w:t>
      </w:r>
    </w:p>
    <w:p>
      <w:pPr>
        <w:pStyle w:val="BodyText"/>
        <w:spacing w:line="316" w:lineRule="auto" w:before="77"/>
        <w:ind w:right="0" w:firstLine="360"/>
        <w:jc w:val="left"/>
      </w:pPr>
      <w:r>
        <w:rPr>
          <w:spacing w:val="-3"/>
        </w:rPr>
        <w:t>（</w:t>
      </w:r>
      <w:r>
        <w:rPr>
          <w:rFonts w:ascii="宋体" w:hAnsi="宋体" w:cs="宋体" w:eastAsia="宋体" w:hint="default"/>
          <w:spacing w:val="-3"/>
        </w:rPr>
        <w:t>2</w:t>
      </w:r>
      <w:r>
        <w:rPr>
          <w:spacing w:val="-3"/>
        </w:rPr>
        <w:t>）</w:t>
      </w:r>
      <w:r>
        <w:rPr>
          <w:rFonts w:ascii="宋体" w:hAnsi="宋体" w:cs="宋体" w:eastAsia="宋体" w:hint="default"/>
          <w:spacing w:val="-3"/>
        </w:rPr>
        <w:t>2020</w:t>
      </w:r>
      <w:r>
        <w:rPr>
          <w:spacing w:val="-3"/>
        </w:rPr>
        <w:t>年初疫情期间，奥之爱公益基金会为景德镇市红十字会捐款</w:t>
      </w:r>
      <w:r>
        <w:rPr>
          <w:rFonts w:ascii="宋体" w:hAnsi="宋体" w:cs="宋体" w:eastAsia="宋体" w:hint="default"/>
          <w:spacing w:val="-3"/>
        </w:rPr>
        <w:t>10</w:t>
      </w:r>
      <w:r>
        <w:rPr>
          <w:spacing w:val="-3"/>
        </w:rPr>
        <w:t>万元。公司及奥之爱公益基金会共为疫情重灾</w:t>
      </w:r>
      <w:r>
        <w:rPr>
          <w:w w:val="101"/>
        </w:rPr>
        <w:t> </w:t>
      </w:r>
      <w:r>
        <w:rPr>
          <w:spacing w:val="-3"/>
        </w:rPr>
        <w:t>区武汉市捐款</w:t>
      </w:r>
      <w:r>
        <w:rPr>
          <w:rFonts w:ascii="宋体" w:hAnsi="宋体" w:cs="宋体" w:eastAsia="宋体" w:hint="default"/>
          <w:spacing w:val="-3"/>
        </w:rPr>
        <w:t>100</w:t>
      </w:r>
      <w:r>
        <w:rPr>
          <w:spacing w:val="-3"/>
        </w:rPr>
        <w:t>万元，其中，奥之爱公益基金会捐款</w:t>
      </w:r>
      <w:r>
        <w:rPr>
          <w:rFonts w:ascii="宋体" w:hAnsi="宋体" w:cs="宋体" w:eastAsia="宋体" w:hint="default"/>
          <w:spacing w:val="-3"/>
        </w:rPr>
        <w:t>50</w:t>
      </w:r>
      <w:r>
        <w:rPr>
          <w:spacing w:val="-3"/>
        </w:rPr>
        <w:t>万元，公司及员工捐款</w:t>
      </w:r>
      <w:r>
        <w:rPr>
          <w:rFonts w:ascii="宋体" w:hAnsi="宋体" w:cs="宋体" w:eastAsia="宋体" w:hint="default"/>
          <w:spacing w:val="-3"/>
        </w:rPr>
        <w:t>50</w:t>
      </w:r>
      <w:r>
        <w:rPr>
          <w:spacing w:val="-3"/>
        </w:rPr>
        <w:t>万元。</w:t>
      </w: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25"/>
          <w:szCs w:val="25"/>
        </w:rPr>
      </w:pPr>
    </w:p>
    <w:p>
      <w:pPr>
        <w:spacing w:line="391" w:lineRule="auto" w:before="0"/>
        <w:ind w:left="518" w:right="0" w:hanging="365"/>
        <w:jc w:val="left"/>
        <w:rPr>
          <w:rFonts w:ascii="宋体" w:hAnsi="宋体" w:cs="宋体" w:eastAsia="宋体" w:hint="default"/>
          <w:sz w:val="18"/>
          <w:szCs w:val="18"/>
        </w:rPr>
      </w:pPr>
      <w:r>
        <w:rPr>
          <w:rFonts w:ascii="宋体" w:hAnsi="宋体" w:cs="宋体" w:eastAsia="宋体" w:hint="default"/>
          <w:b/>
          <w:bCs/>
          <w:sz w:val="18"/>
          <w:szCs w:val="18"/>
        </w:rPr>
        <w:t>7</w:t>
      </w:r>
      <w:r>
        <w:rPr>
          <w:rFonts w:ascii="宋体" w:hAnsi="宋体" w:cs="宋体" w:eastAsia="宋体" w:hint="default"/>
          <w:b/>
          <w:bCs/>
          <w:sz w:val="18"/>
          <w:szCs w:val="18"/>
        </w:rPr>
        <w:t>、股东回报——稳健经营健康发展，持续回报股东</w:t>
      </w:r>
      <w:r>
        <w:rPr>
          <w:rFonts w:ascii="宋体" w:hAnsi="宋体" w:cs="宋体" w:eastAsia="宋体" w:hint="default"/>
          <w:b/>
          <w:bCs/>
          <w:spacing w:val="-88"/>
          <w:sz w:val="18"/>
          <w:szCs w:val="18"/>
        </w:rPr>
        <w:t> </w:t>
      </w:r>
      <w:r>
        <w:rPr>
          <w:rFonts w:ascii="宋体" w:hAnsi="宋体" w:cs="宋体" w:eastAsia="宋体" w:hint="default"/>
          <w:b/>
          <w:bCs/>
          <w:spacing w:val="-88"/>
          <w:sz w:val="18"/>
          <w:szCs w:val="18"/>
        </w:rPr>
      </w:r>
      <w:r>
        <w:rPr>
          <w:rFonts w:ascii="宋体" w:hAnsi="宋体" w:cs="宋体" w:eastAsia="宋体" w:hint="default"/>
          <w:spacing w:val="-3"/>
          <w:sz w:val="18"/>
          <w:szCs w:val="18"/>
        </w:rPr>
        <w:t>公司秉承稳健的经营风格，健康的发展态势，用心经营持续回馈投资者。报告期内，公司完成</w:t>
      </w:r>
      <w:r>
        <w:rPr>
          <w:rFonts w:ascii="宋体" w:hAnsi="宋体" w:cs="宋体" w:eastAsia="宋体" w:hint="default"/>
          <w:spacing w:val="-3"/>
          <w:sz w:val="18"/>
          <w:szCs w:val="18"/>
        </w:rPr>
        <w:t>2018</w:t>
      </w:r>
      <w:r>
        <w:rPr>
          <w:rFonts w:ascii="宋体" w:hAnsi="宋体" w:cs="宋体" w:eastAsia="宋体" w:hint="default"/>
          <w:spacing w:val="-3"/>
          <w:sz w:val="18"/>
          <w:szCs w:val="18"/>
        </w:rPr>
        <w:t>年度权益分派事宜，</w:t>
      </w:r>
    </w:p>
    <w:p>
      <w:pPr>
        <w:pStyle w:val="BodyText"/>
        <w:spacing w:line="199" w:lineRule="exact" w:before="0"/>
        <w:ind w:right="0"/>
        <w:jc w:val="left"/>
        <w:rPr>
          <w:rFonts w:ascii="宋体" w:hAnsi="宋体" w:cs="宋体" w:eastAsia="宋体" w:hint="default"/>
        </w:rPr>
      </w:pPr>
      <w:r>
        <w:rPr>
          <w:w w:val="101"/>
        </w:rPr>
        <w:t>合</w:t>
      </w:r>
      <w:r>
        <w:rPr>
          <w:spacing w:val="-5"/>
          <w:w w:val="101"/>
        </w:rPr>
        <w:t>计</w:t>
      </w:r>
      <w:r>
        <w:rPr>
          <w:w w:val="101"/>
        </w:rPr>
        <w:t>派</w:t>
      </w:r>
      <w:r>
        <w:rPr>
          <w:spacing w:val="-5"/>
          <w:w w:val="101"/>
        </w:rPr>
        <w:t>发</w:t>
      </w:r>
      <w:r>
        <w:rPr>
          <w:w w:val="101"/>
        </w:rPr>
        <w:t>现</w:t>
      </w:r>
      <w:r>
        <w:rPr>
          <w:spacing w:val="-5"/>
          <w:w w:val="101"/>
        </w:rPr>
        <w:t>金</w:t>
      </w:r>
      <w:r>
        <w:rPr>
          <w:w w:val="101"/>
        </w:rPr>
        <w:t>红</w:t>
      </w:r>
      <w:r>
        <w:rPr>
          <w:spacing w:val="-5"/>
          <w:w w:val="101"/>
        </w:rPr>
        <w:t>利</w:t>
      </w:r>
      <w:r>
        <w:rPr>
          <w:w w:val="101"/>
        </w:rPr>
        <w:t>总</w:t>
      </w:r>
      <w:r>
        <w:rPr>
          <w:spacing w:val="-5"/>
          <w:w w:val="101"/>
        </w:rPr>
        <w:t>额</w:t>
      </w:r>
      <w:r>
        <w:rPr>
          <w:w w:val="101"/>
        </w:rPr>
        <w:t>为为</w:t>
      </w:r>
      <w:r>
        <w:rPr>
          <w:spacing w:val="-3"/>
        </w:rPr>
        <w:t> </w:t>
      </w:r>
      <w:r>
        <w:rPr>
          <w:rFonts w:ascii="宋体" w:hAnsi="宋体" w:cs="宋体" w:eastAsia="宋体" w:hint="default"/>
          <w:w w:val="101"/>
        </w:rPr>
        <w:t>6,1</w:t>
      </w:r>
      <w:r>
        <w:rPr>
          <w:rFonts w:ascii="宋体" w:hAnsi="宋体" w:cs="宋体" w:eastAsia="宋体" w:hint="default"/>
          <w:spacing w:val="-5"/>
          <w:w w:val="101"/>
        </w:rPr>
        <w:t>4</w:t>
      </w:r>
      <w:r>
        <w:rPr>
          <w:rFonts w:ascii="宋体" w:hAnsi="宋体" w:cs="宋体" w:eastAsia="宋体" w:hint="default"/>
          <w:w w:val="101"/>
        </w:rPr>
        <w:t>9.4</w:t>
      </w:r>
      <w:r>
        <w:rPr>
          <w:rFonts w:ascii="宋体" w:hAnsi="宋体" w:cs="宋体" w:eastAsia="宋体" w:hint="default"/>
          <w:spacing w:val="-5"/>
          <w:w w:val="101"/>
        </w:rPr>
        <w:t>0</w:t>
      </w:r>
      <w:r>
        <w:rPr>
          <w:w w:val="101"/>
        </w:rPr>
        <w:t>万</w:t>
      </w:r>
      <w:r>
        <w:rPr>
          <w:spacing w:val="-5"/>
          <w:w w:val="101"/>
        </w:rPr>
        <w:t>元</w:t>
      </w:r>
      <w:r>
        <w:rPr>
          <w:spacing w:val="-68"/>
          <w:w w:val="101"/>
        </w:rPr>
        <w:t>。</w:t>
      </w:r>
      <w:r>
        <w:rPr>
          <w:spacing w:val="-5"/>
          <w:w w:val="101"/>
        </w:rPr>
        <w:t>另</w:t>
      </w:r>
      <w:r>
        <w:rPr>
          <w:w w:val="101"/>
        </w:rPr>
        <w:t>外</w:t>
      </w:r>
      <w:r>
        <w:rPr>
          <w:spacing w:val="-68"/>
          <w:w w:val="101"/>
        </w:rPr>
        <w:t>，</w:t>
      </w:r>
      <w:r>
        <w:rPr>
          <w:spacing w:val="-5"/>
          <w:w w:val="101"/>
        </w:rPr>
        <w:t>报</w:t>
      </w:r>
      <w:r>
        <w:rPr>
          <w:w w:val="101"/>
        </w:rPr>
        <w:t>告</w:t>
      </w:r>
      <w:r>
        <w:rPr>
          <w:spacing w:val="-5"/>
          <w:w w:val="101"/>
        </w:rPr>
        <w:t>期</w:t>
      </w:r>
      <w:r>
        <w:rPr>
          <w:w w:val="101"/>
        </w:rPr>
        <w:t>内</w:t>
      </w:r>
      <w:r>
        <w:rPr>
          <w:spacing w:val="-73"/>
          <w:w w:val="101"/>
        </w:rPr>
        <w:t>，</w:t>
      </w:r>
      <w:r>
        <w:rPr>
          <w:w w:val="101"/>
        </w:rPr>
        <w:t>公</w:t>
      </w:r>
      <w:r>
        <w:rPr>
          <w:spacing w:val="-5"/>
          <w:w w:val="101"/>
        </w:rPr>
        <w:t>司</w:t>
      </w:r>
      <w:r>
        <w:rPr>
          <w:w w:val="101"/>
        </w:rPr>
        <w:t>继</w:t>
      </w:r>
      <w:r>
        <w:rPr>
          <w:spacing w:val="-5"/>
          <w:w w:val="101"/>
        </w:rPr>
        <w:t>续</w:t>
      </w:r>
      <w:r>
        <w:rPr>
          <w:w w:val="101"/>
        </w:rPr>
        <w:t>回</w:t>
      </w:r>
      <w:r>
        <w:rPr>
          <w:spacing w:val="-4"/>
          <w:w w:val="101"/>
        </w:rPr>
        <w:t>购</w:t>
      </w:r>
      <w:r>
        <w:rPr>
          <w:w w:val="101"/>
        </w:rPr>
        <w:t>股份</w:t>
      </w:r>
      <w:r>
        <w:rPr>
          <w:spacing w:val="-68"/>
          <w:w w:val="101"/>
        </w:rPr>
        <w:t>，</w:t>
      </w:r>
      <w:r>
        <w:rPr>
          <w:rFonts w:ascii="宋体" w:hAnsi="宋体" w:cs="宋体" w:eastAsia="宋体" w:hint="default"/>
          <w:spacing w:val="-5"/>
          <w:w w:val="101"/>
        </w:rPr>
        <w:t>2</w:t>
      </w:r>
      <w:r>
        <w:rPr>
          <w:rFonts w:ascii="宋体" w:hAnsi="宋体" w:cs="宋体" w:eastAsia="宋体" w:hint="default"/>
          <w:w w:val="101"/>
        </w:rPr>
        <w:t>01</w:t>
      </w:r>
      <w:r>
        <w:rPr>
          <w:rFonts w:ascii="宋体" w:hAnsi="宋体" w:cs="宋体" w:eastAsia="宋体" w:hint="default"/>
          <w:spacing w:val="-5"/>
          <w:w w:val="101"/>
        </w:rPr>
        <w:t>8</w:t>
      </w:r>
      <w:r>
        <w:rPr>
          <w:w w:val="101"/>
        </w:rPr>
        <w:t>年和</w:t>
      </w:r>
      <w:r>
        <w:rPr>
          <w:rFonts w:ascii="宋体" w:hAnsi="宋体" w:cs="宋体" w:eastAsia="宋体" w:hint="default"/>
          <w:spacing w:val="-5"/>
          <w:w w:val="101"/>
        </w:rPr>
        <w:t>2</w:t>
      </w:r>
      <w:r>
        <w:rPr>
          <w:rFonts w:ascii="宋体" w:hAnsi="宋体" w:cs="宋体" w:eastAsia="宋体" w:hint="default"/>
          <w:w w:val="101"/>
        </w:rPr>
        <w:t>01</w:t>
      </w:r>
      <w:r>
        <w:rPr>
          <w:rFonts w:ascii="宋体" w:hAnsi="宋体" w:cs="宋体" w:eastAsia="宋体" w:hint="default"/>
          <w:spacing w:val="-5"/>
          <w:w w:val="101"/>
        </w:rPr>
        <w:t>9</w:t>
      </w:r>
      <w:r>
        <w:rPr>
          <w:w w:val="101"/>
        </w:rPr>
        <w:t>年</w:t>
      </w:r>
      <w:r>
        <w:rPr>
          <w:spacing w:val="-5"/>
          <w:w w:val="101"/>
        </w:rPr>
        <w:t>支</w:t>
      </w:r>
      <w:r>
        <w:rPr>
          <w:w w:val="101"/>
        </w:rPr>
        <w:t>付</w:t>
      </w:r>
      <w:r>
        <w:rPr>
          <w:spacing w:val="-5"/>
          <w:w w:val="101"/>
        </w:rPr>
        <w:t>的</w:t>
      </w:r>
      <w:r>
        <w:rPr>
          <w:w w:val="101"/>
        </w:rPr>
        <w:t>总</w:t>
      </w:r>
      <w:r>
        <w:rPr>
          <w:spacing w:val="-5"/>
          <w:w w:val="101"/>
        </w:rPr>
        <w:t>金</w:t>
      </w:r>
      <w:r>
        <w:rPr>
          <w:w w:val="101"/>
        </w:rPr>
        <w:t>额为</w:t>
      </w:r>
      <w:r>
        <w:rPr>
          <w:spacing w:val="-4"/>
        </w:rPr>
        <w:t> </w:t>
      </w:r>
      <w:r>
        <w:rPr>
          <w:rFonts w:ascii="宋体" w:hAnsi="宋体" w:cs="宋体" w:eastAsia="宋体" w:hint="default"/>
          <w:w w:val="101"/>
        </w:rPr>
        <w:t>4,</w:t>
      </w:r>
      <w:r>
        <w:rPr>
          <w:rFonts w:ascii="宋体" w:hAnsi="宋体" w:cs="宋体" w:eastAsia="宋体" w:hint="default"/>
          <w:spacing w:val="-5"/>
          <w:w w:val="101"/>
        </w:rPr>
        <w:t>0</w:t>
      </w:r>
      <w:r>
        <w:rPr>
          <w:rFonts w:ascii="宋体" w:hAnsi="宋体" w:cs="宋体" w:eastAsia="宋体" w:hint="default"/>
          <w:w w:val="101"/>
        </w:rPr>
        <w:t>09.</w:t>
      </w:r>
      <w:r>
        <w:rPr>
          <w:rFonts w:ascii="宋体" w:hAnsi="宋体" w:cs="宋体" w:eastAsia="宋体" w:hint="default"/>
          <w:spacing w:val="-5"/>
          <w:w w:val="101"/>
        </w:rPr>
        <w:t>0</w:t>
      </w:r>
      <w:r>
        <w:rPr>
          <w:rFonts w:ascii="宋体" w:hAnsi="宋体" w:cs="宋体" w:eastAsia="宋体" w:hint="default"/>
          <w:w w:val="101"/>
        </w:rPr>
        <w:t>9</w:t>
      </w:r>
      <w:r>
        <w:rPr>
          <w:rFonts w:ascii="宋体" w:hAnsi="宋体" w:cs="宋体" w:eastAsia="宋体" w:hint="default"/>
        </w:rPr>
      </w:r>
    </w:p>
    <w:p>
      <w:pPr>
        <w:pStyle w:val="BodyText"/>
        <w:spacing w:line="316" w:lineRule="auto" w:before="76"/>
        <w:ind w:left="518" w:right="0" w:hanging="365"/>
        <w:jc w:val="left"/>
        <w:rPr>
          <w:rFonts w:ascii="宋体" w:hAnsi="宋体" w:cs="宋体" w:eastAsia="宋体" w:hint="default"/>
        </w:rPr>
      </w:pPr>
      <w:r>
        <w:rPr>
          <w:spacing w:val="-3"/>
        </w:rPr>
        <w:t>万元（不含交易费用）。</w:t>
      </w:r>
      <w:r>
        <w:rPr>
          <w:spacing w:val="-56"/>
        </w:rPr>
        <w:t> </w:t>
      </w:r>
      <w:r>
        <w:rPr>
          <w:spacing w:val="-56"/>
        </w:rPr>
      </w:r>
      <w:r>
        <w:rPr>
          <w:rFonts w:ascii="宋体" w:hAnsi="宋体" w:cs="宋体" w:eastAsia="宋体" w:hint="default"/>
          <w:spacing w:val="-4"/>
        </w:rPr>
        <w:t>2019</w:t>
      </w:r>
      <w:r>
        <w:rPr>
          <w:spacing w:val="-4"/>
        </w:rPr>
        <w:t>年公司拟以未来实施分配方案时股权登记日的总股本</w:t>
      </w:r>
      <w:r>
        <w:rPr>
          <w:rFonts w:ascii="宋体" w:hAnsi="宋体" w:cs="宋体" w:eastAsia="宋体" w:hint="default"/>
          <w:spacing w:val="-4"/>
        </w:rPr>
        <w:t>612,969,732</w:t>
      </w:r>
      <w:r>
        <w:rPr>
          <w:spacing w:val="-4"/>
        </w:rPr>
        <w:t>股为基数（扣除公司回购专用证券账户股份数）</w:t>
      </w:r>
      <w:r>
        <w:rPr>
          <w:rFonts w:ascii="宋体" w:hAnsi="宋体" w:cs="宋体" w:eastAsia="宋体" w:hint="default"/>
          <w:spacing w:val="-4"/>
        </w:rPr>
        <w:t>,</w:t>
      </w:r>
    </w:p>
    <w:p>
      <w:pPr>
        <w:pStyle w:val="BodyText"/>
        <w:spacing w:line="319" w:lineRule="auto" w:before="19"/>
        <w:ind w:left="518" w:right="0" w:hanging="365"/>
        <w:jc w:val="left"/>
      </w:pPr>
      <w:r>
        <w:rPr>
          <w:spacing w:val="-3"/>
        </w:rPr>
        <w:t>向全体股东每</w:t>
      </w:r>
      <w:r>
        <w:rPr>
          <w:rFonts w:ascii="宋体" w:hAnsi="宋体" w:cs="宋体" w:eastAsia="宋体" w:hint="default"/>
          <w:spacing w:val="-3"/>
        </w:rPr>
        <w:t>10</w:t>
      </w:r>
      <w:r>
        <w:rPr>
          <w:spacing w:val="-3"/>
        </w:rPr>
        <w:t>股派发现金股利人民币</w:t>
      </w:r>
      <w:r>
        <w:rPr>
          <w:rFonts w:ascii="宋体" w:hAnsi="宋体" w:cs="宋体" w:eastAsia="宋体" w:hint="default"/>
          <w:spacing w:val="-3"/>
        </w:rPr>
        <w:t>0.8</w:t>
      </w:r>
      <w:r>
        <w:rPr>
          <w:spacing w:val="-3"/>
        </w:rPr>
        <w:t>元（含税），合计派发现金红利总额为 </w:t>
      </w:r>
      <w:r>
        <w:rPr>
          <w:rFonts w:ascii="宋体" w:hAnsi="宋体" w:cs="宋体" w:eastAsia="宋体" w:hint="default"/>
        </w:rPr>
        <w:t>4,903.76 </w:t>
      </w:r>
      <w:r>
        <w:rPr/>
        <w:t>万元。</w:t>
      </w:r>
      <w:r>
        <w:rPr>
          <w:spacing w:val="26"/>
        </w:rPr>
        <w:t> </w:t>
      </w:r>
      <w:r>
        <w:rPr>
          <w:spacing w:val="26"/>
        </w:rPr>
      </w:r>
      <w:r>
        <w:rPr>
          <w:spacing w:val="-3"/>
        </w:rPr>
        <w:t>公司连续</w:t>
      </w:r>
      <w:r>
        <w:rPr>
          <w:rFonts w:ascii="宋体" w:hAnsi="宋体" w:cs="宋体" w:eastAsia="宋体" w:hint="default"/>
          <w:spacing w:val="-3"/>
        </w:rPr>
        <w:t>9</w:t>
      </w:r>
      <w:r>
        <w:rPr>
          <w:spacing w:val="-3"/>
        </w:rPr>
        <w:t>年现金分红，累计现金分红（含回购股份方式及</w:t>
      </w:r>
      <w:r>
        <w:rPr>
          <w:rFonts w:ascii="宋体" w:hAnsi="宋体" w:cs="宋体" w:eastAsia="宋体" w:hint="default"/>
          <w:spacing w:val="-3"/>
        </w:rPr>
        <w:t>2019</w:t>
      </w:r>
      <w:r>
        <w:rPr>
          <w:spacing w:val="-3"/>
        </w:rPr>
        <w:t>年度拟分配现金红利）约</w:t>
      </w:r>
      <w:r>
        <w:rPr>
          <w:rFonts w:ascii="宋体" w:hAnsi="宋体" w:cs="宋体" w:eastAsia="宋体" w:hint="default"/>
          <w:spacing w:val="-3"/>
        </w:rPr>
        <w:t>3.66</w:t>
      </w:r>
      <w:r>
        <w:rPr>
          <w:spacing w:val="-3"/>
        </w:rPr>
        <w:t>亿元。</w:t>
      </w:r>
    </w:p>
    <w:p>
      <w:pPr>
        <w:spacing w:after="0" w:line="319" w:lineRule="auto"/>
        <w:jc w:val="left"/>
        <w:sectPr>
          <w:pgSz w:w="11910" w:h="16840"/>
          <w:pgMar w:header="784" w:footer="1022" w:top="1100" w:bottom="1220" w:left="980" w:right="0"/>
        </w:sectPr>
      </w:pPr>
    </w:p>
    <w:p>
      <w:pPr>
        <w:spacing w:line="240" w:lineRule="auto" w:before="6"/>
        <w:rPr>
          <w:rFonts w:ascii="宋体" w:hAnsi="宋体" w:cs="宋体" w:eastAsia="宋体" w:hint="default"/>
          <w:sz w:val="20"/>
          <w:szCs w:val="20"/>
        </w:rPr>
      </w:pPr>
    </w:p>
    <w:p>
      <w:pPr>
        <w:pStyle w:val="Heading2"/>
        <w:spacing w:line="240" w:lineRule="auto" w:before="26"/>
        <w:ind w:right="0"/>
        <w:jc w:val="left"/>
        <w:rPr>
          <w:b w:val="0"/>
          <w:bCs w:val="0"/>
        </w:rPr>
      </w:pPr>
      <w:bookmarkStart w:name="二、主营业务分析" w:id="26"/>
      <w:bookmarkEnd w:id="26"/>
      <w:r>
        <w:rPr>
          <w:b w:val="0"/>
          <w:bCs w:val="0"/>
        </w:rPr>
      </w:r>
      <w:r>
        <w:rPr/>
        <w:t>二、主营业务分析</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0"/>
        <w:jc w:val="left"/>
        <w:rPr>
          <w:b w:val="0"/>
          <w:bCs w:val="0"/>
        </w:rPr>
      </w:pPr>
      <w:bookmarkStart w:name="1、概述" w:id="27"/>
      <w:bookmarkEnd w:id="27"/>
      <w:r>
        <w:rPr>
          <w:b w:val="0"/>
          <w:bCs w:val="0"/>
        </w:rPr>
      </w:r>
      <w:r>
        <w:rPr>
          <w:rFonts w:ascii="Times New Roman" w:hAnsi="Times New Roman" w:cs="Times New Roman" w:eastAsia="Times New Roman" w:hint="default"/>
        </w:rPr>
        <w:t>1</w:t>
      </w:r>
      <w:r>
        <w:rPr/>
        <w:t>、概述</w:t>
      </w:r>
      <w:r>
        <w:rPr>
          <w:b w:val="0"/>
          <w:bCs w:val="0"/>
        </w:rPr>
      </w:r>
    </w:p>
    <w:p>
      <w:pPr>
        <w:spacing w:line="240" w:lineRule="auto" w:before="1"/>
        <w:rPr>
          <w:rFonts w:ascii="宋体" w:hAnsi="宋体" w:cs="宋体" w:eastAsia="宋体" w:hint="default"/>
          <w:b/>
          <w:bCs/>
          <w:sz w:val="27"/>
          <w:szCs w:val="27"/>
        </w:rPr>
      </w:pPr>
    </w:p>
    <w:p>
      <w:pPr>
        <w:pStyle w:val="BodyText"/>
        <w:spacing w:line="240" w:lineRule="auto" w:before="0"/>
        <w:ind w:right="0"/>
        <w:jc w:val="left"/>
      </w:pPr>
      <w:r>
        <w:rPr>
          <w:spacing w:val="-3"/>
        </w:rPr>
        <w:t>参见“经营情况讨论与分析”中的“一、概述”相关内容。</w:t>
      </w:r>
    </w:p>
    <w:p>
      <w:pPr>
        <w:spacing w:line="240" w:lineRule="auto" w:before="4"/>
        <w:rPr>
          <w:rFonts w:ascii="宋体" w:hAnsi="宋体" w:cs="宋体" w:eastAsia="宋体" w:hint="default"/>
          <w:sz w:val="26"/>
          <w:szCs w:val="26"/>
        </w:rPr>
      </w:pPr>
    </w:p>
    <w:p>
      <w:pPr>
        <w:pStyle w:val="Heading4"/>
        <w:spacing w:line="240" w:lineRule="auto"/>
        <w:ind w:right="0"/>
        <w:jc w:val="left"/>
        <w:rPr>
          <w:b w:val="0"/>
          <w:bCs w:val="0"/>
        </w:rPr>
      </w:pPr>
      <w:bookmarkStart w:name="2、收入与成本" w:id="28"/>
      <w:bookmarkEnd w:id="28"/>
      <w:r>
        <w:rPr>
          <w:b w:val="0"/>
          <w:bCs w:val="0"/>
        </w:rPr>
      </w:r>
      <w:r>
        <w:rPr>
          <w:rFonts w:ascii="Times New Roman" w:hAnsi="Times New Roman" w:cs="Times New Roman" w:eastAsia="Times New Roman" w:hint="default"/>
        </w:rPr>
        <w:t>2</w:t>
      </w:r>
      <w:r>
        <w:rPr/>
        <w:t>、收入与成本</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0"/>
        <w:jc w:val="left"/>
        <w:rPr>
          <w:b w:val="0"/>
          <w:bCs w:val="0"/>
        </w:rPr>
      </w:pPr>
      <w:bookmarkStart w:name="（1）营业收入构成" w:id="29"/>
      <w:bookmarkEnd w:id="29"/>
      <w:r>
        <w:rPr>
          <w:b w:val="0"/>
          <w:bCs w:val="0"/>
        </w:rPr>
      </w:r>
      <w:r>
        <w:rPr/>
        <w:t>（</w:t>
      </w:r>
      <w:r>
        <w:rPr>
          <w:rFonts w:ascii="Times New Roman" w:hAnsi="Times New Roman" w:cs="Times New Roman" w:eastAsia="Times New Roman" w:hint="default"/>
        </w:rPr>
        <w:t>1</w:t>
      </w:r>
      <w:r>
        <w:rPr/>
        <w:t>）营业收入构成</w:t>
      </w:r>
      <w:r>
        <w:rPr>
          <w:b w:val="0"/>
          <w:bCs w:val="0"/>
        </w:rPr>
      </w:r>
    </w:p>
    <w:p>
      <w:pPr>
        <w:spacing w:line="240" w:lineRule="auto" w:before="7"/>
        <w:rPr>
          <w:rFonts w:ascii="宋体" w:hAnsi="宋体" w:cs="宋体" w:eastAsia="宋体" w:hint="default"/>
          <w:b/>
          <w:bCs/>
          <w:sz w:val="23"/>
          <w:szCs w:val="23"/>
        </w:rPr>
      </w:pPr>
    </w:p>
    <w:p>
      <w:pPr>
        <w:pStyle w:val="BodyText"/>
        <w:spacing w:line="240" w:lineRule="auto"/>
        <w:ind w:left="0" w:right="1122"/>
        <w:jc w:val="right"/>
      </w:pPr>
      <w:r>
        <w:rPr>
          <w:spacing w:val="-2"/>
        </w:rPr>
        <w:t>单位：元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599"/>
        <w:gridCol w:w="1594"/>
        <w:gridCol w:w="1595"/>
        <w:gridCol w:w="1594"/>
        <w:gridCol w:w="1594"/>
        <w:gridCol w:w="1594"/>
      </w:tblGrid>
      <w:tr>
        <w:trPr>
          <w:trHeight w:val="403" w:hRule="exact"/>
        </w:trPr>
        <w:tc>
          <w:tcPr>
            <w:tcW w:w="1599" w:type="dxa"/>
            <w:vMerge w:val="restart"/>
            <w:tcBorders>
              <w:top w:val="single" w:sz="4" w:space="0" w:color="000000"/>
              <w:left w:val="single" w:sz="4" w:space="0" w:color="000000"/>
              <w:right w:val="single" w:sz="4" w:space="0" w:color="000000"/>
            </w:tcBorders>
            <w:shd w:val="clear" w:color="auto" w:fill="D2D2D2"/>
          </w:tcPr>
          <w:p>
            <w:pPr/>
          </w:p>
        </w:tc>
        <w:tc>
          <w:tcPr>
            <w:tcW w:w="318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318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398" w:hRule="exact"/>
        </w:trPr>
        <w:tc>
          <w:tcPr>
            <w:tcW w:w="1599" w:type="dxa"/>
            <w:vMerge/>
            <w:tcBorders>
              <w:left w:val="single" w:sz="4" w:space="0" w:color="000000"/>
              <w:bottom w:val="single" w:sz="4" w:space="0" w:color="000000"/>
              <w:right w:val="single" w:sz="4" w:space="0" w:color="000000"/>
            </w:tcBorders>
            <w:shd w:val="clear" w:color="auto" w:fill="D2D2D2"/>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58" w:right="0"/>
              <w:jc w:val="left"/>
              <w:rPr>
                <w:rFonts w:ascii="宋体" w:hAnsi="宋体" w:cs="宋体" w:eastAsia="宋体" w:hint="default"/>
                <w:sz w:val="18"/>
                <w:szCs w:val="18"/>
              </w:rPr>
            </w:pPr>
            <w:r>
              <w:rPr>
                <w:rFonts w:ascii="宋体" w:hAnsi="宋体" w:cs="宋体" w:eastAsia="宋体" w:hint="default"/>
                <w:spacing w:val="-3"/>
                <w:sz w:val="18"/>
                <w:szCs w:val="18"/>
              </w:rPr>
              <w:t>占营业收入比重</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58" w:right="0"/>
              <w:jc w:val="left"/>
              <w:rPr>
                <w:rFonts w:ascii="宋体" w:hAnsi="宋体" w:cs="宋体" w:eastAsia="宋体" w:hint="default"/>
                <w:sz w:val="18"/>
                <w:szCs w:val="18"/>
              </w:rPr>
            </w:pPr>
            <w:r>
              <w:rPr>
                <w:rFonts w:ascii="宋体" w:hAnsi="宋体" w:cs="宋体" w:eastAsia="宋体" w:hint="default"/>
                <w:spacing w:val="-3"/>
                <w:sz w:val="18"/>
                <w:szCs w:val="18"/>
              </w:rPr>
              <w:t>占营业收入比重</w:t>
            </w:r>
          </w:p>
        </w:tc>
        <w:tc>
          <w:tcPr>
            <w:tcW w:w="1594" w:type="dxa"/>
            <w:vMerge/>
            <w:tcBorders>
              <w:left w:val="single" w:sz="4" w:space="0" w:color="000000"/>
              <w:bottom w:val="single" w:sz="4" w:space="0" w:color="000000"/>
              <w:right w:val="single" w:sz="4" w:space="0" w:color="000000"/>
            </w:tcBorders>
            <w:shd w:val="clear" w:color="auto" w:fill="D2D2D2"/>
          </w:tcPr>
          <w:p>
            <w:pPr/>
          </w:p>
        </w:tc>
      </w:tr>
      <w:tr>
        <w:trPr>
          <w:trHeight w:val="409" w:hRule="exact"/>
        </w:trPr>
        <w:tc>
          <w:tcPr>
            <w:tcW w:w="1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营业收入合计</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1,245,130,420.49</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pacing w:val="-2"/>
                <w:sz w:val="18"/>
              </w:rPr>
              <w:t>100%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1,573,372,443.96</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pacing w:val="-2"/>
                <w:sz w:val="18"/>
              </w:rPr>
              <w:t>100%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-20.86%</w:t>
            </w:r>
          </w:p>
        </w:tc>
      </w:tr>
      <w:tr>
        <w:trPr>
          <w:trHeight w:val="398" w:hRule="exact"/>
        </w:trPr>
        <w:tc>
          <w:tcPr>
            <w:tcW w:w="9570"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403"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LED</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应用</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860,455,367.09</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pacing w:val="-3"/>
                <w:sz w:val="18"/>
              </w:rPr>
              <w:t>69.11%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1,281,033,739.87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pacing w:val="-1"/>
                <w:sz w:val="18"/>
              </w:rPr>
              <w:t>81.42%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-32.83%</w:t>
            </w:r>
          </w:p>
        </w:tc>
      </w:tr>
      <w:tr>
        <w:trPr>
          <w:trHeight w:val="398"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金融科技</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384,675,053.40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30.89%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292,338,704.09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pacing w:val="-1"/>
                <w:sz w:val="18"/>
              </w:rPr>
              <w:t>18.58%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31.59%</w:t>
            </w:r>
          </w:p>
        </w:tc>
      </w:tr>
      <w:tr>
        <w:trPr>
          <w:trHeight w:val="404" w:hRule="exact"/>
        </w:trPr>
        <w:tc>
          <w:tcPr>
            <w:tcW w:w="9570"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715"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304" w:lineRule="auto" w:before="53"/>
              <w:ind w:left="105" w:right="18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LED</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视频显示系</w:t>
            </w:r>
            <w:r>
              <w:rPr>
                <w:rFonts w:ascii="宋体" w:hAnsi="宋体" w:cs="宋体" w:eastAsia="宋体" w:hint="default"/>
                <w:spacing w:val="-86"/>
                <w:sz w:val="18"/>
                <w:szCs w:val="18"/>
              </w:rPr>
              <w:t> </w:t>
            </w:r>
            <w:r>
              <w:rPr>
                <w:rFonts w:ascii="宋体" w:hAnsi="宋体" w:cs="宋体" w:eastAsia="宋体" w:hint="default"/>
                <w:sz w:val="18"/>
                <w:szCs w:val="18"/>
              </w:rPr>
              <w:t>统</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395,551,460.01</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31.77%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320,850,441.27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20.39%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1"/>
                <w:sz w:val="18"/>
              </w:rPr>
              <w:t>23.28%</w:t>
            </w:r>
          </w:p>
        </w:tc>
      </w:tr>
      <w:tr>
        <w:trPr>
          <w:trHeight w:val="715"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105" w:right="219"/>
              <w:jc w:val="left"/>
              <w:rPr>
                <w:rFonts w:ascii="宋体" w:hAnsi="宋体" w:cs="宋体" w:eastAsia="宋体" w:hint="default"/>
                <w:sz w:val="18"/>
                <w:szCs w:val="18"/>
              </w:rPr>
            </w:pPr>
            <w:r>
              <w:rPr>
                <w:rFonts w:ascii="宋体" w:hAnsi="宋体" w:cs="宋体" w:eastAsia="宋体" w:hint="default"/>
                <w:spacing w:val="-3"/>
                <w:sz w:val="18"/>
                <w:szCs w:val="18"/>
              </w:rPr>
              <w:t>智能景观亮化工</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程</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2"/>
                <w:sz w:val="18"/>
              </w:rPr>
              <w:t>427,116,670.44</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34.30%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928,701,099.58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59.03%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1"/>
                <w:sz w:val="18"/>
              </w:rPr>
              <w:t>-54.01%</w:t>
            </w:r>
          </w:p>
        </w:tc>
      </w:tr>
      <w:tr>
        <w:trPr>
          <w:trHeight w:val="711"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4"/>
              <w:ind w:left="105" w:right="219"/>
              <w:jc w:val="left"/>
              <w:rPr>
                <w:rFonts w:ascii="宋体" w:hAnsi="宋体" w:cs="宋体" w:eastAsia="宋体" w:hint="default"/>
                <w:sz w:val="18"/>
                <w:szCs w:val="18"/>
              </w:rPr>
            </w:pPr>
            <w:r>
              <w:rPr>
                <w:rFonts w:ascii="宋体" w:hAnsi="宋体" w:cs="宋体" w:eastAsia="宋体" w:hint="default"/>
                <w:spacing w:val="-3"/>
                <w:sz w:val="18"/>
                <w:szCs w:val="18"/>
              </w:rPr>
              <w:t>网点智能化集成</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与设备</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361,613,948.34</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29.04%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271,629,568.99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17.26%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1"/>
                <w:sz w:val="18"/>
              </w:rPr>
              <w:t>33.13%</w:t>
            </w:r>
          </w:p>
        </w:tc>
      </w:tr>
      <w:tr>
        <w:trPr>
          <w:trHeight w:val="403"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服务及其它</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60,848,341.70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4.89%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52,191,334.12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pacing w:val="-1"/>
                <w:sz w:val="18"/>
              </w:rPr>
              <w:t>3.32%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16.59%</w:t>
            </w:r>
          </w:p>
        </w:tc>
      </w:tr>
      <w:tr>
        <w:trPr>
          <w:trHeight w:val="403" w:hRule="exact"/>
        </w:trPr>
        <w:tc>
          <w:tcPr>
            <w:tcW w:w="9570"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4"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海外销售</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348,509,518.82</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27.99%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231,231,069.40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pacing w:val="-1"/>
                <w:sz w:val="18"/>
              </w:rPr>
              <w:t>14.70%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50.72%</w:t>
            </w:r>
          </w:p>
        </w:tc>
      </w:tr>
      <w:tr>
        <w:trPr>
          <w:trHeight w:val="398"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国内销售</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896,620,901.67</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72.01%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1,342,141,374.56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pacing w:val="-1"/>
                <w:sz w:val="18"/>
              </w:rPr>
              <w:t>85.30%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-33.19%</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2）占公司营业收入或营业利润10%以上的行业、产品或地区情况" w:id="30"/>
      <w:bookmarkEnd w:id="30"/>
      <w:r>
        <w:rPr>
          <w:b w:val="0"/>
          <w:bCs w:val="0"/>
        </w:rPr>
      </w:r>
      <w:r>
        <w:rPr/>
        <w:t>（</w:t>
      </w:r>
      <w:r>
        <w:rPr>
          <w:rFonts w:ascii="Times New Roman" w:hAnsi="Times New Roman" w:cs="Times New Roman" w:eastAsia="Times New Roman" w:hint="default"/>
        </w:rPr>
        <w:t>2</w:t>
      </w:r>
      <w:r>
        <w:rPr/>
        <w:t>）占公司营业收入或营业利润</w:t>
      </w:r>
      <w:r>
        <w:rPr>
          <w:spacing w:val="-51"/>
        </w:rPr>
        <w:t> </w:t>
      </w:r>
      <w:r>
        <w:rPr>
          <w:rFonts w:ascii="Times New Roman" w:hAnsi="Times New Roman" w:cs="Times New Roman" w:eastAsia="Times New Roman" w:hint="default"/>
        </w:rPr>
        <w:t>10%</w:t>
      </w:r>
      <w:r>
        <w:rPr/>
        <w:t>以上的行业、产品或地区情况</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right="0"/>
        <w:jc w:val="left"/>
      </w:pPr>
      <w:r>
        <w:rPr/>
        <w:t>√ </w:t>
      </w:r>
      <w:r>
        <w:rPr>
          <w:spacing w:val="-3"/>
        </w:rPr>
        <w:t>适用 </w:t>
      </w:r>
      <w:r>
        <w:rPr/>
        <w:t>□</w:t>
      </w:r>
      <w:r>
        <w:rPr>
          <w:spacing w:val="13"/>
        </w:rPr>
        <w:t> </w:t>
      </w:r>
      <w:r>
        <w:rPr/>
        <w:t>不适用</w:t>
      </w:r>
    </w:p>
    <w:p>
      <w:pPr>
        <w:pStyle w:val="BodyText"/>
        <w:spacing w:line="240" w:lineRule="auto" w:before="115"/>
        <w:ind w:left="0" w:right="1122"/>
        <w:jc w:val="right"/>
      </w:pPr>
      <w:r>
        <w:rPr>
          <w:spacing w:val="-2"/>
        </w:rPr>
        <w:t>单位：元</w:t>
      </w:r>
    </w:p>
    <w:p>
      <w:pPr>
        <w:spacing w:line="240" w:lineRule="auto" w:before="10"/>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369"/>
        <w:gridCol w:w="1364"/>
        <w:gridCol w:w="1369"/>
        <w:gridCol w:w="1368"/>
        <w:gridCol w:w="1368"/>
        <w:gridCol w:w="1364"/>
        <w:gridCol w:w="1373"/>
      </w:tblGrid>
      <w:tr>
        <w:trPr>
          <w:trHeight w:val="713"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14" w:right="0"/>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营业成本</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412" w:right="0"/>
              <w:jc w:val="left"/>
              <w:rPr>
                <w:rFonts w:ascii="宋体" w:hAnsi="宋体" w:cs="宋体" w:eastAsia="宋体" w:hint="default"/>
                <w:sz w:val="18"/>
                <w:szCs w:val="18"/>
              </w:rPr>
            </w:pPr>
            <w:r>
              <w:rPr>
                <w:rFonts w:ascii="宋体" w:hAnsi="宋体" w:cs="宋体" w:eastAsia="宋体" w:hint="default"/>
                <w:sz w:val="18"/>
                <w:szCs w:val="18"/>
              </w:rPr>
              <w:t>毛利率</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6"/>
              <w:ind w:left="225" w:right="137" w:hanging="92"/>
              <w:jc w:val="left"/>
              <w:rPr>
                <w:rFonts w:ascii="宋体" w:hAnsi="宋体" w:cs="宋体" w:eastAsia="宋体" w:hint="default"/>
                <w:sz w:val="18"/>
                <w:szCs w:val="18"/>
              </w:rPr>
            </w:pPr>
            <w:r>
              <w:rPr>
                <w:rFonts w:ascii="宋体" w:hAnsi="宋体" w:cs="宋体" w:eastAsia="宋体" w:hint="default"/>
                <w:spacing w:val="-2"/>
                <w:sz w:val="18"/>
                <w:szCs w:val="18"/>
              </w:rPr>
              <w:t>营业收入比上</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年同期增减</w:t>
            </w:r>
          </w:p>
        </w:tc>
        <w:tc>
          <w:tcPr>
            <w:tcW w:w="13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6"/>
              <w:ind w:left="226" w:right="132" w:hanging="92"/>
              <w:jc w:val="left"/>
              <w:rPr>
                <w:rFonts w:ascii="宋体" w:hAnsi="宋体" w:cs="宋体" w:eastAsia="宋体" w:hint="default"/>
                <w:sz w:val="18"/>
                <w:szCs w:val="18"/>
              </w:rPr>
            </w:pPr>
            <w:r>
              <w:rPr>
                <w:rFonts w:ascii="宋体" w:hAnsi="宋体" w:cs="宋体" w:eastAsia="宋体" w:hint="default"/>
                <w:spacing w:val="-2"/>
                <w:sz w:val="18"/>
                <w:szCs w:val="18"/>
              </w:rPr>
              <w:t>营业成本比上</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年同期增减</w:t>
            </w:r>
          </w:p>
        </w:tc>
        <w:tc>
          <w:tcPr>
            <w:tcW w:w="1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6"/>
              <w:ind w:left="321" w:right="132" w:hanging="178"/>
              <w:jc w:val="left"/>
              <w:rPr>
                <w:rFonts w:ascii="宋体" w:hAnsi="宋体" w:cs="宋体" w:eastAsia="宋体" w:hint="default"/>
                <w:sz w:val="18"/>
                <w:szCs w:val="18"/>
              </w:rPr>
            </w:pPr>
            <w:r>
              <w:rPr>
                <w:rFonts w:ascii="宋体" w:hAnsi="宋体" w:cs="宋体" w:eastAsia="宋体" w:hint="default"/>
                <w:spacing w:val="-2"/>
                <w:sz w:val="18"/>
                <w:szCs w:val="18"/>
              </w:rPr>
              <w:t>毛利率比上年</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同期增减</w:t>
            </w:r>
          </w:p>
        </w:tc>
      </w:tr>
      <w:tr>
        <w:trPr>
          <w:trHeight w:val="403" w:hRule="exact"/>
        </w:trPr>
        <w:tc>
          <w:tcPr>
            <w:tcW w:w="9575"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404"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LED</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应用</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42" w:right="0"/>
              <w:jc w:val="center"/>
              <w:rPr>
                <w:rFonts w:ascii="Times New Roman" w:hAnsi="Times New Roman" w:cs="Times New Roman" w:eastAsia="Times New Roman" w:hint="default"/>
                <w:sz w:val="18"/>
                <w:szCs w:val="18"/>
              </w:rPr>
            </w:pPr>
            <w:r>
              <w:rPr>
                <w:rFonts w:ascii="Times New Roman"/>
                <w:sz w:val="18"/>
              </w:rPr>
              <w:t>860,455,367.09</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42" w:right="0"/>
              <w:jc w:val="center"/>
              <w:rPr>
                <w:rFonts w:ascii="Times New Roman" w:hAnsi="Times New Roman" w:cs="Times New Roman" w:eastAsia="Times New Roman" w:hint="default"/>
                <w:sz w:val="18"/>
                <w:szCs w:val="18"/>
              </w:rPr>
            </w:pPr>
            <w:r>
              <w:rPr>
                <w:rFonts w:ascii="Times New Roman"/>
                <w:sz w:val="18"/>
              </w:rPr>
              <w:t>477,762,116.02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44.48%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pacing w:val="-1"/>
                <w:sz w:val="18"/>
              </w:rPr>
              <w:t>-32.83%</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-46.39%</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14.05%</w:t>
            </w:r>
          </w:p>
        </w:tc>
      </w:tr>
      <w:tr>
        <w:trPr>
          <w:trHeight w:val="401"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金融科技</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42" w:right="0"/>
              <w:jc w:val="center"/>
              <w:rPr>
                <w:rFonts w:ascii="Times New Roman" w:hAnsi="Times New Roman" w:cs="Times New Roman" w:eastAsia="Times New Roman" w:hint="default"/>
                <w:sz w:val="18"/>
                <w:szCs w:val="18"/>
              </w:rPr>
            </w:pPr>
            <w:r>
              <w:rPr>
                <w:rFonts w:ascii="Times New Roman"/>
                <w:sz w:val="18"/>
              </w:rPr>
              <w:t>384,675,053.40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37" w:right="0"/>
              <w:jc w:val="center"/>
              <w:rPr>
                <w:rFonts w:ascii="Times New Roman" w:hAnsi="Times New Roman" w:cs="Times New Roman" w:eastAsia="Times New Roman" w:hint="default"/>
                <w:sz w:val="18"/>
                <w:szCs w:val="18"/>
              </w:rPr>
            </w:pPr>
            <w:r>
              <w:rPr>
                <w:rFonts w:ascii="Times New Roman"/>
                <w:sz w:val="18"/>
              </w:rPr>
              <w:t>214,182,345.62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44.32%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pacing w:val="-1"/>
                <w:sz w:val="18"/>
              </w:rPr>
              <w:t>31.59%</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38.38%</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2"/>
                <w:sz w:val="18"/>
              </w:rPr>
              <w:t>-2.74%</w:t>
            </w:r>
          </w:p>
        </w:tc>
      </w:tr>
      <w:tr>
        <w:trPr>
          <w:trHeight w:val="401" w:hRule="exact"/>
        </w:trPr>
        <w:tc>
          <w:tcPr>
            <w:tcW w:w="9575"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105" w:right="0"/>
              <w:jc w:val="left"/>
              <w:rPr>
                <w:rFonts w:ascii="宋体" w:hAnsi="宋体" w:cs="宋体" w:eastAsia="宋体" w:hint="default"/>
                <w:sz w:val="18"/>
                <w:szCs w:val="18"/>
              </w:rPr>
            </w:pPr>
            <w:r>
              <w:rPr>
                <w:rFonts w:ascii="宋体" w:hAnsi="宋体" w:cs="宋体" w:eastAsia="宋体" w:hint="default"/>
                <w:sz w:val="18"/>
                <w:szCs w:val="18"/>
              </w:rPr>
              <w:t>分产品</w:t>
            </w:r>
          </w:p>
        </w:tc>
      </w:tr>
    </w:tbl>
    <w:p>
      <w:pPr>
        <w:spacing w:after="0" w:line="240" w:lineRule="auto"/>
        <w:jc w:val="left"/>
        <w:rPr>
          <w:rFonts w:ascii="宋体" w:hAnsi="宋体" w:cs="宋体" w:eastAsia="宋体" w:hint="default"/>
          <w:sz w:val="18"/>
          <w:szCs w:val="18"/>
        </w:rPr>
        <w:sectPr>
          <w:pgSz w:w="11910" w:h="16840"/>
          <w:pgMar w:header="784" w:footer="1022" w:top="1100" w:bottom="1220" w:left="980" w:right="0"/>
        </w:sectPr>
      </w:pPr>
    </w:p>
    <w:p>
      <w:pPr>
        <w:spacing w:line="240" w:lineRule="auto" w:before="7"/>
        <w:rPr>
          <w:rFonts w:ascii="宋体" w:hAnsi="宋体" w:cs="宋体" w:eastAsia="宋体" w:hint="default"/>
          <w:sz w:val="25"/>
          <w:szCs w:val="25"/>
        </w:rPr>
      </w:pPr>
    </w:p>
    <w:tbl>
      <w:tblPr>
        <w:tblW w:w="0" w:type="auto"/>
        <w:jc w:val="left"/>
        <w:tblInd w:w="148" w:type="dxa"/>
        <w:tblLayout w:type="fixed"/>
        <w:tblCellMar>
          <w:top w:w="0" w:type="dxa"/>
          <w:left w:w="0" w:type="dxa"/>
          <w:bottom w:w="0" w:type="dxa"/>
          <w:right w:w="0" w:type="dxa"/>
        </w:tblCellMar>
        <w:tblLook w:val="01E0"/>
      </w:tblPr>
      <w:tblGrid>
        <w:gridCol w:w="1369"/>
        <w:gridCol w:w="1364"/>
        <w:gridCol w:w="1369"/>
        <w:gridCol w:w="1368"/>
        <w:gridCol w:w="1368"/>
        <w:gridCol w:w="1364"/>
        <w:gridCol w:w="1373"/>
      </w:tblGrid>
      <w:tr>
        <w:trPr>
          <w:trHeight w:val="715"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3"/>
              <w:ind w:left="105" w:right="132"/>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LED</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视频显示</w:t>
            </w:r>
            <w:r>
              <w:rPr>
                <w:rFonts w:ascii="宋体" w:hAnsi="宋体" w:cs="宋体" w:eastAsia="宋体" w:hint="default"/>
                <w:spacing w:val="-87"/>
                <w:sz w:val="18"/>
                <w:szCs w:val="18"/>
              </w:rPr>
              <w:t> </w:t>
            </w:r>
            <w:r>
              <w:rPr>
                <w:rFonts w:ascii="宋体" w:hAnsi="宋体" w:cs="宋体" w:eastAsia="宋体" w:hint="default"/>
                <w:sz w:val="18"/>
                <w:szCs w:val="18"/>
              </w:rPr>
              <w:t>系统</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89"/>
              <w:jc w:val="right"/>
              <w:rPr>
                <w:rFonts w:ascii="Times New Roman" w:hAnsi="Times New Roman" w:cs="Times New Roman" w:eastAsia="Times New Roman" w:hint="default"/>
                <w:sz w:val="18"/>
                <w:szCs w:val="18"/>
              </w:rPr>
            </w:pPr>
            <w:r>
              <w:rPr>
                <w:rFonts w:ascii="Times New Roman"/>
                <w:spacing w:val="-1"/>
                <w:sz w:val="18"/>
              </w:rPr>
              <w:t>395,551,460.01</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170,086,962.79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1"/>
                <w:sz w:val="18"/>
              </w:rPr>
              <w:t>57.00%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23.28%</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1"/>
                <w:sz w:val="18"/>
              </w:rPr>
              <w:t>6.96%</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1"/>
                <w:sz w:val="18"/>
              </w:rPr>
              <w:t>6.56%</w:t>
            </w:r>
          </w:p>
        </w:tc>
      </w:tr>
      <w:tr>
        <w:trPr>
          <w:trHeight w:val="711"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3"/>
              <w:ind w:left="105" w:right="166"/>
              <w:jc w:val="left"/>
              <w:rPr>
                <w:rFonts w:ascii="宋体" w:hAnsi="宋体" w:cs="宋体" w:eastAsia="宋体" w:hint="default"/>
                <w:sz w:val="18"/>
                <w:szCs w:val="18"/>
              </w:rPr>
            </w:pPr>
            <w:r>
              <w:rPr>
                <w:rFonts w:ascii="宋体" w:hAnsi="宋体" w:cs="宋体" w:eastAsia="宋体" w:hint="default"/>
                <w:spacing w:val="-2"/>
                <w:sz w:val="18"/>
                <w:szCs w:val="18"/>
              </w:rPr>
              <w:t>智能景观亮化</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工程</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89"/>
              <w:jc w:val="right"/>
              <w:rPr>
                <w:rFonts w:ascii="Times New Roman" w:hAnsi="Times New Roman" w:cs="Times New Roman" w:eastAsia="Times New Roman" w:hint="default"/>
                <w:sz w:val="18"/>
                <w:szCs w:val="18"/>
              </w:rPr>
            </w:pPr>
            <w:r>
              <w:rPr>
                <w:rFonts w:ascii="Times New Roman"/>
                <w:spacing w:val="-2"/>
                <w:sz w:val="18"/>
              </w:rPr>
              <w:t>427,116,670.44</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295,728,898.56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1"/>
                <w:sz w:val="18"/>
              </w:rPr>
              <w:t>30.76%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-54.01%</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1"/>
                <w:sz w:val="18"/>
              </w:rPr>
              <w:t>-58.58%</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1"/>
                <w:sz w:val="18"/>
              </w:rPr>
              <w:t>7.65%</w:t>
            </w:r>
          </w:p>
        </w:tc>
      </w:tr>
      <w:tr>
        <w:trPr>
          <w:trHeight w:val="715"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8"/>
              <w:ind w:left="105" w:right="166"/>
              <w:jc w:val="left"/>
              <w:rPr>
                <w:rFonts w:ascii="宋体" w:hAnsi="宋体" w:cs="宋体" w:eastAsia="宋体" w:hint="default"/>
                <w:sz w:val="18"/>
                <w:szCs w:val="18"/>
              </w:rPr>
            </w:pPr>
            <w:r>
              <w:rPr>
                <w:rFonts w:ascii="宋体" w:hAnsi="宋体" w:cs="宋体" w:eastAsia="宋体" w:hint="default"/>
                <w:spacing w:val="-2"/>
                <w:sz w:val="18"/>
                <w:szCs w:val="18"/>
              </w:rPr>
              <w:t>网点智能化集</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成与设备</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89"/>
              <w:jc w:val="right"/>
              <w:rPr>
                <w:rFonts w:ascii="Times New Roman" w:hAnsi="Times New Roman" w:cs="Times New Roman" w:eastAsia="Times New Roman" w:hint="default"/>
                <w:sz w:val="18"/>
                <w:szCs w:val="18"/>
              </w:rPr>
            </w:pPr>
            <w:r>
              <w:rPr>
                <w:rFonts w:ascii="Times New Roman"/>
                <w:spacing w:val="-1"/>
                <w:sz w:val="18"/>
              </w:rPr>
              <w:t>361,613,948.34</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213,636,380.30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1"/>
                <w:sz w:val="18"/>
              </w:rPr>
              <w:t>40.92%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33.13%</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1"/>
                <w:sz w:val="18"/>
              </w:rPr>
              <w:t>38.41%</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2"/>
                <w:sz w:val="18"/>
              </w:rPr>
              <w:t>-2.25%</w:t>
            </w: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服务及其它</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0"/>
              <w:jc w:val="right"/>
              <w:rPr>
                <w:rFonts w:ascii="Times New Roman" w:hAnsi="Times New Roman" w:cs="Times New Roman" w:eastAsia="Times New Roman" w:hint="default"/>
                <w:sz w:val="18"/>
                <w:szCs w:val="18"/>
              </w:rPr>
            </w:pPr>
            <w:r>
              <w:rPr>
                <w:rFonts w:ascii="Times New Roman"/>
                <w:spacing w:val="-1"/>
                <w:sz w:val="18"/>
              </w:rPr>
              <w:t>60,848,341.70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12,492,219.99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79.47%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pacing w:val="-1"/>
                <w:sz w:val="18"/>
              </w:rPr>
              <w:t>16.59%</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-32.77%</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15.07%</w:t>
            </w:r>
          </w:p>
        </w:tc>
      </w:tr>
      <w:tr>
        <w:trPr>
          <w:trHeight w:val="404" w:hRule="exact"/>
        </w:trPr>
        <w:tc>
          <w:tcPr>
            <w:tcW w:w="9575"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398"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海外销售</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89"/>
              <w:jc w:val="right"/>
              <w:rPr>
                <w:rFonts w:ascii="Times New Roman" w:hAnsi="Times New Roman" w:cs="Times New Roman" w:eastAsia="Times New Roman" w:hint="default"/>
                <w:sz w:val="18"/>
                <w:szCs w:val="18"/>
              </w:rPr>
            </w:pPr>
            <w:r>
              <w:rPr>
                <w:rFonts w:ascii="Times New Roman"/>
                <w:spacing w:val="-1"/>
                <w:sz w:val="18"/>
              </w:rPr>
              <w:t>348,509,518.82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142,253,787.33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59.18%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pacing w:val="-1"/>
                <w:sz w:val="18"/>
              </w:rPr>
              <w:t>50.72%</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21.07%</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10.00%</w:t>
            </w: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z w:val="18"/>
                <w:szCs w:val="18"/>
              </w:rPr>
              <w:t>国内销售</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89"/>
              <w:jc w:val="right"/>
              <w:rPr>
                <w:rFonts w:ascii="Times New Roman" w:hAnsi="Times New Roman" w:cs="Times New Roman" w:eastAsia="Times New Roman" w:hint="default"/>
                <w:sz w:val="18"/>
                <w:szCs w:val="18"/>
              </w:rPr>
            </w:pPr>
            <w:r>
              <w:rPr>
                <w:rFonts w:ascii="Times New Roman"/>
                <w:spacing w:val="-1"/>
                <w:sz w:val="18"/>
              </w:rPr>
              <w:t>896,620,901.67</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549,690,674.31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5"/>
              <w:jc w:val="right"/>
              <w:rPr>
                <w:rFonts w:ascii="Times New Roman" w:hAnsi="Times New Roman" w:cs="Times New Roman" w:eastAsia="Times New Roman" w:hint="default"/>
                <w:sz w:val="18"/>
                <w:szCs w:val="18"/>
              </w:rPr>
            </w:pPr>
            <w:r>
              <w:rPr>
                <w:rFonts w:ascii="Times New Roman"/>
                <w:spacing w:val="-1"/>
                <w:sz w:val="18"/>
              </w:rPr>
              <w:t>38.69%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pacing w:val="-1"/>
                <w:sz w:val="18"/>
              </w:rPr>
              <w:t>-33.19%</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5"/>
              <w:jc w:val="right"/>
              <w:rPr>
                <w:rFonts w:ascii="Times New Roman" w:hAnsi="Times New Roman" w:cs="Times New Roman" w:eastAsia="Times New Roman" w:hint="default"/>
                <w:sz w:val="18"/>
                <w:szCs w:val="18"/>
              </w:rPr>
            </w:pPr>
            <w:r>
              <w:rPr>
                <w:rFonts w:ascii="Times New Roman"/>
                <w:spacing w:val="-1"/>
                <w:sz w:val="18"/>
              </w:rPr>
              <w:t>-40.80%</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5"/>
              <w:jc w:val="right"/>
              <w:rPr>
                <w:rFonts w:ascii="Times New Roman" w:hAnsi="Times New Roman" w:cs="Times New Roman" w:eastAsia="Times New Roman" w:hint="default"/>
                <w:sz w:val="18"/>
                <w:szCs w:val="18"/>
              </w:rPr>
            </w:pPr>
            <w:r>
              <w:rPr>
                <w:rFonts w:ascii="Times New Roman"/>
                <w:spacing w:val="-1"/>
                <w:sz w:val="18"/>
              </w:rPr>
              <w:t>7.87%</w:t>
            </w:r>
          </w:p>
        </w:tc>
      </w:tr>
    </w:tbl>
    <w:p>
      <w:pPr>
        <w:pStyle w:val="BodyText"/>
        <w:spacing w:line="240" w:lineRule="auto" w:before="53"/>
        <w:ind w:right="0"/>
        <w:jc w:val="left"/>
      </w:pPr>
      <w:r>
        <w:rPr>
          <w:spacing w:val="-3"/>
        </w:rPr>
        <w:t>公司主营业务数据统计口径在报告期发生调整的情况下，公司最近 </w:t>
      </w:r>
      <w:r>
        <w:rPr>
          <w:rFonts w:ascii="Times New Roman" w:hAnsi="Times New Roman" w:cs="Times New Roman" w:eastAsia="Times New Roman" w:hint="default"/>
        </w:rPr>
        <w:t>1  </w:t>
      </w:r>
      <w:r>
        <w:rPr>
          <w:rFonts w:ascii="Times New Roman" w:hAnsi="Times New Roman" w:cs="Times New Roman" w:eastAsia="Times New Roman" w:hint="default"/>
          <w:spacing w:val="5"/>
        </w:rPr>
        <w:t> </w:t>
      </w:r>
      <w:r>
        <w:rPr>
          <w:spacing w:val="-3"/>
        </w:rPr>
        <w:t>年按报告期末口径调整后的主营业务数据</w:t>
      </w:r>
    </w:p>
    <w:p>
      <w:pPr>
        <w:pStyle w:val="BodyText"/>
        <w:spacing w:line="240" w:lineRule="auto" w:before="106"/>
        <w:ind w:right="0"/>
        <w:jc w:val="left"/>
      </w:pPr>
      <w:r>
        <w:rPr/>
        <w:t>□ </w:t>
      </w:r>
      <w:r>
        <w:rPr>
          <w:spacing w:val="-3"/>
        </w:rPr>
        <w:t>适用 </w:t>
      </w:r>
      <w:r>
        <w:rPr/>
        <w:t>√</w:t>
      </w:r>
      <w:r>
        <w:rPr>
          <w:spacing w:val="13"/>
        </w:rPr>
        <w:t> </w:t>
      </w:r>
      <w:r>
        <w:rPr/>
        <w:t>不适用</w:t>
      </w:r>
    </w:p>
    <w:p>
      <w:pPr>
        <w:spacing w:line="240" w:lineRule="auto" w:before="4"/>
        <w:rPr>
          <w:rFonts w:ascii="宋体" w:hAnsi="宋体" w:cs="宋体" w:eastAsia="宋体" w:hint="default"/>
          <w:sz w:val="26"/>
          <w:szCs w:val="26"/>
        </w:rPr>
      </w:pPr>
    </w:p>
    <w:p>
      <w:pPr>
        <w:pStyle w:val="Heading4"/>
        <w:spacing w:line="240" w:lineRule="auto"/>
        <w:ind w:right="0"/>
        <w:jc w:val="left"/>
        <w:rPr>
          <w:b w:val="0"/>
          <w:bCs w:val="0"/>
        </w:rPr>
      </w:pPr>
      <w:bookmarkStart w:name="（3）公司实物销售收入是否大于劳务收入" w:id="31"/>
      <w:bookmarkEnd w:id="31"/>
      <w:r>
        <w:rPr>
          <w:b w:val="0"/>
          <w:bCs w:val="0"/>
        </w:rPr>
      </w:r>
      <w:r>
        <w:rPr/>
        <w:t>（</w:t>
      </w:r>
      <w:r>
        <w:rPr>
          <w:rFonts w:ascii="Times New Roman" w:hAnsi="Times New Roman" w:cs="Times New Roman" w:eastAsia="Times New Roman" w:hint="default"/>
        </w:rPr>
        <w:t>3</w:t>
      </w:r>
      <w:r>
        <w:rPr/>
        <w:t>）公司实物销售收入是否大于劳务收入</w:t>
      </w:r>
      <w:r>
        <w:rPr>
          <w:b w:val="0"/>
          <w:bCs w:val="0"/>
        </w:rPr>
      </w:r>
    </w:p>
    <w:p>
      <w:pPr>
        <w:spacing w:line="240" w:lineRule="auto" w:before="1"/>
        <w:rPr>
          <w:rFonts w:ascii="宋体" w:hAnsi="宋体" w:cs="宋体" w:eastAsia="宋体" w:hint="default"/>
          <w:b/>
          <w:bCs/>
          <w:sz w:val="27"/>
          <w:szCs w:val="27"/>
        </w:rPr>
      </w:pPr>
    </w:p>
    <w:p>
      <w:pPr>
        <w:pStyle w:val="BodyText"/>
        <w:spacing w:line="240" w:lineRule="auto" w:before="0"/>
        <w:ind w:right="0"/>
        <w:jc w:val="left"/>
      </w:pPr>
      <w:r>
        <w:rPr/>
        <w:t>√ 是 □</w:t>
      </w:r>
      <w:r>
        <w:rPr>
          <w:spacing w:val="2"/>
        </w:rPr>
        <w:t> </w:t>
      </w:r>
      <w:r>
        <w:rPr/>
        <w:t>否</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599"/>
        <w:gridCol w:w="1594"/>
        <w:gridCol w:w="1595"/>
        <w:gridCol w:w="1594"/>
        <w:gridCol w:w="1594"/>
        <w:gridCol w:w="1594"/>
      </w:tblGrid>
      <w:tr>
        <w:trPr>
          <w:trHeight w:val="399" w:hRule="exact"/>
        </w:trPr>
        <w:tc>
          <w:tcPr>
            <w:tcW w:w="1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36" w:right="0"/>
              <w:jc w:val="left"/>
              <w:rPr>
                <w:rFonts w:ascii="宋体" w:hAnsi="宋体" w:cs="宋体" w:eastAsia="宋体" w:hint="default"/>
                <w:sz w:val="18"/>
                <w:szCs w:val="18"/>
              </w:rPr>
            </w:pPr>
            <w:r>
              <w:rPr>
                <w:rFonts w:ascii="宋体" w:hAnsi="宋体" w:cs="宋体" w:eastAsia="宋体" w:hint="default"/>
                <w:sz w:val="18"/>
                <w:szCs w:val="18"/>
              </w:rPr>
              <w:t>行业分类</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单位</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9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9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32"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3" w:hRule="exact"/>
        </w:trPr>
        <w:tc>
          <w:tcPr>
            <w:tcW w:w="1599" w:type="dxa"/>
            <w:vMerge w:val="restart"/>
            <w:tcBorders>
              <w:top w:val="single" w:sz="4" w:space="0" w:color="000000"/>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3"/>
                <w:szCs w:val="23"/>
              </w:rPr>
            </w:pPr>
          </w:p>
          <w:p>
            <w:pPr>
              <w:pStyle w:val="TableParagraph"/>
              <w:spacing w:line="300" w:lineRule="auto"/>
              <w:ind w:left="105" w:right="18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LED</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视频显示系</w:t>
            </w:r>
            <w:r>
              <w:rPr>
                <w:rFonts w:ascii="宋体" w:hAnsi="宋体" w:cs="宋体" w:eastAsia="宋体" w:hint="default"/>
                <w:spacing w:val="-86"/>
                <w:sz w:val="18"/>
                <w:szCs w:val="18"/>
              </w:rPr>
              <w:t> </w:t>
            </w:r>
            <w:r>
              <w:rPr>
                <w:rFonts w:ascii="宋体" w:hAnsi="宋体" w:cs="宋体" w:eastAsia="宋体" w:hint="default"/>
                <w:sz w:val="18"/>
                <w:szCs w:val="18"/>
              </w:rPr>
              <w:t>统</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z w:val="18"/>
                <w:szCs w:val="18"/>
              </w:rPr>
              <w:t>销售量</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1" w:right="0"/>
              <w:jc w:val="left"/>
              <w:rPr>
                <w:rFonts w:ascii="宋体" w:hAnsi="宋体" w:cs="宋体" w:eastAsia="宋体" w:hint="default"/>
                <w:sz w:val="18"/>
                <w:szCs w:val="18"/>
              </w:rPr>
            </w:pPr>
            <w:r>
              <w:rPr>
                <w:rFonts w:ascii="宋体" w:hAnsi="宋体" w:cs="宋体" w:eastAsia="宋体" w:hint="default"/>
                <w:w w:val="101"/>
                <w:sz w:val="18"/>
                <w:szCs w:val="18"/>
              </w:rPr>
              <w:t>点</w:t>
            </w:r>
            <w:r>
              <w:rPr>
                <w:rFonts w:ascii="宋体" w:hAnsi="宋体" w:cs="宋体" w:eastAsia="宋体" w:hint="default"/>
                <w:sz w:val="18"/>
                <w:szCs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1,049,937,371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811,019,742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29.46%</w:t>
            </w:r>
          </w:p>
        </w:tc>
      </w:tr>
      <w:tr>
        <w:trPr>
          <w:trHeight w:val="403" w:hRule="exact"/>
        </w:trPr>
        <w:tc>
          <w:tcPr>
            <w:tcW w:w="1599" w:type="dxa"/>
            <w:vMerge/>
            <w:tcBorders>
              <w:left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z w:val="18"/>
                <w:szCs w:val="18"/>
              </w:rPr>
              <w:t>生产量</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1" w:right="0"/>
              <w:jc w:val="left"/>
              <w:rPr>
                <w:rFonts w:ascii="宋体" w:hAnsi="宋体" w:cs="宋体" w:eastAsia="宋体" w:hint="default"/>
                <w:sz w:val="18"/>
                <w:szCs w:val="18"/>
              </w:rPr>
            </w:pPr>
            <w:r>
              <w:rPr>
                <w:rFonts w:ascii="宋体" w:hAnsi="宋体" w:cs="宋体" w:eastAsia="宋体" w:hint="default"/>
                <w:w w:val="101"/>
                <w:sz w:val="18"/>
                <w:szCs w:val="18"/>
              </w:rPr>
              <w:t>点</w:t>
            </w:r>
            <w:r>
              <w:rPr>
                <w:rFonts w:ascii="宋体" w:hAnsi="宋体" w:cs="宋体" w:eastAsia="宋体" w:hint="default"/>
                <w:sz w:val="18"/>
                <w:szCs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3"/>
                <w:sz w:val="18"/>
              </w:rPr>
              <w:t>1,111,081,118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891,921,698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24.57%</w:t>
            </w:r>
          </w:p>
        </w:tc>
      </w:tr>
      <w:tr>
        <w:trPr>
          <w:trHeight w:val="403" w:hRule="exact"/>
        </w:trPr>
        <w:tc>
          <w:tcPr>
            <w:tcW w:w="1599" w:type="dxa"/>
            <w:vMerge/>
            <w:tcBorders>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z w:val="18"/>
                <w:szCs w:val="18"/>
              </w:rPr>
              <w:t>库存量</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1" w:right="0"/>
              <w:jc w:val="left"/>
              <w:rPr>
                <w:rFonts w:ascii="宋体" w:hAnsi="宋体" w:cs="宋体" w:eastAsia="宋体" w:hint="default"/>
                <w:sz w:val="18"/>
                <w:szCs w:val="18"/>
              </w:rPr>
            </w:pPr>
            <w:r>
              <w:rPr>
                <w:rFonts w:ascii="宋体" w:hAnsi="宋体" w:cs="宋体" w:eastAsia="宋体" w:hint="default"/>
                <w:w w:val="101"/>
                <w:sz w:val="18"/>
                <w:szCs w:val="18"/>
              </w:rPr>
              <w:t>点</w:t>
            </w:r>
            <w:r>
              <w:rPr>
                <w:rFonts w:ascii="宋体" w:hAnsi="宋体" w:cs="宋体" w:eastAsia="宋体" w:hint="default"/>
                <w:sz w:val="18"/>
                <w:szCs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304,650,849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243,507,102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3"/>
                <w:sz w:val="18"/>
              </w:rPr>
              <w:t>25.11%</w:t>
            </w:r>
          </w:p>
        </w:tc>
      </w:tr>
      <w:tr>
        <w:trPr>
          <w:trHeight w:val="398" w:hRule="exact"/>
        </w:trPr>
        <w:tc>
          <w:tcPr>
            <w:tcW w:w="1599"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2"/>
                <w:szCs w:val="22"/>
              </w:rPr>
            </w:pPr>
          </w:p>
          <w:p>
            <w:pPr>
              <w:pStyle w:val="TableParagraph"/>
              <w:spacing w:line="316" w:lineRule="auto"/>
              <w:ind w:left="105" w:right="219"/>
              <w:jc w:val="left"/>
              <w:rPr>
                <w:rFonts w:ascii="宋体" w:hAnsi="宋体" w:cs="宋体" w:eastAsia="宋体" w:hint="default"/>
                <w:sz w:val="18"/>
                <w:szCs w:val="18"/>
              </w:rPr>
            </w:pPr>
            <w:r>
              <w:rPr>
                <w:rFonts w:ascii="宋体" w:hAnsi="宋体" w:cs="宋体" w:eastAsia="宋体" w:hint="default"/>
                <w:spacing w:val="-3"/>
                <w:sz w:val="18"/>
                <w:szCs w:val="18"/>
              </w:rPr>
              <w:t>网点智能化集成</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及设备</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z w:val="18"/>
                <w:szCs w:val="18"/>
              </w:rPr>
              <w:t>销售量</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1" w:right="0"/>
              <w:jc w:val="left"/>
              <w:rPr>
                <w:rFonts w:ascii="宋体" w:hAnsi="宋体" w:cs="宋体" w:eastAsia="宋体" w:hint="default"/>
                <w:sz w:val="18"/>
                <w:szCs w:val="18"/>
              </w:rPr>
            </w:pPr>
            <w:r>
              <w:rPr>
                <w:rFonts w:ascii="宋体" w:hAnsi="宋体" w:cs="宋体" w:eastAsia="宋体" w:hint="default"/>
                <w:w w:val="101"/>
                <w:sz w:val="18"/>
                <w:szCs w:val="18"/>
              </w:rPr>
              <w:t>套</w:t>
            </w:r>
            <w:r>
              <w:rPr>
                <w:rFonts w:ascii="宋体" w:hAnsi="宋体" w:cs="宋体" w:eastAsia="宋体" w:hint="default"/>
                <w:sz w:val="18"/>
                <w:szCs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63,096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pacing w:val="-1"/>
                <w:sz w:val="18"/>
              </w:rPr>
              <w:t>28,357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2"/>
                <w:sz w:val="18"/>
              </w:rPr>
              <w:t>122.51%</w:t>
            </w:r>
          </w:p>
        </w:tc>
      </w:tr>
      <w:tr>
        <w:trPr>
          <w:trHeight w:val="404" w:hRule="exact"/>
        </w:trPr>
        <w:tc>
          <w:tcPr>
            <w:tcW w:w="1599" w:type="dxa"/>
            <w:vMerge/>
            <w:tcBorders>
              <w:left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0" w:right="0"/>
              <w:jc w:val="left"/>
              <w:rPr>
                <w:rFonts w:ascii="宋体" w:hAnsi="宋体" w:cs="宋体" w:eastAsia="宋体" w:hint="default"/>
                <w:sz w:val="18"/>
                <w:szCs w:val="18"/>
              </w:rPr>
            </w:pPr>
            <w:r>
              <w:rPr>
                <w:rFonts w:ascii="宋体" w:hAnsi="宋体" w:cs="宋体" w:eastAsia="宋体" w:hint="default"/>
                <w:sz w:val="18"/>
                <w:szCs w:val="18"/>
              </w:rPr>
              <w:t>生产量</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1" w:right="0"/>
              <w:jc w:val="left"/>
              <w:rPr>
                <w:rFonts w:ascii="宋体" w:hAnsi="宋体" w:cs="宋体" w:eastAsia="宋体" w:hint="default"/>
                <w:sz w:val="18"/>
                <w:szCs w:val="18"/>
              </w:rPr>
            </w:pPr>
            <w:r>
              <w:rPr>
                <w:rFonts w:ascii="宋体" w:hAnsi="宋体" w:cs="宋体" w:eastAsia="宋体" w:hint="default"/>
                <w:w w:val="101"/>
                <w:sz w:val="18"/>
                <w:szCs w:val="18"/>
              </w:rPr>
              <w:t>套</w:t>
            </w:r>
            <w:r>
              <w:rPr>
                <w:rFonts w:ascii="宋体" w:hAnsi="宋体" w:cs="宋体" w:eastAsia="宋体" w:hint="default"/>
                <w:sz w:val="18"/>
                <w:szCs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62,974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pacing w:val="-1"/>
                <w:sz w:val="18"/>
              </w:rPr>
              <w:t>28,295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2"/>
                <w:sz w:val="18"/>
              </w:rPr>
              <w:t>122.56%</w:t>
            </w:r>
          </w:p>
        </w:tc>
      </w:tr>
      <w:tr>
        <w:trPr>
          <w:trHeight w:val="403" w:hRule="exact"/>
        </w:trPr>
        <w:tc>
          <w:tcPr>
            <w:tcW w:w="1599" w:type="dxa"/>
            <w:vMerge/>
            <w:tcBorders>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z w:val="18"/>
                <w:szCs w:val="18"/>
              </w:rPr>
              <w:t>库存量</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1" w:right="0"/>
              <w:jc w:val="left"/>
              <w:rPr>
                <w:rFonts w:ascii="宋体" w:hAnsi="宋体" w:cs="宋体" w:eastAsia="宋体" w:hint="default"/>
                <w:sz w:val="18"/>
                <w:szCs w:val="18"/>
              </w:rPr>
            </w:pPr>
            <w:r>
              <w:rPr>
                <w:rFonts w:ascii="宋体" w:hAnsi="宋体" w:cs="宋体" w:eastAsia="宋体" w:hint="default"/>
                <w:w w:val="101"/>
                <w:sz w:val="18"/>
                <w:szCs w:val="18"/>
              </w:rPr>
              <w:t>套</w:t>
            </w:r>
            <w:r>
              <w:rPr>
                <w:rFonts w:ascii="宋体" w:hAnsi="宋体" w:cs="宋体" w:eastAsia="宋体" w:hint="default"/>
                <w:sz w:val="18"/>
                <w:szCs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pacing w:val="-1"/>
                <w:sz w:val="18"/>
              </w:rPr>
              <w:t>1,808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pacing w:val="-1"/>
                <w:sz w:val="18"/>
              </w:rPr>
              <w:t>1,930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2"/>
                <w:sz w:val="18"/>
              </w:rPr>
              <w:t>-6.32%</w:t>
            </w:r>
          </w:p>
        </w:tc>
      </w:tr>
    </w:tbl>
    <w:p>
      <w:pPr>
        <w:pStyle w:val="BodyText"/>
        <w:spacing w:line="240" w:lineRule="auto" w:before="53"/>
        <w:ind w:right="0"/>
        <w:jc w:val="left"/>
      </w:pPr>
      <w:r>
        <w:rPr>
          <w:spacing w:val="-2"/>
        </w:rPr>
        <w:t>相关数据同比发生变动</w:t>
      </w:r>
      <w:r>
        <w:rPr/>
        <w:t> </w:t>
      </w:r>
      <w:r>
        <w:rPr>
          <w:rFonts w:ascii="Times New Roman" w:hAnsi="Times New Roman" w:cs="Times New Roman" w:eastAsia="Times New Roman" w:hint="default"/>
          <w:spacing w:val="-2"/>
        </w:rPr>
        <w:t>30%</w:t>
      </w:r>
      <w:r>
        <w:rPr>
          <w:spacing w:val="-2"/>
        </w:rPr>
        <w:t>以上的原因说明</w:t>
      </w:r>
    </w:p>
    <w:p>
      <w:pPr>
        <w:pStyle w:val="BodyText"/>
        <w:spacing w:line="352" w:lineRule="auto" w:before="106"/>
        <w:ind w:left="513" w:right="1120" w:hanging="360"/>
        <w:jc w:val="left"/>
      </w:pPr>
      <w:r>
        <w:rPr/>
        <w:t>√ </w:t>
      </w:r>
      <w:r>
        <w:rPr>
          <w:spacing w:val="-3"/>
        </w:rPr>
        <w:t>适用 </w:t>
      </w:r>
      <w:r>
        <w:rPr/>
        <w:t>□ 不适用</w:t>
      </w:r>
      <w:r>
        <w:rPr>
          <w:spacing w:val="-77"/>
        </w:rPr>
        <w:t> </w:t>
      </w:r>
      <w:r>
        <w:rPr>
          <w:spacing w:val="-77"/>
        </w:rPr>
      </w:r>
      <w:r>
        <w:rPr>
          <w:spacing w:val="-4"/>
        </w:rPr>
        <w:t>报告期，</w:t>
      </w:r>
      <w:r>
        <w:rPr>
          <w:rFonts w:ascii="宋体" w:hAnsi="宋体" w:cs="宋体" w:eastAsia="宋体" w:hint="default"/>
          <w:spacing w:val="-4"/>
        </w:rPr>
        <w:t>LED</w:t>
      </w:r>
      <w:r>
        <w:rPr>
          <w:spacing w:val="-4"/>
        </w:rPr>
        <w:t>视频显示系统出货量同比上升</w:t>
      </w:r>
      <w:r>
        <w:rPr>
          <w:rFonts w:ascii="宋体" w:hAnsi="宋体" w:cs="宋体" w:eastAsia="宋体" w:hint="default"/>
          <w:spacing w:val="-4"/>
        </w:rPr>
        <w:t>29.46%</w:t>
      </w:r>
      <w:r>
        <w:rPr>
          <w:spacing w:val="-4"/>
        </w:rPr>
        <w:t>，生产量同比上升</w:t>
      </w:r>
      <w:r>
        <w:rPr>
          <w:rFonts w:ascii="宋体" w:hAnsi="宋体" w:cs="宋体" w:eastAsia="宋体" w:hint="default"/>
          <w:spacing w:val="-4"/>
        </w:rPr>
        <w:t>24.57%</w:t>
      </w:r>
      <w:r>
        <w:rPr>
          <w:spacing w:val="-4"/>
        </w:rPr>
        <w:t>，库存量同比上升</w:t>
      </w:r>
      <w:r>
        <w:rPr>
          <w:rFonts w:ascii="宋体" w:hAnsi="宋体" w:cs="宋体" w:eastAsia="宋体" w:hint="default"/>
          <w:spacing w:val="-4"/>
        </w:rPr>
        <w:t>25.11%</w:t>
      </w:r>
      <w:r>
        <w:rPr>
          <w:spacing w:val="-4"/>
        </w:rPr>
        <w:t>，主要是</w:t>
      </w:r>
      <w:r>
        <w:rPr>
          <w:rFonts w:ascii="宋体" w:hAnsi="宋体" w:cs="宋体" w:eastAsia="宋体" w:hint="default"/>
          <w:spacing w:val="-4"/>
        </w:rPr>
        <w:t>LED</w:t>
      </w:r>
      <w:r>
        <w:rPr>
          <w:spacing w:val="-4"/>
        </w:rPr>
        <w:t>视频显</w:t>
      </w:r>
    </w:p>
    <w:p>
      <w:pPr>
        <w:pStyle w:val="BodyText"/>
        <w:spacing w:line="316" w:lineRule="auto" w:before="0"/>
        <w:ind w:left="513" w:right="0" w:hanging="360"/>
        <w:jc w:val="left"/>
      </w:pPr>
      <w:r>
        <w:rPr>
          <w:spacing w:val="-3"/>
        </w:rPr>
        <w:t>示系统销售收入增加，出货量增加所致。</w:t>
      </w:r>
      <w:r>
        <w:rPr>
          <w:spacing w:val="-33"/>
        </w:rPr>
        <w:t> </w:t>
      </w:r>
      <w:r>
        <w:rPr>
          <w:spacing w:val="-33"/>
        </w:rPr>
      </w:r>
      <w:r>
        <w:rPr>
          <w:spacing w:val="-3"/>
        </w:rPr>
        <w:t>报告期，网点智能化集成及设备出货量同比上升</w:t>
      </w:r>
      <w:r>
        <w:rPr>
          <w:rFonts w:ascii="宋体" w:hAnsi="宋体" w:cs="宋体" w:eastAsia="宋体" w:hint="default"/>
          <w:spacing w:val="-3"/>
        </w:rPr>
        <w:t>122.51%</w:t>
      </w:r>
      <w:r>
        <w:rPr>
          <w:spacing w:val="-3"/>
        </w:rPr>
        <w:t>，生产量同比上升</w:t>
      </w:r>
      <w:r>
        <w:rPr>
          <w:rFonts w:ascii="宋体" w:hAnsi="宋体" w:cs="宋体" w:eastAsia="宋体" w:hint="default"/>
          <w:spacing w:val="-3"/>
        </w:rPr>
        <w:t>122.56%</w:t>
      </w:r>
      <w:r>
        <w:rPr>
          <w:spacing w:val="-3"/>
        </w:rPr>
        <w:t>，库存量同比下降</w:t>
      </w:r>
      <w:r>
        <w:rPr>
          <w:rFonts w:ascii="宋体" w:hAnsi="宋体" w:cs="宋体" w:eastAsia="宋体" w:hint="default"/>
          <w:spacing w:val="-3"/>
        </w:rPr>
        <w:t>6.32%</w:t>
      </w:r>
      <w:r>
        <w:rPr>
          <w:spacing w:val="-3"/>
        </w:rPr>
        <w:t>，主要是网</w:t>
      </w:r>
    </w:p>
    <w:p>
      <w:pPr>
        <w:pStyle w:val="BodyText"/>
        <w:spacing w:line="240" w:lineRule="auto" w:before="19"/>
        <w:ind w:right="0"/>
        <w:jc w:val="left"/>
      </w:pPr>
      <w:r>
        <w:rPr>
          <w:spacing w:val="-3"/>
        </w:rPr>
        <w:t>点智能化集成及设备销售订单增加，出货需求增加所致。</w:t>
      </w:r>
    </w:p>
    <w:p>
      <w:pPr>
        <w:spacing w:line="240" w:lineRule="auto" w:before="0"/>
        <w:rPr>
          <w:rFonts w:ascii="宋体" w:hAnsi="宋体" w:cs="宋体" w:eastAsia="宋体" w:hint="default"/>
          <w:sz w:val="18"/>
          <w:szCs w:val="18"/>
        </w:rPr>
      </w:pPr>
    </w:p>
    <w:p>
      <w:pPr>
        <w:pStyle w:val="Heading4"/>
        <w:spacing w:line="240" w:lineRule="auto" w:before="118"/>
        <w:ind w:right="0"/>
        <w:jc w:val="left"/>
        <w:rPr>
          <w:b w:val="0"/>
          <w:bCs w:val="0"/>
        </w:rPr>
      </w:pPr>
      <w:bookmarkStart w:name="（4）公司已签订的重大销售合同截至本报告期的履行情况" w:id="32"/>
      <w:bookmarkEnd w:id="32"/>
      <w:r>
        <w:rPr>
          <w:b w:val="0"/>
          <w:bCs w:val="0"/>
        </w:rPr>
      </w:r>
      <w:r>
        <w:rPr/>
        <w:t>（</w:t>
      </w:r>
      <w:r>
        <w:rPr>
          <w:rFonts w:ascii="Times New Roman" w:hAnsi="Times New Roman" w:cs="Times New Roman" w:eastAsia="Times New Roman" w:hint="default"/>
        </w:rPr>
        <w:t>4</w:t>
      </w:r>
      <w:r>
        <w:rPr/>
        <w:t>）公司已签订的重大销售合同截至本报告期的履行情况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before="0"/>
        <w:ind w:right="0"/>
        <w:jc w:val="left"/>
      </w:pPr>
      <w:r>
        <w:rPr/>
        <w:t>√ </w:t>
      </w:r>
      <w:r>
        <w:rPr>
          <w:spacing w:val="-3"/>
        </w:rPr>
        <w:t>适用 </w:t>
      </w:r>
      <w:r>
        <w:rPr/>
        <w:t>□</w:t>
      </w:r>
      <w:r>
        <w:rPr>
          <w:spacing w:val="13"/>
        </w:rPr>
        <w:t> </w:t>
      </w:r>
      <w:r>
        <w:rPr/>
        <w:t>不适用</w:t>
      </w:r>
    </w:p>
    <w:p>
      <w:pPr>
        <w:pStyle w:val="BodyText"/>
        <w:spacing w:line="240" w:lineRule="auto" w:before="115"/>
        <w:ind w:left="513" w:right="0"/>
        <w:jc w:val="left"/>
      </w:pPr>
      <w:r>
        <w:rPr>
          <w:rFonts w:ascii="Times New Roman" w:hAnsi="Times New Roman" w:cs="Times New Roman" w:eastAsia="Times New Roman" w:hint="default"/>
          <w:spacing w:val="-3"/>
        </w:rPr>
        <w:t>1</w:t>
      </w:r>
      <w:r>
        <w:rPr>
          <w:spacing w:val="-3"/>
        </w:rPr>
        <w:t>、截至</w:t>
      </w:r>
      <w:r>
        <w:rPr>
          <w:rFonts w:ascii="Times New Roman" w:hAnsi="Times New Roman" w:cs="Times New Roman" w:eastAsia="Times New Roman" w:hint="default"/>
          <w:spacing w:val="-3"/>
        </w:rPr>
        <w:t>2020</w:t>
      </w:r>
      <w:r>
        <w:rPr>
          <w:spacing w:val="-3"/>
        </w:rPr>
        <w:t>年</w:t>
      </w:r>
      <w:r>
        <w:rPr>
          <w:rFonts w:ascii="Times New Roman" w:hAnsi="Times New Roman" w:cs="Times New Roman" w:eastAsia="Times New Roman" w:hint="default"/>
          <w:spacing w:val="-3"/>
        </w:rPr>
        <w:t>3</w:t>
      </w:r>
      <w:r>
        <w:rPr>
          <w:spacing w:val="-3"/>
        </w:rPr>
        <w:t>月</w:t>
      </w:r>
      <w:r>
        <w:rPr>
          <w:rFonts w:ascii="Times New Roman" w:hAnsi="Times New Roman" w:cs="Times New Roman" w:eastAsia="Times New Roman" w:hint="default"/>
          <w:spacing w:val="-3"/>
        </w:rPr>
        <w:t>31</w:t>
      </w:r>
      <w:r>
        <w:rPr>
          <w:spacing w:val="-3"/>
        </w:rPr>
        <w:t>日，公司在手订单及中标金额合计近</w:t>
      </w:r>
      <w:r>
        <w:rPr>
          <w:rFonts w:ascii="Times New Roman" w:hAnsi="Times New Roman" w:cs="Times New Roman" w:eastAsia="Times New Roman" w:hint="default"/>
          <w:spacing w:val="-3"/>
        </w:rPr>
        <w:t>9.25</w:t>
      </w:r>
      <w:r>
        <w:rPr>
          <w:spacing w:val="-3"/>
        </w:rPr>
        <w:t>亿元。</w:t>
      </w:r>
    </w:p>
    <w:p>
      <w:pPr>
        <w:pStyle w:val="BodyText"/>
        <w:spacing w:line="300" w:lineRule="auto" w:before="63"/>
        <w:ind w:right="1120" w:firstLine="360"/>
        <w:jc w:val="left"/>
      </w:pPr>
      <w:r>
        <w:rPr>
          <w:rFonts w:ascii="Times New Roman" w:hAnsi="Times New Roman" w:cs="Times New Roman" w:eastAsia="Times New Roman" w:hint="default"/>
          <w:spacing w:val="-4"/>
        </w:rPr>
        <w:t>2</w:t>
      </w:r>
      <w:r>
        <w:rPr>
          <w:spacing w:val="-4"/>
        </w:rPr>
        <w:t>、《深圳市奥拓电子股份有限公司关于签订</w:t>
      </w:r>
      <w:r>
        <w:rPr>
          <w:rFonts w:ascii="Times New Roman" w:hAnsi="Times New Roman" w:cs="Times New Roman" w:eastAsia="Times New Roman" w:hint="default"/>
          <w:spacing w:val="-4"/>
        </w:rPr>
        <w:t>LED</w:t>
      </w:r>
      <w:r>
        <w:rPr>
          <w:spacing w:val="-4"/>
        </w:rPr>
        <w:t>电视墙及相关系统重大合同的公告》于</w:t>
      </w:r>
      <w:r>
        <w:rPr>
          <w:rFonts w:ascii="Times New Roman" w:hAnsi="Times New Roman" w:cs="Times New Roman" w:eastAsia="Times New Roman" w:hint="default"/>
          <w:spacing w:val="-4"/>
        </w:rPr>
        <w:t>2013</w:t>
      </w:r>
      <w:r>
        <w:rPr>
          <w:spacing w:val="-4"/>
        </w:rPr>
        <w:t>年</w:t>
      </w:r>
      <w:r>
        <w:rPr>
          <w:rFonts w:ascii="Times New Roman" w:hAnsi="Times New Roman" w:cs="Times New Roman" w:eastAsia="Times New Roman" w:hint="default"/>
          <w:spacing w:val="-4"/>
        </w:rPr>
        <w:t>8</w:t>
      </w:r>
      <w:r>
        <w:rPr>
          <w:spacing w:val="-4"/>
        </w:rPr>
        <w:t>月</w:t>
      </w:r>
      <w:r>
        <w:rPr>
          <w:rFonts w:ascii="Times New Roman" w:hAnsi="Times New Roman" w:cs="Times New Roman" w:eastAsia="Times New Roman" w:hint="default"/>
          <w:spacing w:val="-4"/>
        </w:rPr>
        <w:t>13</w:t>
      </w:r>
      <w:r>
        <w:rPr>
          <w:spacing w:val="-4"/>
        </w:rPr>
        <w:t>日刊登在指定信息</w:t>
      </w:r>
      <w:r>
        <w:rPr>
          <w:w w:val="101"/>
        </w:rPr>
        <w:t> </w:t>
      </w:r>
      <w:r>
        <w:rPr>
          <w:spacing w:val="-3"/>
        </w:rPr>
        <w:t>披露网站巨潮资讯网（</w:t>
      </w:r>
      <w:hyperlink r:id="rId12">
        <w:r>
          <w:rPr>
            <w:rFonts w:ascii="Times New Roman" w:hAnsi="Times New Roman" w:cs="Times New Roman" w:eastAsia="Times New Roman" w:hint="default"/>
            <w:spacing w:val="-3"/>
          </w:rPr>
          <w:t>www.cninfo.com.cn</w:t>
        </w:r>
      </w:hyperlink>
      <w:r>
        <w:rPr>
          <w:spacing w:val="-3"/>
        </w:rPr>
        <w:t>）。公司（分包商）与新世界</w:t>
      </w:r>
      <w:r>
        <w:rPr>
          <w:rFonts w:ascii="Times New Roman" w:hAnsi="Times New Roman" w:cs="Times New Roman" w:eastAsia="Times New Roman" w:hint="default"/>
          <w:spacing w:val="-3"/>
        </w:rPr>
        <w:t>(</w:t>
      </w:r>
      <w:r>
        <w:rPr>
          <w:spacing w:val="-3"/>
        </w:rPr>
        <w:t>沈阳</w:t>
      </w:r>
      <w:r>
        <w:rPr>
          <w:rFonts w:ascii="Times New Roman" w:hAnsi="Times New Roman" w:cs="Times New Roman" w:eastAsia="Times New Roman" w:hint="default"/>
          <w:spacing w:val="-3"/>
        </w:rPr>
        <w:t>)</w:t>
      </w:r>
      <w:r>
        <w:rPr>
          <w:spacing w:val="-3"/>
        </w:rPr>
        <w:t>房地产开发有限公司（雇主）、中建三局集团</w:t>
      </w:r>
      <w:r>
        <w:rPr>
          <w:spacing w:val="47"/>
        </w:rPr>
        <w:t> </w:t>
      </w:r>
      <w:r>
        <w:rPr>
          <w:spacing w:val="47"/>
        </w:rPr>
      </w:r>
      <w:r>
        <w:rPr>
          <w:spacing w:val="-4"/>
        </w:rPr>
        <w:t>有限公司（总承包商）于</w:t>
      </w:r>
      <w:r>
        <w:rPr>
          <w:rFonts w:ascii="Times New Roman" w:hAnsi="Times New Roman" w:cs="Times New Roman" w:eastAsia="Times New Roman" w:hint="default"/>
          <w:spacing w:val="-4"/>
        </w:rPr>
        <w:t>2016</w:t>
      </w:r>
      <w:r>
        <w:rPr>
          <w:spacing w:val="-4"/>
        </w:rPr>
        <w:t>年</w:t>
      </w:r>
      <w:r>
        <w:rPr>
          <w:rFonts w:ascii="Times New Roman" w:hAnsi="Times New Roman" w:cs="Times New Roman" w:eastAsia="Times New Roman" w:hint="default"/>
          <w:spacing w:val="-4"/>
        </w:rPr>
        <w:t>8</w:t>
      </w:r>
      <w:r>
        <w:rPr>
          <w:spacing w:val="-4"/>
        </w:rPr>
        <w:t>月</w:t>
      </w:r>
      <w:r>
        <w:rPr>
          <w:rFonts w:ascii="Times New Roman" w:hAnsi="Times New Roman" w:cs="Times New Roman" w:eastAsia="Times New Roman" w:hint="default"/>
          <w:spacing w:val="-4"/>
        </w:rPr>
        <w:t>8</w:t>
      </w:r>
      <w:r>
        <w:rPr>
          <w:spacing w:val="-4"/>
        </w:rPr>
        <w:t>日签署《沈阳新世界中心项目第一期电视墙及相关系统深化设计、供应及安装分包工程</w:t>
      </w:r>
      <w:r>
        <w:rPr>
          <w:spacing w:val="52"/>
        </w:rPr>
        <w:t> </w:t>
      </w:r>
      <w:r>
        <w:rPr>
          <w:spacing w:val="52"/>
        </w:rPr>
      </w:r>
      <w:r>
        <w:rPr>
          <w:spacing w:val="-2"/>
        </w:rPr>
        <w:t>合同文件补充协议》，因工程范围变更，原合同金额由</w:t>
      </w:r>
      <w:r>
        <w:rPr>
          <w:rFonts w:ascii="Times New Roman" w:hAnsi="Times New Roman" w:cs="Times New Roman" w:eastAsia="Times New Roman" w:hint="default"/>
          <w:spacing w:val="-2"/>
        </w:rPr>
        <w:t>29,288,650.00</w:t>
      </w:r>
      <w:r>
        <w:rPr>
          <w:spacing w:val="-2"/>
        </w:rPr>
        <w:t>元，调整至</w:t>
      </w:r>
      <w:r>
        <w:rPr>
          <w:rFonts w:ascii="Times New Roman" w:hAnsi="Times New Roman" w:cs="Times New Roman" w:eastAsia="Times New Roman" w:hint="default"/>
          <w:spacing w:val="-2"/>
        </w:rPr>
        <w:t>29,249,955.00</w:t>
      </w:r>
      <w:r>
        <w:rPr>
          <w:spacing w:val="-2"/>
        </w:rPr>
        <w:t>元；另外，雇主及总承包商同</w:t>
      </w:r>
      <w:r>
        <w:rPr>
          <w:spacing w:val="41"/>
        </w:rPr>
        <w:t> </w:t>
      </w:r>
      <w:r>
        <w:rPr>
          <w:spacing w:val="41"/>
        </w:rPr>
      </w:r>
      <w:r>
        <w:rPr>
          <w:spacing w:val="-3"/>
        </w:rPr>
        <w:t>意对于分包商在延长竣工时间内所产生的费用额外补偿分包商</w:t>
      </w:r>
      <w:r>
        <w:rPr>
          <w:rFonts w:ascii="Times New Roman" w:hAnsi="Times New Roman" w:cs="Times New Roman" w:eastAsia="Times New Roman" w:hint="default"/>
          <w:spacing w:val="-3"/>
        </w:rPr>
        <w:t>1,508,000.00</w:t>
      </w:r>
      <w:r>
        <w:rPr>
          <w:spacing w:val="-3"/>
        </w:rPr>
        <w:t>元。截至</w:t>
      </w:r>
      <w:r>
        <w:rPr>
          <w:rFonts w:ascii="Times New Roman" w:hAnsi="Times New Roman" w:cs="Times New Roman" w:eastAsia="Times New Roman" w:hint="default"/>
          <w:spacing w:val="-3"/>
        </w:rPr>
        <w:t>2019</w:t>
      </w:r>
      <w:r>
        <w:rPr>
          <w:spacing w:val="-3"/>
        </w:rPr>
        <w:t>年</w:t>
      </w:r>
      <w:r>
        <w:rPr>
          <w:rFonts w:ascii="Times New Roman" w:hAnsi="Times New Roman" w:cs="Times New Roman" w:eastAsia="Times New Roman" w:hint="default"/>
          <w:spacing w:val="-3"/>
        </w:rPr>
        <w:t>12</w:t>
      </w:r>
      <w:r>
        <w:rPr>
          <w:spacing w:val="-3"/>
        </w:rPr>
        <w:t>月</w:t>
      </w:r>
      <w:r>
        <w:rPr>
          <w:rFonts w:ascii="Times New Roman" w:hAnsi="Times New Roman" w:cs="Times New Roman" w:eastAsia="Times New Roman" w:hint="default"/>
          <w:spacing w:val="-3"/>
        </w:rPr>
        <w:t>31</w:t>
      </w:r>
      <w:r>
        <w:rPr>
          <w:spacing w:val="-3"/>
        </w:rPr>
        <w:t>日，公司已发货金额</w:t>
      </w:r>
      <w:r>
        <w:rPr>
          <w:spacing w:val="3"/>
        </w:rPr>
        <w:t> </w:t>
      </w:r>
      <w:r>
        <w:rPr>
          <w:spacing w:val="3"/>
        </w:rPr>
      </w:r>
      <w:r>
        <w:rPr>
          <w:rFonts w:ascii="Times New Roman" w:hAnsi="Times New Roman" w:cs="Times New Roman" w:eastAsia="Times New Roman" w:hint="default"/>
        </w:rPr>
        <w:t>26,323,315.00</w:t>
      </w:r>
      <w:r>
        <w:rPr/>
        <w:t>元。</w:t>
      </w:r>
    </w:p>
    <w:p>
      <w:pPr>
        <w:spacing w:after="0" w:line="300" w:lineRule="auto"/>
        <w:jc w:val="left"/>
        <w:sectPr>
          <w:pgSz w:w="11910" w:h="16840"/>
          <w:pgMar w:header="784" w:footer="1022" w:top="1100" w:bottom="1220" w:left="980" w:right="0"/>
        </w:sectPr>
      </w:pPr>
    </w:p>
    <w:p>
      <w:pPr>
        <w:spacing w:line="240" w:lineRule="auto" w:before="10"/>
        <w:rPr>
          <w:rFonts w:ascii="宋体" w:hAnsi="宋体" w:cs="宋体" w:eastAsia="宋体" w:hint="default"/>
          <w:sz w:val="22"/>
          <w:szCs w:val="22"/>
        </w:rPr>
      </w:pPr>
    </w:p>
    <w:p>
      <w:pPr>
        <w:pStyle w:val="BodyText"/>
        <w:spacing w:line="300" w:lineRule="auto"/>
        <w:ind w:right="0" w:firstLine="360"/>
        <w:jc w:val="left"/>
      </w:pPr>
      <w:r>
        <w:rPr>
          <w:rFonts w:ascii="Times New Roman" w:hAnsi="Times New Roman" w:cs="Times New Roman" w:eastAsia="Times New Roman" w:hint="default"/>
          <w:spacing w:val="-3"/>
        </w:rPr>
        <w:t>3</w:t>
      </w:r>
      <w:r>
        <w:rPr>
          <w:spacing w:val="-3"/>
        </w:rPr>
        <w:t>、《深圳市奥拓电子股份有限公司关于签署</w:t>
      </w:r>
      <w:r>
        <w:rPr>
          <w:rFonts w:ascii="Times New Roman" w:hAnsi="Times New Roman" w:cs="Times New Roman" w:eastAsia="Times New Roman" w:hint="default"/>
          <w:spacing w:val="-3"/>
        </w:rPr>
        <w:t>&lt;</w:t>
      </w:r>
      <w:r>
        <w:rPr>
          <w:spacing w:val="-3"/>
        </w:rPr>
        <w:t>中国足协中国之队</w:t>
      </w:r>
      <w:r>
        <w:rPr>
          <w:rFonts w:ascii="Times New Roman" w:hAnsi="Times New Roman" w:cs="Times New Roman" w:eastAsia="Times New Roman" w:hint="default"/>
          <w:spacing w:val="-3"/>
        </w:rPr>
        <w:t>LED</w:t>
      </w:r>
      <w:r>
        <w:rPr>
          <w:spacing w:val="-3"/>
        </w:rPr>
        <w:t>服务商合作协议</w:t>
      </w:r>
      <w:r>
        <w:rPr>
          <w:rFonts w:ascii="Times New Roman" w:hAnsi="Times New Roman" w:cs="Times New Roman" w:eastAsia="Times New Roman" w:hint="default"/>
          <w:spacing w:val="-3"/>
        </w:rPr>
        <w:t>&gt;</w:t>
      </w:r>
      <w:r>
        <w:rPr>
          <w:spacing w:val="-3"/>
        </w:rPr>
        <w:t>的公告》于</w:t>
      </w:r>
      <w:r>
        <w:rPr>
          <w:rFonts w:ascii="Times New Roman" w:hAnsi="Times New Roman" w:cs="Times New Roman" w:eastAsia="Times New Roman" w:hint="default"/>
          <w:spacing w:val="-3"/>
        </w:rPr>
        <w:t>2016</w:t>
      </w:r>
      <w:r>
        <w:rPr>
          <w:spacing w:val="-3"/>
        </w:rPr>
        <w:t>年</w:t>
      </w:r>
      <w:r>
        <w:rPr>
          <w:rFonts w:ascii="Times New Roman" w:hAnsi="Times New Roman" w:cs="Times New Roman" w:eastAsia="Times New Roman" w:hint="default"/>
          <w:spacing w:val="-3"/>
        </w:rPr>
        <w:t>3</w:t>
      </w:r>
      <w:r>
        <w:rPr>
          <w:spacing w:val="-3"/>
        </w:rPr>
        <w:t>月</w:t>
      </w:r>
      <w:r>
        <w:rPr>
          <w:rFonts w:ascii="Times New Roman" w:hAnsi="Times New Roman" w:cs="Times New Roman" w:eastAsia="Times New Roman" w:hint="default"/>
          <w:spacing w:val="-3"/>
        </w:rPr>
        <w:t>17</w:t>
      </w:r>
      <w:r>
        <w:rPr>
          <w:spacing w:val="-3"/>
        </w:rPr>
        <w:t>日刊登</w:t>
      </w:r>
      <w:r>
        <w:rPr>
          <w:w w:val="101"/>
        </w:rPr>
        <w:t> </w:t>
      </w:r>
      <w:r>
        <w:rPr>
          <w:spacing w:val="-3"/>
        </w:rPr>
        <w:t>在指定信息披露网站巨潮资讯网（</w:t>
      </w:r>
      <w:hyperlink r:id="rId12">
        <w:r>
          <w:rPr>
            <w:rFonts w:ascii="Times New Roman" w:hAnsi="Times New Roman" w:cs="Times New Roman" w:eastAsia="Times New Roman" w:hint="default"/>
            <w:spacing w:val="-3"/>
          </w:rPr>
          <w:t>www.cninfo.com.cn</w:t>
        </w:r>
      </w:hyperlink>
      <w:r>
        <w:rPr>
          <w:spacing w:val="-3"/>
        </w:rPr>
        <w:t>）。截至</w:t>
      </w:r>
      <w:r>
        <w:rPr>
          <w:rFonts w:ascii="Times New Roman" w:hAnsi="Times New Roman" w:cs="Times New Roman" w:eastAsia="Times New Roman" w:hint="default"/>
          <w:spacing w:val="-3"/>
        </w:rPr>
        <w:t>2019</w:t>
      </w:r>
      <w:r>
        <w:rPr>
          <w:spacing w:val="-3"/>
        </w:rPr>
        <w:t>年</w:t>
      </w:r>
      <w:r>
        <w:rPr>
          <w:rFonts w:ascii="Times New Roman" w:hAnsi="Times New Roman" w:cs="Times New Roman" w:eastAsia="Times New Roman" w:hint="default"/>
          <w:spacing w:val="-3"/>
        </w:rPr>
        <w:t>12</w:t>
      </w:r>
      <w:r>
        <w:rPr>
          <w:spacing w:val="-3"/>
        </w:rPr>
        <w:t>月</w:t>
      </w:r>
      <w:r>
        <w:rPr>
          <w:rFonts w:ascii="Times New Roman" w:hAnsi="Times New Roman" w:cs="Times New Roman" w:eastAsia="Times New Roman" w:hint="default"/>
          <w:spacing w:val="-3"/>
        </w:rPr>
        <w:t>31</w:t>
      </w:r>
      <w:r>
        <w:rPr>
          <w:spacing w:val="-3"/>
        </w:rPr>
        <w:t>日，公司为中国足协中国之队</w:t>
      </w:r>
      <w:r>
        <w:rPr>
          <w:rFonts w:ascii="Times New Roman" w:hAnsi="Times New Roman" w:cs="Times New Roman" w:eastAsia="Times New Roman" w:hint="default"/>
          <w:spacing w:val="-3"/>
        </w:rPr>
        <w:t>198</w:t>
      </w:r>
      <w:r>
        <w:rPr>
          <w:spacing w:val="-3"/>
        </w:rPr>
        <w:t>场赛事提供了</w:t>
      </w:r>
      <w:r>
        <w:rPr/>
        <w:t> </w:t>
      </w:r>
      <w:r>
        <w:rPr/>
      </w:r>
      <w:r>
        <w:rPr>
          <w:rFonts w:ascii="Times New Roman" w:hAnsi="Times New Roman" w:cs="Times New Roman" w:eastAsia="Times New Roman" w:hint="default"/>
          <w:spacing w:val="-3"/>
        </w:rPr>
        <w:t>LED</w:t>
      </w:r>
      <w:r>
        <w:rPr>
          <w:spacing w:val="-3"/>
        </w:rPr>
        <w:t>显示设备和比赛期间的相关服务。</w:t>
      </w:r>
    </w:p>
    <w:p>
      <w:pPr>
        <w:pStyle w:val="BodyText"/>
        <w:spacing w:line="300" w:lineRule="auto" w:before="13"/>
        <w:ind w:right="1122" w:firstLine="360"/>
        <w:jc w:val="both"/>
      </w:pPr>
      <w:r>
        <w:rPr>
          <w:rFonts w:ascii="Times New Roman" w:hAnsi="Times New Roman" w:cs="Times New Roman" w:eastAsia="Times New Roman" w:hint="default"/>
          <w:spacing w:val="-4"/>
        </w:rPr>
        <w:t>4</w:t>
      </w:r>
      <w:r>
        <w:rPr>
          <w:spacing w:val="-4"/>
        </w:rPr>
        <w:t>、《深圳市奥拓电子股份有限公司关于与中国工商银行股份有限公司签署</w:t>
      </w:r>
      <w:r>
        <w:rPr>
          <w:rFonts w:ascii="Times New Roman" w:hAnsi="Times New Roman" w:cs="Times New Roman" w:eastAsia="Times New Roman" w:hint="default"/>
          <w:spacing w:val="-4"/>
        </w:rPr>
        <w:t>&lt;</w:t>
      </w:r>
      <w:r>
        <w:rPr>
          <w:spacing w:val="-4"/>
        </w:rPr>
        <w:t>集中采购协议</w:t>
      </w:r>
      <w:r>
        <w:rPr>
          <w:rFonts w:ascii="Times New Roman" w:hAnsi="Times New Roman" w:cs="Times New Roman" w:eastAsia="Times New Roman" w:hint="default"/>
          <w:spacing w:val="-4"/>
        </w:rPr>
        <w:t>-</w:t>
      </w:r>
      <w:r>
        <w:rPr>
          <w:spacing w:val="-4"/>
        </w:rPr>
        <w:t>设备类</w:t>
      </w:r>
      <w:r>
        <w:rPr>
          <w:rFonts w:ascii="Times New Roman" w:hAnsi="Times New Roman" w:cs="Times New Roman" w:eastAsia="Times New Roman" w:hint="default"/>
          <w:spacing w:val="-4"/>
        </w:rPr>
        <w:t>&gt;</w:t>
      </w:r>
      <w:r>
        <w:rPr>
          <w:spacing w:val="-4"/>
        </w:rPr>
        <w:t>的公告》于</w:t>
      </w:r>
      <w:r>
        <w:rPr>
          <w:rFonts w:ascii="Times New Roman" w:hAnsi="Times New Roman" w:cs="Times New Roman" w:eastAsia="Times New Roman" w:hint="default"/>
          <w:spacing w:val="-4"/>
        </w:rPr>
        <w:t>2016</w:t>
      </w:r>
      <w:r>
        <w:rPr>
          <w:spacing w:val="-4"/>
        </w:rPr>
        <w:t>年</w:t>
      </w:r>
      <w:r>
        <w:rPr>
          <w:rFonts w:ascii="Times New Roman" w:hAnsi="Times New Roman" w:cs="Times New Roman" w:eastAsia="Times New Roman" w:hint="default"/>
          <w:spacing w:val="-4"/>
        </w:rPr>
        <w:t>12</w:t>
      </w:r>
      <w:r>
        <w:rPr>
          <w:rFonts w:ascii="Times New Roman" w:hAnsi="Times New Roman" w:cs="Times New Roman" w:eastAsia="Times New Roman" w:hint="default"/>
          <w:w w:val="101"/>
        </w:rPr>
        <w:t> </w:t>
      </w:r>
      <w:r>
        <w:rPr>
          <w:spacing w:val="-3"/>
        </w:rPr>
        <w:t>月</w:t>
      </w:r>
      <w:r>
        <w:rPr>
          <w:rFonts w:ascii="Times New Roman" w:hAnsi="Times New Roman" w:cs="Times New Roman" w:eastAsia="Times New Roman" w:hint="default"/>
          <w:spacing w:val="-3"/>
        </w:rPr>
        <w:t>15</w:t>
      </w:r>
      <w:r>
        <w:rPr>
          <w:spacing w:val="-3"/>
        </w:rPr>
        <w:t>日刊登在指定信息披露网站巨潮资讯网（</w:t>
      </w:r>
      <w:hyperlink r:id="rId12">
        <w:r>
          <w:rPr>
            <w:rFonts w:ascii="Times New Roman" w:hAnsi="Times New Roman" w:cs="Times New Roman" w:eastAsia="Times New Roman" w:hint="default"/>
            <w:spacing w:val="-3"/>
          </w:rPr>
          <w:t>www.cninfo.com.cn</w:t>
        </w:r>
      </w:hyperlink>
      <w:r>
        <w:rPr>
          <w:spacing w:val="-3"/>
        </w:rPr>
        <w:t>）。截至</w:t>
      </w:r>
      <w:r>
        <w:rPr>
          <w:rFonts w:ascii="Times New Roman" w:hAnsi="Times New Roman" w:cs="Times New Roman" w:eastAsia="Times New Roman" w:hint="default"/>
          <w:spacing w:val="-3"/>
        </w:rPr>
        <w:t>2019</w:t>
      </w:r>
      <w:r>
        <w:rPr>
          <w:spacing w:val="-3"/>
        </w:rPr>
        <w:t>年</w:t>
      </w:r>
      <w:r>
        <w:rPr>
          <w:rFonts w:ascii="Times New Roman" w:hAnsi="Times New Roman" w:cs="Times New Roman" w:eastAsia="Times New Roman" w:hint="default"/>
          <w:spacing w:val="-3"/>
        </w:rPr>
        <w:t>12</w:t>
      </w:r>
      <w:r>
        <w:rPr>
          <w:spacing w:val="-3"/>
        </w:rPr>
        <w:t>月</w:t>
      </w:r>
      <w:r>
        <w:rPr>
          <w:rFonts w:ascii="Times New Roman" w:hAnsi="Times New Roman" w:cs="Times New Roman" w:eastAsia="Times New Roman" w:hint="default"/>
          <w:spacing w:val="-3"/>
        </w:rPr>
        <w:t>31</w:t>
      </w:r>
      <w:r>
        <w:rPr>
          <w:spacing w:val="-3"/>
        </w:rPr>
        <w:t>日，公司已发货金额</w:t>
      </w:r>
      <w:r>
        <w:rPr>
          <w:rFonts w:ascii="Times New Roman" w:hAnsi="Times New Roman" w:cs="Times New Roman" w:eastAsia="Times New Roman" w:hint="default"/>
          <w:spacing w:val="-3"/>
        </w:rPr>
        <w:t>108,548,566.14 </w:t>
      </w:r>
      <w:r>
        <w:rPr>
          <w:rFonts w:ascii="Times New Roman" w:hAnsi="Times New Roman" w:cs="Times New Roman" w:eastAsia="Times New Roman" w:hint="default"/>
          <w:spacing w:val="32"/>
        </w:rPr>
        <w:t> </w:t>
      </w:r>
      <w:r>
        <w:rPr>
          <w:rFonts w:ascii="Times New Roman" w:hAnsi="Times New Roman" w:cs="Times New Roman" w:eastAsia="Times New Roman" w:hint="default"/>
          <w:spacing w:val="32"/>
        </w:rPr>
      </w:r>
      <w:r>
        <w:rPr/>
        <w:t>元。</w:t>
      </w:r>
    </w:p>
    <w:p>
      <w:pPr>
        <w:pStyle w:val="BodyText"/>
        <w:spacing w:line="300" w:lineRule="auto" w:before="31"/>
        <w:ind w:right="0" w:firstLine="360"/>
        <w:jc w:val="left"/>
      </w:pPr>
      <w:r>
        <w:rPr>
          <w:rFonts w:ascii="Times New Roman" w:hAnsi="Times New Roman" w:cs="Times New Roman" w:eastAsia="Times New Roman" w:hint="default"/>
          <w:spacing w:val="-3"/>
        </w:rPr>
        <w:t>5</w:t>
      </w:r>
      <w:r>
        <w:rPr>
          <w:spacing w:val="-3"/>
        </w:rPr>
        <w:t>、《深圳市奥拓电子股份有限公司关于</w:t>
      </w:r>
      <w:r>
        <w:rPr>
          <w:rFonts w:ascii="Times New Roman" w:hAnsi="Times New Roman" w:cs="Times New Roman" w:eastAsia="Times New Roman" w:hint="default"/>
          <w:spacing w:val="-3"/>
        </w:rPr>
        <w:t>&lt;</w:t>
      </w:r>
      <w:r>
        <w:rPr>
          <w:spacing w:val="-3"/>
        </w:rPr>
        <w:t>全资子公司签署</w:t>
      </w:r>
      <w:r>
        <w:rPr>
          <w:rFonts w:ascii="Times New Roman" w:hAnsi="Times New Roman" w:cs="Times New Roman" w:eastAsia="Times New Roman" w:hint="default"/>
          <w:spacing w:val="-3"/>
        </w:rPr>
        <w:t>PPP</w:t>
      </w:r>
      <w:r>
        <w:rPr>
          <w:spacing w:val="-3"/>
        </w:rPr>
        <w:t>项目框架协议</w:t>
      </w:r>
      <w:r>
        <w:rPr>
          <w:rFonts w:ascii="Times New Roman" w:hAnsi="Times New Roman" w:cs="Times New Roman" w:eastAsia="Times New Roman" w:hint="default"/>
          <w:spacing w:val="-3"/>
        </w:rPr>
        <w:t>&gt;</w:t>
      </w:r>
      <w:r>
        <w:rPr>
          <w:spacing w:val="-3"/>
        </w:rPr>
        <w:t>的公告》于</w:t>
      </w:r>
      <w:r>
        <w:rPr>
          <w:rFonts w:ascii="Times New Roman" w:hAnsi="Times New Roman" w:cs="Times New Roman" w:eastAsia="Times New Roman" w:hint="default"/>
          <w:spacing w:val="-3"/>
        </w:rPr>
        <w:t>2017</w:t>
      </w:r>
      <w:r>
        <w:rPr>
          <w:spacing w:val="-3"/>
        </w:rPr>
        <w:t>年</w:t>
      </w:r>
      <w:r>
        <w:rPr>
          <w:rFonts w:ascii="Times New Roman" w:hAnsi="Times New Roman" w:cs="Times New Roman" w:eastAsia="Times New Roman" w:hint="default"/>
          <w:spacing w:val="-3"/>
        </w:rPr>
        <w:t>1</w:t>
      </w:r>
      <w:r>
        <w:rPr>
          <w:spacing w:val="-3"/>
        </w:rPr>
        <w:t>月</w:t>
      </w:r>
      <w:r>
        <w:rPr>
          <w:rFonts w:ascii="Times New Roman" w:hAnsi="Times New Roman" w:cs="Times New Roman" w:eastAsia="Times New Roman" w:hint="default"/>
          <w:spacing w:val="-3"/>
        </w:rPr>
        <w:t>26</w:t>
      </w:r>
      <w:r>
        <w:rPr>
          <w:spacing w:val="-3"/>
        </w:rPr>
        <w:t>日刊登在指定信息</w:t>
      </w:r>
      <w:r>
        <w:rPr>
          <w:w w:val="101"/>
        </w:rPr>
        <w:t> </w:t>
      </w:r>
      <w:r>
        <w:rPr>
          <w:spacing w:val="-4"/>
        </w:rPr>
        <w:t>披露网站巨潮资讯网（</w:t>
      </w:r>
      <w:hyperlink r:id="rId12">
        <w:r>
          <w:rPr>
            <w:rFonts w:ascii="Times New Roman" w:hAnsi="Times New Roman" w:cs="Times New Roman" w:eastAsia="Times New Roman" w:hint="default"/>
            <w:spacing w:val="-4"/>
          </w:rPr>
          <w:t>www.cninfo.com.cn</w:t>
        </w:r>
      </w:hyperlink>
      <w:r>
        <w:rPr>
          <w:spacing w:val="-4"/>
        </w:rPr>
        <w:t>）。公司全资子公司深圳市千百辉照明工程有限公司（以下简称</w:t>
      </w:r>
      <w:r>
        <w:rPr>
          <w:rFonts w:ascii="Times New Roman" w:hAnsi="Times New Roman" w:cs="Times New Roman" w:eastAsia="Times New Roman" w:hint="default"/>
          <w:spacing w:val="-4"/>
        </w:rPr>
        <w:t>“</w:t>
      </w:r>
      <w:r>
        <w:rPr>
          <w:spacing w:val="-4"/>
        </w:rPr>
        <w:t>千百辉</w:t>
      </w:r>
      <w:r>
        <w:rPr>
          <w:rFonts w:ascii="Times New Roman" w:hAnsi="Times New Roman" w:cs="Times New Roman" w:eastAsia="Times New Roman" w:hint="default"/>
          <w:spacing w:val="-4"/>
        </w:rPr>
        <w:t>”</w:t>
      </w:r>
      <w:r>
        <w:rPr>
          <w:spacing w:val="-4"/>
        </w:rPr>
        <w:t>）已与上</w:t>
      </w:r>
      <w:r>
        <w:rPr>
          <w:spacing w:val="70"/>
        </w:rPr>
        <w:t> </w:t>
      </w:r>
      <w:r>
        <w:rPr>
          <w:spacing w:val="70"/>
        </w:rPr>
      </w:r>
      <w:r>
        <w:rPr>
          <w:spacing w:val="-3"/>
        </w:rPr>
        <w:t>海亚明照明有限公司、内蒙古黄河明珠文化旅游产业投资有限责任公司签署股东协议书，合资设立</w:t>
      </w:r>
      <w:r>
        <w:rPr>
          <w:rFonts w:ascii="Times New Roman" w:hAnsi="Times New Roman" w:cs="Times New Roman" w:eastAsia="Times New Roman" w:hint="default"/>
          <w:spacing w:val="-3"/>
        </w:rPr>
        <w:t>PPP</w:t>
      </w:r>
      <w:r>
        <w:rPr>
          <w:spacing w:val="-3"/>
        </w:rPr>
        <w:t>项目公司</w:t>
      </w:r>
      <w:r>
        <w:rPr>
          <w:rFonts w:ascii="Times New Roman" w:hAnsi="Times New Roman" w:cs="Times New Roman" w:eastAsia="Times New Roman" w:hint="default"/>
          <w:spacing w:val="-3"/>
        </w:rPr>
        <w:t>—</w:t>
      </w:r>
      <w:r>
        <w:rPr>
          <w:spacing w:val="-3"/>
        </w:rPr>
        <w:t>内蒙古中</w:t>
      </w:r>
      <w:r>
        <w:rPr>
          <w:spacing w:val="52"/>
        </w:rPr>
        <w:t> </w:t>
      </w:r>
      <w:r>
        <w:rPr>
          <w:spacing w:val="52"/>
        </w:rPr>
      </w:r>
      <w:r>
        <w:rPr>
          <w:spacing w:val="-3"/>
        </w:rPr>
        <w:t>基智慧城市建设有限公司，《关于全资子公司合资组建</w:t>
      </w:r>
      <w:r>
        <w:rPr>
          <w:rFonts w:ascii="Times New Roman" w:hAnsi="Times New Roman" w:cs="Times New Roman" w:eastAsia="Times New Roman" w:hint="default"/>
          <w:spacing w:val="-3"/>
        </w:rPr>
        <w:t>PPP</w:t>
      </w:r>
      <w:r>
        <w:rPr>
          <w:spacing w:val="-3"/>
        </w:rPr>
        <w:t>项目公司的公告》已于</w:t>
      </w:r>
      <w:r>
        <w:rPr>
          <w:rFonts w:ascii="Times New Roman" w:hAnsi="Times New Roman" w:cs="Times New Roman" w:eastAsia="Times New Roman" w:hint="default"/>
          <w:spacing w:val="-3"/>
        </w:rPr>
        <w:t>2017</w:t>
      </w:r>
      <w:r>
        <w:rPr>
          <w:spacing w:val="-3"/>
        </w:rPr>
        <w:t>年</w:t>
      </w:r>
      <w:r>
        <w:rPr>
          <w:rFonts w:ascii="Times New Roman" w:hAnsi="Times New Roman" w:cs="Times New Roman" w:eastAsia="Times New Roman" w:hint="default"/>
          <w:spacing w:val="-3"/>
        </w:rPr>
        <w:t>8</w:t>
      </w:r>
      <w:r>
        <w:rPr>
          <w:spacing w:val="-3"/>
        </w:rPr>
        <w:t>月</w:t>
      </w:r>
      <w:r>
        <w:rPr>
          <w:rFonts w:ascii="Times New Roman" w:hAnsi="Times New Roman" w:cs="Times New Roman" w:eastAsia="Times New Roman" w:hint="default"/>
          <w:spacing w:val="-3"/>
        </w:rPr>
        <w:t>4</w:t>
      </w:r>
      <w:r>
        <w:rPr>
          <w:spacing w:val="-3"/>
        </w:rPr>
        <w:t>日刊登在指定信息披露网站巨</w:t>
      </w:r>
      <w:r>
        <w:rPr>
          <w:spacing w:val="59"/>
        </w:rPr>
        <w:t> </w:t>
      </w:r>
      <w:r>
        <w:rPr>
          <w:spacing w:val="59"/>
        </w:rPr>
      </w:r>
      <w:r>
        <w:rPr>
          <w:spacing w:val="-3"/>
        </w:rPr>
        <w:t>潮资讯网（</w:t>
      </w:r>
      <w:hyperlink r:id="rId12">
        <w:r>
          <w:rPr>
            <w:rFonts w:ascii="Times New Roman" w:hAnsi="Times New Roman" w:cs="Times New Roman" w:eastAsia="Times New Roman" w:hint="default"/>
            <w:spacing w:val="-3"/>
          </w:rPr>
          <w:t>www.cninfo.com.cn</w:t>
        </w:r>
      </w:hyperlink>
      <w:r>
        <w:rPr>
          <w:spacing w:val="-3"/>
        </w:rPr>
        <w:t>），《关于全资子公司之参股项目公司签署</w:t>
      </w:r>
      <w:r>
        <w:rPr>
          <w:rFonts w:ascii="Times New Roman" w:hAnsi="Times New Roman" w:cs="Times New Roman" w:eastAsia="Times New Roman" w:hint="default"/>
          <w:spacing w:val="-3"/>
        </w:rPr>
        <w:t>PPP</w:t>
      </w:r>
      <w:r>
        <w:rPr>
          <w:spacing w:val="-3"/>
        </w:rPr>
        <w:t>项目合同的公告》已于</w:t>
      </w:r>
      <w:r>
        <w:rPr>
          <w:rFonts w:ascii="Times New Roman" w:hAnsi="Times New Roman" w:cs="Times New Roman" w:eastAsia="Times New Roman" w:hint="default"/>
          <w:spacing w:val="-3"/>
        </w:rPr>
        <w:t>2017</w:t>
      </w:r>
      <w:r>
        <w:rPr>
          <w:spacing w:val="-3"/>
        </w:rPr>
        <w:t>年</w:t>
      </w:r>
      <w:r>
        <w:rPr>
          <w:rFonts w:ascii="Times New Roman" w:hAnsi="Times New Roman" w:cs="Times New Roman" w:eastAsia="Times New Roman" w:hint="default"/>
          <w:spacing w:val="-3"/>
        </w:rPr>
        <w:t>11</w:t>
      </w:r>
      <w:r>
        <w:rPr>
          <w:spacing w:val="-3"/>
        </w:rPr>
        <w:t>月</w:t>
      </w:r>
      <w:r>
        <w:rPr>
          <w:rFonts w:ascii="Times New Roman" w:hAnsi="Times New Roman" w:cs="Times New Roman" w:eastAsia="Times New Roman" w:hint="default"/>
          <w:spacing w:val="-3"/>
        </w:rPr>
        <w:t>7</w:t>
      </w:r>
      <w:r>
        <w:rPr>
          <w:spacing w:val="-3"/>
        </w:rPr>
        <w:t>日刊登在 指定信息披露网站巨潮资讯网（</w:t>
      </w:r>
      <w:hyperlink r:id="rId12">
        <w:r>
          <w:rPr>
            <w:rFonts w:ascii="Times New Roman" w:hAnsi="Times New Roman" w:cs="Times New Roman" w:eastAsia="Times New Roman" w:hint="default"/>
            <w:spacing w:val="-3"/>
          </w:rPr>
          <w:t>www.cninfo.com.cn</w:t>
        </w:r>
      </w:hyperlink>
      <w:r>
        <w:rPr>
          <w:spacing w:val="-3"/>
        </w:rPr>
        <w:t>），内蒙古中基智慧城市建设有限公司与乌海市综合行政执法局针对本</w:t>
      </w:r>
      <w:r>
        <w:rPr>
          <w:spacing w:val="78"/>
        </w:rPr>
        <w:t> </w:t>
      </w:r>
      <w:r>
        <w:rPr>
          <w:spacing w:val="78"/>
        </w:rPr>
      </w:r>
      <w:r>
        <w:rPr>
          <w:spacing w:val="-3"/>
        </w:rPr>
        <w:t>项目共同签署了《</w:t>
      </w:r>
      <w:r>
        <w:rPr>
          <w:rFonts w:ascii="Times New Roman" w:hAnsi="Times New Roman" w:cs="Times New Roman" w:eastAsia="Times New Roman" w:hint="default"/>
          <w:spacing w:val="-3"/>
        </w:rPr>
        <w:t>PPP</w:t>
      </w:r>
      <w:r>
        <w:rPr>
          <w:spacing w:val="-3"/>
        </w:rPr>
        <w:t>项目合同》。</w:t>
      </w:r>
      <w:r>
        <w:rPr>
          <w:rFonts w:ascii="Times New Roman" w:hAnsi="Times New Roman" w:cs="Times New Roman" w:eastAsia="Times New Roman" w:hint="default"/>
          <w:spacing w:val="-3"/>
        </w:rPr>
        <w:t>2017</w:t>
      </w:r>
      <w:r>
        <w:rPr>
          <w:spacing w:val="-3"/>
        </w:rPr>
        <w:t>年</w:t>
      </w:r>
      <w:r>
        <w:rPr>
          <w:rFonts w:ascii="Times New Roman" w:hAnsi="Times New Roman" w:cs="Times New Roman" w:eastAsia="Times New Roman" w:hint="default"/>
          <w:spacing w:val="-3"/>
        </w:rPr>
        <w:t>12</w:t>
      </w:r>
      <w:r>
        <w:rPr>
          <w:spacing w:val="-3"/>
        </w:rPr>
        <w:t>月</w:t>
      </w:r>
      <w:r>
        <w:rPr>
          <w:rFonts w:ascii="Times New Roman" w:hAnsi="Times New Roman" w:cs="Times New Roman" w:eastAsia="Times New Roman" w:hint="default"/>
          <w:spacing w:val="-3"/>
        </w:rPr>
        <w:t>14</w:t>
      </w:r>
      <w:r>
        <w:rPr>
          <w:spacing w:val="-3"/>
        </w:rPr>
        <w:t>日，乌海市八届人大常委会召开第四十五次会议，表决通过了《乌海市人</w:t>
      </w:r>
      <w:r>
        <w:rPr>
          <w:spacing w:val="61"/>
        </w:rPr>
        <w:t> </w:t>
      </w:r>
      <w:r>
        <w:rPr>
          <w:spacing w:val="61"/>
        </w:rPr>
      </w:r>
      <w:r>
        <w:rPr>
          <w:spacing w:val="-3"/>
        </w:rPr>
        <w:t>大常委会关于批准将乌海市城市灯光基础建设及灯光旅游</w:t>
      </w:r>
      <w:r>
        <w:rPr>
          <w:rFonts w:ascii="Times New Roman" w:hAnsi="Times New Roman" w:cs="Times New Roman" w:eastAsia="Times New Roman" w:hint="default"/>
          <w:spacing w:val="-3"/>
        </w:rPr>
        <w:t>PPP</w:t>
      </w:r>
      <w:r>
        <w:rPr>
          <w:spacing w:val="-3"/>
        </w:rPr>
        <w:t>项目财政支出责任纳入市级财政预算及中长期财政规划的决</w:t>
      </w:r>
      <w:r>
        <w:rPr>
          <w:spacing w:val="71"/>
        </w:rPr>
        <w:t> </w:t>
      </w:r>
      <w:r>
        <w:rPr>
          <w:spacing w:val="71"/>
        </w:rPr>
      </w:r>
      <w:r>
        <w:rPr/>
        <w:t>定》。截至</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日，项目正在竣工验收当中。</w:t>
      </w:r>
    </w:p>
    <w:p>
      <w:pPr>
        <w:pStyle w:val="BodyText"/>
        <w:spacing w:line="300" w:lineRule="auto" w:before="13"/>
        <w:ind w:right="1122" w:firstLine="360"/>
        <w:jc w:val="both"/>
      </w:pPr>
      <w:r>
        <w:rPr>
          <w:rFonts w:ascii="Times New Roman" w:hAnsi="Times New Roman" w:cs="Times New Roman" w:eastAsia="Times New Roman" w:hint="default"/>
          <w:spacing w:val="-4"/>
        </w:rPr>
        <w:t>6</w:t>
      </w:r>
      <w:r>
        <w:rPr>
          <w:spacing w:val="-4"/>
        </w:rPr>
        <w:t>、《深圳市奥拓电子股份有限公司关于中标项目签订合同的进展公告》于</w:t>
      </w:r>
      <w:r>
        <w:rPr>
          <w:rFonts w:ascii="Times New Roman" w:hAnsi="Times New Roman" w:cs="Times New Roman" w:eastAsia="Times New Roman" w:hint="default"/>
          <w:spacing w:val="-4"/>
        </w:rPr>
        <w:t>2018</w:t>
      </w:r>
      <w:r>
        <w:rPr>
          <w:spacing w:val="-4"/>
        </w:rPr>
        <w:t>年</w:t>
      </w:r>
      <w:r>
        <w:rPr>
          <w:rFonts w:ascii="Times New Roman" w:hAnsi="Times New Roman" w:cs="Times New Roman" w:eastAsia="Times New Roman" w:hint="default"/>
          <w:spacing w:val="-4"/>
        </w:rPr>
        <w:t>1</w:t>
      </w:r>
      <w:r>
        <w:rPr>
          <w:spacing w:val="-4"/>
        </w:rPr>
        <w:t>月</w:t>
      </w:r>
      <w:r>
        <w:rPr>
          <w:rFonts w:ascii="Times New Roman" w:hAnsi="Times New Roman" w:cs="Times New Roman" w:eastAsia="Times New Roman" w:hint="default"/>
          <w:spacing w:val="-4"/>
        </w:rPr>
        <w:t>30</w:t>
      </w:r>
      <w:r>
        <w:rPr>
          <w:spacing w:val="-4"/>
        </w:rPr>
        <w:t>日刊登在指定信息披露网站巨潮</w:t>
      </w:r>
      <w:r>
        <w:rPr>
          <w:w w:val="101"/>
        </w:rPr>
        <w:t> </w:t>
      </w:r>
      <w:r>
        <w:rPr>
          <w:spacing w:val="-4"/>
        </w:rPr>
        <w:t>资讯网（</w:t>
      </w:r>
      <w:hyperlink r:id="rId12">
        <w:r>
          <w:rPr>
            <w:rFonts w:ascii="Times New Roman" w:hAnsi="Times New Roman" w:cs="Times New Roman" w:eastAsia="Times New Roman" w:hint="default"/>
            <w:spacing w:val="-4"/>
          </w:rPr>
          <w:t>www.cninfo.com.cn</w:t>
        </w:r>
      </w:hyperlink>
      <w:r>
        <w:rPr>
          <w:spacing w:val="-4"/>
        </w:rPr>
        <w:t>）。公司与遵义市高铁新城开发投资有限责任公司签订了《</w:t>
      </w:r>
      <w:r>
        <w:rPr>
          <w:rFonts w:ascii="Times New Roman" w:hAnsi="Times New Roman" w:cs="Times New Roman" w:eastAsia="Times New Roman" w:hint="default"/>
          <w:spacing w:val="-4"/>
        </w:rPr>
        <w:t>LED</w:t>
      </w:r>
      <w:r>
        <w:rPr>
          <w:spacing w:val="-4"/>
        </w:rPr>
        <w:t>定制天幕采购合同》，合同金额</w:t>
      </w:r>
      <w:r>
        <w:rPr>
          <w:spacing w:val="54"/>
        </w:rPr>
        <w:t> </w:t>
      </w:r>
      <w:r>
        <w:rPr>
          <w:spacing w:val="54"/>
        </w:rPr>
      </w:r>
      <w:r>
        <w:rPr/>
        <w:t>为</w:t>
      </w:r>
      <w:r>
        <w:rPr>
          <w:rFonts w:ascii="Times New Roman" w:hAnsi="Times New Roman" w:cs="Times New Roman" w:eastAsia="Times New Roman" w:hint="default"/>
        </w:rPr>
        <w:t>89,691,695.00</w:t>
      </w:r>
      <w:r>
        <w:rPr/>
        <w:t>元。截至</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日，项目正在推进之中。</w:t>
      </w:r>
    </w:p>
    <w:tbl>
      <w:tblPr>
        <w:tblW w:w="0" w:type="auto"/>
        <w:jc w:val="left"/>
        <w:tblInd w:w="1046" w:type="dxa"/>
        <w:tblLayout w:type="fixed"/>
        <w:tblCellMar>
          <w:top w:w="0" w:type="dxa"/>
          <w:left w:w="0" w:type="dxa"/>
          <w:bottom w:w="0" w:type="dxa"/>
          <w:right w:w="0" w:type="dxa"/>
        </w:tblCellMar>
        <w:tblLook w:val="01E0"/>
      </w:tblPr>
      <w:tblGrid>
        <w:gridCol w:w="3198"/>
        <w:gridCol w:w="1911"/>
        <w:gridCol w:w="2727"/>
      </w:tblGrid>
      <w:tr>
        <w:trPr>
          <w:trHeight w:val="334" w:hRule="exact"/>
        </w:trPr>
        <w:tc>
          <w:tcPr>
            <w:tcW w:w="3198"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0"/>
              <w:ind w:left="1056" w:right="0"/>
              <w:jc w:val="left"/>
              <w:rPr>
                <w:rFonts w:ascii="宋体" w:hAnsi="宋体" w:cs="宋体" w:eastAsia="宋体" w:hint="default"/>
                <w:sz w:val="18"/>
                <w:szCs w:val="18"/>
              </w:rPr>
            </w:pPr>
            <w:r>
              <w:rPr>
                <w:rFonts w:ascii="宋体" w:hAnsi="宋体" w:cs="宋体" w:eastAsia="宋体" w:hint="default"/>
                <w:sz w:val="18"/>
                <w:szCs w:val="18"/>
              </w:rPr>
              <w:t>重要事项概述</w:t>
            </w:r>
          </w:p>
        </w:tc>
        <w:tc>
          <w:tcPr>
            <w:tcW w:w="1911"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0"/>
              <w:ind w:left="9" w:right="0"/>
              <w:jc w:val="center"/>
              <w:rPr>
                <w:rFonts w:ascii="宋体" w:hAnsi="宋体" w:cs="宋体" w:eastAsia="宋体" w:hint="default"/>
                <w:sz w:val="18"/>
                <w:szCs w:val="18"/>
              </w:rPr>
            </w:pPr>
            <w:r>
              <w:rPr>
                <w:rFonts w:ascii="宋体" w:hAnsi="宋体" w:cs="宋体" w:eastAsia="宋体" w:hint="default"/>
                <w:sz w:val="18"/>
                <w:szCs w:val="18"/>
              </w:rPr>
              <w:t>披露日期</w:t>
            </w:r>
          </w:p>
        </w:tc>
        <w:tc>
          <w:tcPr>
            <w:tcW w:w="2727"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pacing w:val="-3"/>
                <w:sz w:val="18"/>
                <w:szCs w:val="18"/>
              </w:rPr>
              <w:t>临时报告披露网站查询索引</w:t>
            </w:r>
          </w:p>
        </w:tc>
      </w:tr>
      <w:tr>
        <w:trPr>
          <w:trHeight w:val="987" w:hRule="exact"/>
        </w:trPr>
        <w:tc>
          <w:tcPr>
            <w:tcW w:w="3198" w:type="dxa"/>
            <w:tcBorders>
              <w:top w:val="single" w:sz="10" w:space="0" w:color="000000"/>
              <w:left w:val="single" w:sz="6" w:space="0" w:color="000000"/>
              <w:bottom w:val="single" w:sz="6" w:space="0" w:color="000000"/>
              <w:right w:val="single" w:sz="6" w:space="0" w:color="000000"/>
            </w:tcBorders>
          </w:tcPr>
          <w:p>
            <w:pPr>
              <w:pStyle w:val="TableParagraph"/>
              <w:spacing w:line="309" w:lineRule="auto" w:before="27"/>
              <w:ind w:left="9" w:right="108"/>
              <w:jc w:val="both"/>
              <w:rPr>
                <w:rFonts w:ascii="宋体" w:hAnsi="宋体" w:cs="宋体" w:eastAsia="宋体" w:hint="default"/>
                <w:sz w:val="18"/>
                <w:szCs w:val="18"/>
              </w:rPr>
            </w:pPr>
            <w:r>
              <w:rPr>
                <w:rFonts w:ascii="宋体" w:hAnsi="宋体" w:cs="宋体" w:eastAsia="宋体" w:hint="default"/>
                <w:spacing w:val="-3"/>
                <w:sz w:val="18"/>
                <w:szCs w:val="18"/>
              </w:rPr>
              <w:t>《深圳市奥拓电子股份有限公司关于签</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订</w:t>
            </w:r>
            <w:r>
              <w:rPr>
                <w:rFonts w:ascii="Times New Roman" w:hAnsi="Times New Roman" w:cs="Times New Roman" w:eastAsia="Times New Roman" w:hint="default"/>
                <w:spacing w:val="-3"/>
                <w:sz w:val="18"/>
                <w:szCs w:val="18"/>
              </w:rPr>
              <w:t>LED</w:t>
            </w:r>
            <w:r>
              <w:rPr>
                <w:rFonts w:ascii="宋体" w:hAnsi="宋体" w:cs="宋体" w:eastAsia="宋体" w:hint="default"/>
                <w:spacing w:val="-3"/>
                <w:sz w:val="18"/>
                <w:szCs w:val="18"/>
              </w:rPr>
              <w:t>电视墙及相关系统重大合同的公</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z w:val="18"/>
                <w:szCs w:val="18"/>
              </w:rPr>
              <w:t>告》</w:t>
            </w:r>
          </w:p>
        </w:tc>
        <w:tc>
          <w:tcPr>
            <w:tcW w:w="1911"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27"/>
              <w:ind w:left="9"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宋体" w:hAnsi="宋体" w:cs="宋体" w:eastAsia="宋体" w:hint="default"/>
                <w:sz w:val="18"/>
                <w:szCs w:val="18"/>
              </w:rPr>
              <w:t>年</w:t>
            </w:r>
            <w:r>
              <w:rPr>
                <w:rFonts w:ascii="Times New Roman" w:hAnsi="Times New Roman" w:cs="Times New Roman" w:eastAsia="Times New Roman" w:hint="default"/>
                <w:sz w:val="18"/>
                <w:szCs w:val="18"/>
              </w:rPr>
              <w:t>08</w:t>
            </w:r>
            <w:r>
              <w:rPr>
                <w:rFonts w:ascii="宋体" w:hAnsi="宋体" w:cs="宋体" w:eastAsia="宋体" w:hint="default"/>
                <w:sz w:val="18"/>
                <w:szCs w:val="18"/>
              </w:rPr>
              <w:t>月</w:t>
            </w:r>
            <w:r>
              <w:rPr>
                <w:rFonts w:ascii="Times New Roman" w:hAnsi="Times New Roman" w:cs="Times New Roman" w:eastAsia="Times New Roman" w:hint="default"/>
                <w:sz w:val="18"/>
                <w:szCs w:val="18"/>
              </w:rPr>
              <w:t>13</w:t>
            </w:r>
            <w:r>
              <w:rPr>
                <w:rFonts w:ascii="宋体" w:hAnsi="宋体" w:cs="宋体" w:eastAsia="宋体" w:hint="default"/>
                <w:sz w:val="18"/>
                <w:szCs w:val="18"/>
              </w:rPr>
              <w:t>日</w:t>
            </w:r>
          </w:p>
        </w:tc>
        <w:tc>
          <w:tcPr>
            <w:tcW w:w="2727"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27"/>
              <w:ind w:left="4" w:right="-5"/>
              <w:jc w:val="center"/>
              <w:rPr>
                <w:rFonts w:ascii="宋体" w:hAnsi="宋体" w:cs="宋体" w:eastAsia="宋体" w:hint="default"/>
                <w:sz w:val="18"/>
                <w:szCs w:val="18"/>
              </w:rPr>
            </w:pPr>
            <w:r>
              <w:rPr>
                <w:rFonts w:ascii="宋体" w:hAnsi="宋体" w:cs="宋体" w:eastAsia="宋体" w:hint="default"/>
                <w:spacing w:val="-3"/>
                <w:sz w:val="18"/>
                <w:szCs w:val="18"/>
              </w:rPr>
              <w:t>巨潮资讯网（</w:t>
            </w:r>
            <w:hyperlink r:id="rId12">
              <w:r>
                <w:rPr>
                  <w:rFonts w:ascii="Times New Roman" w:hAnsi="Times New Roman" w:cs="Times New Roman" w:eastAsia="Times New Roman" w:hint="default"/>
                  <w:spacing w:val="-3"/>
                  <w:sz w:val="18"/>
                  <w:szCs w:val="18"/>
                </w:rPr>
                <w:t>www.cninfo.com.cn</w:t>
              </w:r>
            </w:hyperlink>
            <w:r>
              <w:rPr>
                <w:rFonts w:ascii="宋体" w:hAnsi="宋体" w:cs="宋体" w:eastAsia="宋体" w:hint="default"/>
                <w:spacing w:val="-3"/>
                <w:sz w:val="18"/>
                <w:szCs w:val="18"/>
              </w:rPr>
              <w:t>）</w:t>
            </w:r>
          </w:p>
        </w:tc>
      </w:tr>
      <w:tr>
        <w:trPr>
          <w:trHeight w:val="970" w:hRule="exact"/>
        </w:trPr>
        <w:tc>
          <w:tcPr>
            <w:tcW w:w="3198" w:type="dxa"/>
            <w:tcBorders>
              <w:top w:val="single" w:sz="6" w:space="0" w:color="000000"/>
              <w:left w:val="single" w:sz="6" w:space="0" w:color="000000"/>
              <w:bottom w:val="single" w:sz="6" w:space="0" w:color="000000"/>
              <w:right w:val="single" w:sz="6" w:space="0" w:color="000000"/>
            </w:tcBorders>
          </w:tcPr>
          <w:p>
            <w:pPr>
              <w:pStyle w:val="TableParagraph"/>
              <w:spacing w:line="309" w:lineRule="auto" w:before="20"/>
              <w:ind w:left="9" w:right="17"/>
              <w:jc w:val="left"/>
              <w:rPr>
                <w:rFonts w:ascii="宋体" w:hAnsi="宋体" w:cs="宋体" w:eastAsia="宋体" w:hint="default"/>
                <w:sz w:val="18"/>
                <w:szCs w:val="18"/>
              </w:rPr>
            </w:pPr>
            <w:r>
              <w:rPr>
                <w:rFonts w:ascii="宋体" w:hAnsi="宋体" w:cs="宋体" w:eastAsia="宋体" w:hint="default"/>
                <w:spacing w:val="-3"/>
                <w:sz w:val="18"/>
                <w:szCs w:val="18"/>
              </w:rPr>
              <w:t>《深圳市奥拓电子股份有限公司关于签</w:t>
            </w:r>
            <w:r>
              <w:rPr>
                <w:rFonts w:ascii="宋体" w:hAnsi="宋体" w:cs="宋体" w:eastAsia="宋体" w:hint="default"/>
                <w:spacing w:val="-40"/>
                <w:sz w:val="18"/>
                <w:szCs w:val="18"/>
              </w:rPr>
              <w:t> </w:t>
            </w:r>
            <w:r>
              <w:rPr>
                <w:rFonts w:ascii="宋体" w:hAnsi="宋体" w:cs="宋体" w:eastAsia="宋体" w:hint="default"/>
                <w:spacing w:val="-40"/>
                <w:sz w:val="18"/>
                <w:szCs w:val="18"/>
              </w:rPr>
            </w:r>
            <w:r>
              <w:rPr>
                <w:rFonts w:ascii="宋体" w:hAnsi="宋体" w:cs="宋体" w:eastAsia="宋体" w:hint="default"/>
                <w:spacing w:val="-3"/>
                <w:sz w:val="18"/>
                <w:szCs w:val="18"/>
              </w:rPr>
              <w:t>署</w:t>
            </w:r>
            <w:r>
              <w:rPr>
                <w:rFonts w:ascii="Times New Roman" w:hAnsi="Times New Roman" w:cs="Times New Roman" w:eastAsia="Times New Roman" w:hint="default"/>
                <w:spacing w:val="-3"/>
                <w:sz w:val="18"/>
                <w:szCs w:val="18"/>
              </w:rPr>
              <w:t>&lt;</w:t>
            </w:r>
            <w:r>
              <w:rPr>
                <w:rFonts w:ascii="宋体" w:hAnsi="宋体" w:cs="宋体" w:eastAsia="宋体" w:hint="default"/>
                <w:spacing w:val="-3"/>
                <w:sz w:val="18"/>
                <w:szCs w:val="18"/>
              </w:rPr>
              <w:t>中国足协中国之队</w:t>
            </w:r>
            <w:r>
              <w:rPr>
                <w:rFonts w:ascii="Times New Roman" w:hAnsi="Times New Roman" w:cs="Times New Roman" w:eastAsia="Times New Roman" w:hint="default"/>
                <w:spacing w:val="-3"/>
                <w:sz w:val="18"/>
                <w:szCs w:val="18"/>
              </w:rPr>
              <w:t>LED</w:t>
            </w:r>
            <w:r>
              <w:rPr>
                <w:rFonts w:ascii="宋体" w:hAnsi="宋体" w:cs="宋体" w:eastAsia="宋体" w:hint="default"/>
                <w:spacing w:val="-3"/>
                <w:sz w:val="18"/>
                <w:szCs w:val="18"/>
              </w:rPr>
              <w:t>服务商合作协</w:t>
            </w:r>
            <w:r>
              <w:rPr>
                <w:rFonts w:ascii="宋体" w:hAnsi="宋体" w:cs="宋体" w:eastAsia="宋体" w:hint="default"/>
                <w:spacing w:val="-35"/>
                <w:sz w:val="18"/>
                <w:szCs w:val="18"/>
              </w:rPr>
              <w:t> </w:t>
            </w:r>
            <w:r>
              <w:rPr>
                <w:rFonts w:ascii="宋体" w:hAnsi="宋体" w:cs="宋体" w:eastAsia="宋体" w:hint="default"/>
                <w:spacing w:val="-35"/>
                <w:sz w:val="18"/>
                <w:szCs w:val="18"/>
              </w:rPr>
            </w:r>
            <w:r>
              <w:rPr>
                <w:rFonts w:ascii="宋体" w:hAnsi="宋体" w:cs="宋体" w:eastAsia="宋体" w:hint="default"/>
                <w:sz w:val="18"/>
                <w:szCs w:val="18"/>
              </w:rPr>
              <w:t>议</w:t>
            </w:r>
            <w:r>
              <w:rPr>
                <w:rFonts w:ascii="Times New Roman" w:hAnsi="Times New Roman" w:cs="Times New Roman" w:eastAsia="Times New Roman" w:hint="default"/>
                <w:sz w:val="18"/>
                <w:szCs w:val="18"/>
              </w:rPr>
              <w:t>&gt;</w:t>
            </w:r>
            <w:r>
              <w:rPr>
                <w:rFonts w:ascii="宋体" w:hAnsi="宋体" w:cs="宋体" w:eastAsia="宋体" w:hint="default"/>
                <w:sz w:val="18"/>
                <w:szCs w:val="18"/>
              </w:rPr>
              <w:t>的公告》</w:t>
            </w:r>
          </w:p>
        </w:tc>
        <w:tc>
          <w:tcPr>
            <w:tcW w:w="19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9"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宋体" w:hAnsi="宋体" w:cs="宋体" w:eastAsia="宋体" w:hint="default"/>
                <w:sz w:val="18"/>
                <w:szCs w:val="18"/>
              </w:rPr>
              <w:t>年</w:t>
            </w:r>
            <w:r>
              <w:rPr>
                <w:rFonts w:ascii="Times New Roman" w:hAnsi="Times New Roman" w:cs="Times New Roman" w:eastAsia="Times New Roman" w:hint="default"/>
                <w:sz w:val="18"/>
                <w:szCs w:val="18"/>
              </w:rPr>
              <w:t>03</w:t>
            </w:r>
            <w:r>
              <w:rPr>
                <w:rFonts w:ascii="宋体" w:hAnsi="宋体" w:cs="宋体" w:eastAsia="宋体" w:hint="default"/>
                <w:sz w:val="18"/>
                <w:szCs w:val="18"/>
              </w:rPr>
              <w:t>月</w:t>
            </w:r>
            <w:r>
              <w:rPr>
                <w:rFonts w:ascii="Times New Roman" w:hAnsi="Times New Roman" w:cs="Times New Roman" w:eastAsia="Times New Roman" w:hint="default"/>
                <w:sz w:val="18"/>
                <w:szCs w:val="18"/>
              </w:rPr>
              <w:t>17</w:t>
            </w:r>
            <w:r>
              <w:rPr>
                <w:rFonts w:ascii="宋体" w:hAnsi="宋体" w:cs="宋体" w:eastAsia="宋体" w:hint="default"/>
                <w:sz w:val="18"/>
                <w:szCs w:val="18"/>
              </w:rPr>
              <w:t>日</w:t>
            </w:r>
          </w:p>
        </w:tc>
        <w:tc>
          <w:tcPr>
            <w:tcW w:w="27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5"/>
              <w:jc w:val="center"/>
              <w:rPr>
                <w:rFonts w:ascii="宋体" w:hAnsi="宋体" w:cs="宋体" w:eastAsia="宋体" w:hint="default"/>
                <w:sz w:val="18"/>
                <w:szCs w:val="18"/>
              </w:rPr>
            </w:pPr>
            <w:r>
              <w:rPr>
                <w:rFonts w:ascii="宋体" w:hAnsi="宋体" w:cs="宋体" w:eastAsia="宋体" w:hint="default"/>
                <w:spacing w:val="-3"/>
                <w:sz w:val="18"/>
                <w:szCs w:val="18"/>
              </w:rPr>
              <w:t>巨潮资讯网（</w:t>
            </w:r>
            <w:hyperlink r:id="rId12">
              <w:r>
                <w:rPr>
                  <w:rFonts w:ascii="Times New Roman" w:hAnsi="Times New Roman" w:cs="Times New Roman" w:eastAsia="Times New Roman" w:hint="default"/>
                  <w:spacing w:val="-3"/>
                  <w:sz w:val="18"/>
                  <w:szCs w:val="18"/>
                </w:rPr>
                <w:t>www.cninfo.com.cn</w:t>
              </w:r>
            </w:hyperlink>
            <w:r>
              <w:rPr>
                <w:rFonts w:ascii="宋体" w:hAnsi="宋体" w:cs="宋体" w:eastAsia="宋体" w:hint="default"/>
                <w:spacing w:val="-3"/>
                <w:sz w:val="18"/>
                <w:szCs w:val="18"/>
              </w:rPr>
              <w:t>）</w:t>
            </w:r>
          </w:p>
        </w:tc>
      </w:tr>
      <w:tr>
        <w:trPr>
          <w:trHeight w:val="970" w:hRule="exact"/>
        </w:trPr>
        <w:tc>
          <w:tcPr>
            <w:tcW w:w="3198" w:type="dxa"/>
            <w:tcBorders>
              <w:top w:val="single" w:sz="6" w:space="0" w:color="000000"/>
              <w:left w:val="single" w:sz="6" w:space="0" w:color="000000"/>
              <w:bottom w:val="single" w:sz="6" w:space="0" w:color="000000"/>
              <w:right w:val="single" w:sz="6" w:space="0" w:color="000000"/>
            </w:tcBorders>
          </w:tcPr>
          <w:p>
            <w:pPr>
              <w:pStyle w:val="TableParagraph"/>
              <w:spacing w:line="309" w:lineRule="auto" w:before="20"/>
              <w:ind w:left="9" w:right="2"/>
              <w:jc w:val="left"/>
              <w:rPr>
                <w:rFonts w:ascii="宋体" w:hAnsi="宋体" w:cs="宋体" w:eastAsia="宋体" w:hint="default"/>
                <w:sz w:val="18"/>
                <w:szCs w:val="18"/>
              </w:rPr>
            </w:pPr>
            <w:r>
              <w:rPr>
                <w:rFonts w:ascii="宋体" w:hAnsi="宋体" w:cs="宋体" w:eastAsia="宋体" w:hint="default"/>
                <w:spacing w:val="-3"/>
                <w:sz w:val="18"/>
                <w:szCs w:val="18"/>
              </w:rPr>
              <w:t>《深圳市奥拓电子股份有限公司关于与</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中国工商银行股份有限公司签署</w:t>
            </w:r>
            <w:r>
              <w:rPr>
                <w:rFonts w:ascii="Times New Roman" w:hAnsi="Times New Roman" w:cs="Times New Roman" w:eastAsia="Times New Roman" w:hint="default"/>
                <w:spacing w:val="-3"/>
                <w:sz w:val="18"/>
                <w:szCs w:val="18"/>
              </w:rPr>
              <w:t>&lt;</w:t>
            </w:r>
            <w:r>
              <w:rPr>
                <w:rFonts w:ascii="宋体" w:hAnsi="宋体" w:cs="宋体" w:eastAsia="宋体" w:hint="default"/>
                <w:spacing w:val="-3"/>
                <w:sz w:val="18"/>
                <w:szCs w:val="18"/>
              </w:rPr>
              <w:t>集中采</w:t>
            </w:r>
            <w:r>
              <w:rPr>
                <w:rFonts w:ascii="宋体" w:hAnsi="宋体" w:cs="宋体" w:eastAsia="宋体" w:hint="default"/>
                <w:spacing w:val="-32"/>
                <w:sz w:val="18"/>
                <w:szCs w:val="18"/>
              </w:rPr>
              <w:t> </w:t>
            </w:r>
            <w:r>
              <w:rPr>
                <w:rFonts w:ascii="宋体" w:hAnsi="宋体" w:cs="宋体" w:eastAsia="宋体" w:hint="default"/>
                <w:spacing w:val="-32"/>
                <w:sz w:val="18"/>
                <w:szCs w:val="18"/>
              </w:rPr>
            </w:r>
            <w:r>
              <w:rPr>
                <w:rFonts w:ascii="宋体" w:hAnsi="宋体" w:cs="宋体" w:eastAsia="宋体" w:hint="default"/>
                <w:sz w:val="18"/>
                <w:szCs w:val="18"/>
              </w:rPr>
              <w:t>购协议</w:t>
            </w:r>
            <w:r>
              <w:rPr>
                <w:rFonts w:ascii="Times New Roman" w:hAnsi="Times New Roman" w:cs="Times New Roman" w:eastAsia="Times New Roman" w:hint="default"/>
                <w:sz w:val="18"/>
                <w:szCs w:val="18"/>
              </w:rPr>
              <w:t>-</w:t>
            </w:r>
            <w:r>
              <w:rPr>
                <w:rFonts w:ascii="宋体" w:hAnsi="宋体" w:cs="宋体" w:eastAsia="宋体" w:hint="default"/>
                <w:sz w:val="18"/>
                <w:szCs w:val="18"/>
              </w:rPr>
              <w:t>设备类</w:t>
            </w:r>
            <w:r>
              <w:rPr>
                <w:rFonts w:ascii="Times New Roman" w:hAnsi="Times New Roman" w:cs="Times New Roman" w:eastAsia="Times New Roman" w:hint="default"/>
                <w:sz w:val="18"/>
                <w:szCs w:val="18"/>
              </w:rPr>
              <w:t>&gt;</w:t>
            </w:r>
            <w:r>
              <w:rPr>
                <w:rFonts w:ascii="宋体" w:hAnsi="宋体" w:cs="宋体" w:eastAsia="宋体" w:hint="default"/>
                <w:sz w:val="18"/>
                <w:szCs w:val="18"/>
              </w:rPr>
              <w:t>的公告》</w:t>
            </w:r>
          </w:p>
        </w:tc>
        <w:tc>
          <w:tcPr>
            <w:tcW w:w="19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9"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15</w:t>
            </w:r>
            <w:r>
              <w:rPr>
                <w:rFonts w:ascii="宋体" w:hAnsi="宋体" w:cs="宋体" w:eastAsia="宋体" w:hint="default"/>
                <w:sz w:val="18"/>
                <w:szCs w:val="18"/>
              </w:rPr>
              <w:t>日</w:t>
            </w:r>
          </w:p>
        </w:tc>
        <w:tc>
          <w:tcPr>
            <w:tcW w:w="27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5"/>
              <w:jc w:val="center"/>
              <w:rPr>
                <w:rFonts w:ascii="宋体" w:hAnsi="宋体" w:cs="宋体" w:eastAsia="宋体" w:hint="default"/>
                <w:sz w:val="18"/>
                <w:szCs w:val="18"/>
              </w:rPr>
            </w:pPr>
            <w:r>
              <w:rPr>
                <w:rFonts w:ascii="宋体" w:hAnsi="宋体" w:cs="宋体" w:eastAsia="宋体" w:hint="default"/>
                <w:spacing w:val="-3"/>
                <w:sz w:val="18"/>
                <w:szCs w:val="18"/>
              </w:rPr>
              <w:t>巨潮资讯网（</w:t>
            </w:r>
            <w:hyperlink r:id="rId12">
              <w:r>
                <w:rPr>
                  <w:rFonts w:ascii="Times New Roman" w:hAnsi="Times New Roman" w:cs="Times New Roman" w:eastAsia="Times New Roman" w:hint="default"/>
                  <w:spacing w:val="-3"/>
                  <w:sz w:val="18"/>
                  <w:szCs w:val="18"/>
                </w:rPr>
                <w:t>www.cninfo.com.cn</w:t>
              </w:r>
            </w:hyperlink>
            <w:r>
              <w:rPr>
                <w:rFonts w:ascii="宋体" w:hAnsi="宋体" w:cs="宋体" w:eastAsia="宋体" w:hint="default"/>
                <w:spacing w:val="-3"/>
                <w:sz w:val="18"/>
                <w:szCs w:val="18"/>
              </w:rPr>
              <w:t>）</w:t>
            </w:r>
          </w:p>
        </w:tc>
      </w:tr>
      <w:tr>
        <w:trPr>
          <w:trHeight w:val="970" w:hRule="exact"/>
        </w:trPr>
        <w:tc>
          <w:tcPr>
            <w:tcW w:w="3198"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0"/>
              <w:ind w:left="9" w:right="2"/>
              <w:jc w:val="left"/>
              <w:rPr>
                <w:rFonts w:ascii="宋体" w:hAnsi="宋体" w:cs="宋体" w:eastAsia="宋体" w:hint="default"/>
                <w:sz w:val="18"/>
                <w:szCs w:val="18"/>
              </w:rPr>
            </w:pPr>
            <w:r>
              <w:rPr>
                <w:rFonts w:ascii="宋体" w:hAnsi="宋体" w:cs="宋体" w:eastAsia="宋体" w:hint="default"/>
                <w:spacing w:val="-3"/>
                <w:sz w:val="18"/>
                <w:szCs w:val="18"/>
              </w:rPr>
              <w:t>《深圳市奥拓电子股份有限公司关于</w:t>
            </w:r>
            <w:r>
              <w:rPr>
                <w:rFonts w:ascii="Times New Roman" w:hAnsi="Times New Roman" w:cs="Times New Roman" w:eastAsia="Times New Roman" w:hint="default"/>
                <w:spacing w:val="-3"/>
                <w:sz w:val="18"/>
                <w:szCs w:val="18"/>
              </w:rPr>
              <w:t>&lt;</w:t>
            </w:r>
            <w:r>
              <w:rPr>
                <w:rFonts w:ascii="宋体" w:hAnsi="宋体" w:cs="宋体" w:eastAsia="宋体" w:hint="default"/>
                <w:spacing w:val="-3"/>
                <w:sz w:val="18"/>
                <w:szCs w:val="18"/>
              </w:rPr>
              <w:t>全</w:t>
            </w:r>
            <w:r>
              <w:rPr>
                <w:rFonts w:ascii="宋体" w:hAnsi="宋体" w:cs="宋体" w:eastAsia="宋体" w:hint="default"/>
                <w:spacing w:val="-32"/>
                <w:sz w:val="18"/>
                <w:szCs w:val="18"/>
              </w:rPr>
              <w:t> </w:t>
            </w:r>
            <w:r>
              <w:rPr>
                <w:rFonts w:ascii="宋体" w:hAnsi="宋体" w:cs="宋体" w:eastAsia="宋体" w:hint="default"/>
                <w:sz w:val="18"/>
                <w:szCs w:val="18"/>
              </w:rPr>
              <w:t>资子公司签署 </w:t>
            </w:r>
            <w:r>
              <w:rPr>
                <w:rFonts w:ascii="Times New Roman" w:hAnsi="Times New Roman" w:cs="Times New Roman" w:eastAsia="Times New Roman" w:hint="default"/>
                <w:spacing w:val="-3"/>
                <w:sz w:val="18"/>
                <w:szCs w:val="18"/>
              </w:rPr>
              <w:t>PPP </w:t>
            </w:r>
            <w:r>
              <w:rPr>
                <w:rFonts w:ascii="宋体" w:hAnsi="宋体" w:cs="宋体" w:eastAsia="宋体" w:hint="default"/>
                <w:spacing w:val="-4"/>
                <w:sz w:val="18"/>
                <w:szCs w:val="18"/>
              </w:rPr>
              <w:t>项目框架协议</w:t>
            </w:r>
            <w:r>
              <w:rPr>
                <w:rFonts w:ascii="Times New Roman" w:hAnsi="Times New Roman" w:cs="Times New Roman" w:eastAsia="Times New Roman" w:hint="default"/>
                <w:spacing w:val="-4"/>
                <w:sz w:val="18"/>
                <w:szCs w:val="18"/>
              </w:rPr>
              <w:t>&gt;</w:t>
            </w:r>
            <w:r>
              <w:rPr>
                <w:rFonts w:ascii="宋体" w:hAnsi="宋体" w:cs="宋体" w:eastAsia="宋体" w:hint="default"/>
                <w:spacing w:val="-4"/>
                <w:sz w:val="18"/>
                <w:szCs w:val="18"/>
              </w:rPr>
              <w:t>的公</w:t>
            </w:r>
            <w:r>
              <w:rPr>
                <w:rFonts w:ascii="宋体" w:hAnsi="宋体" w:cs="宋体" w:eastAsia="宋体" w:hint="default"/>
                <w:spacing w:val="-46"/>
                <w:sz w:val="18"/>
                <w:szCs w:val="18"/>
              </w:rPr>
              <w:t> </w:t>
            </w:r>
            <w:r>
              <w:rPr>
                <w:rFonts w:ascii="宋体" w:hAnsi="宋体" w:cs="宋体" w:eastAsia="宋体" w:hint="default"/>
                <w:sz w:val="18"/>
                <w:szCs w:val="18"/>
              </w:rPr>
              <w:t>告》</w:t>
            </w:r>
          </w:p>
        </w:tc>
        <w:tc>
          <w:tcPr>
            <w:tcW w:w="19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9"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01</w:t>
            </w:r>
            <w:r>
              <w:rPr>
                <w:rFonts w:ascii="宋体" w:hAnsi="宋体" w:cs="宋体" w:eastAsia="宋体" w:hint="default"/>
                <w:sz w:val="18"/>
                <w:szCs w:val="18"/>
              </w:rPr>
              <w:t>月</w:t>
            </w:r>
            <w:r>
              <w:rPr>
                <w:rFonts w:ascii="Times New Roman" w:hAnsi="Times New Roman" w:cs="Times New Roman" w:eastAsia="Times New Roman" w:hint="default"/>
                <w:sz w:val="18"/>
                <w:szCs w:val="18"/>
              </w:rPr>
              <w:t>26</w:t>
            </w:r>
            <w:r>
              <w:rPr>
                <w:rFonts w:ascii="宋体" w:hAnsi="宋体" w:cs="宋体" w:eastAsia="宋体" w:hint="default"/>
                <w:sz w:val="18"/>
                <w:szCs w:val="18"/>
              </w:rPr>
              <w:t>日</w:t>
            </w:r>
          </w:p>
        </w:tc>
        <w:tc>
          <w:tcPr>
            <w:tcW w:w="27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5"/>
              <w:jc w:val="center"/>
              <w:rPr>
                <w:rFonts w:ascii="宋体" w:hAnsi="宋体" w:cs="宋体" w:eastAsia="宋体" w:hint="default"/>
                <w:sz w:val="18"/>
                <w:szCs w:val="18"/>
              </w:rPr>
            </w:pPr>
            <w:r>
              <w:rPr>
                <w:rFonts w:ascii="宋体" w:hAnsi="宋体" w:cs="宋体" w:eastAsia="宋体" w:hint="default"/>
                <w:spacing w:val="-3"/>
                <w:sz w:val="18"/>
                <w:szCs w:val="18"/>
              </w:rPr>
              <w:t>巨潮资讯网（</w:t>
            </w:r>
            <w:hyperlink r:id="rId12">
              <w:r>
                <w:rPr>
                  <w:rFonts w:ascii="Times New Roman" w:hAnsi="Times New Roman" w:cs="Times New Roman" w:eastAsia="Times New Roman" w:hint="default"/>
                  <w:spacing w:val="-3"/>
                  <w:sz w:val="18"/>
                  <w:szCs w:val="18"/>
                </w:rPr>
                <w:t>www.cninfo.com.cn</w:t>
              </w:r>
            </w:hyperlink>
            <w:r>
              <w:rPr>
                <w:rFonts w:ascii="宋体" w:hAnsi="宋体" w:cs="宋体" w:eastAsia="宋体" w:hint="default"/>
                <w:spacing w:val="-3"/>
                <w:sz w:val="18"/>
                <w:szCs w:val="18"/>
              </w:rPr>
              <w:t>）</w:t>
            </w:r>
          </w:p>
        </w:tc>
      </w:tr>
      <w:tr>
        <w:trPr>
          <w:trHeight w:val="662" w:hRule="exact"/>
        </w:trPr>
        <w:tc>
          <w:tcPr>
            <w:tcW w:w="3198"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5"/>
              <w:ind w:left="9" w:right="108"/>
              <w:jc w:val="left"/>
              <w:rPr>
                <w:rFonts w:ascii="宋体" w:hAnsi="宋体" w:cs="宋体" w:eastAsia="宋体" w:hint="default"/>
                <w:sz w:val="18"/>
                <w:szCs w:val="18"/>
              </w:rPr>
            </w:pPr>
            <w:r>
              <w:rPr>
                <w:rFonts w:ascii="宋体" w:hAnsi="宋体" w:cs="宋体" w:eastAsia="宋体" w:hint="default"/>
                <w:spacing w:val="-3"/>
                <w:sz w:val="18"/>
                <w:szCs w:val="18"/>
              </w:rPr>
              <w:t>《深圳市奥拓电子股份有限公司关于中</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标项目签订合同的进展公告》</w:t>
            </w:r>
          </w:p>
        </w:tc>
        <w:tc>
          <w:tcPr>
            <w:tcW w:w="19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5"/>
              <w:ind w:left="9"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01</w:t>
            </w:r>
            <w:r>
              <w:rPr>
                <w:rFonts w:ascii="宋体" w:hAnsi="宋体" w:cs="宋体" w:eastAsia="宋体" w:hint="default"/>
                <w:sz w:val="18"/>
                <w:szCs w:val="18"/>
              </w:rPr>
              <w:t>月</w:t>
            </w:r>
            <w:r>
              <w:rPr>
                <w:rFonts w:ascii="Times New Roman" w:hAnsi="Times New Roman" w:cs="Times New Roman" w:eastAsia="Times New Roman" w:hint="default"/>
                <w:sz w:val="18"/>
                <w:szCs w:val="18"/>
              </w:rPr>
              <w:t>30</w:t>
            </w:r>
            <w:r>
              <w:rPr>
                <w:rFonts w:ascii="宋体" w:hAnsi="宋体" w:cs="宋体" w:eastAsia="宋体" w:hint="default"/>
                <w:sz w:val="18"/>
                <w:szCs w:val="18"/>
              </w:rPr>
              <w:t>日</w:t>
            </w:r>
          </w:p>
        </w:tc>
        <w:tc>
          <w:tcPr>
            <w:tcW w:w="27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5"/>
              <w:ind w:left="4" w:right="-5"/>
              <w:jc w:val="center"/>
              <w:rPr>
                <w:rFonts w:ascii="宋体" w:hAnsi="宋体" w:cs="宋体" w:eastAsia="宋体" w:hint="default"/>
                <w:sz w:val="18"/>
                <w:szCs w:val="18"/>
              </w:rPr>
            </w:pPr>
            <w:r>
              <w:rPr>
                <w:rFonts w:ascii="宋体" w:hAnsi="宋体" w:cs="宋体" w:eastAsia="宋体" w:hint="default"/>
                <w:spacing w:val="-3"/>
                <w:sz w:val="18"/>
                <w:szCs w:val="18"/>
              </w:rPr>
              <w:t>巨潮资讯网（</w:t>
            </w:r>
            <w:hyperlink r:id="rId12">
              <w:r>
                <w:rPr>
                  <w:rFonts w:ascii="Times New Roman" w:hAnsi="Times New Roman" w:cs="Times New Roman" w:eastAsia="Times New Roman" w:hint="default"/>
                  <w:spacing w:val="-3"/>
                  <w:sz w:val="18"/>
                  <w:szCs w:val="18"/>
                </w:rPr>
                <w:t>www.cninfo.com.cn</w:t>
              </w:r>
            </w:hyperlink>
            <w:r>
              <w:rPr>
                <w:rFonts w:ascii="宋体" w:hAnsi="宋体" w:cs="宋体" w:eastAsia="宋体" w:hint="default"/>
                <w:spacing w:val="-3"/>
                <w:sz w:val="18"/>
                <w:szCs w:val="18"/>
              </w:rPr>
              <w:t>）</w:t>
            </w: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p>
      <w:pPr>
        <w:pStyle w:val="Heading4"/>
        <w:spacing w:line="240" w:lineRule="auto" w:before="36"/>
        <w:ind w:right="0"/>
        <w:jc w:val="left"/>
        <w:rPr>
          <w:b w:val="0"/>
          <w:bCs w:val="0"/>
        </w:rPr>
      </w:pPr>
      <w:bookmarkStart w:name="（5）营业成本构成" w:id="33"/>
      <w:bookmarkEnd w:id="33"/>
      <w:r>
        <w:rPr>
          <w:b w:val="0"/>
          <w:bCs w:val="0"/>
        </w:rPr>
      </w:r>
      <w:r>
        <w:rPr/>
        <w:t>（</w:t>
      </w:r>
      <w:r>
        <w:rPr>
          <w:rFonts w:ascii="Times New Roman" w:hAnsi="Times New Roman" w:cs="Times New Roman" w:eastAsia="Times New Roman" w:hint="default"/>
        </w:rPr>
        <w:t>5</w:t>
      </w:r>
      <w:r>
        <w:rPr/>
        <w:t>）营业成本构成</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right="0"/>
        <w:jc w:val="left"/>
      </w:pPr>
      <w:r>
        <w:rPr/>
        <w:t>行业分类</w:t>
      </w:r>
    </w:p>
    <w:p>
      <w:pPr>
        <w:pStyle w:val="BodyText"/>
        <w:spacing w:line="240" w:lineRule="auto" w:before="115"/>
        <w:ind w:left="0" w:right="1122"/>
        <w:jc w:val="right"/>
      </w:pPr>
      <w:r>
        <w:rPr>
          <w:spacing w:val="-2"/>
        </w:rPr>
        <w:t>单位：元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369"/>
        <w:gridCol w:w="1368"/>
        <w:gridCol w:w="1369"/>
        <w:gridCol w:w="1368"/>
        <w:gridCol w:w="1364"/>
        <w:gridCol w:w="1369"/>
        <w:gridCol w:w="1369"/>
      </w:tblGrid>
      <w:tr>
        <w:trPr>
          <w:trHeight w:val="403" w:hRule="exact"/>
        </w:trPr>
        <w:tc>
          <w:tcPr>
            <w:tcW w:w="136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321" w:right="0"/>
              <w:jc w:val="left"/>
              <w:rPr>
                <w:rFonts w:ascii="宋体" w:hAnsi="宋体" w:cs="宋体" w:eastAsia="宋体" w:hint="default"/>
                <w:sz w:val="18"/>
                <w:szCs w:val="18"/>
              </w:rPr>
            </w:pPr>
            <w:r>
              <w:rPr>
                <w:rFonts w:ascii="宋体" w:hAnsi="宋体" w:cs="宋体" w:eastAsia="宋体" w:hint="default"/>
                <w:sz w:val="18"/>
                <w:szCs w:val="18"/>
              </w:rPr>
              <w:t>行业分类</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73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273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136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321"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711" w:hRule="exact"/>
        </w:trPr>
        <w:tc>
          <w:tcPr>
            <w:tcW w:w="1369"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4"/>
              <w:ind w:left="590" w:right="132" w:hanging="452"/>
              <w:jc w:val="left"/>
              <w:rPr>
                <w:rFonts w:ascii="宋体" w:hAnsi="宋体" w:cs="宋体" w:eastAsia="宋体" w:hint="default"/>
                <w:sz w:val="18"/>
                <w:szCs w:val="18"/>
              </w:rPr>
            </w:pPr>
            <w:r>
              <w:rPr>
                <w:rFonts w:ascii="宋体" w:hAnsi="宋体" w:cs="宋体" w:eastAsia="宋体" w:hint="default"/>
                <w:spacing w:val="-2"/>
                <w:sz w:val="18"/>
                <w:szCs w:val="18"/>
              </w:rPr>
              <w:t>占营业成本比</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重</w:t>
            </w:r>
          </w:p>
        </w:tc>
        <w:tc>
          <w:tcPr>
            <w:tcW w:w="13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4"/>
              <w:ind w:left="591" w:right="132" w:hanging="452"/>
              <w:jc w:val="left"/>
              <w:rPr>
                <w:rFonts w:ascii="宋体" w:hAnsi="宋体" w:cs="宋体" w:eastAsia="宋体" w:hint="default"/>
                <w:sz w:val="18"/>
                <w:szCs w:val="18"/>
              </w:rPr>
            </w:pPr>
            <w:r>
              <w:rPr>
                <w:rFonts w:ascii="宋体" w:hAnsi="宋体" w:cs="宋体" w:eastAsia="宋体" w:hint="default"/>
                <w:spacing w:val="-2"/>
                <w:sz w:val="18"/>
                <w:szCs w:val="18"/>
              </w:rPr>
              <w:t>占营业成本比</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重</w:t>
            </w:r>
          </w:p>
        </w:tc>
        <w:tc>
          <w:tcPr>
            <w:tcW w:w="1369" w:type="dxa"/>
            <w:vMerge/>
            <w:tcBorders>
              <w:left w:val="single" w:sz="4" w:space="0" w:color="000000"/>
              <w:bottom w:val="single" w:sz="4" w:space="0" w:color="000000"/>
              <w:right w:val="single" w:sz="4" w:space="0" w:color="000000"/>
            </w:tcBorders>
            <w:shd w:val="clear" w:color="auto" w:fill="D2D2D2"/>
          </w:tcPr>
          <w:p>
            <w:pPr/>
          </w:p>
        </w:tc>
      </w:tr>
    </w:tbl>
    <w:p>
      <w:pPr>
        <w:spacing w:after="0"/>
        <w:sectPr>
          <w:pgSz w:w="11910" w:h="16840"/>
          <w:pgMar w:header="784" w:footer="1022" w:top="1100" w:bottom="1220" w:left="980" w:right="0"/>
        </w:sectPr>
      </w:pPr>
    </w:p>
    <w:p>
      <w:pPr>
        <w:spacing w:line="240" w:lineRule="auto" w:before="7"/>
        <w:rPr>
          <w:rFonts w:ascii="宋体" w:hAnsi="宋体" w:cs="宋体" w:eastAsia="宋体" w:hint="default"/>
          <w:sz w:val="25"/>
          <w:szCs w:val="25"/>
        </w:rPr>
      </w:pPr>
    </w:p>
    <w:tbl>
      <w:tblPr>
        <w:tblW w:w="0" w:type="auto"/>
        <w:jc w:val="left"/>
        <w:tblInd w:w="148" w:type="dxa"/>
        <w:tblLayout w:type="fixed"/>
        <w:tblCellMar>
          <w:top w:w="0" w:type="dxa"/>
          <w:left w:w="0" w:type="dxa"/>
          <w:bottom w:w="0" w:type="dxa"/>
          <w:right w:w="0" w:type="dxa"/>
        </w:tblCellMar>
        <w:tblLook w:val="01E0"/>
      </w:tblPr>
      <w:tblGrid>
        <w:gridCol w:w="1369"/>
        <w:gridCol w:w="1368"/>
        <w:gridCol w:w="1369"/>
        <w:gridCol w:w="1368"/>
        <w:gridCol w:w="1364"/>
        <w:gridCol w:w="1369"/>
        <w:gridCol w:w="1369"/>
      </w:tblGrid>
      <w:tr>
        <w:trPr>
          <w:trHeight w:val="403"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LED</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应用</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直接材料</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336,017,067.78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48.57%</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652,478,270.39</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62.38%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-48.50%</w:t>
            </w:r>
          </w:p>
        </w:tc>
      </w:tr>
      <w:tr>
        <w:trPr>
          <w:trHeight w:val="398"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LED</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应用</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直接人工</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98,748,940.93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14.27%</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182,538,003.96</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17.45%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-45.90%</w:t>
            </w:r>
          </w:p>
        </w:tc>
      </w:tr>
      <w:tr>
        <w:trPr>
          <w:trHeight w:val="404"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5"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LED</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应用</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z w:val="18"/>
                <w:szCs w:val="18"/>
              </w:rPr>
              <w:t>制造费用</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5"/>
              <w:jc w:val="right"/>
              <w:rPr>
                <w:rFonts w:ascii="Times New Roman" w:hAnsi="Times New Roman" w:cs="Times New Roman" w:eastAsia="Times New Roman" w:hint="default"/>
                <w:sz w:val="18"/>
                <w:szCs w:val="18"/>
              </w:rPr>
            </w:pPr>
            <w:r>
              <w:rPr>
                <w:rFonts w:ascii="Times New Roman"/>
                <w:spacing w:val="-1"/>
                <w:sz w:val="18"/>
              </w:rPr>
              <w:t>19,956,522.86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5"/>
              <w:jc w:val="right"/>
              <w:rPr>
                <w:rFonts w:ascii="Times New Roman" w:hAnsi="Times New Roman" w:cs="Times New Roman" w:eastAsia="Times New Roman" w:hint="default"/>
                <w:sz w:val="18"/>
                <w:szCs w:val="18"/>
              </w:rPr>
            </w:pPr>
            <w:r>
              <w:rPr>
                <w:rFonts w:ascii="Times New Roman"/>
                <w:spacing w:val="-1"/>
                <w:sz w:val="18"/>
              </w:rPr>
              <w:t>2.88%</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18,409,976.27</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5"/>
              <w:jc w:val="right"/>
              <w:rPr>
                <w:rFonts w:ascii="Times New Roman" w:hAnsi="Times New Roman" w:cs="Times New Roman" w:eastAsia="Times New Roman" w:hint="default"/>
                <w:sz w:val="18"/>
                <w:szCs w:val="18"/>
              </w:rPr>
            </w:pPr>
            <w:r>
              <w:rPr>
                <w:rFonts w:ascii="Times New Roman"/>
                <w:spacing w:val="-1"/>
                <w:sz w:val="18"/>
              </w:rPr>
              <w:t>1.76%</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5"/>
              <w:jc w:val="right"/>
              <w:rPr>
                <w:rFonts w:ascii="Times New Roman" w:hAnsi="Times New Roman" w:cs="Times New Roman" w:eastAsia="Times New Roman" w:hint="default"/>
                <w:sz w:val="18"/>
                <w:szCs w:val="18"/>
              </w:rPr>
            </w:pPr>
            <w:r>
              <w:rPr>
                <w:rFonts w:ascii="Times New Roman"/>
                <w:spacing w:val="-1"/>
                <w:sz w:val="18"/>
              </w:rPr>
              <w:t>8.40%</w:t>
            </w: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LED</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应用</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其他成本</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23,039,584.45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3.33%</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38,221,013.21</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3.65%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-39.72%</w:t>
            </w: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金融科技</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直接材料</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193,675,906.71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27.99%</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132,411,887.16</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12.66%</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46.27%</w:t>
            </w:r>
          </w:p>
        </w:tc>
      </w:tr>
      <w:tr>
        <w:trPr>
          <w:trHeight w:val="398"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金融科技</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直接人工</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16,006,998.98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2.31%</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18,041,979.21</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1.72%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2"/>
                <w:sz w:val="18"/>
              </w:rPr>
              <w:t>-11.28%</w:t>
            </w:r>
          </w:p>
        </w:tc>
      </w:tr>
      <w:tr>
        <w:trPr>
          <w:trHeight w:val="404"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z w:val="18"/>
                <w:szCs w:val="18"/>
              </w:rPr>
              <w:t>金融科技</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z w:val="18"/>
                <w:szCs w:val="18"/>
              </w:rPr>
              <w:t>制造费用</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4,499,439.93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5"/>
              <w:jc w:val="right"/>
              <w:rPr>
                <w:rFonts w:ascii="Times New Roman" w:hAnsi="Times New Roman" w:cs="Times New Roman" w:eastAsia="Times New Roman" w:hint="default"/>
                <w:sz w:val="18"/>
                <w:szCs w:val="18"/>
              </w:rPr>
            </w:pPr>
            <w:r>
              <w:rPr>
                <w:rFonts w:ascii="Times New Roman"/>
                <w:spacing w:val="-1"/>
                <w:sz w:val="18"/>
              </w:rPr>
              <w:t>0.65%</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2"/>
                <w:sz w:val="18"/>
              </w:rPr>
              <w:t>3,898,011.47</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5"/>
              <w:jc w:val="right"/>
              <w:rPr>
                <w:rFonts w:ascii="Times New Roman" w:hAnsi="Times New Roman" w:cs="Times New Roman" w:eastAsia="Times New Roman" w:hint="default"/>
                <w:sz w:val="18"/>
                <w:szCs w:val="18"/>
              </w:rPr>
            </w:pPr>
            <w:r>
              <w:rPr>
                <w:rFonts w:ascii="Times New Roman"/>
                <w:spacing w:val="-1"/>
                <w:sz w:val="18"/>
              </w:rPr>
              <w:t>0.37%</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5"/>
              <w:jc w:val="right"/>
              <w:rPr>
                <w:rFonts w:ascii="Times New Roman" w:hAnsi="Times New Roman" w:cs="Times New Roman" w:eastAsia="Times New Roman" w:hint="default"/>
                <w:sz w:val="18"/>
                <w:szCs w:val="18"/>
              </w:rPr>
            </w:pPr>
            <w:r>
              <w:rPr>
                <w:rFonts w:ascii="Times New Roman"/>
                <w:spacing w:val="-1"/>
                <w:sz w:val="18"/>
              </w:rPr>
              <w:t>15.43%</w:t>
            </w:r>
          </w:p>
        </w:tc>
      </w:tr>
    </w:tbl>
    <w:p>
      <w:pPr>
        <w:pStyle w:val="BodyText"/>
        <w:spacing w:line="357" w:lineRule="auto" w:before="53"/>
        <w:ind w:right="10391"/>
        <w:jc w:val="left"/>
      </w:pPr>
      <w:r>
        <w:rPr/>
        <w:t>说明</w:t>
      </w:r>
      <w:r>
        <w:rPr>
          <w:spacing w:val="-86"/>
        </w:rPr>
        <w:t> </w:t>
      </w:r>
      <w:r>
        <w:rPr/>
        <w:t>无。</w:t>
      </w:r>
    </w:p>
    <w:p>
      <w:pPr>
        <w:spacing w:line="240" w:lineRule="auto" w:before="3"/>
        <w:rPr>
          <w:rFonts w:ascii="宋体" w:hAnsi="宋体" w:cs="宋体" w:eastAsia="宋体" w:hint="default"/>
          <w:sz w:val="20"/>
          <w:szCs w:val="20"/>
        </w:rPr>
      </w:pPr>
    </w:p>
    <w:p>
      <w:pPr>
        <w:pStyle w:val="Heading4"/>
        <w:spacing w:line="240" w:lineRule="auto"/>
        <w:ind w:right="0"/>
        <w:jc w:val="left"/>
        <w:rPr>
          <w:b w:val="0"/>
          <w:bCs w:val="0"/>
        </w:rPr>
      </w:pPr>
      <w:bookmarkStart w:name="（6）报告期内合并范围是否发生变动" w:id="34"/>
      <w:bookmarkEnd w:id="34"/>
      <w:r>
        <w:rPr>
          <w:b w:val="0"/>
          <w:bCs w:val="0"/>
        </w:rPr>
      </w:r>
      <w:r>
        <w:rPr/>
        <w:t>（</w:t>
      </w:r>
      <w:r>
        <w:rPr>
          <w:rFonts w:ascii="Times New Roman" w:hAnsi="Times New Roman" w:cs="Times New Roman" w:eastAsia="Times New Roman" w:hint="default"/>
        </w:rPr>
        <w:t>6</w:t>
      </w:r>
      <w:r>
        <w:rPr/>
        <w:t>）报告期内合并范围是否发生变动</w:t>
      </w:r>
      <w:r>
        <w:rPr>
          <w:b w:val="0"/>
          <w:bCs w:val="0"/>
        </w:rPr>
      </w:r>
    </w:p>
    <w:p>
      <w:pPr>
        <w:spacing w:line="240" w:lineRule="auto" w:before="10"/>
        <w:rPr>
          <w:rFonts w:ascii="宋体" w:hAnsi="宋体" w:cs="宋体" w:eastAsia="宋体" w:hint="default"/>
          <w:b/>
          <w:bCs/>
          <w:sz w:val="26"/>
          <w:szCs w:val="26"/>
        </w:rPr>
      </w:pPr>
    </w:p>
    <w:p>
      <w:pPr>
        <w:pStyle w:val="BodyText"/>
        <w:spacing w:line="240" w:lineRule="auto" w:before="0"/>
        <w:ind w:right="0"/>
        <w:jc w:val="left"/>
      </w:pPr>
      <w:r>
        <w:rPr/>
        <w:t>□ 是 √</w:t>
      </w:r>
      <w:r>
        <w:rPr>
          <w:spacing w:val="2"/>
        </w:rPr>
        <w:t> </w:t>
      </w:r>
      <w:r>
        <w:rPr/>
        <w:t>否</w:t>
      </w:r>
    </w:p>
    <w:p>
      <w:pPr>
        <w:spacing w:line="240" w:lineRule="auto" w:before="8"/>
        <w:rPr>
          <w:rFonts w:ascii="宋体" w:hAnsi="宋体" w:cs="宋体" w:eastAsia="宋体" w:hint="default"/>
          <w:sz w:val="26"/>
          <w:szCs w:val="26"/>
        </w:rPr>
      </w:pPr>
    </w:p>
    <w:p>
      <w:pPr>
        <w:pStyle w:val="Heading4"/>
        <w:spacing w:line="240" w:lineRule="auto"/>
        <w:ind w:right="0"/>
        <w:jc w:val="left"/>
        <w:rPr>
          <w:b w:val="0"/>
          <w:bCs w:val="0"/>
        </w:rPr>
      </w:pPr>
      <w:bookmarkStart w:name="（7）公司报告期内业务、产品或服务发生重大变化或调整有关情况" w:id="35"/>
      <w:bookmarkEnd w:id="35"/>
      <w:r>
        <w:rPr>
          <w:b w:val="0"/>
          <w:bCs w:val="0"/>
        </w:rPr>
      </w:r>
      <w:r>
        <w:rPr/>
        <w:t>（</w:t>
      </w:r>
      <w:r>
        <w:rPr>
          <w:rFonts w:ascii="Times New Roman" w:hAnsi="Times New Roman" w:cs="Times New Roman" w:eastAsia="Times New Roman" w:hint="default"/>
        </w:rPr>
        <w:t>7</w:t>
      </w:r>
      <w:r>
        <w:rPr/>
        <w:t>）公司报告期内业务、产品或服务发生重大变化或调整有关情况</w:t>
      </w:r>
      <w:r>
        <w:rPr>
          <w:b w:val="0"/>
          <w:bCs w:val="0"/>
        </w:rPr>
      </w:r>
    </w:p>
    <w:p>
      <w:pPr>
        <w:spacing w:line="240" w:lineRule="auto" w:before="1"/>
        <w:rPr>
          <w:rFonts w:ascii="宋体" w:hAnsi="宋体" w:cs="宋体" w:eastAsia="宋体" w:hint="default"/>
          <w:b/>
          <w:bCs/>
          <w:sz w:val="27"/>
          <w:szCs w:val="27"/>
        </w:rPr>
      </w:pPr>
    </w:p>
    <w:p>
      <w:pPr>
        <w:pStyle w:val="BodyText"/>
        <w:spacing w:line="240" w:lineRule="auto" w:before="0"/>
        <w:ind w:right="0"/>
        <w:jc w:val="left"/>
      </w:pPr>
      <w:r>
        <w:rPr/>
        <w:t>□ </w:t>
      </w:r>
      <w:r>
        <w:rPr>
          <w:spacing w:val="-3"/>
        </w:rPr>
        <w:t>适用 </w:t>
      </w:r>
      <w:r>
        <w:rPr/>
        <w:t>√</w:t>
      </w:r>
      <w:r>
        <w:rPr>
          <w:spacing w:val="13"/>
        </w:rPr>
        <w:t> </w:t>
      </w:r>
      <w:r>
        <w:rPr/>
        <w:t>不适用</w:t>
      </w:r>
    </w:p>
    <w:p>
      <w:pPr>
        <w:spacing w:line="240" w:lineRule="auto" w:before="4"/>
        <w:rPr>
          <w:rFonts w:ascii="宋体" w:hAnsi="宋体" w:cs="宋体" w:eastAsia="宋体" w:hint="default"/>
          <w:sz w:val="26"/>
          <w:szCs w:val="26"/>
        </w:rPr>
      </w:pPr>
    </w:p>
    <w:p>
      <w:pPr>
        <w:pStyle w:val="Heading4"/>
        <w:spacing w:line="240" w:lineRule="auto"/>
        <w:ind w:right="0"/>
        <w:jc w:val="left"/>
        <w:rPr>
          <w:b w:val="0"/>
          <w:bCs w:val="0"/>
        </w:rPr>
      </w:pPr>
      <w:bookmarkStart w:name="（8）主要销售客户和主要供应商情况" w:id="36"/>
      <w:bookmarkEnd w:id="36"/>
      <w:r>
        <w:rPr>
          <w:b w:val="0"/>
          <w:bCs w:val="0"/>
        </w:rPr>
      </w:r>
      <w:r>
        <w:rPr/>
        <w:t>（</w:t>
      </w:r>
      <w:r>
        <w:rPr>
          <w:rFonts w:ascii="Times New Roman" w:hAnsi="Times New Roman" w:cs="Times New Roman" w:eastAsia="Times New Roman" w:hint="default"/>
        </w:rPr>
        <w:t>8</w:t>
      </w:r>
      <w:r>
        <w:rPr/>
        <w:t>）主要销售客户和主要供应商情况</w:t>
      </w:r>
      <w:r>
        <w:rPr>
          <w:b w:val="0"/>
          <w:bCs w:val="0"/>
        </w:rPr>
      </w:r>
    </w:p>
    <w:p>
      <w:pPr>
        <w:spacing w:line="240" w:lineRule="auto" w:before="1"/>
        <w:rPr>
          <w:rFonts w:ascii="宋体" w:hAnsi="宋体" w:cs="宋体" w:eastAsia="宋体" w:hint="default"/>
          <w:b/>
          <w:bCs/>
          <w:sz w:val="27"/>
          <w:szCs w:val="27"/>
        </w:rPr>
      </w:pPr>
    </w:p>
    <w:p>
      <w:pPr>
        <w:pStyle w:val="BodyText"/>
        <w:spacing w:line="240" w:lineRule="auto" w:before="0"/>
        <w:ind w:right="0"/>
        <w:jc w:val="left"/>
      </w:pPr>
      <w:r>
        <w:rPr/>
        <w:t>公司主要销售客户情况</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4259"/>
        <w:gridCol w:w="5311"/>
      </w:tblGrid>
      <w:tr>
        <w:trPr>
          <w:trHeight w:val="403" w:hRule="exact"/>
        </w:trPr>
        <w:tc>
          <w:tcPr>
            <w:tcW w:w="42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前五名客户合计销售金额（元）</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412,977,387.30</w:t>
            </w:r>
          </w:p>
        </w:tc>
      </w:tr>
      <w:tr>
        <w:trPr>
          <w:trHeight w:val="404" w:hRule="exact"/>
        </w:trPr>
        <w:tc>
          <w:tcPr>
            <w:tcW w:w="42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pacing w:val="-3"/>
                <w:sz w:val="18"/>
                <w:szCs w:val="18"/>
              </w:rPr>
              <w:t>前五名客户合计销售金额占年度销售总额比例</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33.17%</w:t>
            </w:r>
          </w:p>
        </w:tc>
      </w:tr>
      <w:tr>
        <w:trPr>
          <w:trHeight w:val="710" w:hRule="exact"/>
        </w:trPr>
        <w:tc>
          <w:tcPr>
            <w:tcW w:w="42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05" w:right="176"/>
              <w:jc w:val="left"/>
              <w:rPr>
                <w:rFonts w:ascii="宋体" w:hAnsi="宋体" w:cs="宋体" w:eastAsia="宋体" w:hint="default"/>
                <w:sz w:val="18"/>
                <w:szCs w:val="18"/>
              </w:rPr>
            </w:pPr>
            <w:r>
              <w:rPr>
                <w:rFonts w:ascii="宋体" w:hAnsi="宋体" w:cs="宋体" w:eastAsia="宋体" w:hint="default"/>
                <w:spacing w:val="-3"/>
                <w:sz w:val="18"/>
                <w:szCs w:val="18"/>
              </w:rPr>
              <w:t>前五名客户销售额中关联方销售额占年度销售总额</w:t>
            </w:r>
            <w:r>
              <w:rPr>
                <w:rFonts w:ascii="宋体" w:hAnsi="宋体" w:cs="宋体" w:eastAsia="宋体" w:hint="default"/>
                <w:spacing w:val="-22"/>
                <w:sz w:val="18"/>
                <w:szCs w:val="18"/>
              </w:rPr>
              <w:t> </w:t>
            </w:r>
            <w:r>
              <w:rPr>
                <w:rFonts w:ascii="宋体" w:hAnsi="宋体" w:cs="宋体" w:eastAsia="宋体" w:hint="default"/>
                <w:spacing w:val="-22"/>
                <w:sz w:val="18"/>
                <w:szCs w:val="18"/>
              </w:rPr>
            </w:r>
            <w:r>
              <w:rPr>
                <w:rFonts w:ascii="宋体" w:hAnsi="宋体" w:cs="宋体" w:eastAsia="宋体" w:hint="default"/>
                <w:sz w:val="18"/>
                <w:szCs w:val="18"/>
              </w:rPr>
              <w:t>比例</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1"/>
                <w:sz w:val="18"/>
              </w:rPr>
              <w:t>0.00%</w:t>
            </w:r>
          </w:p>
        </w:tc>
      </w:tr>
    </w:tbl>
    <w:p>
      <w:pPr>
        <w:pStyle w:val="BodyText"/>
        <w:spacing w:line="240" w:lineRule="auto" w:before="53"/>
        <w:ind w:right="0"/>
        <w:jc w:val="left"/>
      </w:pPr>
      <w:r>
        <w:rPr/>
        <w:t>公司前</w:t>
      </w:r>
      <w:r>
        <w:rPr>
          <w:spacing w:val="-42"/>
        </w:rPr>
        <w:t> </w:t>
      </w:r>
      <w:r>
        <w:rPr>
          <w:rFonts w:ascii="Times New Roman" w:hAnsi="Times New Roman" w:cs="Times New Roman" w:eastAsia="Times New Roman" w:hint="default"/>
        </w:rPr>
        <w:t>5</w:t>
      </w:r>
      <w:r>
        <w:rPr>
          <w:rFonts w:ascii="Times New Roman" w:hAnsi="Times New Roman" w:cs="Times New Roman" w:eastAsia="Times New Roman" w:hint="default"/>
          <w:spacing w:val="-3"/>
        </w:rPr>
        <w:t> </w:t>
      </w:r>
      <w:r>
        <w:rPr/>
        <w:t>大客户资料</w:t>
      </w:r>
    </w:p>
    <w:p>
      <w:pPr>
        <w:spacing w:line="240" w:lineRule="auto" w:before="12"/>
        <w:rPr>
          <w:rFonts w:ascii="宋体" w:hAnsi="宋体" w:cs="宋体" w:eastAsia="宋体" w:hint="default"/>
          <w:sz w:val="6"/>
          <w:szCs w:val="6"/>
        </w:rPr>
      </w:pPr>
    </w:p>
    <w:tbl>
      <w:tblPr>
        <w:tblW w:w="0" w:type="auto"/>
        <w:jc w:val="left"/>
        <w:tblInd w:w="148" w:type="dxa"/>
        <w:tblLayout w:type="fixed"/>
        <w:tblCellMar>
          <w:top w:w="0" w:type="dxa"/>
          <w:left w:w="0" w:type="dxa"/>
          <w:bottom w:w="0" w:type="dxa"/>
          <w:right w:w="0" w:type="dxa"/>
        </w:tblCellMar>
        <w:tblLook w:val="01E0"/>
      </w:tblPr>
      <w:tblGrid>
        <w:gridCol w:w="802"/>
        <w:gridCol w:w="3303"/>
        <w:gridCol w:w="2324"/>
        <w:gridCol w:w="3140"/>
      </w:tblGrid>
      <w:tr>
        <w:trPr>
          <w:trHeight w:val="404"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15"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2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19" w:right="0"/>
              <w:jc w:val="left"/>
              <w:rPr>
                <w:rFonts w:ascii="宋体" w:hAnsi="宋体" w:cs="宋体" w:eastAsia="宋体" w:hint="default"/>
                <w:sz w:val="18"/>
                <w:szCs w:val="18"/>
              </w:rPr>
            </w:pPr>
            <w:r>
              <w:rPr>
                <w:rFonts w:ascii="宋体" w:hAnsi="宋体" w:cs="宋体" w:eastAsia="宋体" w:hint="default"/>
                <w:sz w:val="18"/>
                <w:szCs w:val="18"/>
              </w:rPr>
              <w:t>销售额（元）</w:t>
            </w:r>
          </w:p>
        </w:tc>
        <w:tc>
          <w:tcPr>
            <w:tcW w:w="31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54" w:right="0"/>
              <w:jc w:val="left"/>
              <w:rPr>
                <w:rFonts w:ascii="宋体" w:hAnsi="宋体" w:cs="宋体" w:eastAsia="宋体" w:hint="default"/>
                <w:sz w:val="18"/>
                <w:szCs w:val="18"/>
              </w:rPr>
            </w:pPr>
            <w:r>
              <w:rPr>
                <w:rFonts w:ascii="宋体" w:hAnsi="宋体" w:cs="宋体" w:eastAsia="宋体" w:hint="default"/>
                <w:spacing w:val="-3"/>
                <w:sz w:val="18"/>
                <w:szCs w:val="18"/>
              </w:rPr>
              <w:t>占年度销售总额比例</w:t>
            </w:r>
          </w:p>
        </w:tc>
      </w:tr>
      <w:tr>
        <w:trPr>
          <w:trHeight w:val="403"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105" w:right="0"/>
              <w:jc w:val="left"/>
              <w:rPr>
                <w:rFonts w:ascii="Times New Roman" w:hAnsi="Times New Roman" w:cs="Times New Roman" w:eastAsia="Times New Roman" w:hint="default"/>
                <w:sz w:val="18"/>
                <w:szCs w:val="18"/>
              </w:rPr>
            </w:pPr>
            <w:r>
              <w:rPr>
                <w:rFonts w:ascii="Times New Roman"/>
                <w:w w:val="101"/>
                <w:sz w:val="18"/>
              </w:rPr>
              <w:t>1</w:t>
            </w:r>
            <w:r>
              <w:rPr>
                <w:rFonts w:ascii="Times New Roman"/>
                <w:sz w:val="18"/>
              </w:rPr>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104,496,458.78</w:t>
            </w:r>
          </w:p>
        </w:tc>
        <w:tc>
          <w:tcPr>
            <w:tcW w:w="3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8.39%</w:t>
            </w:r>
          </w:p>
        </w:tc>
      </w:tr>
      <w:tr>
        <w:trPr>
          <w:trHeight w:val="398"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105" w:right="0"/>
              <w:jc w:val="left"/>
              <w:rPr>
                <w:rFonts w:ascii="Times New Roman" w:hAnsi="Times New Roman" w:cs="Times New Roman" w:eastAsia="Times New Roman" w:hint="default"/>
                <w:sz w:val="18"/>
                <w:szCs w:val="18"/>
              </w:rPr>
            </w:pPr>
            <w:r>
              <w:rPr>
                <w:rFonts w:ascii="Times New Roman"/>
                <w:w w:val="101"/>
                <w:sz w:val="18"/>
              </w:rPr>
              <w:t>2</w:t>
            </w:r>
            <w:r>
              <w:rPr>
                <w:rFonts w:ascii="Times New Roman"/>
                <w:sz w:val="18"/>
              </w:rPr>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83,440,817.57</w:t>
            </w:r>
          </w:p>
        </w:tc>
        <w:tc>
          <w:tcPr>
            <w:tcW w:w="3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6.70%</w:t>
            </w:r>
          </w:p>
        </w:tc>
      </w:tr>
      <w:tr>
        <w:trPr>
          <w:trHeight w:val="403"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105" w:right="0"/>
              <w:jc w:val="left"/>
              <w:rPr>
                <w:rFonts w:ascii="Times New Roman" w:hAnsi="Times New Roman" w:cs="Times New Roman" w:eastAsia="Times New Roman" w:hint="default"/>
                <w:sz w:val="18"/>
                <w:szCs w:val="18"/>
              </w:rPr>
            </w:pPr>
            <w:r>
              <w:rPr>
                <w:rFonts w:ascii="Times New Roman"/>
                <w:w w:val="101"/>
                <w:sz w:val="18"/>
              </w:rPr>
              <w:t>3</w:t>
            </w:r>
            <w:r>
              <w:rPr>
                <w:rFonts w:ascii="Times New Roman"/>
                <w:sz w:val="18"/>
              </w:rPr>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77,773,267.20</w:t>
            </w:r>
          </w:p>
        </w:tc>
        <w:tc>
          <w:tcPr>
            <w:tcW w:w="3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6.25%</w:t>
            </w:r>
          </w:p>
        </w:tc>
      </w:tr>
      <w:tr>
        <w:trPr>
          <w:trHeight w:val="403"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105" w:right="0"/>
              <w:jc w:val="left"/>
              <w:rPr>
                <w:rFonts w:ascii="Times New Roman" w:hAnsi="Times New Roman" w:cs="Times New Roman" w:eastAsia="Times New Roman" w:hint="default"/>
                <w:sz w:val="18"/>
                <w:szCs w:val="18"/>
              </w:rPr>
            </w:pPr>
            <w:r>
              <w:rPr>
                <w:rFonts w:ascii="Times New Roman"/>
                <w:w w:val="101"/>
                <w:sz w:val="18"/>
              </w:rPr>
              <w:t>4</w:t>
            </w:r>
            <w:r>
              <w:rPr>
                <w:rFonts w:ascii="Times New Roman"/>
                <w:sz w:val="18"/>
              </w:rPr>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77,522,741.35</w:t>
            </w:r>
          </w:p>
        </w:tc>
        <w:tc>
          <w:tcPr>
            <w:tcW w:w="3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6.23%</w:t>
            </w:r>
          </w:p>
        </w:tc>
      </w:tr>
      <w:tr>
        <w:trPr>
          <w:trHeight w:val="403"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105" w:right="0"/>
              <w:jc w:val="left"/>
              <w:rPr>
                <w:rFonts w:ascii="Times New Roman" w:hAnsi="Times New Roman" w:cs="Times New Roman" w:eastAsia="Times New Roman" w:hint="default"/>
                <w:sz w:val="18"/>
                <w:szCs w:val="18"/>
              </w:rPr>
            </w:pPr>
            <w:r>
              <w:rPr>
                <w:rFonts w:ascii="Times New Roman"/>
                <w:w w:val="101"/>
                <w:sz w:val="18"/>
              </w:rPr>
              <w:t>5</w:t>
            </w:r>
            <w:r>
              <w:rPr>
                <w:rFonts w:ascii="Times New Roman"/>
                <w:sz w:val="18"/>
              </w:rPr>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69,744,102.40</w:t>
            </w:r>
          </w:p>
        </w:tc>
        <w:tc>
          <w:tcPr>
            <w:tcW w:w="3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5.60%</w:t>
            </w:r>
          </w:p>
        </w:tc>
      </w:tr>
      <w:tr>
        <w:trPr>
          <w:trHeight w:val="398"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412,977,387.30</w:t>
            </w:r>
          </w:p>
        </w:tc>
        <w:tc>
          <w:tcPr>
            <w:tcW w:w="3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33.17%</w:t>
            </w:r>
          </w:p>
        </w:tc>
      </w:tr>
    </w:tbl>
    <w:p>
      <w:pPr>
        <w:pStyle w:val="BodyText"/>
        <w:spacing w:line="240" w:lineRule="auto" w:before="53"/>
        <w:ind w:right="0"/>
        <w:jc w:val="left"/>
      </w:pPr>
      <w:r>
        <w:rPr/>
        <w:t>主要客户其他情况说明</w:t>
      </w:r>
    </w:p>
    <w:p>
      <w:pPr>
        <w:pStyle w:val="BodyText"/>
        <w:spacing w:line="357" w:lineRule="auto" w:before="119"/>
        <w:ind w:right="7667"/>
        <w:jc w:val="left"/>
      </w:pPr>
      <w:r>
        <w:rPr/>
        <w:t>□</w:t>
      </w:r>
      <w:r>
        <w:rPr>
          <w:spacing w:val="4"/>
        </w:rPr>
        <w:t> </w:t>
      </w:r>
      <w:r>
        <w:rPr>
          <w:spacing w:val="-3"/>
        </w:rPr>
        <w:t>适用</w:t>
      </w:r>
      <w:r>
        <w:rPr>
          <w:spacing w:val="-1"/>
        </w:rPr>
        <w:t> </w:t>
      </w:r>
      <w:r>
        <w:rPr/>
        <w:t>√</w:t>
      </w:r>
      <w:r>
        <w:rPr>
          <w:spacing w:val="4"/>
        </w:rPr>
        <w:t> </w:t>
      </w:r>
      <w:r>
        <w:rPr/>
        <w:t>不适用</w:t>
      </w:r>
      <w:r>
        <w:rPr>
          <w:spacing w:val="-87"/>
        </w:rPr>
        <w:t> </w:t>
      </w:r>
      <w:r>
        <w:rPr>
          <w:spacing w:val="-87"/>
        </w:rPr>
      </w:r>
      <w:r>
        <w:rPr>
          <w:spacing w:val="-3"/>
        </w:rPr>
        <w:t>公司主要供应商情况</w:t>
      </w:r>
    </w:p>
    <w:tbl>
      <w:tblPr>
        <w:tblW w:w="0" w:type="auto"/>
        <w:jc w:val="left"/>
        <w:tblInd w:w="148" w:type="dxa"/>
        <w:tblLayout w:type="fixed"/>
        <w:tblCellMar>
          <w:top w:w="0" w:type="dxa"/>
          <w:left w:w="0" w:type="dxa"/>
          <w:bottom w:w="0" w:type="dxa"/>
          <w:right w:w="0" w:type="dxa"/>
        </w:tblCellMar>
        <w:tblLook w:val="01E0"/>
      </w:tblPr>
      <w:tblGrid>
        <w:gridCol w:w="4259"/>
        <w:gridCol w:w="5311"/>
      </w:tblGrid>
      <w:tr>
        <w:trPr>
          <w:trHeight w:val="403" w:hRule="exact"/>
        </w:trPr>
        <w:tc>
          <w:tcPr>
            <w:tcW w:w="42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前五名供应商合计采购金额（元）</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162,110,029.78</w:t>
            </w:r>
          </w:p>
        </w:tc>
      </w:tr>
      <w:tr>
        <w:trPr>
          <w:trHeight w:val="398" w:hRule="exact"/>
        </w:trPr>
        <w:tc>
          <w:tcPr>
            <w:tcW w:w="42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前五名供应商合计采购金额占年度采购总额比例</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24.72%</w:t>
            </w:r>
          </w:p>
        </w:tc>
      </w:tr>
    </w:tbl>
    <w:p>
      <w:pPr>
        <w:spacing w:after="0" w:line="240" w:lineRule="auto"/>
        <w:jc w:val="right"/>
        <w:rPr>
          <w:rFonts w:ascii="Times New Roman" w:hAnsi="Times New Roman" w:cs="Times New Roman" w:eastAsia="Times New Roman" w:hint="default"/>
          <w:sz w:val="18"/>
          <w:szCs w:val="18"/>
        </w:rPr>
        <w:sectPr>
          <w:pgSz w:w="11910" w:h="16840"/>
          <w:pgMar w:header="784" w:footer="1022" w:top="1100" w:bottom="1220" w:left="980" w:right="0"/>
        </w:sectPr>
      </w:pPr>
    </w:p>
    <w:p>
      <w:pPr>
        <w:spacing w:line="240" w:lineRule="auto" w:before="7"/>
        <w:rPr>
          <w:rFonts w:ascii="宋体" w:hAnsi="宋体" w:cs="宋体" w:eastAsia="宋体" w:hint="default"/>
          <w:sz w:val="25"/>
          <w:szCs w:val="25"/>
        </w:rPr>
      </w:pPr>
    </w:p>
    <w:tbl>
      <w:tblPr>
        <w:tblW w:w="0" w:type="auto"/>
        <w:jc w:val="left"/>
        <w:tblInd w:w="148" w:type="dxa"/>
        <w:tblLayout w:type="fixed"/>
        <w:tblCellMar>
          <w:top w:w="0" w:type="dxa"/>
          <w:left w:w="0" w:type="dxa"/>
          <w:bottom w:w="0" w:type="dxa"/>
          <w:right w:w="0" w:type="dxa"/>
        </w:tblCellMar>
        <w:tblLook w:val="01E0"/>
      </w:tblPr>
      <w:tblGrid>
        <w:gridCol w:w="4259"/>
        <w:gridCol w:w="5311"/>
      </w:tblGrid>
      <w:tr>
        <w:trPr>
          <w:trHeight w:val="715" w:hRule="exact"/>
        </w:trPr>
        <w:tc>
          <w:tcPr>
            <w:tcW w:w="42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05" w:right="176"/>
              <w:jc w:val="left"/>
              <w:rPr>
                <w:rFonts w:ascii="宋体" w:hAnsi="宋体" w:cs="宋体" w:eastAsia="宋体" w:hint="default"/>
                <w:sz w:val="18"/>
                <w:szCs w:val="18"/>
              </w:rPr>
            </w:pPr>
            <w:r>
              <w:rPr>
                <w:rFonts w:ascii="宋体" w:hAnsi="宋体" w:cs="宋体" w:eastAsia="宋体" w:hint="default"/>
                <w:spacing w:val="-3"/>
                <w:sz w:val="18"/>
                <w:szCs w:val="18"/>
              </w:rPr>
              <w:t>前五名供应商采购额中关联方采购额占年度采购总</w:t>
            </w:r>
            <w:r>
              <w:rPr>
                <w:rFonts w:ascii="宋体" w:hAnsi="宋体" w:cs="宋体" w:eastAsia="宋体" w:hint="default"/>
                <w:spacing w:val="-22"/>
                <w:sz w:val="18"/>
                <w:szCs w:val="18"/>
              </w:rPr>
              <w:t> </w:t>
            </w:r>
            <w:r>
              <w:rPr>
                <w:rFonts w:ascii="宋体" w:hAnsi="宋体" w:cs="宋体" w:eastAsia="宋体" w:hint="default"/>
                <w:spacing w:val="-22"/>
                <w:sz w:val="18"/>
                <w:szCs w:val="18"/>
              </w:rPr>
            </w:r>
            <w:r>
              <w:rPr>
                <w:rFonts w:ascii="宋体" w:hAnsi="宋体" w:cs="宋体" w:eastAsia="宋体" w:hint="default"/>
                <w:sz w:val="18"/>
                <w:szCs w:val="18"/>
              </w:rPr>
              <w:t>额比例</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1"/>
                <w:sz w:val="18"/>
              </w:rPr>
              <w:t>0.00%</w:t>
            </w:r>
          </w:p>
        </w:tc>
      </w:tr>
    </w:tbl>
    <w:p>
      <w:pPr>
        <w:pStyle w:val="BodyText"/>
        <w:spacing w:line="240" w:lineRule="auto" w:before="53"/>
        <w:ind w:right="0"/>
        <w:jc w:val="left"/>
      </w:pPr>
      <w:r>
        <w:rPr/>
        <w:t>公司前</w:t>
      </w:r>
      <w:r>
        <w:rPr>
          <w:spacing w:val="-41"/>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名供应商资料</w:t>
      </w:r>
    </w:p>
    <w:p>
      <w:pPr>
        <w:spacing w:line="240" w:lineRule="auto" w:before="10"/>
        <w:rPr>
          <w:rFonts w:ascii="宋体" w:hAnsi="宋体" w:cs="宋体" w:eastAsia="宋体" w:hint="default"/>
          <w:sz w:val="6"/>
          <w:szCs w:val="6"/>
        </w:rPr>
      </w:pPr>
    </w:p>
    <w:tbl>
      <w:tblPr>
        <w:tblW w:w="0" w:type="auto"/>
        <w:jc w:val="left"/>
        <w:tblInd w:w="148" w:type="dxa"/>
        <w:tblLayout w:type="fixed"/>
        <w:tblCellMar>
          <w:top w:w="0" w:type="dxa"/>
          <w:left w:w="0" w:type="dxa"/>
          <w:bottom w:w="0" w:type="dxa"/>
          <w:right w:w="0" w:type="dxa"/>
        </w:tblCellMar>
        <w:tblLook w:val="01E0"/>
      </w:tblPr>
      <w:tblGrid>
        <w:gridCol w:w="937"/>
        <w:gridCol w:w="3169"/>
        <w:gridCol w:w="2324"/>
        <w:gridCol w:w="3140"/>
      </w:tblGrid>
      <w:tr>
        <w:trPr>
          <w:trHeight w:val="401" w:hRule="exact"/>
        </w:trPr>
        <w:tc>
          <w:tcPr>
            <w:tcW w:w="9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283"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31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9" w:right="0"/>
              <w:jc w:val="center"/>
              <w:rPr>
                <w:rFonts w:ascii="宋体" w:hAnsi="宋体" w:cs="宋体" w:eastAsia="宋体" w:hint="default"/>
                <w:sz w:val="18"/>
                <w:szCs w:val="18"/>
              </w:rPr>
            </w:pPr>
            <w:r>
              <w:rPr>
                <w:rFonts w:ascii="宋体" w:hAnsi="宋体" w:cs="宋体" w:eastAsia="宋体" w:hint="default"/>
                <w:sz w:val="18"/>
                <w:szCs w:val="18"/>
              </w:rPr>
              <w:t>供应商名称</w:t>
            </w:r>
          </w:p>
        </w:tc>
        <w:tc>
          <w:tcPr>
            <w:tcW w:w="2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619" w:right="0"/>
              <w:jc w:val="left"/>
              <w:rPr>
                <w:rFonts w:ascii="宋体" w:hAnsi="宋体" w:cs="宋体" w:eastAsia="宋体" w:hint="default"/>
                <w:sz w:val="18"/>
                <w:szCs w:val="18"/>
              </w:rPr>
            </w:pPr>
            <w:r>
              <w:rPr>
                <w:rFonts w:ascii="宋体" w:hAnsi="宋体" w:cs="宋体" w:eastAsia="宋体" w:hint="default"/>
                <w:sz w:val="18"/>
                <w:szCs w:val="18"/>
              </w:rPr>
              <w:t>采购额（元）</w:t>
            </w:r>
          </w:p>
        </w:tc>
        <w:tc>
          <w:tcPr>
            <w:tcW w:w="31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754" w:right="0"/>
              <w:jc w:val="left"/>
              <w:rPr>
                <w:rFonts w:ascii="宋体" w:hAnsi="宋体" w:cs="宋体" w:eastAsia="宋体" w:hint="default"/>
                <w:sz w:val="18"/>
                <w:szCs w:val="18"/>
              </w:rPr>
            </w:pPr>
            <w:r>
              <w:rPr>
                <w:rFonts w:ascii="宋体" w:hAnsi="宋体" w:cs="宋体" w:eastAsia="宋体" w:hint="default"/>
                <w:spacing w:val="-3"/>
                <w:sz w:val="18"/>
                <w:szCs w:val="18"/>
              </w:rPr>
              <w:t>占年度采购总额比例</w:t>
            </w:r>
          </w:p>
        </w:tc>
      </w:tr>
      <w:tr>
        <w:trPr>
          <w:trHeight w:val="403" w:hRule="exact"/>
        </w:trPr>
        <w:tc>
          <w:tcPr>
            <w:tcW w:w="9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105" w:right="0"/>
              <w:jc w:val="left"/>
              <w:rPr>
                <w:rFonts w:ascii="Times New Roman" w:hAnsi="Times New Roman" w:cs="Times New Roman" w:eastAsia="Times New Roman" w:hint="default"/>
                <w:sz w:val="18"/>
                <w:szCs w:val="18"/>
              </w:rPr>
            </w:pPr>
            <w:r>
              <w:rPr>
                <w:rFonts w:ascii="Times New Roman"/>
                <w:w w:val="101"/>
                <w:sz w:val="18"/>
              </w:rPr>
              <w:t>1</w:t>
            </w:r>
            <w:r>
              <w:rPr>
                <w:rFonts w:ascii="Times New Roman"/>
                <w:sz w:val="18"/>
              </w:rPr>
            </w:r>
          </w:p>
        </w:tc>
        <w:tc>
          <w:tcPr>
            <w:tcW w:w="3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54,475,746.00</w:t>
            </w:r>
          </w:p>
        </w:tc>
        <w:tc>
          <w:tcPr>
            <w:tcW w:w="3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8.31%</w:t>
            </w:r>
          </w:p>
        </w:tc>
      </w:tr>
      <w:tr>
        <w:trPr>
          <w:trHeight w:val="403" w:hRule="exact"/>
        </w:trPr>
        <w:tc>
          <w:tcPr>
            <w:tcW w:w="9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105" w:right="0"/>
              <w:jc w:val="left"/>
              <w:rPr>
                <w:rFonts w:ascii="Times New Roman" w:hAnsi="Times New Roman" w:cs="Times New Roman" w:eastAsia="Times New Roman" w:hint="default"/>
                <w:sz w:val="18"/>
                <w:szCs w:val="18"/>
              </w:rPr>
            </w:pPr>
            <w:r>
              <w:rPr>
                <w:rFonts w:ascii="Times New Roman"/>
                <w:w w:val="101"/>
                <w:sz w:val="18"/>
              </w:rPr>
              <w:t>2</w:t>
            </w:r>
            <w:r>
              <w:rPr>
                <w:rFonts w:ascii="Times New Roman"/>
                <w:sz w:val="18"/>
              </w:rPr>
            </w:r>
          </w:p>
        </w:tc>
        <w:tc>
          <w:tcPr>
            <w:tcW w:w="3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39,923,311.58</w:t>
            </w:r>
          </w:p>
        </w:tc>
        <w:tc>
          <w:tcPr>
            <w:tcW w:w="3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6.09%</w:t>
            </w:r>
          </w:p>
        </w:tc>
      </w:tr>
      <w:tr>
        <w:trPr>
          <w:trHeight w:val="398" w:hRule="exact"/>
        </w:trPr>
        <w:tc>
          <w:tcPr>
            <w:tcW w:w="9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105" w:right="0"/>
              <w:jc w:val="left"/>
              <w:rPr>
                <w:rFonts w:ascii="Times New Roman" w:hAnsi="Times New Roman" w:cs="Times New Roman" w:eastAsia="Times New Roman" w:hint="default"/>
                <w:sz w:val="18"/>
                <w:szCs w:val="18"/>
              </w:rPr>
            </w:pPr>
            <w:r>
              <w:rPr>
                <w:rFonts w:ascii="Times New Roman"/>
                <w:w w:val="101"/>
                <w:sz w:val="18"/>
              </w:rPr>
              <w:t>3</w:t>
            </w:r>
            <w:r>
              <w:rPr>
                <w:rFonts w:ascii="Times New Roman"/>
                <w:sz w:val="18"/>
              </w:rPr>
            </w:r>
          </w:p>
        </w:tc>
        <w:tc>
          <w:tcPr>
            <w:tcW w:w="3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31,634,263.45</w:t>
            </w:r>
          </w:p>
        </w:tc>
        <w:tc>
          <w:tcPr>
            <w:tcW w:w="3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4.82%</w:t>
            </w:r>
          </w:p>
        </w:tc>
      </w:tr>
      <w:tr>
        <w:trPr>
          <w:trHeight w:val="404" w:hRule="exact"/>
        </w:trPr>
        <w:tc>
          <w:tcPr>
            <w:tcW w:w="9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1"/>
              <w:ind w:left="105" w:right="0"/>
              <w:jc w:val="left"/>
              <w:rPr>
                <w:rFonts w:ascii="Times New Roman" w:hAnsi="Times New Roman" w:cs="Times New Roman" w:eastAsia="Times New Roman" w:hint="default"/>
                <w:sz w:val="18"/>
                <w:szCs w:val="18"/>
              </w:rPr>
            </w:pPr>
            <w:r>
              <w:rPr>
                <w:rFonts w:ascii="Times New Roman"/>
                <w:w w:val="101"/>
                <w:sz w:val="18"/>
              </w:rPr>
              <w:t>4</w:t>
            </w:r>
            <w:r>
              <w:rPr>
                <w:rFonts w:ascii="Times New Roman"/>
                <w:sz w:val="18"/>
              </w:rPr>
            </w:r>
          </w:p>
        </w:tc>
        <w:tc>
          <w:tcPr>
            <w:tcW w:w="3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5"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94"/>
              <w:jc w:val="right"/>
              <w:rPr>
                <w:rFonts w:ascii="Times New Roman" w:hAnsi="Times New Roman" w:cs="Times New Roman" w:eastAsia="Times New Roman" w:hint="default"/>
                <w:sz w:val="18"/>
                <w:szCs w:val="18"/>
              </w:rPr>
            </w:pPr>
            <w:r>
              <w:rPr>
                <w:rFonts w:ascii="Times New Roman"/>
                <w:spacing w:val="-1"/>
                <w:sz w:val="18"/>
              </w:rPr>
              <w:t>18,825,663.12</w:t>
            </w:r>
          </w:p>
        </w:tc>
        <w:tc>
          <w:tcPr>
            <w:tcW w:w="3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95"/>
              <w:jc w:val="right"/>
              <w:rPr>
                <w:rFonts w:ascii="Times New Roman" w:hAnsi="Times New Roman" w:cs="Times New Roman" w:eastAsia="Times New Roman" w:hint="default"/>
                <w:sz w:val="18"/>
                <w:szCs w:val="18"/>
              </w:rPr>
            </w:pPr>
            <w:r>
              <w:rPr>
                <w:rFonts w:ascii="Times New Roman"/>
                <w:spacing w:val="-1"/>
                <w:sz w:val="18"/>
              </w:rPr>
              <w:t>2.87%</w:t>
            </w:r>
          </w:p>
        </w:tc>
      </w:tr>
      <w:tr>
        <w:trPr>
          <w:trHeight w:val="403" w:hRule="exact"/>
        </w:trPr>
        <w:tc>
          <w:tcPr>
            <w:tcW w:w="9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105" w:right="0"/>
              <w:jc w:val="left"/>
              <w:rPr>
                <w:rFonts w:ascii="Times New Roman" w:hAnsi="Times New Roman" w:cs="Times New Roman" w:eastAsia="Times New Roman" w:hint="default"/>
                <w:sz w:val="18"/>
                <w:szCs w:val="18"/>
              </w:rPr>
            </w:pPr>
            <w:r>
              <w:rPr>
                <w:rFonts w:ascii="Times New Roman"/>
                <w:w w:val="101"/>
                <w:sz w:val="18"/>
              </w:rPr>
              <w:t>5</w:t>
            </w:r>
            <w:r>
              <w:rPr>
                <w:rFonts w:ascii="Times New Roman"/>
                <w:sz w:val="18"/>
              </w:rPr>
            </w:r>
          </w:p>
        </w:tc>
        <w:tc>
          <w:tcPr>
            <w:tcW w:w="3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17,251,045.63</w:t>
            </w:r>
          </w:p>
        </w:tc>
        <w:tc>
          <w:tcPr>
            <w:tcW w:w="3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2.63%</w:t>
            </w:r>
          </w:p>
        </w:tc>
      </w:tr>
      <w:tr>
        <w:trPr>
          <w:trHeight w:val="403" w:hRule="exact"/>
        </w:trPr>
        <w:tc>
          <w:tcPr>
            <w:tcW w:w="9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162,110,029.78</w:t>
            </w:r>
          </w:p>
        </w:tc>
        <w:tc>
          <w:tcPr>
            <w:tcW w:w="3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24.72%</w:t>
            </w:r>
          </w:p>
        </w:tc>
      </w:tr>
    </w:tbl>
    <w:p>
      <w:pPr>
        <w:pStyle w:val="BodyText"/>
        <w:spacing w:line="240" w:lineRule="auto" w:before="53"/>
        <w:ind w:right="0"/>
        <w:jc w:val="left"/>
      </w:pPr>
      <w:r>
        <w:rPr>
          <w:spacing w:val="-3"/>
        </w:rPr>
        <w:t>主要供应商其他情况说明</w:t>
      </w:r>
    </w:p>
    <w:p>
      <w:pPr>
        <w:pStyle w:val="BodyText"/>
        <w:spacing w:line="240" w:lineRule="auto" w:before="115"/>
        <w:ind w:right="0"/>
        <w:jc w:val="left"/>
      </w:pPr>
      <w:r>
        <w:rPr/>
        <w:t>□ </w:t>
      </w:r>
      <w:r>
        <w:rPr>
          <w:spacing w:val="-3"/>
        </w:rPr>
        <w:t>适用 </w:t>
      </w:r>
      <w:r>
        <w:rPr/>
        <w:t>√</w:t>
      </w:r>
      <w:r>
        <w:rPr>
          <w:spacing w:val="13"/>
        </w:rPr>
        <w:t> </w:t>
      </w:r>
      <w:r>
        <w:rPr/>
        <w:t>不适用</w:t>
      </w:r>
    </w:p>
    <w:p>
      <w:pPr>
        <w:spacing w:line="240" w:lineRule="auto" w:before="8"/>
        <w:rPr>
          <w:rFonts w:ascii="宋体" w:hAnsi="宋体" w:cs="宋体" w:eastAsia="宋体" w:hint="default"/>
          <w:sz w:val="26"/>
          <w:szCs w:val="26"/>
        </w:rPr>
      </w:pPr>
    </w:p>
    <w:p>
      <w:pPr>
        <w:pStyle w:val="Heading4"/>
        <w:spacing w:line="240" w:lineRule="auto"/>
        <w:ind w:right="0"/>
        <w:jc w:val="left"/>
        <w:rPr>
          <w:b w:val="0"/>
          <w:bCs w:val="0"/>
        </w:rPr>
      </w:pPr>
      <w:bookmarkStart w:name="3、费用" w:id="37"/>
      <w:bookmarkEnd w:id="37"/>
      <w:r>
        <w:rPr>
          <w:b w:val="0"/>
          <w:bCs w:val="0"/>
        </w:rPr>
      </w:r>
      <w:r>
        <w:rPr>
          <w:rFonts w:ascii="Times New Roman" w:hAnsi="Times New Roman" w:cs="Times New Roman" w:eastAsia="Times New Roman" w:hint="default"/>
        </w:rPr>
        <w:t>3</w:t>
      </w:r>
      <w:r>
        <w:rPr/>
        <w:t>、费用</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left="0" w:right="1122"/>
        <w:jc w:val="right"/>
      </w:pPr>
      <w:r>
        <w:rPr>
          <w:spacing w:val="-2"/>
        </w:rPr>
        <w:t>单位：元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16"/>
        <w:gridCol w:w="1638"/>
        <w:gridCol w:w="1637"/>
        <w:gridCol w:w="1460"/>
        <w:gridCol w:w="2919"/>
      </w:tblGrid>
      <w:tr>
        <w:trPr>
          <w:trHeight w:val="404"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6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5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1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5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14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364" w:right="0"/>
              <w:jc w:val="left"/>
              <w:rPr>
                <w:rFonts w:ascii="宋体" w:hAnsi="宋体" w:cs="宋体" w:eastAsia="宋体" w:hint="default"/>
                <w:sz w:val="18"/>
                <w:szCs w:val="18"/>
              </w:rPr>
            </w:pPr>
            <w:r>
              <w:rPr>
                <w:rFonts w:ascii="宋体" w:hAnsi="宋体" w:cs="宋体" w:eastAsia="宋体" w:hint="default"/>
                <w:sz w:val="18"/>
                <w:szCs w:val="18"/>
              </w:rPr>
              <w:t>同比增减</w:t>
            </w:r>
          </w:p>
        </w:tc>
        <w:tc>
          <w:tcPr>
            <w:tcW w:w="29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917" w:right="0"/>
              <w:jc w:val="left"/>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403"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157,123,733.62</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146,068,015.45</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7.57%</w:t>
            </w:r>
          </w:p>
        </w:tc>
        <w:tc>
          <w:tcPr>
            <w:tcW w:w="2919"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73,501,991.17</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71,262,449.54</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3.14%</w:t>
            </w:r>
          </w:p>
        </w:tc>
        <w:tc>
          <w:tcPr>
            <w:tcW w:w="2919" w:type="dxa"/>
            <w:tcBorders>
              <w:top w:val="single" w:sz="4" w:space="0" w:color="000000"/>
              <w:left w:val="single" w:sz="4" w:space="0" w:color="000000"/>
              <w:bottom w:val="single" w:sz="4" w:space="0" w:color="000000"/>
              <w:right w:val="single" w:sz="4" w:space="0" w:color="000000"/>
            </w:tcBorders>
          </w:tcPr>
          <w:p>
            <w:pPr/>
          </w:p>
        </w:tc>
      </w:tr>
      <w:tr>
        <w:trPr>
          <w:trHeight w:val="1340"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1"/>
                <w:sz w:val="18"/>
              </w:rPr>
              <w:t>-1,604,221.76</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-3,814,621.97</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1"/>
                <w:sz w:val="18"/>
              </w:rPr>
              <w:t>57.95%</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53"/>
              <w:ind w:left="105" w:right="98"/>
              <w:jc w:val="both"/>
              <w:rPr>
                <w:rFonts w:ascii="宋体" w:hAnsi="宋体" w:cs="宋体" w:eastAsia="宋体" w:hint="default"/>
                <w:sz w:val="18"/>
                <w:szCs w:val="18"/>
              </w:rPr>
            </w:pPr>
            <w:r>
              <w:rPr>
                <w:rFonts w:ascii="宋体" w:hAnsi="宋体" w:cs="宋体" w:eastAsia="宋体" w:hint="default"/>
                <w:spacing w:val="-3"/>
                <w:sz w:val="18"/>
                <w:szCs w:val="18"/>
              </w:rPr>
              <w:t>报告期内，财务费用</w:t>
            </w:r>
            <w:r>
              <w:rPr>
                <w:rFonts w:ascii="Times New Roman" w:hAnsi="Times New Roman" w:cs="Times New Roman" w:eastAsia="Times New Roman" w:hint="default"/>
                <w:spacing w:val="-3"/>
                <w:sz w:val="18"/>
                <w:szCs w:val="18"/>
              </w:rPr>
              <w:t>-160 </w:t>
            </w:r>
            <w:r>
              <w:rPr>
                <w:rFonts w:ascii="宋体" w:hAnsi="宋体" w:cs="宋体" w:eastAsia="宋体" w:hint="default"/>
                <w:spacing w:val="-5"/>
                <w:sz w:val="18"/>
                <w:szCs w:val="18"/>
              </w:rPr>
              <w:t>万元，同</w:t>
            </w:r>
            <w:r>
              <w:rPr>
                <w:rFonts w:ascii="宋体" w:hAnsi="宋体" w:cs="宋体" w:eastAsia="宋体" w:hint="default"/>
                <w:spacing w:val="-86"/>
                <w:sz w:val="18"/>
                <w:szCs w:val="18"/>
              </w:rPr>
              <w:t> </w:t>
            </w:r>
            <w:r>
              <w:rPr>
                <w:rFonts w:ascii="宋体" w:hAnsi="宋体" w:cs="宋体" w:eastAsia="宋体" w:hint="default"/>
                <w:sz w:val="18"/>
                <w:szCs w:val="18"/>
              </w:rPr>
              <w:t>比增加</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221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万元</w:t>
            </w:r>
            <w:r>
              <w:rPr>
                <w:rFonts w:ascii="Times New Roman" w:hAnsi="Times New Roman" w:cs="Times New Roman" w:eastAsia="Times New Roman" w:hint="default"/>
                <w:sz w:val="18"/>
                <w:szCs w:val="18"/>
              </w:rPr>
              <w:t>,</w:t>
            </w:r>
            <w:r>
              <w:rPr>
                <w:rFonts w:ascii="宋体" w:hAnsi="宋体" w:cs="宋体" w:eastAsia="宋体" w:hint="default"/>
                <w:sz w:val="18"/>
                <w:szCs w:val="18"/>
              </w:rPr>
              <w:t>增幅</w:t>
            </w:r>
            <w:r>
              <w:rPr>
                <w:rFonts w:ascii="宋体" w:hAnsi="宋体" w:cs="宋体" w:eastAsia="宋体" w:hint="default"/>
                <w:spacing w:val="-41"/>
                <w:sz w:val="18"/>
                <w:szCs w:val="18"/>
              </w:rPr>
              <w:t> </w:t>
            </w:r>
            <w:r>
              <w:rPr>
                <w:rFonts w:ascii="Times New Roman" w:hAnsi="Times New Roman" w:cs="Times New Roman" w:eastAsia="Times New Roman" w:hint="default"/>
                <w:spacing w:val="-3"/>
                <w:sz w:val="18"/>
                <w:szCs w:val="18"/>
              </w:rPr>
              <w:t>57.95%,</w:t>
            </w:r>
            <w:r>
              <w:rPr>
                <w:rFonts w:ascii="宋体" w:hAnsi="宋体" w:cs="宋体" w:eastAsia="宋体" w:hint="default"/>
                <w:spacing w:val="-3"/>
                <w:sz w:val="18"/>
                <w:szCs w:val="18"/>
              </w:rPr>
              <w:t>主要</w:t>
            </w:r>
            <w:r>
              <w:rPr>
                <w:rFonts w:ascii="宋体" w:hAnsi="宋体" w:cs="宋体" w:eastAsia="宋体" w:hint="default"/>
                <w:spacing w:val="-83"/>
                <w:sz w:val="18"/>
                <w:szCs w:val="18"/>
              </w:rPr>
              <w:t> </w:t>
            </w:r>
            <w:r>
              <w:rPr>
                <w:rFonts w:ascii="宋体" w:hAnsi="宋体" w:cs="宋体" w:eastAsia="宋体" w:hint="default"/>
                <w:spacing w:val="-3"/>
                <w:sz w:val="18"/>
                <w:szCs w:val="18"/>
              </w:rPr>
              <w:t>是本期汇兑收益减少、票据贴现息</w:t>
            </w:r>
            <w:r>
              <w:rPr>
                <w:rFonts w:ascii="宋体" w:hAnsi="宋体" w:cs="宋体" w:eastAsia="宋体" w:hint="default"/>
                <w:spacing w:val="-44"/>
                <w:sz w:val="18"/>
                <w:szCs w:val="18"/>
              </w:rPr>
              <w:t> </w:t>
            </w:r>
            <w:r>
              <w:rPr>
                <w:rFonts w:ascii="宋体" w:hAnsi="宋体" w:cs="宋体" w:eastAsia="宋体" w:hint="default"/>
                <w:spacing w:val="-44"/>
                <w:sz w:val="18"/>
                <w:szCs w:val="18"/>
              </w:rPr>
            </w:r>
            <w:r>
              <w:rPr>
                <w:rFonts w:ascii="宋体" w:hAnsi="宋体" w:cs="宋体" w:eastAsia="宋体" w:hint="default"/>
                <w:sz w:val="18"/>
                <w:szCs w:val="18"/>
              </w:rPr>
              <w:t>增加所致。</w:t>
            </w:r>
          </w:p>
        </w:tc>
      </w:tr>
      <w:tr>
        <w:trPr>
          <w:trHeight w:val="403"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85,719,475.65</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90,029,318.05</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2"/>
                <w:sz w:val="18"/>
              </w:rPr>
              <w:t>-4.79%</w:t>
            </w:r>
          </w:p>
        </w:tc>
        <w:tc>
          <w:tcPr>
            <w:tcW w:w="2919"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4、研发投入" w:id="38"/>
      <w:bookmarkEnd w:id="38"/>
      <w:r>
        <w:rPr>
          <w:b w:val="0"/>
          <w:bCs w:val="0"/>
        </w:rPr>
      </w:r>
      <w:r>
        <w:rPr>
          <w:rFonts w:ascii="Times New Roman" w:hAnsi="Times New Roman" w:cs="Times New Roman" w:eastAsia="Times New Roman" w:hint="default"/>
        </w:rPr>
        <w:t>4</w:t>
      </w:r>
      <w:r>
        <w:rPr/>
        <w:t>、研发投入</w:t>
      </w:r>
      <w:r>
        <w:rPr>
          <w:b w:val="0"/>
          <w:bCs w:val="0"/>
        </w:rPr>
      </w:r>
    </w:p>
    <w:p>
      <w:pPr>
        <w:spacing w:line="240" w:lineRule="auto" w:before="10"/>
        <w:rPr>
          <w:rFonts w:ascii="宋体" w:hAnsi="宋体" w:cs="宋体" w:eastAsia="宋体" w:hint="default"/>
          <w:b/>
          <w:bCs/>
          <w:sz w:val="26"/>
          <w:szCs w:val="26"/>
        </w:rPr>
      </w:pPr>
    </w:p>
    <w:p>
      <w:pPr>
        <w:pStyle w:val="BodyText"/>
        <w:spacing w:line="240" w:lineRule="auto" w:before="0"/>
        <w:ind w:right="0"/>
        <w:jc w:val="left"/>
      </w:pPr>
      <w:r>
        <w:rPr/>
        <w:t>√ </w:t>
      </w:r>
      <w:r>
        <w:rPr>
          <w:spacing w:val="-3"/>
        </w:rPr>
        <w:t>适用 </w:t>
      </w:r>
      <w:r>
        <w:rPr/>
        <w:t>□</w:t>
      </w:r>
      <w:r>
        <w:rPr>
          <w:spacing w:val="13"/>
        </w:rPr>
        <w:t> </w:t>
      </w:r>
      <w:r>
        <w:rPr/>
        <w:t>不适用</w:t>
      </w:r>
    </w:p>
    <w:p>
      <w:pPr>
        <w:pStyle w:val="BodyText"/>
        <w:spacing w:line="309" w:lineRule="auto" w:before="115"/>
        <w:ind w:right="1112" w:firstLine="360"/>
        <w:jc w:val="both"/>
      </w:pPr>
      <w:r>
        <w:rPr>
          <w:spacing w:val="-3"/>
        </w:rPr>
        <w:t>报告期内，公司围绕</w:t>
      </w:r>
      <w:r>
        <w:rPr>
          <w:rFonts w:ascii="Times New Roman" w:hAnsi="Times New Roman" w:cs="Times New Roman" w:eastAsia="Times New Roman" w:hint="default"/>
          <w:spacing w:val="-3"/>
        </w:rPr>
        <w:t>“</w:t>
      </w:r>
      <w:r>
        <w:rPr>
          <w:spacing w:val="-3"/>
        </w:rPr>
        <w:t>智能</w:t>
      </w:r>
      <w:r>
        <w:rPr>
          <w:rFonts w:ascii="Times New Roman" w:hAnsi="Times New Roman" w:cs="Times New Roman" w:eastAsia="Times New Roman" w:hint="default"/>
          <w:spacing w:val="-3"/>
        </w:rPr>
        <w:t>+”</w:t>
      </w:r>
      <w:r>
        <w:rPr>
          <w:spacing w:val="-3"/>
        </w:rPr>
        <w:t>战略，加大研发投入，重视技术创新，提升研发成果转换效率，在</w:t>
      </w:r>
      <w:r>
        <w:rPr>
          <w:rFonts w:ascii="Times New Roman" w:hAnsi="Times New Roman" w:cs="Times New Roman" w:eastAsia="Times New Roman" w:hint="default"/>
          <w:spacing w:val="-3"/>
        </w:rPr>
        <w:t>Mini</w:t>
      </w:r>
      <w:r>
        <w:rPr>
          <w:rFonts w:ascii="Times New Roman" w:hAnsi="Times New Roman" w:cs="Times New Roman" w:eastAsia="Times New Roman" w:hint="default"/>
          <w:spacing w:val="36"/>
        </w:rPr>
        <w:t> </w:t>
      </w:r>
      <w:r>
        <w:rPr>
          <w:rFonts w:ascii="Times New Roman" w:hAnsi="Times New Roman" w:cs="Times New Roman" w:eastAsia="Times New Roman" w:hint="default"/>
          <w:spacing w:val="-3"/>
        </w:rPr>
        <w:t>LED</w:t>
      </w:r>
      <w:r>
        <w:rPr>
          <w:spacing w:val="-3"/>
        </w:rPr>
        <w:t>、智慧银行、</w:t>
      </w:r>
      <w:r>
        <w:rPr>
          <w:w w:val="101"/>
        </w:rPr>
        <w:t> </w:t>
      </w:r>
      <w:r>
        <w:rPr>
          <w:spacing w:val="-4"/>
        </w:rPr>
        <w:t>智能服务型机器人、智能图像处理阵列、智能亮化控制系统、区块链等领域取得了一批具有核心竞争力的知识产权，进一步</w:t>
      </w:r>
      <w:r>
        <w:rPr>
          <w:spacing w:val="40"/>
        </w:rPr>
        <w:t> </w:t>
      </w:r>
      <w:r>
        <w:rPr>
          <w:spacing w:val="40"/>
        </w:rPr>
      </w:r>
      <w:r>
        <w:rPr>
          <w:spacing w:val="-3"/>
        </w:rPr>
        <w:t>巩固公司产品和技术在行业的领先地位。</w:t>
      </w:r>
    </w:p>
    <w:p>
      <w:pPr>
        <w:pStyle w:val="BodyText"/>
        <w:spacing w:line="240" w:lineRule="auto" w:before="68"/>
        <w:ind w:right="0"/>
        <w:jc w:val="left"/>
      </w:pPr>
      <w:r>
        <w:rPr/>
        <w:t>公司研发投入情况</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391"/>
        <w:gridCol w:w="2396"/>
        <w:gridCol w:w="2391"/>
        <w:gridCol w:w="2391"/>
      </w:tblGrid>
      <w:tr>
        <w:trPr>
          <w:trHeight w:val="403"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变动比例</w:t>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研发人员数量（人）</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z w:val="18"/>
              </w:rPr>
              <w:t>370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z w:val="18"/>
              </w:rPr>
              <w:t>364</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1.65%</w:t>
            </w:r>
          </w:p>
        </w:tc>
      </w:tr>
      <w:tr>
        <w:trPr>
          <w:trHeight w:val="398"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研发人员数量占比</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25.50%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25.14%</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pacing w:val="-2"/>
                <w:sz w:val="18"/>
              </w:rPr>
              <w:t>0.36%</w:t>
            </w:r>
            <w:r>
              <w:rPr>
                <w:rFonts w:ascii="Times New Roman"/>
                <w:sz w:val="18"/>
              </w:rPr>
            </w:r>
          </w:p>
        </w:tc>
      </w:tr>
      <w:tr>
        <w:trPr>
          <w:trHeight w:val="404"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9"/>
              <w:ind w:left="105" w:right="0"/>
              <w:jc w:val="left"/>
              <w:rPr>
                <w:rFonts w:ascii="宋体" w:hAnsi="宋体" w:cs="宋体" w:eastAsia="宋体" w:hint="default"/>
                <w:sz w:val="18"/>
                <w:szCs w:val="18"/>
              </w:rPr>
            </w:pPr>
            <w:r>
              <w:rPr>
                <w:rFonts w:ascii="宋体" w:hAnsi="宋体" w:cs="宋体" w:eastAsia="宋体" w:hint="default"/>
                <w:spacing w:val="-3"/>
                <w:sz w:val="18"/>
                <w:szCs w:val="18"/>
              </w:rPr>
              <w:t>研发投入金额（元）</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99"/>
              <w:jc w:val="right"/>
              <w:rPr>
                <w:rFonts w:ascii="Times New Roman" w:hAnsi="Times New Roman" w:cs="Times New Roman" w:eastAsia="Times New Roman" w:hint="default"/>
                <w:sz w:val="18"/>
                <w:szCs w:val="18"/>
              </w:rPr>
            </w:pPr>
            <w:r>
              <w:rPr>
                <w:rFonts w:ascii="Times New Roman"/>
                <w:spacing w:val="-1"/>
                <w:sz w:val="18"/>
              </w:rPr>
              <w:t>85,719,475.65</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99"/>
              <w:jc w:val="right"/>
              <w:rPr>
                <w:rFonts w:ascii="Times New Roman" w:hAnsi="Times New Roman" w:cs="Times New Roman" w:eastAsia="Times New Roman" w:hint="default"/>
                <w:sz w:val="18"/>
                <w:szCs w:val="18"/>
              </w:rPr>
            </w:pPr>
            <w:r>
              <w:rPr>
                <w:rFonts w:ascii="Times New Roman"/>
                <w:spacing w:val="-1"/>
                <w:sz w:val="18"/>
              </w:rPr>
              <w:t>90,029,318.05</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95"/>
              <w:jc w:val="right"/>
              <w:rPr>
                <w:rFonts w:ascii="Times New Roman" w:hAnsi="Times New Roman" w:cs="Times New Roman" w:eastAsia="Times New Roman" w:hint="default"/>
                <w:sz w:val="18"/>
                <w:szCs w:val="18"/>
              </w:rPr>
            </w:pPr>
            <w:r>
              <w:rPr>
                <w:rFonts w:ascii="Times New Roman"/>
                <w:spacing w:val="-2"/>
                <w:sz w:val="18"/>
              </w:rPr>
              <w:t>-4.79%</w:t>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研发投入占营业收入比例</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6.88%</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5.72%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1.16%</w:t>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w w:val="101"/>
                <w:sz w:val="18"/>
                <w:szCs w:val="18"/>
              </w:rPr>
              <w:t>研</w:t>
            </w:r>
            <w:r>
              <w:rPr>
                <w:rFonts w:ascii="宋体" w:hAnsi="宋体" w:cs="宋体" w:eastAsia="宋体" w:hint="default"/>
                <w:spacing w:val="-5"/>
                <w:w w:val="101"/>
                <w:sz w:val="18"/>
                <w:szCs w:val="18"/>
              </w:rPr>
              <w:t>发</w:t>
            </w:r>
            <w:r>
              <w:rPr>
                <w:rFonts w:ascii="宋体" w:hAnsi="宋体" w:cs="宋体" w:eastAsia="宋体" w:hint="default"/>
                <w:w w:val="101"/>
                <w:sz w:val="18"/>
                <w:szCs w:val="18"/>
              </w:rPr>
              <w:t>投</w:t>
            </w:r>
            <w:r>
              <w:rPr>
                <w:rFonts w:ascii="宋体" w:hAnsi="宋体" w:cs="宋体" w:eastAsia="宋体" w:hint="default"/>
                <w:spacing w:val="-5"/>
                <w:w w:val="101"/>
                <w:sz w:val="18"/>
                <w:szCs w:val="18"/>
              </w:rPr>
              <w:t>入</w:t>
            </w:r>
            <w:r>
              <w:rPr>
                <w:rFonts w:ascii="宋体" w:hAnsi="宋体" w:cs="宋体" w:eastAsia="宋体" w:hint="default"/>
                <w:w w:val="101"/>
                <w:sz w:val="18"/>
                <w:szCs w:val="18"/>
              </w:rPr>
              <w:t>资</w:t>
            </w:r>
            <w:r>
              <w:rPr>
                <w:rFonts w:ascii="宋体" w:hAnsi="宋体" w:cs="宋体" w:eastAsia="宋体" w:hint="default"/>
                <w:spacing w:val="-5"/>
                <w:w w:val="101"/>
                <w:sz w:val="18"/>
                <w:szCs w:val="18"/>
              </w:rPr>
              <w:t>本</w:t>
            </w:r>
            <w:r>
              <w:rPr>
                <w:rFonts w:ascii="宋体" w:hAnsi="宋体" w:cs="宋体" w:eastAsia="宋体" w:hint="default"/>
                <w:w w:val="101"/>
                <w:sz w:val="18"/>
                <w:szCs w:val="18"/>
              </w:rPr>
              <w:t>化</w:t>
            </w:r>
            <w:r>
              <w:rPr>
                <w:rFonts w:ascii="宋体" w:hAnsi="宋体" w:cs="宋体" w:eastAsia="宋体" w:hint="default"/>
                <w:spacing w:val="-5"/>
                <w:w w:val="101"/>
                <w:sz w:val="18"/>
                <w:szCs w:val="18"/>
              </w:rPr>
              <w:t>的</w:t>
            </w:r>
            <w:r>
              <w:rPr>
                <w:rFonts w:ascii="宋体" w:hAnsi="宋体" w:cs="宋体" w:eastAsia="宋体" w:hint="default"/>
                <w:w w:val="101"/>
                <w:sz w:val="18"/>
                <w:szCs w:val="18"/>
              </w:rPr>
              <w:t>金</w:t>
            </w:r>
            <w:r>
              <w:rPr>
                <w:rFonts w:ascii="宋体" w:hAnsi="宋体" w:cs="宋体" w:eastAsia="宋体" w:hint="default"/>
                <w:spacing w:val="-77"/>
                <w:w w:val="101"/>
                <w:sz w:val="18"/>
                <w:szCs w:val="18"/>
              </w:rPr>
              <w:t>额</w:t>
            </w:r>
            <w:r>
              <w:rPr>
                <w:rFonts w:ascii="宋体" w:hAnsi="宋体" w:cs="宋体" w:eastAsia="宋体" w:hint="default"/>
                <w:w w:val="101"/>
                <w:sz w:val="18"/>
                <w:szCs w:val="18"/>
              </w:rPr>
              <w:t>（</w:t>
            </w:r>
            <w:r>
              <w:rPr>
                <w:rFonts w:ascii="宋体" w:hAnsi="宋体" w:cs="宋体" w:eastAsia="宋体" w:hint="default"/>
                <w:spacing w:val="-5"/>
                <w:w w:val="101"/>
                <w:sz w:val="18"/>
                <w:szCs w:val="18"/>
              </w:rPr>
              <w:t>元</w:t>
            </w:r>
            <w:r>
              <w:rPr>
                <w:rFonts w:ascii="宋体" w:hAnsi="宋体" w:cs="宋体" w:eastAsia="宋体" w:hint="default"/>
                <w:w w:val="101"/>
                <w:sz w:val="18"/>
                <w:szCs w:val="18"/>
              </w:rPr>
              <w:t>）</w:t>
            </w:r>
            <w:r>
              <w:rPr>
                <w:rFonts w:ascii="宋体" w:hAnsi="宋体" w:cs="宋体" w:eastAsia="宋体" w:hint="default"/>
                <w:sz w:val="18"/>
                <w:szCs w:val="18"/>
              </w:rPr>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z w:val="18"/>
              </w:rPr>
              <w:t>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z w:val="18"/>
              </w:rPr>
              <w:t>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784" w:footer="1022" w:top="1100" w:bottom="1220" w:left="980" w:right="0"/>
        </w:sectPr>
      </w:pPr>
    </w:p>
    <w:p>
      <w:pPr>
        <w:spacing w:line="240" w:lineRule="auto" w:before="7"/>
        <w:rPr>
          <w:rFonts w:ascii="宋体" w:hAnsi="宋体" w:cs="宋体" w:eastAsia="宋体" w:hint="default"/>
          <w:sz w:val="25"/>
          <w:szCs w:val="25"/>
        </w:rPr>
      </w:pPr>
    </w:p>
    <w:tbl>
      <w:tblPr>
        <w:tblW w:w="0" w:type="auto"/>
        <w:jc w:val="left"/>
        <w:tblInd w:w="148" w:type="dxa"/>
        <w:tblLayout w:type="fixed"/>
        <w:tblCellMar>
          <w:top w:w="0" w:type="dxa"/>
          <w:left w:w="0" w:type="dxa"/>
          <w:bottom w:w="0" w:type="dxa"/>
          <w:right w:w="0" w:type="dxa"/>
        </w:tblCellMar>
        <w:tblLook w:val="01E0"/>
      </w:tblPr>
      <w:tblGrid>
        <w:gridCol w:w="2391"/>
        <w:gridCol w:w="2396"/>
        <w:gridCol w:w="2391"/>
        <w:gridCol w:w="2391"/>
      </w:tblGrid>
      <w:tr>
        <w:trPr>
          <w:trHeight w:val="715"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05" w:right="109"/>
              <w:jc w:val="left"/>
              <w:rPr>
                <w:rFonts w:ascii="宋体" w:hAnsi="宋体" w:cs="宋体" w:eastAsia="宋体" w:hint="default"/>
                <w:sz w:val="18"/>
                <w:szCs w:val="18"/>
              </w:rPr>
            </w:pPr>
            <w:r>
              <w:rPr>
                <w:rFonts w:ascii="宋体" w:hAnsi="宋体" w:cs="宋体" w:eastAsia="宋体" w:hint="default"/>
                <w:spacing w:val="-3"/>
                <w:sz w:val="18"/>
                <w:szCs w:val="18"/>
              </w:rPr>
              <w:t>资本化研发投入占研发投入</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的比例</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1"/>
                <w:sz w:val="18"/>
              </w:rPr>
              <w:t>0.00%</w:t>
            </w:r>
          </w:p>
        </w:tc>
      </w:tr>
    </w:tbl>
    <w:p>
      <w:pPr>
        <w:pStyle w:val="BodyText"/>
        <w:spacing w:line="240" w:lineRule="auto" w:before="53"/>
        <w:ind w:right="0"/>
        <w:jc w:val="left"/>
      </w:pPr>
      <w:r>
        <w:rPr>
          <w:spacing w:val="-3"/>
        </w:rPr>
        <w:t>研发投入总额占营业收入的比重较上年发生显著变化的原因</w:t>
      </w:r>
    </w:p>
    <w:p>
      <w:pPr>
        <w:pStyle w:val="BodyText"/>
        <w:spacing w:line="362" w:lineRule="auto" w:before="115"/>
        <w:ind w:right="6445"/>
        <w:jc w:val="left"/>
      </w:pPr>
      <w:r>
        <w:rPr/>
        <w:t>□ </w:t>
      </w:r>
      <w:r>
        <w:rPr>
          <w:spacing w:val="-3"/>
        </w:rPr>
        <w:t>适用 </w:t>
      </w:r>
      <w:r>
        <w:rPr/>
        <w:t>√ 不适用</w:t>
      </w:r>
      <w:r>
        <w:rPr>
          <w:spacing w:val="-77"/>
        </w:rPr>
        <w:t> </w:t>
      </w:r>
      <w:r>
        <w:rPr>
          <w:spacing w:val="-77"/>
        </w:rPr>
      </w:r>
      <w:r>
        <w:rPr>
          <w:spacing w:val="-3"/>
        </w:rPr>
        <w:t>研发投入资本化率大幅变动的原因及其合理性说明</w:t>
      </w:r>
    </w:p>
    <w:p>
      <w:pPr>
        <w:pStyle w:val="BodyText"/>
        <w:spacing w:line="240" w:lineRule="auto" w:before="23"/>
        <w:ind w:right="0"/>
        <w:jc w:val="left"/>
      </w:pPr>
      <w:r>
        <w:rPr/>
        <w:t>□ </w:t>
      </w:r>
      <w:r>
        <w:rPr>
          <w:spacing w:val="-3"/>
        </w:rPr>
        <w:t>适用 </w:t>
      </w:r>
      <w:r>
        <w:rPr/>
        <w:t>√</w:t>
      </w:r>
      <w:r>
        <w:rPr>
          <w:spacing w:val="13"/>
        </w:rPr>
        <w:t> </w:t>
      </w:r>
      <w:r>
        <w:rPr/>
        <w:t>不适用</w:t>
      </w:r>
    </w:p>
    <w:p>
      <w:pPr>
        <w:spacing w:line="240" w:lineRule="auto" w:before="4"/>
        <w:rPr>
          <w:rFonts w:ascii="宋体" w:hAnsi="宋体" w:cs="宋体" w:eastAsia="宋体" w:hint="default"/>
          <w:sz w:val="26"/>
          <w:szCs w:val="26"/>
        </w:rPr>
      </w:pPr>
    </w:p>
    <w:p>
      <w:pPr>
        <w:pStyle w:val="Heading4"/>
        <w:spacing w:line="240" w:lineRule="auto"/>
        <w:ind w:right="0"/>
        <w:jc w:val="left"/>
        <w:rPr>
          <w:b w:val="0"/>
          <w:bCs w:val="0"/>
        </w:rPr>
      </w:pPr>
      <w:bookmarkStart w:name="5、现金流" w:id="39"/>
      <w:bookmarkEnd w:id="39"/>
      <w:r>
        <w:rPr>
          <w:b w:val="0"/>
          <w:bCs w:val="0"/>
        </w:rPr>
      </w:r>
      <w:r>
        <w:rPr>
          <w:rFonts w:ascii="Times New Roman" w:hAnsi="Times New Roman" w:cs="Times New Roman" w:eastAsia="Times New Roman" w:hint="default"/>
        </w:rPr>
        <w:t>5</w:t>
      </w:r>
      <w:r>
        <w:rPr/>
        <w:t>、现金流</w:t>
      </w:r>
      <w:r>
        <w:rPr>
          <w:b w:val="0"/>
          <w:bCs w:val="0"/>
        </w:rPr>
      </w:r>
    </w:p>
    <w:p>
      <w:pPr>
        <w:spacing w:line="240" w:lineRule="auto" w:before="7"/>
        <w:rPr>
          <w:rFonts w:ascii="宋体" w:hAnsi="宋体" w:cs="宋体" w:eastAsia="宋体" w:hint="default"/>
          <w:b/>
          <w:bCs/>
          <w:sz w:val="23"/>
          <w:szCs w:val="23"/>
        </w:rPr>
      </w:pPr>
    </w:p>
    <w:p>
      <w:pPr>
        <w:pStyle w:val="BodyText"/>
        <w:spacing w:line="240" w:lineRule="auto"/>
        <w:ind w:left="0" w:right="1122"/>
        <w:jc w:val="right"/>
      </w:pPr>
      <w:r>
        <w:rPr>
          <w:spacing w:val="-2"/>
        </w:rPr>
        <w:t>单位：元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391"/>
        <w:gridCol w:w="2396"/>
        <w:gridCol w:w="2391"/>
        <w:gridCol w:w="2391"/>
      </w:tblGrid>
      <w:tr>
        <w:trPr>
          <w:trHeight w:val="403"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同比增减</w:t>
            </w:r>
          </w:p>
        </w:tc>
      </w:tr>
      <w:tr>
        <w:trPr>
          <w:trHeight w:val="398"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经营活动现金流入小计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1,369,213,783.14</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1,342,258,753.83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2.01%</w:t>
            </w:r>
          </w:p>
        </w:tc>
      </w:tr>
      <w:tr>
        <w:trPr>
          <w:trHeight w:val="404"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1,185,357,016.75</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1,149,342,664.21</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3.13%</w:t>
            </w:r>
          </w:p>
        </w:tc>
      </w:tr>
      <w:tr>
        <w:trPr>
          <w:trHeight w:val="715"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05" w:right="109"/>
              <w:jc w:val="left"/>
              <w:rPr>
                <w:rFonts w:ascii="宋体" w:hAnsi="宋体" w:cs="宋体" w:eastAsia="宋体" w:hint="default"/>
                <w:sz w:val="18"/>
                <w:szCs w:val="18"/>
              </w:rPr>
            </w:pPr>
            <w:r>
              <w:rPr>
                <w:rFonts w:ascii="宋体" w:hAnsi="宋体" w:cs="宋体" w:eastAsia="宋体" w:hint="default"/>
                <w:spacing w:val="-3"/>
                <w:sz w:val="18"/>
                <w:szCs w:val="18"/>
              </w:rPr>
              <w:t>经营活动产生的现金流量净</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额</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183,856,766.39</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192,916,089.62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2"/>
                <w:sz w:val="18"/>
              </w:rPr>
              <w:t>-4.70%</w:t>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1,645,683,955.23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607,571,579.62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2"/>
                <w:sz w:val="18"/>
              </w:rPr>
              <w:t>170.86%</w:t>
            </w:r>
          </w:p>
        </w:tc>
      </w:tr>
      <w:tr>
        <w:trPr>
          <w:trHeight w:val="398"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1,588,306,252.75</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618,272,128.74</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2"/>
                <w:sz w:val="18"/>
              </w:rPr>
              <w:t>156.89%</w:t>
            </w:r>
          </w:p>
        </w:tc>
      </w:tr>
      <w:tr>
        <w:trPr>
          <w:trHeight w:val="716"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4"/>
              <w:ind w:left="105" w:right="109"/>
              <w:jc w:val="left"/>
              <w:rPr>
                <w:rFonts w:ascii="宋体" w:hAnsi="宋体" w:cs="宋体" w:eastAsia="宋体" w:hint="default"/>
                <w:sz w:val="18"/>
                <w:szCs w:val="18"/>
              </w:rPr>
            </w:pPr>
            <w:r>
              <w:rPr>
                <w:rFonts w:ascii="宋体" w:hAnsi="宋体" w:cs="宋体" w:eastAsia="宋体" w:hint="default"/>
                <w:spacing w:val="-3"/>
                <w:sz w:val="18"/>
                <w:szCs w:val="18"/>
              </w:rPr>
              <w:t>投资活动产生的现金流量净</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额</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57,377,702.48</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-10,700,549.12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2"/>
                <w:sz w:val="18"/>
              </w:rPr>
              <w:t>636.21%</w:t>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102,946,790.05</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121,904,418.04</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-15.55%</w:t>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204,311,884.09</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172,583,527.88</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18.38%</w:t>
            </w:r>
          </w:p>
        </w:tc>
      </w:tr>
      <w:tr>
        <w:trPr>
          <w:trHeight w:val="711"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4"/>
              <w:ind w:left="105" w:right="109"/>
              <w:jc w:val="left"/>
              <w:rPr>
                <w:rFonts w:ascii="宋体" w:hAnsi="宋体" w:cs="宋体" w:eastAsia="宋体" w:hint="default"/>
                <w:sz w:val="18"/>
                <w:szCs w:val="18"/>
              </w:rPr>
            </w:pPr>
            <w:r>
              <w:rPr>
                <w:rFonts w:ascii="宋体" w:hAnsi="宋体" w:cs="宋体" w:eastAsia="宋体" w:hint="default"/>
                <w:spacing w:val="-3"/>
                <w:sz w:val="18"/>
                <w:szCs w:val="18"/>
              </w:rPr>
              <w:t>筹资活动产生的现金流量净</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额</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-101,365,094.04</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-50,679,109.84</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1"/>
                <w:sz w:val="18"/>
              </w:rPr>
              <w:t>-100.01%</w:t>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现金及现金等价物净增加额</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143,970,519.95</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138,260,989.00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4.13%</w:t>
            </w:r>
          </w:p>
        </w:tc>
      </w:tr>
    </w:tbl>
    <w:p>
      <w:pPr>
        <w:pStyle w:val="BodyText"/>
        <w:spacing w:line="240" w:lineRule="auto" w:before="53"/>
        <w:ind w:right="0"/>
        <w:jc w:val="left"/>
      </w:pPr>
      <w:r>
        <w:rPr>
          <w:spacing w:val="-3"/>
        </w:rPr>
        <w:t>相关数据同比发生重大变动的主要影响因素说明</w:t>
      </w:r>
    </w:p>
    <w:p>
      <w:pPr>
        <w:pStyle w:val="BodyText"/>
        <w:spacing w:line="240" w:lineRule="auto" w:before="119"/>
        <w:ind w:right="0"/>
        <w:jc w:val="left"/>
      </w:pPr>
      <w:r>
        <w:rPr/>
        <w:t>√ </w:t>
      </w:r>
      <w:r>
        <w:rPr>
          <w:spacing w:val="-3"/>
        </w:rPr>
        <w:t>适用 </w:t>
      </w:r>
      <w:r>
        <w:rPr/>
        <w:t>□</w:t>
      </w:r>
      <w:r>
        <w:rPr>
          <w:spacing w:val="13"/>
        </w:rPr>
        <w:t> </w:t>
      </w:r>
      <w:r>
        <w:rPr/>
        <w:t>不适用</w:t>
      </w:r>
    </w:p>
    <w:p>
      <w:pPr>
        <w:pStyle w:val="Heading5"/>
        <w:spacing w:line="285" w:lineRule="auto" w:before="92"/>
        <w:ind w:right="0"/>
        <w:jc w:val="left"/>
      </w:pPr>
      <w:r>
        <w:rPr>
          <w:spacing w:val="-2"/>
        </w:rPr>
        <w:t>报告期内，投资活动产生现金净额为</w:t>
      </w:r>
      <w:r>
        <w:rPr>
          <w:rFonts w:ascii="宋体" w:hAnsi="宋体" w:cs="宋体" w:eastAsia="宋体" w:hint="default"/>
          <w:spacing w:val="-2"/>
        </w:rPr>
        <w:t>5,738.00</w:t>
      </w:r>
      <w:r>
        <w:rPr>
          <w:spacing w:val="-2"/>
        </w:rPr>
        <w:t>万元</w:t>
      </w:r>
      <w:r>
        <w:rPr>
          <w:rFonts w:ascii="宋体" w:hAnsi="宋体" w:cs="宋体" w:eastAsia="宋体" w:hint="default"/>
          <w:spacing w:val="-2"/>
        </w:rPr>
        <w:t>,</w:t>
      </w:r>
      <w:r>
        <w:rPr>
          <w:spacing w:val="-2"/>
        </w:rPr>
        <w:t>同比增加</w:t>
      </w:r>
      <w:r>
        <w:rPr>
          <w:rFonts w:ascii="宋体" w:hAnsi="宋体" w:cs="宋体" w:eastAsia="宋体" w:hint="default"/>
          <w:spacing w:val="-2"/>
        </w:rPr>
        <w:t>6,808.00</w:t>
      </w:r>
      <w:r>
        <w:rPr>
          <w:spacing w:val="-2"/>
        </w:rPr>
        <w:t>万元，增幅</w:t>
      </w:r>
      <w:r>
        <w:rPr>
          <w:rFonts w:ascii="宋体" w:hAnsi="宋体" w:cs="宋体" w:eastAsia="宋体" w:hint="default"/>
          <w:spacing w:val="-2"/>
        </w:rPr>
        <w:t>636.21%</w:t>
      </w:r>
      <w:r>
        <w:rPr>
          <w:spacing w:val="-2"/>
        </w:rPr>
        <w:t>，主要是本期银</w:t>
      </w:r>
      <w:r>
        <w:rPr>
          <w:w w:val="100"/>
        </w:rPr>
        <w:t> </w:t>
      </w:r>
      <w:r>
        <w:rPr/>
        <w:t>行理财赎回同比增加所致。</w:t>
      </w:r>
    </w:p>
    <w:p>
      <w:pPr>
        <w:pStyle w:val="Heading5"/>
        <w:spacing w:line="285" w:lineRule="auto" w:before="12"/>
        <w:ind w:right="0"/>
        <w:jc w:val="left"/>
      </w:pPr>
      <w:r>
        <w:rPr>
          <w:spacing w:val="-2"/>
        </w:rPr>
        <w:t>报告期内，筹资活动产生现金净额为</w:t>
      </w:r>
      <w:r>
        <w:rPr>
          <w:rFonts w:ascii="宋体" w:hAnsi="宋体" w:cs="宋体" w:eastAsia="宋体" w:hint="default"/>
          <w:spacing w:val="-2"/>
        </w:rPr>
        <w:t>-10,137.00</w:t>
      </w:r>
      <w:r>
        <w:rPr>
          <w:spacing w:val="-2"/>
        </w:rPr>
        <w:t>万元</w:t>
      </w:r>
      <w:r>
        <w:rPr>
          <w:rFonts w:ascii="宋体" w:hAnsi="宋体" w:cs="宋体" w:eastAsia="宋体" w:hint="default"/>
          <w:spacing w:val="-2"/>
        </w:rPr>
        <w:t>,</w:t>
      </w:r>
      <w:r>
        <w:rPr>
          <w:spacing w:val="-2"/>
        </w:rPr>
        <w:t>同比减少</w:t>
      </w:r>
      <w:r>
        <w:rPr>
          <w:rFonts w:ascii="宋体" w:hAnsi="宋体" w:cs="宋体" w:eastAsia="宋体" w:hint="default"/>
          <w:spacing w:val="-2"/>
        </w:rPr>
        <w:t>5,069.00</w:t>
      </w:r>
      <w:r>
        <w:rPr>
          <w:spacing w:val="-2"/>
        </w:rPr>
        <w:t>万元，降幅</w:t>
      </w:r>
      <w:r>
        <w:rPr>
          <w:rFonts w:ascii="宋体" w:hAnsi="宋体" w:cs="宋体" w:eastAsia="宋体" w:hint="default"/>
          <w:spacing w:val="-2"/>
        </w:rPr>
        <w:t>100.01%</w:t>
      </w:r>
      <w:r>
        <w:rPr>
          <w:spacing w:val="-2"/>
        </w:rPr>
        <w:t>，主要是本期</w:t>
      </w:r>
      <w:r>
        <w:rPr>
          <w:w w:val="100"/>
        </w:rPr>
        <w:t> </w:t>
      </w:r>
      <w:r>
        <w:rPr/>
        <w:t>在二级市场回购股票支出增加、本期员工限制性股票投资同比减少所致。</w:t>
      </w:r>
    </w:p>
    <w:p>
      <w:pPr>
        <w:pStyle w:val="BodyText"/>
        <w:spacing w:line="240" w:lineRule="auto" w:before="74"/>
        <w:ind w:right="0"/>
        <w:jc w:val="left"/>
      </w:pPr>
      <w:r>
        <w:rPr>
          <w:spacing w:val="-3"/>
        </w:rPr>
        <w:t>报告期内公司经营活动产生的现金净流量与本年度净利润存在重大差异的原因说明</w:t>
      </w:r>
    </w:p>
    <w:p>
      <w:pPr>
        <w:pStyle w:val="BodyText"/>
        <w:spacing w:line="240" w:lineRule="auto" w:before="120"/>
        <w:ind w:right="0"/>
        <w:jc w:val="left"/>
      </w:pPr>
      <w:r>
        <w:rPr/>
        <w:t>□ </w:t>
      </w:r>
      <w:r>
        <w:rPr>
          <w:spacing w:val="-3"/>
        </w:rPr>
        <w:t>适用 </w:t>
      </w:r>
      <w:r>
        <w:rPr/>
        <w:t>√</w:t>
      </w:r>
      <w:r>
        <w:rPr>
          <w:spacing w:val="13"/>
        </w:rPr>
        <w:t> </w:t>
      </w:r>
      <w:r>
        <w:rPr/>
        <w:t>不适用</w:t>
      </w:r>
    </w:p>
    <w:p>
      <w:pPr>
        <w:spacing w:line="240" w:lineRule="auto" w:before="13"/>
        <w:rPr>
          <w:rFonts w:ascii="宋体" w:hAnsi="宋体" w:cs="宋体" w:eastAsia="宋体" w:hint="default"/>
          <w:sz w:val="23"/>
          <w:szCs w:val="23"/>
        </w:rPr>
      </w:pPr>
    </w:p>
    <w:p>
      <w:pPr>
        <w:pStyle w:val="Heading2"/>
        <w:spacing w:line="240" w:lineRule="auto"/>
        <w:ind w:right="0"/>
        <w:jc w:val="left"/>
        <w:rPr>
          <w:b w:val="0"/>
          <w:bCs w:val="0"/>
        </w:rPr>
      </w:pPr>
      <w:bookmarkStart w:name="三、非主营业务分析" w:id="40"/>
      <w:bookmarkEnd w:id="40"/>
      <w:r>
        <w:rPr>
          <w:b w:val="0"/>
          <w:bCs w:val="0"/>
        </w:rPr>
      </w:r>
      <w:r>
        <w:rPr/>
        <w:t>三、非主营业务分析</w:t>
      </w:r>
      <w:r>
        <w:rPr>
          <w:b w:val="0"/>
          <w:bCs w:val="0"/>
        </w:rPr>
      </w:r>
    </w:p>
    <w:p>
      <w:pPr>
        <w:spacing w:line="240" w:lineRule="auto" w:before="0"/>
        <w:rPr>
          <w:rFonts w:ascii="宋体" w:hAnsi="宋体" w:cs="宋体" w:eastAsia="宋体" w:hint="default"/>
          <w:b/>
          <w:bCs/>
          <w:sz w:val="24"/>
          <w:szCs w:val="24"/>
        </w:rPr>
      </w:pPr>
    </w:p>
    <w:p>
      <w:pPr>
        <w:pStyle w:val="BodyText"/>
        <w:spacing w:line="240" w:lineRule="auto"/>
        <w:ind w:right="0"/>
        <w:jc w:val="left"/>
      </w:pPr>
      <w:r>
        <w:rPr/>
        <w:t>√ </w:t>
      </w:r>
      <w:r>
        <w:rPr>
          <w:spacing w:val="-3"/>
        </w:rPr>
        <w:t>适用 </w:t>
      </w:r>
      <w:r>
        <w:rPr/>
        <w:t>□</w:t>
      </w:r>
      <w:r>
        <w:rPr>
          <w:spacing w:val="13"/>
        </w:rPr>
        <w:t> </w:t>
      </w:r>
      <w:r>
        <w:rPr/>
        <w:t>不适用</w:t>
      </w:r>
    </w:p>
    <w:p>
      <w:pPr>
        <w:pStyle w:val="BodyText"/>
        <w:spacing w:line="240" w:lineRule="auto" w:before="115"/>
        <w:ind w:left="0" w:right="1122"/>
        <w:jc w:val="right"/>
      </w:pPr>
      <w:r>
        <w:rPr>
          <w:spacing w:val="-2"/>
        </w:rPr>
        <w:t>单位：元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522"/>
        <w:gridCol w:w="1916"/>
        <w:gridCol w:w="1628"/>
        <w:gridCol w:w="2252"/>
        <w:gridCol w:w="2257"/>
      </w:tblGrid>
      <w:tr>
        <w:trPr>
          <w:trHeight w:val="398" w:hRule="exact"/>
        </w:trPr>
        <w:tc>
          <w:tcPr>
            <w:tcW w:w="152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6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77" w:right="0"/>
              <w:jc w:val="left"/>
              <w:rPr>
                <w:rFonts w:ascii="宋体" w:hAnsi="宋体" w:cs="宋体" w:eastAsia="宋体" w:hint="default"/>
                <w:sz w:val="18"/>
                <w:szCs w:val="18"/>
              </w:rPr>
            </w:pPr>
            <w:r>
              <w:rPr>
                <w:rFonts w:ascii="宋体" w:hAnsi="宋体" w:cs="宋体" w:eastAsia="宋体" w:hint="default"/>
                <w:spacing w:val="-3"/>
                <w:sz w:val="18"/>
                <w:szCs w:val="18"/>
              </w:rPr>
              <w:t>占利润总额比例</w:t>
            </w:r>
          </w:p>
        </w:tc>
        <w:tc>
          <w:tcPr>
            <w:tcW w:w="22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75" w:right="0"/>
              <w:jc w:val="left"/>
              <w:rPr>
                <w:rFonts w:ascii="宋体" w:hAnsi="宋体" w:cs="宋体" w:eastAsia="宋体" w:hint="default"/>
                <w:sz w:val="18"/>
                <w:szCs w:val="18"/>
              </w:rPr>
            </w:pPr>
            <w:r>
              <w:rPr>
                <w:rFonts w:ascii="宋体" w:hAnsi="宋体" w:cs="宋体" w:eastAsia="宋体" w:hint="default"/>
                <w:sz w:val="18"/>
                <w:szCs w:val="18"/>
              </w:rPr>
              <w:t>形成原因说明</w:t>
            </w:r>
          </w:p>
        </w:tc>
        <w:tc>
          <w:tcPr>
            <w:tcW w:w="2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03" w:right="0"/>
              <w:jc w:val="left"/>
              <w:rPr>
                <w:rFonts w:ascii="宋体" w:hAnsi="宋体" w:cs="宋体" w:eastAsia="宋体" w:hint="default"/>
                <w:sz w:val="18"/>
                <w:szCs w:val="18"/>
              </w:rPr>
            </w:pPr>
            <w:r>
              <w:rPr>
                <w:rFonts w:ascii="宋体" w:hAnsi="宋体" w:cs="宋体" w:eastAsia="宋体" w:hint="default"/>
                <w:sz w:val="18"/>
                <w:szCs w:val="18"/>
              </w:rPr>
              <w:t>是否具有可持续性</w:t>
            </w:r>
          </w:p>
        </w:tc>
      </w:tr>
      <w:tr>
        <w:trPr>
          <w:trHeight w:val="403" w:hRule="exact"/>
        </w:trPr>
        <w:tc>
          <w:tcPr>
            <w:tcW w:w="15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z w:val="18"/>
                <w:szCs w:val="18"/>
              </w:rPr>
              <w:t>投资收益</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859" w:right="0"/>
              <w:jc w:val="left"/>
              <w:rPr>
                <w:rFonts w:ascii="Times New Roman" w:hAnsi="Times New Roman" w:cs="Times New Roman" w:eastAsia="Times New Roman" w:hint="default"/>
                <w:sz w:val="18"/>
                <w:szCs w:val="18"/>
              </w:rPr>
            </w:pPr>
            <w:r>
              <w:rPr>
                <w:rFonts w:ascii="Times New Roman"/>
                <w:sz w:val="18"/>
              </w:rPr>
              <w:t>5,085,653.74</w:t>
            </w: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46" w:right="0"/>
              <w:jc w:val="left"/>
              <w:rPr>
                <w:rFonts w:ascii="Times New Roman" w:hAnsi="Times New Roman" w:cs="Times New Roman" w:eastAsia="Times New Roman" w:hint="default"/>
                <w:sz w:val="18"/>
                <w:szCs w:val="18"/>
              </w:rPr>
            </w:pPr>
            <w:r>
              <w:rPr>
                <w:rFonts w:ascii="Times New Roman"/>
                <w:sz w:val="18"/>
              </w:rPr>
              <w:t>2.47%</w:t>
            </w:r>
          </w:p>
        </w:tc>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0" w:right="0"/>
              <w:jc w:val="left"/>
              <w:rPr>
                <w:rFonts w:ascii="宋体" w:hAnsi="宋体" w:cs="宋体" w:eastAsia="宋体" w:hint="default"/>
                <w:sz w:val="18"/>
                <w:szCs w:val="18"/>
              </w:rPr>
            </w:pPr>
            <w:r>
              <w:rPr>
                <w:rFonts w:ascii="宋体" w:hAnsi="宋体" w:cs="宋体" w:eastAsia="宋体" w:hint="default"/>
                <w:sz w:val="18"/>
                <w:szCs w:val="18"/>
              </w:rPr>
              <w:t>理财收益所致</w:t>
            </w:r>
          </w:p>
        </w:tc>
        <w:tc>
          <w:tcPr>
            <w:tcW w:w="2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z w:val="18"/>
                <w:szCs w:val="18"/>
              </w:rPr>
              <w:t>可持续</w:t>
            </w:r>
          </w:p>
        </w:tc>
      </w:tr>
    </w:tbl>
    <w:p>
      <w:pPr>
        <w:spacing w:after="0" w:line="240" w:lineRule="auto"/>
        <w:jc w:val="left"/>
        <w:rPr>
          <w:rFonts w:ascii="宋体" w:hAnsi="宋体" w:cs="宋体" w:eastAsia="宋体" w:hint="default"/>
          <w:sz w:val="18"/>
          <w:szCs w:val="18"/>
        </w:rPr>
        <w:sectPr>
          <w:pgSz w:w="11910" w:h="16840"/>
          <w:pgMar w:header="784" w:footer="1022" w:top="1100" w:bottom="1220" w:left="980" w:right="0"/>
        </w:sectPr>
      </w:pPr>
    </w:p>
    <w:p>
      <w:pPr>
        <w:spacing w:line="240" w:lineRule="auto" w:before="7"/>
        <w:rPr>
          <w:rFonts w:ascii="宋体" w:hAnsi="宋体" w:cs="宋体" w:eastAsia="宋体" w:hint="default"/>
          <w:sz w:val="25"/>
          <w:szCs w:val="25"/>
        </w:rPr>
      </w:pPr>
    </w:p>
    <w:tbl>
      <w:tblPr>
        <w:tblW w:w="0" w:type="auto"/>
        <w:jc w:val="left"/>
        <w:tblInd w:w="148" w:type="dxa"/>
        <w:tblLayout w:type="fixed"/>
        <w:tblCellMar>
          <w:top w:w="0" w:type="dxa"/>
          <w:left w:w="0" w:type="dxa"/>
          <w:bottom w:w="0" w:type="dxa"/>
          <w:right w:w="0" w:type="dxa"/>
        </w:tblCellMar>
        <w:tblLook w:val="01E0"/>
      </w:tblPr>
      <w:tblGrid>
        <w:gridCol w:w="1522"/>
        <w:gridCol w:w="1916"/>
        <w:gridCol w:w="1628"/>
        <w:gridCol w:w="2252"/>
        <w:gridCol w:w="2257"/>
      </w:tblGrid>
      <w:tr>
        <w:trPr>
          <w:trHeight w:val="715" w:hRule="exact"/>
        </w:trPr>
        <w:tc>
          <w:tcPr>
            <w:tcW w:w="15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05" w:right="142"/>
              <w:jc w:val="left"/>
              <w:rPr>
                <w:rFonts w:ascii="宋体" w:hAnsi="宋体" w:cs="宋体" w:eastAsia="宋体" w:hint="default"/>
                <w:sz w:val="18"/>
                <w:szCs w:val="18"/>
              </w:rPr>
            </w:pPr>
            <w:r>
              <w:rPr>
                <w:rFonts w:ascii="宋体" w:hAnsi="宋体" w:cs="宋体" w:eastAsia="宋体" w:hint="default"/>
                <w:spacing w:val="-3"/>
                <w:sz w:val="18"/>
                <w:szCs w:val="18"/>
              </w:rPr>
              <w:t>公允价值变动损</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益</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364,050.00</w:t>
            </w: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0.18%</w:t>
            </w:r>
          </w:p>
        </w:tc>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外汇掉期交易所致</w:t>
            </w:r>
          </w:p>
        </w:tc>
        <w:tc>
          <w:tcPr>
            <w:tcW w:w="2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不可持续</w:t>
            </w:r>
          </w:p>
        </w:tc>
      </w:tr>
      <w:tr>
        <w:trPr>
          <w:trHeight w:val="711" w:hRule="exact"/>
        </w:trPr>
        <w:tc>
          <w:tcPr>
            <w:tcW w:w="15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资产减值</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1"/>
                <w:sz w:val="18"/>
              </w:rPr>
              <w:t>45,533,278.87</w:t>
            </w: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22.15%</w:t>
            </w:r>
          </w:p>
        </w:tc>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3"/>
              <w:ind w:left="100" w:right="157"/>
              <w:jc w:val="left"/>
              <w:rPr>
                <w:rFonts w:ascii="宋体" w:hAnsi="宋体" w:cs="宋体" w:eastAsia="宋体" w:hint="default"/>
                <w:sz w:val="18"/>
                <w:szCs w:val="18"/>
              </w:rPr>
            </w:pPr>
            <w:r>
              <w:rPr>
                <w:rFonts w:ascii="宋体" w:hAnsi="宋体" w:cs="宋体" w:eastAsia="宋体" w:hint="default"/>
                <w:spacing w:val="-3"/>
                <w:sz w:val="18"/>
                <w:szCs w:val="18"/>
              </w:rPr>
              <w:t>应收款项计提坏帐、存货</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宋体" w:hAnsi="宋体" w:cs="宋体" w:eastAsia="宋体" w:hint="default"/>
                <w:sz w:val="18"/>
                <w:szCs w:val="18"/>
              </w:rPr>
              <w:t>计提跌价所致</w:t>
            </w:r>
          </w:p>
        </w:tc>
        <w:tc>
          <w:tcPr>
            <w:tcW w:w="2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可持续</w:t>
            </w:r>
          </w:p>
        </w:tc>
      </w:tr>
      <w:tr>
        <w:trPr>
          <w:trHeight w:val="715" w:hRule="exact"/>
        </w:trPr>
        <w:tc>
          <w:tcPr>
            <w:tcW w:w="15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922,209.29</w:t>
            </w: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0.45%</w:t>
            </w:r>
          </w:p>
        </w:tc>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8"/>
              <w:ind w:left="100" w:right="157"/>
              <w:jc w:val="left"/>
              <w:rPr>
                <w:rFonts w:ascii="宋体" w:hAnsi="宋体" w:cs="宋体" w:eastAsia="宋体" w:hint="default"/>
                <w:sz w:val="18"/>
                <w:szCs w:val="18"/>
              </w:rPr>
            </w:pPr>
            <w:r>
              <w:rPr>
                <w:rFonts w:ascii="宋体" w:hAnsi="宋体" w:cs="宋体" w:eastAsia="宋体" w:hint="default"/>
                <w:spacing w:val="-3"/>
                <w:sz w:val="18"/>
                <w:szCs w:val="18"/>
              </w:rPr>
              <w:t>政府补助、处理固定资产</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宋体" w:hAnsi="宋体" w:cs="宋体" w:eastAsia="宋体" w:hint="default"/>
                <w:sz w:val="18"/>
                <w:szCs w:val="18"/>
              </w:rPr>
              <w:t>收益及其它</w:t>
            </w:r>
          </w:p>
        </w:tc>
        <w:tc>
          <w:tcPr>
            <w:tcW w:w="2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不可持续</w:t>
            </w:r>
          </w:p>
        </w:tc>
      </w:tr>
      <w:tr>
        <w:trPr>
          <w:trHeight w:val="716" w:hRule="exact"/>
        </w:trPr>
        <w:tc>
          <w:tcPr>
            <w:tcW w:w="15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营业外支出</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2,400,837.70</w:t>
            </w: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1.17%</w:t>
            </w:r>
          </w:p>
        </w:tc>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321" w:lineRule="auto" w:before="53"/>
              <w:ind w:left="100" w:right="156"/>
              <w:jc w:val="left"/>
              <w:rPr>
                <w:rFonts w:ascii="宋体" w:hAnsi="宋体" w:cs="宋体" w:eastAsia="宋体" w:hint="default"/>
                <w:sz w:val="18"/>
                <w:szCs w:val="18"/>
              </w:rPr>
            </w:pPr>
            <w:r>
              <w:rPr>
                <w:rFonts w:ascii="宋体" w:hAnsi="宋体" w:cs="宋体" w:eastAsia="宋体" w:hint="default"/>
                <w:spacing w:val="-3"/>
                <w:sz w:val="18"/>
                <w:szCs w:val="18"/>
              </w:rPr>
              <w:t>固定资产处置损失、违约</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宋体" w:hAnsi="宋体" w:cs="宋体" w:eastAsia="宋体" w:hint="default"/>
                <w:sz w:val="18"/>
                <w:szCs w:val="18"/>
              </w:rPr>
              <w:t>滞纳金及其它</w:t>
            </w:r>
          </w:p>
        </w:tc>
        <w:tc>
          <w:tcPr>
            <w:tcW w:w="2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不可持续</w:t>
            </w:r>
          </w:p>
        </w:tc>
      </w:tr>
      <w:tr>
        <w:trPr>
          <w:trHeight w:val="403" w:hRule="exact"/>
        </w:trPr>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3"/>
                <w:sz w:val="18"/>
              </w:rPr>
              <w:t>18,034,111.83</w:t>
            </w: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8.77%</w:t>
            </w:r>
          </w:p>
        </w:tc>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pacing w:val="-3"/>
                <w:sz w:val="18"/>
                <w:szCs w:val="18"/>
              </w:rPr>
              <w:t>政府补助、软件退税</w:t>
            </w:r>
          </w:p>
        </w:tc>
        <w:tc>
          <w:tcPr>
            <w:tcW w:w="2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可持续</w:t>
            </w:r>
          </w:p>
        </w:tc>
      </w:tr>
    </w:tbl>
    <w:p>
      <w:pPr>
        <w:spacing w:line="240" w:lineRule="auto" w:before="9"/>
        <w:rPr>
          <w:rFonts w:ascii="宋体" w:hAnsi="宋体" w:cs="宋体" w:eastAsia="宋体" w:hint="default"/>
          <w:sz w:val="17"/>
          <w:szCs w:val="17"/>
        </w:rPr>
      </w:pPr>
    </w:p>
    <w:p>
      <w:pPr>
        <w:pStyle w:val="Heading2"/>
        <w:spacing w:line="240" w:lineRule="auto" w:before="26"/>
        <w:ind w:right="0"/>
        <w:jc w:val="left"/>
        <w:rPr>
          <w:b w:val="0"/>
          <w:bCs w:val="0"/>
        </w:rPr>
      </w:pPr>
      <w:bookmarkStart w:name="四、资产及负债状况分析" w:id="41"/>
      <w:bookmarkEnd w:id="41"/>
      <w:r>
        <w:rPr>
          <w:b w:val="0"/>
          <w:bCs w:val="0"/>
        </w:rPr>
      </w:r>
      <w:r>
        <w:rPr/>
        <w:t>四、资产及负债状况分析</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0"/>
        <w:jc w:val="left"/>
        <w:rPr>
          <w:b w:val="0"/>
          <w:bCs w:val="0"/>
        </w:rPr>
      </w:pPr>
      <w:bookmarkStart w:name="1、资产构成重大变动情况" w:id="42"/>
      <w:bookmarkEnd w:id="42"/>
      <w:r>
        <w:rPr>
          <w:b w:val="0"/>
          <w:bCs w:val="0"/>
        </w:rPr>
      </w:r>
      <w:r>
        <w:rPr>
          <w:rFonts w:ascii="Times New Roman" w:hAnsi="Times New Roman" w:cs="Times New Roman" w:eastAsia="Times New Roman" w:hint="default"/>
        </w:rPr>
        <w:t>1</w:t>
      </w:r>
      <w:r>
        <w:rPr/>
        <w:t>、资产构成重大变动情况</w:t>
      </w:r>
      <w:r>
        <w:rPr>
          <w:b w:val="0"/>
          <w:bCs w:val="0"/>
        </w:rPr>
      </w:r>
    </w:p>
    <w:p>
      <w:pPr>
        <w:spacing w:line="240" w:lineRule="auto" w:before="7"/>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784" w:footer="1022" w:top="1100" w:bottom="1220" w:left="980" w:right="0"/>
        </w:sectPr>
      </w:pPr>
    </w:p>
    <w:p>
      <w:pPr>
        <w:pStyle w:val="BodyText"/>
        <w:spacing w:line="240" w:lineRule="auto"/>
        <w:ind w:right="-14"/>
        <w:jc w:val="left"/>
      </w:pPr>
      <w:r>
        <w:rPr/>
        <w:t>公司 </w:t>
      </w:r>
      <w:r>
        <w:rPr>
          <w:rFonts w:ascii="Times New Roman" w:hAnsi="Times New Roman" w:cs="Times New Roman" w:eastAsia="Times New Roman" w:hint="default"/>
        </w:rPr>
        <w:t>2019 </w:t>
      </w:r>
      <w:r>
        <w:rPr>
          <w:rFonts w:ascii="Times New Roman" w:hAnsi="Times New Roman" w:cs="Times New Roman" w:eastAsia="Times New Roman" w:hint="default"/>
          <w:spacing w:val="37"/>
        </w:rPr>
        <w:t> </w:t>
      </w:r>
      <w:r>
        <w:rPr>
          <w:spacing w:val="-3"/>
        </w:rPr>
        <w:t>年起首次执行新金融工具准则、新收入准则或新租赁准则且调整执行当年年初财务报表相关项目</w:t>
      </w:r>
    </w:p>
    <w:p>
      <w:pPr>
        <w:pStyle w:val="BodyText"/>
        <w:spacing w:line="240" w:lineRule="auto" w:before="101"/>
        <w:ind w:right="-14"/>
        <w:jc w:val="left"/>
      </w:pPr>
      <w:r>
        <w:rPr/>
        <w:t>√ </w:t>
      </w:r>
      <w:r>
        <w:rPr>
          <w:spacing w:val="-3"/>
        </w:rPr>
        <w:t>适用 </w:t>
      </w:r>
      <w:r>
        <w:rPr/>
        <w:t>□</w:t>
      </w:r>
      <w:r>
        <w:rPr>
          <w:spacing w:val="13"/>
        </w:rPr>
        <w:t> </w:t>
      </w:r>
      <w:r>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21"/>
          <w:szCs w:val="21"/>
        </w:rPr>
      </w:pPr>
    </w:p>
    <w:p>
      <w:pPr>
        <w:pStyle w:val="BodyText"/>
        <w:spacing w:line="240" w:lineRule="auto" w:before="0"/>
        <w:ind w:right="0"/>
        <w:jc w:val="left"/>
      </w:pPr>
      <w:r>
        <w:rPr/>
        <w:t>单位：元</w:t>
      </w:r>
    </w:p>
    <w:p>
      <w:pPr>
        <w:spacing w:after="0" w:line="240" w:lineRule="auto"/>
        <w:jc w:val="left"/>
        <w:sectPr>
          <w:type w:val="continuous"/>
          <w:pgSz w:w="11910" w:h="16840"/>
          <w:pgMar w:top="1100" w:bottom="1220" w:left="980" w:right="0"/>
          <w:cols w:num="2" w:equalWidth="0">
            <w:col w:w="8531" w:space="390"/>
            <w:col w:w="2009"/>
          </w:cols>
        </w:sectPr>
      </w:pP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369"/>
        <w:gridCol w:w="1167"/>
        <w:gridCol w:w="1061"/>
        <w:gridCol w:w="1196"/>
        <w:gridCol w:w="1061"/>
        <w:gridCol w:w="802"/>
        <w:gridCol w:w="2920"/>
      </w:tblGrid>
      <w:tr>
        <w:trPr>
          <w:trHeight w:val="404" w:hRule="exact"/>
        </w:trPr>
        <w:tc>
          <w:tcPr>
            <w:tcW w:w="1369" w:type="dxa"/>
            <w:vMerge w:val="restart"/>
            <w:tcBorders>
              <w:top w:val="single" w:sz="4" w:space="0" w:color="000000"/>
              <w:left w:val="single" w:sz="4" w:space="0" w:color="000000"/>
              <w:right w:val="single" w:sz="4" w:space="0" w:color="000000"/>
            </w:tcBorders>
            <w:shd w:val="clear" w:color="auto" w:fill="D2D2D2"/>
          </w:tcPr>
          <w:p>
            <w:pPr/>
          </w:p>
        </w:tc>
        <w:tc>
          <w:tcPr>
            <w:tcW w:w="222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3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7"/>
                <w:sz w:val="18"/>
                <w:szCs w:val="18"/>
              </w:rPr>
              <w:t> </w:t>
            </w:r>
            <w:r>
              <w:rPr>
                <w:rFonts w:ascii="宋体" w:hAnsi="宋体" w:cs="宋体" w:eastAsia="宋体" w:hint="default"/>
                <w:spacing w:val="-5"/>
                <w:sz w:val="18"/>
                <w:szCs w:val="18"/>
              </w:rPr>
              <w:t>年末</w:t>
            </w:r>
            <w:r>
              <w:rPr>
                <w:rFonts w:ascii="宋体" w:hAnsi="宋体" w:cs="宋体" w:eastAsia="宋体" w:hint="default"/>
                <w:sz w:val="18"/>
                <w:szCs w:val="18"/>
              </w:rPr>
            </w:r>
          </w:p>
        </w:tc>
        <w:tc>
          <w:tcPr>
            <w:tcW w:w="225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7"/>
                <w:sz w:val="18"/>
                <w:szCs w:val="18"/>
              </w:rPr>
              <w:t> </w:t>
            </w:r>
            <w:r>
              <w:rPr>
                <w:rFonts w:ascii="宋体" w:hAnsi="宋体" w:cs="宋体" w:eastAsia="宋体" w:hint="default"/>
                <w:spacing w:val="-5"/>
                <w:sz w:val="18"/>
                <w:szCs w:val="18"/>
              </w:rPr>
              <w:t>年初</w:t>
            </w:r>
            <w:r>
              <w:rPr>
                <w:rFonts w:ascii="宋体" w:hAnsi="宋体" w:cs="宋体" w:eastAsia="宋体" w:hint="default"/>
                <w:sz w:val="18"/>
                <w:szCs w:val="18"/>
              </w:rPr>
            </w:r>
          </w:p>
        </w:tc>
        <w:tc>
          <w:tcPr>
            <w:tcW w:w="80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316" w:lineRule="auto"/>
              <w:ind w:left="307" w:right="122" w:hanging="183"/>
              <w:jc w:val="left"/>
              <w:rPr>
                <w:rFonts w:ascii="宋体" w:hAnsi="宋体" w:cs="宋体" w:eastAsia="宋体" w:hint="default"/>
                <w:sz w:val="18"/>
                <w:szCs w:val="18"/>
              </w:rPr>
            </w:pPr>
            <w:r>
              <w:rPr>
                <w:rFonts w:ascii="宋体" w:hAnsi="宋体" w:cs="宋体" w:eastAsia="宋体" w:hint="default"/>
                <w:sz w:val="18"/>
                <w:szCs w:val="18"/>
              </w:rPr>
              <w:t>比重增</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减</w:t>
            </w:r>
          </w:p>
        </w:tc>
        <w:tc>
          <w:tcPr>
            <w:tcW w:w="292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912" w:right="0"/>
              <w:jc w:val="left"/>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710" w:hRule="exact"/>
        </w:trPr>
        <w:tc>
          <w:tcPr>
            <w:tcW w:w="1369" w:type="dxa"/>
            <w:vMerge/>
            <w:tcBorders>
              <w:left w:val="single" w:sz="4" w:space="0" w:color="000000"/>
              <w:bottom w:val="single" w:sz="4" w:space="0" w:color="000000"/>
              <w:right w:val="single" w:sz="4" w:space="0" w:color="000000"/>
            </w:tcBorders>
            <w:shd w:val="clear" w:color="auto" w:fill="D2D2D2"/>
          </w:tcPr>
          <w:p>
            <w:pPr/>
          </w:p>
        </w:tc>
        <w:tc>
          <w:tcPr>
            <w:tcW w:w="1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340" w:right="161" w:hanging="178"/>
              <w:jc w:val="left"/>
              <w:rPr>
                <w:rFonts w:ascii="宋体" w:hAnsi="宋体" w:cs="宋体" w:eastAsia="宋体" w:hint="default"/>
                <w:sz w:val="18"/>
                <w:szCs w:val="18"/>
              </w:rPr>
            </w:pPr>
            <w:r>
              <w:rPr>
                <w:rFonts w:ascii="宋体" w:hAnsi="宋体" w:cs="宋体" w:eastAsia="宋体" w:hint="default"/>
                <w:sz w:val="18"/>
                <w:szCs w:val="18"/>
              </w:rPr>
              <w:t>占总资产</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比例</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345" w:right="156" w:hanging="178"/>
              <w:jc w:val="left"/>
              <w:rPr>
                <w:rFonts w:ascii="宋体" w:hAnsi="宋体" w:cs="宋体" w:eastAsia="宋体" w:hint="default"/>
                <w:sz w:val="18"/>
                <w:szCs w:val="18"/>
              </w:rPr>
            </w:pPr>
            <w:r>
              <w:rPr>
                <w:rFonts w:ascii="宋体" w:hAnsi="宋体" w:cs="宋体" w:eastAsia="宋体" w:hint="default"/>
                <w:sz w:val="18"/>
                <w:szCs w:val="18"/>
              </w:rPr>
              <w:t>占总资产</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比例</w:t>
            </w:r>
          </w:p>
        </w:tc>
        <w:tc>
          <w:tcPr>
            <w:tcW w:w="802" w:type="dxa"/>
            <w:vMerge/>
            <w:tcBorders>
              <w:left w:val="single" w:sz="4" w:space="0" w:color="000000"/>
              <w:bottom w:val="single" w:sz="4" w:space="0" w:color="000000"/>
              <w:right w:val="single" w:sz="4" w:space="0" w:color="000000"/>
            </w:tcBorders>
            <w:shd w:val="clear" w:color="auto" w:fill="D2D2D2"/>
          </w:tcPr>
          <w:p>
            <w:pPr/>
          </w:p>
        </w:tc>
        <w:tc>
          <w:tcPr>
            <w:tcW w:w="2920" w:type="dxa"/>
            <w:vMerge/>
            <w:tcBorders>
              <w:left w:val="single" w:sz="4" w:space="0" w:color="000000"/>
              <w:bottom w:val="single" w:sz="4" w:space="0" w:color="000000"/>
              <w:right w:val="single" w:sz="4" w:space="0" w:color="000000"/>
            </w:tcBorders>
            <w:shd w:val="clear" w:color="auto" w:fill="D2D2D2"/>
          </w:tcPr>
          <w:p>
            <w:pPr/>
          </w:p>
        </w:tc>
      </w:tr>
      <w:tr>
        <w:trPr>
          <w:trHeight w:val="1028"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617,519,437.</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sz w:val="18"/>
              </w:rPr>
              <w:t>58</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25.81%</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463,500,284.</w:t>
            </w:r>
          </w:p>
          <w:p>
            <w:pPr>
              <w:pStyle w:val="TableParagraph"/>
              <w:spacing w:line="240" w:lineRule="auto" w:before="105"/>
              <w:ind w:right="94"/>
              <w:jc w:val="right"/>
              <w:rPr>
                <w:rFonts w:ascii="Times New Roman" w:hAnsi="Times New Roman" w:cs="Times New Roman" w:eastAsia="Times New Roman" w:hint="default"/>
                <w:sz w:val="18"/>
                <w:szCs w:val="18"/>
              </w:rPr>
            </w:pPr>
            <w:r>
              <w:rPr>
                <w:rFonts w:ascii="Times New Roman"/>
                <w:sz w:val="18"/>
              </w:rPr>
              <w:t>85</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20.37%</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5.44%</w:t>
            </w:r>
          </w:p>
        </w:tc>
        <w:tc>
          <w:tcPr>
            <w:tcW w:w="2920"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53"/>
              <w:ind w:left="100" w:right="98"/>
              <w:jc w:val="left"/>
              <w:rPr>
                <w:rFonts w:ascii="宋体" w:hAnsi="宋体" w:cs="宋体" w:eastAsia="宋体" w:hint="default"/>
                <w:sz w:val="18"/>
                <w:szCs w:val="18"/>
              </w:rPr>
            </w:pPr>
            <w:r>
              <w:rPr>
                <w:rFonts w:ascii="宋体" w:hAnsi="宋体" w:cs="宋体" w:eastAsia="宋体" w:hint="default"/>
                <w:sz w:val="18"/>
                <w:szCs w:val="18"/>
              </w:rPr>
              <w:t>较年初增加</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15,402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万元，增幅</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Times New Roman" w:hAnsi="Times New Roman" w:cs="Times New Roman" w:eastAsia="Times New Roman" w:hint="default"/>
                <w:spacing w:val="-3"/>
                <w:sz w:val="18"/>
                <w:szCs w:val="18"/>
              </w:rPr>
              <w:t>33.23%</w:t>
            </w:r>
            <w:r>
              <w:rPr>
                <w:rFonts w:ascii="宋体" w:hAnsi="宋体" w:cs="宋体" w:eastAsia="宋体" w:hint="default"/>
                <w:spacing w:val="-3"/>
                <w:sz w:val="18"/>
                <w:szCs w:val="18"/>
              </w:rPr>
              <w:t>，主要是银行理财赎回增加</w:t>
            </w:r>
            <w:r>
              <w:rPr>
                <w:rFonts w:ascii="宋体" w:hAnsi="宋体" w:cs="宋体" w:eastAsia="宋体" w:hint="default"/>
                <w:spacing w:val="-46"/>
                <w:sz w:val="18"/>
                <w:szCs w:val="18"/>
              </w:rPr>
              <w:t> </w:t>
            </w:r>
            <w:r>
              <w:rPr>
                <w:rFonts w:ascii="宋体" w:hAnsi="宋体" w:cs="宋体" w:eastAsia="宋体" w:hint="default"/>
                <w:spacing w:val="-46"/>
                <w:sz w:val="18"/>
                <w:szCs w:val="18"/>
              </w:rPr>
            </w:r>
            <w:r>
              <w:rPr>
                <w:rFonts w:ascii="宋体" w:hAnsi="宋体" w:cs="宋体" w:eastAsia="宋体" w:hint="default"/>
                <w:spacing w:val="-3"/>
                <w:sz w:val="18"/>
                <w:szCs w:val="18"/>
              </w:rPr>
              <w:t>及采购货款支付减少所致。</w:t>
            </w:r>
          </w:p>
        </w:tc>
      </w:tr>
      <w:tr>
        <w:trPr>
          <w:trHeight w:val="715"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884,495,654.</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sz w:val="18"/>
              </w:rPr>
              <w:t>16</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36.97%</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6"/>
              <w:jc w:val="right"/>
              <w:rPr>
                <w:rFonts w:ascii="Times New Roman" w:hAnsi="Times New Roman" w:cs="Times New Roman" w:eastAsia="Times New Roman" w:hint="default"/>
                <w:sz w:val="18"/>
                <w:szCs w:val="18"/>
              </w:rPr>
            </w:pPr>
            <w:r>
              <w:rPr>
                <w:rFonts w:ascii="Times New Roman"/>
                <w:spacing w:val="-1"/>
                <w:sz w:val="18"/>
              </w:rPr>
              <w:t>869,801,744.</w:t>
            </w:r>
          </w:p>
          <w:p>
            <w:pPr>
              <w:pStyle w:val="TableParagraph"/>
              <w:spacing w:line="240" w:lineRule="auto" w:before="110"/>
              <w:ind w:right="94"/>
              <w:jc w:val="right"/>
              <w:rPr>
                <w:rFonts w:ascii="Times New Roman" w:hAnsi="Times New Roman" w:cs="Times New Roman" w:eastAsia="Times New Roman" w:hint="default"/>
                <w:sz w:val="18"/>
                <w:szCs w:val="18"/>
              </w:rPr>
            </w:pPr>
            <w:r>
              <w:rPr>
                <w:rFonts w:ascii="Times New Roman"/>
                <w:sz w:val="18"/>
              </w:rPr>
              <w:t>37</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38.22%</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-1.25%</w:t>
            </w:r>
          </w:p>
        </w:tc>
        <w:tc>
          <w:tcPr>
            <w:tcW w:w="2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w w:val="101"/>
                <w:sz w:val="18"/>
                <w:szCs w:val="18"/>
              </w:rPr>
              <w:t>无</w:t>
            </w:r>
            <w:r>
              <w:rPr>
                <w:rFonts w:ascii="宋体" w:hAnsi="宋体" w:cs="宋体" w:eastAsia="宋体" w:hint="default"/>
                <w:sz w:val="18"/>
                <w:szCs w:val="18"/>
              </w:rPr>
            </w:r>
          </w:p>
        </w:tc>
      </w:tr>
      <w:tr>
        <w:trPr>
          <w:trHeight w:val="715"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235,297,854.</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sz w:val="18"/>
              </w:rPr>
              <w:t>24</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9.83%</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6"/>
              <w:jc w:val="right"/>
              <w:rPr>
                <w:rFonts w:ascii="Times New Roman" w:hAnsi="Times New Roman" w:cs="Times New Roman" w:eastAsia="Times New Roman" w:hint="default"/>
                <w:sz w:val="18"/>
                <w:szCs w:val="18"/>
              </w:rPr>
            </w:pPr>
            <w:r>
              <w:rPr>
                <w:rFonts w:ascii="Times New Roman"/>
                <w:spacing w:val="-1"/>
                <w:sz w:val="18"/>
              </w:rPr>
              <w:t>233,094,230.</w:t>
            </w:r>
          </w:p>
          <w:p>
            <w:pPr>
              <w:pStyle w:val="TableParagraph"/>
              <w:spacing w:line="240" w:lineRule="auto" w:before="105"/>
              <w:ind w:right="94"/>
              <w:jc w:val="right"/>
              <w:rPr>
                <w:rFonts w:ascii="Times New Roman" w:hAnsi="Times New Roman" w:cs="Times New Roman" w:eastAsia="Times New Roman" w:hint="default"/>
                <w:sz w:val="18"/>
                <w:szCs w:val="18"/>
              </w:rPr>
            </w:pPr>
            <w:r>
              <w:rPr>
                <w:rFonts w:ascii="Times New Roman"/>
                <w:sz w:val="18"/>
              </w:rPr>
              <w:t>84</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10.24%</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-0.41%</w:t>
            </w:r>
          </w:p>
        </w:tc>
        <w:tc>
          <w:tcPr>
            <w:tcW w:w="2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w w:val="101"/>
                <w:sz w:val="18"/>
                <w:szCs w:val="18"/>
              </w:rPr>
              <w:t>无</w:t>
            </w:r>
            <w:r>
              <w:rPr>
                <w:rFonts w:ascii="宋体" w:hAnsi="宋体" w:cs="宋体" w:eastAsia="宋体" w:hint="default"/>
                <w:sz w:val="18"/>
                <w:szCs w:val="18"/>
              </w:rPr>
            </w:r>
          </w:p>
        </w:tc>
      </w:tr>
      <w:tr>
        <w:trPr>
          <w:trHeight w:val="711"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26,108,108.4</w:t>
            </w:r>
          </w:p>
          <w:p>
            <w:pPr>
              <w:pStyle w:val="TableParagraph"/>
              <w:spacing w:line="240" w:lineRule="auto" w:before="105"/>
              <w:ind w:right="103"/>
              <w:jc w:val="right"/>
              <w:rPr>
                <w:rFonts w:ascii="Times New Roman" w:hAnsi="Times New Roman" w:cs="Times New Roman" w:eastAsia="Times New Roman" w:hint="default"/>
                <w:sz w:val="18"/>
                <w:szCs w:val="18"/>
              </w:rPr>
            </w:pPr>
            <w:r>
              <w:rPr>
                <w:rFonts w:ascii="Times New Roman"/>
                <w:w w:val="101"/>
                <w:sz w:val="18"/>
              </w:rPr>
              <w:t>8</w:t>
            </w:r>
            <w:r>
              <w:rPr>
                <w:rFonts w:ascii="Times New Roman"/>
                <w:sz w:val="18"/>
              </w:rPr>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1.09%</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26,782,166.0</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w w:val="101"/>
                <w:sz w:val="18"/>
              </w:rPr>
              <w:t>4</w:t>
            </w:r>
            <w:r>
              <w:rPr>
                <w:rFonts w:ascii="Times New Roman"/>
                <w:sz w:val="18"/>
              </w:rPr>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1.18%</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-0.09%</w:t>
            </w:r>
          </w:p>
        </w:tc>
        <w:tc>
          <w:tcPr>
            <w:tcW w:w="2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w w:val="101"/>
                <w:sz w:val="18"/>
                <w:szCs w:val="18"/>
              </w:rPr>
              <w:t>无</w:t>
            </w:r>
            <w:r>
              <w:rPr>
                <w:rFonts w:ascii="宋体" w:hAnsi="宋体" w:cs="宋体" w:eastAsia="宋体" w:hint="default"/>
                <w:sz w:val="18"/>
                <w:szCs w:val="18"/>
              </w:rPr>
            </w: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4" w:right="0"/>
              <w:jc w:val="center"/>
              <w:rPr>
                <w:rFonts w:ascii="Times New Roman" w:hAnsi="Times New Roman" w:cs="Times New Roman" w:eastAsia="Times New Roman" w:hint="default"/>
                <w:sz w:val="18"/>
                <w:szCs w:val="18"/>
              </w:rPr>
            </w:pPr>
            <w:r>
              <w:rPr>
                <w:rFonts w:ascii="Times New Roman"/>
                <w:sz w:val="18"/>
              </w:rPr>
              <w:t>3,001,257.57</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0.13%</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42" w:right="0"/>
              <w:jc w:val="center"/>
              <w:rPr>
                <w:rFonts w:ascii="Times New Roman" w:hAnsi="Times New Roman" w:cs="Times New Roman" w:eastAsia="Times New Roman" w:hint="default"/>
                <w:sz w:val="18"/>
                <w:szCs w:val="18"/>
              </w:rPr>
            </w:pPr>
            <w:r>
              <w:rPr>
                <w:rFonts w:ascii="Times New Roman"/>
                <w:sz w:val="18"/>
              </w:rPr>
              <w:t>3,556,443.61</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6"/>
              <w:jc w:val="right"/>
              <w:rPr>
                <w:rFonts w:ascii="Times New Roman" w:hAnsi="Times New Roman" w:cs="Times New Roman" w:eastAsia="Times New Roman" w:hint="default"/>
                <w:sz w:val="18"/>
                <w:szCs w:val="18"/>
              </w:rPr>
            </w:pPr>
            <w:r>
              <w:rPr>
                <w:rFonts w:ascii="Times New Roman"/>
                <w:spacing w:val="-1"/>
                <w:sz w:val="18"/>
              </w:rPr>
              <w:t>0.16%</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pacing w:val="-2"/>
                <w:sz w:val="18"/>
              </w:rPr>
              <w:t>-0.03%</w:t>
            </w:r>
          </w:p>
        </w:tc>
        <w:tc>
          <w:tcPr>
            <w:tcW w:w="2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w w:val="101"/>
                <w:sz w:val="18"/>
                <w:szCs w:val="18"/>
              </w:rPr>
              <w:t>无</w:t>
            </w:r>
            <w:r>
              <w:rPr>
                <w:rFonts w:ascii="宋体" w:hAnsi="宋体" w:cs="宋体" w:eastAsia="宋体" w:hint="default"/>
                <w:sz w:val="18"/>
                <w:szCs w:val="18"/>
              </w:rPr>
            </w:r>
          </w:p>
        </w:tc>
      </w:tr>
      <w:tr>
        <w:trPr>
          <w:trHeight w:val="716"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154,496,224.</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sz w:val="18"/>
              </w:rPr>
              <w:t>14</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6.46%</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6"/>
              <w:jc w:val="right"/>
              <w:rPr>
                <w:rFonts w:ascii="Times New Roman" w:hAnsi="Times New Roman" w:cs="Times New Roman" w:eastAsia="Times New Roman" w:hint="default"/>
                <w:sz w:val="18"/>
                <w:szCs w:val="18"/>
              </w:rPr>
            </w:pPr>
            <w:r>
              <w:rPr>
                <w:rFonts w:ascii="Times New Roman"/>
                <w:spacing w:val="-1"/>
                <w:sz w:val="18"/>
              </w:rPr>
              <w:t>161,777,040.</w:t>
            </w:r>
          </w:p>
          <w:p>
            <w:pPr>
              <w:pStyle w:val="TableParagraph"/>
              <w:spacing w:line="240" w:lineRule="auto" w:before="110"/>
              <w:ind w:right="94"/>
              <w:jc w:val="right"/>
              <w:rPr>
                <w:rFonts w:ascii="Times New Roman" w:hAnsi="Times New Roman" w:cs="Times New Roman" w:eastAsia="Times New Roman" w:hint="default"/>
                <w:sz w:val="18"/>
                <w:szCs w:val="18"/>
              </w:rPr>
            </w:pPr>
            <w:r>
              <w:rPr>
                <w:rFonts w:ascii="Times New Roman"/>
                <w:sz w:val="18"/>
              </w:rPr>
              <w:t>12</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3"/>
                <w:sz w:val="18"/>
              </w:rPr>
              <w:t>7.11%</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-0.65%</w:t>
            </w:r>
          </w:p>
        </w:tc>
        <w:tc>
          <w:tcPr>
            <w:tcW w:w="2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w w:val="101"/>
                <w:sz w:val="18"/>
                <w:szCs w:val="18"/>
              </w:rPr>
              <w:t>无</w:t>
            </w:r>
            <w:r>
              <w:rPr>
                <w:rFonts w:ascii="宋体" w:hAnsi="宋体" w:cs="宋体" w:eastAsia="宋体" w:hint="default"/>
                <w:sz w:val="18"/>
                <w:szCs w:val="18"/>
              </w:rPr>
            </w: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167"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0.00%</w:t>
            </w:r>
          </w:p>
        </w:tc>
        <w:tc>
          <w:tcPr>
            <w:tcW w:w="1196"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6"/>
              <w:jc w:val="right"/>
              <w:rPr>
                <w:rFonts w:ascii="Times New Roman" w:hAnsi="Times New Roman" w:cs="Times New Roman" w:eastAsia="Times New Roman" w:hint="default"/>
                <w:sz w:val="18"/>
                <w:szCs w:val="18"/>
              </w:rPr>
            </w:pPr>
            <w:r>
              <w:rPr>
                <w:rFonts w:ascii="Times New Roman"/>
                <w:spacing w:val="-1"/>
                <w:sz w:val="18"/>
              </w:rPr>
              <w:t>0.00%</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pacing w:val="-1"/>
                <w:sz w:val="18"/>
              </w:rPr>
              <w:t>0.00%</w:t>
            </w:r>
          </w:p>
        </w:tc>
        <w:tc>
          <w:tcPr>
            <w:tcW w:w="2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w w:val="101"/>
                <w:sz w:val="18"/>
                <w:szCs w:val="18"/>
              </w:rPr>
              <w:t>无</w:t>
            </w:r>
            <w:r>
              <w:rPr>
                <w:rFonts w:ascii="宋体" w:hAnsi="宋体" w:cs="宋体" w:eastAsia="宋体" w:hint="default"/>
                <w:sz w:val="18"/>
                <w:szCs w:val="18"/>
              </w:rPr>
            </w:r>
          </w:p>
        </w:tc>
      </w:tr>
      <w:tr>
        <w:trPr>
          <w:trHeight w:val="710"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100,000,000.</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sz w:val="18"/>
              </w:rPr>
              <w:t>00</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4.18%</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6"/>
              <w:jc w:val="right"/>
              <w:rPr>
                <w:rFonts w:ascii="Times New Roman" w:hAnsi="Times New Roman" w:cs="Times New Roman" w:eastAsia="Times New Roman" w:hint="default"/>
                <w:sz w:val="18"/>
                <w:szCs w:val="18"/>
              </w:rPr>
            </w:pPr>
            <w:r>
              <w:rPr>
                <w:rFonts w:ascii="Times New Roman"/>
                <w:spacing w:val="-1"/>
                <w:sz w:val="18"/>
              </w:rPr>
              <w:t>100,000,000.</w:t>
            </w:r>
          </w:p>
          <w:p>
            <w:pPr>
              <w:pStyle w:val="TableParagraph"/>
              <w:spacing w:line="240" w:lineRule="auto" w:before="105"/>
              <w:ind w:right="94"/>
              <w:jc w:val="right"/>
              <w:rPr>
                <w:rFonts w:ascii="Times New Roman" w:hAnsi="Times New Roman" w:cs="Times New Roman" w:eastAsia="Times New Roman" w:hint="default"/>
                <w:sz w:val="18"/>
                <w:szCs w:val="18"/>
              </w:rPr>
            </w:pPr>
            <w:r>
              <w:rPr>
                <w:rFonts w:ascii="Times New Roman"/>
                <w:sz w:val="18"/>
              </w:rPr>
              <w:t>00</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4.39%</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-0.21%</w:t>
            </w:r>
          </w:p>
        </w:tc>
        <w:tc>
          <w:tcPr>
            <w:tcW w:w="2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w w:val="101"/>
                <w:sz w:val="18"/>
                <w:szCs w:val="18"/>
              </w:rPr>
              <w:t>无</w:t>
            </w:r>
            <w:r>
              <w:rPr>
                <w:rFonts w:ascii="宋体" w:hAnsi="宋体" w:cs="宋体" w:eastAsia="宋体" w:hint="default"/>
                <w:sz w:val="18"/>
                <w:szCs w:val="18"/>
              </w:rPr>
            </w: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167"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0.00%</w:t>
            </w:r>
          </w:p>
        </w:tc>
        <w:tc>
          <w:tcPr>
            <w:tcW w:w="1196"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6"/>
              <w:jc w:val="right"/>
              <w:rPr>
                <w:rFonts w:ascii="Times New Roman" w:hAnsi="Times New Roman" w:cs="Times New Roman" w:eastAsia="Times New Roman" w:hint="default"/>
                <w:sz w:val="18"/>
                <w:szCs w:val="18"/>
              </w:rPr>
            </w:pPr>
            <w:r>
              <w:rPr>
                <w:rFonts w:ascii="Times New Roman"/>
                <w:spacing w:val="-1"/>
                <w:sz w:val="18"/>
              </w:rPr>
              <w:t>0.00%</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pacing w:val="-1"/>
                <w:sz w:val="18"/>
              </w:rPr>
              <w:t>0.00%</w:t>
            </w:r>
          </w:p>
        </w:tc>
        <w:tc>
          <w:tcPr>
            <w:tcW w:w="2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w w:val="101"/>
                <w:sz w:val="18"/>
                <w:szCs w:val="18"/>
              </w:rPr>
              <w:t>无</w:t>
            </w:r>
            <w:r>
              <w:rPr>
                <w:rFonts w:ascii="宋体" w:hAnsi="宋体" w:cs="宋体" w:eastAsia="宋体" w:hint="default"/>
                <w:sz w:val="18"/>
                <w:szCs w:val="18"/>
              </w:rPr>
            </w:r>
          </w:p>
        </w:tc>
      </w:tr>
    </w:tbl>
    <w:p>
      <w:pPr>
        <w:spacing w:after="0" w:line="240" w:lineRule="auto"/>
        <w:jc w:val="left"/>
        <w:rPr>
          <w:rFonts w:ascii="宋体" w:hAnsi="宋体" w:cs="宋体" w:eastAsia="宋体" w:hint="default"/>
          <w:sz w:val="18"/>
          <w:szCs w:val="18"/>
        </w:rPr>
        <w:sectPr>
          <w:type w:val="continuous"/>
          <w:pgSz w:w="11910" w:h="16840"/>
          <w:pgMar w:top="1100" w:bottom="1220" w:left="980" w:right="0"/>
        </w:sectPr>
      </w:pPr>
    </w:p>
    <w:p>
      <w:pPr>
        <w:spacing w:line="240" w:lineRule="auto" w:before="13"/>
        <w:rPr>
          <w:rFonts w:ascii="宋体" w:hAnsi="宋体" w:cs="宋体" w:eastAsia="宋体" w:hint="default"/>
          <w:sz w:val="21"/>
          <w:szCs w:val="21"/>
        </w:rPr>
      </w:pPr>
    </w:p>
    <w:p>
      <w:pPr>
        <w:pStyle w:val="Heading4"/>
        <w:spacing w:line="240" w:lineRule="auto" w:before="36"/>
        <w:ind w:right="0"/>
        <w:jc w:val="left"/>
        <w:rPr>
          <w:b w:val="0"/>
          <w:bCs w:val="0"/>
        </w:rPr>
      </w:pPr>
      <w:bookmarkStart w:name="2、以公允价值计量的资产和负债" w:id="43"/>
      <w:bookmarkEnd w:id="43"/>
      <w:r>
        <w:rPr>
          <w:b w:val="0"/>
          <w:bCs w:val="0"/>
        </w:rPr>
      </w:r>
      <w:r>
        <w:rPr>
          <w:rFonts w:ascii="Times New Roman" w:hAnsi="Times New Roman" w:cs="Times New Roman" w:eastAsia="Times New Roman" w:hint="default"/>
        </w:rPr>
        <w:t>2</w:t>
      </w:r>
      <w:r>
        <w:rPr/>
        <w:t>、以公允价值计量的资产和负债</w:t>
      </w:r>
      <w:r>
        <w:rPr>
          <w:b w:val="0"/>
          <w:bCs w:val="0"/>
        </w:rPr>
      </w:r>
    </w:p>
    <w:p>
      <w:pPr>
        <w:spacing w:line="240" w:lineRule="auto" w:before="9"/>
        <w:rPr>
          <w:rFonts w:ascii="宋体" w:hAnsi="宋体" w:cs="宋体" w:eastAsia="宋体" w:hint="default"/>
          <w:b/>
          <w:bCs/>
          <w:sz w:val="26"/>
          <w:szCs w:val="26"/>
        </w:rPr>
      </w:pPr>
    </w:p>
    <w:p>
      <w:pPr>
        <w:pStyle w:val="BodyText"/>
        <w:spacing w:line="240" w:lineRule="auto" w:before="0"/>
        <w:ind w:right="0"/>
        <w:jc w:val="left"/>
      </w:pPr>
      <w:r>
        <w:rPr/>
        <w:t>□ </w:t>
      </w:r>
      <w:r>
        <w:rPr>
          <w:spacing w:val="-3"/>
        </w:rPr>
        <w:t>适用 </w:t>
      </w:r>
      <w:r>
        <w:rPr/>
        <w:t>√</w:t>
      </w:r>
      <w:r>
        <w:rPr>
          <w:spacing w:val="13"/>
        </w:rPr>
        <w:t> </w:t>
      </w:r>
      <w:r>
        <w:rPr/>
        <w:t>不适用</w:t>
      </w:r>
    </w:p>
    <w:p>
      <w:pPr>
        <w:spacing w:line="240" w:lineRule="auto" w:before="4"/>
        <w:rPr>
          <w:rFonts w:ascii="宋体" w:hAnsi="宋体" w:cs="宋体" w:eastAsia="宋体" w:hint="default"/>
          <w:sz w:val="26"/>
          <w:szCs w:val="26"/>
        </w:rPr>
      </w:pPr>
    </w:p>
    <w:p>
      <w:pPr>
        <w:pStyle w:val="Heading4"/>
        <w:spacing w:line="240" w:lineRule="auto"/>
        <w:ind w:right="0"/>
        <w:jc w:val="left"/>
        <w:rPr>
          <w:b w:val="0"/>
          <w:bCs w:val="0"/>
        </w:rPr>
      </w:pPr>
      <w:bookmarkStart w:name="3、截至报告期末的资产权利受限情况" w:id="44"/>
      <w:bookmarkEnd w:id="44"/>
      <w:r>
        <w:rPr>
          <w:b w:val="0"/>
          <w:bCs w:val="0"/>
        </w:rPr>
      </w:r>
      <w:r>
        <w:rPr>
          <w:rFonts w:ascii="Times New Roman" w:hAnsi="Times New Roman" w:cs="Times New Roman" w:eastAsia="Times New Roman" w:hint="default"/>
        </w:rPr>
        <w:t>3</w:t>
      </w:r>
      <w:r>
        <w:rPr/>
        <w:t>、截至报告期末的资产权利受限情况</w:t>
      </w:r>
      <w:r>
        <w:rPr>
          <w:b w:val="0"/>
          <w:bCs w:val="0"/>
        </w:rPr>
      </w:r>
    </w:p>
    <w:p>
      <w:pPr>
        <w:spacing w:line="240" w:lineRule="auto" w:before="10"/>
        <w:rPr>
          <w:rFonts w:ascii="宋体" w:hAnsi="宋体" w:cs="宋体" w:eastAsia="宋体" w:hint="default"/>
          <w:b/>
          <w:bCs/>
          <w:sz w:val="22"/>
          <w:szCs w:val="22"/>
        </w:rPr>
      </w:pPr>
    </w:p>
    <w:p>
      <w:pPr>
        <w:spacing w:line="477" w:lineRule="auto" w:before="0"/>
        <w:ind w:left="153" w:right="8823" w:firstLine="456"/>
        <w:jc w:val="left"/>
        <w:rPr>
          <w:rFonts w:ascii="宋体" w:hAnsi="宋体" w:cs="宋体" w:eastAsia="宋体" w:hint="default"/>
          <w:sz w:val="21"/>
          <w:szCs w:val="21"/>
        </w:rPr>
      </w:pPr>
      <w:r>
        <w:rPr>
          <w:rFonts w:ascii="宋体" w:hAnsi="宋体" w:cs="宋体" w:eastAsia="宋体" w:hint="default"/>
          <w:sz w:val="24"/>
          <w:szCs w:val="24"/>
        </w:rPr>
        <w:t>无。 </w:t>
      </w:r>
      <w:bookmarkStart w:name="五、投资状况分析" w:id="45"/>
      <w:bookmarkEnd w:id="45"/>
      <w:r>
        <w:rPr>
          <w:rFonts w:ascii="宋体" w:hAnsi="宋体" w:cs="宋体" w:eastAsia="宋体" w:hint="default"/>
          <w:sz w:val="24"/>
          <w:szCs w:val="24"/>
        </w:rPr>
      </w:r>
      <w:r>
        <w:rPr>
          <w:rFonts w:ascii="宋体" w:hAnsi="宋体" w:cs="宋体" w:eastAsia="宋体" w:hint="default"/>
          <w:b/>
          <w:bCs/>
          <w:sz w:val="24"/>
          <w:szCs w:val="24"/>
        </w:rPr>
        <w:t>五、投资状况分析</w:t>
      </w:r>
      <w:r>
        <w:rPr>
          <w:rFonts w:ascii="宋体" w:hAnsi="宋体" w:cs="宋体" w:eastAsia="宋体" w:hint="default"/>
          <w:b/>
          <w:bCs/>
          <w:w w:val="99"/>
          <w:sz w:val="24"/>
          <w:szCs w:val="24"/>
        </w:rPr>
        <w:t> </w:t>
      </w:r>
      <w:bookmarkStart w:name="1、总体情况" w:id="46"/>
      <w:bookmarkEnd w:id="46"/>
      <w:r>
        <w:rPr>
          <w:rFonts w:ascii="宋体" w:hAnsi="宋体" w:cs="宋体" w:eastAsia="宋体" w:hint="default"/>
          <w:b/>
          <w:bCs/>
          <w:w w:val="99"/>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、总体情况</w:t>
      </w:r>
      <w:r>
        <w:rPr>
          <w:rFonts w:ascii="宋体" w:hAnsi="宋体" w:cs="宋体" w:eastAsia="宋体" w:hint="default"/>
          <w:sz w:val="21"/>
          <w:szCs w:val="21"/>
        </w:rPr>
      </w:r>
    </w:p>
    <w:p>
      <w:pPr>
        <w:pStyle w:val="BodyText"/>
        <w:spacing w:line="240" w:lineRule="auto" w:before="123"/>
        <w:ind w:right="0"/>
        <w:jc w:val="left"/>
      </w:pPr>
      <w:r>
        <w:rPr/>
        <w:t>√ </w:t>
      </w:r>
      <w:r>
        <w:rPr>
          <w:spacing w:val="-3"/>
        </w:rPr>
        <w:t>适用 </w:t>
      </w:r>
      <w:r>
        <w:rPr/>
        <w:t>□</w:t>
      </w:r>
      <w:r>
        <w:rPr>
          <w:spacing w:val="13"/>
        </w:rPr>
        <w:t> </w:t>
      </w:r>
      <w:r>
        <w:rPr/>
        <w:t>不适用</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82" w:right="0"/>
              <w:jc w:val="left"/>
              <w:rPr>
                <w:rFonts w:ascii="宋体" w:hAnsi="宋体" w:cs="宋体" w:eastAsia="宋体" w:hint="default"/>
                <w:sz w:val="18"/>
                <w:szCs w:val="18"/>
              </w:rPr>
            </w:pPr>
            <w:r>
              <w:rPr>
                <w:rFonts w:ascii="宋体" w:hAnsi="宋体" w:cs="宋体" w:eastAsia="宋体" w:hint="default"/>
                <w:spacing w:val="-3"/>
                <w:sz w:val="18"/>
                <w:szCs w:val="18"/>
              </w:rPr>
              <w:t>报告期投资额（元）</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91" w:right="0"/>
              <w:jc w:val="left"/>
              <w:rPr>
                <w:rFonts w:ascii="宋体" w:hAnsi="宋体" w:cs="宋体" w:eastAsia="宋体" w:hint="default"/>
                <w:sz w:val="18"/>
                <w:szCs w:val="18"/>
              </w:rPr>
            </w:pPr>
            <w:r>
              <w:rPr>
                <w:rFonts w:ascii="宋体" w:hAnsi="宋体" w:cs="宋体" w:eastAsia="宋体" w:hint="default"/>
                <w:sz w:val="18"/>
                <w:szCs w:val="18"/>
              </w:rPr>
              <w:t>上年同期投资额（元）</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变动幅度</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z w:val="18"/>
              </w:rPr>
              <w:t>0.00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z w:val="18"/>
              </w:rPr>
              <w:t>0.00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pacing w:val="-1"/>
                <w:sz w:val="18"/>
              </w:rPr>
              <w:t>0.00%</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2、报告期内获取的重大的股权投资情况" w:id="47"/>
      <w:bookmarkEnd w:id="47"/>
      <w:r>
        <w:rPr>
          <w:b w:val="0"/>
          <w:bCs w:val="0"/>
        </w:rPr>
      </w:r>
      <w:r>
        <w:rPr>
          <w:rFonts w:ascii="Times New Roman" w:hAnsi="Times New Roman" w:cs="Times New Roman" w:eastAsia="Times New Roman" w:hint="default"/>
        </w:rPr>
        <w:t>2</w:t>
      </w:r>
      <w:r>
        <w:rPr/>
        <w:t>、报告期内获取的重大的股权投资情况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before="0"/>
        <w:ind w:right="0"/>
        <w:jc w:val="left"/>
      </w:pPr>
      <w:r>
        <w:rPr/>
        <w:t>□ </w:t>
      </w:r>
      <w:r>
        <w:rPr>
          <w:spacing w:val="-3"/>
        </w:rPr>
        <w:t>适用 </w:t>
      </w:r>
      <w:r>
        <w:rPr/>
        <w:t>√</w:t>
      </w:r>
      <w:r>
        <w:rPr>
          <w:spacing w:val="13"/>
        </w:rPr>
        <w:t> </w:t>
      </w:r>
      <w:r>
        <w:rPr/>
        <w:t>不适用</w:t>
      </w:r>
    </w:p>
    <w:p>
      <w:pPr>
        <w:spacing w:line="240" w:lineRule="auto" w:before="9"/>
        <w:rPr>
          <w:rFonts w:ascii="宋体" w:hAnsi="宋体" w:cs="宋体" w:eastAsia="宋体" w:hint="default"/>
          <w:sz w:val="26"/>
          <w:szCs w:val="26"/>
        </w:rPr>
      </w:pPr>
    </w:p>
    <w:p>
      <w:pPr>
        <w:pStyle w:val="Heading4"/>
        <w:spacing w:line="240" w:lineRule="auto"/>
        <w:ind w:right="0"/>
        <w:jc w:val="left"/>
        <w:rPr>
          <w:b w:val="0"/>
          <w:bCs w:val="0"/>
        </w:rPr>
      </w:pPr>
      <w:bookmarkStart w:name="3、报告期内正在进行的重大的非股权投资情况" w:id="48"/>
      <w:bookmarkEnd w:id="48"/>
      <w:r>
        <w:rPr>
          <w:b w:val="0"/>
          <w:bCs w:val="0"/>
        </w:rPr>
      </w:r>
      <w:r>
        <w:rPr>
          <w:rFonts w:ascii="Times New Roman" w:hAnsi="Times New Roman" w:cs="Times New Roman" w:eastAsia="Times New Roman" w:hint="default"/>
        </w:rPr>
        <w:t>3</w:t>
      </w:r>
      <w:r>
        <w:rPr/>
        <w:t>、报告期内正在进行的重大的非股权投资情况</w:t>
      </w:r>
      <w:r>
        <w:rPr>
          <w:b w:val="0"/>
          <w:bCs w:val="0"/>
        </w:rPr>
      </w:r>
    </w:p>
    <w:p>
      <w:pPr>
        <w:spacing w:line="240" w:lineRule="auto" w:before="1"/>
        <w:rPr>
          <w:rFonts w:ascii="宋体" w:hAnsi="宋体" w:cs="宋体" w:eastAsia="宋体" w:hint="default"/>
          <w:b/>
          <w:bCs/>
          <w:sz w:val="27"/>
          <w:szCs w:val="27"/>
        </w:rPr>
      </w:pPr>
    </w:p>
    <w:p>
      <w:pPr>
        <w:pStyle w:val="BodyText"/>
        <w:spacing w:line="240" w:lineRule="auto" w:before="0"/>
        <w:ind w:right="0"/>
        <w:jc w:val="left"/>
      </w:pPr>
      <w:r>
        <w:rPr/>
        <w:t>□ </w:t>
      </w:r>
      <w:r>
        <w:rPr>
          <w:spacing w:val="-3"/>
        </w:rPr>
        <w:t>适用 </w:t>
      </w:r>
      <w:r>
        <w:rPr/>
        <w:t>√</w:t>
      </w:r>
      <w:r>
        <w:rPr>
          <w:spacing w:val="13"/>
        </w:rPr>
        <w:t> </w:t>
      </w:r>
      <w:r>
        <w:rPr/>
        <w:t>不适用</w:t>
      </w:r>
    </w:p>
    <w:p>
      <w:pPr>
        <w:spacing w:line="240" w:lineRule="auto" w:before="4"/>
        <w:rPr>
          <w:rFonts w:ascii="宋体" w:hAnsi="宋体" w:cs="宋体" w:eastAsia="宋体" w:hint="default"/>
          <w:sz w:val="26"/>
          <w:szCs w:val="26"/>
        </w:rPr>
      </w:pPr>
    </w:p>
    <w:p>
      <w:pPr>
        <w:pStyle w:val="Heading4"/>
        <w:spacing w:line="240" w:lineRule="auto"/>
        <w:ind w:right="0"/>
        <w:jc w:val="left"/>
        <w:rPr>
          <w:b w:val="0"/>
          <w:bCs w:val="0"/>
        </w:rPr>
      </w:pPr>
      <w:bookmarkStart w:name="4、以公允价值计量的金融资产" w:id="49"/>
      <w:bookmarkEnd w:id="49"/>
      <w:r>
        <w:rPr>
          <w:b w:val="0"/>
          <w:bCs w:val="0"/>
        </w:rPr>
      </w:r>
      <w:r>
        <w:rPr>
          <w:rFonts w:ascii="Times New Roman" w:hAnsi="Times New Roman" w:cs="Times New Roman" w:eastAsia="Times New Roman" w:hint="default"/>
        </w:rPr>
        <w:t>4</w:t>
      </w:r>
      <w:r>
        <w:rPr/>
        <w:t>、以公允价值计量的金融资产</w:t>
      </w:r>
      <w:r>
        <w:rPr>
          <w:b w:val="0"/>
          <w:bCs w:val="0"/>
        </w:rPr>
      </w:r>
    </w:p>
    <w:p>
      <w:pPr>
        <w:spacing w:line="240" w:lineRule="auto" w:before="1"/>
        <w:rPr>
          <w:rFonts w:ascii="宋体" w:hAnsi="宋体" w:cs="宋体" w:eastAsia="宋体" w:hint="default"/>
          <w:b/>
          <w:bCs/>
          <w:sz w:val="27"/>
          <w:szCs w:val="27"/>
        </w:rPr>
      </w:pPr>
    </w:p>
    <w:p>
      <w:pPr>
        <w:pStyle w:val="BodyText"/>
        <w:spacing w:line="240" w:lineRule="auto" w:before="0"/>
        <w:ind w:right="0"/>
        <w:jc w:val="left"/>
      </w:pPr>
      <w:r>
        <w:rPr/>
        <w:t>□ </w:t>
      </w:r>
      <w:r>
        <w:rPr>
          <w:spacing w:val="-3"/>
        </w:rPr>
        <w:t>适用 </w:t>
      </w:r>
      <w:r>
        <w:rPr/>
        <w:t>√</w:t>
      </w:r>
      <w:r>
        <w:rPr>
          <w:spacing w:val="13"/>
        </w:rPr>
        <w:t> </w:t>
      </w:r>
      <w:r>
        <w:rPr/>
        <w:t>不适用</w:t>
      </w:r>
    </w:p>
    <w:p>
      <w:pPr>
        <w:spacing w:line="240" w:lineRule="auto" w:before="4"/>
        <w:rPr>
          <w:rFonts w:ascii="宋体" w:hAnsi="宋体" w:cs="宋体" w:eastAsia="宋体" w:hint="default"/>
          <w:sz w:val="26"/>
          <w:szCs w:val="26"/>
        </w:rPr>
      </w:pPr>
    </w:p>
    <w:p>
      <w:pPr>
        <w:pStyle w:val="Heading4"/>
        <w:spacing w:line="240" w:lineRule="auto"/>
        <w:ind w:right="0"/>
        <w:jc w:val="left"/>
        <w:rPr>
          <w:b w:val="0"/>
          <w:bCs w:val="0"/>
        </w:rPr>
      </w:pPr>
      <w:bookmarkStart w:name="5、募集资金使用情况" w:id="50"/>
      <w:bookmarkEnd w:id="50"/>
      <w:r>
        <w:rPr>
          <w:b w:val="0"/>
          <w:bCs w:val="0"/>
        </w:rPr>
      </w:r>
      <w:r>
        <w:rPr>
          <w:rFonts w:ascii="Times New Roman" w:hAnsi="Times New Roman" w:cs="Times New Roman" w:eastAsia="Times New Roman" w:hint="default"/>
        </w:rPr>
        <w:t>5</w:t>
      </w:r>
      <w:r>
        <w:rPr/>
        <w:t>、募集资金使用情况</w:t>
      </w:r>
      <w:r>
        <w:rPr>
          <w:b w:val="0"/>
          <w:bCs w:val="0"/>
        </w:rPr>
      </w:r>
    </w:p>
    <w:p>
      <w:pPr>
        <w:spacing w:line="240" w:lineRule="auto" w:before="1"/>
        <w:rPr>
          <w:rFonts w:ascii="宋体" w:hAnsi="宋体" w:cs="宋体" w:eastAsia="宋体" w:hint="default"/>
          <w:b/>
          <w:bCs/>
          <w:sz w:val="27"/>
          <w:szCs w:val="27"/>
        </w:rPr>
      </w:pPr>
    </w:p>
    <w:p>
      <w:pPr>
        <w:pStyle w:val="BodyText"/>
        <w:spacing w:line="240" w:lineRule="auto" w:before="0"/>
        <w:ind w:right="0"/>
        <w:jc w:val="left"/>
      </w:pPr>
      <w:r>
        <w:rPr/>
        <w:t>√ </w:t>
      </w:r>
      <w:r>
        <w:rPr>
          <w:spacing w:val="-3"/>
        </w:rPr>
        <w:t>适用 </w:t>
      </w:r>
      <w:r>
        <w:rPr/>
        <w:t>□</w:t>
      </w:r>
      <w:r>
        <w:rPr>
          <w:spacing w:val="13"/>
        </w:rPr>
        <w:t> </w:t>
      </w:r>
      <w:r>
        <w:rPr/>
        <w:t>不适用</w:t>
      </w:r>
    </w:p>
    <w:p>
      <w:pPr>
        <w:spacing w:line="240" w:lineRule="auto" w:before="4"/>
        <w:rPr>
          <w:rFonts w:ascii="宋体" w:hAnsi="宋体" w:cs="宋体" w:eastAsia="宋体" w:hint="default"/>
          <w:sz w:val="26"/>
          <w:szCs w:val="26"/>
        </w:rPr>
      </w:pPr>
    </w:p>
    <w:p>
      <w:pPr>
        <w:pStyle w:val="Heading4"/>
        <w:spacing w:line="240" w:lineRule="auto"/>
        <w:ind w:right="0"/>
        <w:jc w:val="left"/>
        <w:rPr>
          <w:b w:val="0"/>
          <w:bCs w:val="0"/>
        </w:rPr>
      </w:pPr>
      <w:bookmarkStart w:name="（1）募集资金总体使用情况" w:id="51"/>
      <w:bookmarkEnd w:id="51"/>
      <w:r>
        <w:rPr>
          <w:b w:val="0"/>
          <w:bCs w:val="0"/>
        </w:rPr>
      </w:r>
      <w:r>
        <w:rPr/>
        <w:t>（</w:t>
      </w:r>
      <w:r>
        <w:rPr>
          <w:rFonts w:ascii="Times New Roman" w:hAnsi="Times New Roman" w:cs="Times New Roman" w:eastAsia="Times New Roman" w:hint="default"/>
        </w:rPr>
        <w:t>1</w:t>
      </w:r>
      <w:r>
        <w:rPr/>
        <w:t>）募集资金总体使用情况</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right="0"/>
        <w:jc w:val="left"/>
      </w:pPr>
      <w:r>
        <w:rPr/>
        <w:t>√ </w:t>
      </w:r>
      <w:r>
        <w:rPr>
          <w:spacing w:val="-3"/>
        </w:rPr>
        <w:t>适用 </w:t>
      </w:r>
      <w:r>
        <w:rPr/>
        <w:t>□</w:t>
      </w:r>
      <w:r>
        <w:rPr>
          <w:spacing w:val="13"/>
        </w:rPr>
        <w:t> </w:t>
      </w:r>
      <w:r>
        <w:rPr/>
        <w:t>不适用</w:t>
      </w:r>
    </w:p>
    <w:p>
      <w:pPr>
        <w:pStyle w:val="BodyText"/>
        <w:spacing w:line="240" w:lineRule="auto" w:before="120"/>
        <w:ind w:left="0" w:right="1122"/>
        <w:jc w:val="right"/>
      </w:pPr>
      <w:r>
        <w:rPr>
          <w:spacing w:val="-2"/>
        </w:rPr>
        <w:t>单位：万元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864"/>
        <w:gridCol w:w="864"/>
        <w:gridCol w:w="879"/>
        <w:gridCol w:w="869"/>
        <w:gridCol w:w="869"/>
        <w:gridCol w:w="869"/>
        <w:gridCol w:w="874"/>
        <w:gridCol w:w="869"/>
        <w:gridCol w:w="869"/>
        <w:gridCol w:w="869"/>
        <w:gridCol w:w="874"/>
      </w:tblGrid>
      <w:tr>
        <w:trPr>
          <w:trHeight w:val="1652" w:hRule="exact"/>
        </w:trPr>
        <w:tc>
          <w:tcPr>
            <w:tcW w:w="8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2"/>
                <w:szCs w:val="22"/>
              </w:rPr>
            </w:pPr>
          </w:p>
          <w:p>
            <w:pPr>
              <w:pStyle w:val="TableParagraph"/>
              <w:spacing w:line="316" w:lineRule="auto"/>
              <w:ind w:left="340" w:right="152" w:hanging="183"/>
              <w:jc w:val="left"/>
              <w:rPr>
                <w:rFonts w:ascii="宋体" w:hAnsi="宋体" w:cs="宋体" w:eastAsia="宋体" w:hint="default"/>
                <w:sz w:val="18"/>
                <w:szCs w:val="18"/>
              </w:rPr>
            </w:pPr>
            <w:r>
              <w:rPr>
                <w:rFonts w:ascii="宋体" w:hAnsi="宋体" w:cs="宋体" w:eastAsia="宋体" w:hint="default"/>
                <w:sz w:val="18"/>
                <w:szCs w:val="18"/>
              </w:rPr>
              <w:t>募集年</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份</w:t>
            </w:r>
          </w:p>
        </w:tc>
        <w:tc>
          <w:tcPr>
            <w:tcW w:w="8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2"/>
                <w:szCs w:val="22"/>
              </w:rPr>
            </w:pPr>
          </w:p>
          <w:p>
            <w:pPr>
              <w:pStyle w:val="TableParagraph"/>
              <w:spacing w:line="316" w:lineRule="auto"/>
              <w:ind w:left="340" w:right="151" w:hanging="183"/>
              <w:jc w:val="left"/>
              <w:rPr>
                <w:rFonts w:ascii="宋体" w:hAnsi="宋体" w:cs="宋体" w:eastAsia="宋体" w:hint="default"/>
                <w:sz w:val="18"/>
                <w:szCs w:val="18"/>
              </w:rPr>
            </w:pPr>
            <w:r>
              <w:rPr>
                <w:rFonts w:ascii="宋体" w:hAnsi="宋体" w:cs="宋体" w:eastAsia="宋体" w:hint="default"/>
                <w:sz w:val="18"/>
                <w:szCs w:val="18"/>
              </w:rPr>
              <w:t>募集方</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式</w:t>
            </w:r>
          </w:p>
        </w:tc>
        <w:tc>
          <w:tcPr>
            <w:tcW w:w="8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2"/>
                <w:szCs w:val="22"/>
              </w:rPr>
            </w:pPr>
          </w:p>
          <w:p>
            <w:pPr>
              <w:pStyle w:val="TableParagraph"/>
              <w:spacing w:line="316" w:lineRule="auto"/>
              <w:ind w:left="168" w:right="156"/>
              <w:jc w:val="left"/>
              <w:rPr>
                <w:rFonts w:ascii="宋体" w:hAnsi="宋体" w:cs="宋体" w:eastAsia="宋体" w:hint="default"/>
                <w:sz w:val="18"/>
                <w:szCs w:val="18"/>
              </w:rPr>
            </w:pPr>
            <w:r>
              <w:rPr>
                <w:rFonts w:ascii="宋体" w:hAnsi="宋体" w:cs="宋体" w:eastAsia="宋体" w:hint="default"/>
                <w:sz w:val="18"/>
                <w:szCs w:val="18"/>
              </w:rPr>
              <w:t>募集资</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金总额</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16" w:lineRule="auto"/>
              <w:ind w:left="163" w:right="152"/>
              <w:jc w:val="both"/>
              <w:rPr>
                <w:rFonts w:ascii="宋体" w:hAnsi="宋体" w:cs="宋体" w:eastAsia="宋体" w:hint="default"/>
                <w:sz w:val="18"/>
                <w:szCs w:val="18"/>
              </w:rPr>
            </w:pPr>
            <w:r>
              <w:rPr>
                <w:rFonts w:ascii="宋体" w:hAnsi="宋体" w:cs="宋体" w:eastAsia="宋体" w:hint="default"/>
                <w:sz w:val="18"/>
                <w:szCs w:val="18"/>
              </w:rPr>
              <w:t>本期已</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使用募</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集资金</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总额</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16" w:lineRule="auto"/>
              <w:ind w:left="163" w:right="151"/>
              <w:jc w:val="both"/>
              <w:rPr>
                <w:rFonts w:ascii="宋体" w:hAnsi="宋体" w:cs="宋体" w:eastAsia="宋体" w:hint="default"/>
                <w:sz w:val="18"/>
                <w:szCs w:val="18"/>
              </w:rPr>
            </w:pPr>
            <w:r>
              <w:rPr>
                <w:rFonts w:ascii="宋体" w:hAnsi="宋体" w:cs="宋体" w:eastAsia="宋体" w:hint="default"/>
                <w:sz w:val="18"/>
                <w:szCs w:val="18"/>
              </w:rPr>
              <w:t>已累计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使用募</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集资金</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总额</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163" w:right="151"/>
              <w:jc w:val="both"/>
              <w:rPr>
                <w:rFonts w:ascii="宋体" w:hAnsi="宋体" w:cs="宋体" w:eastAsia="宋体" w:hint="default"/>
                <w:sz w:val="18"/>
                <w:szCs w:val="18"/>
              </w:rPr>
            </w:pPr>
            <w:r>
              <w:rPr>
                <w:rFonts w:ascii="宋体" w:hAnsi="宋体" w:cs="宋体" w:eastAsia="宋体" w:hint="default"/>
                <w:sz w:val="18"/>
                <w:szCs w:val="18"/>
              </w:rPr>
              <w:t>报告期</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内变更</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用途的</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募集资</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金总额</w:t>
            </w:r>
          </w:p>
        </w:tc>
        <w:tc>
          <w:tcPr>
            <w:tcW w:w="8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163" w:right="156"/>
              <w:jc w:val="center"/>
              <w:rPr>
                <w:rFonts w:ascii="宋体" w:hAnsi="宋体" w:cs="宋体" w:eastAsia="宋体" w:hint="default"/>
                <w:sz w:val="18"/>
                <w:szCs w:val="18"/>
              </w:rPr>
            </w:pPr>
            <w:r>
              <w:rPr>
                <w:rFonts w:ascii="宋体" w:hAnsi="宋体" w:cs="宋体" w:eastAsia="宋体" w:hint="default"/>
                <w:spacing w:val="-2"/>
                <w:sz w:val="18"/>
                <w:szCs w:val="18"/>
              </w:rPr>
              <w:t>累计变</w:t>
            </w:r>
            <w:r>
              <w:rPr>
                <w:rFonts w:ascii="宋体" w:hAnsi="宋体" w:cs="宋体" w:eastAsia="宋体" w:hint="default"/>
                <w:w w:val="101"/>
                <w:sz w:val="18"/>
                <w:szCs w:val="18"/>
              </w:rPr>
              <w:t> </w:t>
            </w:r>
            <w:r>
              <w:rPr>
                <w:rFonts w:ascii="宋体" w:hAnsi="宋体" w:cs="宋体" w:eastAsia="宋体" w:hint="default"/>
                <w:spacing w:val="-2"/>
                <w:sz w:val="18"/>
                <w:szCs w:val="18"/>
              </w:rPr>
              <w:t>更用途</w:t>
            </w:r>
            <w:r>
              <w:rPr>
                <w:rFonts w:ascii="宋体" w:hAnsi="宋体" w:cs="宋体" w:eastAsia="宋体" w:hint="default"/>
                <w:w w:val="101"/>
                <w:sz w:val="18"/>
                <w:szCs w:val="18"/>
              </w:rPr>
              <w:t> </w:t>
            </w:r>
            <w:r>
              <w:rPr>
                <w:rFonts w:ascii="宋体" w:hAnsi="宋体" w:cs="宋体" w:eastAsia="宋体" w:hint="default"/>
                <w:spacing w:val="-2"/>
                <w:sz w:val="18"/>
                <w:szCs w:val="18"/>
              </w:rPr>
              <w:t>的募集</w:t>
            </w:r>
            <w:r>
              <w:rPr>
                <w:rFonts w:ascii="宋体" w:hAnsi="宋体" w:cs="宋体" w:eastAsia="宋体" w:hint="default"/>
                <w:w w:val="101"/>
                <w:sz w:val="18"/>
                <w:szCs w:val="18"/>
              </w:rPr>
              <w:t> </w:t>
            </w:r>
            <w:r>
              <w:rPr>
                <w:rFonts w:ascii="宋体" w:hAnsi="宋体" w:cs="宋体" w:eastAsia="宋体" w:hint="default"/>
                <w:spacing w:val="-2"/>
                <w:sz w:val="18"/>
                <w:szCs w:val="18"/>
              </w:rPr>
              <w:t>资金总</w:t>
            </w:r>
            <w:r>
              <w:rPr>
                <w:rFonts w:ascii="宋体" w:hAnsi="宋体" w:cs="宋体" w:eastAsia="宋体" w:hint="default"/>
                <w:w w:val="101"/>
                <w:sz w:val="18"/>
                <w:szCs w:val="18"/>
              </w:rPr>
              <w:t> </w:t>
            </w:r>
            <w:r>
              <w:rPr>
                <w:rFonts w:ascii="宋体" w:hAnsi="宋体" w:cs="宋体" w:eastAsia="宋体" w:hint="default"/>
                <w:sz w:val="18"/>
                <w:szCs w:val="18"/>
              </w:rPr>
              <w:t>额</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158" w:right="156"/>
              <w:jc w:val="both"/>
              <w:rPr>
                <w:rFonts w:ascii="宋体" w:hAnsi="宋体" w:cs="宋体" w:eastAsia="宋体" w:hint="default"/>
                <w:sz w:val="18"/>
                <w:szCs w:val="18"/>
              </w:rPr>
            </w:pPr>
            <w:r>
              <w:rPr>
                <w:rFonts w:ascii="宋体" w:hAnsi="宋体" w:cs="宋体" w:eastAsia="宋体" w:hint="default"/>
                <w:sz w:val="18"/>
                <w:szCs w:val="18"/>
              </w:rPr>
              <w:t>累计变</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更用途</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的募集</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资金总</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额比例</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16" w:lineRule="auto"/>
              <w:ind w:left="163" w:right="151"/>
              <w:jc w:val="center"/>
              <w:rPr>
                <w:rFonts w:ascii="宋体" w:hAnsi="宋体" w:cs="宋体" w:eastAsia="宋体" w:hint="default"/>
                <w:sz w:val="18"/>
                <w:szCs w:val="18"/>
              </w:rPr>
            </w:pPr>
            <w:r>
              <w:rPr>
                <w:rFonts w:ascii="宋体" w:hAnsi="宋体" w:cs="宋体" w:eastAsia="宋体" w:hint="default"/>
                <w:spacing w:val="-2"/>
                <w:sz w:val="18"/>
                <w:szCs w:val="18"/>
              </w:rPr>
              <w:t>尚未使</w:t>
            </w:r>
            <w:r>
              <w:rPr>
                <w:rFonts w:ascii="宋体" w:hAnsi="宋体" w:cs="宋体" w:eastAsia="宋体" w:hint="default"/>
                <w:w w:val="101"/>
                <w:sz w:val="18"/>
                <w:szCs w:val="18"/>
              </w:rPr>
              <w:t> </w:t>
            </w:r>
            <w:r>
              <w:rPr>
                <w:rFonts w:ascii="宋体" w:hAnsi="宋体" w:cs="宋体" w:eastAsia="宋体" w:hint="default"/>
                <w:spacing w:val="-2"/>
                <w:sz w:val="18"/>
                <w:szCs w:val="18"/>
              </w:rPr>
              <w:t>用募集</w:t>
            </w:r>
            <w:r>
              <w:rPr>
                <w:rFonts w:ascii="宋体" w:hAnsi="宋体" w:cs="宋体" w:eastAsia="宋体" w:hint="default"/>
                <w:w w:val="101"/>
                <w:sz w:val="18"/>
                <w:szCs w:val="18"/>
              </w:rPr>
              <w:t> </w:t>
            </w:r>
            <w:r>
              <w:rPr>
                <w:rFonts w:ascii="宋体" w:hAnsi="宋体" w:cs="宋体" w:eastAsia="宋体" w:hint="default"/>
                <w:spacing w:val="-2"/>
                <w:sz w:val="18"/>
                <w:szCs w:val="18"/>
              </w:rPr>
              <w:t>资金总</w:t>
            </w:r>
            <w:r>
              <w:rPr>
                <w:rFonts w:ascii="宋体" w:hAnsi="宋体" w:cs="宋体" w:eastAsia="宋体" w:hint="default"/>
                <w:w w:val="101"/>
                <w:sz w:val="18"/>
                <w:szCs w:val="18"/>
              </w:rPr>
              <w:t> </w:t>
            </w:r>
            <w:r>
              <w:rPr>
                <w:rFonts w:ascii="宋体" w:hAnsi="宋体" w:cs="宋体" w:eastAsia="宋体" w:hint="default"/>
                <w:sz w:val="18"/>
                <w:szCs w:val="18"/>
              </w:rPr>
              <w:t>额</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163" w:right="151"/>
              <w:jc w:val="center"/>
              <w:rPr>
                <w:rFonts w:ascii="宋体" w:hAnsi="宋体" w:cs="宋体" w:eastAsia="宋体" w:hint="default"/>
                <w:sz w:val="18"/>
                <w:szCs w:val="18"/>
              </w:rPr>
            </w:pPr>
            <w:r>
              <w:rPr>
                <w:rFonts w:ascii="宋体" w:hAnsi="宋体" w:cs="宋体" w:eastAsia="宋体" w:hint="default"/>
                <w:spacing w:val="-2"/>
                <w:sz w:val="18"/>
                <w:szCs w:val="18"/>
              </w:rPr>
              <w:t>尚未使</w:t>
            </w:r>
            <w:r>
              <w:rPr>
                <w:rFonts w:ascii="宋体" w:hAnsi="宋体" w:cs="宋体" w:eastAsia="宋体" w:hint="default"/>
                <w:w w:val="101"/>
                <w:sz w:val="18"/>
                <w:szCs w:val="18"/>
              </w:rPr>
              <w:t> </w:t>
            </w:r>
            <w:r>
              <w:rPr>
                <w:rFonts w:ascii="宋体" w:hAnsi="宋体" w:cs="宋体" w:eastAsia="宋体" w:hint="default"/>
                <w:spacing w:val="-2"/>
                <w:sz w:val="18"/>
                <w:szCs w:val="18"/>
              </w:rPr>
              <w:t>用募集</w:t>
            </w:r>
            <w:r>
              <w:rPr>
                <w:rFonts w:ascii="宋体" w:hAnsi="宋体" w:cs="宋体" w:eastAsia="宋体" w:hint="default"/>
                <w:w w:val="101"/>
                <w:sz w:val="18"/>
                <w:szCs w:val="18"/>
              </w:rPr>
              <w:t> </w:t>
            </w:r>
            <w:r>
              <w:rPr>
                <w:rFonts w:ascii="宋体" w:hAnsi="宋体" w:cs="宋体" w:eastAsia="宋体" w:hint="default"/>
                <w:spacing w:val="-2"/>
                <w:sz w:val="18"/>
                <w:szCs w:val="18"/>
              </w:rPr>
              <w:t>资金用</w:t>
            </w:r>
            <w:r>
              <w:rPr>
                <w:rFonts w:ascii="宋体" w:hAnsi="宋体" w:cs="宋体" w:eastAsia="宋体" w:hint="default"/>
                <w:w w:val="101"/>
                <w:sz w:val="18"/>
                <w:szCs w:val="18"/>
              </w:rPr>
              <w:t> </w:t>
            </w:r>
            <w:r>
              <w:rPr>
                <w:rFonts w:ascii="宋体" w:hAnsi="宋体" w:cs="宋体" w:eastAsia="宋体" w:hint="default"/>
                <w:spacing w:val="-2"/>
                <w:sz w:val="18"/>
                <w:szCs w:val="18"/>
              </w:rPr>
              <w:t>途及去</w:t>
            </w:r>
            <w:r>
              <w:rPr>
                <w:rFonts w:ascii="宋体" w:hAnsi="宋体" w:cs="宋体" w:eastAsia="宋体" w:hint="default"/>
                <w:w w:val="101"/>
                <w:sz w:val="18"/>
                <w:szCs w:val="18"/>
              </w:rPr>
              <w:t> </w:t>
            </w:r>
            <w:r>
              <w:rPr>
                <w:rFonts w:ascii="宋体" w:hAnsi="宋体" w:cs="宋体" w:eastAsia="宋体" w:hint="default"/>
                <w:sz w:val="18"/>
                <w:szCs w:val="18"/>
              </w:rPr>
              <w:t>向</w:t>
            </w:r>
          </w:p>
        </w:tc>
        <w:tc>
          <w:tcPr>
            <w:tcW w:w="8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16" w:lineRule="auto"/>
              <w:ind w:left="163" w:right="156"/>
              <w:jc w:val="both"/>
              <w:rPr>
                <w:rFonts w:ascii="宋体" w:hAnsi="宋体" w:cs="宋体" w:eastAsia="宋体" w:hint="default"/>
                <w:sz w:val="18"/>
                <w:szCs w:val="18"/>
              </w:rPr>
            </w:pPr>
            <w:r>
              <w:rPr>
                <w:rFonts w:ascii="宋体" w:hAnsi="宋体" w:cs="宋体" w:eastAsia="宋体" w:hint="default"/>
                <w:sz w:val="18"/>
                <w:szCs w:val="18"/>
              </w:rPr>
              <w:t>闲置两</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年以上</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募集资</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金金额</w:t>
            </w:r>
          </w:p>
        </w:tc>
      </w:tr>
      <w:tr>
        <w:trPr>
          <w:trHeight w:val="715"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05" w:right="0"/>
              <w:jc w:val="left"/>
              <w:rPr>
                <w:rFonts w:ascii="Times New Roman" w:hAnsi="Times New Roman" w:cs="Times New Roman" w:eastAsia="Times New Roman" w:hint="default"/>
                <w:sz w:val="18"/>
                <w:szCs w:val="18"/>
              </w:rPr>
            </w:pPr>
            <w:r>
              <w:rPr>
                <w:rFonts w:ascii="Times New Roman"/>
                <w:sz w:val="18"/>
              </w:rPr>
              <w:t>2017</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105" w:right="204"/>
              <w:jc w:val="left"/>
              <w:rPr>
                <w:rFonts w:ascii="宋体" w:hAnsi="宋体" w:cs="宋体" w:eastAsia="宋体" w:hint="default"/>
                <w:sz w:val="18"/>
                <w:szCs w:val="18"/>
              </w:rPr>
            </w:pPr>
            <w:r>
              <w:rPr>
                <w:rFonts w:ascii="宋体" w:hAnsi="宋体" w:cs="宋体" w:eastAsia="宋体" w:hint="default"/>
                <w:sz w:val="18"/>
                <w:szCs w:val="18"/>
              </w:rPr>
              <w:t>非公开</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发行</w:t>
            </w:r>
          </w:p>
        </w:tc>
        <w:tc>
          <w:tcPr>
            <w:tcW w:w="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14,360.1</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w w:val="101"/>
                <w:sz w:val="18"/>
              </w:rPr>
              <w:t>3</w:t>
            </w:r>
            <w:r>
              <w:rPr>
                <w:rFonts w:ascii="Times New Roman"/>
                <w:sz w:val="18"/>
              </w:rPr>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64" w:right="0"/>
              <w:jc w:val="left"/>
              <w:rPr>
                <w:rFonts w:ascii="Times New Roman" w:hAnsi="Times New Roman" w:cs="Times New Roman" w:eastAsia="Times New Roman" w:hint="default"/>
                <w:sz w:val="18"/>
                <w:szCs w:val="18"/>
              </w:rPr>
            </w:pPr>
            <w:r>
              <w:rPr>
                <w:rFonts w:ascii="Times New Roman"/>
                <w:sz w:val="18"/>
              </w:rPr>
              <w:t>731.98</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10,214.7</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w w:val="101"/>
                <w:sz w:val="18"/>
              </w:rPr>
              <w:t>9</w:t>
            </w:r>
            <w:r>
              <w:rPr>
                <w:rFonts w:ascii="Times New Roman"/>
                <w:sz w:val="18"/>
              </w:rPr>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88" w:right="0"/>
              <w:jc w:val="left"/>
              <w:rPr>
                <w:rFonts w:ascii="Times New Roman" w:hAnsi="Times New Roman" w:cs="Times New Roman" w:eastAsia="Times New Roman" w:hint="default"/>
                <w:sz w:val="18"/>
                <w:szCs w:val="18"/>
              </w:rPr>
            </w:pPr>
            <w:r>
              <w:rPr>
                <w:rFonts w:ascii="Times New Roman"/>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30" w:right="0"/>
              <w:jc w:val="left"/>
              <w:rPr>
                <w:rFonts w:ascii="Times New Roman" w:hAnsi="Times New Roman" w:cs="Times New Roman" w:eastAsia="Times New Roman" w:hint="default"/>
                <w:sz w:val="18"/>
                <w:szCs w:val="18"/>
              </w:rPr>
            </w:pPr>
            <w:r>
              <w:rPr>
                <w:rFonts w:ascii="Times New Roman"/>
                <w:sz w:val="18"/>
              </w:rPr>
              <w:t>4,584.18</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73"/>
              <w:ind w:left="105" w:right="209"/>
              <w:jc w:val="left"/>
              <w:rPr>
                <w:rFonts w:ascii="宋体" w:hAnsi="宋体" w:cs="宋体" w:eastAsia="宋体" w:hint="default"/>
                <w:sz w:val="18"/>
                <w:szCs w:val="18"/>
              </w:rPr>
            </w:pPr>
            <w:r>
              <w:rPr>
                <w:rFonts w:ascii="宋体" w:hAnsi="宋体" w:cs="宋体" w:eastAsia="宋体" w:hint="default"/>
                <w:sz w:val="18"/>
                <w:szCs w:val="18"/>
              </w:rPr>
              <w:t>部分暂</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时补充</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29" w:right="0"/>
              <w:jc w:val="left"/>
              <w:rPr>
                <w:rFonts w:ascii="Times New Roman" w:hAnsi="Times New Roman" w:cs="Times New Roman" w:eastAsia="Times New Roman" w:hint="default"/>
                <w:sz w:val="18"/>
                <w:szCs w:val="18"/>
              </w:rPr>
            </w:pPr>
            <w:r>
              <w:rPr>
                <w:rFonts w:ascii="Times New Roman"/>
                <w:sz w:val="18"/>
              </w:rPr>
              <w:t>4,584.18</w:t>
            </w:r>
          </w:p>
        </w:tc>
      </w:tr>
    </w:tbl>
    <w:p>
      <w:pPr>
        <w:spacing w:after="0" w:line="240" w:lineRule="auto"/>
        <w:jc w:val="left"/>
        <w:rPr>
          <w:rFonts w:ascii="Times New Roman" w:hAnsi="Times New Roman" w:cs="Times New Roman" w:eastAsia="Times New Roman" w:hint="default"/>
          <w:sz w:val="18"/>
          <w:szCs w:val="18"/>
        </w:rPr>
        <w:sectPr>
          <w:pgSz w:w="11910" w:h="16840"/>
          <w:pgMar w:header="784" w:footer="1022" w:top="1100" w:bottom="1220" w:left="980" w:right="0"/>
        </w:sectPr>
      </w:pPr>
    </w:p>
    <w:p>
      <w:pPr>
        <w:spacing w:line="240" w:lineRule="auto" w:before="7"/>
        <w:rPr>
          <w:rFonts w:ascii="宋体" w:hAnsi="宋体" w:cs="宋体" w:eastAsia="宋体" w:hint="default"/>
          <w:sz w:val="25"/>
          <w:szCs w:val="25"/>
        </w:rPr>
      </w:pPr>
    </w:p>
    <w:tbl>
      <w:tblPr>
        <w:tblW w:w="0" w:type="auto"/>
        <w:jc w:val="left"/>
        <w:tblInd w:w="148" w:type="dxa"/>
        <w:tblLayout w:type="fixed"/>
        <w:tblCellMar>
          <w:top w:w="0" w:type="dxa"/>
          <w:left w:w="0" w:type="dxa"/>
          <w:bottom w:w="0" w:type="dxa"/>
          <w:right w:w="0" w:type="dxa"/>
        </w:tblCellMar>
        <w:tblLook w:val="01E0"/>
      </w:tblPr>
      <w:tblGrid>
        <w:gridCol w:w="864"/>
        <w:gridCol w:w="864"/>
        <w:gridCol w:w="879"/>
        <w:gridCol w:w="869"/>
        <w:gridCol w:w="869"/>
        <w:gridCol w:w="869"/>
        <w:gridCol w:w="874"/>
        <w:gridCol w:w="869"/>
        <w:gridCol w:w="869"/>
        <w:gridCol w:w="869"/>
        <w:gridCol w:w="874"/>
      </w:tblGrid>
      <w:tr>
        <w:trPr>
          <w:trHeight w:val="1609" w:hRule="exact"/>
        </w:trPr>
        <w:tc>
          <w:tcPr>
            <w:tcW w:w="864"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87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105" w:right="94"/>
              <w:jc w:val="left"/>
              <w:rPr>
                <w:rFonts w:ascii="宋体" w:hAnsi="宋体" w:cs="宋体" w:eastAsia="宋体" w:hint="default"/>
                <w:sz w:val="18"/>
                <w:szCs w:val="18"/>
              </w:rPr>
            </w:pPr>
            <w:r>
              <w:rPr>
                <w:rFonts w:ascii="宋体" w:hAnsi="宋体" w:cs="宋体" w:eastAsia="宋体" w:hint="default"/>
                <w:sz w:val="18"/>
                <w:szCs w:val="18"/>
              </w:rPr>
              <w:t>流动资</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19"/>
                <w:sz w:val="18"/>
                <w:szCs w:val="18"/>
              </w:rPr>
              <w:t>金；部分</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存于募</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集资金</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账户</w:t>
            </w:r>
          </w:p>
        </w:tc>
        <w:tc>
          <w:tcPr>
            <w:tcW w:w="874"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8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14,360.1</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3</w:t>
            </w:r>
            <w:r>
              <w:rPr>
                <w:rFonts w:ascii="Times New Roman"/>
                <w:sz w:val="18"/>
              </w:rPr>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264" w:right="0"/>
              <w:jc w:val="left"/>
              <w:rPr>
                <w:rFonts w:ascii="Times New Roman" w:hAnsi="Times New Roman" w:cs="Times New Roman" w:eastAsia="Times New Roman" w:hint="default"/>
                <w:sz w:val="18"/>
                <w:szCs w:val="18"/>
              </w:rPr>
            </w:pPr>
            <w:r>
              <w:rPr>
                <w:rFonts w:ascii="Times New Roman"/>
                <w:sz w:val="18"/>
              </w:rPr>
              <w:t>731.98</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10,214.7</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9</w:t>
            </w:r>
            <w:r>
              <w:rPr>
                <w:rFonts w:ascii="Times New Roman"/>
                <w:sz w:val="18"/>
              </w:rPr>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288" w:right="0"/>
              <w:jc w:val="left"/>
              <w:rPr>
                <w:rFonts w:ascii="Times New Roman" w:hAnsi="Times New Roman" w:cs="Times New Roman" w:eastAsia="Times New Roman" w:hint="default"/>
                <w:sz w:val="18"/>
                <w:szCs w:val="18"/>
              </w:rPr>
            </w:pPr>
            <w:r>
              <w:rPr>
                <w:rFonts w:ascii="Times New Roman"/>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30" w:right="0"/>
              <w:jc w:val="left"/>
              <w:rPr>
                <w:rFonts w:ascii="Times New Roman" w:hAnsi="Times New Roman" w:cs="Times New Roman" w:eastAsia="Times New Roman" w:hint="default"/>
                <w:sz w:val="18"/>
                <w:szCs w:val="18"/>
              </w:rPr>
            </w:pPr>
            <w:r>
              <w:rPr>
                <w:rFonts w:ascii="Times New Roman"/>
                <w:sz w:val="18"/>
              </w:rPr>
              <w:t>4,584.18</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3"/>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29" w:right="0"/>
              <w:jc w:val="left"/>
              <w:rPr>
                <w:rFonts w:ascii="Times New Roman" w:hAnsi="Times New Roman" w:cs="Times New Roman" w:eastAsia="Times New Roman" w:hint="default"/>
                <w:sz w:val="18"/>
                <w:szCs w:val="18"/>
              </w:rPr>
            </w:pPr>
            <w:r>
              <w:rPr>
                <w:rFonts w:ascii="Times New Roman"/>
                <w:sz w:val="18"/>
              </w:rPr>
              <w:t>4,584.18</w:t>
            </w:r>
          </w:p>
        </w:tc>
      </w:tr>
      <w:tr>
        <w:trPr>
          <w:trHeight w:val="403" w:hRule="exact"/>
        </w:trPr>
        <w:tc>
          <w:tcPr>
            <w:tcW w:w="9570"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pacing w:val="-3"/>
                <w:sz w:val="18"/>
                <w:szCs w:val="18"/>
              </w:rPr>
              <w:t>募集资金总体使用情况说明</w:t>
            </w:r>
          </w:p>
        </w:tc>
      </w:tr>
      <w:tr>
        <w:trPr>
          <w:trHeight w:val="4773" w:hRule="exact"/>
        </w:trPr>
        <w:tc>
          <w:tcPr>
            <w:tcW w:w="9570" w:type="dxa"/>
            <w:gridSpan w:val="11"/>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公司本次募集配套资金总额为 </w:t>
            </w:r>
            <w:r>
              <w:rPr>
                <w:rFonts w:ascii="Times New Roman" w:hAnsi="Times New Roman" w:cs="Times New Roman" w:eastAsia="Times New Roman" w:hint="default"/>
                <w:sz w:val="18"/>
                <w:szCs w:val="18"/>
              </w:rPr>
              <w:t>143,601,291.54 </w:t>
            </w:r>
            <w:r>
              <w:rPr>
                <w:rFonts w:ascii="Times New Roman" w:hAnsi="Times New Roman" w:cs="Times New Roman" w:eastAsia="Times New Roman" w:hint="default"/>
                <w:spacing w:val="40"/>
                <w:sz w:val="18"/>
                <w:szCs w:val="18"/>
              </w:rPr>
              <w:t> </w:t>
            </w:r>
            <w:r>
              <w:rPr>
                <w:rFonts w:ascii="宋体" w:hAnsi="宋体" w:cs="宋体" w:eastAsia="宋体" w:hint="default"/>
                <w:spacing w:val="-3"/>
                <w:sz w:val="18"/>
                <w:szCs w:val="18"/>
              </w:rPr>
              <w:t>元。根据公司《发行股份及支付现金购买资产并募集配套资金报告书（修</w:t>
            </w:r>
          </w:p>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pacing w:val="-3"/>
                <w:sz w:val="18"/>
                <w:szCs w:val="18"/>
              </w:rPr>
              <w:t>订稿）》关于募集配套资金安排的规定，公司支付本次现金对价 </w:t>
            </w:r>
            <w:r>
              <w:rPr>
                <w:rFonts w:ascii="Times New Roman" w:hAnsi="Times New Roman" w:cs="Times New Roman" w:eastAsia="Times New Roman" w:hint="default"/>
                <w:sz w:val="18"/>
                <w:szCs w:val="18"/>
              </w:rPr>
              <w:t>75,000,000.00 </w:t>
            </w:r>
            <w:r>
              <w:rPr>
                <w:rFonts w:ascii="宋体" w:hAnsi="宋体" w:cs="宋体" w:eastAsia="宋体" w:hint="default"/>
                <w:sz w:val="18"/>
                <w:szCs w:val="18"/>
              </w:rPr>
              <w:t>元，支付本次发行的承销费用 </w:t>
            </w:r>
            <w:r>
              <w:rPr>
                <w:rFonts w:ascii="Times New Roman" w:hAnsi="Times New Roman" w:cs="Times New Roman" w:eastAsia="Times New Roman" w:hint="default"/>
                <w:sz w:val="18"/>
                <w:szCs w:val="18"/>
              </w:rPr>
              <w:t>200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万元，</w:t>
            </w:r>
          </w:p>
          <w:p>
            <w:pPr>
              <w:pStyle w:val="TableParagraph"/>
              <w:spacing w:line="240" w:lineRule="auto" w:before="63"/>
              <w:ind w:left="105" w:right="0"/>
              <w:jc w:val="left"/>
              <w:rPr>
                <w:rFonts w:ascii="宋体" w:hAnsi="宋体" w:cs="宋体" w:eastAsia="宋体" w:hint="default"/>
                <w:sz w:val="18"/>
                <w:szCs w:val="18"/>
              </w:rPr>
            </w:pPr>
            <w:r>
              <w:rPr>
                <w:rFonts w:ascii="宋体" w:hAnsi="宋体" w:cs="宋体" w:eastAsia="宋体" w:hint="default"/>
                <w:spacing w:val="-3"/>
                <w:sz w:val="18"/>
                <w:szCs w:val="18"/>
              </w:rPr>
              <w:t>公司置换先行支付的中介机构费和其他发行费用 </w:t>
            </w:r>
            <w:r>
              <w:rPr>
                <w:rFonts w:ascii="Times New Roman" w:hAnsi="Times New Roman" w:cs="Times New Roman" w:eastAsia="Times New Roman" w:hint="default"/>
                <w:sz w:val="18"/>
                <w:szCs w:val="18"/>
              </w:rPr>
              <w:t>570.00  </w:t>
            </w:r>
            <w:r>
              <w:rPr>
                <w:rFonts w:ascii="Times New Roman" w:hAnsi="Times New Roman" w:cs="Times New Roman" w:eastAsia="Times New Roman" w:hint="default"/>
                <w:spacing w:val="11"/>
                <w:sz w:val="18"/>
                <w:szCs w:val="18"/>
              </w:rPr>
              <w:t> </w:t>
            </w:r>
            <w:r>
              <w:rPr>
                <w:rFonts w:ascii="宋体" w:hAnsi="宋体" w:cs="宋体" w:eastAsia="宋体" w:hint="default"/>
                <w:spacing w:val="-5"/>
                <w:sz w:val="18"/>
                <w:szCs w:val="18"/>
              </w:rPr>
              <w:t>万元，向公司全资子公司深圳市千百辉照明工程有限公司（以下</w:t>
            </w:r>
          </w:p>
          <w:p>
            <w:pPr>
              <w:pStyle w:val="TableParagraph"/>
              <w:spacing w:line="240" w:lineRule="auto" w:before="63"/>
              <w:ind w:left="10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简称“千百辉”）增资 </w:t>
            </w:r>
            <w:r>
              <w:rPr>
                <w:rFonts w:ascii="Times New Roman" w:hAnsi="Times New Roman" w:cs="Times New Roman" w:eastAsia="Times New Roman" w:hint="default"/>
                <w:sz w:val="18"/>
                <w:szCs w:val="18"/>
              </w:rPr>
              <w:t>60,901,300.00 </w:t>
            </w:r>
            <w:r>
              <w:rPr>
                <w:rFonts w:ascii="Times New Roman" w:hAnsi="Times New Roman" w:cs="Times New Roman" w:eastAsia="Times New Roman" w:hint="default"/>
                <w:spacing w:val="21"/>
                <w:sz w:val="18"/>
                <w:szCs w:val="18"/>
              </w:rPr>
              <w:t> </w:t>
            </w:r>
            <w:r>
              <w:rPr>
                <w:rFonts w:ascii="宋体" w:hAnsi="宋体" w:cs="宋体" w:eastAsia="宋体" w:hint="default"/>
                <w:spacing w:val="-3"/>
                <w:sz w:val="18"/>
                <w:szCs w:val="18"/>
              </w:rPr>
              <w:t>元用于募集资金投资项目建设。为进一步加强募集资金的统一管理和使用，</w:t>
            </w:r>
            <w:r>
              <w:rPr>
                <w:rFonts w:ascii="Times New Roman" w:hAnsi="Times New Roman" w:cs="Times New Roman" w:eastAsia="Times New Roman" w:hint="default"/>
                <w:spacing w:val="-3"/>
                <w:sz w:val="18"/>
                <w:szCs w:val="18"/>
              </w:rPr>
              <w:t>2018</w:t>
            </w:r>
          </w:p>
          <w:p>
            <w:pPr>
              <w:pStyle w:val="TableParagraph"/>
              <w:spacing w:line="240" w:lineRule="auto" w:before="63"/>
              <w:ind w:left="105" w:right="0"/>
              <w:jc w:val="left"/>
              <w:rPr>
                <w:rFonts w:ascii="宋体" w:hAnsi="宋体" w:cs="宋体" w:eastAsia="宋体" w:hint="default"/>
                <w:sz w:val="18"/>
                <w:szCs w:val="18"/>
              </w:rPr>
            </w:pPr>
            <w:r>
              <w:rPr>
                <w:rFonts w:ascii="宋体" w:hAnsi="宋体" w:cs="宋体" w:eastAsia="宋体" w:hint="default"/>
                <w:sz w:val="18"/>
                <w:szCs w:val="18"/>
              </w:rPr>
              <w:t>年 </w:t>
            </w:r>
            <w:r>
              <w:rPr>
                <w:rFonts w:ascii="Times New Roman" w:hAnsi="Times New Roman" w:cs="Times New Roman" w:eastAsia="Times New Roman" w:hint="default"/>
                <w:sz w:val="18"/>
                <w:szCs w:val="18"/>
              </w:rPr>
              <w:t>12  </w:t>
            </w:r>
            <w:r>
              <w:rPr>
                <w:rFonts w:ascii="宋体" w:hAnsi="宋体" w:cs="宋体" w:eastAsia="宋体" w:hint="default"/>
                <w:sz w:val="18"/>
                <w:szCs w:val="18"/>
              </w:rPr>
              <w:t>月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9"/>
                <w:sz w:val="18"/>
                <w:szCs w:val="18"/>
              </w:rPr>
              <w:t> </w:t>
            </w:r>
            <w:r>
              <w:rPr>
                <w:rFonts w:ascii="宋体" w:hAnsi="宋体" w:cs="宋体" w:eastAsia="宋体" w:hint="default"/>
                <w:spacing w:val="-3"/>
                <w:sz w:val="18"/>
                <w:szCs w:val="18"/>
              </w:rPr>
              <w:t>日召开第三届董事会三十四次会议，审议通过了《关于募集资金监管专户销户的议案》，本公司将存放于公</w:t>
            </w:r>
          </w:p>
          <w:p>
            <w:pPr>
              <w:pStyle w:val="TableParagraph"/>
              <w:spacing w:line="240" w:lineRule="auto" w:before="63"/>
              <w:ind w:left="105" w:right="0"/>
              <w:jc w:val="left"/>
              <w:rPr>
                <w:rFonts w:ascii="宋体" w:hAnsi="宋体" w:cs="宋体" w:eastAsia="宋体" w:hint="default"/>
                <w:sz w:val="18"/>
                <w:szCs w:val="18"/>
              </w:rPr>
            </w:pPr>
            <w:r>
              <w:rPr>
                <w:rFonts w:ascii="宋体" w:hAnsi="宋体" w:cs="宋体" w:eastAsia="宋体" w:hint="default"/>
                <w:sz w:val="18"/>
                <w:szCs w:val="18"/>
              </w:rPr>
              <w:t>司募集资金专项账户（账号为：</w:t>
            </w:r>
            <w:r>
              <w:rPr>
                <w:rFonts w:ascii="Times New Roman" w:hAnsi="Times New Roman" w:cs="Times New Roman" w:eastAsia="Times New Roman" w:hint="default"/>
                <w:sz w:val="18"/>
                <w:szCs w:val="18"/>
              </w:rPr>
              <w:t>7559 0517 4810 </w:t>
            </w:r>
            <w:r>
              <w:rPr>
                <w:rFonts w:ascii="Times New Roman" w:hAnsi="Times New Roman" w:cs="Times New Roman" w:eastAsia="Times New Roman" w:hint="default"/>
                <w:spacing w:val="-3"/>
                <w:sz w:val="18"/>
                <w:szCs w:val="18"/>
              </w:rPr>
              <w:t>801</w:t>
            </w:r>
            <w:r>
              <w:rPr>
                <w:rFonts w:ascii="宋体" w:hAnsi="宋体" w:cs="宋体" w:eastAsia="宋体" w:hint="default"/>
                <w:spacing w:val="-3"/>
                <w:sz w:val="18"/>
                <w:szCs w:val="18"/>
              </w:rPr>
              <w:t>）的全部剩余募集资金约 </w:t>
            </w:r>
            <w:r>
              <w:rPr>
                <w:rFonts w:ascii="Times New Roman" w:hAnsi="Times New Roman" w:cs="Times New Roman" w:eastAsia="Times New Roman" w:hint="default"/>
                <w:sz w:val="18"/>
                <w:szCs w:val="18"/>
              </w:rPr>
              <w:t>9.29  </w:t>
            </w:r>
            <w:r>
              <w:rPr>
                <w:rFonts w:ascii="宋体" w:hAnsi="宋体" w:cs="宋体" w:eastAsia="宋体" w:hint="default"/>
                <w:spacing w:val="-3"/>
                <w:sz w:val="18"/>
                <w:szCs w:val="18"/>
              </w:rPr>
              <w:t>万元（包括由此产生的利息收入）划</w:t>
            </w:r>
          </w:p>
          <w:p>
            <w:pPr>
              <w:pStyle w:val="TableParagraph"/>
              <w:spacing w:line="240" w:lineRule="auto" w:before="63"/>
              <w:ind w:left="105" w:right="0"/>
              <w:jc w:val="left"/>
              <w:rPr>
                <w:rFonts w:ascii="宋体" w:hAnsi="宋体" w:cs="宋体" w:eastAsia="宋体" w:hint="default"/>
                <w:sz w:val="18"/>
                <w:szCs w:val="18"/>
              </w:rPr>
            </w:pPr>
            <w:r>
              <w:rPr>
                <w:rFonts w:ascii="宋体" w:hAnsi="宋体" w:cs="宋体" w:eastAsia="宋体" w:hint="default"/>
                <w:spacing w:val="-4"/>
                <w:sz w:val="18"/>
                <w:szCs w:val="18"/>
              </w:rPr>
              <w:t>转至千百辉募集资金专项账户（账号为：</w:t>
            </w:r>
            <w:r>
              <w:rPr>
                <w:rFonts w:ascii="Times New Roman" w:hAnsi="Times New Roman" w:cs="Times New Roman" w:eastAsia="Times New Roman" w:hint="default"/>
                <w:spacing w:val="-4"/>
                <w:sz w:val="18"/>
                <w:szCs w:val="18"/>
              </w:rPr>
              <w:t>7559  </w:t>
            </w:r>
            <w:r>
              <w:rPr>
                <w:rFonts w:ascii="Times New Roman" w:hAnsi="Times New Roman" w:cs="Times New Roman" w:eastAsia="Times New Roman" w:hint="default"/>
                <w:sz w:val="18"/>
                <w:szCs w:val="18"/>
              </w:rPr>
              <w:t>0172  9910 </w:t>
            </w:r>
            <w:r>
              <w:rPr>
                <w:rFonts w:ascii="Times New Roman" w:hAnsi="Times New Roman" w:cs="Times New Roman" w:eastAsia="Times New Roman" w:hint="default"/>
                <w:spacing w:val="19"/>
                <w:sz w:val="18"/>
                <w:szCs w:val="18"/>
              </w:rPr>
              <w:t> </w:t>
            </w:r>
            <w:r>
              <w:rPr>
                <w:rFonts w:ascii="Times New Roman" w:hAnsi="Times New Roman" w:cs="Times New Roman" w:eastAsia="Times New Roman" w:hint="default"/>
                <w:spacing w:val="-4"/>
                <w:sz w:val="18"/>
                <w:szCs w:val="18"/>
              </w:rPr>
              <w:t>303</w:t>
            </w:r>
            <w:r>
              <w:rPr>
                <w:rFonts w:ascii="宋体" w:hAnsi="宋体" w:cs="宋体" w:eastAsia="宋体" w:hint="default"/>
                <w:spacing w:val="-4"/>
                <w:sz w:val="18"/>
                <w:szCs w:val="18"/>
              </w:rPr>
              <w:t>）。公司募集资金专项账户将不再使用，为方便公司资金账</w:t>
            </w:r>
          </w:p>
          <w:p>
            <w:pPr>
              <w:pStyle w:val="TableParagraph"/>
              <w:spacing w:line="240" w:lineRule="auto" w:before="63"/>
              <w:ind w:left="105" w:right="0"/>
              <w:jc w:val="left"/>
              <w:rPr>
                <w:rFonts w:ascii="宋体" w:hAnsi="宋体" w:cs="宋体" w:eastAsia="宋体" w:hint="default"/>
                <w:sz w:val="18"/>
                <w:szCs w:val="18"/>
              </w:rPr>
            </w:pPr>
            <w:r>
              <w:rPr>
                <w:rFonts w:ascii="宋体" w:hAnsi="宋体" w:cs="宋体" w:eastAsia="宋体" w:hint="default"/>
                <w:spacing w:val="-3"/>
                <w:sz w:val="18"/>
                <w:szCs w:val="18"/>
              </w:rPr>
              <w:t>户管理，公司拟注销公司募集资金专项账户（账号为：</w:t>
            </w:r>
            <w:r>
              <w:rPr>
                <w:rFonts w:ascii="Times New Roman" w:hAnsi="Times New Roman" w:cs="Times New Roman" w:eastAsia="Times New Roman" w:hint="default"/>
                <w:spacing w:val="-3"/>
                <w:sz w:val="18"/>
                <w:szCs w:val="18"/>
              </w:rPr>
              <w:t>7559  </w:t>
            </w:r>
            <w:r>
              <w:rPr>
                <w:rFonts w:ascii="Times New Roman" w:hAnsi="Times New Roman" w:cs="Times New Roman" w:eastAsia="Times New Roman" w:hint="default"/>
                <w:sz w:val="18"/>
                <w:szCs w:val="18"/>
              </w:rPr>
              <w:t>0517  4810</w:t>
            </w:r>
            <w:r>
              <w:rPr>
                <w:rFonts w:ascii="Times New Roman" w:hAnsi="Times New Roman" w:cs="Times New Roman" w:eastAsia="Times New Roman" w:hint="default"/>
                <w:spacing w:val="35"/>
                <w:sz w:val="18"/>
                <w:szCs w:val="18"/>
              </w:rPr>
              <w:t> </w:t>
            </w:r>
            <w:r>
              <w:rPr>
                <w:rFonts w:ascii="Times New Roman" w:hAnsi="Times New Roman" w:cs="Times New Roman" w:eastAsia="Times New Roman" w:hint="default"/>
                <w:spacing w:val="-4"/>
                <w:sz w:val="18"/>
                <w:szCs w:val="18"/>
              </w:rPr>
              <w:t>801</w:t>
            </w:r>
            <w:r>
              <w:rPr>
                <w:rFonts w:ascii="宋体" w:hAnsi="宋体" w:cs="宋体" w:eastAsia="宋体" w:hint="default"/>
                <w:spacing w:val="-4"/>
                <w:sz w:val="18"/>
                <w:szCs w:val="18"/>
              </w:rPr>
              <w:t>），该账户注销后，公司、广发证券股份有限</w:t>
            </w:r>
          </w:p>
          <w:p>
            <w:pPr>
              <w:pStyle w:val="TableParagraph"/>
              <w:spacing w:line="309" w:lineRule="auto" w:before="63"/>
              <w:ind w:left="105" w:right="95"/>
              <w:jc w:val="both"/>
              <w:rPr>
                <w:rFonts w:ascii="宋体" w:hAnsi="宋体" w:cs="宋体" w:eastAsia="宋体" w:hint="default"/>
                <w:sz w:val="18"/>
                <w:szCs w:val="18"/>
              </w:rPr>
            </w:pPr>
            <w:r>
              <w:rPr>
                <w:rFonts w:ascii="宋体" w:hAnsi="宋体" w:cs="宋体" w:eastAsia="宋体" w:hint="default"/>
                <w:spacing w:val="-4"/>
                <w:sz w:val="18"/>
                <w:szCs w:val="18"/>
              </w:rPr>
              <w:t>公司及招商银行深圳分行南硅谷支行的三方监管协议方相应终止。</w:t>
            </w:r>
            <w:r>
              <w:rPr>
                <w:rFonts w:ascii="Times New Roman" w:hAnsi="Times New Roman" w:cs="Times New Roman" w:eastAsia="Times New Roman" w:hint="default"/>
                <w:spacing w:val="-4"/>
                <w:sz w:val="18"/>
                <w:szCs w:val="18"/>
              </w:rPr>
              <w:t>2019 </w:t>
            </w:r>
            <w:r>
              <w:rPr>
                <w:rFonts w:ascii="宋体" w:hAnsi="宋体" w:cs="宋体" w:eastAsia="宋体" w:hint="default"/>
                <w:sz w:val="18"/>
                <w:szCs w:val="18"/>
              </w:rPr>
              <w:t>年 </w:t>
            </w:r>
            <w:r>
              <w:rPr>
                <w:rFonts w:ascii="Times New Roman" w:hAnsi="Times New Roman" w:cs="Times New Roman" w:eastAsia="Times New Roman" w:hint="default"/>
                <w:sz w:val="18"/>
                <w:szCs w:val="18"/>
              </w:rPr>
              <w:t>6 </w:t>
            </w:r>
            <w:r>
              <w:rPr>
                <w:rFonts w:ascii="宋体" w:hAnsi="宋体" w:cs="宋体" w:eastAsia="宋体" w:hint="default"/>
                <w:sz w:val="18"/>
                <w:szCs w:val="18"/>
              </w:rPr>
              <w:t>月 </w:t>
            </w:r>
            <w:r>
              <w:rPr>
                <w:rFonts w:ascii="Times New Roman" w:hAnsi="Times New Roman" w:cs="Times New Roman" w:eastAsia="Times New Roman" w:hint="default"/>
                <w:sz w:val="18"/>
                <w:szCs w:val="18"/>
              </w:rPr>
              <w:t>6 </w:t>
            </w:r>
            <w:r>
              <w:rPr>
                <w:rFonts w:ascii="宋体" w:hAnsi="宋体" w:cs="宋体" w:eastAsia="宋体" w:hint="default"/>
                <w:spacing w:val="-6"/>
                <w:sz w:val="18"/>
                <w:szCs w:val="18"/>
              </w:rPr>
              <w:t>日召开的第四届董事会第六次会议，审</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pacing w:val="-3"/>
                <w:sz w:val="18"/>
                <w:szCs w:val="18"/>
              </w:rPr>
              <w:t>议通过了《关于全资子公司使用部分闲置募集资金进行现金管理的议案》。同意公司全资子公司千百辉使用部分闲置募</w:t>
            </w:r>
            <w:r>
              <w:rPr>
                <w:rFonts w:ascii="宋体" w:hAnsi="宋体" w:cs="宋体" w:eastAsia="宋体" w:hint="default"/>
                <w:spacing w:val="55"/>
                <w:sz w:val="18"/>
                <w:szCs w:val="18"/>
              </w:rPr>
              <w:t> </w:t>
            </w:r>
            <w:r>
              <w:rPr>
                <w:rFonts w:ascii="宋体" w:hAnsi="宋体" w:cs="宋体" w:eastAsia="宋体" w:hint="default"/>
                <w:spacing w:val="55"/>
                <w:sz w:val="18"/>
                <w:szCs w:val="18"/>
              </w:rPr>
            </w:r>
            <w:r>
              <w:rPr>
                <w:rFonts w:ascii="宋体" w:hAnsi="宋体" w:cs="宋体" w:eastAsia="宋体" w:hint="default"/>
                <w:spacing w:val="-3"/>
                <w:sz w:val="18"/>
                <w:szCs w:val="18"/>
              </w:rPr>
              <w:t>集资金进行现金管理，最高额度不超过人民币 </w:t>
            </w:r>
            <w:r>
              <w:rPr>
                <w:rFonts w:ascii="Times New Roman" w:hAnsi="Times New Roman" w:cs="Times New Roman" w:eastAsia="Times New Roman" w:hint="default"/>
                <w:sz w:val="18"/>
                <w:szCs w:val="18"/>
              </w:rPr>
              <w:t>6,000.00  </w:t>
            </w:r>
            <w:r>
              <w:rPr>
                <w:rFonts w:ascii="宋体" w:hAnsi="宋体" w:cs="宋体" w:eastAsia="宋体" w:hint="default"/>
                <w:spacing w:val="-3"/>
                <w:sz w:val="18"/>
                <w:szCs w:val="18"/>
              </w:rPr>
              <w:t>万元，现金管理的额度在董事会审议通过之日起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个月内可以</w:t>
            </w:r>
          </w:p>
          <w:p>
            <w:pPr>
              <w:pStyle w:val="TableParagraph"/>
              <w:spacing w:line="300" w:lineRule="auto" w:before="5"/>
              <w:ind w:left="105" w:right="7"/>
              <w:jc w:val="left"/>
              <w:rPr>
                <w:rFonts w:ascii="宋体" w:hAnsi="宋体" w:cs="宋体" w:eastAsia="宋体" w:hint="default"/>
                <w:sz w:val="18"/>
                <w:szCs w:val="18"/>
              </w:rPr>
            </w:pPr>
            <w:r>
              <w:rPr>
                <w:rFonts w:ascii="宋体" w:hAnsi="宋体" w:cs="宋体" w:eastAsia="宋体" w:hint="default"/>
                <w:spacing w:val="-5"/>
                <w:sz w:val="18"/>
                <w:szCs w:val="18"/>
              </w:rPr>
              <w:t>滚动使用。</w:t>
            </w:r>
            <w:r>
              <w:rPr>
                <w:rFonts w:ascii="Times New Roman" w:hAnsi="Times New Roman" w:cs="Times New Roman" w:eastAsia="Times New Roman" w:hint="default"/>
                <w:spacing w:val="-5"/>
                <w:sz w:val="18"/>
                <w:szCs w:val="18"/>
              </w:rPr>
              <w:t>2019 </w:t>
            </w:r>
            <w:r>
              <w:rPr>
                <w:rFonts w:ascii="宋体" w:hAnsi="宋体" w:cs="宋体" w:eastAsia="宋体" w:hint="default"/>
                <w:sz w:val="18"/>
                <w:szCs w:val="18"/>
              </w:rPr>
              <w:t>年 </w:t>
            </w:r>
            <w:r>
              <w:rPr>
                <w:rFonts w:ascii="Times New Roman" w:hAnsi="Times New Roman" w:cs="Times New Roman" w:eastAsia="Times New Roman" w:hint="default"/>
                <w:sz w:val="18"/>
                <w:szCs w:val="18"/>
              </w:rPr>
              <w:t>10 </w:t>
            </w:r>
            <w:r>
              <w:rPr>
                <w:rFonts w:ascii="宋体" w:hAnsi="宋体" w:cs="宋体" w:eastAsia="宋体" w:hint="default"/>
                <w:sz w:val="18"/>
                <w:szCs w:val="18"/>
              </w:rPr>
              <w:t>月 </w:t>
            </w:r>
            <w:r>
              <w:rPr>
                <w:rFonts w:ascii="Times New Roman" w:hAnsi="Times New Roman" w:cs="Times New Roman" w:eastAsia="Times New Roman" w:hint="default"/>
                <w:sz w:val="18"/>
                <w:szCs w:val="18"/>
              </w:rPr>
              <w:t>14 </w:t>
            </w:r>
            <w:r>
              <w:rPr>
                <w:rFonts w:ascii="宋体" w:hAnsi="宋体" w:cs="宋体" w:eastAsia="宋体" w:hint="default"/>
                <w:spacing w:val="-4"/>
                <w:sz w:val="18"/>
                <w:szCs w:val="18"/>
              </w:rPr>
              <w:t>日公司召开第四届董事会第八次会议审议通过了《关于全资子公司使用部分闲置募集资金暂</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pacing w:val="-3"/>
                <w:sz w:val="18"/>
                <w:szCs w:val="18"/>
              </w:rPr>
              <w:t>时补充流动资金的议案》，同意公司全资子公司 千百辉使用闲置募集资金不超过 </w:t>
            </w:r>
            <w:r>
              <w:rPr>
                <w:rFonts w:ascii="Times New Roman" w:hAnsi="Times New Roman" w:cs="Times New Roman" w:eastAsia="Times New Roman" w:hint="default"/>
                <w:sz w:val="18"/>
                <w:szCs w:val="18"/>
              </w:rPr>
              <w:t>4,000.00 </w:t>
            </w:r>
            <w:r>
              <w:rPr>
                <w:rFonts w:ascii="宋体" w:hAnsi="宋体" w:cs="宋体" w:eastAsia="宋体" w:hint="default"/>
                <w:spacing w:val="-3"/>
                <w:sz w:val="18"/>
                <w:szCs w:val="18"/>
              </w:rPr>
              <w:t>万元暂时补充流动资金，使</w:t>
            </w:r>
            <w:r>
              <w:rPr>
                <w:rFonts w:ascii="宋体" w:hAnsi="宋体" w:cs="宋体" w:eastAsia="宋体" w:hint="default"/>
                <w:spacing w:val="9"/>
                <w:sz w:val="18"/>
                <w:szCs w:val="18"/>
              </w:rPr>
              <w:t> </w:t>
            </w:r>
            <w:r>
              <w:rPr>
                <w:rFonts w:ascii="宋体" w:hAnsi="宋体" w:cs="宋体" w:eastAsia="宋体" w:hint="default"/>
                <w:spacing w:val="9"/>
                <w:sz w:val="18"/>
                <w:szCs w:val="18"/>
              </w:rPr>
            </w:r>
            <w:r>
              <w:rPr>
                <w:rFonts w:ascii="宋体" w:hAnsi="宋体" w:cs="宋体" w:eastAsia="宋体" w:hint="default"/>
                <w:spacing w:val="-3"/>
                <w:sz w:val="18"/>
                <w:szCs w:val="18"/>
              </w:rPr>
              <w:t>用期限为自董事会审议通过之日起不超过</w:t>
            </w:r>
            <w:r>
              <w:rPr>
                <w:rFonts w:ascii="宋体" w:hAnsi="宋体" w:cs="宋体" w:eastAsia="宋体" w:hint="default"/>
                <w:spacing w:val="-33"/>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1"/>
                <w:sz w:val="18"/>
                <w:szCs w:val="18"/>
              </w:rPr>
              <w:t> </w:t>
            </w:r>
            <w:r>
              <w:rPr>
                <w:rFonts w:ascii="宋体" w:hAnsi="宋体" w:cs="宋体" w:eastAsia="宋体" w:hint="default"/>
                <w:spacing w:val="-13"/>
                <w:sz w:val="18"/>
                <w:szCs w:val="18"/>
              </w:rPr>
              <w:t>个月。截至</w:t>
            </w:r>
            <w:r>
              <w:rPr>
                <w:rFonts w:ascii="宋体" w:hAnsi="宋体" w:cs="宋体" w:eastAsia="宋体" w:hint="default"/>
                <w:spacing w:val="-34"/>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34"/>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月</w:t>
            </w:r>
            <w:r>
              <w:rPr>
                <w:rFonts w:ascii="宋体" w:hAnsi="宋体" w:cs="宋体" w:eastAsia="宋体" w:hint="default"/>
                <w:spacing w:val="-34"/>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1"/>
                <w:sz w:val="18"/>
                <w:szCs w:val="18"/>
              </w:rPr>
              <w:t> </w:t>
            </w:r>
            <w:r>
              <w:rPr>
                <w:rFonts w:ascii="宋体" w:hAnsi="宋体" w:cs="宋体" w:eastAsia="宋体" w:hint="default"/>
                <w:spacing w:val="-6"/>
                <w:sz w:val="18"/>
                <w:szCs w:val="18"/>
              </w:rPr>
              <w:t>日，千百辉募投项目支出累计为</w:t>
            </w:r>
            <w:r>
              <w:rPr>
                <w:rFonts w:ascii="宋体" w:hAnsi="宋体" w:cs="宋体" w:eastAsia="宋体" w:hint="default"/>
                <w:spacing w:val="-34"/>
                <w:sz w:val="18"/>
                <w:szCs w:val="18"/>
              </w:rPr>
              <w:t> </w:t>
            </w:r>
            <w:r>
              <w:rPr>
                <w:rFonts w:ascii="Times New Roman" w:hAnsi="Times New Roman" w:cs="Times New Roman" w:eastAsia="Times New Roman" w:hint="default"/>
                <w:sz w:val="18"/>
                <w:szCs w:val="18"/>
              </w:rPr>
              <w:t>1,944.79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万元，</w:t>
            </w:r>
          </w:p>
          <w:p>
            <w:pPr>
              <w:pStyle w:val="TableParagraph"/>
              <w:spacing w:line="240" w:lineRule="auto" w:before="17"/>
              <w:ind w:left="105" w:right="0"/>
              <w:jc w:val="left"/>
              <w:rPr>
                <w:rFonts w:ascii="宋体" w:hAnsi="宋体" w:cs="宋体" w:eastAsia="宋体" w:hint="default"/>
                <w:sz w:val="18"/>
                <w:szCs w:val="18"/>
              </w:rPr>
            </w:pPr>
            <w:r>
              <w:rPr>
                <w:rFonts w:ascii="宋体" w:hAnsi="宋体" w:cs="宋体" w:eastAsia="宋体" w:hint="default"/>
                <w:sz w:val="18"/>
                <w:szCs w:val="18"/>
              </w:rPr>
              <w:t>用于暂时补充流动资金 </w:t>
            </w:r>
            <w:r>
              <w:rPr>
                <w:rFonts w:ascii="Times New Roman" w:hAnsi="Times New Roman" w:cs="Times New Roman" w:eastAsia="Times New Roman" w:hint="default"/>
                <w:sz w:val="18"/>
                <w:szCs w:val="18"/>
              </w:rPr>
              <w:t>4,000.00 </w:t>
            </w:r>
            <w:r>
              <w:rPr>
                <w:rFonts w:ascii="宋体" w:hAnsi="宋体" w:cs="宋体" w:eastAsia="宋体" w:hint="default"/>
                <w:spacing w:val="-3"/>
                <w:sz w:val="18"/>
                <w:szCs w:val="18"/>
              </w:rPr>
              <w:t>万元，千百辉募集资金专户余额为 </w:t>
            </w:r>
            <w:r>
              <w:rPr>
                <w:rFonts w:ascii="Times New Roman" w:hAnsi="Times New Roman" w:cs="Times New Roman" w:eastAsia="Times New Roman" w:hint="default"/>
                <w:sz w:val="18"/>
                <w:szCs w:val="18"/>
              </w:rPr>
              <w:t>584.18</w:t>
            </w:r>
            <w:r>
              <w:rPr>
                <w:rFonts w:ascii="Times New Roman" w:hAnsi="Times New Roman" w:cs="Times New Roman" w:eastAsia="Times New Roman" w:hint="default"/>
                <w:spacing w:val="8"/>
                <w:sz w:val="18"/>
                <w:szCs w:val="18"/>
              </w:rPr>
              <w:t> </w:t>
            </w:r>
            <w:r>
              <w:rPr>
                <w:rFonts w:ascii="宋体" w:hAnsi="宋体" w:cs="宋体" w:eastAsia="宋体" w:hint="default"/>
                <w:spacing w:val="-3"/>
                <w:sz w:val="18"/>
                <w:szCs w:val="18"/>
              </w:rPr>
              <w:t>万元（扣除银行手续费后，含利息收入）。</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2）募集资金承诺项目情况" w:id="52"/>
      <w:bookmarkEnd w:id="52"/>
      <w:r>
        <w:rPr>
          <w:b w:val="0"/>
          <w:bCs w:val="0"/>
        </w:rPr>
      </w:r>
      <w:r>
        <w:rPr/>
        <w:t>（</w:t>
      </w:r>
      <w:r>
        <w:rPr>
          <w:rFonts w:ascii="Times New Roman" w:hAnsi="Times New Roman" w:cs="Times New Roman" w:eastAsia="Times New Roman" w:hint="default"/>
        </w:rPr>
        <w:t>2</w:t>
      </w:r>
      <w:r>
        <w:rPr/>
        <w:t>）募集资金承诺项目情况</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right="0"/>
        <w:jc w:val="left"/>
      </w:pPr>
      <w:r>
        <w:rPr/>
        <w:t>√ </w:t>
      </w:r>
      <w:r>
        <w:rPr>
          <w:spacing w:val="-3"/>
        </w:rPr>
        <w:t>适用 </w:t>
      </w:r>
      <w:r>
        <w:rPr/>
        <w:t>□</w:t>
      </w:r>
      <w:r>
        <w:rPr>
          <w:spacing w:val="13"/>
        </w:rPr>
        <w:t> </w:t>
      </w:r>
      <w:r>
        <w:rPr/>
        <w:t>不适用</w:t>
      </w:r>
    </w:p>
    <w:p>
      <w:pPr>
        <w:pStyle w:val="BodyText"/>
        <w:spacing w:line="240" w:lineRule="auto" w:before="115"/>
        <w:ind w:left="0" w:right="1122"/>
        <w:jc w:val="right"/>
      </w:pPr>
      <w:r>
        <w:rPr>
          <w:spacing w:val="-2"/>
        </w:rPr>
        <w:t>单位：万元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772"/>
        <w:gridCol w:w="778"/>
        <w:gridCol w:w="783"/>
        <w:gridCol w:w="778"/>
        <w:gridCol w:w="778"/>
        <w:gridCol w:w="782"/>
        <w:gridCol w:w="778"/>
        <w:gridCol w:w="783"/>
        <w:gridCol w:w="778"/>
        <w:gridCol w:w="783"/>
        <w:gridCol w:w="778"/>
      </w:tblGrid>
      <w:tr>
        <w:trPr>
          <w:trHeight w:val="1649" w:hRule="exact"/>
        </w:trPr>
        <w:tc>
          <w:tcPr>
            <w:tcW w:w="17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321" w:lineRule="auto"/>
              <w:ind w:left="432" w:right="151" w:hanging="269"/>
              <w:jc w:val="left"/>
              <w:rPr>
                <w:rFonts w:ascii="宋体" w:hAnsi="宋体" w:cs="宋体" w:eastAsia="宋体" w:hint="default"/>
                <w:sz w:val="18"/>
                <w:szCs w:val="18"/>
              </w:rPr>
            </w:pPr>
            <w:r>
              <w:rPr>
                <w:rFonts w:ascii="宋体" w:hAnsi="宋体" w:cs="宋体" w:eastAsia="宋体" w:hint="default"/>
                <w:spacing w:val="-2"/>
                <w:sz w:val="18"/>
                <w:szCs w:val="18"/>
              </w:rPr>
              <w:t>承诺投资项目和超</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募资金投向</w:t>
            </w:r>
          </w:p>
        </w:tc>
        <w:tc>
          <w:tcPr>
            <w:tcW w:w="7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3"/>
              <w:ind w:left="110" w:right="113"/>
              <w:jc w:val="center"/>
              <w:rPr>
                <w:rFonts w:ascii="Times New Roman" w:hAnsi="Times New Roman" w:cs="Times New Roman" w:eastAsia="Times New Roman" w:hint="default"/>
                <w:sz w:val="18"/>
                <w:szCs w:val="18"/>
              </w:rPr>
            </w:pPr>
            <w:r>
              <w:rPr>
                <w:rFonts w:ascii="宋体" w:hAnsi="宋体" w:cs="宋体" w:eastAsia="宋体" w:hint="default"/>
                <w:spacing w:val="-2"/>
                <w:sz w:val="18"/>
                <w:szCs w:val="18"/>
              </w:rPr>
              <w:t>是否已</w:t>
            </w:r>
            <w:r>
              <w:rPr>
                <w:rFonts w:ascii="宋体" w:hAnsi="宋体" w:cs="宋体" w:eastAsia="宋体" w:hint="default"/>
                <w:w w:val="101"/>
                <w:sz w:val="18"/>
                <w:szCs w:val="18"/>
              </w:rPr>
              <w:t> </w:t>
            </w:r>
            <w:r>
              <w:rPr>
                <w:rFonts w:ascii="宋体" w:hAnsi="宋体" w:cs="宋体" w:eastAsia="宋体" w:hint="default"/>
                <w:spacing w:val="-2"/>
                <w:sz w:val="18"/>
                <w:szCs w:val="18"/>
              </w:rPr>
              <w:t>变更项</w:t>
            </w:r>
            <w:r>
              <w:rPr>
                <w:rFonts w:ascii="宋体" w:hAnsi="宋体" w:cs="宋体" w:eastAsia="宋体" w:hint="default"/>
                <w:w w:val="101"/>
                <w:sz w:val="18"/>
                <w:szCs w:val="18"/>
              </w:rPr>
              <w:t> </w:t>
            </w:r>
            <w:r>
              <w:rPr>
                <w:rFonts w:ascii="宋体" w:hAnsi="宋体" w:cs="宋体" w:eastAsia="宋体" w:hint="default"/>
                <w:sz w:val="18"/>
                <w:szCs w:val="18"/>
              </w:rPr>
              <w:t>目</w:t>
            </w:r>
            <w:r>
              <w:rPr>
                <w:rFonts w:ascii="Times New Roman" w:hAnsi="Times New Roman" w:cs="Times New Roman" w:eastAsia="Times New Roman" w:hint="default"/>
                <w:sz w:val="18"/>
                <w:szCs w:val="18"/>
              </w:rPr>
              <w:t>(</w:t>
            </w:r>
            <w:r>
              <w:rPr>
                <w:rFonts w:ascii="宋体" w:hAnsi="宋体" w:cs="宋体" w:eastAsia="宋体" w:hint="default"/>
                <w:sz w:val="18"/>
                <w:szCs w:val="18"/>
              </w:rPr>
              <w:t>含</w:t>
            </w:r>
            <w:r>
              <w:rPr>
                <w:rFonts w:ascii="宋体" w:hAnsi="宋体" w:cs="宋体" w:eastAsia="宋体" w:hint="default"/>
                <w:w w:val="101"/>
                <w:sz w:val="18"/>
                <w:szCs w:val="18"/>
              </w:rPr>
              <w:t> </w:t>
            </w:r>
            <w:r>
              <w:rPr>
                <w:rFonts w:ascii="宋体" w:hAnsi="宋体" w:cs="宋体" w:eastAsia="宋体" w:hint="default"/>
                <w:spacing w:val="-2"/>
                <w:sz w:val="18"/>
                <w:szCs w:val="18"/>
              </w:rPr>
              <w:t>部分变</w:t>
            </w:r>
            <w:r>
              <w:rPr>
                <w:rFonts w:ascii="宋体" w:hAnsi="宋体" w:cs="宋体" w:eastAsia="宋体" w:hint="default"/>
                <w:w w:val="101"/>
                <w:sz w:val="18"/>
                <w:szCs w:val="18"/>
              </w:rPr>
              <w:t> </w:t>
            </w:r>
            <w:r>
              <w:rPr>
                <w:rFonts w:ascii="宋体" w:hAnsi="宋体" w:cs="宋体" w:eastAsia="宋体" w:hint="default"/>
                <w:sz w:val="18"/>
                <w:szCs w:val="18"/>
              </w:rPr>
              <w:t>更</w:t>
            </w:r>
            <w:r>
              <w:rPr>
                <w:rFonts w:ascii="Times New Roman" w:hAnsi="Times New Roman" w:cs="Times New Roman" w:eastAsia="Times New Roman" w:hint="default"/>
                <w:sz w:val="18"/>
                <w:szCs w:val="18"/>
              </w:rPr>
              <w:t>)</w:t>
            </w:r>
          </w:p>
        </w:tc>
        <w:tc>
          <w:tcPr>
            <w:tcW w:w="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9" w:lineRule="auto"/>
              <w:ind w:left="115" w:right="113"/>
              <w:jc w:val="center"/>
              <w:rPr>
                <w:rFonts w:ascii="宋体" w:hAnsi="宋体" w:cs="宋体" w:eastAsia="宋体" w:hint="default"/>
                <w:sz w:val="18"/>
                <w:szCs w:val="18"/>
              </w:rPr>
            </w:pPr>
            <w:r>
              <w:rPr>
                <w:rFonts w:ascii="宋体" w:hAnsi="宋体" w:cs="宋体" w:eastAsia="宋体" w:hint="default"/>
                <w:spacing w:val="-2"/>
                <w:sz w:val="18"/>
                <w:szCs w:val="18"/>
              </w:rPr>
              <w:t>募集资</w:t>
            </w:r>
            <w:r>
              <w:rPr>
                <w:rFonts w:ascii="宋体" w:hAnsi="宋体" w:cs="宋体" w:eastAsia="宋体" w:hint="default"/>
                <w:w w:val="101"/>
                <w:sz w:val="18"/>
                <w:szCs w:val="18"/>
              </w:rPr>
              <w:t> </w:t>
            </w:r>
            <w:r>
              <w:rPr>
                <w:rFonts w:ascii="宋体" w:hAnsi="宋体" w:cs="宋体" w:eastAsia="宋体" w:hint="default"/>
                <w:spacing w:val="-2"/>
                <w:sz w:val="18"/>
                <w:szCs w:val="18"/>
              </w:rPr>
              <w:t>金承诺</w:t>
            </w:r>
            <w:r>
              <w:rPr>
                <w:rFonts w:ascii="宋体" w:hAnsi="宋体" w:cs="宋体" w:eastAsia="宋体" w:hint="default"/>
                <w:w w:val="101"/>
                <w:sz w:val="18"/>
                <w:szCs w:val="18"/>
              </w:rPr>
              <w:t> </w:t>
            </w:r>
            <w:r>
              <w:rPr>
                <w:rFonts w:ascii="宋体" w:hAnsi="宋体" w:cs="宋体" w:eastAsia="宋体" w:hint="default"/>
                <w:spacing w:val="-2"/>
                <w:sz w:val="18"/>
                <w:szCs w:val="18"/>
              </w:rPr>
              <w:t>投资总</w:t>
            </w:r>
            <w:r>
              <w:rPr>
                <w:rFonts w:ascii="宋体" w:hAnsi="宋体" w:cs="宋体" w:eastAsia="宋体" w:hint="default"/>
                <w:w w:val="101"/>
                <w:sz w:val="18"/>
                <w:szCs w:val="18"/>
              </w:rPr>
              <w:t> </w:t>
            </w:r>
            <w:r>
              <w:rPr>
                <w:rFonts w:ascii="宋体" w:hAnsi="宋体" w:cs="宋体" w:eastAsia="宋体" w:hint="default"/>
                <w:sz w:val="18"/>
                <w:szCs w:val="18"/>
              </w:rPr>
              <w:t>额</w:t>
            </w:r>
          </w:p>
        </w:tc>
        <w:tc>
          <w:tcPr>
            <w:tcW w:w="7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30"/>
              <w:ind w:left="110" w:right="113"/>
              <w:jc w:val="both"/>
              <w:rPr>
                <w:rFonts w:ascii="Times New Roman" w:hAnsi="Times New Roman" w:cs="Times New Roman" w:eastAsia="Times New Roman" w:hint="default"/>
                <w:sz w:val="18"/>
                <w:szCs w:val="18"/>
              </w:rPr>
            </w:pPr>
            <w:r>
              <w:rPr>
                <w:rFonts w:ascii="宋体" w:hAnsi="宋体" w:cs="宋体" w:eastAsia="宋体" w:hint="default"/>
                <w:sz w:val="18"/>
                <w:szCs w:val="18"/>
              </w:rPr>
              <w:t>调整后</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投资总</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额</w:t>
            </w:r>
            <w:r>
              <w:rPr>
                <w:rFonts w:ascii="Times New Roman" w:hAnsi="Times New Roman" w:cs="Times New Roman" w:eastAsia="Times New Roman" w:hint="default"/>
                <w:sz w:val="18"/>
                <w:szCs w:val="18"/>
              </w:rPr>
              <w:t>(1)</w:t>
            </w:r>
          </w:p>
        </w:tc>
        <w:tc>
          <w:tcPr>
            <w:tcW w:w="7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30"/>
              <w:ind w:left="115" w:right="108"/>
              <w:jc w:val="both"/>
              <w:rPr>
                <w:rFonts w:ascii="宋体" w:hAnsi="宋体" w:cs="宋体" w:eastAsia="宋体" w:hint="default"/>
                <w:sz w:val="18"/>
                <w:szCs w:val="18"/>
              </w:rPr>
            </w:pPr>
            <w:r>
              <w:rPr>
                <w:rFonts w:ascii="宋体" w:hAnsi="宋体" w:cs="宋体" w:eastAsia="宋体" w:hint="default"/>
                <w:sz w:val="18"/>
                <w:szCs w:val="18"/>
              </w:rPr>
              <w:t>本报告</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期投入</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金额</w:t>
            </w:r>
          </w:p>
        </w:tc>
        <w:tc>
          <w:tcPr>
            <w:tcW w:w="7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9" w:lineRule="auto"/>
              <w:ind w:left="115" w:right="113"/>
              <w:jc w:val="both"/>
              <w:rPr>
                <w:rFonts w:ascii="Times New Roman" w:hAnsi="Times New Roman" w:cs="Times New Roman" w:eastAsia="Times New Roman" w:hint="default"/>
                <w:sz w:val="18"/>
                <w:szCs w:val="18"/>
              </w:rPr>
            </w:pPr>
            <w:r>
              <w:rPr>
                <w:rFonts w:ascii="宋体" w:hAnsi="宋体" w:cs="宋体" w:eastAsia="宋体" w:hint="default"/>
                <w:sz w:val="18"/>
                <w:szCs w:val="18"/>
              </w:rPr>
              <w:t>截至期</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末累计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投入金</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额</w:t>
            </w:r>
            <w:r>
              <w:rPr>
                <w:rFonts w:ascii="Times New Roman" w:hAnsi="Times New Roman" w:cs="Times New Roman" w:eastAsia="Times New Roman" w:hint="default"/>
                <w:sz w:val="18"/>
                <w:szCs w:val="18"/>
              </w:rPr>
              <w:t>(2)</w:t>
            </w:r>
          </w:p>
        </w:tc>
        <w:tc>
          <w:tcPr>
            <w:tcW w:w="7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4" w:lineRule="auto" w:before="53"/>
              <w:ind w:left="115" w:right="108"/>
              <w:jc w:val="center"/>
              <w:rPr>
                <w:rFonts w:ascii="Times New Roman" w:hAnsi="Times New Roman" w:cs="Times New Roman" w:eastAsia="Times New Roman" w:hint="default"/>
                <w:sz w:val="18"/>
                <w:szCs w:val="18"/>
              </w:rPr>
            </w:pPr>
            <w:r>
              <w:rPr>
                <w:rFonts w:ascii="宋体" w:hAnsi="宋体" w:cs="宋体" w:eastAsia="宋体" w:hint="default"/>
                <w:spacing w:val="-2"/>
                <w:sz w:val="18"/>
                <w:szCs w:val="18"/>
              </w:rPr>
              <w:t>截至期</w:t>
            </w:r>
            <w:r>
              <w:rPr>
                <w:rFonts w:ascii="宋体" w:hAnsi="宋体" w:cs="宋体" w:eastAsia="宋体" w:hint="default"/>
                <w:w w:val="101"/>
                <w:sz w:val="18"/>
                <w:szCs w:val="18"/>
              </w:rPr>
              <w:t> </w:t>
            </w:r>
            <w:r>
              <w:rPr>
                <w:rFonts w:ascii="宋体" w:hAnsi="宋体" w:cs="宋体" w:eastAsia="宋体" w:hint="default"/>
                <w:spacing w:val="-2"/>
                <w:sz w:val="18"/>
                <w:szCs w:val="18"/>
              </w:rPr>
              <w:t>末投资</w:t>
            </w:r>
            <w:r>
              <w:rPr>
                <w:rFonts w:ascii="宋体" w:hAnsi="宋体" w:cs="宋体" w:eastAsia="宋体" w:hint="default"/>
                <w:w w:val="101"/>
                <w:sz w:val="18"/>
                <w:szCs w:val="18"/>
              </w:rPr>
              <w:t> </w:t>
            </w:r>
            <w:r>
              <w:rPr>
                <w:rFonts w:ascii="宋体" w:hAnsi="宋体" w:cs="宋体" w:eastAsia="宋体" w:hint="default"/>
                <w:sz w:val="18"/>
                <w:szCs w:val="18"/>
              </w:rPr>
              <w:t>进度</w:t>
            </w:r>
            <w:r>
              <w:rPr>
                <w:rFonts w:ascii="宋体" w:hAnsi="宋体" w:cs="宋体" w:eastAsia="宋体" w:hint="default"/>
                <w:w w:val="101"/>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宋体" w:hAnsi="宋体" w:cs="宋体" w:eastAsia="宋体" w:hint="default"/>
                <w:w w:val="101"/>
                <w:sz w:val="18"/>
                <w:szCs w:val="18"/>
              </w:rPr>
              <w:t> </w:t>
            </w:r>
            <w:r>
              <w:rPr>
                <w:rFonts w:ascii="Times New Roman" w:hAnsi="Times New Roman" w:cs="Times New Roman" w:eastAsia="Times New Roman" w:hint="default"/>
                <w:sz w:val="18"/>
                <w:szCs w:val="18"/>
              </w:rPr>
              <w:t>(2)/(1)</w:t>
            </w:r>
          </w:p>
        </w:tc>
        <w:tc>
          <w:tcPr>
            <w:tcW w:w="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115" w:right="113"/>
              <w:jc w:val="center"/>
              <w:rPr>
                <w:rFonts w:ascii="宋体" w:hAnsi="宋体" w:cs="宋体" w:eastAsia="宋体" w:hint="default"/>
                <w:sz w:val="18"/>
                <w:szCs w:val="18"/>
              </w:rPr>
            </w:pPr>
            <w:r>
              <w:rPr>
                <w:rFonts w:ascii="宋体" w:hAnsi="宋体" w:cs="宋体" w:eastAsia="宋体" w:hint="default"/>
                <w:spacing w:val="-2"/>
                <w:sz w:val="18"/>
                <w:szCs w:val="18"/>
              </w:rPr>
              <w:t>项目达</w:t>
            </w:r>
            <w:r>
              <w:rPr>
                <w:rFonts w:ascii="宋体" w:hAnsi="宋体" w:cs="宋体" w:eastAsia="宋体" w:hint="default"/>
                <w:w w:val="101"/>
                <w:sz w:val="18"/>
                <w:szCs w:val="18"/>
              </w:rPr>
              <w:t> </w:t>
            </w:r>
            <w:r>
              <w:rPr>
                <w:rFonts w:ascii="宋体" w:hAnsi="宋体" w:cs="宋体" w:eastAsia="宋体" w:hint="default"/>
                <w:spacing w:val="-2"/>
                <w:sz w:val="18"/>
                <w:szCs w:val="18"/>
              </w:rPr>
              <w:t>到预定</w:t>
            </w:r>
            <w:r>
              <w:rPr>
                <w:rFonts w:ascii="宋体" w:hAnsi="宋体" w:cs="宋体" w:eastAsia="宋体" w:hint="default"/>
                <w:w w:val="101"/>
                <w:sz w:val="18"/>
                <w:szCs w:val="18"/>
              </w:rPr>
              <w:t> </w:t>
            </w:r>
            <w:r>
              <w:rPr>
                <w:rFonts w:ascii="宋体" w:hAnsi="宋体" w:cs="宋体" w:eastAsia="宋体" w:hint="default"/>
                <w:spacing w:val="-2"/>
                <w:sz w:val="18"/>
                <w:szCs w:val="18"/>
              </w:rPr>
              <w:t>可使用</w:t>
            </w:r>
            <w:r>
              <w:rPr>
                <w:rFonts w:ascii="宋体" w:hAnsi="宋体" w:cs="宋体" w:eastAsia="宋体" w:hint="default"/>
                <w:w w:val="101"/>
                <w:sz w:val="18"/>
                <w:szCs w:val="18"/>
              </w:rPr>
              <w:t> </w:t>
            </w:r>
            <w:r>
              <w:rPr>
                <w:rFonts w:ascii="宋体" w:hAnsi="宋体" w:cs="宋体" w:eastAsia="宋体" w:hint="default"/>
                <w:spacing w:val="-2"/>
                <w:sz w:val="18"/>
                <w:szCs w:val="18"/>
              </w:rPr>
              <w:t>状态日</w:t>
            </w:r>
            <w:r>
              <w:rPr>
                <w:rFonts w:ascii="宋体" w:hAnsi="宋体" w:cs="宋体" w:eastAsia="宋体" w:hint="default"/>
                <w:w w:val="101"/>
                <w:sz w:val="18"/>
                <w:szCs w:val="18"/>
              </w:rPr>
              <w:t> </w:t>
            </w:r>
            <w:r>
              <w:rPr>
                <w:rFonts w:ascii="宋体" w:hAnsi="宋体" w:cs="宋体" w:eastAsia="宋体" w:hint="default"/>
                <w:sz w:val="18"/>
                <w:szCs w:val="18"/>
              </w:rPr>
              <w:t>期</w:t>
            </w:r>
          </w:p>
        </w:tc>
        <w:tc>
          <w:tcPr>
            <w:tcW w:w="7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30"/>
              <w:ind w:left="115" w:right="108"/>
              <w:jc w:val="both"/>
              <w:rPr>
                <w:rFonts w:ascii="宋体" w:hAnsi="宋体" w:cs="宋体" w:eastAsia="宋体" w:hint="default"/>
                <w:sz w:val="18"/>
                <w:szCs w:val="18"/>
              </w:rPr>
            </w:pPr>
            <w:r>
              <w:rPr>
                <w:rFonts w:ascii="宋体" w:hAnsi="宋体" w:cs="宋体" w:eastAsia="宋体" w:hint="default"/>
                <w:sz w:val="18"/>
                <w:szCs w:val="18"/>
              </w:rPr>
              <w:t>本报告</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期实现</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的效益</w:t>
            </w:r>
          </w:p>
        </w:tc>
        <w:tc>
          <w:tcPr>
            <w:tcW w:w="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30"/>
              <w:ind w:left="115" w:right="113"/>
              <w:jc w:val="both"/>
              <w:rPr>
                <w:rFonts w:ascii="宋体" w:hAnsi="宋体" w:cs="宋体" w:eastAsia="宋体" w:hint="default"/>
                <w:sz w:val="18"/>
                <w:szCs w:val="18"/>
              </w:rPr>
            </w:pPr>
            <w:r>
              <w:rPr>
                <w:rFonts w:ascii="宋体" w:hAnsi="宋体" w:cs="宋体" w:eastAsia="宋体" w:hint="default"/>
                <w:sz w:val="18"/>
                <w:szCs w:val="18"/>
              </w:rPr>
              <w:t>是否达</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到预计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效益</w:t>
            </w:r>
          </w:p>
        </w:tc>
        <w:tc>
          <w:tcPr>
            <w:tcW w:w="7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115" w:right="108"/>
              <w:jc w:val="center"/>
              <w:rPr>
                <w:rFonts w:ascii="宋体" w:hAnsi="宋体" w:cs="宋体" w:eastAsia="宋体" w:hint="default"/>
                <w:sz w:val="18"/>
                <w:szCs w:val="18"/>
              </w:rPr>
            </w:pPr>
            <w:r>
              <w:rPr>
                <w:rFonts w:ascii="宋体" w:hAnsi="宋体" w:cs="宋体" w:eastAsia="宋体" w:hint="default"/>
                <w:spacing w:val="-2"/>
                <w:sz w:val="18"/>
                <w:szCs w:val="18"/>
              </w:rPr>
              <w:t>项目可</w:t>
            </w:r>
            <w:r>
              <w:rPr>
                <w:rFonts w:ascii="宋体" w:hAnsi="宋体" w:cs="宋体" w:eastAsia="宋体" w:hint="default"/>
                <w:w w:val="101"/>
                <w:sz w:val="18"/>
                <w:szCs w:val="18"/>
              </w:rPr>
              <w:t> </w:t>
            </w:r>
            <w:r>
              <w:rPr>
                <w:rFonts w:ascii="宋体" w:hAnsi="宋体" w:cs="宋体" w:eastAsia="宋体" w:hint="default"/>
                <w:spacing w:val="-2"/>
                <w:sz w:val="18"/>
                <w:szCs w:val="18"/>
              </w:rPr>
              <w:t>行性是</w:t>
            </w:r>
            <w:r>
              <w:rPr>
                <w:rFonts w:ascii="宋体" w:hAnsi="宋体" w:cs="宋体" w:eastAsia="宋体" w:hint="default"/>
                <w:w w:val="101"/>
                <w:sz w:val="18"/>
                <w:szCs w:val="18"/>
              </w:rPr>
              <w:t> </w:t>
            </w:r>
            <w:r>
              <w:rPr>
                <w:rFonts w:ascii="宋体" w:hAnsi="宋体" w:cs="宋体" w:eastAsia="宋体" w:hint="default"/>
                <w:spacing w:val="-2"/>
                <w:sz w:val="18"/>
                <w:szCs w:val="18"/>
              </w:rPr>
              <w:t>否发生</w:t>
            </w:r>
            <w:r>
              <w:rPr>
                <w:rFonts w:ascii="宋体" w:hAnsi="宋体" w:cs="宋体" w:eastAsia="宋体" w:hint="default"/>
                <w:w w:val="101"/>
                <w:sz w:val="18"/>
                <w:szCs w:val="18"/>
              </w:rPr>
              <w:t> </w:t>
            </w:r>
            <w:r>
              <w:rPr>
                <w:rFonts w:ascii="宋体" w:hAnsi="宋体" w:cs="宋体" w:eastAsia="宋体" w:hint="default"/>
                <w:spacing w:val="-2"/>
                <w:sz w:val="18"/>
                <w:szCs w:val="18"/>
              </w:rPr>
              <w:t>重大变</w:t>
            </w:r>
            <w:r>
              <w:rPr>
                <w:rFonts w:ascii="宋体" w:hAnsi="宋体" w:cs="宋体" w:eastAsia="宋体" w:hint="default"/>
                <w:w w:val="101"/>
                <w:sz w:val="18"/>
                <w:szCs w:val="18"/>
              </w:rPr>
              <w:t> </w:t>
            </w:r>
            <w:r>
              <w:rPr>
                <w:rFonts w:ascii="宋体" w:hAnsi="宋体" w:cs="宋体" w:eastAsia="宋体" w:hint="default"/>
                <w:sz w:val="18"/>
                <w:szCs w:val="18"/>
              </w:rPr>
              <w:t>化</w:t>
            </w:r>
          </w:p>
        </w:tc>
      </w:tr>
      <w:tr>
        <w:trPr>
          <w:trHeight w:val="401" w:hRule="exact"/>
        </w:trPr>
        <w:tc>
          <w:tcPr>
            <w:tcW w:w="9570"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105" w:right="0"/>
              <w:jc w:val="left"/>
              <w:rPr>
                <w:rFonts w:ascii="宋体" w:hAnsi="宋体" w:cs="宋体" w:eastAsia="宋体" w:hint="default"/>
                <w:sz w:val="18"/>
                <w:szCs w:val="18"/>
              </w:rPr>
            </w:pPr>
            <w:r>
              <w:rPr>
                <w:rFonts w:ascii="宋体" w:hAnsi="宋体" w:cs="宋体" w:eastAsia="宋体" w:hint="default"/>
                <w:sz w:val="18"/>
                <w:szCs w:val="18"/>
              </w:rPr>
              <w:t>承诺投资项目</w:t>
            </w:r>
          </w:p>
        </w:tc>
      </w:tr>
      <w:tr>
        <w:trPr>
          <w:trHeight w:val="715" w:hRule="exact"/>
        </w:trPr>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304" w:lineRule="auto" w:before="53"/>
              <w:ind w:left="105" w:right="118"/>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、支付本次现金对</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z w:val="18"/>
                <w:szCs w:val="18"/>
              </w:rPr>
              <w:t>价</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2"/>
                <w:sz w:val="18"/>
              </w:rPr>
              <w:t>7,500.0</w:t>
            </w:r>
            <w:r>
              <w:rPr>
                <w:rFonts w:ascii="Times New Roman"/>
                <w:sz w:val="18"/>
              </w:rPr>
            </w:r>
          </w:p>
          <w:p>
            <w:pPr>
              <w:pStyle w:val="TableParagraph"/>
              <w:spacing w:line="240" w:lineRule="auto" w:before="110"/>
              <w:ind w:right="104"/>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2"/>
                <w:sz w:val="18"/>
              </w:rPr>
              <w:t>7,500.0</w:t>
            </w:r>
            <w:r>
              <w:rPr>
                <w:rFonts w:ascii="Times New Roman"/>
                <w:sz w:val="18"/>
              </w:rPr>
            </w:r>
          </w:p>
          <w:p>
            <w:pPr>
              <w:pStyle w:val="TableParagraph"/>
              <w:spacing w:line="240" w:lineRule="auto" w:before="110"/>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78"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2"/>
                <w:sz w:val="18"/>
              </w:rPr>
              <w:t>7,500.0</w:t>
            </w:r>
            <w:r>
              <w:rPr>
                <w:rFonts w:ascii="Times New Roman"/>
                <w:sz w:val="18"/>
              </w:rPr>
            </w:r>
          </w:p>
          <w:p>
            <w:pPr>
              <w:pStyle w:val="TableParagraph"/>
              <w:spacing w:line="240" w:lineRule="auto" w:before="110"/>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3"/>
              <w:jc w:val="right"/>
              <w:rPr>
                <w:rFonts w:ascii="Times New Roman" w:hAnsi="Times New Roman" w:cs="Times New Roman" w:eastAsia="Times New Roman" w:hint="default"/>
                <w:sz w:val="18"/>
                <w:szCs w:val="18"/>
              </w:rPr>
            </w:pPr>
            <w:r>
              <w:rPr>
                <w:rFonts w:ascii="Times New Roman"/>
                <w:spacing w:val="-1"/>
                <w:sz w:val="18"/>
              </w:rPr>
              <w:t>100.00</w:t>
            </w:r>
          </w:p>
          <w:p>
            <w:pPr>
              <w:pStyle w:val="TableParagraph"/>
              <w:spacing w:line="240" w:lineRule="auto" w:before="110"/>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783" w:type="dxa"/>
            <w:tcBorders>
              <w:top w:val="single" w:sz="4" w:space="0" w:color="000000"/>
              <w:left w:val="single" w:sz="4" w:space="0" w:color="000000"/>
              <w:bottom w:val="single" w:sz="4" w:space="0" w:color="000000"/>
              <w:right w:val="single" w:sz="4" w:space="0" w:color="000000"/>
            </w:tcBorders>
          </w:tcPr>
          <w:p>
            <w:pP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715" w:hRule="exact"/>
        </w:trPr>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3"/>
              <w:ind w:left="105" w:right="118"/>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、本次交易中介机</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z w:val="18"/>
                <w:szCs w:val="18"/>
              </w:rPr>
              <w:t>构相关费用</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72" w:right="0"/>
              <w:jc w:val="left"/>
              <w:rPr>
                <w:rFonts w:ascii="Times New Roman" w:hAnsi="Times New Roman" w:cs="Times New Roman" w:eastAsia="Times New Roman" w:hint="default"/>
                <w:sz w:val="18"/>
                <w:szCs w:val="18"/>
              </w:rPr>
            </w:pPr>
            <w:r>
              <w:rPr>
                <w:rFonts w:ascii="Times New Roman"/>
                <w:sz w:val="18"/>
              </w:rPr>
              <w:t>770.00</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67" w:right="0"/>
              <w:jc w:val="left"/>
              <w:rPr>
                <w:rFonts w:ascii="Times New Roman" w:hAnsi="Times New Roman" w:cs="Times New Roman" w:eastAsia="Times New Roman" w:hint="default"/>
                <w:sz w:val="18"/>
                <w:szCs w:val="18"/>
              </w:rPr>
            </w:pPr>
            <w:r>
              <w:rPr>
                <w:rFonts w:ascii="Times New Roman"/>
                <w:sz w:val="18"/>
              </w:rPr>
              <w:t>770.00</w:t>
            </w:r>
          </w:p>
        </w:tc>
        <w:tc>
          <w:tcPr>
            <w:tcW w:w="778"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72" w:right="0"/>
              <w:jc w:val="left"/>
              <w:rPr>
                <w:rFonts w:ascii="Times New Roman" w:hAnsi="Times New Roman" w:cs="Times New Roman" w:eastAsia="Times New Roman" w:hint="default"/>
                <w:sz w:val="18"/>
                <w:szCs w:val="18"/>
              </w:rPr>
            </w:pPr>
            <w:r>
              <w:rPr>
                <w:rFonts w:ascii="Times New Roman"/>
                <w:sz w:val="18"/>
              </w:rPr>
              <w:t>770.00</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3"/>
              <w:jc w:val="right"/>
              <w:rPr>
                <w:rFonts w:ascii="Times New Roman" w:hAnsi="Times New Roman" w:cs="Times New Roman" w:eastAsia="Times New Roman" w:hint="default"/>
                <w:sz w:val="18"/>
                <w:szCs w:val="18"/>
              </w:rPr>
            </w:pPr>
            <w:r>
              <w:rPr>
                <w:rFonts w:ascii="Times New Roman"/>
                <w:spacing w:val="-1"/>
                <w:sz w:val="18"/>
              </w:rPr>
              <w:t>100.00</w:t>
            </w:r>
          </w:p>
          <w:p>
            <w:pPr>
              <w:pStyle w:val="TableParagraph"/>
              <w:spacing w:line="240" w:lineRule="auto" w:before="105"/>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783" w:type="dxa"/>
            <w:tcBorders>
              <w:top w:val="single" w:sz="4" w:space="0" w:color="000000"/>
              <w:left w:val="single" w:sz="4" w:space="0" w:color="000000"/>
              <w:bottom w:val="single" w:sz="4" w:space="0" w:color="000000"/>
              <w:right w:val="single" w:sz="4" w:space="0" w:color="000000"/>
            </w:tcBorders>
          </w:tcPr>
          <w:p>
            <w:pP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1023" w:hRule="exact"/>
        </w:trPr>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4"/>
              <w:ind w:left="105" w:right="118"/>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、千百辉智能楼宇</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z w:val="18"/>
                <w:szCs w:val="18"/>
              </w:rPr>
              <w:t>亮化系统研发中心</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建设项目</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1"/>
              <w:ind w:left="100"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6,090.1</w:t>
            </w:r>
          </w:p>
          <w:p>
            <w:pPr>
              <w:pStyle w:val="TableParagraph"/>
              <w:spacing w:line="240" w:lineRule="auto" w:before="110"/>
              <w:ind w:right="104"/>
              <w:jc w:val="right"/>
              <w:rPr>
                <w:rFonts w:ascii="Times New Roman" w:hAnsi="Times New Roman" w:cs="Times New Roman" w:eastAsia="Times New Roman" w:hint="default"/>
                <w:sz w:val="18"/>
                <w:szCs w:val="18"/>
              </w:rPr>
            </w:pPr>
            <w:r>
              <w:rPr>
                <w:rFonts w:ascii="Times New Roman"/>
                <w:w w:val="101"/>
                <w:sz w:val="18"/>
              </w:rPr>
              <w:t>3</w:t>
            </w:r>
            <w:r>
              <w:rPr>
                <w:rFonts w:ascii="Times New Roman"/>
                <w:sz w:val="18"/>
              </w:rPr>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6,090.1</w:t>
            </w:r>
          </w:p>
          <w:p>
            <w:pPr>
              <w:pStyle w:val="TableParagraph"/>
              <w:spacing w:line="240" w:lineRule="auto" w:before="110"/>
              <w:ind w:right="103"/>
              <w:jc w:val="right"/>
              <w:rPr>
                <w:rFonts w:ascii="Times New Roman" w:hAnsi="Times New Roman" w:cs="Times New Roman" w:eastAsia="Times New Roman" w:hint="default"/>
                <w:sz w:val="18"/>
                <w:szCs w:val="18"/>
              </w:rPr>
            </w:pPr>
            <w:r>
              <w:rPr>
                <w:rFonts w:ascii="Times New Roman"/>
                <w:w w:val="101"/>
                <w:sz w:val="18"/>
              </w:rPr>
              <w:t>3</w:t>
            </w:r>
            <w:r>
              <w:rPr>
                <w:rFonts w:ascii="Times New Roman"/>
                <w:sz w:val="18"/>
              </w:rPr>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172" w:right="0"/>
              <w:jc w:val="left"/>
              <w:rPr>
                <w:rFonts w:ascii="Times New Roman" w:hAnsi="Times New Roman" w:cs="Times New Roman" w:eastAsia="Times New Roman" w:hint="default"/>
                <w:sz w:val="18"/>
                <w:szCs w:val="18"/>
              </w:rPr>
            </w:pPr>
            <w:r>
              <w:rPr>
                <w:rFonts w:ascii="Times New Roman"/>
                <w:sz w:val="18"/>
              </w:rPr>
              <w:t>731.98</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1,944.7</w:t>
            </w:r>
          </w:p>
          <w:p>
            <w:pPr>
              <w:pStyle w:val="TableParagraph"/>
              <w:spacing w:line="240" w:lineRule="auto" w:before="110"/>
              <w:ind w:right="103"/>
              <w:jc w:val="right"/>
              <w:rPr>
                <w:rFonts w:ascii="Times New Roman" w:hAnsi="Times New Roman" w:cs="Times New Roman" w:eastAsia="Times New Roman" w:hint="default"/>
                <w:sz w:val="18"/>
                <w:szCs w:val="18"/>
              </w:rPr>
            </w:pPr>
            <w:r>
              <w:rPr>
                <w:rFonts w:ascii="Times New Roman"/>
                <w:w w:val="101"/>
                <w:sz w:val="18"/>
              </w:rPr>
              <w:t>9</w:t>
            </w:r>
            <w:r>
              <w:rPr>
                <w:rFonts w:ascii="Times New Roman"/>
                <w:sz w:val="18"/>
              </w:rPr>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110" w:right="0"/>
              <w:jc w:val="left"/>
              <w:rPr>
                <w:rFonts w:ascii="Times New Roman" w:hAnsi="Times New Roman" w:cs="Times New Roman" w:eastAsia="Times New Roman" w:hint="default"/>
                <w:sz w:val="18"/>
                <w:szCs w:val="18"/>
              </w:rPr>
            </w:pPr>
            <w:r>
              <w:rPr>
                <w:rFonts w:ascii="Times New Roman"/>
                <w:sz w:val="18"/>
              </w:rPr>
              <w:t>31.93%</w:t>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2023</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年</w:t>
            </w:r>
          </w:p>
          <w:p>
            <w:pPr>
              <w:pStyle w:val="TableParagraph"/>
              <w:spacing w:line="240" w:lineRule="auto" w:before="58"/>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7"/>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1"/>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1"/>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bl>
    <w:p>
      <w:pPr>
        <w:spacing w:after="0" w:line="240" w:lineRule="auto"/>
        <w:jc w:val="left"/>
        <w:rPr>
          <w:rFonts w:ascii="宋体" w:hAnsi="宋体" w:cs="宋体" w:eastAsia="宋体" w:hint="default"/>
          <w:sz w:val="18"/>
          <w:szCs w:val="18"/>
        </w:rPr>
        <w:sectPr>
          <w:pgSz w:w="11910" w:h="16840"/>
          <w:pgMar w:header="784" w:footer="1022" w:top="1100" w:bottom="1220" w:left="980" w:right="0"/>
        </w:sectPr>
      </w:pPr>
    </w:p>
    <w:p>
      <w:pPr>
        <w:spacing w:line="240" w:lineRule="auto" w:before="1"/>
        <w:rPr>
          <w:rFonts w:ascii="Times New Roman" w:hAnsi="Times New Roman" w:cs="Times New Roman" w:eastAsia="Times New Roman" w:hint="default"/>
          <w:sz w:val="29"/>
          <w:szCs w:val="29"/>
        </w:rPr>
      </w:pPr>
    </w:p>
    <w:tbl>
      <w:tblPr>
        <w:tblW w:w="0" w:type="auto"/>
        <w:jc w:val="left"/>
        <w:tblInd w:w="148" w:type="dxa"/>
        <w:tblLayout w:type="fixed"/>
        <w:tblCellMar>
          <w:top w:w="0" w:type="dxa"/>
          <w:left w:w="0" w:type="dxa"/>
          <w:bottom w:w="0" w:type="dxa"/>
          <w:right w:w="0" w:type="dxa"/>
        </w:tblCellMar>
        <w:tblLook w:val="01E0"/>
      </w:tblPr>
      <w:tblGrid>
        <w:gridCol w:w="1772"/>
        <w:gridCol w:w="778"/>
        <w:gridCol w:w="783"/>
        <w:gridCol w:w="778"/>
        <w:gridCol w:w="778"/>
        <w:gridCol w:w="782"/>
        <w:gridCol w:w="778"/>
        <w:gridCol w:w="783"/>
        <w:gridCol w:w="780"/>
        <w:gridCol w:w="780"/>
        <w:gridCol w:w="778"/>
      </w:tblGrid>
      <w:tr>
        <w:trPr>
          <w:trHeight w:val="720" w:hRule="exact"/>
        </w:trPr>
        <w:tc>
          <w:tcPr>
            <w:tcW w:w="17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承诺投资项目小计</w:t>
            </w:r>
          </w:p>
        </w:tc>
        <w:tc>
          <w:tcPr>
            <w:tcW w:w="7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7"/>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29" w:right="0"/>
              <w:jc w:val="left"/>
              <w:rPr>
                <w:rFonts w:ascii="Times New Roman" w:hAnsi="Times New Roman" w:cs="Times New Roman" w:eastAsia="Times New Roman" w:hint="default"/>
                <w:sz w:val="18"/>
                <w:szCs w:val="18"/>
              </w:rPr>
            </w:pPr>
            <w:r>
              <w:rPr>
                <w:rFonts w:ascii="Times New Roman"/>
                <w:sz w:val="18"/>
              </w:rPr>
              <w:t>14,360.</w:t>
            </w:r>
          </w:p>
          <w:p>
            <w:pPr>
              <w:pStyle w:val="TableParagraph"/>
              <w:spacing w:line="240" w:lineRule="auto" w:before="105"/>
              <w:ind w:left="489" w:right="0"/>
              <w:jc w:val="left"/>
              <w:rPr>
                <w:rFonts w:ascii="Times New Roman" w:hAnsi="Times New Roman" w:cs="Times New Roman" w:eastAsia="Times New Roman" w:hint="default"/>
                <w:sz w:val="18"/>
                <w:szCs w:val="18"/>
              </w:rPr>
            </w:pPr>
            <w:r>
              <w:rPr>
                <w:rFonts w:ascii="Times New Roman"/>
                <w:sz w:val="18"/>
              </w:rPr>
              <w:t>13</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24" w:right="0"/>
              <w:jc w:val="left"/>
              <w:rPr>
                <w:rFonts w:ascii="Times New Roman" w:hAnsi="Times New Roman" w:cs="Times New Roman" w:eastAsia="Times New Roman" w:hint="default"/>
                <w:sz w:val="18"/>
                <w:szCs w:val="18"/>
              </w:rPr>
            </w:pPr>
            <w:r>
              <w:rPr>
                <w:rFonts w:ascii="Times New Roman"/>
                <w:sz w:val="18"/>
              </w:rPr>
              <w:t>14,360.</w:t>
            </w:r>
          </w:p>
          <w:p>
            <w:pPr>
              <w:pStyle w:val="TableParagraph"/>
              <w:spacing w:line="240" w:lineRule="auto" w:before="105"/>
              <w:ind w:left="484" w:right="0"/>
              <w:jc w:val="left"/>
              <w:rPr>
                <w:rFonts w:ascii="Times New Roman" w:hAnsi="Times New Roman" w:cs="Times New Roman" w:eastAsia="Times New Roman" w:hint="default"/>
                <w:sz w:val="18"/>
                <w:szCs w:val="18"/>
              </w:rPr>
            </w:pPr>
            <w:r>
              <w:rPr>
                <w:rFonts w:ascii="Times New Roman"/>
                <w:sz w:val="18"/>
              </w:rPr>
              <w:t>13</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731.98</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29" w:right="0"/>
              <w:jc w:val="left"/>
              <w:rPr>
                <w:rFonts w:ascii="Times New Roman" w:hAnsi="Times New Roman" w:cs="Times New Roman" w:eastAsia="Times New Roman" w:hint="default"/>
                <w:sz w:val="18"/>
                <w:szCs w:val="18"/>
              </w:rPr>
            </w:pPr>
            <w:r>
              <w:rPr>
                <w:rFonts w:ascii="Times New Roman"/>
                <w:sz w:val="18"/>
              </w:rPr>
              <w:t>10,214.</w:t>
            </w:r>
          </w:p>
          <w:p>
            <w:pPr>
              <w:pStyle w:val="TableParagraph"/>
              <w:spacing w:line="240" w:lineRule="auto" w:before="105"/>
              <w:ind w:left="489" w:right="0"/>
              <w:jc w:val="left"/>
              <w:rPr>
                <w:rFonts w:ascii="Times New Roman" w:hAnsi="Times New Roman" w:cs="Times New Roman" w:eastAsia="Times New Roman" w:hint="default"/>
                <w:sz w:val="18"/>
                <w:szCs w:val="18"/>
              </w:rPr>
            </w:pPr>
            <w:r>
              <w:rPr>
                <w:rFonts w:ascii="Times New Roman"/>
                <w:sz w:val="18"/>
              </w:rPr>
              <w:t>79</w:t>
            </w:r>
          </w:p>
        </w:tc>
        <w:tc>
          <w:tcPr>
            <w:tcW w:w="7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326" w:right="0"/>
              <w:jc w:val="left"/>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4"/>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7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r>
        <w:trPr>
          <w:trHeight w:val="394" w:hRule="exact"/>
        </w:trPr>
        <w:tc>
          <w:tcPr>
            <w:tcW w:w="9570"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超募资金投向</w:t>
            </w:r>
          </w:p>
        </w:tc>
      </w:tr>
      <w:tr>
        <w:trPr>
          <w:trHeight w:val="403" w:hRule="exact"/>
        </w:trPr>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5" w:right="0"/>
              <w:jc w:val="lef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78" w:type="dxa"/>
            <w:tcBorders>
              <w:top w:val="single" w:sz="4" w:space="0" w:color="000000"/>
              <w:left w:val="single" w:sz="4" w:space="0" w:color="000000"/>
              <w:bottom w:val="single" w:sz="4" w:space="0" w:color="000000"/>
              <w:right w:val="single" w:sz="4" w:space="0" w:color="000000"/>
            </w:tcBorders>
          </w:tcPr>
          <w:p>
            <w:pPr/>
          </w:p>
        </w:tc>
        <w:tc>
          <w:tcPr>
            <w:tcW w:w="783" w:type="dxa"/>
            <w:tcBorders>
              <w:top w:val="single" w:sz="4" w:space="0" w:color="000000"/>
              <w:left w:val="single" w:sz="4" w:space="0" w:color="000000"/>
              <w:bottom w:val="single" w:sz="4" w:space="0" w:color="000000"/>
              <w:right w:val="single" w:sz="4" w:space="0" w:color="000000"/>
            </w:tcBorders>
          </w:tcPr>
          <w:p>
            <w:pPr/>
          </w:p>
        </w:tc>
        <w:tc>
          <w:tcPr>
            <w:tcW w:w="778" w:type="dxa"/>
            <w:tcBorders>
              <w:top w:val="single" w:sz="4" w:space="0" w:color="000000"/>
              <w:left w:val="single" w:sz="4" w:space="0" w:color="000000"/>
              <w:bottom w:val="single" w:sz="4" w:space="0" w:color="000000"/>
              <w:right w:val="single" w:sz="4" w:space="0" w:color="000000"/>
            </w:tcBorders>
          </w:tcPr>
          <w:p>
            <w:pPr/>
          </w:p>
        </w:tc>
        <w:tc>
          <w:tcPr>
            <w:tcW w:w="778"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778" w:type="dxa"/>
            <w:tcBorders>
              <w:top w:val="single" w:sz="4" w:space="0" w:color="000000"/>
              <w:left w:val="single" w:sz="4" w:space="0" w:color="000000"/>
              <w:bottom w:val="single" w:sz="4" w:space="0" w:color="000000"/>
              <w:right w:val="single" w:sz="4" w:space="0" w:color="000000"/>
            </w:tcBorders>
          </w:tcPr>
          <w:p>
            <w:pPr/>
          </w:p>
        </w:tc>
        <w:tc>
          <w:tcPr>
            <w:tcW w:w="783"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7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7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7"/>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29" w:right="0"/>
              <w:jc w:val="left"/>
              <w:rPr>
                <w:rFonts w:ascii="Times New Roman" w:hAnsi="Times New Roman" w:cs="Times New Roman" w:eastAsia="Times New Roman" w:hint="default"/>
                <w:sz w:val="18"/>
                <w:szCs w:val="18"/>
              </w:rPr>
            </w:pPr>
            <w:r>
              <w:rPr>
                <w:rFonts w:ascii="Times New Roman"/>
                <w:sz w:val="18"/>
              </w:rPr>
              <w:t>14,360.</w:t>
            </w:r>
          </w:p>
          <w:p>
            <w:pPr>
              <w:pStyle w:val="TableParagraph"/>
              <w:spacing w:line="240" w:lineRule="auto" w:before="110"/>
              <w:ind w:left="489" w:right="0"/>
              <w:jc w:val="left"/>
              <w:rPr>
                <w:rFonts w:ascii="Times New Roman" w:hAnsi="Times New Roman" w:cs="Times New Roman" w:eastAsia="Times New Roman" w:hint="default"/>
                <w:sz w:val="18"/>
                <w:szCs w:val="18"/>
              </w:rPr>
            </w:pPr>
            <w:r>
              <w:rPr>
                <w:rFonts w:ascii="Times New Roman"/>
                <w:sz w:val="18"/>
              </w:rPr>
              <w:t>13</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24" w:right="0"/>
              <w:jc w:val="left"/>
              <w:rPr>
                <w:rFonts w:ascii="Times New Roman" w:hAnsi="Times New Roman" w:cs="Times New Roman" w:eastAsia="Times New Roman" w:hint="default"/>
                <w:sz w:val="18"/>
                <w:szCs w:val="18"/>
              </w:rPr>
            </w:pPr>
            <w:r>
              <w:rPr>
                <w:rFonts w:ascii="Times New Roman"/>
                <w:sz w:val="18"/>
              </w:rPr>
              <w:t>14,360.</w:t>
            </w:r>
          </w:p>
          <w:p>
            <w:pPr>
              <w:pStyle w:val="TableParagraph"/>
              <w:spacing w:line="240" w:lineRule="auto" w:before="110"/>
              <w:ind w:left="484" w:right="0"/>
              <w:jc w:val="left"/>
              <w:rPr>
                <w:rFonts w:ascii="Times New Roman" w:hAnsi="Times New Roman" w:cs="Times New Roman" w:eastAsia="Times New Roman" w:hint="default"/>
                <w:sz w:val="18"/>
                <w:szCs w:val="18"/>
              </w:rPr>
            </w:pPr>
            <w:r>
              <w:rPr>
                <w:rFonts w:ascii="Times New Roman"/>
                <w:sz w:val="18"/>
              </w:rPr>
              <w:t>13</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731.98</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29" w:right="0"/>
              <w:jc w:val="left"/>
              <w:rPr>
                <w:rFonts w:ascii="Times New Roman" w:hAnsi="Times New Roman" w:cs="Times New Roman" w:eastAsia="Times New Roman" w:hint="default"/>
                <w:sz w:val="18"/>
                <w:szCs w:val="18"/>
              </w:rPr>
            </w:pPr>
            <w:r>
              <w:rPr>
                <w:rFonts w:ascii="Times New Roman"/>
                <w:sz w:val="18"/>
              </w:rPr>
              <w:t>10,214.</w:t>
            </w:r>
          </w:p>
          <w:p>
            <w:pPr>
              <w:pStyle w:val="TableParagraph"/>
              <w:spacing w:line="240" w:lineRule="auto" w:before="110"/>
              <w:ind w:left="489" w:right="0"/>
              <w:jc w:val="left"/>
              <w:rPr>
                <w:rFonts w:ascii="Times New Roman" w:hAnsi="Times New Roman" w:cs="Times New Roman" w:eastAsia="Times New Roman" w:hint="default"/>
                <w:sz w:val="18"/>
                <w:szCs w:val="18"/>
              </w:rPr>
            </w:pPr>
            <w:r>
              <w:rPr>
                <w:rFonts w:ascii="Times New Roman"/>
                <w:sz w:val="18"/>
              </w:rPr>
              <w:t>79</w:t>
            </w:r>
          </w:p>
        </w:tc>
        <w:tc>
          <w:tcPr>
            <w:tcW w:w="7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326" w:right="0"/>
              <w:jc w:val="left"/>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4"/>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7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r>
        <w:trPr>
          <w:trHeight w:val="4149" w:hRule="exact"/>
        </w:trPr>
        <w:tc>
          <w:tcPr>
            <w:tcW w:w="17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319" w:lineRule="auto"/>
              <w:ind w:left="105" w:right="27"/>
              <w:jc w:val="left"/>
              <w:rPr>
                <w:rFonts w:ascii="宋体" w:hAnsi="宋体" w:cs="宋体" w:eastAsia="宋体" w:hint="default"/>
                <w:sz w:val="18"/>
                <w:szCs w:val="18"/>
              </w:rPr>
            </w:pPr>
            <w:r>
              <w:rPr>
                <w:rFonts w:ascii="宋体" w:hAnsi="宋体" w:cs="宋体" w:eastAsia="宋体" w:hint="default"/>
                <w:sz w:val="18"/>
                <w:szCs w:val="18"/>
              </w:rPr>
              <w:t>未达到计划进度或</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预计收益的情况和</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2"/>
                <w:sz w:val="18"/>
                <w:szCs w:val="18"/>
              </w:rPr>
              <w:t>原因（分具体项目）</w:t>
            </w:r>
          </w:p>
        </w:tc>
        <w:tc>
          <w:tcPr>
            <w:tcW w:w="7798" w:type="dxa"/>
            <w:gridSpan w:val="10"/>
            <w:tcBorders>
              <w:top w:val="single" w:sz="4" w:space="0" w:color="000000"/>
              <w:left w:val="single" w:sz="4" w:space="0" w:color="000000"/>
              <w:bottom w:val="single" w:sz="4" w:space="0" w:color="000000"/>
              <w:right w:val="single" w:sz="4" w:space="0" w:color="000000"/>
            </w:tcBorders>
          </w:tcPr>
          <w:p>
            <w:pPr>
              <w:pStyle w:val="TableParagraph"/>
              <w:spacing w:line="312" w:lineRule="auto" w:before="53"/>
              <w:ind w:left="100" w:right="98"/>
              <w:jc w:val="left"/>
              <w:rPr>
                <w:rFonts w:ascii="Times New Roman" w:hAnsi="Times New Roman" w:cs="Times New Roman" w:eastAsia="Times New Roman" w:hint="default"/>
                <w:sz w:val="18"/>
                <w:szCs w:val="18"/>
              </w:rPr>
            </w:pPr>
            <w:r>
              <w:rPr>
                <w:rFonts w:ascii="宋体" w:hAnsi="宋体" w:cs="宋体" w:eastAsia="宋体" w:hint="default"/>
                <w:spacing w:val="-3"/>
                <w:sz w:val="18"/>
                <w:szCs w:val="18"/>
              </w:rPr>
              <w:t>“千百辉智能楼宇亮化系统研发中心建设项目”（以下简称“千百辉项目”）原预定可使用状态</w:t>
            </w:r>
            <w:r>
              <w:rPr>
                <w:rFonts w:ascii="宋体" w:hAnsi="宋体" w:cs="宋体" w:eastAsia="宋体" w:hint="default"/>
                <w:spacing w:val="31"/>
                <w:sz w:val="18"/>
                <w:szCs w:val="18"/>
              </w:rPr>
              <w:t> </w:t>
            </w:r>
            <w:r>
              <w:rPr>
                <w:rFonts w:ascii="宋体" w:hAnsi="宋体" w:cs="宋体" w:eastAsia="宋体" w:hint="default"/>
                <w:spacing w:val="31"/>
                <w:sz w:val="18"/>
                <w:szCs w:val="18"/>
              </w:rPr>
            </w:r>
            <w:r>
              <w:rPr>
                <w:rFonts w:ascii="宋体" w:hAnsi="宋体" w:cs="宋体" w:eastAsia="宋体" w:hint="default"/>
                <w:sz w:val="18"/>
                <w:szCs w:val="18"/>
              </w:rPr>
              <w:t>的日期为</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7"/>
                <w:sz w:val="18"/>
                <w:szCs w:val="18"/>
              </w:rPr>
              <w:t> </w:t>
            </w:r>
            <w:r>
              <w:rPr>
                <w:rFonts w:ascii="宋体" w:hAnsi="宋体" w:cs="宋体" w:eastAsia="宋体" w:hint="default"/>
                <w:spacing w:val="-4"/>
                <w:sz w:val="18"/>
                <w:szCs w:val="18"/>
              </w:rPr>
              <w:t>日，但实际执行过程中受到多方面因素影响，</w:t>
            </w:r>
            <w:r>
              <w:rPr>
                <w:rFonts w:ascii="Times New Roman" w:hAnsi="Times New Roman" w:cs="Times New Roman" w:eastAsia="Times New Roman" w:hint="default"/>
                <w:spacing w:val="-4"/>
                <w:sz w:val="18"/>
                <w:szCs w:val="18"/>
              </w:rPr>
              <w:t>2019</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日公司召开</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3"/>
                <w:sz w:val="18"/>
                <w:szCs w:val="18"/>
              </w:rPr>
              <w:t>第三届董事会第三十五次会议、第三届监事会第二十八次会议，审议通过了《关于调整募集资金</w:t>
            </w:r>
            <w:r>
              <w:rPr>
                <w:rFonts w:ascii="宋体" w:hAnsi="宋体" w:cs="宋体" w:eastAsia="宋体" w:hint="default"/>
                <w:spacing w:val="31"/>
                <w:sz w:val="18"/>
                <w:szCs w:val="18"/>
              </w:rPr>
              <w:t> </w:t>
            </w:r>
            <w:r>
              <w:rPr>
                <w:rFonts w:ascii="宋体" w:hAnsi="宋体" w:cs="宋体" w:eastAsia="宋体" w:hint="default"/>
                <w:spacing w:val="31"/>
                <w:sz w:val="18"/>
                <w:szCs w:val="18"/>
              </w:rPr>
            </w:r>
            <w:r>
              <w:rPr>
                <w:rFonts w:ascii="宋体" w:hAnsi="宋体" w:cs="宋体" w:eastAsia="宋体" w:hint="default"/>
                <w:spacing w:val="-3"/>
                <w:sz w:val="18"/>
                <w:szCs w:val="18"/>
              </w:rPr>
              <w:t>投资项目实施进度的议案》，将“千百辉智能楼宇亮化系统研发中心建设项目”达到预定可使用</w:t>
            </w:r>
            <w:r>
              <w:rPr>
                <w:rFonts w:ascii="宋体" w:hAnsi="宋体" w:cs="宋体" w:eastAsia="宋体" w:hint="default"/>
                <w:spacing w:val="31"/>
                <w:sz w:val="18"/>
                <w:szCs w:val="18"/>
              </w:rPr>
              <w:t> </w:t>
            </w:r>
            <w:r>
              <w:rPr>
                <w:rFonts w:ascii="宋体" w:hAnsi="宋体" w:cs="宋体" w:eastAsia="宋体" w:hint="default"/>
                <w:spacing w:val="31"/>
                <w:sz w:val="18"/>
                <w:szCs w:val="18"/>
              </w:rPr>
            </w:r>
            <w:r>
              <w:rPr>
                <w:rFonts w:ascii="宋体" w:hAnsi="宋体" w:cs="宋体" w:eastAsia="宋体" w:hint="default"/>
                <w:sz w:val="18"/>
                <w:szCs w:val="18"/>
              </w:rPr>
              <w:t>状态的日期由</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日调整至</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pacing w:val="-3"/>
                <w:sz w:val="18"/>
                <w:szCs w:val="18"/>
              </w:rPr>
              <w:t>日公司召开第四届董</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3"/>
                <w:sz w:val="18"/>
                <w:szCs w:val="18"/>
              </w:rPr>
              <w:t>事会第十三次会议、第四届监事会第十一次会议，审议通过了《关于调整募集资金投资项目实施</w:t>
            </w:r>
            <w:r>
              <w:rPr>
                <w:rFonts w:ascii="宋体" w:hAnsi="宋体" w:cs="宋体" w:eastAsia="宋体" w:hint="default"/>
                <w:spacing w:val="31"/>
                <w:sz w:val="18"/>
                <w:szCs w:val="18"/>
              </w:rPr>
              <w:t> </w:t>
            </w:r>
            <w:r>
              <w:rPr>
                <w:rFonts w:ascii="宋体" w:hAnsi="宋体" w:cs="宋体" w:eastAsia="宋体" w:hint="default"/>
                <w:spacing w:val="31"/>
                <w:sz w:val="18"/>
                <w:szCs w:val="18"/>
              </w:rPr>
            </w:r>
            <w:r>
              <w:rPr>
                <w:rFonts w:ascii="宋体" w:hAnsi="宋体" w:cs="宋体" w:eastAsia="宋体" w:hint="default"/>
                <w:spacing w:val="-3"/>
                <w:sz w:val="18"/>
                <w:szCs w:val="18"/>
              </w:rPr>
              <w:t>进度的议案》，将千百辉项目达到预定可使用状态的日期由</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日调整至</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2023</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12</w:t>
            </w:r>
          </w:p>
          <w:p>
            <w:pPr>
              <w:pStyle w:val="TableParagraph"/>
              <w:spacing w:line="314" w:lineRule="auto" w:before="3"/>
              <w:ind w:left="100" w:right="123"/>
              <w:jc w:val="both"/>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日。截至</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2"/>
                <w:sz w:val="18"/>
                <w:szCs w:val="18"/>
              </w:rPr>
              <w:t> </w:t>
            </w:r>
            <w:r>
              <w:rPr>
                <w:rFonts w:ascii="宋体" w:hAnsi="宋体" w:cs="宋体" w:eastAsia="宋体" w:hint="default"/>
                <w:spacing w:val="-3"/>
                <w:sz w:val="18"/>
                <w:szCs w:val="18"/>
              </w:rPr>
              <w:t>日，该项目投资进度为</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32.16%</w:t>
            </w:r>
            <w:r>
              <w:rPr>
                <w:rFonts w:ascii="宋体" w:hAnsi="宋体" w:cs="宋体" w:eastAsia="宋体" w:hint="default"/>
                <w:sz w:val="18"/>
                <w:szCs w:val="18"/>
              </w:rPr>
              <w:t>，预计无法在</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2"/>
                <w:sz w:val="18"/>
                <w:szCs w:val="18"/>
              </w:rPr>
              <w:t> </w:t>
            </w:r>
            <w:r>
              <w:rPr>
                <w:rFonts w:ascii="宋体" w:hAnsi="宋体" w:cs="宋体" w:eastAsia="宋体" w:hint="default"/>
                <w:spacing w:val="-5"/>
                <w:sz w:val="18"/>
                <w:szCs w:val="18"/>
              </w:rPr>
              <w:t>日前</w:t>
            </w:r>
            <w:r>
              <w:rPr>
                <w:rFonts w:ascii="宋体" w:hAnsi="宋体" w:cs="宋体" w:eastAsia="宋体" w:hint="default"/>
                <w:spacing w:val="-85"/>
                <w:sz w:val="18"/>
                <w:szCs w:val="18"/>
              </w:rPr>
              <w:t> </w:t>
            </w:r>
            <w:r>
              <w:rPr>
                <w:rFonts w:ascii="宋体" w:hAnsi="宋体" w:cs="宋体" w:eastAsia="宋体" w:hint="default"/>
                <w:spacing w:val="-3"/>
                <w:sz w:val="18"/>
                <w:szCs w:val="18"/>
              </w:rPr>
              <w:t>达到预定可使用状态。主要原因是由于项目可研报告编制时间较早，后续房地产价格上涨幅度较</w:t>
            </w:r>
            <w:r>
              <w:rPr>
                <w:rFonts w:ascii="宋体" w:hAnsi="宋体" w:cs="宋体" w:eastAsia="宋体" w:hint="default"/>
                <w:spacing w:val="32"/>
                <w:sz w:val="18"/>
                <w:szCs w:val="18"/>
              </w:rPr>
              <w:t> </w:t>
            </w:r>
            <w:r>
              <w:rPr>
                <w:rFonts w:ascii="宋体" w:hAnsi="宋体" w:cs="宋体" w:eastAsia="宋体" w:hint="default"/>
                <w:spacing w:val="32"/>
                <w:sz w:val="18"/>
                <w:szCs w:val="18"/>
              </w:rPr>
            </w:r>
            <w:r>
              <w:rPr>
                <w:rFonts w:ascii="宋体" w:hAnsi="宋体" w:cs="宋体" w:eastAsia="宋体" w:hint="default"/>
                <w:spacing w:val="-3"/>
                <w:sz w:val="18"/>
                <w:szCs w:val="18"/>
              </w:rPr>
              <w:t>大所致，目前公司采取腾用现有办公场所，或临时租用、借用场地、借调现有研发人员等措施解</w:t>
            </w:r>
            <w:r>
              <w:rPr>
                <w:rFonts w:ascii="宋体" w:hAnsi="宋体" w:cs="宋体" w:eastAsia="宋体" w:hint="default"/>
                <w:spacing w:val="31"/>
                <w:sz w:val="18"/>
                <w:szCs w:val="18"/>
              </w:rPr>
              <w:t> </w:t>
            </w:r>
            <w:r>
              <w:rPr>
                <w:rFonts w:ascii="宋体" w:hAnsi="宋体" w:cs="宋体" w:eastAsia="宋体" w:hint="default"/>
                <w:spacing w:val="31"/>
                <w:sz w:val="18"/>
                <w:szCs w:val="18"/>
              </w:rPr>
            </w:r>
            <w:r>
              <w:rPr>
                <w:rFonts w:ascii="宋体" w:hAnsi="宋体" w:cs="宋体" w:eastAsia="宋体" w:hint="default"/>
                <w:spacing w:val="-3"/>
                <w:sz w:val="18"/>
                <w:szCs w:val="18"/>
              </w:rPr>
              <w:t>决相关问题，以保证该项目中相关研发项目的开展。后续公司计划新建总部运营及研发中心并单</w:t>
            </w:r>
            <w:r>
              <w:rPr>
                <w:rFonts w:ascii="宋体" w:hAnsi="宋体" w:cs="宋体" w:eastAsia="宋体" w:hint="default"/>
                <w:spacing w:val="31"/>
                <w:sz w:val="18"/>
                <w:szCs w:val="18"/>
              </w:rPr>
              <w:t> </w:t>
            </w:r>
            <w:r>
              <w:rPr>
                <w:rFonts w:ascii="宋体" w:hAnsi="宋体" w:cs="宋体" w:eastAsia="宋体" w:hint="default"/>
                <w:spacing w:val="31"/>
                <w:sz w:val="18"/>
                <w:szCs w:val="18"/>
              </w:rPr>
            </w:r>
            <w:r>
              <w:rPr>
                <w:rFonts w:ascii="宋体" w:hAnsi="宋体" w:cs="宋体" w:eastAsia="宋体" w:hint="default"/>
                <w:spacing w:val="-3"/>
                <w:sz w:val="18"/>
                <w:szCs w:val="18"/>
              </w:rPr>
              <w:t>独规划合理区域用于本项目的建设，公司尚未使用完毕的募集资金将按照承诺继续投入“千百辉</w:t>
            </w:r>
            <w:r>
              <w:rPr>
                <w:rFonts w:ascii="宋体" w:hAnsi="宋体" w:cs="宋体" w:eastAsia="宋体" w:hint="default"/>
                <w:spacing w:val="31"/>
                <w:sz w:val="18"/>
                <w:szCs w:val="18"/>
              </w:rPr>
              <w:t> </w:t>
            </w:r>
            <w:r>
              <w:rPr>
                <w:rFonts w:ascii="宋体" w:hAnsi="宋体" w:cs="宋体" w:eastAsia="宋体" w:hint="default"/>
                <w:spacing w:val="31"/>
                <w:sz w:val="18"/>
                <w:szCs w:val="18"/>
              </w:rPr>
            </w:r>
            <w:r>
              <w:rPr>
                <w:rFonts w:ascii="宋体" w:hAnsi="宋体" w:cs="宋体" w:eastAsia="宋体" w:hint="default"/>
                <w:spacing w:val="-3"/>
                <w:sz w:val="18"/>
                <w:szCs w:val="18"/>
              </w:rPr>
              <w:t>智能楼宇亮化系统研发中心建设项目”建设中，不存在改变募投项目的情形。</w:t>
            </w:r>
          </w:p>
        </w:tc>
      </w:tr>
      <w:tr>
        <w:trPr>
          <w:trHeight w:val="710" w:hRule="exact"/>
        </w:trPr>
        <w:tc>
          <w:tcPr>
            <w:tcW w:w="17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05" w:right="209"/>
              <w:jc w:val="left"/>
              <w:rPr>
                <w:rFonts w:ascii="宋体" w:hAnsi="宋体" w:cs="宋体" w:eastAsia="宋体" w:hint="default"/>
                <w:sz w:val="18"/>
                <w:szCs w:val="18"/>
              </w:rPr>
            </w:pPr>
            <w:r>
              <w:rPr>
                <w:rFonts w:ascii="宋体" w:hAnsi="宋体" w:cs="宋体" w:eastAsia="宋体" w:hint="default"/>
                <w:spacing w:val="-2"/>
                <w:sz w:val="18"/>
                <w:szCs w:val="18"/>
              </w:rPr>
              <w:t>项目可行性发生重</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pacing w:val="-2"/>
                <w:sz w:val="18"/>
                <w:szCs w:val="18"/>
              </w:rPr>
              <w:t>大变化的情况说明</w:t>
            </w:r>
          </w:p>
        </w:tc>
        <w:tc>
          <w:tcPr>
            <w:tcW w:w="7798"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3" w:hRule="exact"/>
        </w:trPr>
        <w:tc>
          <w:tcPr>
            <w:tcW w:w="177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101"/>
              <w:ind w:left="105" w:right="94"/>
              <w:jc w:val="left"/>
              <w:rPr>
                <w:rFonts w:ascii="宋体" w:hAnsi="宋体" w:cs="宋体" w:eastAsia="宋体" w:hint="default"/>
                <w:sz w:val="18"/>
                <w:szCs w:val="18"/>
              </w:rPr>
            </w:pPr>
            <w:r>
              <w:rPr>
                <w:rFonts w:ascii="宋体" w:hAnsi="宋体" w:cs="宋体" w:eastAsia="宋体" w:hint="default"/>
                <w:spacing w:val="-10"/>
                <w:sz w:val="18"/>
                <w:szCs w:val="18"/>
              </w:rPr>
              <w:t>超募资金的金额、用</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途及使用进展情况</w:t>
            </w:r>
          </w:p>
        </w:tc>
        <w:tc>
          <w:tcPr>
            <w:tcW w:w="7798"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0"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4" w:hRule="exact"/>
        </w:trPr>
        <w:tc>
          <w:tcPr>
            <w:tcW w:w="1772" w:type="dxa"/>
            <w:vMerge/>
            <w:tcBorders>
              <w:left w:val="single" w:sz="4" w:space="0" w:color="000000"/>
              <w:bottom w:val="single" w:sz="4" w:space="0" w:color="000000"/>
              <w:right w:val="single" w:sz="4" w:space="0" w:color="000000"/>
            </w:tcBorders>
            <w:shd w:val="clear" w:color="auto" w:fill="D2D2D2"/>
          </w:tcPr>
          <w:p>
            <w:pPr/>
          </w:p>
        </w:tc>
        <w:tc>
          <w:tcPr>
            <w:tcW w:w="7798" w:type="dxa"/>
            <w:gridSpan w:val="10"/>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77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right="0"/>
              <w:jc w:val="left"/>
              <w:rPr>
                <w:rFonts w:ascii="Times New Roman" w:hAnsi="Times New Roman" w:cs="Times New Roman" w:eastAsia="Times New Roman" w:hint="default"/>
                <w:sz w:val="25"/>
                <w:szCs w:val="25"/>
              </w:rPr>
            </w:pPr>
          </w:p>
          <w:p>
            <w:pPr>
              <w:pStyle w:val="TableParagraph"/>
              <w:spacing w:line="321" w:lineRule="auto"/>
              <w:ind w:left="105" w:right="209"/>
              <w:jc w:val="left"/>
              <w:rPr>
                <w:rFonts w:ascii="宋体" w:hAnsi="宋体" w:cs="宋体" w:eastAsia="宋体" w:hint="default"/>
                <w:sz w:val="18"/>
                <w:szCs w:val="18"/>
              </w:rPr>
            </w:pPr>
            <w:r>
              <w:rPr>
                <w:rFonts w:ascii="宋体" w:hAnsi="宋体" w:cs="宋体" w:eastAsia="宋体" w:hint="default"/>
                <w:spacing w:val="-2"/>
                <w:sz w:val="18"/>
                <w:szCs w:val="18"/>
              </w:rPr>
              <w:t>募集资金投资项目</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pacing w:val="-2"/>
                <w:sz w:val="18"/>
                <w:szCs w:val="18"/>
              </w:rPr>
              <w:t>实施地点变更情况</w:t>
            </w:r>
          </w:p>
        </w:tc>
        <w:tc>
          <w:tcPr>
            <w:tcW w:w="7798"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398" w:hRule="exact"/>
        </w:trPr>
        <w:tc>
          <w:tcPr>
            <w:tcW w:w="1772" w:type="dxa"/>
            <w:vMerge/>
            <w:tcBorders>
              <w:left w:val="single" w:sz="4" w:space="0" w:color="000000"/>
              <w:right w:val="single" w:sz="4" w:space="0" w:color="000000"/>
            </w:tcBorders>
            <w:shd w:val="clear" w:color="auto" w:fill="D2D2D2"/>
          </w:tcPr>
          <w:p>
            <w:pPr/>
          </w:p>
        </w:tc>
        <w:tc>
          <w:tcPr>
            <w:tcW w:w="7798" w:type="dxa"/>
            <w:gridSpan w:val="10"/>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772" w:type="dxa"/>
            <w:vMerge/>
            <w:tcBorders>
              <w:left w:val="single" w:sz="4" w:space="0" w:color="000000"/>
              <w:bottom w:val="single" w:sz="4" w:space="0" w:color="000000"/>
              <w:right w:val="single" w:sz="4" w:space="0" w:color="000000"/>
            </w:tcBorders>
            <w:shd w:val="clear" w:color="auto" w:fill="D2D2D2"/>
          </w:tcPr>
          <w:p>
            <w:pPr/>
          </w:p>
        </w:tc>
        <w:tc>
          <w:tcPr>
            <w:tcW w:w="7798" w:type="dxa"/>
            <w:gridSpan w:val="10"/>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177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316" w:lineRule="auto"/>
              <w:ind w:left="105" w:right="209"/>
              <w:jc w:val="left"/>
              <w:rPr>
                <w:rFonts w:ascii="宋体" w:hAnsi="宋体" w:cs="宋体" w:eastAsia="宋体" w:hint="default"/>
                <w:sz w:val="18"/>
                <w:szCs w:val="18"/>
              </w:rPr>
            </w:pPr>
            <w:r>
              <w:rPr>
                <w:rFonts w:ascii="宋体" w:hAnsi="宋体" w:cs="宋体" w:eastAsia="宋体" w:hint="default"/>
                <w:spacing w:val="-2"/>
                <w:sz w:val="18"/>
                <w:szCs w:val="18"/>
              </w:rPr>
              <w:t>募集资金投资项目</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pacing w:val="-2"/>
                <w:sz w:val="18"/>
                <w:szCs w:val="18"/>
              </w:rPr>
              <w:t>实施方式调整情况</w:t>
            </w:r>
          </w:p>
        </w:tc>
        <w:tc>
          <w:tcPr>
            <w:tcW w:w="7798"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3" w:hRule="exact"/>
        </w:trPr>
        <w:tc>
          <w:tcPr>
            <w:tcW w:w="1772" w:type="dxa"/>
            <w:vMerge/>
            <w:tcBorders>
              <w:left w:val="single" w:sz="4" w:space="0" w:color="000000"/>
              <w:right w:val="single" w:sz="4" w:space="0" w:color="000000"/>
            </w:tcBorders>
            <w:shd w:val="clear" w:color="auto" w:fill="D2D2D2"/>
          </w:tcPr>
          <w:p>
            <w:pPr/>
          </w:p>
        </w:tc>
        <w:tc>
          <w:tcPr>
            <w:tcW w:w="7798" w:type="dxa"/>
            <w:gridSpan w:val="10"/>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772" w:type="dxa"/>
            <w:vMerge/>
            <w:tcBorders>
              <w:left w:val="single" w:sz="4" w:space="0" w:color="000000"/>
              <w:bottom w:val="single" w:sz="4" w:space="0" w:color="000000"/>
              <w:right w:val="single" w:sz="4" w:space="0" w:color="000000"/>
            </w:tcBorders>
            <w:shd w:val="clear" w:color="auto" w:fill="D2D2D2"/>
          </w:tcPr>
          <w:p>
            <w:pPr/>
          </w:p>
        </w:tc>
        <w:tc>
          <w:tcPr>
            <w:tcW w:w="7798" w:type="dxa"/>
            <w:gridSpan w:val="10"/>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772"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101"/>
              <w:ind w:left="105" w:right="209"/>
              <w:jc w:val="both"/>
              <w:rPr>
                <w:rFonts w:ascii="宋体" w:hAnsi="宋体" w:cs="宋体" w:eastAsia="宋体" w:hint="default"/>
                <w:sz w:val="18"/>
                <w:szCs w:val="18"/>
              </w:rPr>
            </w:pPr>
            <w:r>
              <w:rPr>
                <w:rFonts w:ascii="宋体" w:hAnsi="宋体" w:cs="宋体" w:eastAsia="宋体" w:hint="default"/>
                <w:spacing w:val="-2"/>
                <w:sz w:val="18"/>
                <w:szCs w:val="18"/>
              </w:rPr>
              <w:t>募集资金投资项目</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pacing w:val="-2"/>
                <w:sz w:val="18"/>
                <w:szCs w:val="18"/>
              </w:rPr>
              <w:t>先期投入及置换情</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况</w:t>
            </w:r>
          </w:p>
        </w:tc>
        <w:tc>
          <w:tcPr>
            <w:tcW w:w="7798"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0"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716" w:hRule="exact"/>
        </w:trPr>
        <w:tc>
          <w:tcPr>
            <w:tcW w:w="1772" w:type="dxa"/>
            <w:vMerge/>
            <w:tcBorders>
              <w:left w:val="single" w:sz="4" w:space="0" w:color="000000"/>
              <w:bottom w:val="single" w:sz="4" w:space="0" w:color="000000"/>
              <w:right w:val="single" w:sz="4" w:space="0" w:color="000000"/>
            </w:tcBorders>
            <w:shd w:val="clear" w:color="auto" w:fill="D2D2D2"/>
          </w:tcPr>
          <w:p>
            <w:pPr/>
          </w:p>
        </w:tc>
        <w:tc>
          <w:tcPr>
            <w:tcW w:w="7798"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 </w:t>
            </w:r>
            <w:r>
              <w:rPr>
                <w:rFonts w:ascii="Times New Roman" w:hAnsi="Times New Roman" w:cs="Times New Roman" w:eastAsia="Times New Roman" w:hint="default"/>
                <w:sz w:val="18"/>
                <w:szCs w:val="18"/>
              </w:rPr>
              <w:t>7 </w:t>
            </w:r>
            <w:r>
              <w:rPr>
                <w:rFonts w:ascii="宋体" w:hAnsi="宋体" w:cs="宋体" w:eastAsia="宋体" w:hint="default"/>
                <w:sz w:val="18"/>
                <w:szCs w:val="18"/>
              </w:rPr>
              <w:t>月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27"/>
                <w:sz w:val="18"/>
                <w:szCs w:val="18"/>
              </w:rPr>
              <w:t> </w:t>
            </w:r>
            <w:r>
              <w:rPr>
                <w:rFonts w:ascii="宋体" w:hAnsi="宋体" w:cs="宋体" w:eastAsia="宋体" w:hint="default"/>
                <w:spacing w:val="-4"/>
                <w:sz w:val="18"/>
                <w:szCs w:val="18"/>
              </w:rPr>
              <w:t>日，公司第三届董事会第十九次会议审议通过了《关于以募集资金置换已预先投入</w:t>
            </w:r>
          </w:p>
          <w:p>
            <w:pPr>
              <w:pStyle w:val="TableParagraph"/>
              <w:spacing w:line="240" w:lineRule="auto" w:before="68"/>
              <w:ind w:left="100" w:right="0"/>
              <w:jc w:val="left"/>
              <w:rPr>
                <w:rFonts w:ascii="宋体" w:hAnsi="宋体" w:cs="宋体" w:eastAsia="宋体" w:hint="default"/>
                <w:sz w:val="18"/>
                <w:szCs w:val="18"/>
              </w:rPr>
            </w:pPr>
            <w:r>
              <w:rPr>
                <w:rFonts w:ascii="宋体" w:hAnsi="宋体" w:cs="宋体" w:eastAsia="宋体" w:hint="default"/>
                <w:spacing w:val="-5"/>
                <w:sz w:val="18"/>
                <w:szCs w:val="18"/>
              </w:rPr>
              <w:t>自筹资金的议案》，千百辉通过自筹资金自行支付投入到募集资金投资项目费用 </w:t>
            </w:r>
            <w:r>
              <w:rPr>
                <w:rFonts w:ascii="Times New Roman" w:hAnsi="Times New Roman" w:cs="Times New Roman" w:eastAsia="Times New Roman" w:hint="default"/>
                <w:sz w:val="18"/>
                <w:szCs w:val="18"/>
              </w:rPr>
              <w:t>1,781,623.44  </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元。</w:t>
            </w:r>
          </w:p>
        </w:tc>
      </w:tr>
      <w:tr>
        <w:trPr>
          <w:trHeight w:val="403" w:hRule="exact"/>
        </w:trPr>
        <w:tc>
          <w:tcPr>
            <w:tcW w:w="177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7"/>
                <w:szCs w:val="17"/>
              </w:rPr>
            </w:pPr>
          </w:p>
          <w:p>
            <w:pPr>
              <w:pStyle w:val="TableParagraph"/>
              <w:spacing w:line="319" w:lineRule="auto"/>
              <w:ind w:left="105" w:right="209"/>
              <w:jc w:val="both"/>
              <w:rPr>
                <w:rFonts w:ascii="宋体" w:hAnsi="宋体" w:cs="宋体" w:eastAsia="宋体" w:hint="default"/>
                <w:sz w:val="18"/>
                <w:szCs w:val="18"/>
              </w:rPr>
            </w:pPr>
            <w:r>
              <w:rPr>
                <w:rFonts w:ascii="宋体" w:hAnsi="宋体" w:cs="宋体" w:eastAsia="宋体" w:hint="default"/>
                <w:spacing w:val="-2"/>
                <w:sz w:val="18"/>
                <w:szCs w:val="18"/>
              </w:rPr>
              <w:t>用闲置募集资金暂</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pacing w:val="-2"/>
                <w:sz w:val="18"/>
                <w:szCs w:val="18"/>
              </w:rPr>
              <w:t>时补充流动资金情</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况</w:t>
            </w:r>
          </w:p>
        </w:tc>
        <w:tc>
          <w:tcPr>
            <w:tcW w:w="7798"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1335" w:hRule="exact"/>
        </w:trPr>
        <w:tc>
          <w:tcPr>
            <w:tcW w:w="1772" w:type="dxa"/>
            <w:vMerge/>
            <w:tcBorders>
              <w:left w:val="single" w:sz="4" w:space="0" w:color="000000"/>
              <w:bottom w:val="single" w:sz="4" w:space="0" w:color="000000"/>
              <w:right w:val="single" w:sz="4" w:space="0" w:color="000000"/>
            </w:tcBorders>
            <w:shd w:val="clear" w:color="auto" w:fill="D2D2D2"/>
          </w:tcPr>
          <w:p>
            <w:pPr/>
          </w:p>
        </w:tc>
        <w:tc>
          <w:tcPr>
            <w:tcW w:w="7798" w:type="dxa"/>
            <w:gridSpan w:val="10"/>
            <w:tcBorders>
              <w:top w:val="single" w:sz="4" w:space="0" w:color="000000"/>
              <w:left w:val="single" w:sz="4" w:space="0" w:color="000000"/>
              <w:bottom w:val="single" w:sz="4" w:space="0" w:color="000000"/>
              <w:right w:val="single" w:sz="4" w:space="0" w:color="000000"/>
            </w:tcBorders>
          </w:tcPr>
          <w:p>
            <w:pPr>
              <w:pStyle w:val="TableParagraph"/>
              <w:spacing w:line="307" w:lineRule="auto" w:before="53"/>
              <w:ind w:left="100" w:right="95"/>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6"/>
                <w:sz w:val="18"/>
                <w:szCs w:val="18"/>
              </w:rPr>
              <w:t> </w:t>
            </w:r>
            <w:r>
              <w:rPr>
                <w:rFonts w:ascii="宋体" w:hAnsi="宋体" w:cs="宋体" w:eastAsia="宋体" w:hint="default"/>
                <w:sz w:val="18"/>
                <w:szCs w:val="18"/>
              </w:rPr>
              <w:t>年</w:t>
            </w:r>
            <w:r>
              <w:rPr>
                <w:rFonts w:ascii="宋体" w:hAnsi="宋体" w:cs="宋体" w:eastAsia="宋体" w:hint="default"/>
                <w:spacing w:val="-29"/>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6"/>
                <w:sz w:val="18"/>
                <w:szCs w:val="18"/>
              </w:rPr>
              <w:t> </w:t>
            </w:r>
            <w:r>
              <w:rPr>
                <w:rFonts w:ascii="宋体" w:hAnsi="宋体" w:cs="宋体" w:eastAsia="宋体" w:hint="default"/>
                <w:sz w:val="18"/>
                <w:szCs w:val="18"/>
              </w:rPr>
              <w:t>月</w:t>
            </w:r>
            <w:r>
              <w:rPr>
                <w:rFonts w:ascii="宋体" w:hAnsi="宋体" w:cs="宋体" w:eastAsia="宋体" w:hint="default"/>
                <w:spacing w:val="-29"/>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9"/>
                <w:sz w:val="18"/>
                <w:szCs w:val="18"/>
              </w:rPr>
              <w:t> </w:t>
            </w:r>
            <w:r>
              <w:rPr>
                <w:rFonts w:ascii="宋体" w:hAnsi="宋体" w:cs="宋体" w:eastAsia="宋体" w:hint="default"/>
                <w:spacing w:val="-3"/>
                <w:sz w:val="18"/>
                <w:szCs w:val="18"/>
              </w:rPr>
              <w:t>日公司召开第四届董事会第八次会议审议通过了《关于全资子公司使用部分闲置</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3"/>
                <w:sz w:val="18"/>
                <w:szCs w:val="18"/>
              </w:rPr>
              <w:t>募集资金暂时补充流动资金的议案》，同意公司全资子公司 千百辉使用闲置募集资金不超过</w:t>
            </w:r>
            <w:r>
              <w:rPr>
                <w:rFonts w:ascii="宋体" w:hAnsi="宋体" w:cs="宋体" w:eastAsia="宋体" w:hint="default"/>
                <w:spacing w:val="36"/>
                <w:sz w:val="18"/>
                <w:szCs w:val="18"/>
              </w:rPr>
              <w:t> </w:t>
            </w:r>
            <w:r>
              <w:rPr>
                <w:rFonts w:ascii="宋体" w:hAnsi="宋体" w:cs="宋体" w:eastAsia="宋体" w:hint="default"/>
                <w:spacing w:val="36"/>
                <w:sz w:val="18"/>
                <w:szCs w:val="18"/>
              </w:rPr>
            </w:r>
            <w:r>
              <w:rPr>
                <w:rFonts w:ascii="Times New Roman" w:hAnsi="Times New Roman" w:cs="Times New Roman" w:eastAsia="Times New Roman" w:hint="default"/>
                <w:sz w:val="18"/>
                <w:szCs w:val="18"/>
              </w:rPr>
              <w:t>4,000.00  </w:t>
            </w:r>
            <w:r>
              <w:rPr>
                <w:rFonts w:ascii="宋体" w:hAnsi="宋体" w:cs="宋体" w:eastAsia="宋体" w:hint="default"/>
                <w:spacing w:val="-4"/>
                <w:sz w:val="18"/>
                <w:szCs w:val="18"/>
              </w:rPr>
              <w:t>万元暂时补充流动资金，使用期限为自董事会审议通过之日起不超过 </w:t>
            </w:r>
            <w:r>
              <w:rPr>
                <w:rFonts w:ascii="Times New Roman" w:hAnsi="Times New Roman" w:cs="Times New Roman" w:eastAsia="Times New Roman" w:hint="default"/>
                <w:sz w:val="18"/>
                <w:szCs w:val="18"/>
              </w:rPr>
              <w:t>12 </w:t>
            </w:r>
            <w:r>
              <w:rPr>
                <w:rFonts w:ascii="宋体" w:hAnsi="宋体" w:cs="宋体" w:eastAsia="宋体" w:hint="default"/>
                <w:spacing w:val="-9"/>
                <w:sz w:val="18"/>
                <w:szCs w:val="18"/>
              </w:rPr>
              <w:t>个月。截至</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2019</w:t>
            </w:r>
          </w:p>
          <w:p>
            <w:pPr>
              <w:pStyle w:val="TableParagraph"/>
              <w:spacing w:line="240" w:lineRule="auto" w:before="12"/>
              <w:ind w:left="100"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9"/>
                <w:sz w:val="18"/>
                <w:szCs w:val="18"/>
              </w:rPr>
              <w:t> </w:t>
            </w:r>
            <w:r>
              <w:rPr>
                <w:rFonts w:ascii="宋体" w:hAnsi="宋体" w:cs="宋体" w:eastAsia="宋体" w:hint="default"/>
                <w:spacing w:val="-3"/>
                <w:sz w:val="18"/>
                <w:szCs w:val="18"/>
              </w:rPr>
              <w:t>日，千百辉暂时补充流动资金金额为</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4,000.00</w:t>
            </w:r>
            <w:r>
              <w:rPr>
                <w:rFonts w:ascii="Times New Roman" w:hAnsi="Times New Roman" w:cs="Times New Roman" w:eastAsia="Times New Roman" w:hint="default"/>
                <w:spacing w:val="9"/>
                <w:sz w:val="18"/>
                <w:szCs w:val="18"/>
              </w:rPr>
              <w:t> </w:t>
            </w:r>
            <w:r>
              <w:rPr>
                <w:rFonts w:ascii="宋体" w:hAnsi="宋体" w:cs="宋体" w:eastAsia="宋体" w:hint="default"/>
                <w:spacing w:val="-5"/>
                <w:sz w:val="18"/>
                <w:szCs w:val="18"/>
              </w:rPr>
              <w:t>万元。</w:t>
            </w:r>
            <w:r>
              <w:rPr>
                <w:rFonts w:ascii="宋体" w:hAnsi="宋体" w:cs="宋体" w:eastAsia="宋体" w:hint="default"/>
                <w:sz w:val="18"/>
                <w:szCs w:val="18"/>
              </w:rPr>
            </w:r>
          </w:p>
        </w:tc>
      </w:tr>
      <w:tr>
        <w:trPr>
          <w:trHeight w:val="403" w:hRule="exact"/>
        </w:trPr>
        <w:tc>
          <w:tcPr>
            <w:tcW w:w="17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7"/>
              <w:ind w:left="105" w:right="0"/>
              <w:jc w:val="left"/>
              <w:rPr>
                <w:rFonts w:ascii="宋体" w:hAnsi="宋体" w:cs="宋体" w:eastAsia="宋体" w:hint="default"/>
                <w:sz w:val="18"/>
                <w:szCs w:val="18"/>
              </w:rPr>
            </w:pPr>
            <w:r>
              <w:rPr>
                <w:rFonts w:ascii="宋体" w:hAnsi="宋体" w:cs="宋体" w:eastAsia="宋体" w:hint="default"/>
                <w:sz w:val="18"/>
                <w:szCs w:val="18"/>
              </w:rPr>
              <w:t>项目实施出现募集</w:t>
            </w:r>
          </w:p>
        </w:tc>
        <w:tc>
          <w:tcPr>
            <w:tcW w:w="7798"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0"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after="0" w:line="240" w:lineRule="auto"/>
        <w:jc w:val="left"/>
        <w:rPr>
          <w:rFonts w:ascii="宋体" w:hAnsi="宋体" w:cs="宋体" w:eastAsia="宋体" w:hint="default"/>
          <w:sz w:val="18"/>
          <w:szCs w:val="18"/>
        </w:rPr>
        <w:sectPr>
          <w:pgSz w:w="11910" w:h="16840"/>
          <w:pgMar w:header="784" w:footer="1022" w:top="1100" w:bottom="1220" w:left="980" w:right="0"/>
        </w:sectPr>
      </w:pPr>
    </w:p>
    <w:p>
      <w:pPr>
        <w:spacing w:line="240" w:lineRule="auto" w:before="1"/>
        <w:rPr>
          <w:rFonts w:ascii="Times New Roman" w:hAnsi="Times New Roman" w:cs="Times New Roman" w:eastAsia="Times New Roman" w:hint="default"/>
          <w:sz w:val="29"/>
          <w:szCs w:val="29"/>
        </w:rPr>
      </w:pPr>
    </w:p>
    <w:tbl>
      <w:tblPr>
        <w:tblW w:w="0" w:type="auto"/>
        <w:jc w:val="left"/>
        <w:tblInd w:w="148" w:type="dxa"/>
        <w:tblLayout w:type="fixed"/>
        <w:tblCellMar>
          <w:top w:w="0" w:type="dxa"/>
          <w:left w:w="0" w:type="dxa"/>
          <w:bottom w:w="0" w:type="dxa"/>
          <w:right w:w="0" w:type="dxa"/>
        </w:tblCellMar>
        <w:tblLook w:val="01E0"/>
      </w:tblPr>
      <w:tblGrid>
        <w:gridCol w:w="1772"/>
        <w:gridCol w:w="7798"/>
      </w:tblGrid>
      <w:tr>
        <w:trPr>
          <w:trHeight w:val="672" w:hRule="exact"/>
        </w:trPr>
        <w:tc>
          <w:tcPr>
            <w:tcW w:w="17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10"/>
              <w:ind w:left="105" w:right="209"/>
              <w:jc w:val="left"/>
              <w:rPr>
                <w:rFonts w:ascii="宋体" w:hAnsi="宋体" w:cs="宋体" w:eastAsia="宋体" w:hint="default"/>
                <w:sz w:val="18"/>
                <w:szCs w:val="18"/>
              </w:rPr>
            </w:pPr>
            <w:r>
              <w:rPr>
                <w:rFonts w:ascii="宋体" w:hAnsi="宋体" w:cs="宋体" w:eastAsia="宋体" w:hint="default"/>
                <w:spacing w:val="-2"/>
                <w:sz w:val="18"/>
                <w:szCs w:val="18"/>
              </w:rPr>
              <w:t>资金结余的金额及</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原因</w:t>
            </w:r>
          </w:p>
        </w:tc>
        <w:tc>
          <w:tcPr>
            <w:tcW w:w="7798" w:type="dxa"/>
            <w:tcBorders>
              <w:top w:val="single" w:sz="4" w:space="0" w:color="000000"/>
              <w:left w:val="single" w:sz="4" w:space="0" w:color="000000"/>
              <w:bottom w:val="single" w:sz="4" w:space="0" w:color="000000"/>
              <w:right w:val="single" w:sz="4" w:space="0" w:color="000000"/>
            </w:tcBorders>
          </w:tcPr>
          <w:p>
            <w:pPr/>
          </w:p>
        </w:tc>
      </w:tr>
      <w:tr>
        <w:trPr>
          <w:trHeight w:val="1340" w:hRule="exact"/>
        </w:trPr>
        <w:tc>
          <w:tcPr>
            <w:tcW w:w="17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21" w:lineRule="auto" w:before="159"/>
              <w:ind w:left="105" w:right="209"/>
              <w:jc w:val="left"/>
              <w:rPr>
                <w:rFonts w:ascii="宋体" w:hAnsi="宋体" w:cs="宋体" w:eastAsia="宋体" w:hint="default"/>
                <w:sz w:val="18"/>
                <w:szCs w:val="18"/>
              </w:rPr>
            </w:pPr>
            <w:r>
              <w:rPr>
                <w:rFonts w:ascii="宋体" w:hAnsi="宋体" w:cs="宋体" w:eastAsia="宋体" w:hint="default"/>
                <w:spacing w:val="-2"/>
                <w:sz w:val="18"/>
                <w:szCs w:val="18"/>
              </w:rPr>
              <w:t>尚未使用的募集资</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金用途及去向</w:t>
            </w:r>
          </w:p>
        </w:tc>
        <w:tc>
          <w:tcPr>
            <w:tcW w:w="7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截至</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7"/>
                <w:sz w:val="18"/>
                <w:szCs w:val="18"/>
              </w:rPr>
              <w:t> </w:t>
            </w:r>
            <w:r>
              <w:rPr>
                <w:rFonts w:ascii="宋体" w:hAnsi="宋体" w:cs="宋体" w:eastAsia="宋体" w:hint="default"/>
                <w:spacing w:val="-5"/>
                <w:sz w:val="18"/>
                <w:szCs w:val="18"/>
              </w:rPr>
              <w:t>日，千百辉尚未使用的募集资金</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45,841,846.50</w:t>
            </w:r>
            <w:r>
              <w:rPr>
                <w:rFonts w:ascii="Times New Roman" w:hAnsi="Times New Roman" w:cs="Times New Roman" w:eastAsia="Times New Roman" w:hint="default"/>
                <w:spacing w:val="1"/>
                <w:sz w:val="18"/>
                <w:szCs w:val="18"/>
              </w:rPr>
              <w:t> </w:t>
            </w:r>
            <w:r>
              <w:rPr>
                <w:rFonts w:ascii="宋体" w:hAnsi="宋体" w:cs="宋体" w:eastAsia="宋体" w:hint="default"/>
                <w:spacing w:val="-6"/>
                <w:sz w:val="18"/>
                <w:szCs w:val="18"/>
              </w:rPr>
              <w:t>元（含暂时补流资金</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4,000.00</w:t>
            </w:r>
          </w:p>
          <w:p>
            <w:pPr>
              <w:pStyle w:val="TableParagraph"/>
              <w:spacing w:line="240" w:lineRule="auto" w:before="63"/>
              <w:ind w:left="100" w:right="0"/>
              <w:jc w:val="left"/>
              <w:rPr>
                <w:rFonts w:ascii="宋体" w:hAnsi="宋体" w:cs="宋体" w:eastAsia="宋体" w:hint="default"/>
                <w:sz w:val="18"/>
                <w:szCs w:val="18"/>
              </w:rPr>
            </w:pPr>
            <w:r>
              <w:rPr>
                <w:rFonts w:ascii="宋体" w:hAnsi="宋体" w:cs="宋体" w:eastAsia="宋体" w:hint="default"/>
                <w:spacing w:val="-7"/>
                <w:sz w:val="18"/>
                <w:szCs w:val="18"/>
              </w:rPr>
              <w:t>万元）。其中，千百辉</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9"/>
                <w:sz w:val="18"/>
                <w:szCs w:val="18"/>
              </w:rPr>
              <w:t> </w:t>
            </w:r>
            <w:r>
              <w:rPr>
                <w:rFonts w:ascii="宋体" w:hAnsi="宋体" w:cs="宋体" w:eastAsia="宋体" w:hint="default"/>
                <w:spacing w:val="-3"/>
                <w:sz w:val="18"/>
                <w:szCs w:val="18"/>
              </w:rPr>
              <w:t>日用于暂时补充流动资金</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4,000.00</w:t>
            </w:r>
            <w:r>
              <w:rPr>
                <w:rFonts w:ascii="Times New Roman" w:hAnsi="Times New Roman" w:cs="Times New Roman" w:eastAsia="Times New Roman" w:hint="default"/>
                <w:spacing w:val="9"/>
                <w:sz w:val="18"/>
                <w:szCs w:val="18"/>
              </w:rPr>
              <w:t> </w:t>
            </w:r>
            <w:r>
              <w:rPr>
                <w:rFonts w:ascii="宋体" w:hAnsi="宋体" w:cs="宋体" w:eastAsia="宋体" w:hint="default"/>
                <w:spacing w:val="-4"/>
                <w:sz w:val="18"/>
                <w:szCs w:val="18"/>
              </w:rPr>
              <w:t>万元，其他剩余部分存</w:t>
            </w:r>
          </w:p>
          <w:p>
            <w:pPr>
              <w:pStyle w:val="TableParagraph"/>
              <w:spacing w:line="304" w:lineRule="auto" w:before="63"/>
              <w:ind w:left="100" w:right="151"/>
              <w:jc w:val="left"/>
              <w:rPr>
                <w:rFonts w:ascii="宋体" w:hAnsi="宋体" w:cs="宋体" w:eastAsia="宋体" w:hint="default"/>
                <w:sz w:val="18"/>
                <w:szCs w:val="18"/>
              </w:rPr>
            </w:pPr>
            <w:r>
              <w:rPr>
                <w:rFonts w:ascii="宋体" w:hAnsi="宋体" w:cs="宋体" w:eastAsia="宋体" w:hint="default"/>
                <w:spacing w:val="-3"/>
                <w:sz w:val="18"/>
                <w:szCs w:val="18"/>
              </w:rPr>
              <w:t>储于经批准的银行募集资金账户中，部分募集资金根据《上市公司监管指引第</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39"/>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上市公司募</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3"/>
                <w:sz w:val="18"/>
                <w:szCs w:val="18"/>
              </w:rPr>
              <w:t>集资金管理和使用的监管要求》等法律法规规定，进行现金管理。</w:t>
            </w:r>
          </w:p>
        </w:tc>
      </w:tr>
      <w:tr>
        <w:trPr>
          <w:trHeight w:val="1028" w:hRule="exact"/>
        </w:trPr>
        <w:tc>
          <w:tcPr>
            <w:tcW w:w="17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05" w:right="209"/>
              <w:jc w:val="both"/>
              <w:rPr>
                <w:rFonts w:ascii="宋体" w:hAnsi="宋体" w:cs="宋体" w:eastAsia="宋体" w:hint="default"/>
                <w:sz w:val="18"/>
                <w:szCs w:val="18"/>
              </w:rPr>
            </w:pPr>
            <w:r>
              <w:rPr>
                <w:rFonts w:ascii="宋体" w:hAnsi="宋体" w:cs="宋体" w:eastAsia="宋体" w:hint="default"/>
                <w:spacing w:val="-2"/>
                <w:sz w:val="18"/>
                <w:szCs w:val="18"/>
              </w:rPr>
              <w:t>募集资金使用及披</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pacing w:val="-2"/>
                <w:sz w:val="18"/>
                <w:szCs w:val="18"/>
              </w:rPr>
              <w:t>露中存在的问题或</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其他情况</w:t>
            </w:r>
          </w:p>
        </w:tc>
        <w:tc>
          <w:tcPr>
            <w:tcW w:w="7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8"/>
              <w:ind w:left="100" w:right="0"/>
              <w:jc w:val="left"/>
              <w:rPr>
                <w:rFonts w:ascii="宋体" w:hAnsi="宋体" w:cs="宋体" w:eastAsia="宋体" w:hint="default"/>
                <w:sz w:val="18"/>
                <w:szCs w:val="18"/>
              </w:rPr>
            </w:pPr>
            <w:r>
              <w:rPr>
                <w:rFonts w:ascii="宋体" w:hAnsi="宋体" w:cs="宋体" w:eastAsia="宋体" w:hint="default"/>
                <w:spacing w:val="-3"/>
                <w:sz w:val="18"/>
                <w:szCs w:val="18"/>
              </w:rPr>
              <w:t>报告期内，募集资金使用及披露不存在重大问题。</w:t>
            </w:r>
          </w:p>
        </w:tc>
      </w:tr>
    </w:tbl>
    <w:p>
      <w:pPr>
        <w:spacing w:line="240" w:lineRule="auto" w:before="10"/>
        <w:rPr>
          <w:rFonts w:ascii="Times New Roman" w:hAnsi="Times New Roman" w:cs="Times New Roman" w:eastAsia="Times New Roman" w:hint="default"/>
          <w:sz w:val="21"/>
          <w:szCs w:val="21"/>
        </w:rPr>
      </w:pPr>
    </w:p>
    <w:p>
      <w:pPr>
        <w:pStyle w:val="Heading4"/>
        <w:spacing w:line="240" w:lineRule="auto" w:before="36"/>
        <w:ind w:right="0"/>
        <w:jc w:val="left"/>
        <w:rPr>
          <w:b w:val="0"/>
          <w:bCs w:val="0"/>
        </w:rPr>
      </w:pPr>
      <w:bookmarkStart w:name="（3）募集资金变更项目情况" w:id="53"/>
      <w:bookmarkEnd w:id="53"/>
      <w:r>
        <w:rPr>
          <w:b w:val="0"/>
          <w:bCs w:val="0"/>
        </w:rPr>
      </w:r>
      <w:r>
        <w:rPr/>
        <w:t>（</w:t>
      </w:r>
      <w:r>
        <w:rPr>
          <w:rFonts w:ascii="Times New Roman" w:hAnsi="Times New Roman" w:cs="Times New Roman" w:eastAsia="Times New Roman" w:hint="default"/>
        </w:rPr>
        <w:t>3</w:t>
      </w:r>
      <w:r>
        <w:rPr/>
        <w:t>）募集资金变更项目情况</w:t>
      </w:r>
      <w:r>
        <w:rPr>
          <w:b w:val="0"/>
          <w:bCs w:val="0"/>
        </w:rPr>
      </w:r>
    </w:p>
    <w:p>
      <w:pPr>
        <w:spacing w:line="240" w:lineRule="auto" w:before="9"/>
        <w:rPr>
          <w:rFonts w:ascii="宋体" w:hAnsi="宋体" w:cs="宋体" w:eastAsia="宋体" w:hint="default"/>
          <w:b/>
          <w:bCs/>
          <w:sz w:val="26"/>
          <w:szCs w:val="26"/>
        </w:rPr>
      </w:pPr>
    </w:p>
    <w:p>
      <w:pPr>
        <w:pStyle w:val="BodyText"/>
        <w:spacing w:line="362" w:lineRule="auto" w:before="0"/>
        <w:ind w:right="6445"/>
        <w:jc w:val="left"/>
      </w:pPr>
      <w:r>
        <w:rPr/>
        <w:t>□ </w:t>
      </w:r>
      <w:r>
        <w:rPr>
          <w:spacing w:val="-3"/>
        </w:rPr>
        <w:t>适用 </w:t>
      </w:r>
      <w:r>
        <w:rPr/>
        <w:t>√ 不适用</w:t>
      </w:r>
      <w:r>
        <w:rPr>
          <w:spacing w:val="-77"/>
        </w:rPr>
        <w:t> </w:t>
      </w:r>
      <w:r>
        <w:rPr>
          <w:spacing w:val="-77"/>
        </w:rPr>
      </w:r>
      <w:r>
        <w:rPr>
          <w:spacing w:val="-3"/>
        </w:rPr>
        <w:t>公司报告期不存在募集资金变更项目情况。</w:t>
      </w:r>
    </w:p>
    <w:p>
      <w:pPr>
        <w:spacing w:line="240" w:lineRule="auto" w:before="12"/>
        <w:rPr>
          <w:rFonts w:ascii="宋体" w:hAnsi="宋体" w:cs="宋体" w:eastAsia="宋体" w:hint="default"/>
          <w:sz w:val="16"/>
          <w:szCs w:val="16"/>
        </w:rPr>
      </w:pPr>
    </w:p>
    <w:p>
      <w:pPr>
        <w:pStyle w:val="Heading2"/>
        <w:spacing w:line="240" w:lineRule="auto"/>
        <w:ind w:right="0"/>
        <w:jc w:val="left"/>
        <w:rPr>
          <w:b w:val="0"/>
          <w:bCs w:val="0"/>
        </w:rPr>
      </w:pPr>
      <w:bookmarkStart w:name="六、重大资产和股权出售" w:id="54"/>
      <w:bookmarkEnd w:id="54"/>
      <w:r>
        <w:rPr>
          <w:b w:val="0"/>
          <w:bCs w:val="0"/>
        </w:rPr>
      </w:r>
      <w:r>
        <w:rPr/>
        <w:t>六、重大资产和股权出售</w:t>
      </w:r>
      <w:r>
        <w:rPr>
          <w:b w:val="0"/>
          <w:bCs w:val="0"/>
        </w:rPr>
      </w:r>
    </w:p>
    <w:p>
      <w:pPr>
        <w:spacing w:line="240" w:lineRule="auto" w:before="3"/>
        <w:rPr>
          <w:rFonts w:ascii="宋体" w:hAnsi="宋体" w:cs="宋体" w:eastAsia="宋体" w:hint="default"/>
          <w:b/>
          <w:bCs/>
          <w:sz w:val="25"/>
          <w:szCs w:val="25"/>
        </w:rPr>
      </w:pPr>
    </w:p>
    <w:p>
      <w:pPr>
        <w:pStyle w:val="Heading4"/>
        <w:spacing w:line="240" w:lineRule="auto"/>
        <w:ind w:right="0"/>
        <w:jc w:val="left"/>
        <w:rPr>
          <w:b w:val="0"/>
          <w:bCs w:val="0"/>
        </w:rPr>
      </w:pPr>
      <w:bookmarkStart w:name="1、出售重大资产情况" w:id="55"/>
      <w:bookmarkEnd w:id="55"/>
      <w:r>
        <w:rPr>
          <w:b w:val="0"/>
          <w:bCs w:val="0"/>
        </w:rPr>
      </w:r>
      <w:r>
        <w:rPr>
          <w:rFonts w:ascii="Times New Roman" w:hAnsi="Times New Roman" w:cs="Times New Roman" w:eastAsia="Times New Roman" w:hint="default"/>
        </w:rPr>
        <w:t>1</w:t>
      </w:r>
      <w:r>
        <w:rPr/>
        <w:t>、出售重大资产情况</w:t>
      </w:r>
      <w:r>
        <w:rPr>
          <w:b w:val="0"/>
          <w:bCs w:val="0"/>
        </w:rPr>
      </w:r>
    </w:p>
    <w:p>
      <w:pPr>
        <w:spacing w:line="240" w:lineRule="auto" w:before="1"/>
        <w:rPr>
          <w:rFonts w:ascii="宋体" w:hAnsi="宋体" w:cs="宋体" w:eastAsia="宋体" w:hint="default"/>
          <w:b/>
          <w:bCs/>
          <w:sz w:val="27"/>
          <w:szCs w:val="27"/>
        </w:rPr>
      </w:pPr>
    </w:p>
    <w:p>
      <w:pPr>
        <w:pStyle w:val="BodyText"/>
        <w:spacing w:line="357" w:lineRule="auto" w:before="0"/>
        <w:ind w:right="7667"/>
        <w:jc w:val="left"/>
      </w:pPr>
      <w:r>
        <w:rPr/>
        <w:t>□ </w:t>
      </w:r>
      <w:r>
        <w:rPr>
          <w:spacing w:val="-3"/>
        </w:rPr>
        <w:t>适用 </w:t>
      </w:r>
      <w:r>
        <w:rPr/>
        <w:t>√ 不适用</w:t>
      </w:r>
      <w:r>
        <w:rPr>
          <w:spacing w:val="-77"/>
        </w:rPr>
        <w:t> </w:t>
      </w:r>
      <w:r>
        <w:rPr>
          <w:spacing w:val="-77"/>
        </w:rPr>
      </w:r>
      <w:r>
        <w:rPr>
          <w:spacing w:val="-3"/>
        </w:rPr>
        <w:t>公司报告期未出售重大资产。</w:t>
      </w:r>
    </w:p>
    <w:p>
      <w:pPr>
        <w:spacing w:line="240" w:lineRule="auto" w:before="7"/>
        <w:rPr>
          <w:rFonts w:ascii="宋体" w:hAnsi="宋体" w:cs="宋体" w:eastAsia="宋体" w:hint="default"/>
          <w:sz w:val="19"/>
          <w:szCs w:val="19"/>
        </w:rPr>
      </w:pPr>
    </w:p>
    <w:p>
      <w:pPr>
        <w:pStyle w:val="Heading4"/>
        <w:spacing w:line="240" w:lineRule="auto"/>
        <w:ind w:right="0"/>
        <w:jc w:val="left"/>
        <w:rPr>
          <w:b w:val="0"/>
          <w:bCs w:val="0"/>
        </w:rPr>
      </w:pPr>
      <w:bookmarkStart w:name="2、出售重大股权情况" w:id="56"/>
      <w:bookmarkEnd w:id="56"/>
      <w:r>
        <w:rPr>
          <w:b w:val="0"/>
          <w:bCs w:val="0"/>
        </w:rPr>
      </w:r>
      <w:r>
        <w:rPr>
          <w:rFonts w:ascii="Times New Roman" w:hAnsi="Times New Roman" w:cs="Times New Roman" w:eastAsia="Times New Roman" w:hint="default"/>
        </w:rPr>
        <w:t>2</w:t>
      </w:r>
      <w:r>
        <w:rPr/>
        <w:t>、出售重大股权情况</w:t>
      </w:r>
      <w:r>
        <w:rPr>
          <w:b w:val="0"/>
          <w:bCs w:val="0"/>
        </w:rPr>
      </w:r>
    </w:p>
    <w:p>
      <w:pPr>
        <w:spacing w:line="240" w:lineRule="auto" w:before="1"/>
        <w:rPr>
          <w:rFonts w:ascii="宋体" w:hAnsi="宋体" w:cs="宋体" w:eastAsia="宋体" w:hint="default"/>
          <w:b/>
          <w:bCs/>
          <w:sz w:val="27"/>
          <w:szCs w:val="27"/>
        </w:rPr>
      </w:pPr>
    </w:p>
    <w:p>
      <w:pPr>
        <w:pStyle w:val="BodyText"/>
        <w:spacing w:line="240" w:lineRule="auto" w:before="0"/>
        <w:ind w:right="0"/>
        <w:jc w:val="left"/>
      </w:pPr>
      <w:r>
        <w:rPr/>
        <w:t>□ </w:t>
      </w:r>
      <w:r>
        <w:rPr>
          <w:spacing w:val="-3"/>
        </w:rPr>
        <w:t>适用 </w:t>
      </w:r>
      <w:r>
        <w:rPr/>
        <w:t>√</w:t>
      </w:r>
      <w:r>
        <w:rPr>
          <w:spacing w:val="13"/>
        </w:rPr>
        <w:t> </w:t>
      </w:r>
      <w:r>
        <w:rPr/>
        <w:t>不适用</w:t>
      </w:r>
    </w:p>
    <w:p>
      <w:pPr>
        <w:spacing w:line="240" w:lineRule="auto" w:before="4"/>
        <w:rPr>
          <w:rFonts w:ascii="宋体" w:hAnsi="宋体" w:cs="宋体" w:eastAsia="宋体" w:hint="default"/>
          <w:sz w:val="24"/>
          <w:szCs w:val="24"/>
        </w:rPr>
      </w:pPr>
    </w:p>
    <w:p>
      <w:pPr>
        <w:pStyle w:val="Heading2"/>
        <w:spacing w:line="240" w:lineRule="auto"/>
        <w:ind w:right="0"/>
        <w:jc w:val="left"/>
        <w:rPr>
          <w:b w:val="0"/>
          <w:bCs w:val="0"/>
        </w:rPr>
      </w:pPr>
      <w:bookmarkStart w:name="七、主要控股参股公司分析" w:id="57"/>
      <w:bookmarkEnd w:id="57"/>
      <w:r>
        <w:rPr>
          <w:b w:val="0"/>
          <w:bCs w:val="0"/>
        </w:rPr>
      </w:r>
      <w:r>
        <w:rPr/>
        <w:t>七、主要控股参股公司分析</w:t>
      </w:r>
      <w:r>
        <w:rPr>
          <w:b w:val="0"/>
          <w:bCs w:val="0"/>
        </w:rPr>
      </w:r>
    </w:p>
    <w:p>
      <w:pPr>
        <w:spacing w:line="240" w:lineRule="auto" w:before="0"/>
        <w:rPr>
          <w:rFonts w:ascii="宋体" w:hAnsi="宋体" w:cs="宋体" w:eastAsia="宋体" w:hint="default"/>
          <w:b/>
          <w:bCs/>
          <w:sz w:val="24"/>
          <w:szCs w:val="24"/>
        </w:rPr>
      </w:pPr>
    </w:p>
    <w:p>
      <w:pPr>
        <w:spacing w:after="0" w:line="240" w:lineRule="auto"/>
        <w:rPr>
          <w:rFonts w:ascii="宋体" w:hAnsi="宋体" w:cs="宋体" w:eastAsia="宋体" w:hint="default"/>
          <w:sz w:val="24"/>
          <w:szCs w:val="24"/>
        </w:rPr>
        <w:sectPr>
          <w:pgSz w:w="11910" w:h="16840"/>
          <w:pgMar w:header="784" w:footer="1022" w:top="1100" w:bottom="1220" w:left="980" w:right="0"/>
        </w:sectPr>
      </w:pPr>
    </w:p>
    <w:p>
      <w:pPr>
        <w:pStyle w:val="BodyText"/>
        <w:spacing w:line="240" w:lineRule="auto"/>
        <w:ind w:right="-16"/>
        <w:jc w:val="left"/>
      </w:pPr>
      <w:r>
        <w:rPr/>
        <w:t>√ </w:t>
      </w:r>
      <w:r>
        <w:rPr>
          <w:spacing w:val="-3"/>
        </w:rPr>
        <w:t>适用 </w:t>
      </w:r>
      <w:r>
        <w:rPr/>
        <w:t>□</w:t>
      </w:r>
      <w:r>
        <w:rPr>
          <w:spacing w:val="13"/>
        </w:rPr>
        <w:t> </w:t>
      </w:r>
      <w:r>
        <w:rPr/>
        <w:t>不适用</w:t>
      </w:r>
    </w:p>
    <w:p>
      <w:pPr>
        <w:pStyle w:val="BodyText"/>
        <w:spacing w:line="240" w:lineRule="auto" w:before="115"/>
        <w:ind w:right="-16"/>
        <w:jc w:val="left"/>
      </w:pPr>
      <w:r>
        <w:rPr/>
        <w:t>主要子公司及对公司净利润影响达</w:t>
      </w:r>
      <w:r>
        <w:rPr>
          <w:spacing w:val="-8"/>
        </w:rPr>
        <w:t> </w:t>
      </w:r>
      <w:r>
        <w:rPr>
          <w:rFonts w:ascii="Times New Roman" w:hAnsi="Times New Roman" w:cs="Times New Roman" w:eastAsia="Times New Roman" w:hint="default"/>
          <w:spacing w:val="-3"/>
        </w:rPr>
        <w:t>10%</w:t>
      </w:r>
      <w:r>
        <w:rPr>
          <w:spacing w:val="-3"/>
        </w:rPr>
        <w:t>以上的参股公司情况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pStyle w:val="BodyText"/>
        <w:spacing w:line="240" w:lineRule="auto" w:before="0"/>
        <w:ind w:right="0"/>
        <w:jc w:val="left"/>
      </w:pPr>
      <w:r>
        <w:rPr/>
        <w:t>单位：元</w:t>
      </w:r>
    </w:p>
    <w:p>
      <w:pPr>
        <w:spacing w:after="0" w:line="240" w:lineRule="auto"/>
        <w:jc w:val="left"/>
        <w:sectPr>
          <w:type w:val="continuous"/>
          <w:pgSz w:w="11910" w:h="16840"/>
          <w:pgMar w:top="1100" w:bottom="1220" w:left="980" w:right="0"/>
          <w:cols w:num="2" w:equalWidth="0">
            <w:col w:w="4854" w:space="4068"/>
            <w:col w:w="2008"/>
          </w:cols>
        </w:sectPr>
      </w:pP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057"/>
        <w:gridCol w:w="1196"/>
        <w:gridCol w:w="1042"/>
        <w:gridCol w:w="1046"/>
        <w:gridCol w:w="1047"/>
        <w:gridCol w:w="1047"/>
        <w:gridCol w:w="1047"/>
        <w:gridCol w:w="1042"/>
        <w:gridCol w:w="1046"/>
      </w:tblGrid>
      <w:tr>
        <w:trPr>
          <w:trHeight w:val="398" w:hRule="exact"/>
        </w:trPr>
        <w:tc>
          <w:tcPr>
            <w:tcW w:w="1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63" w:right="0"/>
              <w:jc w:val="left"/>
              <w:rPr>
                <w:rFonts w:ascii="宋体" w:hAnsi="宋体" w:cs="宋体" w:eastAsia="宋体" w:hint="default"/>
                <w:sz w:val="18"/>
                <w:szCs w:val="18"/>
              </w:rPr>
            </w:pPr>
            <w:r>
              <w:rPr>
                <w:rFonts w:ascii="宋体" w:hAnsi="宋体" w:cs="宋体" w:eastAsia="宋体" w:hint="default"/>
                <w:sz w:val="18"/>
                <w:szCs w:val="18"/>
              </w:rPr>
              <w:t>公司名称</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30" w:right="0"/>
              <w:jc w:val="left"/>
              <w:rPr>
                <w:rFonts w:ascii="宋体" w:hAnsi="宋体" w:cs="宋体" w:eastAsia="宋体" w:hint="default"/>
                <w:sz w:val="18"/>
                <w:szCs w:val="18"/>
              </w:rPr>
            </w:pPr>
            <w:r>
              <w:rPr>
                <w:rFonts w:ascii="宋体" w:hAnsi="宋体" w:cs="宋体" w:eastAsia="宋体" w:hint="default"/>
                <w:sz w:val="18"/>
                <w:szCs w:val="18"/>
              </w:rPr>
              <w:t>公司类型</w:t>
            </w:r>
          </w:p>
        </w:tc>
        <w:tc>
          <w:tcPr>
            <w:tcW w:w="10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53" w:right="0"/>
              <w:jc w:val="left"/>
              <w:rPr>
                <w:rFonts w:ascii="宋体" w:hAnsi="宋体" w:cs="宋体" w:eastAsia="宋体" w:hint="default"/>
                <w:sz w:val="18"/>
                <w:szCs w:val="18"/>
              </w:rPr>
            </w:pPr>
            <w:r>
              <w:rPr>
                <w:rFonts w:ascii="宋体" w:hAnsi="宋体" w:cs="宋体" w:eastAsia="宋体" w:hint="default"/>
                <w:sz w:val="18"/>
                <w:szCs w:val="18"/>
              </w:rPr>
              <w:t>主要业务</w:t>
            </w:r>
          </w:p>
        </w:tc>
        <w:tc>
          <w:tcPr>
            <w:tcW w:w="10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58"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10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9" w:right="0"/>
              <w:jc w:val="left"/>
              <w:rPr>
                <w:rFonts w:ascii="宋体" w:hAnsi="宋体" w:cs="宋体" w:eastAsia="宋体" w:hint="default"/>
                <w:sz w:val="18"/>
                <w:szCs w:val="18"/>
              </w:rPr>
            </w:pPr>
            <w:r>
              <w:rPr>
                <w:rFonts w:ascii="宋体" w:hAnsi="宋体" w:cs="宋体" w:eastAsia="宋体" w:hint="default"/>
                <w:sz w:val="18"/>
                <w:szCs w:val="18"/>
              </w:rPr>
              <w:t>总资产</w:t>
            </w:r>
          </w:p>
        </w:tc>
        <w:tc>
          <w:tcPr>
            <w:tcW w:w="10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9" w:right="0"/>
              <w:jc w:val="left"/>
              <w:rPr>
                <w:rFonts w:ascii="宋体" w:hAnsi="宋体" w:cs="宋体" w:eastAsia="宋体" w:hint="default"/>
                <w:sz w:val="18"/>
                <w:szCs w:val="18"/>
              </w:rPr>
            </w:pPr>
            <w:r>
              <w:rPr>
                <w:rFonts w:ascii="宋体" w:hAnsi="宋体" w:cs="宋体" w:eastAsia="宋体" w:hint="default"/>
                <w:sz w:val="18"/>
                <w:szCs w:val="18"/>
              </w:rPr>
              <w:t>净资产</w:t>
            </w:r>
          </w:p>
        </w:tc>
        <w:tc>
          <w:tcPr>
            <w:tcW w:w="10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58"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53" w:right="0"/>
              <w:jc w:val="left"/>
              <w:rPr>
                <w:rFonts w:ascii="宋体" w:hAnsi="宋体" w:cs="宋体" w:eastAsia="宋体" w:hint="default"/>
                <w:sz w:val="18"/>
                <w:szCs w:val="18"/>
              </w:rPr>
            </w:pPr>
            <w:r>
              <w:rPr>
                <w:rFonts w:ascii="宋体" w:hAnsi="宋体" w:cs="宋体" w:eastAsia="宋体" w:hint="default"/>
                <w:sz w:val="18"/>
                <w:szCs w:val="18"/>
              </w:rPr>
              <w:t>营业利润</w:t>
            </w:r>
          </w:p>
        </w:tc>
        <w:tc>
          <w:tcPr>
            <w:tcW w:w="10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9" w:right="0"/>
              <w:jc w:val="left"/>
              <w:rPr>
                <w:rFonts w:ascii="宋体" w:hAnsi="宋体" w:cs="宋体" w:eastAsia="宋体" w:hint="default"/>
                <w:sz w:val="18"/>
                <w:szCs w:val="18"/>
              </w:rPr>
            </w:pPr>
            <w:r>
              <w:rPr>
                <w:rFonts w:ascii="宋体" w:hAnsi="宋体" w:cs="宋体" w:eastAsia="宋体" w:hint="default"/>
                <w:sz w:val="18"/>
                <w:szCs w:val="18"/>
              </w:rPr>
              <w:t>净利润</w:t>
            </w:r>
          </w:p>
        </w:tc>
      </w:tr>
      <w:tr>
        <w:trPr>
          <w:trHeight w:val="1652" w:hRule="exact"/>
        </w:trPr>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21" w:lineRule="auto" w:before="130"/>
              <w:ind w:left="105" w:right="214"/>
              <w:jc w:val="both"/>
              <w:rPr>
                <w:rFonts w:ascii="宋体" w:hAnsi="宋体" w:cs="宋体" w:eastAsia="宋体" w:hint="default"/>
                <w:sz w:val="18"/>
                <w:szCs w:val="18"/>
              </w:rPr>
            </w:pPr>
            <w:r>
              <w:rPr>
                <w:rFonts w:ascii="宋体" w:hAnsi="宋体" w:cs="宋体" w:eastAsia="宋体" w:hint="default"/>
                <w:sz w:val="18"/>
                <w:szCs w:val="18"/>
              </w:rPr>
              <w:t>南京奥拓</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电子科技</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有限公司</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3"/>
              <w:ind w:left="100" w:right="22"/>
              <w:jc w:val="left"/>
              <w:rPr>
                <w:rFonts w:ascii="宋体" w:hAnsi="宋体" w:cs="宋体" w:eastAsia="宋体" w:hint="default"/>
                <w:sz w:val="18"/>
                <w:szCs w:val="18"/>
              </w:rPr>
            </w:pPr>
            <w:r>
              <w:rPr>
                <w:rFonts w:ascii="宋体" w:hAnsi="宋体" w:cs="宋体" w:eastAsia="宋体" w:hint="default"/>
                <w:sz w:val="18"/>
                <w:szCs w:val="18"/>
              </w:rPr>
              <w:t>电子产品、</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光电产品、</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计算机产</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品的开发</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及销售</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5,000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万元</w:t>
            </w:r>
          </w:p>
          <w:p>
            <w:pPr>
              <w:pStyle w:val="TableParagraph"/>
              <w:spacing w:line="240" w:lineRule="auto" w:before="63"/>
              <w:ind w:left="105" w:right="0"/>
              <w:jc w:val="left"/>
              <w:rPr>
                <w:rFonts w:ascii="宋体" w:hAnsi="宋体" w:cs="宋体" w:eastAsia="宋体" w:hint="default"/>
                <w:sz w:val="18"/>
                <w:szCs w:val="18"/>
              </w:rPr>
            </w:pPr>
            <w:r>
              <w:rPr>
                <w:rFonts w:ascii="宋体" w:hAnsi="宋体" w:cs="宋体" w:eastAsia="宋体" w:hint="default"/>
                <w:sz w:val="18"/>
                <w:szCs w:val="18"/>
              </w:rPr>
              <w:t>人民币</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left="124" w:right="0"/>
              <w:jc w:val="left"/>
              <w:rPr>
                <w:rFonts w:ascii="Times New Roman" w:hAnsi="Times New Roman" w:cs="Times New Roman" w:eastAsia="Times New Roman" w:hint="default"/>
                <w:sz w:val="18"/>
                <w:szCs w:val="18"/>
              </w:rPr>
            </w:pPr>
            <w:r>
              <w:rPr>
                <w:rFonts w:ascii="Times New Roman"/>
                <w:sz w:val="18"/>
              </w:rPr>
              <w:t>399,543,79</w:t>
            </w:r>
          </w:p>
          <w:p>
            <w:pPr>
              <w:pStyle w:val="TableParagraph"/>
              <w:spacing w:line="240" w:lineRule="auto" w:before="105"/>
              <w:ind w:left="619" w:right="0"/>
              <w:jc w:val="left"/>
              <w:rPr>
                <w:rFonts w:ascii="Times New Roman" w:hAnsi="Times New Roman" w:cs="Times New Roman" w:eastAsia="Times New Roman" w:hint="default"/>
                <w:sz w:val="18"/>
                <w:szCs w:val="18"/>
              </w:rPr>
            </w:pPr>
            <w:r>
              <w:rPr>
                <w:rFonts w:ascii="Times New Roman"/>
                <w:sz w:val="18"/>
              </w:rPr>
              <w:t>4.00</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left="124" w:right="0"/>
              <w:jc w:val="left"/>
              <w:rPr>
                <w:rFonts w:ascii="Times New Roman" w:hAnsi="Times New Roman" w:cs="Times New Roman" w:eastAsia="Times New Roman" w:hint="default"/>
                <w:sz w:val="18"/>
                <w:szCs w:val="18"/>
              </w:rPr>
            </w:pPr>
            <w:r>
              <w:rPr>
                <w:rFonts w:ascii="Times New Roman"/>
                <w:sz w:val="18"/>
              </w:rPr>
              <w:t>214,647,99</w:t>
            </w:r>
          </w:p>
          <w:p>
            <w:pPr>
              <w:pStyle w:val="TableParagraph"/>
              <w:spacing w:line="240" w:lineRule="auto" w:before="105"/>
              <w:ind w:left="619" w:right="0"/>
              <w:jc w:val="left"/>
              <w:rPr>
                <w:rFonts w:ascii="Times New Roman" w:hAnsi="Times New Roman" w:cs="Times New Roman" w:eastAsia="Times New Roman" w:hint="default"/>
                <w:sz w:val="18"/>
                <w:szCs w:val="18"/>
              </w:rPr>
            </w:pPr>
            <w:r>
              <w:rPr>
                <w:rFonts w:ascii="Times New Roman"/>
                <w:sz w:val="18"/>
              </w:rPr>
              <w:t>4.01</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left="124" w:right="0"/>
              <w:jc w:val="left"/>
              <w:rPr>
                <w:rFonts w:ascii="Times New Roman" w:hAnsi="Times New Roman" w:cs="Times New Roman" w:eastAsia="Times New Roman" w:hint="default"/>
                <w:sz w:val="18"/>
                <w:szCs w:val="18"/>
              </w:rPr>
            </w:pPr>
            <w:r>
              <w:rPr>
                <w:rFonts w:ascii="Times New Roman"/>
                <w:sz w:val="18"/>
              </w:rPr>
              <w:t>376,363,49</w:t>
            </w:r>
          </w:p>
          <w:p>
            <w:pPr>
              <w:pStyle w:val="TableParagraph"/>
              <w:spacing w:line="240" w:lineRule="auto" w:before="105"/>
              <w:ind w:left="619" w:right="0"/>
              <w:jc w:val="left"/>
              <w:rPr>
                <w:rFonts w:ascii="Times New Roman" w:hAnsi="Times New Roman" w:cs="Times New Roman" w:eastAsia="Times New Roman" w:hint="default"/>
                <w:sz w:val="18"/>
                <w:szCs w:val="18"/>
              </w:rPr>
            </w:pPr>
            <w:r>
              <w:rPr>
                <w:rFonts w:ascii="Times New Roman"/>
                <w:sz w:val="18"/>
              </w:rPr>
              <w:t>2.30</w:t>
            </w:r>
          </w:p>
        </w:tc>
        <w:tc>
          <w:tcPr>
            <w:tcW w:w="10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38,283,294</w:t>
            </w:r>
          </w:p>
          <w:p>
            <w:pPr>
              <w:pStyle w:val="TableParagraph"/>
              <w:spacing w:line="240" w:lineRule="auto" w:before="105"/>
              <w:ind w:right="94"/>
              <w:jc w:val="right"/>
              <w:rPr>
                <w:rFonts w:ascii="Times New Roman" w:hAnsi="Times New Roman" w:cs="Times New Roman" w:eastAsia="Times New Roman" w:hint="default"/>
                <w:sz w:val="18"/>
                <w:szCs w:val="18"/>
              </w:rPr>
            </w:pPr>
            <w:r>
              <w:rPr>
                <w:rFonts w:ascii="Times New Roman"/>
                <w:sz w:val="18"/>
              </w:rPr>
              <w:t>.54</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36,255,681</w:t>
            </w:r>
          </w:p>
          <w:p>
            <w:pPr>
              <w:pStyle w:val="TableParagraph"/>
              <w:spacing w:line="240" w:lineRule="auto" w:before="105"/>
              <w:ind w:right="94"/>
              <w:jc w:val="right"/>
              <w:rPr>
                <w:rFonts w:ascii="Times New Roman" w:hAnsi="Times New Roman" w:cs="Times New Roman" w:eastAsia="Times New Roman" w:hint="default"/>
                <w:sz w:val="18"/>
                <w:szCs w:val="18"/>
              </w:rPr>
            </w:pPr>
            <w:r>
              <w:rPr>
                <w:rFonts w:ascii="Times New Roman"/>
                <w:sz w:val="18"/>
              </w:rPr>
              <w:t>.07</w:t>
            </w:r>
          </w:p>
        </w:tc>
      </w:tr>
      <w:tr>
        <w:trPr>
          <w:trHeight w:val="1652" w:hRule="exact"/>
        </w:trPr>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319" w:lineRule="auto"/>
              <w:ind w:left="105" w:right="214"/>
              <w:jc w:val="both"/>
              <w:rPr>
                <w:rFonts w:ascii="宋体" w:hAnsi="宋体" w:cs="宋体" w:eastAsia="宋体" w:hint="default"/>
                <w:sz w:val="18"/>
                <w:szCs w:val="18"/>
              </w:rPr>
            </w:pPr>
            <w:r>
              <w:rPr>
                <w:rFonts w:ascii="宋体" w:hAnsi="宋体" w:cs="宋体" w:eastAsia="宋体" w:hint="default"/>
                <w:sz w:val="18"/>
                <w:szCs w:val="18"/>
              </w:rPr>
              <w:t>惠州市奥</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拓电子科</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技有限公</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司</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3"/>
              <w:ind w:left="100" w:right="22"/>
              <w:jc w:val="left"/>
              <w:rPr>
                <w:rFonts w:ascii="宋体" w:hAnsi="宋体" w:cs="宋体" w:eastAsia="宋体" w:hint="default"/>
                <w:sz w:val="18"/>
                <w:szCs w:val="18"/>
              </w:rPr>
            </w:pPr>
            <w:r>
              <w:rPr>
                <w:rFonts w:ascii="宋体" w:hAnsi="宋体" w:cs="宋体" w:eastAsia="宋体" w:hint="default"/>
                <w:sz w:val="18"/>
                <w:szCs w:val="18"/>
              </w:rPr>
              <w:t>电子产品、</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光电产品、</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计算机产</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品的开发</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及销售</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1,500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万元</w:t>
            </w:r>
          </w:p>
          <w:p>
            <w:pPr>
              <w:pStyle w:val="TableParagraph"/>
              <w:spacing w:line="240" w:lineRule="auto" w:before="63"/>
              <w:ind w:left="105" w:right="0"/>
              <w:jc w:val="left"/>
              <w:rPr>
                <w:rFonts w:ascii="宋体" w:hAnsi="宋体" w:cs="宋体" w:eastAsia="宋体" w:hint="default"/>
                <w:sz w:val="18"/>
                <w:szCs w:val="18"/>
              </w:rPr>
            </w:pPr>
            <w:r>
              <w:rPr>
                <w:rFonts w:ascii="宋体" w:hAnsi="宋体" w:cs="宋体" w:eastAsia="宋体" w:hint="default"/>
                <w:sz w:val="18"/>
                <w:szCs w:val="18"/>
              </w:rPr>
              <w:t>人民币</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left="124" w:right="0"/>
              <w:jc w:val="left"/>
              <w:rPr>
                <w:rFonts w:ascii="Times New Roman" w:hAnsi="Times New Roman" w:cs="Times New Roman" w:eastAsia="Times New Roman" w:hint="default"/>
                <w:sz w:val="18"/>
                <w:szCs w:val="18"/>
              </w:rPr>
            </w:pPr>
            <w:r>
              <w:rPr>
                <w:rFonts w:ascii="Times New Roman"/>
                <w:sz w:val="18"/>
              </w:rPr>
              <w:t>266,145,60</w:t>
            </w:r>
          </w:p>
          <w:p>
            <w:pPr>
              <w:pStyle w:val="TableParagraph"/>
              <w:spacing w:line="240" w:lineRule="auto" w:before="105"/>
              <w:ind w:left="619" w:right="0"/>
              <w:jc w:val="left"/>
              <w:rPr>
                <w:rFonts w:ascii="Times New Roman" w:hAnsi="Times New Roman" w:cs="Times New Roman" w:eastAsia="Times New Roman" w:hint="default"/>
                <w:sz w:val="18"/>
                <w:szCs w:val="18"/>
              </w:rPr>
            </w:pPr>
            <w:r>
              <w:rPr>
                <w:rFonts w:ascii="Times New Roman"/>
                <w:sz w:val="18"/>
              </w:rPr>
              <w:t>0.48</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left="124" w:right="0"/>
              <w:jc w:val="left"/>
              <w:rPr>
                <w:rFonts w:ascii="Times New Roman" w:hAnsi="Times New Roman" w:cs="Times New Roman" w:eastAsia="Times New Roman" w:hint="default"/>
                <w:sz w:val="18"/>
                <w:szCs w:val="18"/>
              </w:rPr>
            </w:pPr>
            <w:r>
              <w:rPr>
                <w:rFonts w:ascii="Times New Roman"/>
                <w:sz w:val="18"/>
              </w:rPr>
              <w:t>150,450,97</w:t>
            </w:r>
          </w:p>
          <w:p>
            <w:pPr>
              <w:pStyle w:val="TableParagraph"/>
              <w:spacing w:line="240" w:lineRule="auto" w:before="105"/>
              <w:ind w:left="619" w:right="0"/>
              <w:jc w:val="left"/>
              <w:rPr>
                <w:rFonts w:ascii="Times New Roman" w:hAnsi="Times New Roman" w:cs="Times New Roman" w:eastAsia="Times New Roman" w:hint="default"/>
                <w:sz w:val="18"/>
                <w:szCs w:val="18"/>
              </w:rPr>
            </w:pPr>
            <w:r>
              <w:rPr>
                <w:rFonts w:ascii="Times New Roman"/>
                <w:sz w:val="18"/>
              </w:rPr>
              <w:t>9.35</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left="124" w:right="0"/>
              <w:jc w:val="left"/>
              <w:rPr>
                <w:rFonts w:ascii="Times New Roman" w:hAnsi="Times New Roman" w:cs="Times New Roman" w:eastAsia="Times New Roman" w:hint="default"/>
                <w:sz w:val="18"/>
                <w:szCs w:val="18"/>
              </w:rPr>
            </w:pPr>
            <w:r>
              <w:rPr>
                <w:rFonts w:ascii="Times New Roman"/>
                <w:sz w:val="18"/>
              </w:rPr>
              <w:t>209,286,47</w:t>
            </w:r>
          </w:p>
          <w:p>
            <w:pPr>
              <w:pStyle w:val="TableParagraph"/>
              <w:spacing w:line="240" w:lineRule="auto" w:before="105"/>
              <w:ind w:left="619" w:right="0"/>
              <w:jc w:val="left"/>
              <w:rPr>
                <w:rFonts w:ascii="Times New Roman" w:hAnsi="Times New Roman" w:cs="Times New Roman" w:eastAsia="Times New Roman" w:hint="default"/>
                <w:sz w:val="18"/>
                <w:szCs w:val="18"/>
              </w:rPr>
            </w:pPr>
            <w:r>
              <w:rPr>
                <w:rFonts w:ascii="Times New Roman"/>
                <w:sz w:val="18"/>
              </w:rPr>
              <w:t>4.70</w:t>
            </w:r>
          </w:p>
        </w:tc>
        <w:tc>
          <w:tcPr>
            <w:tcW w:w="10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2"/>
                <w:sz w:val="18"/>
              </w:rPr>
              <w:t>4,546,261.</w:t>
            </w:r>
          </w:p>
          <w:p>
            <w:pPr>
              <w:pStyle w:val="TableParagraph"/>
              <w:spacing w:line="240" w:lineRule="auto" w:before="105"/>
              <w:ind w:right="94"/>
              <w:jc w:val="right"/>
              <w:rPr>
                <w:rFonts w:ascii="Times New Roman" w:hAnsi="Times New Roman" w:cs="Times New Roman" w:eastAsia="Times New Roman" w:hint="default"/>
                <w:sz w:val="18"/>
                <w:szCs w:val="18"/>
              </w:rPr>
            </w:pPr>
            <w:r>
              <w:rPr>
                <w:rFonts w:ascii="Times New Roman"/>
                <w:sz w:val="18"/>
              </w:rPr>
              <w:t>28</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2"/>
                <w:sz w:val="18"/>
              </w:rPr>
              <w:t>5,538,120.</w:t>
            </w:r>
          </w:p>
          <w:p>
            <w:pPr>
              <w:pStyle w:val="TableParagraph"/>
              <w:spacing w:line="240" w:lineRule="auto" w:before="105"/>
              <w:ind w:right="95"/>
              <w:jc w:val="right"/>
              <w:rPr>
                <w:rFonts w:ascii="Times New Roman" w:hAnsi="Times New Roman" w:cs="Times New Roman" w:eastAsia="Times New Roman" w:hint="default"/>
                <w:sz w:val="18"/>
                <w:szCs w:val="18"/>
              </w:rPr>
            </w:pPr>
            <w:r>
              <w:rPr>
                <w:rFonts w:ascii="Times New Roman"/>
                <w:sz w:val="18"/>
              </w:rPr>
              <w:t>15</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100" w:bottom="1220" w:left="980" w:right="0"/>
        </w:sectPr>
      </w:pPr>
    </w:p>
    <w:p>
      <w:pPr>
        <w:spacing w:line="240" w:lineRule="auto" w:before="7"/>
        <w:rPr>
          <w:rFonts w:ascii="宋体" w:hAnsi="宋体" w:cs="宋体" w:eastAsia="宋体" w:hint="default"/>
          <w:sz w:val="25"/>
          <w:szCs w:val="25"/>
        </w:rPr>
      </w:pPr>
    </w:p>
    <w:tbl>
      <w:tblPr>
        <w:tblW w:w="0" w:type="auto"/>
        <w:jc w:val="left"/>
        <w:tblInd w:w="148" w:type="dxa"/>
        <w:tblLayout w:type="fixed"/>
        <w:tblCellMar>
          <w:top w:w="0" w:type="dxa"/>
          <w:left w:w="0" w:type="dxa"/>
          <w:bottom w:w="0" w:type="dxa"/>
          <w:right w:w="0" w:type="dxa"/>
        </w:tblCellMar>
        <w:tblLook w:val="01E0"/>
      </w:tblPr>
      <w:tblGrid>
        <w:gridCol w:w="1057"/>
        <w:gridCol w:w="1196"/>
        <w:gridCol w:w="1042"/>
        <w:gridCol w:w="1046"/>
        <w:gridCol w:w="1047"/>
        <w:gridCol w:w="1047"/>
        <w:gridCol w:w="1047"/>
        <w:gridCol w:w="1042"/>
        <w:gridCol w:w="1046"/>
      </w:tblGrid>
      <w:tr>
        <w:trPr>
          <w:trHeight w:val="1964" w:hRule="exact"/>
        </w:trPr>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2"/>
                <w:szCs w:val="22"/>
              </w:rPr>
            </w:pPr>
          </w:p>
          <w:p>
            <w:pPr>
              <w:pStyle w:val="TableParagraph"/>
              <w:spacing w:line="309" w:lineRule="auto"/>
              <w:ind w:left="105" w:right="156"/>
              <w:jc w:val="both"/>
              <w:rPr>
                <w:rFonts w:ascii="宋体" w:hAnsi="宋体" w:cs="宋体" w:eastAsia="宋体" w:hint="default"/>
                <w:sz w:val="18"/>
                <w:szCs w:val="18"/>
              </w:rPr>
            </w:pPr>
            <w:r>
              <w:rPr>
                <w:rFonts w:ascii="宋体" w:hAnsi="宋体" w:cs="宋体" w:eastAsia="宋体" w:hint="default"/>
                <w:sz w:val="18"/>
                <w:szCs w:val="18"/>
              </w:rPr>
              <w:t>奥拓电子</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Times New Roman" w:hAnsi="Times New Roman" w:cs="Times New Roman" w:eastAsia="Times New Roman" w:hint="default"/>
                <w:sz w:val="18"/>
                <w:szCs w:val="18"/>
              </w:rPr>
              <w:t>(</w:t>
            </w:r>
            <w:r>
              <w:rPr>
                <w:rFonts w:ascii="宋体" w:hAnsi="宋体" w:cs="宋体" w:eastAsia="宋体" w:hint="default"/>
                <w:sz w:val="18"/>
                <w:szCs w:val="18"/>
              </w:rPr>
              <w:t>香港）有</w:t>
            </w:r>
            <w:r>
              <w:rPr>
                <w:rFonts w:ascii="宋体" w:hAnsi="宋体" w:cs="宋体" w:eastAsia="宋体" w:hint="default"/>
                <w:w w:val="101"/>
                <w:sz w:val="18"/>
                <w:szCs w:val="18"/>
              </w:rPr>
              <w:t> </w:t>
            </w:r>
            <w:r>
              <w:rPr>
                <w:rFonts w:ascii="宋体" w:hAnsi="宋体" w:cs="宋体" w:eastAsia="宋体" w:hint="default"/>
                <w:sz w:val="18"/>
                <w:szCs w:val="18"/>
              </w:rPr>
              <w:t>限公司</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00"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3"/>
              <w:ind w:left="100" w:right="22"/>
              <w:jc w:val="left"/>
              <w:rPr>
                <w:rFonts w:ascii="宋体" w:hAnsi="宋体" w:cs="宋体" w:eastAsia="宋体" w:hint="default"/>
                <w:sz w:val="18"/>
                <w:szCs w:val="18"/>
              </w:rPr>
            </w:pPr>
            <w:r>
              <w:rPr>
                <w:rFonts w:ascii="宋体" w:hAnsi="宋体" w:cs="宋体" w:eastAsia="宋体" w:hint="default"/>
                <w:sz w:val="18"/>
                <w:szCs w:val="18"/>
              </w:rPr>
              <w:t>电子产品</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研发设计，</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进出口贸</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16"/>
                <w:w w:val="101"/>
                <w:sz w:val="18"/>
                <w:szCs w:val="18"/>
              </w:rPr>
              <w:t>易，电子设</w:t>
            </w:r>
            <w:r>
              <w:rPr>
                <w:rFonts w:ascii="宋体" w:hAnsi="宋体" w:cs="宋体" w:eastAsia="宋体" w:hint="default"/>
                <w:spacing w:val="-90"/>
                <w:w w:val="101"/>
                <w:sz w:val="18"/>
                <w:szCs w:val="18"/>
              </w:rPr>
              <w:t> </w:t>
            </w:r>
            <w:r>
              <w:rPr>
                <w:rFonts w:ascii="宋体" w:hAnsi="宋体" w:cs="宋体" w:eastAsia="宋体" w:hint="default"/>
                <w:spacing w:val="-90"/>
                <w:w w:val="101"/>
                <w:sz w:val="18"/>
                <w:szCs w:val="18"/>
              </w:rPr>
            </w:r>
            <w:r>
              <w:rPr>
                <w:rFonts w:ascii="宋体" w:hAnsi="宋体" w:cs="宋体" w:eastAsia="宋体" w:hint="default"/>
                <w:spacing w:val="-16"/>
                <w:w w:val="101"/>
                <w:sz w:val="18"/>
                <w:szCs w:val="18"/>
              </w:rPr>
              <w:t>备租赁，投</w:t>
            </w:r>
            <w:r>
              <w:rPr>
                <w:rFonts w:ascii="宋体" w:hAnsi="宋体" w:cs="宋体" w:eastAsia="宋体" w:hint="default"/>
                <w:spacing w:val="-90"/>
                <w:w w:val="101"/>
                <w:sz w:val="18"/>
                <w:szCs w:val="18"/>
              </w:rPr>
              <w:t> </w:t>
            </w:r>
            <w:r>
              <w:rPr>
                <w:rFonts w:ascii="宋体" w:hAnsi="宋体" w:cs="宋体" w:eastAsia="宋体" w:hint="default"/>
                <w:spacing w:val="-90"/>
                <w:w w:val="101"/>
                <w:sz w:val="18"/>
                <w:szCs w:val="18"/>
              </w:rPr>
            </w:r>
            <w:r>
              <w:rPr>
                <w:rFonts w:ascii="宋体" w:hAnsi="宋体" w:cs="宋体" w:eastAsia="宋体" w:hint="default"/>
                <w:sz w:val="18"/>
                <w:szCs w:val="18"/>
              </w:rPr>
              <w:t>资控股</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300" w:lineRule="auto"/>
              <w:ind w:left="105" w:right="247"/>
              <w:jc w:val="left"/>
              <w:rPr>
                <w:rFonts w:ascii="宋体" w:hAnsi="宋体" w:cs="宋体" w:eastAsia="宋体" w:hint="default"/>
                <w:sz w:val="18"/>
                <w:szCs w:val="18"/>
              </w:rPr>
            </w:pPr>
            <w:r>
              <w:rPr>
                <w:rFonts w:ascii="Times New Roman" w:hAnsi="Times New Roman" w:cs="Times New Roman" w:eastAsia="Times New Roman" w:hint="default"/>
                <w:sz w:val="18"/>
                <w:szCs w:val="18"/>
              </w:rPr>
              <w:t>500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万美</w:t>
            </w:r>
            <w:r>
              <w:rPr>
                <w:rFonts w:ascii="宋体" w:hAnsi="宋体" w:cs="宋体" w:eastAsia="宋体" w:hint="default"/>
                <w:w w:val="101"/>
                <w:sz w:val="18"/>
                <w:szCs w:val="18"/>
              </w:rPr>
              <w:t> </w:t>
            </w:r>
            <w:r>
              <w:rPr>
                <w:rFonts w:ascii="宋体" w:hAnsi="宋体" w:cs="宋体" w:eastAsia="宋体" w:hint="default"/>
                <w:sz w:val="18"/>
                <w:szCs w:val="18"/>
              </w:rPr>
              <w:t>元</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77,368,342</w:t>
            </w:r>
          </w:p>
          <w:p>
            <w:pPr>
              <w:pStyle w:val="TableParagraph"/>
              <w:spacing w:line="240" w:lineRule="auto" w:before="105"/>
              <w:ind w:right="94"/>
              <w:jc w:val="right"/>
              <w:rPr>
                <w:rFonts w:ascii="Times New Roman" w:hAnsi="Times New Roman" w:cs="Times New Roman" w:eastAsia="Times New Roman" w:hint="default"/>
                <w:sz w:val="18"/>
                <w:szCs w:val="18"/>
              </w:rPr>
            </w:pPr>
            <w:r>
              <w:rPr>
                <w:rFonts w:ascii="Times New Roman"/>
                <w:sz w:val="18"/>
              </w:rPr>
              <w:t>.62</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23,669,778</w:t>
            </w:r>
          </w:p>
          <w:p>
            <w:pPr>
              <w:pStyle w:val="TableParagraph"/>
              <w:spacing w:line="240" w:lineRule="auto" w:before="105"/>
              <w:ind w:right="94"/>
              <w:jc w:val="right"/>
              <w:rPr>
                <w:rFonts w:ascii="Times New Roman" w:hAnsi="Times New Roman" w:cs="Times New Roman" w:eastAsia="Times New Roman" w:hint="default"/>
                <w:sz w:val="18"/>
                <w:szCs w:val="18"/>
              </w:rPr>
            </w:pPr>
            <w:r>
              <w:rPr>
                <w:rFonts w:ascii="Times New Roman"/>
                <w:sz w:val="18"/>
              </w:rPr>
              <w:t>.96</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85,419,866</w:t>
            </w:r>
          </w:p>
          <w:p>
            <w:pPr>
              <w:pStyle w:val="TableParagraph"/>
              <w:spacing w:line="240" w:lineRule="auto" w:before="105"/>
              <w:ind w:right="94"/>
              <w:jc w:val="right"/>
              <w:rPr>
                <w:rFonts w:ascii="Times New Roman" w:hAnsi="Times New Roman" w:cs="Times New Roman" w:eastAsia="Times New Roman" w:hint="default"/>
                <w:sz w:val="18"/>
                <w:szCs w:val="18"/>
              </w:rPr>
            </w:pPr>
            <w:r>
              <w:rPr>
                <w:rFonts w:ascii="Times New Roman"/>
                <w:sz w:val="18"/>
              </w:rPr>
              <w:t>.56</w:t>
            </w:r>
          </w:p>
        </w:tc>
        <w:tc>
          <w:tcPr>
            <w:tcW w:w="10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2"/>
                <w:sz w:val="18"/>
              </w:rPr>
              <w:t>3,291,698.</w:t>
            </w:r>
          </w:p>
          <w:p>
            <w:pPr>
              <w:pStyle w:val="TableParagraph"/>
              <w:spacing w:line="240" w:lineRule="auto" w:before="105"/>
              <w:ind w:right="94"/>
              <w:jc w:val="right"/>
              <w:rPr>
                <w:rFonts w:ascii="Times New Roman" w:hAnsi="Times New Roman" w:cs="Times New Roman" w:eastAsia="Times New Roman" w:hint="default"/>
                <w:sz w:val="18"/>
                <w:szCs w:val="18"/>
              </w:rPr>
            </w:pPr>
            <w:r>
              <w:rPr>
                <w:rFonts w:ascii="Times New Roman"/>
                <w:sz w:val="18"/>
              </w:rPr>
              <w:t>21</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2"/>
                <w:sz w:val="18"/>
              </w:rPr>
              <w:t>2,512,232.</w:t>
            </w:r>
          </w:p>
          <w:p>
            <w:pPr>
              <w:pStyle w:val="TableParagraph"/>
              <w:spacing w:line="240" w:lineRule="auto" w:before="105"/>
              <w:ind w:right="95"/>
              <w:jc w:val="right"/>
              <w:rPr>
                <w:rFonts w:ascii="Times New Roman" w:hAnsi="Times New Roman" w:cs="Times New Roman" w:eastAsia="Times New Roman" w:hint="default"/>
                <w:sz w:val="18"/>
                <w:szCs w:val="18"/>
              </w:rPr>
            </w:pPr>
            <w:r>
              <w:rPr>
                <w:rFonts w:ascii="Times New Roman"/>
                <w:sz w:val="18"/>
              </w:rPr>
              <w:t>62</w:t>
            </w:r>
          </w:p>
        </w:tc>
      </w:tr>
      <w:tr>
        <w:trPr>
          <w:trHeight w:val="1335" w:hRule="exact"/>
        </w:trPr>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3"/>
              <w:ind w:left="105" w:right="214"/>
              <w:jc w:val="both"/>
              <w:rPr>
                <w:rFonts w:ascii="宋体" w:hAnsi="宋体" w:cs="宋体" w:eastAsia="宋体" w:hint="default"/>
                <w:sz w:val="18"/>
                <w:szCs w:val="18"/>
              </w:rPr>
            </w:pPr>
            <w:r>
              <w:rPr>
                <w:rFonts w:ascii="宋体" w:hAnsi="宋体" w:cs="宋体" w:eastAsia="宋体" w:hint="default"/>
                <w:sz w:val="18"/>
                <w:szCs w:val="18"/>
              </w:rPr>
              <w:t>深圳市千</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百辉照明</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工程有限</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公司</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安装工程</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10,006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万</w:t>
            </w:r>
          </w:p>
          <w:p>
            <w:pPr>
              <w:pStyle w:val="TableParagraph"/>
              <w:spacing w:line="240" w:lineRule="auto" w:before="63"/>
              <w:ind w:left="105" w:right="0"/>
              <w:jc w:val="left"/>
              <w:rPr>
                <w:rFonts w:ascii="宋体" w:hAnsi="宋体" w:cs="宋体" w:eastAsia="宋体" w:hint="default"/>
                <w:sz w:val="18"/>
                <w:szCs w:val="18"/>
              </w:rPr>
            </w:pPr>
            <w:r>
              <w:rPr>
                <w:rFonts w:ascii="宋体" w:hAnsi="宋体" w:cs="宋体" w:eastAsia="宋体" w:hint="default"/>
                <w:sz w:val="18"/>
                <w:szCs w:val="18"/>
              </w:rPr>
              <w:t>元人民币</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124" w:right="0"/>
              <w:jc w:val="left"/>
              <w:rPr>
                <w:rFonts w:ascii="Times New Roman" w:hAnsi="Times New Roman" w:cs="Times New Roman" w:eastAsia="Times New Roman" w:hint="default"/>
                <w:sz w:val="18"/>
                <w:szCs w:val="18"/>
              </w:rPr>
            </w:pPr>
            <w:r>
              <w:rPr>
                <w:rFonts w:ascii="Times New Roman"/>
                <w:sz w:val="18"/>
              </w:rPr>
              <w:t>996,983,42</w:t>
            </w:r>
          </w:p>
          <w:p>
            <w:pPr>
              <w:pStyle w:val="TableParagraph"/>
              <w:spacing w:line="240" w:lineRule="auto" w:before="105"/>
              <w:ind w:left="619" w:right="0"/>
              <w:jc w:val="left"/>
              <w:rPr>
                <w:rFonts w:ascii="Times New Roman" w:hAnsi="Times New Roman" w:cs="Times New Roman" w:eastAsia="Times New Roman" w:hint="default"/>
                <w:sz w:val="18"/>
                <w:szCs w:val="18"/>
              </w:rPr>
            </w:pPr>
            <w:r>
              <w:rPr>
                <w:rFonts w:ascii="Times New Roman"/>
                <w:sz w:val="18"/>
              </w:rPr>
              <w:t>9.32</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124" w:right="0"/>
              <w:jc w:val="left"/>
              <w:rPr>
                <w:rFonts w:ascii="Times New Roman" w:hAnsi="Times New Roman" w:cs="Times New Roman" w:eastAsia="Times New Roman" w:hint="default"/>
                <w:sz w:val="18"/>
                <w:szCs w:val="18"/>
              </w:rPr>
            </w:pPr>
            <w:r>
              <w:rPr>
                <w:rFonts w:ascii="Times New Roman"/>
                <w:sz w:val="18"/>
              </w:rPr>
              <w:t>338,106,12</w:t>
            </w:r>
          </w:p>
          <w:p>
            <w:pPr>
              <w:pStyle w:val="TableParagraph"/>
              <w:spacing w:line="240" w:lineRule="auto" w:before="105"/>
              <w:ind w:left="619" w:right="0"/>
              <w:jc w:val="left"/>
              <w:rPr>
                <w:rFonts w:ascii="Times New Roman" w:hAnsi="Times New Roman" w:cs="Times New Roman" w:eastAsia="Times New Roman" w:hint="default"/>
                <w:sz w:val="18"/>
                <w:szCs w:val="18"/>
              </w:rPr>
            </w:pPr>
            <w:r>
              <w:rPr>
                <w:rFonts w:ascii="Times New Roman"/>
                <w:sz w:val="18"/>
              </w:rPr>
              <w:t>8.60</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124" w:right="0"/>
              <w:jc w:val="left"/>
              <w:rPr>
                <w:rFonts w:ascii="Times New Roman" w:hAnsi="Times New Roman" w:cs="Times New Roman" w:eastAsia="Times New Roman" w:hint="default"/>
                <w:sz w:val="18"/>
                <w:szCs w:val="18"/>
              </w:rPr>
            </w:pPr>
            <w:r>
              <w:rPr>
                <w:rFonts w:ascii="Times New Roman"/>
                <w:sz w:val="18"/>
              </w:rPr>
              <w:t>455,885,15</w:t>
            </w:r>
          </w:p>
          <w:p>
            <w:pPr>
              <w:pStyle w:val="TableParagraph"/>
              <w:spacing w:line="240" w:lineRule="auto" w:before="105"/>
              <w:ind w:left="619" w:right="0"/>
              <w:jc w:val="left"/>
              <w:rPr>
                <w:rFonts w:ascii="Times New Roman" w:hAnsi="Times New Roman" w:cs="Times New Roman" w:eastAsia="Times New Roman" w:hint="default"/>
                <w:sz w:val="18"/>
                <w:szCs w:val="18"/>
              </w:rPr>
            </w:pPr>
            <w:r>
              <w:rPr>
                <w:rFonts w:ascii="Times New Roman"/>
                <w:sz w:val="18"/>
              </w:rPr>
              <w:t>6.24</w:t>
            </w:r>
          </w:p>
        </w:tc>
        <w:tc>
          <w:tcPr>
            <w:tcW w:w="10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49,379,565</w:t>
            </w:r>
          </w:p>
          <w:p>
            <w:pPr>
              <w:pStyle w:val="TableParagraph"/>
              <w:spacing w:line="240" w:lineRule="auto" w:before="105"/>
              <w:ind w:right="94"/>
              <w:jc w:val="right"/>
              <w:rPr>
                <w:rFonts w:ascii="Times New Roman" w:hAnsi="Times New Roman" w:cs="Times New Roman" w:eastAsia="Times New Roman" w:hint="default"/>
                <w:sz w:val="18"/>
                <w:szCs w:val="18"/>
              </w:rPr>
            </w:pPr>
            <w:r>
              <w:rPr>
                <w:rFonts w:ascii="Times New Roman"/>
                <w:sz w:val="18"/>
              </w:rPr>
              <w:t>.86</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41,946,470</w:t>
            </w:r>
          </w:p>
          <w:p>
            <w:pPr>
              <w:pStyle w:val="TableParagraph"/>
              <w:spacing w:line="240" w:lineRule="auto" w:before="105"/>
              <w:ind w:right="94"/>
              <w:jc w:val="right"/>
              <w:rPr>
                <w:rFonts w:ascii="Times New Roman" w:hAnsi="Times New Roman" w:cs="Times New Roman" w:eastAsia="Times New Roman" w:hint="default"/>
                <w:sz w:val="18"/>
                <w:szCs w:val="18"/>
              </w:rPr>
            </w:pPr>
            <w:r>
              <w:rPr>
                <w:rFonts w:ascii="Times New Roman"/>
                <w:sz w:val="18"/>
              </w:rPr>
              <w:t>.31</w:t>
            </w:r>
          </w:p>
        </w:tc>
      </w:tr>
      <w:tr>
        <w:trPr>
          <w:trHeight w:val="1340" w:hRule="exact"/>
        </w:trPr>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8"/>
              <w:ind w:left="105" w:right="214"/>
              <w:jc w:val="both"/>
              <w:rPr>
                <w:rFonts w:ascii="宋体" w:hAnsi="宋体" w:cs="宋体" w:eastAsia="宋体" w:hint="default"/>
                <w:sz w:val="18"/>
                <w:szCs w:val="18"/>
              </w:rPr>
            </w:pPr>
            <w:r>
              <w:rPr>
                <w:rFonts w:ascii="宋体" w:hAnsi="宋体" w:cs="宋体" w:eastAsia="宋体" w:hint="default"/>
                <w:sz w:val="18"/>
                <w:szCs w:val="18"/>
              </w:rPr>
              <w:t>深圳市奥</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拓立翔光</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电科技有</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限公司</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w w:val="101"/>
                <w:sz w:val="18"/>
                <w:szCs w:val="18"/>
              </w:rPr>
              <w:t>研发</w:t>
            </w:r>
            <w:r>
              <w:rPr>
                <w:rFonts w:ascii="宋体" w:hAnsi="宋体" w:cs="宋体" w:eastAsia="宋体" w:hint="default"/>
                <w:spacing w:val="-77"/>
                <w:w w:val="101"/>
                <w:sz w:val="18"/>
                <w:szCs w:val="18"/>
              </w:rPr>
              <w:t>、</w:t>
            </w:r>
            <w:r>
              <w:rPr>
                <w:rFonts w:ascii="宋体" w:hAnsi="宋体" w:cs="宋体" w:eastAsia="宋体" w:hint="default"/>
                <w:w w:val="101"/>
                <w:sz w:val="18"/>
                <w:szCs w:val="18"/>
              </w:rPr>
              <w:t>销售</w:t>
            </w:r>
            <w:r>
              <w:rPr>
                <w:rFonts w:ascii="宋体" w:hAnsi="宋体" w:cs="宋体" w:eastAsia="宋体" w:hint="default"/>
                <w:sz w:val="18"/>
                <w:szCs w:val="18"/>
              </w:rPr>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5"/>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3,750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万元</w:t>
            </w:r>
          </w:p>
          <w:p>
            <w:pPr>
              <w:pStyle w:val="TableParagraph"/>
              <w:spacing w:line="240" w:lineRule="auto" w:before="63"/>
              <w:ind w:left="105" w:right="0"/>
              <w:jc w:val="left"/>
              <w:rPr>
                <w:rFonts w:ascii="宋体" w:hAnsi="宋体" w:cs="宋体" w:eastAsia="宋体" w:hint="default"/>
                <w:sz w:val="18"/>
                <w:szCs w:val="18"/>
              </w:rPr>
            </w:pPr>
            <w:r>
              <w:rPr>
                <w:rFonts w:ascii="宋体" w:hAnsi="宋体" w:cs="宋体" w:eastAsia="宋体" w:hint="default"/>
                <w:sz w:val="18"/>
                <w:szCs w:val="18"/>
              </w:rPr>
              <w:t>人民币</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66,165,888</w:t>
            </w:r>
          </w:p>
          <w:p>
            <w:pPr>
              <w:pStyle w:val="TableParagraph"/>
              <w:spacing w:line="240" w:lineRule="auto" w:before="105"/>
              <w:ind w:right="94"/>
              <w:jc w:val="right"/>
              <w:rPr>
                <w:rFonts w:ascii="Times New Roman" w:hAnsi="Times New Roman" w:cs="Times New Roman" w:eastAsia="Times New Roman" w:hint="default"/>
                <w:sz w:val="18"/>
                <w:szCs w:val="18"/>
              </w:rPr>
            </w:pPr>
            <w:r>
              <w:rPr>
                <w:rFonts w:ascii="Times New Roman"/>
                <w:sz w:val="18"/>
              </w:rPr>
              <w:t>.36</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38,378,535</w:t>
            </w:r>
          </w:p>
          <w:p>
            <w:pPr>
              <w:pStyle w:val="TableParagraph"/>
              <w:spacing w:line="240" w:lineRule="auto" w:before="105"/>
              <w:ind w:right="94"/>
              <w:jc w:val="right"/>
              <w:rPr>
                <w:rFonts w:ascii="Times New Roman" w:hAnsi="Times New Roman" w:cs="Times New Roman" w:eastAsia="Times New Roman" w:hint="default"/>
                <w:sz w:val="18"/>
                <w:szCs w:val="18"/>
              </w:rPr>
            </w:pPr>
            <w:r>
              <w:rPr>
                <w:rFonts w:ascii="Times New Roman"/>
                <w:sz w:val="18"/>
              </w:rPr>
              <w:t>.79</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48,568,603</w:t>
            </w:r>
          </w:p>
          <w:p>
            <w:pPr>
              <w:pStyle w:val="TableParagraph"/>
              <w:spacing w:line="240" w:lineRule="auto" w:before="105"/>
              <w:ind w:right="94"/>
              <w:jc w:val="right"/>
              <w:rPr>
                <w:rFonts w:ascii="Times New Roman" w:hAnsi="Times New Roman" w:cs="Times New Roman" w:eastAsia="Times New Roman" w:hint="default"/>
                <w:sz w:val="18"/>
                <w:szCs w:val="18"/>
              </w:rPr>
            </w:pPr>
            <w:r>
              <w:rPr>
                <w:rFonts w:ascii="Times New Roman"/>
                <w:sz w:val="18"/>
              </w:rPr>
              <w:t>.45</w:t>
            </w:r>
          </w:p>
        </w:tc>
        <w:tc>
          <w:tcPr>
            <w:tcW w:w="10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1"/>
                <w:sz w:val="18"/>
              </w:rPr>
              <w:t>-1,109,449.</w:t>
            </w:r>
          </w:p>
          <w:p>
            <w:pPr>
              <w:pStyle w:val="TableParagraph"/>
              <w:spacing w:line="240" w:lineRule="auto" w:before="105"/>
              <w:ind w:right="94"/>
              <w:jc w:val="right"/>
              <w:rPr>
                <w:rFonts w:ascii="Times New Roman" w:hAnsi="Times New Roman" w:cs="Times New Roman" w:eastAsia="Times New Roman" w:hint="default"/>
                <w:sz w:val="18"/>
                <w:szCs w:val="18"/>
              </w:rPr>
            </w:pPr>
            <w:r>
              <w:rPr>
                <w:rFonts w:ascii="Times New Roman"/>
                <w:sz w:val="18"/>
              </w:rPr>
              <w:t>36</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-694,755.2</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bl>
    <w:p>
      <w:pPr>
        <w:pStyle w:val="BodyText"/>
        <w:spacing w:line="240" w:lineRule="auto" w:before="53"/>
        <w:ind w:right="0"/>
        <w:jc w:val="left"/>
      </w:pPr>
      <w:r>
        <w:rPr>
          <w:spacing w:val="-3"/>
        </w:rPr>
        <w:t>报告期内取得和处置子公司的情况</w:t>
      </w:r>
    </w:p>
    <w:p>
      <w:pPr>
        <w:pStyle w:val="BodyText"/>
        <w:spacing w:line="357" w:lineRule="auto" w:before="119"/>
        <w:ind w:right="8587"/>
        <w:jc w:val="left"/>
      </w:pPr>
      <w:r>
        <w:rPr/>
        <w:t>□ </w:t>
      </w:r>
      <w:r>
        <w:rPr>
          <w:spacing w:val="-3"/>
        </w:rPr>
        <w:t>适用 </w:t>
      </w:r>
      <w:r>
        <w:rPr/>
        <w:t>√ 不适用</w:t>
      </w:r>
      <w:r>
        <w:rPr>
          <w:spacing w:val="-77"/>
        </w:rPr>
        <w:t> </w:t>
      </w:r>
      <w:r>
        <w:rPr>
          <w:spacing w:val="-77"/>
        </w:rPr>
      </w:r>
      <w:r>
        <w:rPr>
          <w:spacing w:val="-3"/>
        </w:rPr>
        <w:t>主要控股参股公司情况说明</w:t>
      </w:r>
      <w:r>
        <w:rPr>
          <w:spacing w:val="-51"/>
        </w:rPr>
        <w:t> </w:t>
      </w:r>
      <w:r>
        <w:rPr>
          <w:spacing w:val="-51"/>
        </w:rPr>
      </w:r>
      <w:r>
        <w:rPr/>
        <w:t>无。</w:t>
      </w:r>
    </w:p>
    <w:p>
      <w:pPr>
        <w:spacing w:line="240" w:lineRule="auto" w:before="13"/>
        <w:rPr>
          <w:rFonts w:ascii="宋体" w:hAnsi="宋体" w:cs="宋体" w:eastAsia="宋体" w:hint="default"/>
          <w:sz w:val="17"/>
          <w:szCs w:val="17"/>
        </w:rPr>
      </w:pPr>
    </w:p>
    <w:p>
      <w:pPr>
        <w:pStyle w:val="Heading2"/>
        <w:spacing w:line="240" w:lineRule="auto"/>
        <w:ind w:right="0"/>
        <w:jc w:val="left"/>
        <w:rPr>
          <w:b w:val="0"/>
          <w:bCs w:val="0"/>
        </w:rPr>
      </w:pPr>
      <w:bookmarkStart w:name="八、公司控制的结构化主体情况" w:id="58"/>
      <w:bookmarkEnd w:id="58"/>
      <w:r>
        <w:rPr>
          <w:b w:val="0"/>
          <w:bCs w:val="0"/>
        </w:rPr>
      </w:r>
      <w:r>
        <w:rPr/>
        <w:t>八、公司控制的结构化主体情况</w:t>
      </w:r>
      <w:r>
        <w:rPr>
          <w:b w:val="0"/>
          <w:bCs w:val="0"/>
        </w:rPr>
      </w:r>
    </w:p>
    <w:p>
      <w:pPr>
        <w:spacing w:line="240" w:lineRule="auto" w:before="3"/>
        <w:rPr>
          <w:rFonts w:ascii="宋体" w:hAnsi="宋体" w:cs="宋体" w:eastAsia="宋体" w:hint="default"/>
          <w:b/>
          <w:bCs/>
          <w:sz w:val="27"/>
          <w:szCs w:val="27"/>
        </w:rPr>
      </w:pPr>
    </w:p>
    <w:p>
      <w:pPr>
        <w:pStyle w:val="BodyText"/>
        <w:spacing w:line="240" w:lineRule="auto" w:before="0"/>
        <w:ind w:right="0"/>
        <w:jc w:val="left"/>
      </w:pPr>
      <w:r>
        <w:rPr/>
        <w:t>□ </w:t>
      </w:r>
      <w:r>
        <w:rPr>
          <w:spacing w:val="-3"/>
        </w:rPr>
        <w:t>适用 </w:t>
      </w:r>
      <w:r>
        <w:rPr/>
        <w:t>√</w:t>
      </w:r>
      <w:r>
        <w:rPr>
          <w:spacing w:val="13"/>
        </w:rPr>
        <w:t> </w:t>
      </w:r>
      <w:r>
        <w:rPr/>
        <w:t>不适用</w:t>
      </w:r>
    </w:p>
    <w:p>
      <w:pPr>
        <w:spacing w:line="240" w:lineRule="auto" w:before="13"/>
        <w:rPr>
          <w:rFonts w:ascii="宋体" w:hAnsi="宋体" w:cs="宋体" w:eastAsia="宋体" w:hint="default"/>
          <w:sz w:val="23"/>
          <w:szCs w:val="23"/>
        </w:rPr>
      </w:pPr>
    </w:p>
    <w:p>
      <w:pPr>
        <w:pStyle w:val="Heading2"/>
        <w:spacing w:line="240" w:lineRule="auto"/>
        <w:ind w:right="0"/>
        <w:jc w:val="left"/>
        <w:rPr>
          <w:b w:val="0"/>
          <w:bCs w:val="0"/>
        </w:rPr>
      </w:pPr>
      <w:bookmarkStart w:name="九、公司未来发展的展望" w:id="59"/>
      <w:bookmarkEnd w:id="59"/>
      <w:r>
        <w:rPr>
          <w:b w:val="0"/>
          <w:bCs w:val="0"/>
        </w:rPr>
      </w:r>
      <w:r>
        <w:rPr/>
        <w:t>九、公司未来发展的展望</w:t>
      </w:r>
      <w:r>
        <w:rPr>
          <w:b w:val="0"/>
          <w:bCs w:val="0"/>
        </w:rPr>
      </w:r>
    </w:p>
    <w:p>
      <w:pPr>
        <w:spacing w:line="240" w:lineRule="auto" w:before="3"/>
        <w:rPr>
          <w:rFonts w:ascii="宋体" w:hAnsi="宋体" w:cs="宋体" w:eastAsia="宋体" w:hint="default"/>
          <w:b/>
          <w:bCs/>
          <w:sz w:val="27"/>
          <w:szCs w:val="27"/>
        </w:rPr>
      </w:pPr>
    </w:p>
    <w:p>
      <w:pPr>
        <w:pStyle w:val="Heading6"/>
        <w:spacing w:line="316" w:lineRule="auto"/>
        <w:ind w:right="7513"/>
        <w:jc w:val="left"/>
        <w:rPr>
          <w:b w:val="0"/>
          <w:bCs w:val="0"/>
        </w:rPr>
      </w:pPr>
      <w:r>
        <w:rPr/>
        <w:t>（一）公司发展战略</w:t>
      </w:r>
      <w:r>
        <w:rPr>
          <w:spacing w:val="-86"/>
        </w:rPr>
        <w:t> </w:t>
      </w:r>
      <w:r>
        <w:rPr>
          <w:spacing w:val="-86"/>
        </w:rPr>
      </w:r>
      <w:r>
        <w:rPr>
          <w:rFonts w:ascii="宋体" w:hAnsi="宋体" w:cs="宋体" w:eastAsia="宋体" w:hint="default"/>
          <w:spacing w:val="-2"/>
        </w:rPr>
        <w:t>1</w:t>
      </w:r>
      <w:r>
        <w:rPr>
          <w:spacing w:val="-2"/>
        </w:rPr>
        <w:t>、新三年战略发展时期（</w:t>
      </w:r>
      <w:r>
        <w:rPr>
          <w:rFonts w:ascii="宋体" w:hAnsi="宋体" w:cs="宋体" w:eastAsia="宋体" w:hint="default"/>
          <w:spacing w:val="-2"/>
        </w:rPr>
        <w:t>2019-2021</w:t>
      </w:r>
      <w:r>
        <w:rPr>
          <w:spacing w:val="-2"/>
        </w:rPr>
        <w:t>年）</w:t>
      </w:r>
      <w:r>
        <w:rPr>
          <w:b w:val="0"/>
          <w:bCs w:val="0"/>
        </w:rPr>
      </w:r>
    </w:p>
    <w:p>
      <w:pPr>
        <w:pStyle w:val="BodyText"/>
        <w:spacing w:line="319" w:lineRule="auto" w:before="19"/>
        <w:ind w:right="1123" w:firstLine="360"/>
        <w:jc w:val="both"/>
      </w:pPr>
      <w:r>
        <w:rPr>
          <w:rFonts w:ascii="宋体" w:hAnsi="宋体" w:cs="宋体" w:eastAsia="宋体" w:hint="default"/>
          <w:spacing w:val="-3"/>
        </w:rPr>
        <w:t>2019-2021</w:t>
      </w:r>
      <w:r>
        <w:rPr>
          <w:spacing w:val="-3"/>
        </w:rPr>
        <w:t>年作为公司新的三年战略发展时期，公司构建赋能型管理平台，营造创新进取的企业文化氛围，以技术创新</w:t>
      </w:r>
      <w:r>
        <w:rPr>
          <w:w w:val="101"/>
        </w:rPr>
        <w:t> </w:t>
      </w:r>
      <w:r>
        <w:rPr>
          <w:spacing w:val="-4"/>
        </w:rPr>
        <w:t>推动公司三大业务板块的快速发展。同时，积极拓展</w:t>
      </w:r>
      <w:r>
        <w:rPr>
          <w:rFonts w:ascii="宋体" w:hAnsi="宋体" w:cs="宋体" w:eastAsia="宋体" w:hint="default"/>
          <w:spacing w:val="-4"/>
        </w:rPr>
        <w:t>5G</w:t>
      </w:r>
      <w:r>
        <w:rPr>
          <w:spacing w:val="-4"/>
        </w:rPr>
        <w:t>及智慧城市等新业务，努力将公司建设为智能视讯集成行业中规模和</w:t>
      </w:r>
      <w:r>
        <w:rPr>
          <w:spacing w:val="47"/>
        </w:rPr>
        <w:t> </w:t>
      </w:r>
      <w:r>
        <w:rPr>
          <w:spacing w:val="47"/>
        </w:rPr>
      </w:r>
      <w:r>
        <w:rPr/>
        <w:t>市值领先的优秀企业。</w:t>
      </w:r>
    </w:p>
    <w:p>
      <w:pPr>
        <w:pStyle w:val="Heading6"/>
        <w:spacing w:line="240" w:lineRule="auto" w:before="17"/>
        <w:ind w:right="0"/>
        <w:jc w:val="left"/>
        <w:rPr>
          <w:b w:val="0"/>
          <w:bCs w:val="0"/>
        </w:rPr>
      </w:pPr>
      <w:r>
        <w:rPr>
          <w:rFonts w:ascii="宋体" w:hAnsi="宋体" w:cs="宋体" w:eastAsia="宋体" w:hint="default"/>
        </w:rPr>
        <w:t>2</w:t>
      </w:r>
      <w:r>
        <w:rPr/>
        <w:t>、</w:t>
      </w:r>
      <w:r>
        <w:rPr>
          <w:rFonts w:ascii="宋体" w:hAnsi="宋体" w:cs="宋体" w:eastAsia="宋体" w:hint="default"/>
        </w:rPr>
        <w:t>2019</w:t>
      </w:r>
      <w:r>
        <w:rPr/>
        <w:t>年战略实施成果</w:t>
      </w:r>
      <w:r>
        <w:rPr>
          <w:b w:val="0"/>
          <w:bCs w:val="0"/>
        </w:rPr>
      </w:r>
    </w:p>
    <w:p>
      <w:pPr>
        <w:pStyle w:val="BodyText"/>
        <w:spacing w:line="316" w:lineRule="auto" w:before="76"/>
        <w:ind w:right="1127" w:firstLine="360"/>
        <w:jc w:val="both"/>
      </w:pPr>
      <w:r>
        <w:rPr>
          <w:rFonts w:ascii="宋体" w:hAnsi="宋体" w:cs="宋体" w:eastAsia="宋体" w:hint="default"/>
          <w:spacing w:val="-3"/>
        </w:rPr>
        <w:t>2019</w:t>
      </w:r>
      <w:r>
        <w:rPr>
          <w:spacing w:val="-3"/>
        </w:rPr>
        <w:t>年作为新战略发展时期的第一年，公司继续围绕“智能</w:t>
      </w:r>
      <w:r>
        <w:rPr>
          <w:rFonts w:ascii="宋体" w:hAnsi="宋体" w:cs="宋体" w:eastAsia="宋体" w:hint="default"/>
          <w:spacing w:val="-3"/>
        </w:rPr>
        <w:t>+</w:t>
      </w:r>
      <w:r>
        <w:rPr>
          <w:spacing w:val="-3"/>
        </w:rPr>
        <w:t>”战略，战略协同达到了新的高度，为新三年战略规划的</w:t>
      </w:r>
      <w:r>
        <w:rPr>
          <w:w w:val="101"/>
        </w:rPr>
        <w:t> </w:t>
      </w:r>
      <w:r>
        <w:rPr/>
        <w:t>落地奠定了基础。</w:t>
      </w:r>
    </w:p>
    <w:p>
      <w:pPr>
        <w:pStyle w:val="BodyText"/>
        <w:spacing w:line="240" w:lineRule="auto" w:before="19"/>
        <w:ind w:left="513" w:right="0"/>
        <w:jc w:val="left"/>
      </w:pPr>
      <w:r>
        <w:rPr>
          <w:spacing w:val="-3"/>
        </w:rPr>
        <w:t>具体战略落地情况如下：</w:t>
      </w:r>
    </w:p>
    <w:p>
      <w:pPr>
        <w:pStyle w:val="BodyText"/>
        <w:spacing w:line="316" w:lineRule="auto" w:before="77"/>
        <w:ind w:right="1122" w:firstLine="360"/>
        <w:jc w:val="both"/>
      </w:pPr>
      <w:r>
        <w:rPr>
          <w:spacing w:val="-4"/>
        </w:rPr>
        <w:t>（</w:t>
      </w:r>
      <w:r>
        <w:rPr>
          <w:rFonts w:ascii="宋体" w:hAnsi="宋体" w:cs="宋体" w:eastAsia="宋体" w:hint="default"/>
          <w:spacing w:val="-4"/>
        </w:rPr>
        <w:t>1</w:t>
      </w:r>
      <w:r>
        <w:rPr>
          <w:spacing w:val="-4"/>
        </w:rPr>
        <w:t>）加大了产品研发及技术创新力度，推出了多个行业领先的产品，并获得了市场的认可，</w:t>
      </w:r>
      <w:r>
        <w:rPr>
          <w:rFonts w:ascii="宋体" w:hAnsi="宋体" w:cs="宋体" w:eastAsia="宋体" w:hint="default"/>
          <w:spacing w:val="-4"/>
        </w:rPr>
        <w:t>LED</w:t>
      </w:r>
      <w:r>
        <w:rPr>
          <w:spacing w:val="-4"/>
        </w:rPr>
        <w:t>显示和金融科技业规模</w:t>
      </w:r>
      <w:r>
        <w:rPr>
          <w:w w:val="101"/>
        </w:rPr>
        <w:t> </w:t>
      </w:r>
      <w:r>
        <w:rPr>
          <w:spacing w:val="-3"/>
        </w:rPr>
        <w:t>同比大幅增长。</w:t>
      </w:r>
    </w:p>
    <w:p>
      <w:pPr>
        <w:pStyle w:val="BodyText"/>
        <w:spacing w:line="316" w:lineRule="auto" w:before="19"/>
        <w:ind w:right="1128" w:firstLine="360"/>
        <w:jc w:val="both"/>
      </w:pPr>
      <w:r>
        <w:rPr>
          <w:spacing w:val="-3"/>
        </w:rPr>
        <w:t>（</w:t>
      </w:r>
      <w:r>
        <w:rPr>
          <w:rFonts w:ascii="宋体" w:hAnsi="宋体" w:cs="宋体" w:eastAsia="宋体" w:hint="default"/>
          <w:spacing w:val="-3"/>
        </w:rPr>
        <w:t>2</w:t>
      </w:r>
      <w:r>
        <w:rPr>
          <w:spacing w:val="-3"/>
        </w:rPr>
        <w:t>）调整组织架构及管理团队，提升了公司管理及运营效率；成立智能视讯技术研究院，整合了公司研发资源，加强</w:t>
      </w:r>
      <w:r>
        <w:rPr>
          <w:w w:val="101"/>
        </w:rPr>
        <w:t> </w:t>
      </w:r>
      <w:r>
        <w:rPr>
          <w:spacing w:val="-3"/>
        </w:rPr>
        <w:t>了与高校及产业的合作；构建赋能型管理平台，提升公司资源聚集能力，事业群内部协同更进一步。</w:t>
      </w:r>
    </w:p>
    <w:p>
      <w:pPr>
        <w:pStyle w:val="BodyText"/>
        <w:spacing w:line="316" w:lineRule="auto" w:before="19"/>
        <w:ind w:right="1317" w:firstLine="360"/>
        <w:jc w:val="left"/>
        <w:rPr>
          <w:rFonts w:ascii="宋体" w:hAnsi="宋体" w:cs="宋体" w:eastAsia="宋体" w:hint="default"/>
        </w:rPr>
      </w:pPr>
      <w:r>
        <w:rPr>
          <w:spacing w:val="-3"/>
        </w:rPr>
        <w:t>（</w:t>
      </w:r>
      <w:r>
        <w:rPr>
          <w:rFonts w:ascii="宋体" w:hAnsi="宋体" w:cs="宋体" w:eastAsia="宋体" w:hint="default"/>
          <w:spacing w:val="-3"/>
        </w:rPr>
        <w:t>3</w:t>
      </w:r>
      <w:r>
        <w:rPr>
          <w:spacing w:val="-3"/>
        </w:rPr>
        <w:t>）新业务领域初见成效，智慧场馆、智慧灯杆、</w:t>
      </w:r>
      <w:r>
        <w:rPr>
          <w:rFonts w:ascii="宋体" w:hAnsi="宋体" w:cs="宋体" w:eastAsia="宋体" w:hint="default"/>
          <w:spacing w:val="-3"/>
        </w:rPr>
        <w:t>Micro</w:t>
      </w:r>
      <w:r>
        <w:rPr>
          <w:rFonts w:ascii="宋体" w:hAnsi="宋体" w:cs="宋体" w:eastAsia="宋体" w:hint="default"/>
          <w:spacing w:val="41"/>
        </w:rPr>
        <w:t> </w:t>
      </w:r>
      <w:r>
        <w:rPr>
          <w:rFonts w:ascii="宋体" w:hAnsi="宋体" w:cs="宋体" w:eastAsia="宋体" w:hint="default"/>
          <w:spacing w:val="-3"/>
        </w:rPr>
        <w:t>LED</w:t>
      </w:r>
      <w:r>
        <w:rPr>
          <w:spacing w:val="-3"/>
        </w:rPr>
        <w:t>显示产品、</w:t>
      </w:r>
      <w:r>
        <w:rPr>
          <w:rFonts w:ascii="宋体" w:hAnsi="宋体" w:cs="宋体" w:eastAsia="宋体" w:hint="default"/>
          <w:spacing w:val="-3"/>
        </w:rPr>
        <w:t>5G</w:t>
      </w:r>
      <w:r>
        <w:rPr>
          <w:spacing w:val="-3"/>
        </w:rPr>
        <w:t>智能银行等新市场均有成果。</w:t>
      </w:r>
      <w:r>
        <w:rPr>
          <w:w w:val="101"/>
        </w:rPr>
        <w:t> </w:t>
      </w:r>
      <w:r>
        <w:rPr>
          <w:rFonts w:ascii="宋体" w:hAnsi="宋体" w:cs="宋体" w:eastAsia="宋体" w:hint="default"/>
          <w:b/>
          <w:bCs/>
        </w:rPr>
        <w:t>3</w:t>
      </w:r>
      <w:r>
        <w:rPr>
          <w:rFonts w:ascii="宋体" w:hAnsi="宋体" w:cs="宋体" w:eastAsia="宋体" w:hint="default"/>
          <w:b/>
          <w:bCs/>
        </w:rPr>
        <w:t>、公司</w:t>
      </w:r>
      <w:r>
        <w:rPr>
          <w:rFonts w:ascii="宋体" w:hAnsi="宋体" w:cs="宋体" w:eastAsia="宋体" w:hint="default"/>
          <w:b/>
          <w:bCs/>
        </w:rPr>
        <w:t>2020</w:t>
      </w:r>
      <w:r>
        <w:rPr>
          <w:rFonts w:ascii="宋体" w:hAnsi="宋体" w:cs="宋体" w:eastAsia="宋体" w:hint="default"/>
          <w:b/>
          <w:bCs/>
        </w:rPr>
        <w:t>年发展战略</w:t>
      </w:r>
      <w:r>
        <w:rPr>
          <w:rFonts w:ascii="宋体" w:hAnsi="宋体" w:cs="宋体" w:eastAsia="宋体" w:hint="default"/>
        </w:rPr>
      </w:r>
    </w:p>
    <w:p>
      <w:pPr>
        <w:pStyle w:val="BodyText"/>
        <w:spacing w:line="316" w:lineRule="auto" w:before="19"/>
        <w:ind w:right="1127" w:firstLine="360"/>
        <w:jc w:val="both"/>
      </w:pPr>
      <w:r>
        <w:rPr>
          <w:rFonts w:ascii="宋体" w:hAnsi="宋体" w:cs="宋体" w:eastAsia="宋体" w:hint="default"/>
          <w:spacing w:val="-3"/>
        </w:rPr>
        <w:t>2020</w:t>
      </w:r>
      <w:r>
        <w:rPr>
          <w:spacing w:val="-3"/>
        </w:rPr>
        <w:t>年，公司将继续坚持“智能</w:t>
      </w:r>
      <w:r>
        <w:rPr>
          <w:rFonts w:ascii="宋体" w:hAnsi="宋体" w:cs="宋体" w:eastAsia="宋体" w:hint="default"/>
          <w:spacing w:val="-3"/>
        </w:rPr>
        <w:t>+</w:t>
      </w:r>
      <w:r>
        <w:rPr>
          <w:spacing w:val="-3"/>
        </w:rPr>
        <w:t>”战略，努力克服新冠疫情造成的重大影响，进一步夯实赋能型管理平台，加强对外</w:t>
      </w:r>
      <w:r>
        <w:rPr>
          <w:w w:val="101"/>
        </w:rPr>
        <w:t> </w:t>
      </w:r>
      <w:r>
        <w:rPr>
          <w:spacing w:val="-4"/>
        </w:rPr>
        <w:t>合作，通过重大项目牵引，强化内部协同，积极开拓新基建、</w:t>
      </w:r>
      <w:r>
        <w:rPr>
          <w:rFonts w:ascii="宋体" w:hAnsi="宋体" w:cs="宋体" w:eastAsia="宋体" w:hint="default"/>
          <w:spacing w:val="-4"/>
        </w:rPr>
        <w:t>5G</w:t>
      </w:r>
      <w:r>
        <w:rPr>
          <w:spacing w:val="-4"/>
        </w:rPr>
        <w:t>及智慧城市等新市场，扩大公司体量，提高发展质量，开创</w:t>
      </w:r>
      <w:r>
        <w:rPr>
          <w:spacing w:val="40"/>
        </w:rPr>
        <w:t> </w:t>
      </w:r>
      <w:r>
        <w:rPr>
          <w:spacing w:val="40"/>
        </w:rPr>
      </w:r>
      <w:r>
        <w:rPr/>
        <w:t>公司发展新局面。</w:t>
      </w:r>
    </w:p>
    <w:p>
      <w:pPr>
        <w:spacing w:after="0" w:line="316" w:lineRule="auto"/>
        <w:jc w:val="both"/>
        <w:sectPr>
          <w:pgSz w:w="11910" w:h="16840"/>
          <w:pgMar w:header="784" w:footer="1022" w:top="1100" w:bottom="1220" w:left="980" w:right="0"/>
        </w:sectPr>
      </w:pPr>
    </w:p>
    <w:p>
      <w:pPr>
        <w:spacing w:line="240" w:lineRule="auto" w:before="10"/>
        <w:rPr>
          <w:rFonts w:ascii="宋体" w:hAnsi="宋体" w:cs="宋体" w:eastAsia="宋体" w:hint="default"/>
          <w:sz w:val="22"/>
          <w:szCs w:val="22"/>
        </w:rPr>
      </w:pPr>
    </w:p>
    <w:p>
      <w:pPr>
        <w:pStyle w:val="BodyText"/>
        <w:spacing w:line="240" w:lineRule="auto"/>
        <w:ind w:left="513" w:right="0"/>
        <w:jc w:val="left"/>
      </w:pPr>
      <w:r>
        <w:rPr>
          <w:rFonts w:ascii="宋体" w:hAnsi="宋体" w:cs="宋体" w:eastAsia="宋体" w:hint="default"/>
        </w:rPr>
        <w:t>2020</w:t>
      </w:r>
      <w:r>
        <w:rPr/>
        <w:t>年，公司战略重心如下：</w:t>
      </w:r>
    </w:p>
    <w:p>
      <w:pPr>
        <w:pStyle w:val="BodyText"/>
        <w:spacing w:line="240" w:lineRule="auto" w:before="76"/>
        <w:ind w:left="513" w:right="0"/>
        <w:jc w:val="left"/>
      </w:pPr>
      <w:r>
        <w:rPr>
          <w:spacing w:val="-3"/>
        </w:rPr>
        <w:t>（</w:t>
      </w:r>
      <w:r>
        <w:rPr>
          <w:rFonts w:ascii="宋体" w:hAnsi="宋体" w:cs="宋体" w:eastAsia="宋体" w:hint="default"/>
          <w:spacing w:val="-3"/>
        </w:rPr>
        <w:t>1</w:t>
      </w:r>
      <w:r>
        <w:rPr>
          <w:spacing w:val="-3"/>
        </w:rPr>
        <w:t>）进一步夯实赋能型管理平台，将战略协同提升到新的高度；</w:t>
      </w:r>
    </w:p>
    <w:p>
      <w:pPr>
        <w:pStyle w:val="BodyText"/>
        <w:spacing w:line="240" w:lineRule="auto" w:before="76"/>
        <w:ind w:left="513" w:right="0"/>
        <w:jc w:val="left"/>
      </w:pPr>
      <w:r>
        <w:rPr>
          <w:spacing w:val="-3"/>
        </w:rPr>
        <w:t>（</w:t>
      </w:r>
      <w:r>
        <w:rPr>
          <w:rFonts w:ascii="宋体" w:hAnsi="宋体" w:cs="宋体" w:eastAsia="宋体" w:hint="default"/>
          <w:spacing w:val="-3"/>
        </w:rPr>
        <w:t>2</w:t>
      </w:r>
      <w:r>
        <w:rPr>
          <w:spacing w:val="-3"/>
        </w:rPr>
        <w:t>）加强产业链上下游及高校合作，通过对外合作，开拓新市场；</w:t>
      </w:r>
    </w:p>
    <w:p>
      <w:pPr>
        <w:pStyle w:val="BodyText"/>
        <w:spacing w:line="240" w:lineRule="auto" w:before="77"/>
        <w:ind w:left="513" w:right="0"/>
        <w:jc w:val="left"/>
      </w:pPr>
      <w:r>
        <w:rPr>
          <w:spacing w:val="-3"/>
        </w:rPr>
        <w:t>（</w:t>
      </w:r>
      <w:r>
        <w:rPr>
          <w:rFonts w:ascii="宋体" w:hAnsi="宋体" w:cs="宋体" w:eastAsia="宋体" w:hint="default"/>
          <w:spacing w:val="-3"/>
        </w:rPr>
        <w:t>3</w:t>
      </w:r>
      <w:r>
        <w:rPr>
          <w:spacing w:val="-3"/>
        </w:rPr>
        <w:t>）完成公司重大项目建设，通过重大项目牵引，强化事业群的协同共赢；</w:t>
      </w:r>
    </w:p>
    <w:p>
      <w:pPr>
        <w:pStyle w:val="BodyText"/>
        <w:spacing w:line="240" w:lineRule="auto" w:before="76"/>
        <w:ind w:left="513" w:right="0"/>
        <w:jc w:val="left"/>
      </w:pPr>
      <w:r>
        <w:rPr>
          <w:spacing w:val="-3"/>
        </w:rPr>
        <w:t>（</w:t>
      </w:r>
      <w:r>
        <w:rPr>
          <w:rFonts w:ascii="宋体" w:hAnsi="宋体" w:cs="宋体" w:eastAsia="宋体" w:hint="default"/>
          <w:spacing w:val="-3"/>
        </w:rPr>
        <w:t>4</w:t>
      </w:r>
      <w:r>
        <w:rPr>
          <w:spacing w:val="-3"/>
        </w:rPr>
        <w:t>）积极开拓新基建、</w:t>
      </w:r>
      <w:r>
        <w:rPr>
          <w:rFonts w:ascii="宋体" w:hAnsi="宋体" w:cs="宋体" w:eastAsia="宋体" w:hint="default"/>
          <w:spacing w:val="-3"/>
        </w:rPr>
        <w:t>5G</w:t>
      </w:r>
      <w:r>
        <w:rPr>
          <w:spacing w:val="-3"/>
        </w:rPr>
        <w:t>及智慧城市等新市场；</w:t>
      </w:r>
    </w:p>
    <w:p>
      <w:pPr>
        <w:pStyle w:val="BodyText"/>
        <w:spacing w:line="240" w:lineRule="auto" w:before="76"/>
        <w:ind w:left="513" w:right="0"/>
        <w:jc w:val="left"/>
      </w:pPr>
      <w:r>
        <w:rPr>
          <w:spacing w:val="-3"/>
        </w:rPr>
        <w:t>（</w:t>
      </w:r>
      <w:r>
        <w:rPr>
          <w:rFonts w:ascii="宋体" w:hAnsi="宋体" w:cs="宋体" w:eastAsia="宋体" w:hint="default"/>
          <w:spacing w:val="-3"/>
        </w:rPr>
        <w:t>5</w:t>
      </w:r>
      <w:r>
        <w:rPr>
          <w:spacing w:val="-3"/>
        </w:rPr>
        <w:t>）持续加大研发投入及产品创新力度，把握核心技术制高点。</w:t>
      </w:r>
    </w:p>
    <w:p>
      <w:pPr>
        <w:spacing w:line="240" w:lineRule="auto" w:before="1"/>
        <w:rPr>
          <w:rFonts w:ascii="宋体" w:hAnsi="宋体" w:cs="宋体" w:eastAsia="宋体" w:hint="default"/>
          <w:sz w:val="10"/>
          <w:szCs w:val="10"/>
        </w:rPr>
      </w:pPr>
    </w:p>
    <w:p>
      <w:pPr>
        <w:spacing w:line="4255" w:lineRule="exact"/>
        <w:ind w:left="2375" w:right="0" w:firstLine="0"/>
        <w:rPr>
          <w:rFonts w:ascii="宋体" w:hAnsi="宋体" w:cs="宋体" w:eastAsia="宋体" w:hint="default"/>
          <w:sz w:val="20"/>
          <w:szCs w:val="20"/>
        </w:rPr>
      </w:pPr>
      <w:r>
        <w:rPr>
          <w:rFonts w:ascii="宋体" w:hAnsi="宋体" w:cs="宋体" w:eastAsia="宋体" w:hint="default"/>
          <w:position w:val="-84"/>
          <w:sz w:val="20"/>
          <w:szCs w:val="20"/>
        </w:rPr>
        <w:drawing>
          <wp:inline distT="0" distB="0" distL="0" distR="0">
            <wp:extent cx="3544448" cy="2702052"/>
            <wp:effectExtent l="0" t="0" r="0" b="0"/>
            <wp:docPr id="61" name="image34.png" descr=""/>
            <wp:cNvGraphicFramePr>
              <a:graphicFrameLocks noChangeAspect="1"/>
            </wp:cNvGraphicFramePr>
            <a:graphic>
              <a:graphicData uri="http://schemas.openxmlformats.org/drawingml/2006/picture">
                <pic:pic>
                  <pic:nvPicPr>
                    <pic:cNvPr id="62" name="image34.png"/>
                    <pic:cNvPicPr/>
                  </pic:nvPicPr>
                  <pic:blipFill>
                    <a:blip r:embed="rId44" cstate="print"/>
                    <a:stretch>
                      <a:fillRect/>
                    </a:stretch>
                  </pic:blipFill>
                  <pic:spPr>
                    <a:xfrm>
                      <a:off x="0" y="0"/>
                      <a:ext cx="3544448" cy="2702052"/>
                    </a:xfrm>
                    <a:prstGeom prst="rect">
                      <a:avLst/>
                    </a:prstGeom>
                  </pic:spPr>
                </pic:pic>
              </a:graphicData>
            </a:graphic>
          </wp:inline>
        </w:drawing>
      </w:r>
      <w:r>
        <w:rPr>
          <w:rFonts w:ascii="宋体" w:hAnsi="宋体" w:cs="宋体" w:eastAsia="宋体" w:hint="default"/>
          <w:position w:val="-84"/>
          <w:sz w:val="20"/>
          <w:szCs w:val="20"/>
        </w:rPr>
      </w:r>
    </w:p>
    <w:p>
      <w:pPr>
        <w:spacing w:line="240" w:lineRule="auto" w:before="0"/>
        <w:rPr>
          <w:rFonts w:ascii="宋体" w:hAnsi="宋体" w:cs="宋体" w:eastAsia="宋体" w:hint="default"/>
          <w:sz w:val="18"/>
          <w:szCs w:val="18"/>
        </w:rPr>
      </w:pPr>
    </w:p>
    <w:p>
      <w:pPr>
        <w:pStyle w:val="Heading6"/>
        <w:spacing w:line="316" w:lineRule="auto" w:before="135"/>
        <w:ind w:right="6445"/>
        <w:jc w:val="left"/>
        <w:rPr>
          <w:b w:val="0"/>
          <w:bCs w:val="0"/>
        </w:rPr>
      </w:pPr>
      <w:r>
        <w:rPr/>
        <w:t>（二）行业竞争格局与发展趋势</w:t>
      </w:r>
      <w:r>
        <w:rPr>
          <w:spacing w:val="-87"/>
        </w:rPr>
        <w:t> </w:t>
      </w:r>
      <w:r>
        <w:rPr>
          <w:spacing w:val="-87"/>
        </w:rPr>
      </w:r>
      <w:r>
        <w:rPr>
          <w:rFonts w:ascii="宋体" w:hAnsi="宋体" w:cs="宋体" w:eastAsia="宋体" w:hint="default"/>
          <w:spacing w:val="-2"/>
        </w:rPr>
        <w:t>1</w:t>
      </w:r>
      <w:r>
        <w:rPr>
          <w:spacing w:val="-2"/>
        </w:rPr>
        <w:t>、金融科技行业竞争格局与发展趋势</w:t>
      </w:r>
      <w:r>
        <w:rPr>
          <w:b w:val="0"/>
          <w:bCs w:val="0"/>
          <w:spacing w:val="-2"/>
        </w:rPr>
      </w:r>
    </w:p>
    <w:p>
      <w:pPr>
        <w:pStyle w:val="BodyText"/>
        <w:spacing w:line="316" w:lineRule="auto" w:before="19"/>
        <w:ind w:right="0" w:firstLine="360"/>
        <w:jc w:val="left"/>
      </w:pPr>
      <w:r>
        <w:rPr>
          <w:spacing w:val="-3"/>
        </w:rPr>
        <w:t>根据银保监会金融许可证查询，截至</w:t>
      </w:r>
      <w:r>
        <w:rPr>
          <w:rFonts w:ascii="宋体" w:hAnsi="宋体" w:cs="宋体" w:eastAsia="宋体" w:hint="default"/>
          <w:spacing w:val="-3"/>
        </w:rPr>
        <w:t>2020</w:t>
      </w:r>
      <w:r>
        <w:rPr>
          <w:spacing w:val="-3"/>
        </w:rPr>
        <w:t>年</w:t>
      </w:r>
      <w:r>
        <w:rPr>
          <w:rFonts w:ascii="宋体" w:hAnsi="宋体" w:cs="宋体" w:eastAsia="宋体" w:hint="default"/>
          <w:spacing w:val="-3"/>
        </w:rPr>
        <w:t>3</w:t>
      </w:r>
      <w:r>
        <w:rPr>
          <w:spacing w:val="-3"/>
        </w:rPr>
        <w:t>月</w:t>
      </w:r>
      <w:r>
        <w:rPr>
          <w:rFonts w:ascii="宋体" w:hAnsi="宋体" w:cs="宋体" w:eastAsia="宋体" w:hint="default"/>
          <w:spacing w:val="-3"/>
        </w:rPr>
        <w:t>1</w:t>
      </w:r>
      <w:r>
        <w:rPr>
          <w:spacing w:val="-3"/>
        </w:rPr>
        <w:t>日，国内登记在册的全国银行物理网点</w:t>
      </w:r>
      <w:r>
        <w:rPr>
          <w:rFonts w:ascii="宋体" w:hAnsi="宋体" w:cs="宋体" w:eastAsia="宋体" w:hint="default"/>
          <w:spacing w:val="-3"/>
        </w:rPr>
        <w:t>22.79</w:t>
      </w:r>
      <w:r>
        <w:rPr>
          <w:spacing w:val="-3"/>
        </w:rPr>
        <w:t>万家，近年来银行物理网</w:t>
      </w:r>
      <w:r>
        <w:rPr>
          <w:w w:val="101"/>
        </w:rPr>
        <w:t> </w:t>
      </w:r>
      <w:r>
        <w:rPr>
          <w:spacing w:val="-3"/>
        </w:rPr>
        <w:t>点数量持续缩减，这是金融科技发展推动传统银行业智能化转型的结果。</w:t>
      </w:r>
    </w:p>
    <w:p>
      <w:pPr>
        <w:pStyle w:val="BodyText"/>
        <w:spacing w:line="316" w:lineRule="auto" w:before="19"/>
        <w:ind w:right="0" w:firstLine="360"/>
        <w:jc w:val="left"/>
      </w:pPr>
      <w:r>
        <w:rPr>
          <w:rFonts w:ascii="宋体" w:hAnsi="宋体" w:cs="宋体" w:eastAsia="宋体" w:hint="default"/>
          <w:spacing w:val="-4"/>
        </w:rPr>
        <w:t>2020</w:t>
      </w:r>
      <w:r>
        <w:rPr>
          <w:spacing w:val="-4"/>
        </w:rPr>
        <w:t>年，</w:t>
      </w:r>
      <w:r>
        <w:rPr>
          <w:rFonts w:ascii="宋体" w:hAnsi="宋体" w:cs="宋体" w:eastAsia="宋体" w:hint="default"/>
          <w:spacing w:val="-4"/>
        </w:rPr>
        <w:t>5G</w:t>
      </w:r>
      <w:r>
        <w:rPr>
          <w:spacing w:val="-4"/>
        </w:rPr>
        <w:t>将逐渐走向成熟并大规模普及，而</w:t>
      </w:r>
      <w:r>
        <w:rPr>
          <w:rFonts w:ascii="宋体" w:hAnsi="宋体" w:cs="宋体" w:eastAsia="宋体" w:hint="default"/>
          <w:spacing w:val="-4"/>
        </w:rPr>
        <w:t>5G</w:t>
      </w:r>
      <w:r>
        <w:rPr>
          <w:spacing w:val="-4"/>
        </w:rPr>
        <w:t>时代的银行业转型将是基于万物互联的金融入口的多元化、数据的立体</w:t>
      </w:r>
      <w:r>
        <w:rPr>
          <w:w w:val="101"/>
        </w:rPr>
        <w:t> </w:t>
      </w:r>
      <w:r>
        <w:rPr>
          <w:spacing w:val="-6"/>
        </w:rPr>
        <w:t>化、服务方式的更加个性化。</w:t>
      </w:r>
      <w:r>
        <w:rPr>
          <w:rFonts w:ascii="宋体" w:hAnsi="宋体" w:cs="宋体" w:eastAsia="宋体" w:hint="default"/>
          <w:spacing w:val="-6"/>
        </w:rPr>
        <w:t>5G</w:t>
      </w:r>
      <w:r>
        <w:rPr>
          <w:spacing w:val="-6"/>
        </w:rPr>
        <w:t>会给银行网点带来深刻变革，传统的人与人交互服务将向人与物交互转变，实现便捷、远程、</w:t>
      </w:r>
      <w:r>
        <w:rPr>
          <w:spacing w:val="74"/>
        </w:rPr>
        <w:t> </w:t>
      </w:r>
      <w:r>
        <w:rPr>
          <w:spacing w:val="74"/>
        </w:rPr>
      </w:r>
      <w:r>
        <w:rPr>
          <w:spacing w:val="-4"/>
        </w:rPr>
        <w:t>开放的未来场景，依托</w:t>
      </w:r>
      <w:r>
        <w:rPr>
          <w:rFonts w:ascii="宋体" w:hAnsi="宋体" w:cs="宋体" w:eastAsia="宋体" w:hint="default"/>
          <w:spacing w:val="-4"/>
        </w:rPr>
        <w:t>5G</w:t>
      </w:r>
      <w:r>
        <w:rPr>
          <w:spacing w:val="-4"/>
        </w:rPr>
        <w:t>网络环境，叠加“大数据</w:t>
      </w:r>
      <w:r>
        <w:rPr>
          <w:rFonts w:ascii="宋体" w:hAnsi="宋体" w:cs="宋体" w:eastAsia="宋体" w:hint="default"/>
          <w:spacing w:val="-4"/>
        </w:rPr>
        <w:t>+</w:t>
      </w:r>
      <w:r>
        <w:rPr>
          <w:spacing w:val="-4"/>
        </w:rPr>
        <w:t>”、“智能</w:t>
      </w:r>
      <w:r>
        <w:rPr>
          <w:rFonts w:ascii="宋体" w:hAnsi="宋体" w:cs="宋体" w:eastAsia="宋体" w:hint="default"/>
          <w:spacing w:val="-4"/>
        </w:rPr>
        <w:t>+</w:t>
      </w:r>
      <w:r>
        <w:rPr>
          <w:spacing w:val="-4"/>
        </w:rPr>
        <w:t>”等应用将派生出智能网点、远程虚拟交易、智能风控、普</w:t>
      </w:r>
      <w:r>
        <w:rPr>
          <w:spacing w:val="49"/>
        </w:rPr>
        <w:t> </w:t>
      </w:r>
      <w:r>
        <w:rPr>
          <w:spacing w:val="49"/>
        </w:rPr>
      </w:r>
      <w:r>
        <w:rPr>
          <w:spacing w:val="-3"/>
        </w:rPr>
        <w:t>惠金融以及开放银行等诸多应用场景，为银行业数字化转型带来重要契机。</w:t>
      </w:r>
    </w:p>
    <w:p>
      <w:pPr>
        <w:pStyle w:val="BodyText"/>
        <w:spacing w:line="319" w:lineRule="auto" w:before="19"/>
        <w:ind w:right="1126" w:firstLine="360"/>
        <w:jc w:val="both"/>
      </w:pPr>
      <w:r>
        <w:rPr>
          <w:spacing w:val="-3"/>
        </w:rPr>
        <w:t>银行业的</w:t>
      </w:r>
      <w:r>
        <w:rPr>
          <w:rFonts w:ascii="宋体" w:hAnsi="宋体" w:cs="宋体" w:eastAsia="宋体" w:hint="default"/>
          <w:spacing w:val="-3"/>
        </w:rPr>
        <w:t>IT</w:t>
      </w:r>
      <w:r>
        <w:rPr>
          <w:spacing w:val="-3"/>
        </w:rPr>
        <w:t>投资是各银行智慧化建设的重要表现，据</w:t>
      </w:r>
      <w:r>
        <w:rPr>
          <w:rFonts w:ascii="宋体" w:hAnsi="宋体" w:cs="宋体" w:eastAsia="宋体" w:hint="default"/>
          <w:spacing w:val="-3"/>
        </w:rPr>
        <w:t>IDC</w:t>
      </w:r>
      <w:r>
        <w:rPr>
          <w:spacing w:val="-3"/>
        </w:rPr>
        <w:t>的《中国银行业</w:t>
      </w:r>
      <w:r>
        <w:rPr>
          <w:rFonts w:ascii="宋体" w:hAnsi="宋体" w:cs="宋体" w:eastAsia="宋体" w:hint="default"/>
          <w:spacing w:val="-3"/>
        </w:rPr>
        <w:t>IT</w:t>
      </w:r>
      <w:r>
        <w:rPr>
          <w:spacing w:val="-3"/>
        </w:rPr>
        <w:t>解决方案市场预测与分析》显示，至</w:t>
      </w:r>
      <w:r>
        <w:rPr>
          <w:rFonts w:ascii="宋体" w:hAnsi="宋体" w:cs="宋体" w:eastAsia="宋体" w:hint="default"/>
          <w:spacing w:val="-3"/>
        </w:rPr>
        <w:t>2019</w:t>
      </w:r>
      <w:r>
        <w:rPr>
          <w:spacing w:val="-3"/>
        </w:rPr>
        <w:t>年</w:t>
      </w:r>
      <w:r>
        <w:rPr>
          <w:w w:val="101"/>
        </w:rPr>
        <w:t> </w:t>
      </w:r>
      <w:r>
        <w:rPr>
          <w:spacing w:val="-2"/>
        </w:rPr>
        <w:t>中国银行业整体</w:t>
      </w:r>
      <w:r>
        <w:rPr>
          <w:rFonts w:ascii="宋体" w:hAnsi="宋体" w:cs="宋体" w:eastAsia="宋体" w:hint="default"/>
          <w:spacing w:val="-2"/>
        </w:rPr>
        <w:t>IT</w:t>
      </w:r>
      <w:r>
        <w:rPr>
          <w:spacing w:val="-2"/>
        </w:rPr>
        <w:t>投资规模为</w:t>
      </w:r>
      <w:r>
        <w:rPr>
          <w:rFonts w:ascii="宋体" w:hAnsi="宋体" w:cs="宋体" w:eastAsia="宋体" w:hint="default"/>
          <w:spacing w:val="-2"/>
        </w:rPr>
        <w:t>1,230.9</w:t>
      </w:r>
      <w:r>
        <w:rPr>
          <w:spacing w:val="-2"/>
        </w:rPr>
        <w:t>亿元，较上年同比增加</w:t>
      </w:r>
      <w:r>
        <w:rPr>
          <w:rFonts w:ascii="宋体" w:hAnsi="宋体" w:cs="宋体" w:eastAsia="宋体" w:hint="default"/>
          <w:spacing w:val="-2"/>
        </w:rPr>
        <w:t>9.85%</w:t>
      </w:r>
      <w:r>
        <w:rPr>
          <w:spacing w:val="-2"/>
        </w:rPr>
        <w:t>，预计到</w:t>
      </w:r>
      <w:r>
        <w:rPr>
          <w:rFonts w:ascii="宋体" w:hAnsi="宋体" w:cs="宋体" w:eastAsia="宋体" w:hint="default"/>
          <w:spacing w:val="-2"/>
        </w:rPr>
        <w:t>2020</w:t>
      </w:r>
      <w:r>
        <w:rPr>
          <w:spacing w:val="-2"/>
        </w:rPr>
        <w:t>年，中国银行业整体</w:t>
      </w:r>
      <w:r>
        <w:rPr>
          <w:rFonts w:ascii="宋体" w:hAnsi="宋体" w:cs="宋体" w:eastAsia="宋体" w:hint="default"/>
          <w:spacing w:val="-2"/>
        </w:rPr>
        <w:t>IT</w:t>
      </w:r>
      <w:r>
        <w:rPr>
          <w:spacing w:val="-2"/>
        </w:rPr>
        <w:t>市场将达到</w:t>
      </w:r>
      <w:r>
        <w:rPr>
          <w:rFonts w:ascii="宋体" w:hAnsi="宋体" w:cs="宋体" w:eastAsia="宋体" w:hint="default"/>
          <w:spacing w:val="-2"/>
        </w:rPr>
        <w:t>1,351.3</w:t>
      </w:r>
      <w:r>
        <w:rPr>
          <w:rFonts w:ascii="宋体" w:hAnsi="宋体" w:cs="宋体" w:eastAsia="宋体" w:hint="default"/>
          <w:spacing w:val="44"/>
        </w:rPr>
        <w:t> </w:t>
      </w:r>
      <w:r>
        <w:rPr>
          <w:rFonts w:ascii="宋体" w:hAnsi="宋体" w:cs="宋体" w:eastAsia="宋体" w:hint="default"/>
          <w:spacing w:val="44"/>
        </w:rPr>
      </w:r>
      <w:r>
        <w:rPr/>
        <w:t>亿元，</w:t>
      </w:r>
      <w:r>
        <w:rPr>
          <w:rFonts w:ascii="宋体" w:hAnsi="宋体" w:cs="宋体" w:eastAsia="宋体" w:hint="default"/>
        </w:rPr>
        <w:t>2016-2020</w:t>
      </w:r>
      <w:r>
        <w:rPr/>
        <w:t>年的年均复合增长率为</w:t>
      </w:r>
      <w:r>
        <w:rPr>
          <w:rFonts w:ascii="宋体" w:hAnsi="宋体" w:cs="宋体" w:eastAsia="宋体" w:hint="default"/>
        </w:rPr>
        <w:t>10%</w:t>
      </w:r>
      <w:r>
        <w:rPr/>
        <w:t>。</w:t>
      </w:r>
    </w:p>
    <w:p>
      <w:pPr>
        <w:spacing w:line="316" w:lineRule="auto" w:before="17"/>
        <w:ind w:left="513" w:right="0" w:hanging="360"/>
        <w:jc w:val="left"/>
        <w:rPr>
          <w:rFonts w:ascii="宋体" w:hAnsi="宋体" w:cs="宋体" w:eastAsia="宋体" w:hint="default"/>
          <w:sz w:val="18"/>
          <w:szCs w:val="18"/>
        </w:rPr>
      </w:pPr>
      <w:r>
        <w:rPr>
          <w:rFonts w:ascii="宋体" w:hAnsi="宋体" w:cs="宋体" w:eastAsia="宋体" w:hint="default"/>
          <w:b/>
          <w:bCs/>
          <w:sz w:val="18"/>
          <w:szCs w:val="18"/>
        </w:rPr>
        <w:t>2</w:t>
      </w:r>
      <w:r>
        <w:rPr>
          <w:rFonts w:ascii="宋体" w:hAnsi="宋体" w:cs="宋体" w:eastAsia="宋体" w:hint="default"/>
          <w:b/>
          <w:bCs/>
          <w:sz w:val="18"/>
          <w:szCs w:val="18"/>
        </w:rPr>
        <w:t>、</w:t>
      </w:r>
      <w:r>
        <w:rPr>
          <w:rFonts w:ascii="宋体" w:hAnsi="宋体" w:cs="宋体" w:eastAsia="宋体" w:hint="default"/>
          <w:b/>
          <w:bCs/>
          <w:sz w:val="18"/>
          <w:szCs w:val="18"/>
        </w:rPr>
        <w:t>LED</w:t>
      </w:r>
      <w:r>
        <w:rPr>
          <w:rFonts w:ascii="宋体" w:hAnsi="宋体" w:cs="宋体" w:eastAsia="宋体" w:hint="default"/>
          <w:b/>
          <w:bCs/>
          <w:sz w:val="18"/>
          <w:szCs w:val="18"/>
        </w:rPr>
        <w:t>显示行业竞争格局与发展趋势</w:t>
      </w:r>
      <w:r>
        <w:rPr>
          <w:rFonts w:ascii="宋体" w:hAnsi="宋体" w:cs="宋体" w:eastAsia="宋体" w:hint="default"/>
          <w:b/>
          <w:bCs/>
          <w:spacing w:val="-85"/>
          <w:sz w:val="18"/>
          <w:szCs w:val="18"/>
        </w:rPr>
        <w:t> </w:t>
      </w:r>
      <w:r>
        <w:rPr>
          <w:rFonts w:ascii="宋体" w:hAnsi="宋体" w:cs="宋体" w:eastAsia="宋体" w:hint="default"/>
          <w:b/>
          <w:bCs/>
          <w:spacing w:val="-85"/>
          <w:sz w:val="18"/>
          <w:szCs w:val="18"/>
        </w:rPr>
      </w:r>
      <w:r>
        <w:rPr>
          <w:rFonts w:ascii="宋体" w:hAnsi="宋体" w:cs="宋体" w:eastAsia="宋体" w:hint="default"/>
          <w:spacing w:val="-2"/>
          <w:sz w:val="18"/>
          <w:szCs w:val="18"/>
        </w:rPr>
        <w:t>据高工产研</w:t>
      </w:r>
      <w:r>
        <w:rPr>
          <w:rFonts w:ascii="宋体" w:hAnsi="宋体" w:cs="宋体" w:eastAsia="宋体" w:hint="default"/>
          <w:spacing w:val="-2"/>
          <w:sz w:val="18"/>
          <w:szCs w:val="18"/>
        </w:rPr>
        <w:t>LED</w:t>
      </w:r>
      <w:r>
        <w:rPr>
          <w:rFonts w:ascii="宋体" w:hAnsi="宋体" w:cs="宋体" w:eastAsia="宋体" w:hint="default"/>
          <w:spacing w:val="-2"/>
          <w:sz w:val="18"/>
          <w:szCs w:val="18"/>
        </w:rPr>
        <w:t>研究所（</w:t>
      </w:r>
      <w:r>
        <w:rPr>
          <w:rFonts w:ascii="宋体" w:hAnsi="宋体" w:cs="宋体" w:eastAsia="宋体" w:hint="default"/>
          <w:spacing w:val="-2"/>
          <w:sz w:val="18"/>
          <w:szCs w:val="18"/>
        </w:rPr>
        <w:t>GGII</w:t>
      </w:r>
      <w:r>
        <w:rPr>
          <w:rFonts w:ascii="宋体" w:hAnsi="宋体" w:cs="宋体" w:eastAsia="宋体" w:hint="default"/>
          <w:spacing w:val="-2"/>
          <w:sz w:val="18"/>
          <w:szCs w:val="18"/>
        </w:rPr>
        <w:t>）调研显示，截至</w:t>
      </w:r>
      <w:r>
        <w:rPr>
          <w:rFonts w:ascii="宋体" w:hAnsi="宋体" w:cs="宋体" w:eastAsia="宋体" w:hint="default"/>
          <w:spacing w:val="-2"/>
          <w:sz w:val="18"/>
          <w:szCs w:val="18"/>
        </w:rPr>
        <w:t>2019</w:t>
      </w:r>
      <w:r>
        <w:rPr>
          <w:rFonts w:ascii="宋体" w:hAnsi="宋体" w:cs="宋体" w:eastAsia="宋体" w:hint="default"/>
          <w:spacing w:val="-2"/>
          <w:sz w:val="18"/>
          <w:szCs w:val="18"/>
        </w:rPr>
        <w:t>年年底，中国</w:t>
      </w:r>
      <w:r>
        <w:rPr>
          <w:rFonts w:ascii="宋体" w:hAnsi="宋体" w:cs="宋体" w:eastAsia="宋体" w:hint="default"/>
          <w:spacing w:val="-2"/>
          <w:sz w:val="18"/>
          <w:szCs w:val="18"/>
        </w:rPr>
        <w:t>LED</w:t>
      </w:r>
      <w:r>
        <w:rPr>
          <w:rFonts w:ascii="宋体" w:hAnsi="宋体" w:cs="宋体" w:eastAsia="宋体" w:hint="default"/>
          <w:spacing w:val="-2"/>
          <w:sz w:val="18"/>
          <w:szCs w:val="18"/>
        </w:rPr>
        <w:t>显示企业已不足</w:t>
      </w:r>
      <w:r>
        <w:rPr>
          <w:rFonts w:ascii="宋体" w:hAnsi="宋体" w:cs="宋体" w:eastAsia="宋体" w:hint="default"/>
          <w:spacing w:val="-2"/>
          <w:sz w:val="18"/>
          <w:szCs w:val="18"/>
        </w:rPr>
        <w:t>300</w:t>
      </w:r>
      <w:r>
        <w:rPr>
          <w:rFonts w:ascii="宋体" w:hAnsi="宋体" w:cs="宋体" w:eastAsia="宋体" w:hint="default"/>
          <w:spacing w:val="-2"/>
          <w:sz w:val="18"/>
          <w:szCs w:val="18"/>
        </w:rPr>
        <w:t>家，同比</w:t>
      </w:r>
      <w:r>
        <w:rPr>
          <w:rFonts w:ascii="宋体" w:hAnsi="宋体" w:cs="宋体" w:eastAsia="宋体" w:hint="default"/>
          <w:spacing w:val="-2"/>
          <w:sz w:val="18"/>
          <w:szCs w:val="18"/>
        </w:rPr>
        <w:t>2018</w:t>
      </w:r>
      <w:r>
        <w:rPr>
          <w:rFonts w:ascii="宋体" w:hAnsi="宋体" w:cs="宋体" w:eastAsia="宋体" w:hint="default"/>
          <w:spacing w:val="-2"/>
          <w:sz w:val="18"/>
          <w:szCs w:val="18"/>
        </w:rPr>
        <w:t>年底企业数有所</w:t>
      </w:r>
    </w:p>
    <w:p>
      <w:pPr>
        <w:pStyle w:val="BodyText"/>
        <w:spacing w:line="319" w:lineRule="auto" w:before="19"/>
        <w:ind w:right="1126"/>
        <w:jc w:val="both"/>
      </w:pPr>
      <w:r>
        <w:rPr>
          <w:spacing w:val="-6"/>
        </w:rPr>
        <w:t>减少。企业数的减少并没有带来</w:t>
      </w:r>
      <w:r>
        <w:rPr>
          <w:rFonts w:ascii="宋体" w:hAnsi="宋体" w:cs="宋体" w:eastAsia="宋体" w:hint="default"/>
          <w:spacing w:val="-6"/>
        </w:rPr>
        <w:t>LED</w:t>
      </w:r>
      <w:r>
        <w:rPr>
          <w:spacing w:val="-6"/>
        </w:rPr>
        <w:t>显示行业产值规模的减少，相反因为不少企业体量的增加，整体市场规模继续扩大。</w:t>
      </w:r>
      <w:r>
        <w:rPr>
          <w:rFonts w:ascii="宋体" w:hAnsi="宋体" w:cs="宋体" w:eastAsia="宋体" w:hint="default"/>
          <w:spacing w:val="-6"/>
        </w:rPr>
        <w:t>2019</w:t>
      </w:r>
      <w:r>
        <w:rPr>
          <w:rFonts w:ascii="宋体" w:hAnsi="宋体" w:cs="宋体" w:eastAsia="宋体" w:hint="default"/>
          <w:spacing w:val="-4"/>
        </w:rPr>
        <w:t> </w:t>
      </w:r>
      <w:r>
        <w:rPr>
          <w:rFonts w:ascii="宋体" w:hAnsi="宋体" w:cs="宋体" w:eastAsia="宋体" w:hint="default"/>
          <w:spacing w:val="-4"/>
        </w:rPr>
      </w:r>
      <w:r>
        <w:rPr>
          <w:spacing w:val="-2"/>
        </w:rPr>
        <w:t>年中国</w:t>
      </w:r>
      <w:r>
        <w:rPr>
          <w:rFonts w:ascii="宋体" w:hAnsi="宋体" w:cs="宋体" w:eastAsia="宋体" w:hint="default"/>
          <w:spacing w:val="-2"/>
        </w:rPr>
        <w:t>LED</w:t>
      </w:r>
      <w:r>
        <w:rPr>
          <w:spacing w:val="-2"/>
        </w:rPr>
        <w:t>显示行业规模达</w:t>
      </w:r>
      <w:r>
        <w:rPr>
          <w:rFonts w:ascii="宋体" w:hAnsi="宋体" w:cs="宋体" w:eastAsia="宋体" w:hint="default"/>
          <w:spacing w:val="-2"/>
        </w:rPr>
        <w:t>603</w:t>
      </w:r>
      <w:r>
        <w:rPr>
          <w:spacing w:val="-2"/>
        </w:rPr>
        <w:t>亿元，同比增长</w:t>
      </w:r>
      <w:r>
        <w:rPr>
          <w:rFonts w:ascii="宋体" w:hAnsi="宋体" w:cs="宋体" w:eastAsia="宋体" w:hint="default"/>
          <w:spacing w:val="-2"/>
        </w:rPr>
        <w:t>21%</w:t>
      </w:r>
      <w:r>
        <w:rPr>
          <w:spacing w:val="-2"/>
        </w:rPr>
        <w:t>。其中</w:t>
      </w:r>
      <w:r>
        <w:rPr>
          <w:rFonts w:ascii="宋体" w:hAnsi="宋体" w:cs="宋体" w:eastAsia="宋体" w:hint="default"/>
          <w:spacing w:val="-2"/>
        </w:rPr>
        <w:t>LED</w:t>
      </w:r>
      <w:r>
        <w:rPr>
          <w:spacing w:val="-2"/>
        </w:rPr>
        <w:t>小间距显示（点间距≤</w:t>
      </w:r>
      <w:r>
        <w:rPr>
          <w:rFonts w:ascii="宋体" w:hAnsi="宋体" w:cs="宋体" w:eastAsia="宋体" w:hint="default"/>
          <w:spacing w:val="-2"/>
        </w:rPr>
        <w:t>P2.0</w:t>
      </w:r>
      <w:r>
        <w:rPr>
          <w:spacing w:val="-2"/>
        </w:rPr>
        <w:t>）市场规模达</w:t>
      </w:r>
      <w:r>
        <w:rPr>
          <w:rFonts w:ascii="宋体" w:hAnsi="宋体" w:cs="宋体" w:eastAsia="宋体" w:hint="default"/>
          <w:spacing w:val="-2"/>
        </w:rPr>
        <w:t>114</w:t>
      </w:r>
      <w:r>
        <w:rPr>
          <w:spacing w:val="-2"/>
        </w:rPr>
        <w:t>亿元，年复合增长</w:t>
      </w:r>
      <w:r>
        <w:rPr>
          <w:spacing w:val="37"/>
        </w:rPr>
        <w:t> </w:t>
      </w:r>
      <w:r>
        <w:rPr>
          <w:spacing w:val="37"/>
        </w:rPr>
      </w:r>
      <w:r>
        <w:rPr/>
        <w:t>率超过</w:t>
      </w:r>
      <w:r>
        <w:rPr>
          <w:rFonts w:ascii="宋体" w:hAnsi="宋体" w:cs="宋体" w:eastAsia="宋体" w:hint="default"/>
        </w:rPr>
        <w:t>40%</w:t>
      </w:r>
      <w:r>
        <w:rPr/>
        <w:t>。</w:t>
      </w:r>
    </w:p>
    <w:p>
      <w:pPr>
        <w:pStyle w:val="Heading6"/>
        <w:spacing w:line="240" w:lineRule="auto" w:before="17"/>
        <w:ind w:left="513" w:right="0"/>
        <w:jc w:val="left"/>
        <w:rPr>
          <w:b w:val="0"/>
          <w:bCs w:val="0"/>
        </w:rPr>
      </w:pPr>
      <w:r>
        <w:rPr/>
        <w:t>（</w:t>
      </w:r>
      <w:r>
        <w:rPr>
          <w:rFonts w:ascii="宋体" w:hAnsi="宋体" w:cs="宋体" w:eastAsia="宋体" w:hint="default"/>
        </w:rPr>
        <w:t>1</w:t>
      </w:r>
      <w:r>
        <w:rPr/>
        <w:t>）</w:t>
      </w:r>
      <w:r>
        <w:rPr>
          <w:rFonts w:ascii="宋体" w:hAnsi="宋体" w:cs="宋体" w:eastAsia="宋体" w:hint="default"/>
        </w:rPr>
        <w:t>Mini</w:t>
      </w:r>
      <w:r>
        <w:rPr>
          <w:rFonts w:ascii="宋体" w:hAnsi="宋体" w:cs="宋体" w:eastAsia="宋体" w:hint="default"/>
          <w:spacing w:val="2"/>
        </w:rPr>
        <w:t> </w:t>
      </w:r>
      <w:r>
        <w:rPr>
          <w:rFonts w:ascii="宋体" w:hAnsi="宋体" w:cs="宋体" w:eastAsia="宋体" w:hint="default"/>
        </w:rPr>
        <w:t>LED</w:t>
      </w:r>
      <w:r>
        <w:rPr/>
        <w:t>市场前景广阔</w:t>
      </w:r>
      <w:r>
        <w:rPr>
          <w:b w:val="0"/>
          <w:bCs w:val="0"/>
        </w:rPr>
      </w:r>
    </w:p>
    <w:p>
      <w:pPr>
        <w:pStyle w:val="BodyText"/>
        <w:spacing w:line="316" w:lineRule="auto" w:before="76"/>
        <w:ind w:right="1045" w:firstLine="360"/>
        <w:jc w:val="left"/>
      </w:pPr>
      <w:r>
        <w:rPr/>
        <w:t>无论在背光还是显示应用方面，</w:t>
      </w:r>
      <w:r>
        <w:rPr>
          <w:rFonts w:ascii="宋体" w:hAnsi="宋体" w:cs="宋体" w:eastAsia="宋体" w:hint="default"/>
        </w:rPr>
        <w:t>Mini</w:t>
      </w:r>
      <w:r>
        <w:rPr>
          <w:rFonts w:ascii="宋体" w:hAnsi="宋体" w:cs="宋体" w:eastAsia="宋体" w:hint="default"/>
          <w:spacing w:val="3"/>
        </w:rPr>
        <w:t> </w:t>
      </w:r>
      <w:r>
        <w:rPr>
          <w:rFonts w:ascii="宋体" w:hAnsi="宋体" w:cs="宋体" w:eastAsia="宋体" w:hint="default"/>
          <w:spacing w:val="-3"/>
        </w:rPr>
        <w:t>LED</w:t>
      </w:r>
      <w:r>
        <w:rPr>
          <w:spacing w:val="-3"/>
        </w:rPr>
        <w:t>将随着市场需求扩大与生产成本下降，迎来更加广阔的发展局面。</w:t>
      </w:r>
      <w:r>
        <w:rPr>
          <w:rFonts w:ascii="宋体" w:hAnsi="宋体" w:cs="宋体" w:eastAsia="宋体" w:hint="default"/>
          <w:spacing w:val="-3"/>
        </w:rPr>
        <w:t>GGII</w:t>
      </w:r>
      <w:r>
        <w:rPr>
          <w:spacing w:val="-3"/>
        </w:rPr>
        <w:t>预测，</w:t>
      </w:r>
      <w:r>
        <w:rPr>
          <w:w w:val="101"/>
        </w:rPr>
        <w:t> </w:t>
      </w:r>
      <w:r>
        <w:rPr>
          <w:rFonts w:ascii="宋体" w:hAnsi="宋体" w:cs="宋体" w:eastAsia="宋体" w:hint="default"/>
        </w:rPr>
        <w:t>2018-2020</w:t>
      </w:r>
      <w:r>
        <w:rPr/>
        <w:t>年</w:t>
      </w:r>
      <w:r>
        <w:rPr>
          <w:rFonts w:ascii="宋体" w:hAnsi="宋体" w:cs="宋体" w:eastAsia="宋体" w:hint="default"/>
        </w:rPr>
        <w:t>Mini LED</w:t>
      </w:r>
      <w:r>
        <w:rPr/>
        <w:t>应用市场规模有望保持</w:t>
      </w:r>
      <w:r>
        <w:rPr>
          <w:rFonts w:ascii="宋体" w:hAnsi="宋体" w:cs="宋体" w:eastAsia="宋体" w:hint="default"/>
        </w:rPr>
        <w:t>175%</w:t>
      </w:r>
      <w:r>
        <w:rPr/>
        <w:t>左右的增长速率，</w:t>
      </w:r>
      <w:r>
        <w:rPr>
          <w:rFonts w:ascii="宋体" w:hAnsi="宋体" w:cs="宋体" w:eastAsia="宋体" w:hint="default"/>
        </w:rPr>
        <w:t>2020</w:t>
      </w:r>
      <w:r>
        <w:rPr/>
        <w:t>年</w:t>
      </w:r>
      <w:r>
        <w:rPr>
          <w:rFonts w:ascii="宋体" w:hAnsi="宋体" w:cs="宋体" w:eastAsia="宋体" w:hint="default"/>
        </w:rPr>
        <w:t>Mini</w:t>
      </w:r>
      <w:r>
        <w:rPr>
          <w:rFonts w:ascii="宋体" w:hAnsi="宋体" w:cs="宋体" w:eastAsia="宋体" w:hint="default"/>
          <w:spacing w:val="-2"/>
        </w:rPr>
        <w:t> </w:t>
      </w:r>
      <w:r>
        <w:rPr>
          <w:rFonts w:ascii="宋体" w:hAnsi="宋体" w:cs="宋体" w:eastAsia="宋体" w:hint="default"/>
        </w:rPr>
        <w:t>LED</w:t>
      </w:r>
      <w:r>
        <w:rPr/>
        <w:t>市场规模将达</w:t>
      </w:r>
      <w:r>
        <w:rPr>
          <w:rFonts w:ascii="宋体" w:hAnsi="宋体" w:cs="宋体" w:eastAsia="宋体" w:hint="default"/>
        </w:rPr>
        <w:t>22</w:t>
      </w:r>
      <w:r>
        <w:rPr/>
        <w:t>亿元。</w:t>
      </w:r>
    </w:p>
    <w:p>
      <w:pPr>
        <w:pStyle w:val="Heading6"/>
        <w:spacing w:line="240" w:lineRule="auto" w:before="19"/>
        <w:ind w:left="513" w:right="0"/>
        <w:jc w:val="left"/>
        <w:rPr>
          <w:b w:val="0"/>
          <w:bCs w:val="0"/>
        </w:rPr>
      </w:pPr>
      <w:r>
        <w:rPr/>
        <w:t>（</w:t>
      </w:r>
      <w:r>
        <w:rPr>
          <w:rFonts w:ascii="宋体" w:hAnsi="宋体" w:cs="宋体" w:eastAsia="宋体" w:hint="default"/>
        </w:rPr>
        <w:t>2</w:t>
      </w:r>
      <w:r>
        <w:rPr/>
        <w:t>）</w:t>
      </w:r>
      <w:r>
        <w:rPr>
          <w:rFonts w:ascii="宋体" w:hAnsi="宋体" w:cs="宋体" w:eastAsia="宋体" w:hint="default"/>
        </w:rPr>
        <w:t>Micro</w:t>
      </w:r>
      <w:r>
        <w:rPr>
          <w:rFonts w:ascii="宋体" w:hAnsi="宋体" w:cs="宋体" w:eastAsia="宋体" w:hint="default"/>
          <w:spacing w:val="3"/>
        </w:rPr>
        <w:t> </w:t>
      </w:r>
      <w:r>
        <w:rPr>
          <w:rFonts w:ascii="宋体" w:hAnsi="宋体" w:cs="宋体" w:eastAsia="宋体" w:hint="default"/>
        </w:rPr>
        <w:t>LED</w:t>
      </w:r>
      <w:r>
        <w:rPr/>
        <w:t>市场将保持较高增长率</w:t>
      </w:r>
      <w:r>
        <w:rPr>
          <w:b w:val="0"/>
          <w:bCs w:val="0"/>
        </w:rPr>
      </w:r>
    </w:p>
    <w:p>
      <w:pPr>
        <w:pStyle w:val="BodyText"/>
        <w:spacing w:line="316" w:lineRule="auto" w:before="77"/>
        <w:ind w:right="1121" w:firstLine="360"/>
        <w:jc w:val="left"/>
      </w:pPr>
      <w:r>
        <w:rPr>
          <w:rFonts w:ascii="宋体" w:hAnsi="宋体" w:cs="宋体" w:eastAsia="宋体" w:hint="default"/>
        </w:rPr>
        <w:t>Micro LED</w:t>
      </w:r>
      <w:r>
        <w:rPr/>
        <w:t>将先后渗透进智能手表、大尺寸电视、</w:t>
      </w:r>
      <w:r>
        <w:rPr>
          <w:rFonts w:ascii="宋体" w:hAnsi="宋体" w:cs="宋体" w:eastAsia="宋体" w:hint="default"/>
        </w:rPr>
        <w:t>VR/AR</w:t>
      </w:r>
      <w:r>
        <w:rPr/>
        <w:t>等应用领域</w:t>
      </w:r>
      <w:r>
        <w:rPr>
          <w:rFonts w:ascii="宋体" w:hAnsi="宋体" w:cs="宋体" w:eastAsia="宋体" w:hint="default"/>
        </w:rPr>
        <w:t>;GGII</w:t>
      </w:r>
      <w:r>
        <w:rPr/>
        <w:t>预计</w:t>
      </w:r>
      <w:r>
        <w:rPr>
          <w:rFonts w:ascii="宋体" w:hAnsi="宋体" w:cs="宋体" w:eastAsia="宋体" w:hint="default"/>
        </w:rPr>
        <w:t>2020-2025</w:t>
      </w:r>
      <w:r>
        <w:rPr/>
        <w:t>年，</w:t>
      </w:r>
      <w:r>
        <w:rPr>
          <w:rFonts w:ascii="宋体" w:hAnsi="宋体" w:cs="宋体" w:eastAsia="宋体" w:hint="default"/>
        </w:rPr>
        <w:t>Micro LED</w:t>
      </w:r>
      <w:r>
        <w:rPr/>
        <w:t>市场规模有望保</w:t>
      </w:r>
      <w:r>
        <w:rPr>
          <w:w w:val="101"/>
        </w:rPr>
        <w:t> </w:t>
      </w:r>
      <w:r>
        <w:rPr/>
        <w:t>持</w:t>
      </w:r>
      <w:r>
        <w:rPr>
          <w:rFonts w:ascii="宋体" w:hAnsi="宋体" w:cs="宋体" w:eastAsia="宋体" w:hint="default"/>
        </w:rPr>
        <w:t>75%</w:t>
      </w:r>
      <w:r>
        <w:rPr/>
        <w:t>左右的增长率。到</w:t>
      </w:r>
      <w:r>
        <w:rPr>
          <w:rFonts w:ascii="宋体" w:hAnsi="宋体" w:cs="宋体" w:eastAsia="宋体" w:hint="default"/>
        </w:rPr>
        <w:t>2025</w:t>
      </w:r>
      <w:r>
        <w:rPr/>
        <w:t>年，</w:t>
      </w:r>
      <w:r>
        <w:rPr>
          <w:rFonts w:ascii="宋体" w:hAnsi="宋体" w:cs="宋体" w:eastAsia="宋体" w:hint="default"/>
        </w:rPr>
        <w:t>Micro</w:t>
      </w:r>
      <w:r>
        <w:rPr>
          <w:rFonts w:ascii="宋体" w:hAnsi="宋体" w:cs="宋体" w:eastAsia="宋体" w:hint="default"/>
          <w:spacing w:val="40"/>
        </w:rPr>
        <w:t> </w:t>
      </w:r>
      <w:r>
        <w:rPr>
          <w:rFonts w:ascii="宋体" w:hAnsi="宋体" w:cs="宋体" w:eastAsia="宋体" w:hint="default"/>
          <w:spacing w:val="-3"/>
        </w:rPr>
        <w:t>LED</w:t>
      </w:r>
      <w:r>
        <w:rPr>
          <w:spacing w:val="-3"/>
        </w:rPr>
        <w:t>市场规模将达</w:t>
      </w:r>
      <w:r>
        <w:rPr>
          <w:rFonts w:ascii="宋体" w:hAnsi="宋体" w:cs="宋体" w:eastAsia="宋体" w:hint="default"/>
          <w:spacing w:val="-3"/>
        </w:rPr>
        <w:t>49</w:t>
      </w:r>
      <w:r>
        <w:rPr>
          <w:spacing w:val="-3"/>
        </w:rPr>
        <w:t>亿元。</w:t>
      </w:r>
    </w:p>
    <w:p>
      <w:pPr>
        <w:pStyle w:val="Heading6"/>
        <w:spacing w:line="240" w:lineRule="auto" w:before="18"/>
        <w:ind w:right="0"/>
        <w:jc w:val="both"/>
        <w:rPr>
          <w:b w:val="0"/>
          <w:bCs w:val="0"/>
        </w:rPr>
      </w:pPr>
      <w:r>
        <w:rPr>
          <w:rFonts w:ascii="宋体" w:hAnsi="宋体" w:cs="宋体" w:eastAsia="宋体" w:hint="default"/>
        </w:rPr>
        <w:t>3</w:t>
      </w:r>
      <w:r>
        <w:rPr/>
        <w:t>、智慧照明行业竞争格局与发展趋势</w:t>
      </w:r>
      <w:r>
        <w:rPr>
          <w:b w:val="0"/>
          <w:bCs w:val="0"/>
        </w:rPr>
      </w:r>
    </w:p>
    <w:p>
      <w:pPr>
        <w:spacing w:after="0" w:line="240" w:lineRule="auto"/>
        <w:jc w:val="both"/>
        <w:sectPr>
          <w:pgSz w:w="11910" w:h="16840"/>
          <w:pgMar w:header="784" w:footer="1022" w:top="1100" w:bottom="1220" w:left="980" w:right="0"/>
        </w:sectPr>
      </w:pPr>
    </w:p>
    <w:p>
      <w:pPr>
        <w:spacing w:line="240" w:lineRule="auto" w:before="10"/>
        <w:rPr>
          <w:rFonts w:ascii="宋体" w:hAnsi="宋体" w:cs="宋体" w:eastAsia="宋体" w:hint="default"/>
          <w:b/>
          <w:bCs/>
          <w:sz w:val="22"/>
          <w:szCs w:val="22"/>
        </w:rPr>
      </w:pPr>
    </w:p>
    <w:p>
      <w:pPr>
        <w:pStyle w:val="BodyText"/>
        <w:spacing w:line="316" w:lineRule="auto"/>
        <w:ind w:left="513" w:right="0"/>
        <w:jc w:val="left"/>
      </w:pPr>
      <w:r>
        <w:rPr>
          <w:rFonts w:ascii="宋体" w:hAnsi="宋体" w:cs="宋体" w:eastAsia="宋体" w:hint="default"/>
          <w:spacing w:val="-3"/>
        </w:rPr>
        <w:t>2019</w:t>
      </w:r>
      <w:r>
        <w:rPr>
          <w:spacing w:val="-3"/>
        </w:rPr>
        <w:t>年受国家政策等原因影响，景观亮化行业逐步回归理性化，进入调整期。</w:t>
      </w:r>
      <w:r>
        <w:rPr>
          <w:spacing w:val="14"/>
        </w:rPr>
        <w:t> </w:t>
      </w:r>
      <w:r>
        <w:rPr>
          <w:spacing w:val="14"/>
        </w:rPr>
      </w:r>
      <w:r>
        <w:rPr>
          <w:spacing w:val="-5"/>
        </w:rPr>
        <w:t>但随着智慧城市、城镇化及城市道路建设的持续推进，智慧灯杆作为智慧城市发展的重要信息端口受到了政府的高度关</w:t>
      </w:r>
    </w:p>
    <w:p>
      <w:pPr>
        <w:pStyle w:val="BodyText"/>
        <w:spacing w:line="319" w:lineRule="auto" w:before="19"/>
        <w:ind w:right="0"/>
        <w:jc w:val="left"/>
      </w:pPr>
      <w:r>
        <w:rPr>
          <w:spacing w:val="-3"/>
        </w:rPr>
        <w:t>注，各大城市相继开展智慧灯杆的试点工作，并逐渐加大对智慧灯杆项目的投资力度。华为预计在未来</w:t>
      </w:r>
      <w:r>
        <w:rPr>
          <w:rFonts w:ascii="宋体" w:hAnsi="宋体" w:cs="宋体" w:eastAsia="宋体" w:hint="default"/>
          <w:spacing w:val="-3"/>
        </w:rPr>
        <w:t>5</w:t>
      </w:r>
      <w:r>
        <w:rPr>
          <w:spacing w:val="-3"/>
        </w:rPr>
        <w:t>年（</w:t>
      </w:r>
      <w:r>
        <w:rPr>
          <w:rFonts w:ascii="宋体" w:hAnsi="宋体" w:cs="宋体" w:eastAsia="宋体" w:hint="default"/>
          <w:spacing w:val="-3"/>
        </w:rPr>
        <w:t>2020-2024</w:t>
      </w:r>
      <w:r>
        <w:rPr>
          <w:spacing w:val="-3"/>
        </w:rPr>
        <w:t>年）</w:t>
      </w:r>
      <w:r>
        <w:rPr>
          <w:spacing w:val="75"/>
        </w:rPr>
        <w:t> </w:t>
      </w:r>
      <w:r>
        <w:rPr>
          <w:spacing w:val="-3"/>
        </w:rPr>
        <w:t>内在全球将新增超过</w:t>
      </w:r>
      <w:r>
        <w:rPr>
          <w:rFonts w:ascii="宋体" w:hAnsi="宋体" w:cs="宋体" w:eastAsia="宋体" w:hint="default"/>
          <w:spacing w:val="-3"/>
        </w:rPr>
        <w:t>1000</w:t>
      </w:r>
      <w:r>
        <w:rPr>
          <w:spacing w:val="-3"/>
        </w:rPr>
        <w:t>万只智慧灯杆。</w:t>
      </w:r>
    </w:p>
    <w:p>
      <w:pPr>
        <w:spacing w:line="240" w:lineRule="auto" w:before="2"/>
        <w:rPr>
          <w:rFonts w:ascii="宋体" w:hAnsi="宋体" w:cs="宋体" w:eastAsia="宋体" w:hint="default"/>
          <w:sz w:val="25"/>
          <w:szCs w:val="25"/>
        </w:rPr>
      </w:pPr>
    </w:p>
    <w:p>
      <w:pPr>
        <w:pStyle w:val="Heading6"/>
        <w:spacing w:line="316" w:lineRule="auto"/>
        <w:ind w:right="7667"/>
        <w:jc w:val="left"/>
        <w:rPr>
          <w:b w:val="0"/>
          <w:bCs w:val="0"/>
        </w:rPr>
      </w:pPr>
      <w:r>
        <w:rPr>
          <w:spacing w:val="-2"/>
        </w:rPr>
        <w:t>（三）公司</w:t>
      </w:r>
      <w:r>
        <w:rPr>
          <w:rFonts w:ascii="宋体" w:hAnsi="宋体" w:cs="宋体" w:eastAsia="宋体" w:hint="default"/>
          <w:spacing w:val="-2"/>
        </w:rPr>
        <w:t>2020</w:t>
      </w:r>
      <w:r>
        <w:rPr>
          <w:spacing w:val="-2"/>
        </w:rPr>
        <w:t>年经营计划</w:t>
      </w:r>
      <w:r>
        <w:rPr>
          <w:spacing w:val="-59"/>
        </w:rPr>
        <w:t> </w:t>
      </w:r>
      <w:r>
        <w:rPr>
          <w:spacing w:val="-59"/>
        </w:rPr>
      </w:r>
      <w:r>
        <w:rPr>
          <w:rFonts w:ascii="宋体" w:hAnsi="宋体" w:cs="宋体" w:eastAsia="宋体" w:hint="default"/>
        </w:rPr>
        <w:t>1</w:t>
      </w:r>
      <w:r>
        <w:rPr/>
        <w:t>、</w:t>
      </w:r>
      <w:r>
        <w:rPr>
          <w:rFonts w:ascii="宋体" w:hAnsi="宋体" w:cs="宋体" w:eastAsia="宋体" w:hint="default"/>
        </w:rPr>
        <w:t>2020</w:t>
      </w:r>
      <w:r>
        <w:rPr/>
        <w:t>年经营计划</w:t>
      </w:r>
      <w:r>
        <w:rPr>
          <w:b w:val="0"/>
          <w:bCs w:val="0"/>
        </w:rPr>
      </w:r>
    </w:p>
    <w:p>
      <w:pPr>
        <w:pStyle w:val="BodyText"/>
        <w:spacing w:line="319" w:lineRule="auto" w:before="19"/>
        <w:ind w:right="1124" w:firstLine="360"/>
        <w:jc w:val="both"/>
      </w:pPr>
      <w:r>
        <w:rPr>
          <w:rFonts w:ascii="宋体" w:hAnsi="宋体" w:cs="宋体" w:eastAsia="宋体" w:hint="default"/>
          <w:spacing w:val="-4"/>
        </w:rPr>
        <w:t>2020</w:t>
      </w:r>
      <w:r>
        <w:rPr>
          <w:spacing w:val="-4"/>
        </w:rPr>
        <w:t>年公司将根据全球疫情状况，及时调整经营策略，进一步整合资源；继续构建赋能型管理平台，提升公司资源聚集</w:t>
      </w:r>
      <w:r>
        <w:rPr>
          <w:w w:val="101"/>
        </w:rPr>
        <w:t> </w:t>
      </w:r>
      <w:r>
        <w:rPr>
          <w:spacing w:val="-3"/>
        </w:rPr>
        <w:t>能力，促进各事业群交叉赋能；通过重大项目牵引，实现业务协同；以新基建、</w:t>
      </w:r>
      <w:r>
        <w:rPr>
          <w:rFonts w:ascii="宋体" w:hAnsi="宋体" w:cs="宋体" w:eastAsia="宋体" w:hint="default"/>
          <w:spacing w:val="-3"/>
        </w:rPr>
        <w:t>5G</w:t>
      </w:r>
      <w:r>
        <w:rPr>
          <w:spacing w:val="-3"/>
        </w:rPr>
        <w:t>及智慧城市为新增长点，促进</w:t>
      </w:r>
      <w:r>
        <w:rPr>
          <w:rFonts w:ascii="宋体" w:hAnsi="宋体" w:cs="宋体" w:eastAsia="宋体" w:hint="default"/>
          <w:spacing w:val="-3"/>
        </w:rPr>
        <w:t>LED</w:t>
      </w:r>
      <w:r>
        <w:rPr>
          <w:spacing w:val="-3"/>
        </w:rPr>
        <w:t>显示、</w:t>
      </w:r>
      <w:r>
        <w:rPr>
          <w:spacing w:val="76"/>
        </w:rPr>
        <w:t> </w:t>
      </w:r>
      <w:r>
        <w:rPr>
          <w:spacing w:val="76"/>
        </w:rPr>
      </w:r>
      <w:r>
        <w:rPr>
          <w:spacing w:val="-3"/>
        </w:rPr>
        <w:t>金融科技、智慧照明三大事业群的健康发展，将新冠疫情的影响降至最低，实现公司稳步发展。</w:t>
      </w:r>
    </w:p>
    <w:p>
      <w:pPr>
        <w:pStyle w:val="Heading6"/>
        <w:spacing w:line="240" w:lineRule="auto" w:before="17"/>
        <w:ind w:right="0"/>
        <w:jc w:val="left"/>
        <w:rPr>
          <w:b w:val="0"/>
          <w:bCs w:val="0"/>
        </w:rPr>
      </w:pPr>
      <w:r>
        <w:rPr>
          <w:rFonts w:ascii="宋体" w:hAnsi="宋体" w:cs="宋体" w:eastAsia="宋体" w:hint="default"/>
        </w:rPr>
        <w:t>2</w:t>
      </w:r>
      <w:r>
        <w:rPr/>
        <w:t>、运营管理计划</w:t>
      </w:r>
      <w:r>
        <w:rPr>
          <w:b w:val="0"/>
          <w:bCs w:val="0"/>
        </w:rPr>
      </w:r>
    </w:p>
    <w:p>
      <w:pPr>
        <w:pStyle w:val="BodyText"/>
        <w:spacing w:line="316" w:lineRule="auto" w:before="76"/>
        <w:ind w:right="0" w:firstLine="360"/>
        <w:jc w:val="left"/>
      </w:pPr>
      <w:r>
        <w:rPr>
          <w:rFonts w:ascii="宋体" w:hAnsi="宋体" w:cs="宋体" w:eastAsia="宋体" w:hint="default"/>
        </w:rPr>
        <w:t>2.1</w:t>
      </w:r>
      <w:r>
        <w:rPr>
          <w:rFonts w:ascii="宋体" w:hAnsi="宋体" w:cs="宋体" w:eastAsia="宋体" w:hint="default"/>
          <w:spacing w:val="39"/>
        </w:rPr>
        <w:t> </w:t>
      </w:r>
      <w:r>
        <w:rPr>
          <w:spacing w:val="-5"/>
        </w:rPr>
        <w:t>继续推进赋能型管理平台建设，重点在资金支持、核心技术、情报整理、人才培养、资源整合、品牌塑造、文化宣</w:t>
      </w:r>
      <w:r>
        <w:rPr>
          <w:w w:val="101"/>
        </w:rPr>
        <w:t> </w:t>
      </w:r>
      <w:r>
        <w:rPr>
          <w:spacing w:val="-3"/>
        </w:rPr>
        <w:t>导、战略管理、合作协同方面有新举措。</w:t>
      </w:r>
    </w:p>
    <w:p>
      <w:pPr>
        <w:pStyle w:val="BodyText"/>
        <w:spacing w:line="240" w:lineRule="auto" w:before="19"/>
        <w:ind w:left="513" w:right="0"/>
        <w:jc w:val="left"/>
      </w:pPr>
      <w:r>
        <w:rPr>
          <w:rFonts w:ascii="宋体" w:hAnsi="宋体" w:cs="宋体" w:eastAsia="宋体" w:hint="default"/>
        </w:rPr>
        <w:t>2.2 </w:t>
      </w:r>
      <w:r>
        <w:rPr>
          <w:rFonts w:ascii="宋体" w:hAnsi="宋体" w:cs="宋体" w:eastAsia="宋体" w:hint="default"/>
          <w:spacing w:val="37"/>
        </w:rPr>
        <w:t> </w:t>
      </w:r>
      <w:r>
        <w:rPr>
          <w:spacing w:val="-3"/>
        </w:rPr>
        <w:t>进一步贯彻落实人才高地战略，加强股份公司及各事业群团队建设，完善人才梯队及相关制度建设。</w:t>
      </w:r>
    </w:p>
    <w:p>
      <w:pPr>
        <w:pStyle w:val="BodyText"/>
        <w:spacing w:line="240" w:lineRule="auto" w:before="77"/>
        <w:ind w:left="513" w:right="0"/>
        <w:jc w:val="left"/>
      </w:pPr>
      <w:r>
        <w:rPr>
          <w:rFonts w:ascii="宋体" w:hAnsi="宋体" w:cs="宋体" w:eastAsia="宋体" w:hint="default"/>
        </w:rPr>
        <w:t>2.3 </w:t>
      </w:r>
      <w:r>
        <w:rPr>
          <w:rFonts w:ascii="宋体" w:hAnsi="宋体" w:cs="宋体" w:eastAsia="宋体" w:hint="default"/>
          <w:spacing w:val="31"/>
        </w:rPr>
        <w:t> </w:t>
      </w:r>
      <w:r>
        <w:rPr>
          <w:spacing w:val="-3"/>
        </w:rPr>
        <w:t>加强应收账款及经营性现金流的管理，提升资金使用效率，抵抗疫情对公司经营造成的影响。</w:t>
      </w:r>
    </w:p>
    <w:p>
      <w:pPr>
        <w:pStyle w:val="BodyText"/>
        <w:spacing w:line="316" w:lineRule="auto" w:before="76"/>
        <w:ind w:right="1120" w:firstLine="360"/>
        <w:jc w:val="left"/>
      </w:pPr>
      <w:r>
        <w:rPr>
          <w:rFonts w:ascii="宋体" w:hAnsi="宋体" w:cs="宋体" w:eastAsia="宋体" w:hint="default"/>
        </w:rPr>
        <w:t>2.4</w:t>
      </w:r>
      <w:r>
        <w:rPr>
          <w:rFonts w:ascii="宋体" w:hAnsi="宋体" w:cs="宋体" w:eastAsia="宋体" w:hint="default"/>
          <w:spacing w:val="44"/>
        </w:rPr>
        <w:t> </w:t>
      </w:r>
      <w:r>
        <w:rPr>
          <w:spacing w:val="-5"/>
        </w:rPr>
        <w:t>加大对研发的投入。加强对研究院的投入，新建立合作研发机构，引进高层次研发人才；提升各事业群的新产品研</w:t>
      </w:r>
      <w:r>
        <w:rPr>
          <w:w w:val="101"/>
        </w:rPr>
        <w:t> </w:t>
      </w:r>
      <w:r>
        <w:rPr/>
        <w:t>发能力。</w:t>
      </w:r>
    </w:p>
    <w:p>
      <w:pPr>
        <w:pStyle w:val="BodyText"/>
        <w:spacing w:line="240" w:lineRule="auto" w:before="19"/>
        <w:ind w:left="513" w:right="0"/>
        <w:jc w:val="left"/>
      </w:pPr>
      <w:r>
        <w:rPr>
          <w:rFonts w:ascii="宋体" w:hAnsi="宋体" w:cs="宋体" w:eastAsia="宋体" w:hint="default"/>
        </w:rPr>
        <w:t>2.5</w:t>
      </w:r>
      <w:r>
        <w:rPr>
          <w:rFonts w:ascii="宋体" w:hAnsi="宋体" w:cs="宋体" w:eastAsia="宋体" w:hint="default"/>
          <w:spacing w:val="78"/>
        </w:rPr>
        <w:t> </w:t>
      </w:r>
      <w:r>
        <w:rPr>
          <w:spacing w:val="-3"/>
        </w:rPr>
        <w:t>加大对新业务领域，如新基建、</w:t>
      </w:r>
      <w:r>
        <w:rPr>
          <w:rFonts w:ascii="宋体" w:hAnsi="宋体" w:cs="宋体" w:eastAsia="宋体" w:hint="default"/>
          <w:spacing w:val="-3"/>
        </w:rPr>
        <w:t>5G</w:t>
      </w:r>
      <w:r>
        <w:rPr>
          <w:spacing w:val="-3"/>
        </w:rPr>
        <w:t>及智慧城市领域的探索。</w:t>
      </w:r>
    </w:p>
    <w:p>
      <w:pPr>
        <w:pStyle w:val="BodyText"/>
        <w:spacing w:line="240" w:lineRule="auto" w:before="76"/>
        <w:ind w:left="513" w:right="0"/>
        <w:jc w:val="left"/>
      </w:pPr>
      <w:r>
        <w:rPr>
          <w:rFonts w:ascii="宋体" w:hAnsi="宋体" w:cs="宋体" w:eastAsia="宋体" w:hint="default"/>
        </w:rPr>
        <w:t>2.6 </w:t>
      </w:r>
      <w:r>
        <w:rPr>
          <w:rFonts w:ascii="宋体" w:hAnsi="宋体" w:cs="宋体" w:eastAsia="宋体" w:hint="default"/>
          <w:spacing w:val="37"/>
        </w:rPr>
        <w:t> </w:t>
      </w:r>
      <w:r>
        <w:rPr>
          <w:spacing w:val="-3"/>
        </w:rPr>
        <w:t>完成定增融资计划，扩大企业创新能力，加快核心技术的产业转化，促进企业向智能视讯集成转型。</w:t>
      </w:r>
    </w:p>
    <w:p>
      <w:pPr>
        <w:pStyle w:val="BodyText"/>
        <w:spacing w:line="316" w:lineRule="auto" w:before="77"/>
        <w:ind w:left="513" w:right="1120" w:hanging="360"/>
        <w:jc w:val="left"/>
      </w:pPr>
      <w:r>
        <w:rPr>
          <w:rFonts w:ascii="宋体" w:hAnsi="宋体" w:cs="宋体" w:eastAsia="宋体" w:hint="default"/>
          <w:b/>
          <w:bCs/>
        </w:rPr>
        <w:t>3</w:t>
      </w:r>
      <w:r>
        <w:rPr>
          <w:rFonts w:ascii="宋体" w:hAnsi="宋体" w:cs="宋体" w:eastAsia="宋体" w:hint="default"/>
          <w:b/>
          <w:bCs/>
        </w:rPr>
        <w:t>、技术创新计划</w:t>
      </w:r>
      <w:r>
        <w:rPr>
          <w:rFonts w:ascii="宋体" w:hAnsi="宋体" w:cs="宋体" w:eastAsia="宋体" w:hint="default"/>
          <w:b/>
          <w:bCs/>
          <w:spacing w:val="-89"/>
        </w:rPr>
        <w:t> </w:t>
      </w:r>
      <w:r>
        <w:rPr>
          <w:rFonts w:ascii="宋体" w:hAnsi="宋体" w:cs="宋体" w:eastAsia="宋体" w:hint="default"/>
          <w:b/>
          <w:bCs/>
          <w:spacing w:val="-89"/>
        </w:rPr>
      </w:r>
      <w:r>
        <w:rPr>
          <w:spacing w:val="-5"/>
        </w:rPr>
        <w:t>公司将继续以智能视讯技术研究院为研发平台，武汉奥拓为软件开发中心，统筹深圳、惠州、南京、上海、武汉等地研</w:t>
      </w:r>
    </w:p>
    <w:p>
      <w:pPr>
        <w:pStyle w:val="BodyText"/>
        <w:spacing w:line="316" w:lineRule="auto" w:before="19"/>
        <w:ind w:right="1123"/>
        <w:jc w:val="both"/>
      </w:pPr>
      <w:r>
        <w:rPr>
          <w:spacing w:val="-3"/>
        </w:rPr>
        <w:t>发资源，加大</w:t>
      </w:r>
      <w:r>
        <w:rPr>
          <w:rFonts w:ascii="宋体" w:hAnsi="宋体" w:cs="宋体" w:eastAsia="宋体" w:hint="default"/>
          <w:spacing w:val="-3"/>
        </w:rPr>
        <w:t>5G</w:t>
      </w:r>
      <w:r>
        <w:rPr>
          <w:spacing w:val="-3"/>
        </w:rPr>
        <w:t>、人工智能、区块链、智慧灯杆、</w:t>
      </w:r>
      <w:r>
        <w:rPr>
          <w:rFonts w:ascii="宋体" w:hAnsi="宋体" w:cs="宋体" w:eastAsia="宋体" w:hint="default"/>
          <w:spacing w:val="-3"/>
        </w:rPr>
        <w:t>Micro/Mini</w:t>
      </w:r>
      <w:r>
        <w:rPr>
          <w:rFonts w:ascii="宋体" w:hAnsi="宋体" w:cs="宋体" w:eastAsia="宋体" w:hint="default"/>
          <w:spacing w:val="-15"/>
        </w:rPr>
        <w:t> </w:t>
      </w:r>
      <w:r>
        <w:rPr>
          <w:rFonts w:ascii="宋体" w:hAnsi="宋体" w:cs="宋体" w:eastAsia="宋体" w:hint="default"/>
        </w:rPr>
        <w:t>LED</w:t>
      </w:r>
      <w:r>
        <w:rPr>
          <w:rFonts w:ascii="宋体" w:hAnsi="宋体" w:cs="宋体" w:eastAsia="宋体" w:hint="default"/>
          <w:spacing w:val="79"/>
        </w:rPr>
        <w:t> </w:t>
      </w:r>
      <w:r>
        <w:rPr>
          <w:spacing w:val="-3"/>
        </w:rPr>
        <w:t>技术的研发，进一步实现公司“智能</w:t>
      </w:r>
      <w:r>
        <w:rPr>
          <w:rFonts w:ascii="宋体" w:hAnsi="宋体" w:cs="宋体" w:eastAsia="宋体" w:hint="default"/>
          <w:spacing w:val="-3"/>
        </w:rPr>
        <w:t>+</w:t>
      </w:r>
      <w:r>
        <w:rPr>
          <w:spacing w:val="-3"/>
        </w:rPr>
        <w:t>”战略的落地。同</w:t>
      </w:r>
      <w:r>
        <w:rPr>
          <w:spacing w:val="-69"/>
        </w:rPr>
        <w:t> </w:t>
      </w:r>
      <w:r>
        <w:rPr>
          <w:spacing w:val="-69"/>
        </w:rPr>
      </w:r>
      <w:r>
        <w:rPr>
          <w:spacing w:val="-4"/>
        </w:rPr>
        <w:t>时，加强产学研合作，加强与北京大学深圳研究生院、中国电影科学技术研究所、中国联合网络通信有限公司网络技术研究</w:t>
      </w:r>
      <w:r>
        <w:rPr>
          <w:spacing w:val="40"/>
        </w:rPr>
        <w:t> </w:t>
      </w:r>
      <w:r>
        <w:rPr>
          <w:spacing w:val="40"/>
        </w:rPr>
      </w:r>
      <w:r>
        <w:rPr>
          <w:spacing w:val="-3"/>
        </w:rPr>
        <w:t>院、中国工商银行股份有限公司等单位的合作，加速科技成果转化，以科技创新促进公司稳步发展。</w:t>
      </w:r>
    </w:p>
    <w:p>
      <w:pPr>
        <w:spacing w:line="319" w:lineRule="auto" w:before="19"/>
        <w:ind w:left="513" w:right="3511" w:hanging="360"/>
        <w:jc w:val="left"/>
        <w:rPr>
          <w:rFonts w:ascii="宋体" w:hAnsi="宋体" w:cs="宋体" w:eastAsia="宋体" w:hint="default"/>
          <w:sz w:val="18"/>
          <w:szCs w:val="18"/>
        </w:rPr>
      </w:pPr>
      <w:r>
        <w:rPr>
          <w:rFonts w:ascii="宋体" w:hAnsi="宋体" w:cs="宋体" w:eastAsia="宋体" w:hint="default"/>
          <w:b/>
          <w:bCs/>
          <w:sz w:val="18"/>
          <w:szCs w:val="18"/>
        </w:rPr>
        <w:t>4</w:t>
      </w:r>
      <w:r>
        <w:rPr>
          <w:rFonts w:ascii="宋体" w:hAnsi="宋体" w:cs="宋体" w:eastAsia="宋体" w:hint="default"/>
          <w:b/>
          <w:bCs/>
          <w:sz w:val="18"/>
          <w:szCs w:val="18"/>
        </w:rPr>
        <w:t>、精准扶贫计划</w:t>
      </w:r>
      <w:r>
        <w:rPr>
          <w:rFonts w:ascii="宋体" w:hAnsi="宋体" w:cs="宋体" w:eastAsia="宋体" w:hint="default"/>
          <w:b/>
          <w:bCs/>
          <w:spacing w:val="-89"/>
          <w:sz w:val="18"/>
          <w:szCs w:val="18"/>
        </w:rPr>
        <w:t> </w:t>
      </w:r>
      <w:r>
        <w:rPr>
          <w:rFonts w:ascii="宋体" w:hAnsi="宋体" w:cs="宋体" w:eastAsia="宋体" w:hint="default"/>
          <w:b/>
          <w:bCs/>
          <w:spacing w:val="-89"/>
          <w:sz w:val="18"/>
          <w:szCs w:val="18"/>
        </w:rPr>
      </w:r>
      <w:r>
        <w:rPr>
          <w:rFonts w:ascii="宋体" w:hAnsi="宋体" w:cs="宋体" w:eastAsia="宋体" w:hint="default"/>
          <w:spacing w:val="-3"/>
          <w:sz w:val="18"/>
          <w:szCs w:val="18"/>
        </w:rPr>
        <w:t>通过深圳市奥之爱公益基金会，继续组织参加各项社会公益活动及扶贫活动。</w:t>
      </w:r>
    </w:p>
    <w:p>
      <w:pPr>
        <w:spacing w:line="240" w:lineRule="auto" w:before="2"/>
        <w:rPr>
          <w:rFonts w:ascii="宋体" w:hAnsi="宋体" w:cs="宋体" w:eastAsia="宋体" w:hint="default"/>
          <w:sz w:val="25"/>
          <w:szCs w:val="25"/>
        </w:rPr>
      </w:pPr>
    </w:p>
    <w:p>
      <w:pPr>
        <w:pStyle w:val="BodyText"/>
        <w:spacing w:line="316" w:lineRule="auto" w:before="0"/>
        <w:ind w:left="513" w:right="0" w:hanging="360"/>
        <w:jc w:val="left"/>
      </w:pPr>
      <w:r>
        <w:rPr>
          <w:rFonts w:ascii="宋体" w:hAnsi="宋体" w:cs="宋体" w:eastAsia="宋体" w:hint="default"/>
          <w:b/>
          <w:bCs/>
        </w:rPr>
        <w:t>（四）资金需求和使用计划</w:t>
      </w:r>
      <w:r>
        <w:rPr>
          <w:rFonts w:ascii="宋体" w:hAnsi="宋体" w:cs="宋体" w:eastAsia="宋体" w:hint="default"/>
          <w:b/>
          <w:bCs/>
          <w:spacing w:val="-86"/>
        </w:rPr>
        <w:t> </w:t>
      </w:r>
      <w:r>
        <w:rPr>
          <w:rFonts w:ascii="宋体" w:hAnsi="宋体" w:cs="宋体" w:eastAsia="宋体" w:hint="default"/>
          <w:b/>
          <w:bCs/>
          <w:spacing w:val="-86"/>
        </w:rPr>
      </w:r>
      <w:r>
        <w:rPr>
          <w:rFonts w:ascii="宋体" w:hAnsi="宋体" w:cs="宋体" w:eastAsia="宋体" w:hint="default"/>
          <w:spacing w:val="-4"/>
        </w:rPr>
        <w:t>2020</w:t>
      </w:r>
      <w:r>
        <w:rPr>
          <w:spacing w:val="-4"/>
        </w:rPr>
        <w:t>年，公司将继续构建赋能型管理平台，进一步提升公司资源聚集能力及赋能能力，提高公司资金的统筹能力及运用</w:t>
      </w:r>
    </w:p>
    <w:p>
      <w:pPr>
        <w:pStyle w:val="BodyText"/>
        <w:spacing w:line="319" w:lineRule="auto" w:before="19"/>
        <w:ind w:left="513" w:right="6445" w:hanging="360"/>
        <w:jc w:val="left"/>
      </w:pPr>
      <w:r>
        <w:rPr>
          <w:spacing w:val="-3"/>
        </w:rPr>
        <w:t>能力，做好资金管理工作。</w:t>
      </w:r>
      <w:r>
        <w:rPr>
          <w:spacing w:val="-51"/>
        </w:rPr>
        <w:t> </w:t>
      </w:r>
      <w:r>
        <w:rPr>
          <w:spacing w:val="-51"/>
        </w:rPr>
      </w:r>
      <w:r>
        <w:rPr>
          <w:rFonts w:ascii="宋体" w:hAnsi="宋体" w:cs="宋体" w:eastAsia="宋体" w:hint="default"/>
          <w:spacing w:val="-3"/>
        </w:rPr>
        <w:t>2020</w:t>
      </w:r>
      <w:r>
        <w:rPr>
          <w:spacing w:val="-3"/>
        </w:rPr>
        <w:t>年，公司将重点在如下几方面加大资金投入：</w:t>
      </w:r>
    </w:p>
    <w:p>
      <w:pPr>
        <w:pStyle w:val="BodyText"/>
        <w:spacing w:line="316" w:lineRule="auto" w:before="17"/>
        <w:ind w:right="0" w:firstLine="360"/>
        <w:jc w:val="left"/>
      </w:pPr>
      <w:r>
        <w:rPr>
          <w:rFonts w:ascii="宋体" w:hAnsi="宋体" w:cs="宋体" w:eastAsia="宋体" w:hint="default"/>
          <w:spacing w:val="-3"/>
        </w:rPr>
        <w:t>1</w:t>
      </w:r>
      <w:r>
        <w:rPr>
          <w:spacing w:val="-3"/>
        </w:rPr>
        <w:t>、进一步加大银行、通信行业网点智能化改造业务的投入以及智能服务型机器人的研发投入，完善金融科技事业群团</w:t>
      </w:r>
      <w:r>
        <w:rPr>
          <w:w w:val="101"/>
        </w:rPr>
        <w:t> </w:t>
      </w:r>
      <w:r>
        <w:rPr>
          <w:spacing w:val="-3"/>
        </w:rPr>
        <w:t>队建设及客服平台，加强与高校及科研机构的产学研合作。</w:t>
      </w:r>
    </w:p>
    <w:p>
      <w:pPr>
        <w:pStyle w:val="BodyText"/>
        <w:spacing w:line="240" w:lineRule="auto" w:before="19"/>
        <w:ind w:left="513" w:right="0"/>
        <w:jc w:val="left"/>
      </w:pPr>
      <w:r>
        <w:rPr>
          <w:rFonts w:ascii="宋体" w:hAnsi="宋体" w:cs="宋体" w:eastAsia="宋体" w:hint="default"/>
        </w:rPr>
        <w:t>2</w:t>
      </w:r>
      <w:r>
        <w:rPr/>
        <w:t>、扩大</w:t>
      </w:r>
      <w:r>
        <w:rPr>
          <w:rFonts w:ascii="宋体" w:hAnsi="宋体" w:cs="宋体" w:eastAsia="宋体" w:hint="default"/>
        </w:rPr>
        <w:t>Mini  LED</w:t>
      </w:r>
      <w:r>
        <w:rPr/>
        <w:t>业务规模，建设</w:t>
      </w:r>
      <w:r>
        <w:rPr>
          <w:rFonts w:ascii="宋体" w:hAnsi="宋体" w:cs="宋体" w:eastAsia="宋体" w:hint="default"/>
        </w:rPr>
        <w:t>Mini</w:t>
      </w:r>
      <w:r>
        <w:rPr>
          <w:rFonts w:ascii="宋体" w:hAnsi="宋体" w:cs="宋体" w:eastAsia="宋体" w:hint="default"/>
          <w:spacing w:val="16"/>
        </w:rPr>
        <w:t> </w:t>
      </w:r>
      <w:r>
        <w:rPr>
          <w:rFonts w:ascii="宋体" w:hAnsi="宋体" w:cs="宋体" w:eastAsia="宋体" w:hint="default"/>
          <w:spacing w:val="-3"/>
        </w:rPr>
        <w:t>LED</w:t>
      </w:r>
      <w:r>
        <w:rPr>
          <w:spacing w:val="-3"/>
        </w:rPr>
        <w:t>智能制造基地，继续完善海内外营销网络建设及渠道建设，网罗优秀人才。</w:t>
      </w:r>
    </w:p>
    <w:p>
      <w:pPr>
        <w:pStyle w:val="BodyText"/>
        <w:spacing w:line="240" w:lineRule="auto" w:before="76"/>
        <w:ind w:left="513" w:right="0"/>
        <w:jc w:val="left"/>
      </w:pPr>
      <w:r>
        <w:rPr>
          <w:rFonts w:ascii="宋体" w:hAnsi="宋体" w:cs="宋体" w:eastAsia="宋体" w:hint="default"/>
          <w:spacing w:val="-3"/>
        </w:rPr>
        <w:t>3</w:t>
      </w:r>
      <w:r>
        <w:rPr>
          <w:spacing w:val="-3"/>
        </w:rPr>
        <w:t>、调整智慧照明业务重心，加大对智慧灯杆系统平台的研发投入。</w:t>
      </w:r>
    </w:p>
    <w:p>
      <w:pPr>
        <w:pStyle w:val="BodyText"/>
        <w:spacing w:line="240" w:lineRule="auto" w:before="76"/>
        <w:ind w:left="513" w:right="0"/>
        <w:jc w:val="left"/>
      </w:pPr>
      <w:r>
        <w:rPr>
          <w:rFonts w:ascii="宋体" w:hAnsi="宋体" w:cs="宋体" w:eastAsia="宋体" w:hint="default"/>
          <w:spacing w:val="-3"/>
        </w:rPr>
        <w:t>4</w:t>
      </w:r>
      <w:r>
        <w:rPr>
          <w:spacing w:val="-3"/>
        </w:rPr>
        <w:t>、加大对智能视讯技术研究院的投入，整合研发资源，以技术创新推动公司的稳步发展。</w:t>
      </w:r>
    </w:p>
    <w:p>
      <w:pPr>
        <w:pStyle w:val="BodyText"/>
        <w:spacing w:line="240" w:lineRule="auto" w:before="77"/>
        <w:ind w:left="513" w:right="0"/>
        <w:jc w:val="left"/>
      </w:pPr>
      <w:r>
        <w:rPr>
          <w:rFonts w:ascii="宋体" w:hAnsi="宋体" w:cs="宋体" w:eastAsia="宋体" w:hint="default"/>
          <w:spacing w:val="-3"/>
        </w:rPr>
        <w:t>5</w:t>
      </w:r>
      <w:r>
        <w:rPr>
          <w:spacing w:val="-3"/>
        </w:rPr>
        <w:t>、加大对固定资产的投资，改善公司资产结构，建设公司总部大厦，改善整体运营环境和提升公司综合管理能力。</w:t>
      </w:r>
    </w:p>
    <w:p>
      <w:pPr>
        <w:pStyle w:val="BodyText"/>
        <w:spacing w:line="316" w:lineRule="auto" w:before="76"/>
        <w:ind w:right="1120" w:firstLine="360"/>
        <w:jc w:val="left"/>
      </w:pPr>
      <w:r>
        <w:rPr>
          <w:rFonts w:ascii="宋体" w:hAnsi="宋体" w:cs="宋体" w:eastAsia="宋体" w:hint="default"/>
          <w:spacing w:val="-3"/>
        </w:rPr>
        <w:t>6</w:t>
      </w:r>
      <w:r>
        <w:rPr>
          <w:spacing w:val="-3"/>
        </w:rPr>
        <w:t>、继续围绕公司发展战略及业务目标，寻找符合公司发展的优质标的，通过并购、参股与合作等方式，提升公司核心</w:t>
      </w:r>
      <w:r>
        <w:rPr>
          <w:w w:val="101"/>
        </w:rPr>
        <w:t> </w:t>
      </w:r>
      <w:r>
        <w:rPr/>
        <w:t>竞争力。</w:t>
      </w:r>
    </w:p>
    <w:p>
      <w:pPr>
        <w:pStyle w:val="BodyText"/>
        <w:spacing w:line="316" w:lineRule="auto" w:before="19"/>
        <w:ind w:right="0" w:firstLine="360"/>
        <w:jc w:val="left"/>
      </w:pPr>
      <w:r>
        <w:rPr>
          <w:rFonts w:ascii="宋体" w:hAnsi="宋体" w:cs="宋体" w:eastAsia="宋体" w:hint="default"/>
        </w:rPr>
        <w:t>7</w:t>
      </w:r>
      <w:r>
        <w:rPr/>
        <w:t>、计划完成</w:t>
      </w:r>
      <w:r>
        <w:rPr>
          <w:rFonts w:ascii="宋体" w:hAnsi="宋体" w:cs="宋体" w:eastAsia="宋体" w:hint="default"/>
        </w:rPr>
        <w:t>2.90</w:t>
      </w:r>
      <w:r>
        <w:rPr/>
        <w:t>亿的定增目标，用于</w:t>
      </w:r>
      <w:r>
        <w:rPr>
          <w:rFonts w:ascii="宋体" w:hAnsi="宋体" w:cs="宋体" w:eastAsia="宋体" w:hint="default"/>
        </w:rPr>
        <w:t>Mini</w:t>
      </w:r>
      <w:r>
        <w:rPr>
          <w:rFonts w:ascii="宋体" w:hAnsi="宋体" w:cs="宋体" w:eastAsia="宋体" w:hint="default"/>
          <w:spacing w:val="87"/>
        </w:rPr>
        <w:t> </w:t>
      </w:r>
      <w:r>
        <w:rPr>
          <w:rFonts w:ascii="宋体" w:hAnsi="宋体" w:cs="宋体" w:eastAsia="宋体" w:hint="default"/>
          <w:spacing w:val="-3"/>
        </w:rPr>
        <w:t>LED</w:t>
      </w:r>
      <w:r>
        <w:rPr>
          <w:spacing w:val="-3"/>
        </w:rPr>
        <w:t>智能制造基地建设项目、智慧网点智能化集成能力提升项目及智慧灯杆</w:t>
      </w:r>
      <w:r>
        <w:rPr>
          <w:w w:val="101"/>
        </w:rPr>
        <w:t> </w:t>
      </w:r>
      <w:r>
        <w:rPr>
          <w:spacing w:val="-3"/>
        </w:rPr>
        <w:t>系统研发项目等三个定增项目。</w:t>
      </w:r>
    </w:p>
    <w:p>
      <w:pPr>
        <w:spacing w:line="240" w:lineRule="auto" w:before="4"/>
        <w:rPr>
          <w:rFonts w:ascii="宋体" w:hAnsi="宋体" w:cs="宋体" w:eastAsia="宋体" w:hint="default"/>
          <w:sz w:val="25"/>
          <w:szCs w:val="25"/>
        </w:rPr>
      </w:pPr>
    </w:p>
    <w:p>
      <w:pPr>
        <w:pStyle w:val="Heading6"/>
        <w:spacing w:line="316" w:lineRule="auto"/>
        <w:ind w:right="3511"/>
        <w:jc w:val="left"/>
        <w:rPr>
          <w:b w:val="0"/>
          <w:bCs w:val="0"/>
        </w:rPr>
      </w:pPr>
      <w:r>
        <w:rPr>
          <w:spacing w:val="-2"/>
        </w:rPr>
        <w:t>（五）对公司未来发展战略和经营目标产生不利影响的重大风险因素及应对措施</w:t>
      </w:r>
      <w:r>
        <w:rPr>
          <w:spacing w:val="-22"/>
        </w:rPr>
        <w:t> </w:t>
      </w:r>
      <w:r>
        <w:rPr>
          <w:spacing w:val="-22"/>
        </w:rPr>
      </w:r>
      <w:r>
        <w:rPr>
          <w:rFonts w:ascii="宋体" w:hAnsi="宋体" w:cs="宋体" w:eastAsia="宋体" w:hint="default"/>
        </w:rPr>
        <w:t>1</w:t>
      </w:r>
      <w:r>
        <w:rPr/>
        <w:t>、新冠疫情风险</w:t>
      </w:r>
      <w:r>
        <w:rPr>
          <w:b w:val="0"/>
          <w:bCs w:val="0"/>
        </w:rPr>
      </w:r>
    </w:p>
    <w:p>
      <w:pPr>
        <w:spacing w:after="0" w:line="316" w:lineRule="auto"/>
        <w:jc w:val="left"/>
        <w:sectPr>
          <w:pgSz w:w="11910" w:h="16840"/>
          <w:pgMar w:header="784" w:footer="1022" w:top="1100" w:bottom="1220" w:left="980" w:right="0"/>
        </w:sectPr>
      </w:pPr>
    </w:p>
    <w:p>
      <w:pPr>
        <w:spacing w:line="240" w:lineRule="auto" w:before="10"/>
        <w:rPr>
          <w:rFonts w:ascii="宋体" w:hAnsi="宋体" w:cs="宋体" w:eastAsia="宋体" w:hint="default"/>
          <w:b/>
          <w:bCs/>
          <w:sz w:val="22"/>
          <w:szCs w:val="22"/>
        </w:rPr>
      </w:pPr>
    </w:p>
    <w:p>
      <w:pPr>
        <w:pStyle w:val="BodyText"/>
        <w:spacing w:line="319" w:lineRule="auto"/>
        <w:ind w:right="1122" w:firstLine="360"/>
        <w:jc w:val="right"/>
      </w:pPr>
      <w:r>
        <w:rPr>
          <w:rFonts w:ascii="宋体" w:hAnsi="宋体" w:cs="宋体" w:eastAsia="宋体" w:hint="default"/>
          <w:spacing w:val="-4"/>
        </w:rPr>
        <w:t>2020</w:t>
      </w:r>
      <w:r>
        <w:rPr>
          <w:spacing w:val="-4"/>
        </w:rPr>
        <w:t>年初爆发新冠疫情，对国内外市场及公司正常运营均造成较大影响，有可能影响公司的正常运作及团队稳定。如果</w:t>
      </w:r>
      <w:r>
        <w:rPr>
          <w:w w:val="101"/>
        </w:rPr>
        <w:t> </w:t>
      </w:r>
      <w:r>
        <w:rPr>
          <w:spacing w:val="-4"/>
        </w:rPr>
        <w:t>全球疫情控制失当，将严重影响公司的海外市场拓展，以及供应链的稳定，对公司全年经营目标的实现带来重大的不确定性</w:t>
      </w:r>
      <w:r>
        <w:rPr>
          <w:spacing w:val="26"/>
        </w:rPr>
        <w:t> </w:t>
      </w:r>
      <w:r>
        <w:rPr>
          <w:spacing w:val="26"/>
        </w:rPr>
      </w:r>
      <w:r>
        <w:rPr>
          <w:spacing w:val="-4"/>
        </w:rPr>
        <w:t>公司拟采取如下措施：（</w:t>
      </w:r>
      <w:r>
        <w:rPr>
          <w:rFonts w:ascii="宋体" w:hAnsi="宋体" w:cs="宋体" w:eastAsia="宋体" w:hint="default"/>
          <w:spacing w:val="-4"/>
        </w:rPr>
        <w:t>1</w:t>
      </w:r>
      <w:r>
        <w:rPr>
          <w:spacing w:val="-4"/>
        </w:rPr>
        <w:t>）密切关注国内外疫情的发展，制定相关预案，及时调整发展策略。（</w:t>
      </w:r>
      <w:r>
        <w:rPr>
          <w:rFonts w:ascii="宋体" w:hAnsi="宋体" w:cs="宋体" w:eastAsia="宋体" w:hint="default"/>
          <w:spacing w:val="-4"/>
        </w:rPr>
        <w:t>2</w:t>
      </w:r>
      <w:r>
        <w:rPr>
          <w:spacing w:val="-4"/>
        </w:rPr>
        <w:t>）储备必要关键原材</w:t>
      </w:r>
      <w:r>
        <w:rPr>
          <w:w w:val="101"/>
        </w:rPr>
        <w:t> </w:t>
      </w:r>
      <w:r>
        <w:rPr>
          <w:spacing w:val="-3"/>
        </w:rPr>
        <w:t>料，调整供应链布局，保障供应链安全。（</w:t>
      </w:r>
      <w:r>
        <w:rPr>
          <w:rFonts w:ascii="宋体" w:hAnsi="宋体" w:cs="宋体" w:eastAsia="宋体" w:hint="default"/>
          <w:spacing w:val="-3"/>
        </w:rPr>
        <w:t>3</w:t>
      </w:r>
      <w:r>
        <w:rPr>
          <w:spacing w:val="-3"/>
        </w:rPr>
        <w:t>）加强应收账款的管理，控制库存增量，减少存量，保证企业自由现金总量，</w:t>
      </w:r>
    </w:p>
    <w:p>
      <w:pPr>
        <w:spacing w:line="316" w:lineRule="auto" w:before="17"/>
        <w:ind w:left="153" w:right="6445" w:firstLine="0"/>
        <w:jc w:val="left"/>
        <w:rPr>
          <w:rFonts w:ascii="宋体" w:hAnsi="宋体" w:cs="宋体" w:eastAsia="宋体" w:hint="default"/>
          <w:sz w:val="18"/>
          <w:szCs w:val="18"/>
        </w:rPr>
      </w:pPr>
      <w:r>
        <w:rPr>
          <w:rFonts w:ascii="宋体" w:hAnsi="宋体" w:cs="宋体" w:eastAsia="宋体" w:hint="default"/>
          <w:spacing w:val="-3"/>
          <w:sz w:val="18"/>
          <w:szCs w:val="18"/>
        </w:rPr>
        <w:t>确保企业渡过疫情造成的全球经济萎靡的难关。</w:t>
      </w:r>
      <w:r>
        <w:rPr>
          <w:rFonts w:ascii="宋体" w:hAnsi="宋体" w:cs="宋体" w:eastAsia="宋体" w:hint="default"/>
          <w:spacing w:val="-27"/>
          <w:sz w:val="18"/>
          <w:szCs w:val="18"/>
        </w:rPr>
        <w:t> </w:t>
      </w:r>
      <w:r>
        <w:rPr>
          <w:rFonts w:ascii="宋体" w:hAnsi="宋体" w:cs="宋体" w:eastAsia="宋体" w:hint="default"/>
          <w:spacing w:val="-27"/>
          <w:sz w:val="18"/>
          <w:szCs w:val="18"/>
        </w:rPr>
      </w:r>
      <w:r>
        <w:rPr>
          <w:rFonts w:ascii="宋体" w:hAnsi="宋体" w:cs="宋体" w:eastAsia="宋体" w:hint="default"/>
          <w:b/>
          <w:bCs/>
          <w:sz w:val="18"/>
          <w:szCs w:val="18"/>
        </w:rPr>
        <w:t>2</w:t>
      </w:r>
      <w:r>
        <w:rPr>
          <w:rFonts w:ascii="宋体" w:hAnsi="宋体" w:cs="宋体" w:eastAsia="宋体" w:hint="default"/>
          <w:b/>
          <w:bCs/>
          <w:sz w:val="18"/>
          <w:szCs w:val="18"/>
        </w:rPr>
        <w:t>、汇率波动风险</w:t>
      </w:r>
      <w:r>
        <w:rPr>
          <w:rFonts w:ascii="宋体" w:hAnsi="宋体" w:cs="宋体" w:eastAsia="宋体" w:hint="default"/>
          <w:sz w:val="18"/>
          <w:szCs w:val="18"/>
        </w:rPr>
      </w:r>
    </w:p>
    <w:p>
      <w:pPr>
        <w:pStyle w:val="BodyText"/>
        <w:spacing w:line="316" w:lineRule="auto" w:before="19"/>
        <w:ind w:right="1122" w:firstLine="360"/>
        <w:jc w:val="both"/>
      </w:pPr>
      <w:r>
        <w:rPr>
          <w:spacing w:val="-4"/>
        </w:rPr>
        <w:t>公司海外业务持续增长，日常经营涉及到外汇收支，目前国际经济形势存在不确定性，</w:t>
      </w:r>
      <w:r>
        <w:rPr>
          <w:rFonts w:ascii="宋体" w:hAnsi="宋体" w:cs="宋体" w:eastAsia="宋体" w:hint="default"/>
          <w:spacing w:val="-4"/>
        </w:rPr>
        <w:t>2020</w:t>
      </w:r>
      <w:r>
        <w:rPr>
          <w:spacing w:val="-4"/>
        </w:rPr>
        <w:t>年初新冠疫情对海外市场造</w:t>
      </w:r>
      <w:r>
        <w:rPr>
          <w:w w:val="101"/>
        </w:rPr>
        <w:t> </w:t>
      </w:r>
      <w:r>
        <w:rPr>
          <w:spacing w:val="-3"/>
        </w:rPr>
        <w:t>成一定影响，中美贸易摩擦暂时缓和，若在此期间，国际外汇市场出现剧烈波动，将对公司的经营造成一定影响。</w:t>
      </w:r>
    </w:p>
    <w:p>
      <w:pPr>
        <w:pStyle w:val="BodyText"/>
        <w:spacing w:line="319" w:lineRule="auto" w:before="19"/>
        <w:ind w:right="1124" w:firstLine="360"/>
        <w:jc w:val="both"/>
      </w:pPr>
      <w:r>
        <w:rPr>
          <w:spacing w:val="-4"/>
        </w:rPr>
        <w:t>针对上述风险，公司拟采取如下措施：开展外汇套期保值业务规避外汇市场的风险，防范汇率大幅波动对公司造成的不</w:t>
      </w:r>
      <w:r>
        <w:rPr>
          <w:w w:val="101"/>
        </w:rPr>
        <w:t> </w:t>
      </w:r>
      <w:r>
        <w:rPr/>
        <w:t>良影响。</w:t>
      </w:r>
    </w:p>
    <w:p>
      <w:pPr>
        <w:pStyle w:val="BodyText"/>
        <w:spacing w:line="316" w:lineRule="auto" w:before="17"/>
        <w:ind w:left="513" w:right="1120" w:hanging="360"/>
        <w:jc w:val="left"/>
      </w:pPr>
      <w:r>
        <w:rPr>
          <w:rFonts w:ascii="宋体" w:hAnsi="宋体" w:cs="宋体" w:eastAsia="宋体" w:hint="default"/>
          <w:b/>
          <w:bCs/>
        </w:rPr>
        <w:t>3</w:t>
      </w:r>
      <w:r>
        <w:rPr>
          <w:rFonts w:ascii="宋体" w:hAnsi="宋体" w:cs="宋体" w:eastAsia="宋体" w:hint="default"/>
          <w:b/>
          <w:bCs/>
        </w:rPr>
        <w:t>、集团化管控风险</w:t>
      </w:r>
      <w:r>
        <w:rPr>
          <w:rFonts w:ascii="宋体" w:hAnsi="宋体" w:cs="宋体" w:eastAsia="宋体" w:hint="default"/>
          <w:b/>
          <w:bCs/>
          <w:spacing w:val="-87"/>
        </w:rPr>
        <w:t> </w:t>
      </w:r>
      <w:r>
        <w:rPr>
          <w:rFonts w:ascii="宋体" w:hAnsi="宋体" w:cs="宋体" w:eastAsia="宋体" w:hint="default"/>
          <w:b/>
          <w:bCs/>
          <w:spacing w:val="-87"/>
        </w:rPr>
      </w:r>
      <w:r>
        <w:rPr>
          <w:spacing w:val="-3"/>
        </w:rPr>
        <w:t>截至报告期内，公司共拥有境内外全资子公司</w:t>
      </w:r>
      <w:r>
        <w:rPr>
          <w:rFonts w:ascii="宋体" w:hAnsi="宋体" w:cs="宋体" w:eastAsia="宋体" w:hint="default"/>
          <w:spacing w:val="-3"/>
        </w:rPr>
        <w:t>14</w:t>
      </w:r>
      <w:r>
        <w:rPr>
          <w:spacing w:val="-3"/>
        </w:rPr>
        <w:t>家，控股公司</w:t>
      </w:r>
      <w:r>
        <w:rPr>
          <w:rFonts w:ascii="宋体" w:hAnsi="宋体" w:cs="宋体" w:eastAsia="宋体" w:hint="default"/>
          <w:spacing w:val="-3"/>
        </w:rPr>
        <w:t>3</w:t>
      </w:r>
      <w:r>
        <w:rPr>
          <w:spacing w:val="-3"/>
        </w:rPr>
        <w:t>家，参股公司</w:t>
      </w:r>
      <w:r>
        <w:rPr>
          <w:rFonts w:ascii="宋体" w:hAnsi="宋体" w:cs="宋体" w:eastAsia="宋体" w:hint="default"/>
          <w:spacing w:val="-3"/>
        </w:rPr>
        <w:t>2</w:t>
      </w:r>
      <w:r>
        <w:rPr>
          <w:spacing w:val="-3"/>
        </w:rPr>
        <w:t>家，全球员工数量超过</w:t>
      </w:r>
      <w:r>
        <w:rPr>
          <w:rFonts w:ascii="宋体" w:hAnsi="宋体" w:cs="宋体" w:eastAsia="宋体" w:hint="default"/>
          <w:spacing w:val="-3"/>
        </w:rPr>
        <w:t>1,400</w:t>
      </w:r>
      <w:r>
        <w:rPr>
          <w:spacing w:val="-3"/>
        </w:rPr>
        <w:t>人。随着组</w:t>
      </w:r>
    </w:p>
    <w:p>
      <w:pPr>
        <w:pStyle w:val="BodyText"/>
        <w:spacing w:line="316" w:lineRule="auto" w:before="19"/>
        <w:ind w:right="1120"/>
        <w:jc w:val="left"/>
      </w:pPr>
      <w:r>
        <w:rPr>
          <w:spacing w:val="-4"/>
        </w:rPr>
        <w:t>织架构调整，以及公司规模及人数的逐渐增加，若不能进一步提高管理水平，有可能影响公司的正常运作以及经营目标的实</w:t>
      </w:r>
      <w:r>
        <w:rPr>
          <w:spacing w:val="43"/>
        </w:rPr>
        <w:t> </w:t>
      </w:r>
      <w:r>
        <w:rPr>
          <w:spacing w:val="43"/>
        </w:rPr>
      </w:r>
      <w:r>
        <w:rPr/>
        <w:t>现。</w:t>
      </w:r>
    </w:p>
    <w:p>
      <w:pPr>
        <w:pStyle w:val="BodyText"/>
        <w:spacing w:line="316" w:lineRule="auto" w:before="19"/>
        <w:ind w:right="1122" w:firstLine="360"/>
        <w:jc w:val="both"/>
      </w:pPr>
      <w:r>
        <w:rPr>
          <w:spacing w:val="-4"/>
        </w:rPr>
        <w:t>针对上述风险，公司拟采取如下措施：（</w:t>
      </w:r>
      <w:r>
        <w:rPr>
          <w:rFonts w:ascii="宋体" w:hAnsi="宋体" w:cs="宋体" w:eastAsia="宋体" w:hint="default"/>
          <w:spacing w:val="-4"/>
        </w:rPr>
        <w:t>1</w:t>
      </w:r>
      <w:r>
        <w:rPr>
          <w:spacing w:val="-4"/>
        </w:rPr>
        <w:t>）积极完善信息化管理平台的建设，提高管理效率及水平；（</w:t>
      </w:r>
      <w:r>
        <w:rPr>
          <w:rFonts w:ascii="宋体" w:hAnsi="宋体" w:cs="宋体" w:eastAsia="宋体" w:hint="default"/>
          <w:spacing w:val="-4"/>
        </w:rPr>
        <w:t>2</w:t>
      </w:r>
      <w:r>
        <w:rPr>
          <w:spacing w:val="-4"/>
        </w:rPr>
        <w:t>）完善法人治</w:t>
      </w:r>
      <w:r>
        <w:rPr>
          <w:w w:val="101"/>
        </w:rPr>
        <w:t> </w:t>
      </w:r>
      <w:r>
        <w:rPr>
          <w:spacing w:val="-3"/>
        </w:rPr>
        <w:t>理结构及内部管理流程，规范公司运作体系，加强内控与预算管理，强化各类决策的科学性；（</w:t>
      </w:r>
      <w:r>
        <w:rPr>
          <w:rFonts w:ascii="宋体" w:hAnsi="宋体" w:cs="宋体" w:eastAsia="宋体" w:hint="default"/>
          <w:spacing w:val="-3"/>
        </w:rPr>
        <w:t>3</w:t>
      </w:r>
      <w:r>
        <w:rPr>
          <w:spacing w:val="-3"/>
        </w:rPr>
        <w:t>）提高公司管理层及核心</w:t>
      </w:r>
      <w:r>
        <w:rPr>
          <w:spacing w:val="76"/>
        </w:rPr>
        <w:t> </w:t>
      </w:r>
      <w:r>
        <w:rPr>
          <w:spacing w:val="76"/>
        </w:rPr>
      </w:r>
      <w:r>
        <w:rPr>
          <w:spacing w:val="-3"/>
        </w:rPr>
        <w:t>员工的管理能力，完善激励机制，培养后备人才，打造具有国际化视野的综合型管理团队。</w:t>
      </w:r>
    </w:p>
    <w:p>
      <w:pPr>
        <w:pStyle w:val="BodyText"/>
        <w:spacing w:line="316" w:lineRule="auto" w:before="19"/>
        <w:ind w:left="513" w:right="1120" w:hanging="360"/>
        <w:jc w:val="left"/>
      </w:pPr>
      <w:r>
        <w:rPr>
          <w:rFonts w:ascii="宋体" w:hAnsi="宋体" w:cs="宋体" w:eastAsia="宋体" w:hint="default"/>
          <w:b/>
          <w:bCs/>
        </w:rPr>
        <w:t>4</w:t>
      </w:r>
      <w:r>
        <w:rPr>
          <w:rFonts w:ascii="宋体" w:hAnsi="宋体" w:cs="宋体" w:eastAsia="宋体" w:hint="default"/>
          <w:b/>
          <w:bCs/>
        </w:rPr>
        <w:t>、应收账款风险</w:t>
      </w:r>
      <w:r>
        <w:rPr>
          <w:rFonts w:ascii="宋体" w:hAnsi="宋体" w:cs="宋体" w:eastAsia="宋体" w:hint="default"/>
          <w:b/>
          <w:bCs/>
          <w:spacing w:val="-89"/>
        </w:rPr>
        <w:t> </w:t>
      </w:r>
      <w:r>
        <w:rPr>
          <w:rFonts w:ascii="宋体" w:hAnsi="宋体" w:cs="宋体" w:eastAsia="宋体" w:hint="default"/>
          <w:b/>
          <w:bCs/>
          <w:spacing w:val="-89"/>
        </w:rPr>
      </w:r>
      <w:r>
        <w:rPr>
          <w:spacing w:val="-5"/>
        </w:rPr>
        <w:t>随着公司的业务规模持续扩大，应收账款余额也持续增加，未来可能由于各类不利因素的影响，形成呆账和烂账，对公</w:t>
      </w:r>
    </w:p>
    <w:p>
      <w:pPr>
        <w:pStyle w:val="BodyText"/>
        <w:spacing w:line="316" w:lineRule="auto" w:before="19"/>
        <w:ind w:left="513" w:right="0" w:hanging="360"/>
        <w:jc w:val="left"/>
      </w:pPr>
      <w:r>
        <w:rPr>
          <w:spacing w:val="-3"/>
        </w:rPr>
        <w:t>司的资金成本带来压力，从而影响公司盈利水平。</w:t>
      </w:r>
      <w:r>
        <w:rPr>
          <w:spacing w:val="-22"/>
        </w:rPr>
        <w:t> </w:t>
      </w:r>
      <w:r>
        <w:rPr>
          <w:spacing w:val="-22"/>
        </w:rPr>
      </w:r>
      <w:r>
        <w:rPr>
          <w:spacing w:val="-4"/>
        </w:rPr>
        <w:t>针对上述风险，公司拟采取如下措施：（</w:t>
      </w:r>
      <w:r>
        <w:rPr>
          <w:rFonts w:ascii="宋体" w:hAnsi="宋体" w:cs="宋体" w:eastAsia="宋体" w:hint="default"/>
          <w:spacing w:val="-4"/>
        </w:rPr>
        <w:t>1</w:t>
      </w:r>
      <w:r>
        <w:rPr>
          <w:spacing w:val="-4"/>
        </w:rPr>
        <w:t>）建立全面的信用管理制度，加强赊账和欠账的监控及催收；（</w:t>
      </w:r>
      <w:r>
        <w:rPr>
          <w:rFonts w:ascii="宋体" w:hAnsi="宋体" w:cs="宋体" w:eastAsia="宋体" w:hint="default"/>
          <w:spacing w:val="-4"/>
        </w:rPr>
        <w:t>2</w:t>
      </w:r>
      <w:r>
        <w:rPr>
          <w:spacing w:val="-4"/>
        </w:rPr>
        <w:t>）建立客户</w:t>
      </w:r>
    </w:p>
    <w:p>
      <w:pPr>
        <w:pStyle w:val="BodyText"/>
        <w:spacing w:line="316" w:lineRule="auto" w:before="19"/>
        <w:ind w:right="0"/>
        <w:jc w:val="left"/>
      </w:pPr>
      <w:r>
        <w:rPr>
          <w:spacing w:val="-4"/>
        </w:rPr>
        <w:t>信用评估体系，针对不同信用等级客户给予不同的账期；（</w:t>
      </w:r>
      <w:r>
        <w:rPr>
          <w:rFonts w:ascii="宋体" w:hAnsi="宋体" w:cs="宋体" w:eastAsia="宋体" w:hint="default"/>
          <w:spacing w:val="-4"/>
        </w:rPr>
        <w:t>3</w:t>
      </w:r>
      <w:r>
        <w:rPr>
          <w:spacing w:val="-4"/>
        </w:rPr>
        <w:t>）加强与中信保合作以减少坏账的产生；（</w:t>
      </w:r>
      <w:r>
        <w:rPr>
          <w:rFonts w:ascii="宋体" w:hAnsi="宋体" w:cs="宋体" w:eastAsia="宋体" w:hint="default"/>
          <w:spacing w:val="-4"/>
        </w:rPr>
        <w:t>4</w:t>
      </w:r>
      <w:r>
        <w:rPr>
          <w:spacing w:val="-4"/>
        </w:rPr>
        <w:t>）成立内部收款小</w:t>
      </w:r>
      <w:r>
        <w:rPr>
          <w:spacing w:val="40"/>
        </w:rPr>
        <w:t> </w:t>
      </w:r>
      <w:r>
        <w:rPr>
          <w:spacing w:val="40"/>
        </w:rPr>
      </w:r>
      <w:r>
        <w:rPr>
          <w:spacing w:val="-3"/>
        </w:rPr>
        <w:t>组，针对账龄较长的项目及时跟进回款情况。</w:t>
      </w:r>
    </w:p>
    <w:p>
      <w:pPr>
        <w:pStyle w:val="BodyText"/>
        <w:spacing w:line="316" w:lineRule="auto" w:before="19"/>
        <w:ind w:left="513" w:right="1120" w:hanging="360"/>
        <w:jc w:val="left"/>
      </w:pPr>
      <w:r>
        <w:rPr>
          <w:rFonts w:ascii="宋体" w:hAnsi="宋体" w:cs="宋体" w:eastAsia="宋体" w:hint="default"/>
          <w:b/>
          <w:bCs/>
        </w:rPr>
        <w:t>5</w:t>
      </w:r>
      <w:r>
        <w:rPr>
          <w:rFonts w:ascii="宋体" w:hAnsi="宋体" w:cs="宋体" w:eastAsia="宋体" w:hint="default"/>
          <w:b/>
          <w:bCs/>
        </w:rPr>
        <w:t>、产品质量风险</w:t>
      </w:r>
      <w:r>
        <w:rPr>
          <w:rFonts w:ascii="宋体" w:hAnsi="宋体" w:cs="宋体" w:eastAsia="宋体" w:hint="default"/>
          <w:b/>
          <w:bCs/>
          <w:spacing w:val="-89"/>
        </w:rPr>
        <w:t> </w:t>
      </w:r>
      <w:r>
        <w:rPr>
          <w:rFonts w:ascii="宋体" w:hAnsi="宋体" w:cs="宋体" w:eastAsia="宋体" w:hint="default"/>
          <w:b/>
          <w:bCs/>
          <w:spacing w:val="-89"/>
        </w:rPr>
      </w:r>
      <w:r>
        <w:rPr>
          <w:spacing w:val="-4"/>
        </w:rPr>
        <w:t>公司以技术创新为先导，持续加大研发投入，随着公司规模不断扩大，产能持续上升，加上新产品的不断推出，可能带</w:t>
      </w:r>
    </w:p>
    <w:p>
      <w:pPr>
        <w:pStyle w:val="BodyText"/>
        <w:spacing w:line="316" w:lineRule="auto" w:before="19"/>
        <w:ind w:left="513" w:right="0" w:hanging="360"/>
        <w:jc w:val="left"/>
      </w:pPr>
      <w:r>
        <w:rPr>
          <w:spacing w:val="-3"/>
        </w:rPr>
        <w:t>来一定的产品质量问题。</w:t>
      </w:r>
      <w:r>
        <w:rPr>
          <w:spacing w:val="-56"/>
        </w:rPr>
        <w:t> </w:t>
      </w:r>
      <w:r>
        <w:rPr>
          <w:spacing w:val="-56"/>
        </w:rPr>
      </w:r>
      <w:r>
        <w:rPr>
          <w:spacing w:val="-4"/>
        </w:rPr>
        <w:t>针对上述风险，公司拟采取如下措施：（</w:t>
      </w:r>
      <w:r>
        <w:rPr>
          <w:rFonts w:ascii="宋体" w:hAnsi="宋体" w:cs="宋体" w:eastAsia="宋体" w:hint="default"/>
          <w:spacing w:val="-4"/>
        </w:rPr>
        <w:t>1</w:t>
      </w:r>
      <w:r>
        <w:rPr>
          <w:spacing w:val="-4"/>
        </w:rPr>
        <w:t>）加强公司员工质量意识培训，健全质量风险控制制度；（</w:t>
      </w:r>
      <w:r>
        <w:rPr>
          <w:rFonts w:ascii="宋体" w:hAnsi="宋体" w:cs="宋体" w:eastAsia="宋体" w:hint="default"/>
          <w:spacing w:val="-4"/>
        </w:rPr>
        <w:t>2</w:t>
      </w:r>
      <w:r>
        <w:rPr>
          <w:spacing w:val="-4"/>
        </w:rPr>
        <w:t>）全面购置生产</w:t>
      </w:r>
    </w:p>
    <w:p>
      <w:pPr>
        <w:pStyle w:val="BodyText"/>
        <w:spacing w:line="316" w:lineRule="auto" w:before="19"/>
        <w:ind w:right="1317"/>
        <w:jc w:val="left"/>
        <w:rPr>
          <w:rFonts w:ascii="宋体" w:hAnsi="宋体" w:cs="宋体" w:eastAsia="宋体" w:hint="default"/>
        </w:rPr>
      </w:pPr>
      <w:r>
        <w:rPr>
          <w:spacing w:val="-3"/>
        </w:rPr>
        <w:t>员工及设备保险；（</w:t>
      </w:r>
      <w:r>
        <w:rPr>
          <w:rFonts w:ascii="宋体" w:hAnsi="宋体" w:cs="宋体" w:eastAsia="宋体" w:hint="default"/>
          <w:spacing w:val="-3"/>
        </w:rPr>
        <w:t>3</w:t>
      </w:r>
      <w:r>
        <w:rPr>
          <w:spacing w:val="-3"/>
        </w:rPr>
        <w:t>）积极引进生产质量监督人才；（</w:t>
      </w:r>
      <w:r>
        <w:rPr>
          <w:rFonts w:ascii="宋体" w:hAnsi="宋体" w:cs="宋体" w:eastAsia="宋体" w:hint="default"/>
          <w:spacing w:val="-3"/>
        </w:rPr>
        <w:t>4</w:t>
      </w:r>
      <w:r>
        <w:rPr>
          <w:spacing w:val="-3"/>
        </w:rPr>
        <w:t>）加强新产品前端研发品质及后端测试，保持产品稳定。</w:t>
      </w:r>
      <w:r>
        <w:rPr>
          <w:spacing w:val="57"/>
        </w:rPr>
        <w:t> </w:t>
      </w:r>
      <w:r>
        <w:rPr>
          <w:spacing w:val="57"/>
        </w:rPr>
      </w:r>
      <w:r>
        <w:rPr>
          <w:rFonts w:ascii="宋体" w:hAnsi="宋体" w:cs="宋体" w:eastAsia="宋体" w:hint="default"/>
          <w:b/>
          <w:bCs/>
        </w:rPr>
        <w:t>6</w:t>
      </w:r>
      <w:r>
        <w:rPr>
          <w:rFonts w:ascii="宋体" w:hAnsi="宋体" w:cs="宋体" w:eastAsia="宋体" w:hint="default"/>
          <w:b/>
          <w:bCs/>
        </w:rPr>
        <w:t>、贸易摩擦风险</w:t>
      </w:r>
      <w:r>
        <w:rPr>
          <w:rFonts w:ascii="宋体" w:hAnsi="宋体" w:cs="宋体" w:eastAsia="宋体" w:hint="default"/>
        </w:rPr>
      </w:r>
    </w:p>
    <w:p>
      <w:pPr>
        <w:pStyle w:val="BodyText"/>
        <w:spacing w:line="319" w:lineRule="auto" w:before="19"/>
        <w:ind w:right="1124" w:firstLine="360"/>
        <w:jc w:val="both"/>
      </w:pPr>
      <w:r>
        <w:rPr>
          <w:spacing w:val="-5"/>
        </w:rPr>
        <w:t>近年国际经济形势不稳定，中美贸易摩擦暂时缓和，但仍然充满不确定性，若贸易摩擦进一步升级，可能对公司北美地</w:t>
      </w:r>
      <w:r>
        <w:rPr>
          <w:w w:val="101"/>
        </w:rPr>
        <w:t> </w:t>
      </w:r>
      <w:r>
        <w:rPr>
          <w:spacing w:val="-3"/>
        </w:rPr>
        <w:t>区业务开展造成一定影响。</w:t>
      </w:r>
    </w:p>
    <w:p>
      <w:pPr>
        <w:pStyle w:val="BodyText"/>
        <w:spacing w:line="316" w:lineRule="auto" w:before="17"/>
        <w:ind w:right="1127" w:firstLine="360"/>
        <w:jc w:val="both"/>
      </w:pPr>
      <w:r>
        <w:rPr>
          <w:spacing w:val="-3"/>
        </w:rPr>
        <w:t>针对上述风险，公司拟采取如下措施：（</w:t>
      </w:r>
      <w:r>
        <w:rPr>
          <w:rFonts w:ascii="宋体" w:hAnsi="宋体" w:cs="宋体" w:eastAsia="宋体" w:hint="default"/>
          <w:spacing w:val="-3"/>
        </w:rPr>
        <w:t>1</w:t>
      </w:r>
      <w:r>
        <w:rPr>
          <w:spacing w:val="-3"/>
        </w:rPr>
        <w:t>）加大对政治及经济环境稳定的地区市场的开拓，分散由于贸易摩擦带来的</w:t>
      </w:r>
      <w:r>
        <w:rPr>
          <w:w w:val="101"/>
        </w:rPr>
        <w:t> </w:t>
      </w:r>
      <w:r>
        <w:rPr>
          <w:spacing w:val="-3"/>
        </w:rPr>
        <w:t>潜在风险；（</w:t>
      </w:r>
      <w:r>
        <w:rPr>
          <w:rFonts w:ascii="宋体" w:hAnsi="宋体" w:cs="宋体" w:eastAsia="宋体" w:hint="default"/>
          <w:spacing w:val="-3"/>
        </w:rPr>
        <w:t>2</w:t>
      </w:r>
      <w:r>
        <w:rPr>
          <w:spacing w:val="-3"/>
        </w:rPr>
        <w:t>）加强海外市场本地化服务网络的建设，网罗优秀管理及营销人才，实时跟踪政治及经济政策变化，加强管</w:t>
      </w:r>
      <w:r>
        <w:rPr>
          <w:spacing w:val="75"/>
        </w:rPr>
        <w:t> </w:t>
      </w:r>
      <w:r>
        <w:rPr>
          <w:spacing w:val="75"/>
        </w:rPr>
      </w:r>
      <w:r>
        <w:rPr>
          <w:spacing w:val="-3"/>
        </w:rPr>
        <w:t>理运营能力，提前做好应对措施。</w:t>
      </w:r>
    </w:p>
    <w:p>
      <w:pPr>
        <w:spacing w:line="316" w:lineRule="auto" w:before="19"/>
        <w:ind w:left="513" w:right="0" w:hanging="360"/>
        <w:jc w:val="left"/>
        <w:rPr>
          <w:rFonts w:ascii="宋体" w:hAnsi="宋体" w:cs="宋体" w:eastAsia="宋体" w:hint="default"/>
          <w:sz w:val="18"/>
          <w:szCs w:val="18"/>
        </w:rPr>
      </w:pPr>
      <w:r>
        <w:rPr>
          <w:rFonts w:ascii="宋体" w:hAnsi="宋体" w:cs="宋体" w:eastAsia="宋体" w:hint="default"/>
          <w:b/>
          <w:bCs/>
          <w:sz w:val="18"/>
          <w:szCs w:val="18"/>
        </w:rPr>
        <w:t>（六）公司</w:t>
      </w:r>
      <w:r>
        <w:rPr>
          <w:rFonts w:ascii="宋体" w:hAnsi="宋体" w:cs="宋体" w:eastAsia="宋体" w:hint="default"/>
          <w:b/>
          <w:bCs/>
          <w:sz w:val="18"/>
          <w:szCs w:val="18"/>
        </w:rPr>
        <w:t>2019</w:t>
      </w:r>
      <w:r>
        <w:rPr>
          <w:rFonts w:ascii="宋体" w:hAnsi="宋体" w:cs="宋体" w:eastAsia="宋体" w:hint="default"/>
          <w:b/>
          <w:bCs/>
          <w:sz w:val="18"/>
          <w:szCs w:val="18"/>
        </w:rPr>
        <w:t>年经营计划完成情况</w:t>
      </w:r>
      <w:r>
        <w:rPr>
          <w:rFonts w:ascii="宋体" w:hAnsi="宋体" w:cs="宋体" w:eastAsia="宋体" w:hint="default"/>
          <w:b/>
          <w:bCs/>
          <w:spacing w:val="-85"/>
          <w:sz w:val="18"/>
          <w:szCs w:val="18"/>
        </w:rPr>
        <w:t> </w:t>
      </w:r>
      <w:r>
        <w:rPr>
          <w:rFonts w:ascii="宋体" w:hAnsi="宋体" w:cs="宋体" w:eastAsia="宋体" w:hint="default"/>
          <w:b/>
          <w:bCs/>
          <w:spacing w:val="-85"/>
          <w:sz w:val="18"/>
          <w:szCs w:val="18"/>
        </w:rPr>
      </w:r>
      <w:r>
        <w:rPr>
          <w:rFonts w:ascii="宋体" w:hAnsi="宋体" w:cs="宋体" w:eastAsia="宋体" w:hint="default"/>
          <w:spacing w:val="-4"/>
          <w:sz w:val="18"/>
          <w:szCs w:val="18"/>
        </w:rPr>
        <w:t>1</w:t>
      </w:r>
      <w:r>
        <w:rPr>
          <w:rFonts w:ascii="宋体" w:hAnsi="宋体" w:cs="宋体" w:eastAsia="宋体" w:hint="default"/>
          <w:spacing w:val="-4"/>
          <w:sz w:val="18"/>
          <w:szCs w:val="18"/>
        </w:rPr>
        <w:t>、</w:t>
      </w:r>
      <w:r>
        <w:rPr>
          <w:rFonts w:ascii="宋体" w:hAnsi="宋体" w:cs="宋体" w:eastAsia="宋体" w:hint="default"/>
          <w:spacing w:val="-4"/>
          <w:sz w:val="18"/>
          <w:szCs w:val="18"/>
        </w:rPr>
        <w:t>2019</w:t>
      </w:r>
      <w:r>
        <w:rPr>
          <w:rFonts w:ascii="宋体" w:hAnsi="宋体" w:cs="宋体" w:eastAsia="宋体" w:hint="default"/>
          <w:spacing w:val="-4"/>
          <w:sz w:val="18"/>
          <w:szCs w:val="18"/>
        </w:rPr>
        <w:t>年公司围绕“智能</w:t>
      </w:r>
      <w:r>
        <w:rPr>
          <w:rFonts w:ascii="宋体" w:hAnsi="宋体" w:cs="宋体" w:eastAsia="宋体" w:hint="default"/>
          <w:spacing w:val="-4"/>
          <w:sz w:val="18"/>
          <w:szCs w:val="18"/>
        </w:rPr>
        <w:t>+</w:t>
      </w:r>
      <w:r>
        <w:rPr>
          <w:rFonts w:ascii="宋体" w:hAnsi="宋体" w:cs="宋体" w:eastAsia="宋体" w:hint="default"/>
          <w:spacing w:val="-4"/>
          <w:sz w:val="18"/>
          <w:szCs w:val="18"/>
        </w:rPr>
        <w:t>”战略，进一步整合研发资源，设立智能视讯技术研究院，加大研发投入；智慧网点改造业</w:t>
      </w:r>
    </w:p>
    <w:p>
      <w:pPr>
        <w:pStyle w:val="BodyText"/>
        <w:spacing w:line="316" w:lineRule="auto" w:before="19"/>
        <w:ind w:right="0"/>
        <w:jc w:val="left"/>
      </w:pPr>
      <w:r>
        <w:rPr>
          <w:spacing w:val="-5"/>
        </w:rPr>
        <w:t>务全面开花，金融科技业务创历史新高，打造了一批“</w:t>
      </w:r>
      <w:r>
        <w:rPr>
          <w:rFonts w:ascii="宋体" w:hAnsi="宋体" w:cs="宋体" w:eastAsia="宋体" w:hint="default"/>
          <w:spacing w:val="-5"/>
        </w:rPr>
        <w:t>5G+</w:t>
      </w:r>
      <w:r>
        <w:rPr>
          <w:spacing w:val="-5"/>
        </w:rPr>
        <w:t>智能网点”标杆项目；</w:t>
      </w:r>
      <w:r>
        <w:rPr>
          <w:rFonts w:ascii="宋体" w:hAnsi="宋体" w:cs="宋体" w:eastAsia="宋体" w:hint="default"/>
          <w:spacing w:val="-5"/>
        </w:rPr>
        <w:t>64K</w:t>
      </w:r>
      <w:r>
        <w:rPr>
          <w:spacing w:val="-5"/>
        </w:rPr>
        <w:t>控制器及</w:t>
      </w:r>
      <w:r>
        <w:rPr>
          <w:rFonts w:ascii="宋体" w:hAnsi="宋体" w:cs="宋体" w:eastAsia="宋体" w:hint="default"/>
          <w:spacing w:val="-5"/>
        </w:rPr>
        <w:t>Micro </w:t>
      </w:r>
      <w:r>
        <w:rPr>
          <w:rFonts w:ascii="宋体" w:hAnsi="宋体" w:cs="宋体" w:eastAsia="宋体" w:hint="default"/>
          <w:spacing w:val="-4"/>
        </w:rPr>
        <w:t>LED</w:t>
      </w:r>
      <w:r>
        <w:rPr>
          <w:spacing w:val="-4"/>
        </w:rPr>
        <w:t>等新产品落地，</w:t>
      </w:r>
      <w:r>
        <w:rPr>
          <w:rFonts w:ascii="宋体" w:hAnsi="宋体" w:cs="宋体" w:eastAsia="宋体" w:hint="default"/>
          <w:spacing w:val="-4"/>
        </w:rPr>
        <w:t>Mini</w:t>
      </w:r>
      <w:r>
        <w:rPr>
          <w:rFonts w:ascii="宋体" w:hAnsi="宋体" w:cs="宋体" w:eastAsia="宋体" w:hint="default"/>
          <w:spacing w:val="-45"/>
        </w:rPr>
        <w:t> </w:t>
      </w:r>
      <w:r>
        <w:rPr>
          <w:rFonts w:ascii="宋体" w:hAnsi="宋体" w:cs="宋体" w:eastAsia="宋体" w:hint="default"/>
          <w:spacing w:val="-4"/>
        </w:rPr>
        <w:t>LED</w:t>
      </w:r>
      <w:r>
        <w:rPr>
          <w:spacing w:val="-4"/>
        </w:rPr>
        <w:t>显示产品销售规模大幅增长，</w:t>
      </w:r>
      <w:r>
        <w:rPr>
          <w:rFonts w:ascii="宋体" w:hAnsi="宋体" w:cs="宋体" w:eastAsia="宋体" w:hint="default"/>
          <w:spacing w:val="-4"/>
        </w:rPr>
        <w:t>LED</w:t>
      </w:r>
      <w:r>
        <w:rPr>
          <w:spacing w:val="-4"/>
        </w:rPr>
        <w:t>显示业务再创佳绩；智慧照明业务营业收入下降，占比大幅减少，优化了业务结构，降</w:t>
      </w:r>
      <w:r>
        <w:rPr>
          <w:spacing w:val="53"/>
        </w:rPr>
        <w:t> </w:t>
      </w:r>
      <w:r>
        <w:rPr>
          <w:spacing w:val="53"/>
        </w:rPr>
      </w:r>
      <w:r>
        <w:rPr>
          <w:spacing w:val="-2"/>
        </w:rPr>
        <w:t>低了经营风险；报告期内，公司实现营业收入</w:t>
      </w:r>
      <w:r>
        <w:rPr>
          <w:rFonts w:ascii="宋体" w:hAnsi="宋体" w:cs="宋体" w:eastAsia="宋体" w:hint="default"/>
          <w:spacing w:val="-2"/>
        </w:rPr>
        <w:t>124,513.04</w:t>
      </w:r>
      <w:r>
        <w:rPr>
          <w:spacing w:val="-2"/>
        </w:rPr>
        <w:t>万元，同比下降</w:t>
      </w:r>
      <w:r>
        <w:rPr>
          <w:rFonts w:ascii="宋体" w:hAnsi="宋体" w:cs="宋体" w:eastAsia="宋体" w:hint="default"/>
          <w:spacing w:val="-2"/>
        </w:rPr>
        <w:t>20.86%</w:t>
      </w:r>
      <w:r>
        <w:rPr>
          <w:spacing w:val="-2"/>
        </w:rPr>
        <w:t>；实现营业利润</w:t>
      </w:r>
      <w:r>
        <w:rPr>
          <w:rFonts w:ascii="宋体" w:hAnsi="宋体" w:cs="宋体" w:eastAsia="宋体" w:hint="default"/>
          <w:spacing w:val="-2"/>
        </w:rPr>
        <w:t>20,706.57</w:t>
      </w:r>
      <w:r>
        <w:rPr>
          <w:spacing w:val="-2"/>
        </w:rPr>
        <w:t>万元，同比增长</w:t>
      </w:r>
      <w:r>
        <w:rPr>
          <w:spacing w:val="40"/>
        </w:rPr>
        <w:t> </w:t>
      </w:r>
      <w:r>
        <w:rPr>
          <w:spacing w:val="40"/>
        </w:rPr>
      </w:r>
      <w:r>
        <w:rPr>
          <w:rFonts w:ascii="宋体" w:hAnsi="宋体" w:cs="宋体" w:eastAsia="宋体" w:hint="default"/>
          <w:spacing w:val="-3"/>
        </w:rPr>
        <w:t>0.74%</w:t>
      </w:r>
      <w:r>
        <w:rPr>
          <w:spacing w:val="-3"/>
        </w:rPr>
        <w:t>；实现归属于上市公司股东的净利润</w:t>
      </w:r>
      <w:r>
        <w:rPr>
          <w:rFonts w:ascii="宋体" w:hAnsi="宋体" w:cs="宋体" w:eastAsia="宋体" w:hint="default"/>
          <w:spacing w:val="-3"/>
        </w:rPr>
        <w:t>18,222.68</w:t>
      </w:r>
      <w:r>
        <w:rPr>
          <w:spacing w:val="-3"/>
        </w:rPr>
        <w:t>万元，同比增长</w:t>
      </w:r>
      <w:r>
        <w:rPr>
          <w:rFonts w:ascii="宋体" w:hAnsi="宋体" w:cs="宋体" w:eastAsia="宋体" w:hint="default"/>
          <w:spacing w:val="-3"/>
        </w:rPr>
        <w:t>1.43%</w:t>
      </w:r>
      <w:r>
        <w:rPr>
          <w:spacing w:val="-3"/>
        </w:rPr>
        <w:t>。公司重视信用政策管理，现金流情况良好，经</w:t>
      </w:r>
      <w:r>
        <w:rPr>
          <w:spacing w:val="10"/>
        </w:rPr>
        <w:t> </w:t>
      </w:r>
      <w:r>
        <w:rPr>
          <w:spacing w:val="10"/>
        </w:rPr>
      </w:r>
      <w:r>
        <w:rPr>
          <w:spacing w:val="-3"/>
        </w:rPr>
        <w:t>营活动产生的现金流量净额为</w:t>
      </w:r>
      <w:r>
        <w:rPr>
          <w:rFonts w:ascii="宋体" w:hAnsi="宋体" w:cs="宋体" w:eastAsia="宋体" w:hint="default"/>
          <w:spacing w:val="-3"/>
        </w:rPr>
        <w:t>18,385.68</w:t>
      </w:r>
      <w:r>
        <w:rPr>
          <w:spacing w:val="-3"/>
        </w:rPr>
        <w:t>万元。智慧照明业务营业收入占比大幅减少，从上年占比</w:t>
      </w:r>
      <w:r>
        <w:rPr>
          <w:rFonts w:ascii="宋体" w:hAnsi="宋体" w:cs="宋体" w:eastAsia="宋体" w:hint="default"/>
          <w:spacing w:val="-3"/>
        </w:rPr>
        <w:t>60.58%</w:t>
      </w:r>
      <w:r>
        <w:rPr>
          <w:spacing w:val="-3"/>
        </w:rPr>
        <w:t>下降至</w:t>
      </w:r>
      <w:r>
        <w:rPr>
          <w:rFonts w:ascii="宋体" w:hAnsi="宋体" w:cs="宋体" w:eastAsia="宋体" w:hint="default"/>
          <w:spacing w:val="-3"/>
        </w:rPr>
        <w:t>36.61%</w:t>
      </w:r>
      <w:r>
        <w:rPr>
          <w:spacing w:val="-3"/>
        </w:rPr>
        <w:t>，三</w:t>
      </w:r>
      <w:r>
        <w:rPr>
          <w:spacing w:val="6"/>
        </w:rPr>
        <w:t> </w:t>
      </w:r>
      <w:r>
        <w:rPr>
          <w:spacing w:val="-4"/>
        </w:rPr>
        <w:t>大业务板块比例更加健康，公司整体毛利率从</w:t>
      </w:r>
      <w:r>
        <w:rPr>
          <w:rFonts w:ascii="宋体" w:hAnsi="宋体" w:cs="宋体" w:eastAsia="宋体" w:hint="default"/>
          <w:spacing w:val="-4"/>
        </w:rPr>
        <w:t>33.52%</w:t>
      </w:r>
      <w:r>
        <w:rPr>
          <w:spacing w:val="-4"/>
        </w:rPr>
        <w:t>提升至</w:t>
      </w:r>
      <w:r>
        <w:rPr>
          <w:rFonts w:ascii="宋体" w:hAnsi="宋体" w:cs="宋体" w:eastAsia="宋体" w:hint="default"/>
          <w:spacing w:val="-4"/>
        </w:rPr>
        <w:t>44.43%</w:t>
      </w:r>
      <w:r>
        <w:rPr>
          <w:spacing w:val="-4"/>
        </w:rPr>
        <w:t>，盈利能力有所提升。净利润增长主要是因为公司重点加</w:t>
      </w:r>
      <w:r>
        <w:rPr>
          <w:spacing w:val="67"/>
        </w:rPr>
        <w:t> </w:t>
      </w:r>
      <w:r>
        <w:rPr>
          <w:spacing w:val="67"/>
        </w:rPr>
      </w:r>
      <w:r>
        <w:rPr>
          <w:spacing w:val="-3"/>
        </w:rPr>
        <w:t>大金融科技业务和</w:t>
      </w:r>
      <w:r>
        <w:rPr>
          <w:rFonts w:ascii="宋体" w:hAnsi="宋体" w:cs="宋体" w:eastAsia="宋体" w:hint="default"/>
          <w:spacing w:val="-3"/>
        </w:rPr>
        <w:t>LED</w:t>
      </w:r>
      <w:r>
        <w:rPr>
          <w:spacing w:val="-3"/>
        </w:rPr>
        <w:t>显示业务的开拓，金融科技业务和</w:t>
      </w:r>
      <w:r>
        <w:rPr>
          <w:rFonts w:ascii="宋体" w:hAnsi="宋体" w:cs="宋体" w:eastAsia="宋体" w:hint="default"/>
          <w:spacing w:val="-3"/>
        </w:rPr>
        <w:t>LED</w:t>
      </w:r>
      <w:r>
        <w:rPr>
          <w:spacing w:val="-3"/>
        </w:rPr>
        <w:t>显示业务均取得同比较大增长，实现快速发展，其中</w:t>
      </w:r>
      <w:r>
        <w:rPr>
          <w:rFonts w:ascii="宋体" w:hAnsi="宋体" w:cs="宋体" w:eastAsia="宋体" w:hint="default"/>
          <w:spacing w:val="-3"/>
        </w:rPr>
        <w:t>Mini </w:t>
      </w:r>
      <w:r>
        <w:rPr>
          <w:rFonts w:ascii="宋体" w:hAnsi="宋体" w:cs="宋体" w:eastAsia="宋体" w:hint="default"/>
        </w:rPr>
        <w:t>LED</w:t>
      </w:r>
      <w:r>
        <w:rPr>
          <w:rFonts w:ascii="宋体" w:hAnsi="宋体" w:cs="宋体" w:eastAsia="宋体" w:hint="default"/>
          <w:spacing w:val="-10"/>
        </w:rPr>
        <w:t> </w:t>
      </w:r>
      <w:r>
        <w:rPr>
          <w:rFonts w:ascii="宋体" w:hAnsi="宋体" w:cs="宋体" w:eastAsia="宋体" w:hint="default"/>
          <w:spacing w:val="-10"/>
        </w:rPr>
      </w:r>
      <w:r>
        <w:rPr/>
        <w:t>显示新产品增长明显。</w:t>
      </w:r>
    </w:p>
    <w:p>
      <w:pPr>
        <w:spacing w:after="0" w:line="316" w:lineRule="auto"/>
        <w:jc w:val="left"/>
        <w:sectPr>
          <w:pgSz w:w="11910" w:h="16840"/>
          <w:pgMar w:header="784" w:footer="1022" w:top="1100" w:bottom="1220" w:left="980" w:right="0"/>
        </w:sectPr>
      </w:pPr>
    </w:p>
    <w:p>
      <w:pPr>
        <w:spacing w:line="240" w:lineRule="auto" w:before="10"/>
        <w:rPr>
          <w:rFonts w:ascii="宋体" w:hAnsi="宋体" w:cs="宋体" w:eastAsia="宋体" w:hint="default"/>
          <w:sz w:val="22"/>
          <w:szCs w:val="22"/>
        </w:rPr>
      </w:pPr>
    </w:p>
    <w:p>
      <w:pPr>
        <w:pStyle w:val="BodyText"/>
        <w:spacing w:line="316" w:lineRule="auto"/>
        <w:ind w:right="1123" w:firstLine="360"/>
        <w:jc w:val="both"/>
      </w:pPr>
      <w:r>
        <w:rPr>
          <w:rFonts w:ascii="宋体" w:hAnsi="宋体" w:cs="宋体" w:eastAsia="宋体" w:hint="default"/>
          <w:spacing w:val="-3"/>
        </w:rPr>
        <w:t>2</w:t>
      </w:r>
      <w:r>
        <w:rPr>
          <w:spacing w:val="-3"/>
        </w:rPr>
        <w:t>、公司根据战略规划，构建赋能型管理平台，调整组织架构及管理团队，成立金融科技事业群、智慧照明事业群以及</w:t>
      </w:r>
      <w:r>
        <w:rPr>
          <w:w w:val="101"/>
        </w:rPr>
        <w:t> </w:t>
      </w:r>
      <w:r>
        <w:rPr>
          <w:rFonts w:ascii="宋体" w:hAnsi="宋体" w:cs="宋体" w:eastAsia="宋体" w:hint="default"/>
        </w:rPr>
        <w:t>LED </w:t>
      </w:r>
      <w:r>
        <w:rPr>
          <w:spacing w:val="-4"/>
        </w:rPr>
        <w:t>显示事业群，形成总部职能部门</w:t>
      </w:r>
      <w:r>
        <w:rPr>
          <w:rFonts w:ascii="宋体" w:hAnsi="宋体" w:cs="宋体" w:eastAsia="宋体" w:hint="default"/>
          <w:spacing w:val="-4"/>
        </w:rPr>
        <w:t>+3</w:t>
      </w:r>
      <w:r>
        <w:rPr>
          <w:spacing w:val="-4"/>
        </w:rPr>
        <w:t>大事业群的组织架构，促使各事业群明确分工、互相协同，大幅提升公司运营效率及</w:t>
      </w:r>
      <w:r>
        <w:rPr>
          <w:spacing w:val="-54"/>
        </w:rPr>
        <w:t> </w:t>
      </w:r>
      <w:r>
        <w:rPr>
          <w:spacing w:val="-54"/>
        </w:rPr>
      </w:r>
      <w:r>
        <w:rPr>
          <w:spacing w:val="-3"/>
        </w:rPr>
        <w:t>资源聚集能力。</w:t>
      </w:r>
    </w:p>
    <w:p>
      <w:pPr>
        <w:pStyle w:val="BodyText"/>
        <w:spacing w:line="316" w:lineRule="auto" w:before="19"/>
        <w:ind w:right="0" w:firstLine="360"/>
        <w:jc w:val="left"/>
      </w:pPr>
      <w:r>
        <w:rPr>
          <w:rFonts w:ascii="宋体" w:hAnsi="宋体" w:cs="宋体" w:eastAsia="宋体" w:hint="default"/>
          <w:spacing w:val="-3"/>
        </w:rPr>
        <w:t>3</w:t>
      </w:r>
      <w:r>
        <w:rPr>
          <w:spacing w:val="-3"/>
        </w:rPr>
        <w:t>、公司继续贯彻落实人才高地战略，加强股份公司及各事业群团队建设，完善人才梯队及相关制度建设，加强了各级</w:t>
      </w:r>
      <w:r>
        <w:rPr>
          <w:w w:val="101"/>
        </w:rPr>
        <w:t> </w:t>
      </w:r>
      <w:r>
        <w:rPr>
          <w:spacing w:val="-4"/>
        </w:rPr>
        <w:t>管理人员的培训。更新和升级了公司的</w:t>
      </w:r>
      <w:r>
        <w:rPr>
          <w:rFonts w:ascii="宋体" w:hAnsi="宋体" w:cs="宋体" w:eastAsia="宋体" w:hint="default"/>
          <w:spacing w:val="-4"/>
        </w:rPr>
        <w:t>VI</w:t>
      </w:r>
      <w:r>
        <w:rPr>
          <w:spacing w:val="-4"/>
        </w:rPr>
        <w:t>系统。新</w:t>
      </w:r>
      <w:r>
        <w:rPr>
          <w:rFonts w:ascii="宋体" w:hAnsi="宋体" w:cs="宋体" w:eastAsia="宋体" w:hint="default"/>
          <w:spacing w:val="-4"/>
        </w:rPr>
        <w:t>LOGO</w:t>
      </w:r>
      <w:r>
        <w:rPr>
          <w:spacing w:val="-4"/>
        </w:rPr>
        <w:t>的发布，诠释了“科技引人入胜”的美好景象，引领公司在“智能</w:t>
      </w:r>
      <w:r>
        <w:rPr>
          <w:rFonts w:ascii="宋体" w:hAnsi="宋体" w:cs="宋体" w:eastAsia="宋体" w:hint="default"/>
          <w:spacing w:val="-4"/>
        </w:rPr>
        <w:t>+</w:t>
      </w:r>
      <w:r>
        <w:rPr>
          <w:spacing w:val="-4"/>
        </w:rPr>
        <w:t>”</w:t>
      </w:r>
      <w:r>
        <w:rPr>
          <w:spacing w:val="53"/>
        </w:rPr>
        <w:t> </w:t>
      </w:r>
      <w:r>
        <w:rPr>
          <w:spacing w:val="-3"/>
        </w:rPr>
        <w:t>的道路上继续大步前行。</w:t>
      </w:r>
    </w:p>
    <w:p>
      <w:pPr>
        <w:pStyle w:val="BodyText"/>
        <w:spacing w:line="316" w:lineRule="auto" w:before="19"/>
        <w:ind w:right="0" w:firstLine="360"/>
        <w:jc w:val="left"/>
      </w:pPr>
      <w:r>
        <w:rPr>
          <w:rFonts w:ascii="宋体" w:hAnsi="宋体" w:cs="宋体" w:eastAsia="宋体" w:hint="default"/>
          <w:spacing w:val="-3"/>
        </w:rPr>
        <w:t>4</w:t>
      </w:r>
      <w:r>
        <w:rPr>
          <w:spacing w:val="-3"/>
        </w:rPr>
        <w:t>、继续提升公司信息化管理能力，通过</w:t>
      </w:r>
      <w:r>
        <w:rPr>
          <w:rFonts w:ascii="宋体" w:hAnsi="宋体" w:cs="宋体" w:eastAsia="宋体" w:hint="default"/>
          <w:spacing w:val="-3"/>
        </w:rPr>
        <w:t>ERP</w:t>
      </w:r>
      <w:r>
        <w:rPr>
          <w:spacing w:val="-3"/>
        </w:rPr>
        <w:t>系统、</w:t>
      </w:r>
      <w:r>
        <w:rPr>
          <w:rFonts w:ascii="宋体" w:hAnsi="宋体" w:cs="宋体" w:eastAsia="宋体" w:hint="default"/>
          <w:spacing w:val="-3"/>
        </w:rPr>
        <w:t>CRM</w:t>
      </w:r>
      <w:r>
        <w:rPr>
          <w:spacing w:val="-3"/>
        </w:rPr>
        <w:t>系统等信息化手段，促进总部及各事业群实现战略及业务协同，</w:t>
      </w:r>
      <w:r>
        <w:rPr>
          <w:w w:val="101"/>
        </w:rPr>
        <w:t> </w:t>
      </w:r>
      <w:r>
        <w:rPr>
          <w:spacing w:val="-3"/>
        </w:rPr>
        <w:t>提高公司整体运营及决策效率，有效控制经营风险。</w:t>
      </w:r>
    </w:p>
    <w:p>
      <w:pPr>
        <w:pStyle w:val="BodyText"/>
        <w:spacing w:line="319" w:lineRule="auto" w:before="19"/>
        <w:ind w:right="0" w:firstLine="360"/>
        <w:jc w:val="left"/>
      </w:pPr>
      <w:r>
        <w:rPr>
          <w:rFonts w:ascii="宋体" w:hAnsi="宋体" w:cs="宋体" w:eastAsia="宋体" w:hint="default"/>
          <w:spacing w:val="-3"/>
        </w:rPr>
        <w:t>5</w:t>
      </w:r>
      <w:r>
        <w:rPr>
          <w:spacing w:val="-3"/>
        </w:rPr>
        <w:t>、进一步加强应收账款及经营性现金流的管理，提升资金使用效率。借助国家在清理欠款方面的政策，将催收应收款</w:t>
      </w:r>
      <w:r>
        <w:rPr>
          <w:w w:val="101"/>
        </w:rPr>
        <w:t> </w:t>
      </w:r>
      <w:r>
        <w:rPr>
          <w:spacing w:val="-3"/>
        </w:rPr>
        <w:t>工作放在日常工作的首位，成立清欠工作组，加大催收力度，进行应收款回收，合计回款</w:t>
      </w:r>
      <w:r>
        <w:rPr>
          <w:rFonts w:ascii="宋体" w:hAnsi="宋体" w:cs="宋体" w:eastAsia="宋体" w:hint="default"/>
          <w:spacing w:val="-3"/>
        </w:rPr>
        <w:t>122,429.03</w:t>
      </w:r>
      <w:r>
        <w:rPr>
          <w:spacing w:val="-3"/>
        </w:rPr>
        <w:t>万元。</w:t>
      </w:r>
    </w:p>
    <w:p>
      <w:pPr>
        <w:pStyle w:val="BodyText"/>
        <w:spacing w:line="319" w:lineRule="auto" w:before="17"/>
        <w:ind w:right="0" w:firstLine="360"/>
        <w:jc w:val="left"/>
      </w:pPr>
      <w:r>
        <w:rPr>
          <w:rFonts w:ascii="宋体" w:hAnsi="宋体" w:cs="宋体" w:eastAsia="宋体" w:hint="default"/>
          <w:spacing w:val="-3"/>
        </w:rPr>
        <w:t>6</w:t>
      </w:r>
      <w:r>
        <w:rPr>
          <w:spacing w:val="-3"/>
        </w:rPr>
        <w:t>、</w:t>
      </w:r>
      <w:r>
        <w:rPr>
          <w:rFonts w:ascii="宋体" w:hAnsi="宋体" w:cs="宋体" w:eastAsia="宋体" w:hint="default"/>
          <w:spacing w:val="-3"/>
        </w:rPr>
        <w:t>2019</w:t>
      </w:r>
      <w:r>
        <w:rPr>
          <w:spacing w:val="-3"/>
        </w:rPr>
        <w:t>年初，公司设立了智能视讯技术研究院，是落实公司“智能</w:t>
      </w:r>
      <w:r>
        <w:rPr>
          <w:rFonts w:ascii="宋体" w:hAnsi="宋体" w:cs="宋体" w:eastAsia="宋体" w:hint="default"/>
          <w:spacing w:val="-3"/>
        </w:rPr>
        <w:t>+</w:t>
      </w:r>
      <w:r>
        <w:rPr>
          <w:spacing w:val="-3"/>
        </w:rPr>
        <w:t>”战略、推动公司业务快速发展的一个重要举措。</w:t>
      </w:r>
      <w:r>
        <w:rPr>
          <w:w w:val="101"/>
        </w:rPr>
        <w:t> </w:t>
      </w:r>
      <w:r>
        <w:rPr/>
        <w:t>奥拓电子作为以“技术为先”的科技型企业，长期以来，注重研发投入，产出了一批过硬的技术成果，</w:t>
      </w:r>
      <w:r>
        <w:rPr>
          <w:rFonts w:ascii="宋体" w:hAnsi="宋体" w:cs="宋体" w:eastAsia="宋体" w:hint="default"/>
        </w:rPr>
        <w:t>2019</w:t>
      </w:r>
      <w:r>
        <w:rPr/>
        <w:t>年喜获“</w:t>
      </w:r>
      <w:r>
        <w:rPr>
          <w:rFonts w:ascii="宋体" w:hAnsi="宋体" w:cs="宋体" w:eastAsia="宋体" w:hint="default"/>
        </w:rPr>
        <w:t>2019</w:t>
      </w:r>
      <w:r>
        <w:rPr>
          <w:rFonts w:ascii="宋体" w:hAnsi="宋体" w:cs="宋体" w:eastAsia="宋体" w:hint="default"/>
          <w:spacing w:val="9"/>
        </w:rPr>
        <w:t> </w:t>
      </w:r>
      <w:r>
        <w:rPr>
          <w:rFonts w:ascii="宋体" w:hAnsi="宋体" w:cs="宋体" w:eastAsia="宋体" w:hint="default"/>
          <w:spacing w:val="9"/>
        </w:rPr>
      </w:r>
      <w:r>
        <w:rPr>
          <w:spacing w:val="-4"/>
        </w:rPr>
        <w:t>年度国家知识产权优势企业”称号。面对人工智能、</w:t>
      </w:r>
      <w:r>
        <w:rPr>
          <w:rFonts w:ascii="宋体" w:hAnsi="宋体" w:cs="宋体" w:eastAsia="宋体" w:hint="default"/>
          <w:spacing w:val="-4"/>
        </w:rPr>
        <w:t>5G</w:t>
      </w:r>
      <w:r>
        <w:rPr>
          <w:spacing w:val="-4"/>
        </w:rPr>
        <w:t>应用等新的技术和市场机遇，以“智能视讯技术研究院”为平台，连</w:t>
      </w:r>
      <w:r>
        <w:rPr>
          <w:spacing w:val="45"/>
        </w:rPr>
        <w:t> </w:t>
      </w:r>
      <w:r>
        <w:rPr>
          <w:spacing w:val="45"/>
        </w:rPr>
      </w:r>
      <w:r>
        <w:rPr>
          <w:spacing w:val="-3"/>
        </w:rPr>
        <w:t>接</w:t>
      </w:r>
      <w:r>
        <w:rPr>
          <w:rFonts w:ascii="宋体" w:hAnsi="宋体" w:cs="宋体" w:eastAsia="宋体" w:hint="default"/>
          <w:spacing w:val="-3"/>
        </w:rPr>
        <w:t>LED</w:t>
      </w:r>
      <w:r>
        <w:rPr>
          <w:spacing w:val="-3"/>
        </w:rPr>
        <w:t>应用、金融科技、智慧照明三大业务，大力夯实奥拓电子的智能化水平和集成化水平，力争在智慧银行、智慧城市等</w:t>
      </w:r>
      <w:r>
        <w:rPr>
          <w:spacing w:val="78"/>
        </w:rPr>
        <w:t> </w:t>
      </w:r>
      <w:r>
        <w:rPr>
          <w:spacing w:val="78"/>
        </w:rPr>
      </w:r>
      <w:r>
        <w:rPr>
          <w:spacing w:val="-4"/>
        </w:rPr>
        <w:t>领域取得技术领先，引领公司业务快速发展。</w:t>
      </w:r>
      <w:r>
        <w:rPr>
          <w:rFonts w:ascii="宋体" w:hAnsi="宋体" w:cs="宋体" w:eastAsia="宋体" w:hint="default"/>
          <w:spacing w:val="-4"/>
        </w:rPr>
        <w:t>2019</w:t>
      </w:r>
      <w:r>
        <w:rPr>
          <w:spacing w:val="-4"/>
        </w:rPr>
        <w:t>年，武汉市奥拓智能科技有限公司正式挂牌成立，重点加强在金融科技等</w:t>
      </w:r>
      <w:r>
        <w:rPr>
          <w:spacing w:val="48"/>
        </w:rPr>
        <w:t> </w:t>
      </w:r>
      <w:r>
        <w:rPr>
          <w:spacing w:val="48"/>
        </w:rPr>
      </w:r>
      <w:r>
        <w:rPr>
          <w:spacing w:val="-4"/>
        </w:rPr>
        <w:t>方面的技术研发，强化了公司软件产品的开发能力，未来在智慧银行、云平台以及区块链技术研发上将提供支撑。整合公司</w:t>
      </w:r>
      <w:r>
        <w:rPr>
          <w:spacing w:val="40"/>
        </w:rPr>
        <w:t> </w:t>
      </w:r>
      <w:r>
        <w:rPr>
          <w:spacing w:val="40"/>
        </w:rPr>
      </w:r>
      <w:r>
        <w:rPr>
          <w:spacing w:val="-3"/>
        </w:rPr>
        <w:t>研发资源，加强高校及科研机构产学研合作，提升公司技术创新能力及科研成果转换效率。加强与北京大学深圳研究生院、</w:t>
      </w:r>
      <w:r>
        <w:rPr>
          <w:spacing w:val="66"/>
        </w:rPr>
        <w:t> </w:t>
      </w:r>
      <w:r>
        <w:rPr>
          <w:spacing w:val="66"/>
        </w:rPr>
      </w:r>
      <w:r>
        <w:rPr>
          <w:spacing w:val="-4"/>
        </w:rPr>
        <w:t>香港科技大学、深圳市和信中欧金融科技研究院、中国电影科学技术研究所、中国工商银行业务研发中心、中国联通网络技</w:t>
      </w:r>
      <w:r>
        <w:rPr>
          <w:spacing w:val="40"/>
        </w:rPr>
        <w:t> </w:t>
      </w:r>
      <w:r>
        <w:rPr>
          <w:spacing w:val="40"/>
        </w:rPr>
      </w:r>
      <w:r>
        <w:rPr>
          <w:spacing w:val="-4"/>
        </w:rPr>
        <w:t>术研究院等高校及科研机构的合作，利用高校及科研机构研发资源，加强公司在智能网点、人工智能技术、区块链技术、影</w:t>
      </w:r>
      <w:r>
        <w:rPr>
          <w:spacing w:val="40"/>
        </w:rPr>
        <w:t> </w:t>
      </w:r>
      <w:r>
        <w:rPr>
          <w:spacing w:val="40"/>
        </w:rPr>
      </w:r>
      <w:r>
        <w:rPr>
          <w:spacing w:val="-3"/>
        </w:rPr>
        <w:t>院播放等领域的研究及应用，提升公司产品及解决方案的核心竞争力。</w:t>
      </w:r>
    </w:p>
    <w:p>
      <w:pPr>
        <w:pStyle w:val="BodyText"/>
        <w:spacing w:line="316" w:lineRule="auto" w:before="17"/>
        <w:ind w:right="0" w:firstLine="360"/>
        <w:jc w:val="left"/>
      </w:pPr>
      <w:r>
        <w:rPr>
          <w:rFonts w:ascii="宋体" w:hAnsi="宋体" w:cs="宋体" w:eastAsia="宋体" w:hint="default"/>
          <w:spacing w:val="-4"/>
        </w:rPr>
        <w:t>7</w:t>
      </w:r>
      <w:r>
        <w:rPr>
          <w:spacing w:val="-4"/>
        </w:rPr>
        <w:t>、公司以及部分股东发起并出资设立深圳市奥之爱公益基金会。为抗击新冠疫情，</w:t>
      </w:r>
      <w:r>
        <w:rPr>
          <w:rFonts w:ascii="宋体" w:hAnsi="宋体" w:cs="宋体" w:eastAsia="宋体" w:hint="default"/>
          <w:spacing w:val="-4"/>
        </w:rPr>
        <w:t>2020</w:t>
      </w:r>
      <w:r>
        <w:rPr>
          <w:spacing w:val="-4"/>
        </w:rPr>
        <w:t>年</w:t>
      </w:r>
      <w:r>
        <w:rPr>
          <w:rFonts w:ascii="宋体" w:hAnsi="宋体" w:cs="宋体" w:eastAsia="宋体" w:hint="default"/>
          <w:spacing w:val="-4"/>
        </w:rPr>
        <w:t>2</w:t>
      </w:r>
      <w:r>
        <w:rPr>
          <w:spacing w:val="-4"/>
        </w:rPr>
        <w:t>月</w:t>
      </w:r>
      <w:r>
        <w:rPr>
          <w:rFonts w:ascii="宋体" w:hAnsi="宋体" w:cs="宋体" w:eastAsia="宋体" w:hint="default"/>
          <w:spacing w:val="-4"/>
        </w:rPr>
        <w:t>20</w:t>
      </w:r>
      <w:r>
        <w:rPr>
          <w:spacing w:val="-4"/>
        </w:rPr>
        <w:t>日，奥之爱基金会向武</w:t>
      </w:r>
      <w:r>
        <w:rPr>
          <w:w w:val="101"/>
        </w:rPr>
        <w:t> </w:t>
      </w:r>
      <w:r>
        <w:rPr>
          <w:spacing w:val="-3"/>
        </w:rPr>
        <w:t>汉市和景德镇市捐款</w:t>
      </w:r>
      <w:r>
        <w:rPr>
          <w:rFonts w:ascii="宋体" w:hAnsi="宋体" w:cs="宋体" w:eastAsia="宋体" w:hint="default"/>
          <w:spacing w:val="-3"/>
        </w:rPr>
        <w:t>60</w:t>
      </w:r>
      <w:r>
        <w:rPr>
          <w:spacing w:val="-3"/>
        </w:rPr>
        <w:t>万元。同时，公司及员工也向武汉市捐款</w:t>
      </w:r>
      <w:r>
        <w:rPr>
          <w:rFonts w:ascii="宋体" w:hAnsi="宋体" w:cs="宋体" w:eastAsia="宋体" w:hint="default"/>
          <w:spacing w:val="-3"/>
        </w:rPr>
        <w:t>50</w:t>
      </w:r>
      <w:r>
        <w:rPr>
          <w:spacing w:val="-3"/>
        </w:rPr>
        <w:t>万元。</w:t>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6"/>
          <w:szCs w:val="26"/>
        </w:rPr>
      </w:pPr>
    </w:p>
    <w:p>
      <w:pPr>
        <w:pStyle w:val="Heading2"/>
        <w:spacing w:line="240" w:lineRule="auto"/>
        <w:ind w:right="0"/>
        <w:jc w:val="left"/>
        <w:rPr>
          <w:b w:val="0"/>
          <w:bCs w:val="0"/>
        </w:rPr>
      </w:pPr>
      <w:bookmarkStart w:name="十、接待调研、沟通、采访等活动" w:id="60"/>
      <w:bookmarkEnd w:id="60"/>
      <w:r>
        <w:rPr>
          <w:b w:val="0"/>
          <w:bCs w:val="0"/>
        </w:rPr>
      </w:r>
      <w:r>
        <w:rPr/>
        <w:t>十、接待调研、沟通、采访等活动</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0"/>
        <w:jc w:val="left"/>
        <w:rPr>
          <w:b w:val="0"/>
          <w:bCs w:val="0"/>
        </w:rPr>
      </w:pPr>
      <w:bookmarkStart w:name="1、报告期内接待调研、沟通、采访等活动登记表" w:id="61"/>
      <w:bookmarkEnd w:id="61"/>
      <w:r>
        <w:rPr>
          <w:b w:val="0"/>
          <w:bCs w:val="0"/>
        </w:rPr>
      </w:r>
      <w:r>
        <w:rPr>
          <w:rFonts w:ascii="Times New Roman" w:hAnsi="Times New Roman" w:cs="Times New Roman" w:eastAsia="Times New Roman" w:hint="default"/>
        </w:rPr>
        <w:t>1</w:t>
      </w:r>
      <w:r>
        <w:rPr/>
        <w:t>、报告期内接待调研、沟通、采访等活动登记表</w:t>
      </w:r>
      <w:r>
        <w:rPr>
          <w:b w:val="0"/>
          <w:bCs w:val="0"/>
        </w:rPr>
      </w:r>
    </w:p>
    <w:p>
      <w:pPr>
        <w:spacing w:line="240" w:lineRule="auto" w:before="1"/>
        <w:rPr>
          <w:rFonts w:ascii="宋体" w:hAnsi="宋体" w:cs="宋体" w:eastAsia="宋体" w:hint="default"/>
          <w:b/>
          <w:bCs/>
          <w:sz w:val="27"/>
          <w:szCs w:val="27"/>
        </w:rPr>
      </w:pPr>
    </w:p>
    <w:p>
      <w:pPr>
        <w:pStyle w:val="BodyText"/>
        <w:spacing w:line="240" w:lineRule="auto" w:before="0"/>
        <w:ind w:right="0"/>
        <w:jc w:val="left"/>
      </w:pPr>
      <w:r>
        <w:rPr/>
        <w:t>√ </w:t>
      </w:r>
      <w:r>
        <w:rPr>
          <w:spacing w:val="-3"/>
        </w:rPr>
        <w:t>适用 </w:t>
      </w:r>
      <w:r>
        <w:rPr/>
        <w:t>□</w:t>
      </w:r>
      <w:r>
        <w:rPr>
          <w:spacing w:val="13"/>
        </w:rPr>
        <w:t> </w:t>
      </w:r>
      <w:r>
        <w:rPr/>
        <w:t>不适用</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180"/>
        <w:gridCol w:w="2175"/>
        <w:gridCol w:w="2180"/>
        <w:gridCol w:w="3040"/>
      </w:tblGrid>
      <w:tr>
        <w:trPr>
          <w:trHeight w:val="403" w:hRule="exact"/>
        </w:trPr>
        <w:tc>
          <w:tcPr>
            <w:tcW w:w="21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24" w:right="0"/>
              <w:jc w:val="left"/>
              <w:rPr>
                <w:rFonts w:ascii="宋体" w:hAnsi="宋体" w:cs="宋体" w:eastAsia="宋体" w:hint="default"/>
                <w:sz w:val="18"/>
                <w:szCs w:val="18"/>
              </w:rPr>
            </w:pPr>
            <w:r>
              <w:rPr>
                <w:rFonts w:ascii="宋体" w:hAnsi="宋体" w:cs="宋体" w:eastAsia="宋体" w:hint="default"/>
                <w:sz w:val="18"/>
                <w:szCs w:val="18"/>
              </w:rPr>
              <w:t>接待时间</w:t>
            </w:r>
          </w:p>
        </w:tc>
        <w:tc>
          <w:tcPr>
            <w:tcW w:w="21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19" w:right="0"/>
              <w:jc w:val="left"/>
              <w:rPr>
                <w:rFonts w:ascii="宋体" w:hAnsi="宋体" w:cs="宋体" w:eastAsia="宋体" w:hint="default"/>
                <w:sz w:val="18"/>
                <w:szCs w:val="18"/>
              </w:rPr>
            </w:pPr>
            <w:r>
              <w:rPr>
                <w:rFonts w:ascii="宋体" w:hAnsi="宋体" w:cs="宋体" w:eastAsia="宋体" w:hint="default"/>
                <w:sz w:val="18"/>
                <w:szCs w:val="18"/>
              </w:rPr>
              <w:t>接待方式</w:t>
            </w:r>
          </w:p>
        </w:tc>
        <w:tc>
          <w:tcPr>
            <w:tcW w:w="21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47" w:right="0"/>
              <w:jc w:val="left"/>
              <w:rPr>
                <w:rFonts w:ascii="宋体" w:hAnsi="宋体" w:cs="宋体" w:eastAsia="宋体" w:hint="default"/>
                <w:sz w:val="18"/>
                <w:szCs w:val="18"/>
              </w:rPr>
            </w:pPr>
            <w:r>
              <w:rPr>
                <w:rFonts w:ascii="宋体" w:hAnsi="宋体" w:cs="宋体" w:eastAsia="宋体" w:hint="default"/>
                <w:sz w:val="18"/>
                <w:szCs w:val="18"/>
              </w:rPr>
              <w:t>接待对象类型</w:t>
            </w:r>
          </w:p>
        </w:tc>
        <w:tc>
          <w:tcPr>
            <w:tcW w:w="30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06" w:right="0"/>
              <w:jc w:val="left"/>
              <w:rPr>
                <w:rFonts w:ascii="宋体" w:hAnsi="宋体" w:cs="宋体" w:eastAsia="宋体" w:hint="default"/>
                <w:sz w:val="18"/>
                <w:szCs w:val="18"/>
              </w:rPr>
            </w:pPr>
            <w:r>
              <w:rPr>
                <w:rFonts w:ascii="宋体" w:hAnsi="宋体" w:cs="宋体" w:eastAsia="宋体" w:hint="default"/>
                <w:spacing w:val="-3"/>
                <w:sz w:val="18"/>
                <w:szCs w:val="18"/>
              </w:rPr>
              <w:t>调研的基本情况索引</w:t>
            </w:r>
          </w:p>
        </w:tc>
      </w:tr>
      <w:tr>
        <w:trPr>
          <w:trHeight w:val="1028" w:hRule="exact"/>
        </w:trPr>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1"/>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1"/>
              <w:ind w:left="100"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1"/>
              <w:ind w:left="105"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40"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54"/>
              <w:ind w:left="105" w:right="93"/>
              <w:jc w:val="both"/>
              <w:rPr>
                <w:rFonts w:ascii="宋体" w:hAnsi="宋体" w:cs="宋体" w:eastAsia="宋体" w:hint="default"/>
                <w:sz w:val="18"/>
                <w:szCs w:val="18"/>
              </w:rPr>
            </w:pPr>
            <w:r>
              <w:rPr>
                <w:rFonts w:ascii="宋体" w:hAnsi="宋体" w:cs="宋体" w:eastAsia="宋体" w:hint="default"/>
                <w:spacing w:val="-12"/>
                <w:w w:val="101"/>
                <w:sz w:val="18"/>
                <w:szCs w:val="18"/>
              </w:rPr>
              <w:t>巨潮资讯网（</w:t>
            </w:r>
            <w:hyperlink r:id="rId12">
              <w:r>
                <w:rPr>
                  <w:rFonts w:ascii="Times New Roman" w:hAnsi="Times New Roman" w:cs="Times New Roman" w:eastAsia="Times New Roman" w:hint="default"/>
                  <w:spacing w:val="-12"/>
                  <w:w w:val="101"/>
                  <w:sz w:val="18"/>
                  <w:szCs w:val="18"/>
                </w:rPr>
                <w:t>www.cninfo.com.cn</w:t>
              </w:r>
            </w:hyperlink>
            <w:r>
              <w:rPr>
                <w:rFonts w:ascii="宋体" w:hAnsi="宋体" w:cs="宋体" w:eastAsia="宋体" w:hint="default"/>
                <w:spacing w:val="-12"/>
                <w:w w:val="101"/>
                <w:sz w:val="18"/>
                <w:szCs w:val="18"/>
              </w:rPr>
              <w:t>）《奥</w:t>
            </w:r>
            <w:r>
              <w:rPr>
                <w:rFonts w:ascii="宋体" w:hAnsi="宋体" w:cs="宋体" w:eastAsia="宋体" w:hint="default"/>
                <w:spacing w:val="-87"/>
                <w:w w:val="101"/>
                <w:sz w:val="18"/>
                <w:szCs w:val="18"/>
              </w:rPr>
              <w:t> </w:t>
            </w:r>
            <w:r>
              <w:rPr>
                <w:rFonts w:ascii="宋体" w:hAnsi="宋体" w:cs="宋体" w:eastAsia="宋体" w:hint="default"/>
                <w:spacing w:val="-87"/>
                <w:w w:val="101"/>
                <w:sz w:val="18"/>
                <w:szCs w:val="18"/>
              </w:rPr>
            </w:r>
            <w:r>
              <w:rPr>
                <w:rFonts w:ascii="宋体" w:hAnsi="宋体" w:cs="宋体" w:eastAsia="宋体" w:hint="default"/>
                <w:spacing w:val="-3"/>
                <w:sz w:val="18"/>
                <w:szCs w:val="18"/>
              </w:rPr>
              <w:t>拓电子：</w:t>
            </w:r>
            <w:r>
              <w:rPr>
                <w:rFonts w:ascii="Times New Roman" w:hAnsi="Times New Roman" w:cs="Times New Roman" w:eastAsia="Times New Roman" w:hint="default"/>
                <w:spacing w:val="-3"/>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日投资者关</w:t>
            </w:r>
            <w:r>
              <w:rPr>
                <w:rFonts w:ascii="宋体" w:hAnsi="宋体" w:cs="宋体" w:eastAsia="宋体" w:hint="default"/>
                <w:w w:val="101"/>
                <w:sz w:val="18"/>
                <w:szCs w:val="18"/>
              </w:rPr>
              <w:t> </w:t>
            </w:r>
            <w:r>
              <w:rPr>
                <w:rFonts w:ascii="宋体" w:hAnsi="宋体" w:cs="宋体" w:eastAsia="宋体" w:hint="default"/>
                <w:spacing w:val="-3"/>
                <w:sz w:val="18"/>
                <w:szCs w:val="18"/>
              </w:rPr>
              <w:t>系活动记录表》</w:t>
            </w:r>
          </w:p>
        </w:tc>
      </w:tr>
      <w:tr>
        <w:trPr>
          <w:trHeight w:val="1028" w:hRule="exact"/>
        </w:trPr>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100"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40"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3"/>
              <w:ind w:left="105" w:right="93"/>
              <w:jc w:val="both"/>
              <w:rPr>
                <w:rFonts w:ascii="宋体" w:hAnsi="宋体" w:cs="宋体" w:eastAsia="宋体" w:hint="default"/>
                <w:sz w:val="18"/>
                <w:szCs w:val="18"/>
              </w:rPr>
            </w:pPr>
            <w:r>
              <w:rPr>
                <w:rFonts w:ascii="宋体" w:hAnsi="宋体" w:cs="宋体" w:eastAsia="宋体" w:hint="default"/>
                <w:spacing w:val="-12"/>
                <w:w w:val="101"/>
                <w:sz w:val="18"/>
                <w:szCs w:val="18"/>
              </w:rPr>
              <w:t>巨潮资讯网（</w:t>
            </w:r>
            <w:hyperlink r:id="rId12">
              <w:r>
                <w:rPr>
                  <w:rFonts w:ascii="Times New Roman" w:hAnsi="Times New Roman" w:cs="Times New Roman" w:eastAsia="Times New Roman" w:hint="default"/>
                  <w:spacing w:val="-12"/>
                  <w:w w:val="101"/>
                  <w:sz w:val="18"/>
                  <w:szCs w:val="18"/>
                </w:rPr>
                <w:t>www.cninfo.com.cn</w:t>
              </w:r>
            </w:hyperlink>
            <w:r>
              <w:rPr>
                <w:rFonts w:ascii="宋体" w:hAnsi="宋体" w:cs="宋体" w:eastAsia="宋体" w:hint="default"/>
                <w:spacing w:val="-12"/>
                <w:w w:val="101"/>
                <w:sz w:val="18"/>
                <w:szCs w:val="18"/>
              </w:rPr>
              <w:t>）《奥</w:t>
            </w:r>
            <w:r>
              <w:rPr>
                <w:rFonts w:ascii="宋体" w:hAnsi="宋体" w:cs="宋体" w:eastAsia="宋体" w:hint="default"/>
                <w:spacing w:val="-87"/>
                <w:w w:val="101"/>
                <w:sz w:val="18"/>
                <w:szCs w:val="18"/>
              </w:rPr>
              <w:t> </w:t>
            </w:r>
            <w:r>
              <w:rPr>
                <w:rFonts w:ascii="宋体" w:hAnsi="宋体" w:cs="宋体" w:eastAsia="宋体" w:hint="default"/>
                <w:spacing w:val="-87"/>
                <w:w w:val="101"/>
                <w:sz w:val="18"/>
                <w:szCs w:val="18"/>
              </w:rPr>
            </w:r>
            <w:r>
              <w:rPr>
                <w:rFonts w:ascii="宋体" w:hAnsi="宋体" w:cs="宋体" w:eastAsia="宋体" w:hint="default"/>
                <w:spacing w:val="-3"/>
                <w:sz w:val="18"/>
                <w:szCs w:val="18"/>
              </w:rPr>
              <w:t>拓电子：</w:t>
            </w:r>
            <w:r>
              <w:rPr>
                <w:rFonts w:ascii="Times New Roman" w:hAnsi="Times New Roman" w:cs="Times New Roman" w:eastAsia="Times New Roman" w:hint="default"/>
                <w:spacing w:val="-3"/>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日投资者关</w:t>
            </w:r>
            <w:r>
              <w:rPr>
                <w:rFonts w:ascii="宋体" w:hAnsi="宋体" w:cs="宋体" w:eastAsia="宋体" w:hint="default"/>
                <w:w w:val="101"/>
                <w:sz w:val="18"/>
                <w:szCs w:val="18"/>
              </w:rPr>
              <w:t> </w:t>
            </w:r>
            <w:r>
              <w:rPr>
                <w:rFonts w:ascii="宋体" w:hAnsi="宋体" w:cs="宋体" w:eastAsia="宋体" w:hint="default"/>
                <w:spacing w:val="-3"/>
                <w:sz w:val="18"/>
                <w:szCs w:val="18"/>
              </w:rPr>
              <w:t>系活动记录表》</w:t>
            </w:r>
          </w:p>
        </w:tc>
      </w:tr>
      <w:tr>
        <w:trPr>
          <w:trHeight w:val="1022" w:hRule="exact"/>
        </w:trPr>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100"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40"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3"/>
              <w:ind w:left="105" w:right="93"/>
              <w:jc w:val="both"/>
              <w:rPr>
                <w:rFonts w:ascii="宋体" w:hAnsi="宋体" w:cs="宋体" w:eastAsia="宋体" w:hint="default"/>
                <w:sz w:val="18"/>
                <w:szCs w:val="18"/>
              </w:rPr>
            </w:pPr>
            <w:r>
              <w:rPr>
                <w:rFonts w:ascii="宋体" w:hAnsi="宋体" w:cs="宋体" w:eastAsia="宋体" w:hint="default"/>
                <w:spacing w:val="-12"/>
                <w:w w:val="101"/>
                <w:sz w:val="18"/>
                <w:szCs w:val="18"/>
              </w:rPr>
              <w:t>巨潮资讯网（</w:t>
            </w:r>
            <w:hyperlink r:id="rId12">
              <w:r>
                <w:rPr>
                  <w:rFonts w:ascii="Times New Roman" w:hAnsi="Times New Roman" w:cs="Times New Roman" w:eastAsia="Times New Roman" w:hint="default"/>
                  <w:spacing w:val="-12"/>
                  <w:w w:val="101"/>
                  <w:sz w:val="18"/>
                  <w:szCs w:val="18"/>
                </w:rPr>
                <w:t>www.cninfo.com.cn</w:t>
              </w:r>
            </w:hyperlink>
            <w:r>
              <w:rPr>
                <w:rFonts w:ascii="宋体" w:hAnsi="宋体" w:cs="宋体" w:eastAsia="宋体" w:hint="default"/>
                <w:spacing w:val="-12"/>
                <w:w w:val="101"/>
                <w:sz w:val="18"/>
                <w:szCs w:val="18"/>
              </w:rPr>
              <w:t>）《奥</w:t>
            </w:r>
            <w:r>
              <w:rPr>
                <w:rFonts w:ascii="宋体" w:hAnsi="宋体" w:cs="宋体" w:eastAsia="宋体" w:hint="default"/>
                <w:spacing w:val="-87"/>
                <w:w w:val="101"/>
                <w:sz w:val="18"/>
                <w:szCs w:val="18"/>
              </w:rPr>
              <w:t> </w:t>
            </w:r>
            <w:r>
              <w:rPr>
                <w:rFonts w:ascii="宋体" w:hAnsi="宋体" w:cs="宋体" w:eastAsia="宋体" w:hint="default"/>
                <w:spacing w:val="-87"/>
                <w:w w:val="101"/>
                <w:sz w:val="18"/>
                <w:szCs w:val="18"/>
              </w:rPr>
            </w:r>
            <w:r>
              <w:rPr>
                <w:rFonts w:ascii="宋体" w:hAnsi="宋体" w:cs="宋体" w:eastAsia="宋体" w:hint="default"/>
                <w:spacing w:val="-3"/>
                <w:sz w:val="18"/>
                <w:szCs w:val="18"/>
              </w:rPr>
              <w:t>拓电子：</w:t>
            </w:r>
            <w:r>
              <w:rPr>
                <w:rFonts w:ascii="Times New Roman" w:hAnsi="Times New Roman" w:cs="Times New Roman" w:eastAsia="Times New Roman" w:hint="default"/>
                <w:spacing w:val="-3"/>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日投资者关</w:t>
            </w:r>
            <w:r>
              <w:rPr>
                <w:rFonts w:ascii="宋体" w:hAnsi="宋体" w:cs="宋体" w:eastAsia="宋体" w:hint="default"/>
                <w:w w:val="101"/>
                <w:sz w:val="18"/>
                <w:szCs w:val="18"/>
              </w:rPr>
              <w:t> </w:t>
            </w:r>
            <w:r>
              <w:rPr>
                <w:rFonts w:ascii="宋体" w:hAnsi="宋体" w:cs="宋体" w:eastAsia="宋体" w:hint="default"/>
                <w:spacing w:val="-3"/>
                <w:sz w:val="18"/>
                <w:szCs w:val="18"/>
              </w:rPr>
              <w:t>系活动记录表》</w:t>
            </w:r>
          </w:p>
        </w:tc>
      </w:tr>
    </w:tbl>
    <w:p>
      <w:pPr>
        <w:spacing w:after="0" w:line="300" w:lineRule="auto"/>
        <w:jc w:val="both"/>
        <w:rPr>
          <w:rFonts w:ascii="宋体" w:hAnsi="宋体" w:cs="宋体" w:eastAsia="宋体" w:hint="default"/>
          <w:sz w:val="18"/>
          <w:szCs w:val="18"/>
        </w:rPr>
        <w:sectPr>
          <w:pgSz w:w="11910" w:h="16840"/>
          <w:pgMar w:header="784" w:footer="1022" w:top="1100" w:bottom="122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7"/>
          <w:szCs w:val="17"/>
        </w:rPr>
      </w:pPr>
    </w:p>
    <w:p>
      <w:pPr>
        <w:pStyle w:val="Heading1"/>
        <w:spacing w:line="240" w:lineRule="auto"/>
        <w:ind w:right="1106"/>
        <w:jc w:val="center"/>
        <w:rPr>
          <w:b w:val="0"/>
          <w:bCs w:val="0"/>
        </w:rPr>
      </w:pPr>
      <w:bookmarkStart w:name="第五节重要事项" w:id="62"/>
      <w:bookmarkEnd w:id="62"/>
      <w:r>
        <w:rPr>
          <w:b w:val="0"/>
          <w:bCs w:val="0"/>
        </w:rPr>
      </w:r>
      <w:bookmarkStart w:name="_bookmark4" w:id="63"/>
      <w:bookmarkEnd w:id="63"/>
      <w:r>
        <w:rPr>
          <w:b w:val="0"/>
          <w:bCs w:val="0"/>
        </w:rPr>
      </w:r>
      <w:r>
        <w:rPr/>
        <w:t>第五节重要事项</w:t>
      </w:r>
      <w:r>
        <w:rPr>
          <w:b w:val="0"/>
          <w:bCs w:val="0"/>
        </w:rPr>
      </w:r>
    </w:p>
    <w:p>
      <w:pPr>
        <w:spacing w:line="240" w:lineRule="auto" w:before="4"/>
        <w:rPr>
          <w:rFonts w:ascii="宋体" w:hAnsi="宋体" w:cs="宋体" w:eastAsia="宋体" w:hint="default"/>
          <w:b/>
          <w:bCs/>
          <w:sz w:val="38"/>
          <w:szCs w:val="38"/>
        </w:rPr>
      </w:pPr>
    </w:p>
    <w:p>
      <w:pPr>
        <w:pStyle w:val="Heading2"/>
        <w:spacing w:line="240" w:lineRule="auto"/>
        <w:ind w:right="0"/>
        <w:jc w:val="left"/>
        <w:rPr>
          <w:b w:val="0"/>
          <w:bCs w:val="0"/>
        </w:rPr>
      </w:pPr>
      <w:bookmarkStart w:name="一、公司普通股利润分配及资本公积金转增股本情况" w:id="64"/>
      <w:bookmarkEnd w:id="64"/>
      <w:r>
        <w:rPr>
          <w:b w:val="0"/>
          <w:bCs w:val="0"/>
        </w:rPr>
      </w:r>
      <w:r>
        <w:rPr/>
        <w:t>一、公司普通股利润分配及资本公积金转增股本情况</w:t>
      </w:r>
      <w:r>
        <w:rPr>
          <w:b w:val="0"/>
          <w:bCs w:val="0"/>
        </w:rPr>
      </w:r>
    </w:p>
    <w:p>
      <w:pPr>
        <w:spacing w:line="240" w:lineRule="auto" w:before="7"/>
        <w:rPr>
          <w:rFonts w:ascii="宋体" w:hAnsi="宋体" w:cs="宋体" w:eastAsia="宋体" w:hint="default"/>
          <w:b/>
          <w:bCs/>
          <w:sz w:val="27"/>
          <w:szCs w:val="27"/>
        </w:rPr>
      </w:pPr>
    </w:p>
    <w:p>
      <w:pPr>
        <w:pStyle w:val="BodyText"/>
        <w:spacing w:line="240" w:lineRule="auto" w:before="0"/>
        <w:ind w:right="0"/>
        <w:jc w:val="left"/>
      </w:pPr>
      <w:r>
        <w:rPr>
          <w:spacing w:val="-3"/>
        </w:rPr>
        <w:t>报告期内普通股利润分配政策，特别是现金分红政策的制定、执行或调整情况</w:t>
      </w:r>
    </w:p>
    <w:p>
      <w:pPr>
        <w:pStyle w:val="BodyText"/>
        <w:spacing w:line="352" w:lineRule="auto" w:before="115"/>
        <w:ind w:right="6445"/>
        <w:jc w:val="left"/>
      </w:pPr>
      <w:r>
        <w:rPr/>
        <w:t>√ </w:t>
      </w:r>
      <w:r>
        <w:rPr>
          <w:spacing w:val="-3"/>
        </w:rPr>
        <w:t>适用 </w:t>
      </w:r>
      <w:r>
        <w:rPr/>
        <w:t>□ 不适用</w:t>
      </w:r>
      <w:r>
        <w:rPr>
          <w:spacing w:val="-77"/>
        </w:rPr>
        <w:t> </w:t>
      </w:r>
      <w:r>
        <w:rPr>
          <w:spacing w:val="-77"/>
        </w:rPr>
      </w:r>
      <w:r>
        <w:rPr>
          <w:spacing w:val="-3"/>
        </w:rPr>
        <w:t>公司严格执行了《公司章程》中与利润分配相关的条款</w:t>
      </w:r>
    </w:p>
    <w:p>
      <w:pPr>
        <w:spacing w:line="240" w:lineRule="auto" w:before="5"/>
        <w:rPr>
          <w:rFonts w:ascii="宋体" w:hAnsi="宋体" w:cs="宋体" w:eastAsia="宋体" w:hint="default"/>
          <w:sz w:val="22"/>
          <w:szCs w:val="22"/>
        </w:rPr>
      </w:pPr>
    </w:p>
    <w:tbl>
      <w:tblPr>
        <w:tblW w:w="0" w:type="auto"/>
        <w:jc w:val="left"/>
        <w:tblInd w:w="148" w:type="dxa"/>
        <w:tblLayout w:type="fixed"/>
        <w:tblCellMar>
          <w:top w:w="0" w:type="dxa"/>
          <w:left w:w="0" w:type="dxa"/>
          <w:bottom w:w="0" w:type="dxa"/>
          <w:right w:w="0" w:type="dxa"/>
        </w:tblCellMar>
        <w:tblLook w:val="01E0"/>
      </w:tblPr>
      <w:tblGrid>
        <w:gridCol w:w="4788"/>
        <w:gridCol w:w="4782"/>
      </w:tblGrid>
      <w:tr>
        <w:trPr>
          <w:trHeight w:val="398" w:hRule="exact"/>
        </w:trPr>
        <w:tc>
          <w:tcPr>
            <w:tcW w:w="957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pacing w:val="-3"/>
                <w:sz w:val="18"/>
                <w:szCs w:val="18"/>
              </w:rPr>
              <w:t>现金分红政策的专项说明</w:t>
            </w:r>
          </w:p>
        </w:tc>
      </w:tr>
      <w:tr>
        <w:trPr>
          <w:trHeight w:val="408"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pacing w:val="-3"/>
                <w:sz w:val="18"/>
                <w:szCs w:val="18"/>
              </w:rPr>
              <w:t>是否符合公司章程的规定或股东大会决议的要求：</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0" w:right="0"/>
              <w:jc w:val="left"/>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401"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分红标准和比例是否明确和清晰：</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401"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105" w:right="0"/>
              <w:jc w:val="left"/>
              <w:rPr>
                <w:rFonts w:ascii="宋体" w:hAnsi="宋体" w:cs="宋体" w:eastAsia="宋体" w:hint="default"/>
                <w:sz w:val="18"/>
                <w:szCs w:val="18"/>
              </w:rPr>
            </w:pPr>
            <w:r>
              <w:rPr>
                <w:rFonts w:ascii="宋体" w:hAnsi="宋体" w:cs="宋体" w:eastAsia="宋体" w:hint="default"/>
                <w:spacing w:val="-3"/>
                <w:sz w:val="18"/>
                <w:szCs w:val="18"/>
              </w:rPr>
              <w:t>相关的决策程序和机制是否完备：</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0" w:right="0"/>
              <w:jc w:val="left"/>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403"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独立董事是否履职尽责并发挥了应有的作用：</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715"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05" w:right="167"/>
              <w:jc w:val="left"/>
              <w:rPr>
                <w:rFonts w:ascii="宋体" w:hAnsi="宋体" w:cs="宋体" w:eastAsia="宋体" w:hint="default"/>
                <w:sz w:val="18"/>
                <w:szCs w:val="18"/>
              </w:rPr>
            </w:pPr>
            <w:r>
              <w:rPr>
                <w:rFonts w:ascii="宋体" w:hAnsi="宋体" w:cs="宋体" w:eastAsia="宋体" w:hint="default"/>
                <w:spacing w:val="-3"/>
                <w:sz w:val="18"/>
                <w:szCs w:val="18"/>
              </w:rPr>
              <w:t>中小股东是否有充分表达意见和诉求的机会，其合法权益</w:t>
            </w:r>
            <w:r>
              <w:rPr>
                <w:rFonts w:ascii="宋体" w:hAnsi="宋体" w:cs="宋体" w:eastAsia="宋体" w:hint="default"/>
                <w:spacing w:val="-15"/>
                <w:sz w:val="18"/>
                <w:szCs w:val="18"/>
              </w:rPr>
              <w:t> </w:t>
            </w:r>
            <w:r>
              <w:rPr>
                <w:rFonts w:ascii="宋体" w:hAnsi="宋体" w:cs="宋体" w:eastAsia="宋体" w:hint="default"/>
                <w:spacing w:val="-15"/>
                <w:sz w:val="18"/>
                <w:szCs w:val="18"/>
              </w:rPr>
            </w:r>
            <w:r>
              <w:rPr>
                <w:rFonts w:ascii="宋体" w:hAnsi="宋体" w:cs="宋体" w:eastAsia="宋体" w:hint="default"/>
                <w:sz w:val="18"/>
                <w:szCs w:val="18"/>
              </w:rPr>
              <w:t>是否得到了充分保护：</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716"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4"/>
              <w:ind w:left="105" w:right="167"/>
              <w:jc w:val="left"/>
              <w:rPr>
                <w:rFonts w:ascii="宋体" w:hAnsi="宋体" w:cs="宋体" w:eastAsia="宋体" w:hint="default"/>
                <w:sz w:val="18"/>
                <w:szCs w:val="18"/>
              </w:rPr>
            </w:pPr>
            <w:r>
              <w:rPr>
                <w:rFonts w:ascii="宋体" w:hAnsi="宋体" w:cs="宋体" w:eastAsia="宋体" w:hint="default"/>
                <w:spacing w:val="-3"/>
                <w:sz w:val="18"/>
                <w:szCs w:val="18"/>
              </w:rPr>
              <w:t>现金分红政策进行调整或变更的，条件及程序是否合规、</w:t>
            </w:r>
            <w:r>
              <w:rPr>
                <w:rFonts w:ascii="宋体" w:hAnsi="宋体" w:cs="宋体" w:eastAsia="宋体" w:hint="default"/>
                <w:spacing w:val="-15"/>
                <w:sz w:val="18"/>
                <w:szCs w:val="18"/>
              </w:rPr>
              <w:t> </w:t>
            </w:r>
            <w:r>
              <w:rPr>
                <w:rFonts w:ascii="宋体" w:hAnsi="宋体" w:cs="宋体" w:eastAsia="宋体" w:hint="default"/>
                <w:spacing w:val="-15"/>
                <w:sz w:val="18"/>
                <w:szCs w:val="18"/>
              </w:rPr>
            </w:r>
            <w:r>
              <w:rPr>
                <w:rFonts w:ascii="宋体" w:hAnsi="宋体" w:cs="宋体" w:eastAsia="宋体" w:hint="default"/>
                <w:sz w:val="18"/>
                <w:szCs w:val="18"/>
              </w:rPr>
              <w:t>透明：</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bl>
    <w:p>
      <w:pPr>
        <w:pStyle w:val="BodyText"/>
        <w:spacing w:line="333" w:lineRule="auto" w:before="53"/>
        <w:ind w:left="513" w:right="0" w:hanging="360"/>
        <w:jc w:val="left"/>
      </w:pPr>
      <w:r>
        <w:rPr/>
        <w:t>公司近 </w:t>
      </w:r>
      <w:r>
        <w:rPr>
          <w:rFonts w:ascii="Times New Roman" w:hAnsi="Times New Roman" w:cs="Times New Roman" w:eastAsia="Times New Roman" w:hint="default"/>
        </w:rPr>
        <w:t>3 </w:t>
      </w:r>
      <w:r>
        <w:rPr>
          <w:spacing w:val="-3"/>
        </w:rPr>
        <w:t>年（包括本报告期）的普通股股利分配方案（预案）、资本公积金转增股本方案（预案）情况</w:t>
      </w:r>
      <w:r>
        <w:rPr>
          <w:spacing w:val="-15"/>
        </w:rPr>
        <w:t> </w:t>
      </w:r>
      <w:r>
        <w:rPr>
          <w:spacing w:val="-15"/>
        </w:rPr>
      </w:r>
      <w:r>
        <w:rPr>
          <w:rFonts w:ascii="宋体" w:hAnsi="宋体" w:cs="宋体" w:eastAsia="宋体" w:hint="default"/>
          <w:spacing w:val="-5"/>
        </w:rPr>
        <w:t>1</w:t>
      </w:r>
      <w:r>
        <w:rPr>
          <w:spacing w:val="-5"/>
        </w:rPr>
        <w:t>、公司</w:t>
      </w:r>
      <w:r>
        <w:rPr>
          <w:rFonts w:ascii="宋体" w:hAnsi="宋体" w:cs="宋体" w:eastAsia="宋体" w:hint="default"/>
          <w:spacing w:val="-5"/>
        </w:rPr>
        <w:t>2017</w:t>
      </w:r>
      <w:r>
        <w:rPr>
          <w:spacing w:val="-5"/>
        </w:rPr>
        <w:t>年年度权益分配方案为：以公司现有总股本</w:t>
      </w:r>
      <w:r>
        <w:rPr>
          <w:rFonts w:ascii="宋体" w:hAnsi="宋体" w:cs="宋体" w:eastAsia="宋体" w:hint="default"/>
          <w:spacing w:val="-5"/>
        </w:rPr>
        <w:t>611,214,834</w:t>
      </w:r>
      <w:r>
        <w:rPr>
          <w:spacing w:val="-5"/>
        </w:rPr>
        <w:t>股为基数，向全体股东每</w:t>
      </w:r>
      <w:r>
        <w:rPr>
          <w:rFonts w:ascii="宋体" w:hAnsi="宋体" w:cs="宋体" w:eastAsia="宋体" w:hint="default"/>
          <w:spacing w:val="-5"/>
        </w:rPr>
        <w:t>10</w:t>
      </w:r>
      <w:r>
        <w:rPr>
          <w:spacing w:val="-5"/>
        </w:rPr>
        <w:t>股派</w:t>
      </w:r>
      <w:r>
        <w:rPr>
          <w:rFonts w:ascii="宋体" w:hAnsi="宋体" w:cs="宋体" w:eastAsia="宋体" w:hint="default"/>
          <w:spacing w:val="-5"/>
        </w:rPr>
        <w:t>1</w:t>
      </w:r>
      <w:r>
        <w:rPr>
          <w:spacing w:val="-5"/>
        </w:rPr>
        <w:t>元人民币现金（含</w:t>
      </w:r>
    </w:p>
    <w:p>
      <w:pPr>
        <w:pStyle w:val="BodyText"/>
        <w:spacing w:line="240" w:lineRule="auto" w:before="6"/>
        <w:ind w:right="0"/>
        <w:jc w:val="left"/>
      </w:pPr>
      <w:r>
        <w:rPr/>
        <w:t>税）。</w:t>
      </w:r>
    </w:p>
    <w:p>
      <w:pPr>
        <w:pStyle w:val="BodyText"/>
        <w:spacing w:line="240" w:lineRule="auto" w:before="77"/>
        <w:ind w:left="513" w:right="0"/>
        <w:jc w:val="left"/>
      </w:pPr>
      <w:r>
        <w:rPr>
          <w:rFonts w:ascii="宋体" w:hAnsi="宋体" w:cs="宋体" w:eastAsia="宋体" w:hint="default"/>
          <w:spacing w:val="-4"/>
        </w:rPr>
        <w:t>2</w:t>
      </w:r>
      <w:r>
        <w:rPr>
          <w:spacing w:val="-4"/>
        </w:rPr>
        <w:t>、公司</w:t>
      </w:r>
      <w:r>
        <w:rPr>
          <w:rFonts w:ascii="宋体" w:hAnsi="宋体" w:cs="宋体" w:eastAsia="宋体" w:hint="default"/>
          <w:spacing w:val="-4"/>
        </w:rPr>
        <w:t>2018</w:t>
      </w:r>
      <w:r>
        <w:rPr>
          <w:spacing w:val="-4"/>
        </w:rPr>
        <w:t>年年度权益分配方案为：以公司现有总股本剔除已回购股份后</w:t>
      </w:r>
      <w:r>
        <w:rPr>
          <w:rFonts w:ascii="宋体" w:hAnsi="宋体" w:cs="宋体" w:eastAsia="宋体" w:hint="default"/>
          <w:spacing w:val="-4"/>
        </w:rPr>
        <w:t>613,398,732</w:t>
      </w:r>
      <w:r>
        <w:rPr>
          <w:spacing w:val="-4"/>
        </w:rPr>
        <w:t>股为基数，向全体股东每</w:t>
      </w:r>
      <w:r>
        <w:rPr>
          <w:rFonts w:ascii="宋体" w:hAnsi="宋体" w:cs="宋体" w:eastAsia="宋体" w:hint="default"/>
          <w:spacing w:val="-4"/>
        </w:rPr>
        <w:t>10</w:t>
      </w:r>
      <w:r>
        <w:rPr>
          <w:spacing w:val="-4"/>
        </w:rPr>
        <w:t>股派</w:t>
      </w:r>
    </w:p>
    <w:p>
      <w:pPr>
        <w:pStyle w:val="BodyText"/>
        <w:spacing w:line="240" w:lineRule="auto" w:before="76"/>
        <w:ind w:right="0"/>
        <w:jc w:val="left"/>
      </w:pPr>
      <w:r>
        <w:rPr>
          <w:rFonts w:ascii="宋体" w:hAnsi="宋体" w:cs="宋体" w:eastAsia="宋体" w:hint="default"/>
        </w:rPr>
        <w:t>1.002513</w:t>
      </w:r>
      <w:r>
        <w:rPr/>
        <w:t>元人民币现金（含税）。</w:t>
      </w:r>
    </w:p>
    <w:p>
      <w:pPr>
        <w:pStyle w:val="BodyText"/>
        <w:spacing w:line="319" w:lineRule="auto" w:before="76"/>
        <w:ind w:right="0" w:firstLine="360"/>
        <w:jc w:val="left"/>
      </w:pPr>
      <w:r>
        <w:rPr>
          <w:rFonts w:ascii="宋体" w:hAnsi="宋体" w:cs="宋体" w:eastAsia="宋体" w:hint="default"/>
          <w:spacing w:val="-4"/>
        </w:rPr>
        <w:t>3</w:t>
      </w:r>
      <w:r>
        <w:rPr>
          <w:spacing w:val="-4"/>
        </w:rPr>
        <w:t>、公司</w:t>
      </w:r>
      <w:r>
        <w:rPr>
          <w:rFonts w:ascii="宋体" w:hAnsi="宋体" w:cs="宋体" w:eastAsia="宋体" w:hint="default"/>
          <w:spacing w:val="-4"/>
        </w:rPr>
        <w:t>2019</w:t>
      </w:r>
      <w:r>
        <w:rPr>
          <w:spacing w:val="-4"/>
        </w:rPr>
        <w:t>年年度权益分配方案为：公司拟以未来实施分配方案时股权登记日的总股本</w:t>
      </w:r>
      <w:r>
        <w:rPr>
          <w:rFonts w:ascii="宋体" w:hAnsi="宋体" w:cs="宋体" w:eastAsia="宋体" w:hint="default"/>
          <w:spacing w:val="-4"/>
        </w:rPr>
        <w:t>612,969,732</w:t>
      </w:r>
      <w:r>
        <w:rPr>
          <w:spacing w:val="-4"/>
        </w:rPr>
        <w:t>股为基数（扣除公</w:t>
      </w:r>
      <w:r>
        <w:rPr>
          <w:w w:val="101"/>
        </w:rPr>
        <w:t> </w:t>
      </w:r>
      <w:r>
        <w:rPr>
          <w:spacing w:val="-3"/>
        </w:rPr>
        <w:t>司回购专用证券账户股份数）</w:t>
      </w:r>
      <w:r>
        <w:rPr>
          <w:rFonts w:ascii="宋体" w:hAnsi="宋体" w:cs="宋体" w:eastAsia="宋体" w:hint="default"/>
          <w:spacing w:val="-3"/>
        </w:rPr>
        <w:t>,</w:t>
      </w:r>
      <w:r>
        <w:rPr>
          <w:spacing w:val="-3"/>
        </w:rPr>
        <w:t>向全体股东每</w:t>
      </w:r>
      <w:r>
        <w:rPr>
          <w:rFonts w:ascii="宋体" w:hAnsi="宋体" w:cs="宋体" w:eastAsia="宋体" w:hint="default"/>
          <w:spacing w:val="-3"/>
        </w:rPr>
        <w:t>10</w:t>
      </w:r>
      <w:r>
        <w:rPr>
          <w:spacing w:val="-3"/>
        </w:rPr>
        <w:t>股派发现金股利人民币</w:t>
      </w:r>
      <w:r>
        <w:rPr>
          <w:rFonts w:ascii="宋体" w:hAnsi="宋体" w:cs="宋体" w:eastAsia="宋体" w:hint="default"/>
          <w:spacing w:val="-3"/>
        </w:rPr>
        <w:t>0.8</w:t>
      </w:r>
      <w:r>
        <w:rPr>
          <w:spacing w:val="-3"/>
        </w:rPr>
        <w:t>元（含税），送红股</w:t>
      </w:r>
      <w:r>
        <w:rPr>
          <w:rFonts w:ascii="宋体" w:hAnsi="宋体" w:cs="宋体" w:eastAsia="宋体" w:hint="default"/>
          <w:spacing w:val="-3"/>
        </w:rPr>
        <w:t>0</w:t>
      </w:r>
      <w:r>
        <w:rPr>
          <w:spacing w:val="-3"/>
        </w:rPr>
        <w:t>股（含税），不以公积金转</w:t>
      </w:r>
      <w:r>
        <w:rPr>
          <w:spacing w:val="78"/>
        </w:rPr>
        <w:t> </w:t>
      </w:r>
      <w:r>
        <w:rPr>
          <w:spacing w:val="78"/>
        </w:rPr>
      </w:r>
      <w:r>
        <w:rPr>
          <w:spacing w:val="-4"/>
        </w:rPr>
        <w:t>增股本。上述利润分配预案尚待提交本公司股东大会审议。在公司实施</w:t>
      </w:r>
      <w:r>
        <w:rPr>
          <w:rFonts w:ascii="宋体" w:hAnsi="宋体" w:cs="宋体" w:eastAsia="宋体" w:hint="default"/>
          <w:spacing w:val="-4"/>
        </w:rPr>
        <w:t>2019</w:t>
      </w:r>
      <w:r>
        <w:rPr>
          <w:spacing w:val="-4"/>
        </w:rPr>
        <w:t>年度利润分配方案的股权登记日前，如果公司股</w:t>
      </w:r>
      <w:r>
        <w:rPr>
          <w:spacing w:val="51"/>
        </w:rPr>
        <w:t> </w:t>
      </w:r>
      <w:r>
        <w:rPr>
          <w:spacing w:val="51"/>
        </w:rPr>
      </w:r>
      <w:r>
        <w:rPr>
          <w:spacing w:val="-3"/>
        </w:rPr>
        <w:t>本发生变动，公司将按照《深圳证券交易所中小企业板上市公司规范运作指引（</w:t>
      </w:r>
      <w:r>
        <w:rPr>
          <w:rFonts w:ascii="宋体" w:hAnsi="宋体" w:cs="宋体" w:eastAsia="宋体" w:hint="default"/>
          <w:spacing w:val="-3"/>
        </w:rPr>
        <w:t>2020</w:t>
      </w:r>
      <w:r>
        <w:rPr>
          <w:spacing w:val="-3"/>
        </w:rPr>
        <w:t>年修订）》所规定的“现金分红金额、</w:t>
      </w:r>
      <w:r>
        <w:rPr>
          <w:spacing w:val="73"/>
        </w:rPr>
        <w:t> </w:t>
      </w:r>
      <w:r>
        <w:rPr>
          <w:spacing w:val="73"/>
        </w:rPr>
      </w:r>
      <w:r>
        <w:rPr>
          <w:spacing w:val="-3"/>
        </w:rPr>
        <w:t>送红股金额、转增股本金额固定不变”的原则，对上述利润分配预案进行调整。</w:t>
      </w:r>
    </w:p>
    <w:p>
      <w:pPr>
        <w:spacing w:line="240" w:lineRule="auto" w:before="12"/>
        <w:rPr>
          <w:rFonts w:ascii="宋体" w:hAnsi="宋体" w:cs="宋体" w:eastAsia="宋体" w:hint="default"/>
          <w:sz w:val="24"/>
          <w:szCs w:val="24"/>
        </w:rPr>
      </w:pPr>
    </w:p>
    <w:p>
      <w:pPr>
        <w:pStyle w:val="BodyText"/>
        <w:spacing w:line="240" w:lineRule="auto"/>
        <w:ind w:right="0"/>
        <w:jc w:val="left"/>
      </w:pPr>
      <w:r>
        <w:rPr>
          <w:spacing w:val="-3"/>
        </w:rPr>
        <w:t>公司近三年（包括本报告期）普通股现金分红情况表</w:t>
      </w:r>
    </w:p>
    <w:p>
      <w:pPr>
        <w:pStyle w:val="BodyText"/>
        <w:spacing w:line="240" w:lineRule="auto" w:before="119"/>
        <w:ind w:left="0" w:right="1122"/>
        <w:jc w:val="right"/>
      </w:pPr>
      <w:r>
        <w:rPr>
          <w:spacing w:val="-2"/>
        </w:rPr>
        <w:t>单位：元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196"/>
        <w:gridCol w:w="1196"/>
        <w:gridCol w:w="1201"/>
        <w:gridCol w:w="1196"/>
        <w:gridCol w:w="1196"/>
        <w:gridCol w:w="1196"/>
        <w:gridCol w:w="1196"/>
        <w:gridCol w:w="1195"/>
      </w:tblGrid>
      <w:tr>
        <w:trPr>
          <w:trHeight w:val="2588" w:hRule="exact"/>
        </w:trPr>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35" w:right="0"/>
              <w:jc w:val="left"/>
              <w:rPr>
                <w:rFonts w:ascii="宋体" w:hAnsi="宋体" w:cs="宋体" w:eastAsia="宋体" w:hint="default"/>
                <w:sz w:val="18"/>
                <w:szCs w:val="18"/>
              </w:rPr>
            </w:pPr>
            <w:r>
              <w:rPr>
                <w:rFonts w:ascii="宋体" w:hAnsi="宋体" w:cs="宋体" w:eastAsia="宋体" w:hint="default"/>
                <w:sz w:val="18"/>
                <w:szCs w:val="18"/>
              </w:rPr>
              <w:t>分红年度</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21" w:lineRule="auto"/>
              <w:ind w:left="144" w:right="137"/>
              <w:jc w:val="left"/>
              <w:rPr>
                <w:rFonts w:ascii="宋体" w:hAnsi="宋体" w:cs="宋体" w:eastAsia="宋体" w:hint="default"/>
                <w:sz w:val="18"/>
                <w:szCs w:val="18"/>
              </w:rPr>
            </w:pPr>
            <w:r>
              <w:rPr>
                <w:rFonts w:ascii="宋体" w:hAnsi="宋体" w:cs="宋体" w:eastAsia="宋体" w:hint="default"/>
                <w:spacing w:val="-2"/>
                <w:sz w:val="18"/>
                <w:szCs w:val="18"/>
              </w:rPr>
              <w:t>现金分红金</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2"/>
                <w:sz w:val="18"/>
                <w:szCs w:val="18"/>
              </w:rPr>
              <w:t>额（含税）</w:t>
            </w:r>
          </w:p>
        </w:tc>
        <w:tc>
          <w:tcPr>
            <w:tcW w:w="1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2"/>
                <w:szCs w:val="22"/>
              </w:rPr>
            </w:pPr>
          </w:p>
          <w:p>
            <w:pPr>
              <w:pStyle w:val="TableParagraph"/>
              <w:spacing w:line="319" w:lineRule="auto"/>
              <w:ind w:left="143" w:right="142"/>
              <w:jc w:val="both"/>
              <w:rPr>
                <w:rFonts w:ascii="宋体" w:hAnsi="宋体" w:cs="宋体" w:eastAsia="宋体" w:hint="default"/>
                <w:sz w:val="18"/>
                <w:szCs w:val="18"/>
              </w:rPr>
            </w:pPr>
            <w:r>
              <w:rPr>
                <w:rFonts w:ascii="宋体" w:hAnsi="宋体" w:cs="宋体" w:eastAsia="宋体" w:hint="default"/>
                <w:spacing w:val="-2"/>
                <w:sz w:val="18"/>
                <w:szCs w:val="18"/>
              </w:rPr>
              <w:t>分红年度合</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2"/>
                <w:sz w:val="18"/>
                <w:szCs w:val="18"/>
              </w:rPr>
              <w:t>并报表中归</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2"/>
                <w:sz w:val="18"/>
                <w:szCs w:val="18"/>
              </w:rPr>
              <w:t>属于上市公</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2"/>
                <w:sz w:val="18"/>
                <w:szCs w:val="18"/>
              </w:rPr>
              <w:t>司普通股股</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2"/>
                <w:sz w:val="18"/>
                <w:szCs w:val="18"/>
              </w:rPr>
              <w:t>东的净利润</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19" w:lineRule="auto"/>
              <w:ind w:left="139" w:right="142"/>
              <w:jc w:val="center"/>
              <w:rPr>
                <w:rFonts w:ascii="宋体" w:hAnsi="宋体" w:cs="宋体" w:eastAsia="宋体" w:hint="default"/>
                <w:sz w:val="18"/>
                <w:szCs w:val="18"/>
              </w:rPr>
            </w:pPr>
            <w:r>
              <w:rPr>
                <w:rFonts w:ascii="宋体" w:hAnsi="宋体" w:cs="宋体" w:eastAsia="宋体" w:hint="default"/>
                <w:spacing w:val="-2"/>
                <w:sz w:val="18"/>
                <w:szCs w:val="18"/>
              </w:rPr>
              <w:t>现金分红金</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2"/>
                <w:sz w:val="18"/>
                <w:szCs w:val="18"/>
              </w:rPr>
              <w:t>额占合并报</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2"/>
                <w:sz w:val="18"/>
                <w:szCs w:val="18"/>
              </w:rPr>
              <w:t>表中归属于</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2"/>
                <w:sz w:val="18"/>
                <w:szCs w:val="18"/>
              </w:rPr>
              <w:t>上市公司普</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2"/>
                <w:sz w:val="18"/>
                <w:szCs w:val="18"/>
              </w:rPr>
              <w:t>通股股东的</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2"/>
                <w:sz w:val="18"/>
                <w:szCs w:val="18"/>
              </w:rPr>
              <w:t>净利润的比</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率</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39" w:right="0"/>
              <w:jc w:val="both"/>
              <w:rPr>
                <w:rFonts w:ascii="宋体" w:hAnsi="宋体" w:cs="宋体" w:eastAsia="宋体" w:hint="default"/>
                <w:sz w:val="18"/>
                <w:szCs w:val="18"/>
              </w:rPr>
            </w:pPr>
            <w:r>
              <w:rPr>
                <w:rFonts w:ascii="宋体" w:hAnsi="宋体" w:cs="宋体" w:eastAsia="宋体" w:hint="default"/>
                <w:sz w:val="18"/>
                <w:szCs w:val="18"/>
              </w:rPr>
              <w:t>以其他方式</w:t>
            </w:r>
          </w:p>
          <w:p>
            <w:pPr>
              <w:pStyle w:val="TableParagraph"/>
              <w:spacing w:line="319" w:lineRule="auto" w:before="76"/>
              <w:ind w:left="139" w:right="142"/>
              <w:jc w:val="both"/>
              <w:rPr>
                <w:rFonts w:ascii="宋体" w:hAnsi="宋体" w:cs="宋体" w:eastAsia="宋体" w:hint="default"/>
                <w:sz w:val="18"/>
                <w:szCs w:val="18"/>
              </w:rPr>
            </w:pPr>
            <w:r>
              <w:rPr>
                <w:rFonts w:ascii="宋体" w:hAnsi="宋体" w:cs="宋体" w:eastAsia="宋体" w:hint="default"/>
                <w:spacing w:val="-2"/>
                <w:sz w:val="18"/>
                <w:szCs w:val="18"/>
              </w:rPr>
              <w:t>（如回购股</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2"/>
                <w:sz w:val="18"/>
                <w:szCs w:val="18"/>
              </w:rPr>
              <w:t>份）现金分</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红的金额</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4"/>
              <w:ind w:left="144" w:right="137"/>
              <w:jc w:val="center"/>
              <w:rPr>
                <w:rFonts w:ascii="宋体" w:hAnsi="宋体" w:cs="宋体" w:eastAsia="宋体" w:hint="default"/>
                <w:sz w:val="18"/>
                <w:szCs w:val="18"/>
              </w:rPr>
            </w:pPr>
            <w:r>
              <w:rPr>
                <w:rFonts w:ascii="宋体" w:hAnsi="宋体" w:cs="宋体" w:eastAsia="宋体" w:hint="default"/>
                <w:spacing w:val="-2"/>
                <w:sz w:val="18"/>
                <w:szCs w:val="18"/>
              </w:rPr>
              <w:t>以其他方式</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2"/>
                <w:sz w:val="18"/>
                <w:szCs w:val="18"/>
              </w:rPr>
              <w:t>现金分红金</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2"/>
                <w:sz w:val="18"/>
                <w:szCs w:val="18"/>
              </w:rPr>
              <w:t>额占合并报</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2"/>
                <w:sz w:val="18"/>
                <w:szCs w:val="18"/>
              </w:rPr>
              <w:t>表中归属于</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2"/>
                <w:sz w:val="18"/>
                <w:szCs w:val="18"/>
              </w:rPr>
              <w:t>上市公司普</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2"/>
                <w:sz w:val="18"/>
                <w:szCs w:val="18"/>
              </w:rPr>
              <w:t>通股股东的</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2"/>
                <w:sz w:val="18"/>
                <w:szCs w:val="18"/>
              </w:rPr>
              <w:t>净利润的比</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例</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30"/>
              <w:ind w:left="144" w:right="137"/>
              <w:jc w:val="center"/>
              <w:rPr>
                <w:rFonts w:ascii="宋体" w:hAnsi="宋体" w:cs="宋体" w:eastAsia="宋体" w:hint="default"/>
                <w:sz w:val="18"/>
                <w:szCs w:val="18"/>
              </w:rPr>
            </w:pPr>
            <w:r>
              <w:rPr>
                <w:rFonts w:ascii="宋体" w:hAnsi="宋体" w:cs="宋体" w:eastAsia="宋体" w:hint="default"/>
                <w:spacing w:val="-2"/>
                <w:sz w:val="18"/>
                <w:szCs w:val="18"/>
              </w:rPr>
              <w:t>现金分红总</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2"/>
                <w:sz w:val="18"/>
                <w:szCs w:val="18"/>
              </w:rPr>
              <w:t>额（含其他</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方式）</w:t>
            </w:r>
          </w:p>
        </w:tc>
        <w:tc>
          <w:tcPr>
            <w:tcW w:w="1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4"/>
              <w:ind w:left="143" w:right="137"/>
              <w:jc w:val="center"/>
              <w:rPr>
                <w:rFonts w:ascii="宋体" w:hAnsi="宋体" w:cs="宋体" w:eastAsia="宋体" w:hint="default"/>
                <w:sz w:val="18"/>
                <w:szCs w:val="18"/>
              </w:rPr>
            </w:pPr>
            <w:r>
              <w:rPr>
                <w:rFonts w:ascii="宋体" w:hAnsi="宋体" w:cs="宋体" w:eastAsia="宋体" w:hint="default"/>
                <w:spacing w:val="-2"/>
                <w:sz w:val="18"/>
                <w:szCs w:val="18"/>
              </w:rPr>
              <w:t>现金分红总</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2"/>
                <w:sz w:val="18"/>
                <w:szCs w:val="18"/>
              </w:rPr>
              <w:t>额（含其他</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2"/>
                <w:sz w:val="18"/>
                <w:szCs w:val="18"/>
              </w:rPr>
              <w:t>方式）占合</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2"/>
                <w:sz w:val="18"/>
                <w:szCs w:val="18"/>
              </w:rPr>
              <w:t>并报表中归</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2"/>
                <w:sz w:val="18"/>
                <w:szCs w:val="18"/>
              </w:rPr>
              <w:t>属于上市公</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2"/>
                <w:sz w:val="18"/>
                <w:szCs w:val="18"/>
              </w:rPr>
              <w:t>司普通股股</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2"/>
                <w:sz w:val="18"/>
                <w:szCs w:val="18"/>
              </w:rPr>
              <w:t>东的净利润</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的比率</w:t>
            </w:r>
          </w:p>
        </w:tc>
      </w:tr>
    </w:tbl>
    <w:p>
      <w:pPr>
        <w:spacing w:after="0" w:line="319" w:lineRule="auto"/>
        <w:jc w:val="center"/>
        <w:rPr>
          <w:rFonts w:ascii="宋体" w:hAnsi="宋体" w:cs="宋体" w:eastAsia="宋体" w:hint="default"/>
          <w:sz w:val="18"/>
          <w:szCs w:val="18"/>
        </w:rPr>
        <w:sectPr>
          <w:pgSz w:w="11910" w:h="16840"/>
          <w:pgMar w:header="784" w:footer="1022" w:top="1100" w:bottom="1220" w:left="980" w:right="0"/>
        </w:sectPr>
      </w:pPr>
    </w:p>
    <w:p>
      <w:pPr>
        <w:spacing w:line="240" w:lineRule="auto" w:before="7"/>
        <w:rPr>
          <w:rFonts w:ascii="宋体" w:hAnsi="宋体" w:cs="宋体" w:eastAsia="宋体" w:hint="default"/>
          <w:sz w:val="25"/>
          <w:szCs w:val="25"/>
        </w:rPr>
      </w:pPr>
    </w:p>
    <w:tbl>
      <w:tblPr>
        <w:tblW w:w="0" w:type="auto"/>
        <w:jc w:val="left"/>
        <w:tblInd w:w="148" w:type="dxa"/>
        <w:tblLayout w:type="fixed"/>
        <w:tblCellMar>
          <w:top w:w="0" w:type="dxa"/>
          <w:left w:w="0" w:type="dxa"/>
          <w:bottom w:w="0" w:type="dxa"/>
          <w:right w:w="0" w:type="dxa"/>
        </w:tblCellMar>
        <w:tblLook w:val="01E0"/>
      </w:tblPr>
      <w:tblGrid>
        <w:gridCol w:w="1196"/>
        <w:gridCol w:w="1196"/>
        <w:gridCol w:w="1201"/>
        <w:gridCol w:w="1196"/>
        <w:gridCol w:w="1196"/>
        <w:gridCol w:w="1196"/>
        <w:gridCol w:w="1196"/>
        <w:gridCol w:w="1195"/>
      </w:tblGrid>
      <w:tr>
        <w:trPr>
          <w:trHeight w:val="715" w:hRule="exact"/>
        </w:trPr>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49,037,578.5</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w w:val="101"/>
                <w:sz w:val="18"/>
              </w:rPr>
              <w:t>6</w:t>
            </w:r>
            <w:r>
              <w:rPr>
                <w:rFonts w:ascii="Times New Roman"/>
                <w:sz w:val="18"/>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182,226,754.</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sz w:val="18"/>
              </w:rPr>
              <w:t>27</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26.91%</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35,191,957.0</w:t>
            </w:r>
          </w:p>
          <w:p>
            <w:pPr>
              <w:pStyle w:val="TableParagraph"/>
              <w:spacing w:line="240" w:lineRule="auto" w:before="105"/>
              <w:ind w:right="105"/>
              <w:jc w:val="right"/>
              <w:rPr>
                <w:rFonts w:ascii="Times New Roman" w:hAnsi="Times New Roman" w:cs="Times New Roman" w:eastAsia="Times New Roman" w:hint="default"/>
                <w:sz w:val="18"/>
                <w:szCs w:val="18"/>
              </w:rPr>
            </w:pPr>
            <w:r>
              <w:rPr>
                <w:rFonts w:ascii="Times New Roman"/>
                <w:w w:val="101"/>
                <w:sz w:val="18"/>
              </w:rPr>
              <w:t>4</w:t>
            </w:r>
            <w:r>
              <w:rPr>
                <w:rFonts w:ascii="Times New Roman"/>
                <w:sz w:val="18"/>
              </w:rPr>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19.31%</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84,229,535.6</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1"/>
                <w:sz w:val="18"/>
              </w:rPr>
              <w:t>46.22%</w:t>
            </w:r>
          </w:p>
        </w:tc>
      </w:tr>
      <w:tr>
        <w:trPr>
          <w:trHeight w:val="711" w:hRule="exact"/>
        </w:trPr>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61,494,043.2</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179,662,312.</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sz w:val="18"/>
              </w:rPr>
              <w:t>16</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34.23%</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4,898,948.10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2.73%</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66,392,991.3</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1"/>
                <w:sz w:val="18"/>
              </w:rPr>
              <w:t>36.95%</w:t>
            </w:r>
          </w:p>
        </w:tc>
      </w:tr>
      <w:tr>
        <w:trPr>
          <w:trHeight w:val="715" w:hRule="exact"/>
        </w:trPr>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61,121,483.4</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pacing w:val="-2"/>
                <w:sz w:val="18"/>
              </w:rPr>
              <w:t>132,014,114.</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sz w:val="18"/>
              </w:rPr>
              <w:t>22</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46.30%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61,121,483.4</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1"/>
                <w:sz w:val="18"/>
              </w:rPr>
              <w:t>46.30%</w:t>
            </w:r>
          </w:p>
        </w:tc>
      </w:tr>
    </w:tbl>
    <w:p>
      <w:pPr>
        <w:pStyle w:val="BodyText"/>
        <w:spacing w:line="240" w:lineRule="auto" w:before="53"/>
        <w:ind w:right="0"/>
        <w:jc w:val="left"/>
      </w:pPr>
      <w:r>
        <w:rPr>
          <w:spacing w:val="-3"/>
        </w:rPr>
        <w:t>公司报告期内盈利且母公司可供普通股股东分配利润为正但未提出普通股现金红利分配预案</w:t>
      </w:r>
    </w:p>
    <w:p>
      <w:pPr>
        <w:pStyle w:val="BodyText"/>
        <w:spacing w:line="240" w:lineRule="auto" w:before="120"/>
        <w:ind w:right="0"/>
        <w:jc w:val="left"/>
      </w:pPr>
      <w:r>
        <w:rPr/>
        <w:t>□ </w:t>
      </w:r>
      <w:r>
        <w:rPr>
          <w:spacing w:val="-3"/>
        </w:rPr>
        <w:t>适用 </w:t>
      </w:r>
      <w:r>
        <w:rPr/>
        <w:t>√</w:t>
      </w:r>
      <w:r>
        <w:rPr>
          <w:spacing w:val="13"/>
        </w:rPr>
        <w:t> </w:t>
      </w:r>
      <w:r>
        <w:rPr/>
        <w:t>不适用</w:t>
      </w:r>
    </w:p>
    <w:p>
      <w:pPr>
        <w:spacing w:line="240" w:lineRule="auto" w:before="13"/>
        <w:rPr>
          <w:rFonts w:ascii="宋体" w:hAnsi="宋体" w:cs="宋体" w:eastAsia="宋体" w:hint="default"/>
          <w:sz w:val="23"/>
          <w:szCs w:val="23"/>
        </w:rPr>
      </w:pPr>
    </w:p>
    <w:p>
      <w:pPr>
        <w:pStyle w:val="Heading2"/>
        <w:spacing w:line="240" w:lineRule="auto"/>
        <w:ind w:right="0"/>
        <w:jc w:val="left"/>
        <w:rPr>
          <w:b w:val="0"/>
          <w:bCs w:val="0"/>
        </w:rPr>
      </w:pPr>
      <w:bookmarkStart w:name="二、本报告期利润分配及资本公积金转增股本情况" w:id="65"/>
      <w:bookmarkEnd w:id="65"/>
      <w:r>
        <w:rPr>
          <w:b w:val="0"/>
          <w:bCs w:val="0"/>
        </w:rPr>
      </w:r>
      <w:r>
        <w:rPr/>
        <w:t>二、本报告期利润分配及资本公积金转增股本情况</w:t>
      </w:r>
      <w:r>
        <w:rPr>
          <w:b w:val="0"/>
          <w:bCs w:val="0"/>
        </w:rPr>
      </w:r>
    </w:p>
    <w:p>
      <w:pPr>
        <w:spacing w:line="240" w:lineRule="auto" w:before="7"/>
        <w:rPr>
          <w:rFonts w:ascii="宋体" w:hAnsi="宋体" w:cs="宋体" w:eastAsia="宋体" w:hint="default"/>
          <w:b/>
          <w:bCs/>
          <w:sz w:val="27"/>
          <w:szCs w:val="27"/>
        </w:rPr>
      </w:pPr>
    </w:p>
    <w:p>
      <w:pPr>
        <w:pStyle w:val="BodyText"/>
        <w:spacing w:line="240" w:lineRule="auto" w:before="0"/>
        <w:ind w:right="0"/>
        <w:jc w:val="left"/>
      </w:pPr>
      <w:r>
        <w:rPr/>
        <w:t>√ </w:t>
      </w:r>
      <w:r>
        <w:rPr>
          <w:spacing w:val="-3"/>
        </w:rPr>
        <w:t>适用 </w:t>
      </w:r>
      <w:r>
        <w:rPr/>
        <w:t>□</w:t>
      </w:r>
      <w:r>
        <w:rPr>
          <w:spacing w:val="13"/>
        </w:rPr>
        <w:t> </w:t>
      </w:r>
      <w:r>
        <w:rPr/>
        <w:t>不适用</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798"/>
        <w:gridCol w:w="5771"/>
      </w:tblGrid>
      <w:tr>
        <w:trPr>
          <w:trHeight w:val="399" w:hRule="exact"/>
        </w:trPr>
        <w:tc>
          <w:tcPr>
            <w:tcW w:w="3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股送红股数（股）</w:t>
            </w:r>
          </w:p>
        </w:tc>
        <w:tc>
          <w:tcPr>
            <w:tcW w:w="5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403" w:hRule="exact"/>
        </w:trPr>
        <w:tc>
          <w:tcPr>
            <w:tcW w:w="3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每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0"/>
                <w:sz w:val="18"/>
                <w:szCs w:val="18"/>
              </w:rPr>
              <w:t> </w:t>
            </w:r>
            <w:r>
              <w:rPr>
                <w:rFonts w:ascii="宋体" w:hAnsi="宋体" w:cs="宋体" w:eastAsia="宋体" w:hint="default"/>
                <w:spacing w:val="-3"/>
                <w:sz w:val="18"/>
                <w:szCs w:val="18"/>
              </w:rPr>
              <w:t>股派息数（元）（含税）</w:t>
            </w:r>
          </w:p>
        </w:tc>
        <w:tc>
          <w:tcPr>
            <w:tcW w:w="5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z w:val="18"/>
              </w:rPr>
              <w:t>0.8</w:t>
            </w:r>
          </w:p>
        </w:tc>
      </w:tr>
      <w:tr>
        <w:trPr>
          <w:trHeight w:val="403" w:hRule="exact"/>
        </w:trPr>
        <w:tc>
          <w:tcPr>
            <w:tcW w:w="3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每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2"/>
                <w:sz w:val="18"/>
                <w:szCs w:val="18"/>
              </w:rPr>
              <w:t> </w:t>
            </w:r>
            <w:r>
              <w:rPr>
                <w:rFonts w:ascii="宋体" w:hAnsi="宋体" w:cs="宋体" w:eastAsia="宋体" w:hint="default"/>
                <w:spacing w:val="-3"/>
                <w:sz w:val="18"/>
                <w:szCs w:val="18"/>
              </w:rPr>
              <w:t>股转增数（股）</w:t>
            </w:r>
          </w:p>
        </w:tc>
        <w:tc>
          <w:tcPr>
            <w:tcW w:w="5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403" w:hRule="exact"/>
        </w:trPr>
        <w:tc>
          <w:tcPr>
            <w:tcW w:w="3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分配预案的股本基数（股）</w:t>
            </w:r>
          </w:p>
        </w:tc>
        <w:tc>
          <w:tcPr>
            <w:tcW w:w="5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612,969,732</w:t>
            </w:r>
          </w:p>
        </w:tc>
      </w:tr>
      <w:tr>
        <w:trPr>
          <w:trHeight w:val="399" w:hRule="exact"/>
        </w:trPr>
        <w:tc>
          <w:tcPr>
            <w:tcW w:w="3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现金分红金额（元）（含税）</w:t>
            </w:r>
          </w:p>
        </w:tc>
        <w:tc>
          <w:tcPr>
            <w:tcW w:w="5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49,037,578.56</w:t>
            </w:r>
          </w:p>
        </w:tc>
      </w:tr>
      <w:tr>
        <w:trPr>
          <w:trHeight w:val="403" w:hRule="exact"/>
        </w:trPr>
        <w:tc>
          <w:tcPr>
            <w:tcW w:w="3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8"/>
                <w:sz w:val="18"/>
                <w:szCs w:val="18"/>
              </w:rPr>
              <w:t>以其他方式（如回购股份）现金分红金额（元）</w:t>
            </w:r>
          </w:p>
        </w:tc>
        <w:tc>
          <w:tcPr>
            <w:tcW w:w="5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35,191,957.04</w:t>
            </w:r>
          </w:p>
        </w:tc>
      </w:tr>
      <w:tr>
        <w:trPr>
          <w:trHeight w:val="403" w:hRule="exact"/>
        </w:trPr>
        <w:tc>
          <w:tcPr>
            <w:tcW w:w="3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现金分红总额（含其他方式）（元）</w:t>
            </w:r>
          </w:p>
        </w:tc>
        <w:tc>
          <w:tcPr>
            <w:tcW w:w="5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84,229,535.60</w:t>
            </w:r>
          </w:p>
        </w:tc>
      </w:tr>
      <w:tr>
        <w:trPr>
          <w:trHeight w:val="403" w:hRule="exact"/>
        </w:trPr>
        <w:tc>
          <w:tcPr>
            <w:tcW w:w="3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可分配利润（元）</w:t>
            </w:r>
          </w:p>
        </w:tc>
        <w:tc>
          <w:tcPr>
            <w:tcW w:w="5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255,853,988.97</w:t>
            </w:r>
          </w:p>
        </w:tc>
      </w:tr>
      <w:tr>
        <w:trPr>
          <w:trHeight w:val="711" w:hRule="exact"/>
        </w:trPr>
        <w:tc>
          <w:tcPr>
            <w:tcW w:w="3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105" w:right="95"/>
              <w:jc w:val="left"/>
              <w:rPr>
                <w:rFonts w:ascii="宋体" w:hAnsi="宋体" w:cs="宋体" w:eastAsia="宋体" w:hint="default"/>
                <w:sz w:val="18"/>
                <w:szCs w:val="18"/>
              </w:rPr>
            </w:pPr>
            <w:r>
              <w:rPr>
                <w:rFonts w:ascii="宋体" w:hAnsi="宋体" w:cs="宋体" w:eastAsia="宋体" w:hint="default"/>
                <w:spacing w:val="-4"/>
                <w:sz w:val="18"/>
                <w:szCs w:val="18"/>
              </w:rPr>
              <w:t>现金分红总额（含其他方式）占利润分配总额</w:t>
            </w:r>
            <w:r>
              <w:rPr>
                <w:rFonts w:ascii="宋体" w:hAnsi="宋体" w:cs="宋体" w:eastAsia="宋体" w:hint="default"/>
                <w:spacing w:val="-27"/>
                <w:sz w:val="18"/>
                <w:szCs w:val="18"/>
              </w:rPr>
              <w:t> </w:t>
            </w:r>
            <w:r>
              <w:rPr>
                <w:rFonts w:ascii="宋体" w:hAnsi="宋体" w:cs="宋体" w:eastAsia="宋体" w:hint="default"/>
                <w:spacing w:val="-27"/>
                <w:sz w:val="18"/>
                <w:szCs w:val="18"/>
              </w:rPr>
            </w:r>
            <w:r>
              <w:rPr>
                <w:rFonts w:ascii="宋体" w:hAnsi="宋体" w:cs="宋体" w:eastAsia="宋体" w:hint="default"/>
                <w:sz w:val="18"/>
                <w:szCs w:val="18"/>
              </w:rPr>
              <w:t>的比例</w:t>
            </w:r>
          </w:p>
        </w:tc>
        <w:tc>
          <w:tcPr>
            <w:tcW w:w="5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2"/>
                <w:sz w:val="18"/>
              </w:rPr>
              <w:t>100%</w:t>
            </w:r>
          </w:p>
        </w:tc>
      </w:tr>
      <w:tr>
        <w:trPr>
          <w:trHeight w:val="403" w:hRule="exact"/>
        </w:trPr>
        <w:tc>
          <w:tcPr>
            <w:tcW w:w="957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本次现金分红情况</w:t>
            </w:r>
          </w:p>
        </w:tc>
      </w:tr>
      <w:tr>
        <w:trPr>
          <w:trHeight w:val="715" w:hRule="exact"/>
        </w:trPr>
        <w:tc>
          <w:tcPr>
            <w:tcW w:w="957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公司发展阶段属成长期且有重大资金支出安排的，进行利润分配时，现金分红在本次利润分配中所占比例最低应达到</w:t>
            </w:r>
          </w:p>
          <w:p>
            <w:pPr>
              <w:pStyle w:val="TableParagraph"/>
              <w:spacing w:line="240" w:lineRule="auto" w:before="81"/>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w:t>
            </w:r>
            <w:r>
              <w:rPr>
                <w:rFonts w:ascii="宋体" w:hAnsi="宋体" w:cs="宋体" w:eastAsia="宋体" w:hint="default"/>
                <w:sz w:val="18"/>
                <w:szCs w:val="18"/>
              </w:rPr>
              <w:t>％</w:t>
            </w:r>
          </w:p>
        </w:tc>
      </w:tr>
      <w:tr>
        <w:trPr>
          <w:trHeight w:val="404" w:hRule="exact"/>
        </w:trPr>
        <w:tc>
          <w:tcPr>
            <w:tcW w:w="957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890" w:right="0"/>
              <w:jc w:val="left"/>
              <w:rPr>
                <w:rFonts w:ascii="宋体" w:hAnsi="宋体" w:cs="宋体" w:eastAsia="宋体" w:hint="default"/>
                <w:sz w:val="18"/>
                <w:szCs w:val="18"/>
              </w:rPr>
            </w:pPr>
            <w:r>
              <w:rPr>
                <w:rFonts w:ascii="宋体" w:hAnsi="宋体" w:cs="宋体" w:eastAsia="宋体" w:hint="default"/>
                <w:spacing w:val="-3"/>
                <w:sz w:val="18"/>
                <w:szCs w:val="18"/>
              </w:rPr>
              <w:t>利润分配或资本公积金转增预案的详细情况说明</w:t>
            </w:r>
          </w:p>
        </w:tc>
      </w:tr>
      <w:tr>
        <w:trPr>
          <w:trHeight w:val="2583" w:hRule="exact"/>
        </w:trPr>
        <w:tc>
          <w:tcPr>
            <w:tcW w:w="9570" w:type="dxa"/>
            <w:gridSpan w:val="2"/>
            <w:tcBorders>
              <w:top w:val="single" w:sz="4" w:space="0" w:color="000000"/>
              <w:left w:val="single" w:sz="4" w:space="0" w:color="000000"/>
              <w:bottom w:val="single" w:sz="4" w:space="0" w:color="000000"/>
              <w:right w:val="single" w:sz="4" w:space="0" w:color="000000"/>
            </w:tcBorders>
          </w:tcPr>
          <w:p>
            <w:pPr>
              <w:pStyle w:val="TableParagraph"/>
              <w:spacing w:line="295" w:lineRule="auto" w:before="53"/>
              <w:ind w:left="105" w:right="94"/>
              <w:jc w:val="left"/>
              <w:rPr>
                <w:rFonts w:ascii="宋体" w:hAnsi="宋体" w:cs="宋体" w:eastAsia="宋体" w:hint="default"/>
                <w:sz w:val="18"/>
                <w:szCs w:val="18"/>
              </w:rPr>
            </w:pPr>
            <w:r>
              <w:rPr>
                <w:rFonts w:ascii="宋体" w:hAnsi="宋体" w:cs="宋体" w:eastAsia="宋体" w:hint="default"/>
                <w:spacing w:val="-3"/>
                <w:sz w:val="18"/>
                <w:szCs w:val="18"/>
              </w:rPr>
              <w:t>经中喜会计师事务所（特殊普通合伙）审计，</w:t>
            </w:r>
            <w:r>
              <w:rPr>
                <w:rFonts w:ascii="Times New Roman" w:hAnsi="Times New Roman" w:cs="Times New Roman" w:eastAsia="Times New Roman" w:hint="default"/>
                <w:spacing w:val="-3"/>
                <w:sz w:val="18"/>
                <w:szCs w:val="18"/>
              </w:rPr>
              <w:t>2019 </w:t>
            </w:r>
            <w:r>
              <w:rPr>
                <w:rFonts w:ascii="宋体" w:hAnsi="宋体" w:cs="宋体" w:eastAsia="宋体" w:hint="default"/>
                <w:spacing w:val="-3"/>
                <w:sz w:val="18"/>
                <w:szCs w:val="18"/>
              </w:rPr>
              <w:t>年度归属于上市公司股东的净利润为 </w:t>
            </w:r>
            <w:r>
              <w:rPr>
                <w:rFonts w:ascii="Times New Roman" w:hAnsi="Times New Roman" w:cs="Times New Roman" w:eastAsia="Times New Roman" w:hint="default"/>
                <w:sz w:val="18"/>
                <w:szCs w:val="18"/>
              </w:rPr>
              <w:t>182,226,754.27 </w:t>
            </w:r>
            <w:r>
              <w:rPr>
                <w:rFonts w:ascii="宋体" w:hAnsi="宋体" w:cs="宋体" w:eastAsia="宋体" w:hint="default"/>
                <w:spacing w:val="-3"/>
                <w:sz w:val="18"/>
                <w:szCs w:val="18"/>
              </w:rPr>
              <w:t>元，母公司净利</w:t>
            </w:r>
            <w:r>
              <w:rPr>
                <w:rFonts w:ascii="宋体" w:hAnsi="宋体" w:cs="宋体" w:eastAsia="宋体" w:hint="default"/>
                <w:spacing w:val="-44"/>
                <w:sz w:val="18"/>
                <w:szCs w:val="18"/>
              </w:rPr>
              <w:t> </w:t>
            </w:r>
            <w:r>
              <w:rPr>
                <w:rFonts w:ascii="宋体" w:hAnsi="宋体" w:cs="宋体" w:eastAsia="宋体" w:hint="default"/>
                <w:spacing w:val="-44"/>
                <w:sz w:val="18"/>
                <w:szCs w:val="18"/>
              </w:rPr>
            </w:r>
            <w:r>
              <w:rPr>
                <w:rFonts w:ascii="宋体" w:hAnsi="宋体" w:cs="宋体" w:eastAsia="宋体" w:hint="default"/>
                <w:sz w:val="18"/>
                <w:szCs w:val="18"/>
              </w:rPr>
              <w:t>润为</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169,121,397.41 </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元。以</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年度母公司净利润</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169,121,397.41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元为基数，提取</w:t>
            </w:r>
            <w:r>
              <w:rPr>
                <w:rFonts w:ascii="宋体" w:hAnsi="宋体" w:cs="宋体" w:eastAsia="宋体" w:hint="default"/>
                <w:spacing w:val="-42"/>
                <w:sz w:val="18"/>
                <w:szCs w:val="18"/>
              </w:rPr>
              <w:t> </w:t>
            </w:r>
            <w:r>
              <w:rPr>
                <w:rFonts w:ascii="Times New Roman" w:hAnsi="Times New Roman" w:cs="Times New Roman" w:eastAsia="Times New Roman" w:hint="default"/>
                <w:spacing w:val="-3"/>
                <w:sz w:val="18"/>
                <w:szCs w:val="18"/>
              </w:rPr>
              <w:t>10%</w:t>
            </w:r>
            <w:r>
              <w:rPr>
                <w:rFonts w:ascii="宋体" w:hAnsi="宋体" w:cs="宋体" w:eastAsia="宋体" w:hint="default"/>
                <w:spacing w:val="-3"/>
                <w:sz w:val="18"/>
                <w:szCs w:val="18"/>
              </w:rPr>
              <w:t>法定公积金</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16,912,139.74</w:t>
            </w:r>
            <w:r>
              <w:rPr>
                <w:rFonts w:ascii="Times New Roman" w:hAnsi="Times New Roman" w:cs="Times New Roman" w:eastAsia="Times New Roman" w:hint="default"/>
                <w:spacing w:val="4"/>
                <w:sz w:val="18"/>
                <w:szCs w:val="18"/>
              </w:rPr>
              <w:t> </w:t>
            </w:r>
            <w:r>
              <w:rPr>
                <w:rFonts w:ascii="宋体" w:hAnsi="宋体" w:cs="宋体" w:eastAsia="宋体" w:hint="default"/>
                <w:spacing w:val="-5"/>
                <w:sz w:val="18"/>
                <w:szCs w:val="18"/>
              </w:rPr>
              <w:t>元，</w:t>
            </w:r>
            <w:r>
              <w:rPr>
                <w:rFonts w:ascii="宋体" w:hAnsi="宋体" w:cs="宋体" w:eastAsia="宋体" w:hint="default"/>
                <w:sz w:val="18"/>
                <w:szCs w:val="18"/>
              </w:rPr>
            </w:r>
          </w:p>
          <w:p>
            <w:pPr>
              <w:pStyle w:val="TableParagraph"/>
              <w:spacing w:line="240" w:lineRule="auto" w:before="17"/>
              <w:ind w:left="105" w:right="0"/>
              <w:jc w:val="left"/>
              <w:rPr>
                <w:rFonts w:ascii="宋体" w:hAnsi="宋体" w:cs="宋体" w:eastAsia="宋体" w:hint="default"/>
                <w:sz w:val="18"/>
                <w:szCs w:val="18"/>
              </w:rPr>
            </w:pPr>
            <w:r>
              <w:rPr>
                <w:rFonts w:ascii="宋体" w:hAnsi="宋体" w:cs="宋体" w:eastAsia="宋体" w:hint="default"/>
                <w:sz w:val="18"/>
                <w:szCs w:val="18"/>
              </w:rPr>
              <w:t>加期初未分配利润 </w:t>
            </w:r>
            <w:r>
              <w:rPr>
                <w:rFonts w:ascii="Times New Roman" w:hAnsi="Times New Roman" w:cs="Times New Roman" w:eastAsia="Times New Roman" w:hint="default"/>
                <w:sz w:val="18"/>
                <w:szCs w:val="18"/>
              </w:rPr>
              <w:t>165,138,774.50 </w:t>
            </w:r>
            <w:r>
              <w:rPr>
                <w:rFonts w:ascii="宋体" w:hAnsi="宋体" w:cs="宋体" w:eastAsia="宋体" w:hint="default"/>
                <w:spacing w:val="-3"/>
                <w:sz w:val="18"/>
                <w:szCs w:val="18"/>
              </w:rPr>
              <w:t>元后，减去报告期内分配利润 </w:t>
            </w:r>
            <w:r>
              <w:rPr>
                <w:rFonts w:ascii="Times New Roman" w:hAnsi="Times New Roman" w:cs="Times New Roman" w:eastAsia="Times New Roman" w:hint="default"/>
                <w:sz w:val="18"/>
                <w:szCs w:val="18"/>
              </w:rPr>
              <w:t>61,494,043.20 </w:t>
            </w:r>
            <w:r>
              <w:rPr>
                <w:rFonts w:ascii="宋体" w:hAnsi="宋体" w:cs="宋体" w:eastAsia="宋体" w:hint="default"/>
                <w:sz w:val="18"/>
                <w:szCs w:val="18"/>
              </w:rPr>
              <w:t>元，</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7"/>
                <w:sz w:val="18"/>
                <w:szCs w:val="18"/>
              </w:rPr>
              <w:t> </w:t>
            </w:r>
            <w:r>
              <w:rPr>
                <w:rFonts w:ascii="宋体" w:hAnsi="宋体" w:cs="宋体" w:eastAsia="宋体" w:hint="default"/>
                <w:spacing w:val="-3"/>
                <w:sz w:val="18"/>
                <w:szCs w:val="18"/>
              </w:rPr>
              <w:t>年度可供股东分配的利润为</w:t>
            </w:r>
          </w:p>
          <w:p>
            <w:pPr>
              <w:pStyle w:val="TableParagraph"/>
              <w:spacing w:line="240" w:lineRule="auto" w:before="6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255,853,988.97  </w:t>
            </w:r>
            <w:r>
              <w:rPr>
                <w:rFonts w:ascii="宋体" w:hAnsi="宋体" w:cs="宋体" w:eastAsia="宋体" w:hint="default"/>
                <w:spacing w:val="-6"/>
                <w:sz w:val="18"/>
                <w:szCs w:val="18"/>
              </w:rPr>
              <w:t>元。</w:t>
            </w:r>
            <w:r>
              <w:rPr>
                <w:rFonts w:ascii="Times New Roman" w:hAnsi="Times New Roman" w:cs="Times New Roman" w:eastAsia="Times New Roman" w:hint="default"/>
                <w:spacing w:val="-6"/>
                <w:sz w:val="18"/>
                <w:szCs w:val="18"/>
              </w:rPr>
              <w:t>2019  </w:t>
            </w:r>
            <w:r>
              <w:rPr>
                <w:rFonts w:ascii="宋体" w:hAnsi="宋体" w:cs="宋体" w:eastAsia="宋体" w:hint="default"/>
                <w:spacing w:val="-4"/>
                <w:sz w:val="18"/>
                <w:szCs w:val="18"/>
              </w:rPr>
              <w:t>年度利润分配预案为：公司拟以未来实施分配方案时股权登记日的总股本 </w:t>
            </w:r>
            <w:r>
              <w:rPr>
                <w:rFonts w:ascii="Times New Roman" w:hAnsi="Times New Roman" w:cs="Times New Roman" w:eastAsia="Times New Roman" w:hint="default"/>
                <w:sz w:val="18"/>
                <w:szCs w:val="18"/>
              </w:rPr>
              <w:t>612,969,732</w:t>
            </w:r>
            <w:r>
              <w:rPr>
                <w:rFonts w:ascii="Times New Roman" w:hAnsi="Times New Roman" w:cs="Times New Roman" w:eastAsia="Times New Roman" w:hint="default"/>
                <w:spacing w:val="1"/>
                <w:sz w:val="18"/>
                <w:szCs w:val="18"/>
              </w:rPr>
              <w:t> </w:t>
            </w:r>
            <w:r>
              <w:rPr>
                <w:rFonts w:ascii="宋体" w:hAnsi="宋体" w:cs="宋体" w:eastAsia="宋体" w:hint="default"/>
                <w:spacing w:val="-3"/>
                <w:sz w:val="18"/>
                <w:szCs w:val="18"/>
              </w:rPr>
              <w:t>股为基数</w:t>
            </w:r>
          </w:p>
          <w:p>
            <w:pPr>
              <w:pStyle w:val="TableParagraph"/>
              <w:spacing w:line="240" w:lineRule="auto" w:before="63"/>
              <w:ind w:left="105" w:right="0"/>
              <w:jc w:val="left"/>
              <w:rPr>
                <w:rFonts w:ascii="宋体" w:hAnsi="宋体" w:cs="宋体" w:eastAsia="宋体" w:hint="default"/>
                <w:sz w:val="18"/>
                <w:szCs w:val="18"/>
              </w:rPr>
            </w:pPr>
            <w:r>
              <w:rPr>
                <w:rFonts w:ascii="宋体" w:hAnsi="宋体" w:cs="宋体" w:eastAsia="宋体" w:hint="default"/>
                <w:spacing w:val="-3"/>
                <w:sz w:val="18"/>
                <w:szCs w:val="18"/>
              </w:rPr>
              <w:t>（扣除公司回购专用证券账户股份数）</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向全体股东每</w:t>
            </w:r>
            <w:r>
              <w:rPr>
                <w:rFonts w:ascii="宋体" w:hAnsi="宋体" w:cs="宋体" w:eastAsia="宋体" w:hint="default"/>
                <w:spacing w:val="-30"/>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股派发现金股利人民币</w:t>
            </w:r>
            <w:r>
              <w:rPr>
                <w:rFonts w:ascii="宋体" w:hAnsi="宋体" w:cs="宋体" w:eastAsia="宋体" w:hint="default"/>
                <w:spacing w:val="-30"/>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元（含税）送红股</w:t>
            </w:r>
            <w:r>
              <w:rPr>
                <w:rFonts w:ascii="宋体" w:hAnsi="宋体" w:cs="宋体" w:eastAsia="宋体" w:hint="default"/>
                <w:spacing w:val="-30"/>
                <w:sz w:val="18"/>
                <w:szCs w:val="18"/>
              </w:rPr>
              <w:t> </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15"/>
                <w:sz w:val="18"/>
                <w:szCs w:val="18"/>
              </w:rPr>
              <w:t> </w:t>
            </w:r>
            <w:r>
              <w:rPr>
                <w:rFonts w:ascii="宋体" w:hAnsi="宋体" w:cs="宋体" w:eastAsia="宋体" w:hint="default"/>
                <w:spacing w:val="-3"/>
                <w:sz w:val="18"/>
                <w:szCs w:val="18"/>
              </w:rPr>
              <w:t>股（含税），</w:t>
            </w:r>
          </w:p>
          <w:p>
            <w:pPr>
              <w:pStyle w:val="TableParagraph"/>
              <w:spacing w:line="302" w:lineRule="auto" w:before="63"/>
              <w:ind w:left="105" w:right="94"/>
              <w:jc w:val="left"/>
              <w:rPr>
                <w:rFonts w:ascii="宋体" w:hAnsi="宋体" w:cs="宋体" w:eastAsia="宋体" w:hint="default"/>
                <w:sz w:val="18"/>
                <w:szCs w:val="18"/>
              </w:rPr>
            </w:pPr>
            <w:r>
              <w:rPr>
                <w:rFonts w:ascii="宋体" w:hAnsi="宋体" w:cs="宋体" w:eastAsia="宋体" w:hint="default"/>
                <w:spacing w:val="-3"/>
                <w:sz w:val="18"/>
                <w:szCs w:val="18"/>
              </w:rPr>
              <w:t>不以公积金转增股本。上述利润分配预案尚待提交本公司股东大会审议。在公司实施 </w:t>
            </w:r>
            <w:r>
              <w:rPr>
                <w:rFonts w:ascii="Times New Roman" w:hAnsi="Times New Roman" w:cs="Times New Roman" w:eastAsia="Times New Roman" w:hint="default"/>
                <w:sz w:val="18"/>
                <w:szCs w:val="18"/>
              </w:rPr>
              <w:t>2019 </w:t>
            </w:r>
            <w:r>
              <w:rPr>
                <w:rFonts w:ascii="宋体" w:hAnsi="宋体" w:cs="宋体" w:eastAsia="宋体" w:hint="default"/>
                <w:spacing w:val="-3"/>
                <w:sz w:val="18"/>
                <w:szCs w:val="18"/>
              </w:rPr>
              <w:t>年度利润分配方案的股权登</w:t>
            </w:r>
            <w:r>
              <w:rPr>
                <w:rFonts w:ascii="宋体" w:hAnsi="宋体" w:cs="宋体" w:eastAsia="宋体" w:hint="default"/>
                <w:spacing w:val="-30"/>
                <w:sz w:val="18"/>
                <w:szCs w:val="18"/>
              </w:rPr>
              <w:t> </w:t>
            </w:r>
            <w:r>
              <w:rPr>
                <w:rFonts w:ascii="宋体" w:hAnsi="宋体" w:cs="宋体" w:eastAsia="宋体" w:hint="default"/>
                <w:spacing w:val="-30"/>
                <w:sz w:val="18"/>
                <w:szCs w:val="18"/>
              </w:rPr>
            </w:r>
            <w:r>
              <w:rPr>
                <w:rFonts w:ascii="宋体" w:hAnsi="宋体" w:cs="宋体" w:eastAsia="宋体" w:hint="default"/>
                <w:spacing w:val="-3"/>
                <w:sz w:val="18"/>
                <w:szCs w:val="18"/>
              </w:rPr>
              <w:t>记日前，如果公司股本发生变动，公司将按照《深圳证券交易所中小企业板上市公司规范运作指引（</w:t>
            </w:r>
            <w:r>
              <w:rPr>
                <w:rFonts w:ascii="Times New Roman" w:hAnsi="Times New Roman" w:cs="Times New Roman" w:eastAsia="Times New Roman" w:hint="default"/>
                <w:spacing w:val="-3"/>
                <w:sz w:val="18"/>
                <w:szCs w:val="18"/>
              </w:rPr>
              <w:t>2020 </w:t>
            </w:r>
            <w:r>
              <w:rPr>
                <w:rFonts w:ascii="宋体" w:hAnsi="宋体" w:cs="宋体" w:eastAsia="宋体" w:hint="default"/>
                <w:spacing w:val="-5"/>
                <w:sz w:val="18"/>
                <w:szCs w:val="18"/>
              </w:rPr>
              <w:t>年修订）》所</w:t>
            </w:r>
            <w:r>
              <w:rPr>
                <w:rFonts w:ascii="宋体" w:hAnsi="宋体" w:cs="宋体" w:eastAsia="宋体" w:hint="default"/>
                <w:spacing w:val="-53"/>
                <w:sz w:val="18"/>
                <w:szCs w:val="18"/>
              </w:rPr>
              <w:t> </w:t>
            </w:r>
            <w:r>
              <w:rPr>
                <w:rFonts w:ascii="宋体" w:hAnsi="宋体" w:cs="宋体" w:eastAsia="宋体" w:hint="default"/>
                <w:spacing w:val="-53"/>
                <w:sz w:val="18"/>
                <w:szCs w:val="18"/>
              </w:rPr>
            </w:r>
            <w:r>
              <w:rPr>
                <w:rFonts w:ascii="宋体" w:hAnsi="宋体" w:cs="宋体" w:eastAsia="宋体" w:hint="default"/>
                <w:spacing w:val="-3"/>
                <w:sz w:val="18"/>
                <w:szCs w:val="18"/>
              </w:rPr>
              <w:t>规定的“现金分红金额、送红股金额、转增股本金额固定不变”的原则，对上述利润分配预案进行调整。</w:t>
            </w:r>
          </w:p>
        </w:tc>
      </w:tr>
    </w:tbl>
    <w:p>
      <w:pPr>
        <w:spacing w:after="0" w:line="302" w:lineRule="auto"/>
        <w:jc w:val="left"/>
        <w:rPr>
          <w:rFonts w:ascii="宋体" w:hAnsi="宋体" w:cs="宋体" w:eastAsia="宋体" w:hint="default"/>
          <w:sz w:val="18"/>
          <w:szCs w:val="18"/>
        </w:rPr>
        <w:sectPr>
          <w:pgSz w:w="11910" w:h="16840"/>
          <w:pgMar w:header="784" w:footer="1022" w:top="1100" w:bottom="1220" w:left="980" w:right="0"/>
        </w:sectPr>
      </w:pPr>
    </w:p>
    <w:p>
      <w:pPr>
        <w:spacing w:line="240" w:lineRule="auto" w:before="6"/>
        <w:rPr>
          <w:rFonts w:ascii="宋体" w:hAnsi="宋体" w:cs="宋体" w:eastAsia="宋体" w:hint="default"/>
          <w:sz w:val="20"/>
          <w:szCs w:val="20"/>
        </w:rPr>
      </w:pPr>
    </w:p>
    <w:p>
      <w:pPr>
        <w:pStyle w:val="Heading2"/>
        <w:spacing w:line="240" w:lineRule="auto" w:before="26"/>
        <w:ind w:right="0"/>
        <w:jc w:val="left"/>
        <w:rPr>
          <w:b w:val="0"/>
          <w:bCs w:val="0"/>
        </w:rPr>
      </w:pPr>
      <w:bookmarkStart w:name="三、承诺事项履行情况" w:id="66"/>
      <w:bookmarkEnd w:id="66"/>
      <w:r>
        <w:rPr>
          <w:b w:val="0"/>
          <w:bCs w:val="0"/>
        </w:rPr>
      </w:r>
      <w:r>
        <w:rPr/>
        <w:t>三、承诺事项履行情况</w:t>
      </w:r>
      <w:r>
        <w:rPr>
          <w:b w:val="0"/>
          <w:bCs w:val="0"/>
        </w:rPr>
      </w:r>
    </w:p>
    <w:p>
      <w:pPr>
        <w:spacing w:line="240" w:lineRule="auto" w:before="3"/>
        <w:rPr>
          <w:rFonts w:ascii="宋体" w:hAnsi="宋体" w:cs="宋体" w:eastAsia="宋体" w:hint="default"/>
          <w:b/>
          <w:bCs/>
          <w:sz w:val="25"/>
          <w:szCs w:val="25"/>
        </w:rPr>
      </w:pPr>
    </w:p>
    <w:p>
      <w:pPr>
        <w:pStyle w:val="Heading4"/>
        <w:spacing w:line="254" w:lineRule="auto"/>
        <w:ind w:right="0"/>
        <w:jc w:val="left"/>
        <w:rPr>
          <w:b w:val="0"/>
          <w:bCs w:val="0"/>
        </w:rPr>
      </w:pPr>
      <w:bookmarkStart w:name="1、公司实际控制人、股东、关联方、收购人以及公司等承诺相关方在报告期内履行完毕及" w:id="67"/>
      <w:bookmarkEnd w:id="67"/>
      <w:r>
        <w:rPr>
          <w:b w:val="0"/>
          <w:bCs w:val="0"/>
        </w:rPr>
      </w:r>
      <w:r>
        <w:rPr>
          <w:rFonts w:ascii="Times New Roman" w:hAnsi="Times New Roman" w:cs="Times New Roman" w:eastAsia="Times New Roman" w:hint="default"/>
        </w:rPr>
        <w:t>1</w:t>
      </w:r>
      <w:r>
        <w:rPr/>
        <w:t>、公司实际控制人、股东、关联方、收购人以及公司等承诺相关方在报告期内履行完毕及截至报告期末</w:t>
      </w:r>
      <w:r>
        <w:rPr>
          <w:spacing w:val="-65"/>
        </w:rPr>
        <w:t> </w:t>
      </w:r>
      <w:r>
        <w:rPr>
          <w:spacing w:val="-65"/>
        </w:rPr>
      </w:r>
      <w:r>
        <w:rPr/>
        <w:t>尚未履行完毕的承诺事项</w:t>
      </w:r>
      <w:r>
        <w:rPr>
          <w:b w:val="0"/>
          <w:bCs w:val="0"/>
        </w:rPr>
      </w:r>
    </w:p>
    <w:p>
      <w:pPr>
        <w:spacing w:line="240" w:lineRule="auto" w:before="4"/>
        <w:rPr>
          <w:rFonts w:ascii="宋体" w:hAnsi="宋体" w:cs="宋体" w:eastAsia="宋体" w:hint="default"/>
          <w:b/>
          <w:bCs/>
          <w:sz w:val="27"/>
          <w:szCs w:val="27"/>
        </w:rPr>
      </w:pPr>
    </w:p>
    <w:p>
      <w:pPr>
        <w:pStyle w:val="BodyText"/>
        <w:spacing w:line="240" w:lineRule="auto" w:before="0"/>
        <w:ind w:right="0"/>
        <w:jc w:val="left"/>
      </w:pPr>
      <w:r>
        <w:rPr/>
        <w:t>√ </w:t>
      </w:r>
      <w:r>
        <w:rPr>
          <w:spacing w:val="-3"/>
        </w:rPr>
        <w:t>适用 </w:t>
      </w:r>
      <w:r>
        <w:rPr/>
        <w:t>□</w:t>
      </w:r>
      <w:r>
        <w:rPr>
          <w:spacing w:val="13"/>
        </w:rPr>
        <w:t> </w:t>
      </w:r>
      <w:r>
        <w:rPr/>
        <w:t>不适用</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561"/>
        <w:gridCol w:w="994"/>
        <w:gridCol w:w="989"/>
        <w:gridCol w:w="3265"/>
        <w:gridCol w:w="1133"/>
        <w:gridCol w:w="994"/>
        <w:gridCol w:w="634"/>
      </w:tblGrid>
      <w:tr>
        <w:trPr>
          <w:trHeight w:val="715" w:hRule="exact"/>
        </w:trPr>
        <w:tc>
          <w:tcPr>
            <w:tcW w:w="15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417" w:right="0"/>
              <w:jc w:val="left"/>
              <w:rPr>
                <w:rFonts w:ascii="宋体" w:hAnsi="宋体" w:cs="宋体" w:eastAsia="宋体" w:hint="default"/>
                <w:sz w:val="18"/>
                <w:szCs w:val="18"/>
              </w:rPr>
            </w:pPr>
            <w:r>
              <w:rPr>
                <w:rFonts w:ascii="宋体" w:hAnsi="宋体" w:cs="宋体" w:eastAsia="宋体" w:hint="default"/>
                <w:sz w:val="18"/>
                <w:szCs w:val="18"/>
              </w:rPr>
              <w:t>承诺事由</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225" w:right="0"/>
              <w:jc w:val="left"/>
              <w:rPr>
                <w:rFonts w:ascii="宋体" w:hAnsi="宋体" w:cs="宋体" w:eastAsia="宋体" w:hint="default"/>
                <w:sz w:val="18"/>
                <w:szCs w:val="18"/>
              </w:rPr>
            </w:pPr>
            <w:r>
              <w:rPr>
                <w:rFonts w:ascii="宋体" w:hAnsi="宋体" w:cs="宋体" w:eastAsia="宋体" w:hint="default"/>
                <w:sz w:val="18"/>
                <w:szCs w:val="18"/>
              </w:rPr>
              <w:t>承诺方</w:t>
            </w:r>
          </w:p>
        </w:tc>
        <w:tc>
          <w:tcPr>
            <w:tcW w:w="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29" w:right="0"/>
              <w:jc w:val="left"/>
              <w:rPr>
                <w:rFonts w:ascii="宋体" w:hAnsi="宋体" w:cs="宋体" w:eastAsia="宋体" w:hint="default"/>
                <w:sz w:val="18"/>
                <w:szCs w:val="18"/>
              </w:rPr>
            </w:pPr>
            <w:r>
              <w:rPr>
                <w:rFonts w:ascii="宋体" w:hAnsi="宋体" w:cs="宋体" w:eastAsia="宋体" w:hint="default"/>
                <w:sz w:val="18"/>
                <w:szCs w:val="18"/>
              </w:rPr>
              <w:t>承诺类型</w:t>
            </w:r>
          </w:p>
        </w:tc>
        <w:tc>
          <w:tcPr>
            <w:tcW w:w="32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承诺内容</w:t>
            </w:r>
          </w:p>
        </w:tc>
        <w:tc>
          <w:tcPr>
            <w:tcW w:w="11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sz w:val="18"/>
                <w:szCs w:val="18"/>
              </w:rPr>
              <w:t>承诺时间</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29" w:right="0"/>
              <w:jc w:val="left"/>
              <w:rPr>
                <w:rFonts w:ascii="宋体" w:hAnsi="宋体" w:cs="宋体" w:eastAsia="宋体" w:hint="default"/>
                <w:sz w:val="18"/>
                <w:szCs w:val="18"/>
              </w:rPr>
            </w:pPr>
            <w:r>
              <w:rPr>
                <w:rFonts w:ascii="宋体" w:hAnsi="宋体" w:cs="宋体" w:eastAsia="宋体" w:hint="default"/>
                <w:sz w:val="18"/>
                <w:szCs w:val="18"/>
              </w:rPr>
              <w:t>承诺期限</w:t>
            </w:r>
          </w:p>
        </w:tc>
        <w:tc>
          <w:tcPr>
            <w:tcW w:w="6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29" w:right="127"/>
              <w:jc w:val="left"/>
              <w:rPr>
                <w:rFonts w:ascii="宋体" w:hAnsi="宋体" w:cs="宋体" w:eastAsia="宋体" w:hint="default"/>
                <w:sz w:val="18"/>
                <w:szCs w:val="18"/>
              </w:rPr>
            </w:pPr>
            <w:r>
              <w:rPr>
                <w:rFonts w:ascii="宋体" w:hAnsi="宋体" w:cs="宋体" w:eastAsia="宋体" w:hint="default"/>
                <w:sz w:val="18"/>
                <w:szCs w:val="18"/>
              </w:rPr>
              <w:t>履行</w:t>
            </w:r>
            <w:r>
              <w:rPr>
                <w:rFonts w:ascii="宋体" w:hAnsi="宋体" w:cs="宋体" w:eastAsia="宋体" w:hint="default"/>
                <w:spacing w:val="-86"/>
                <w:sz w:val="18"/>
                <w:szCs w:val="18"/>
              </w:rPr>
              <w:t> </w:t>
            </w:r>
            <w:r>
              <w:rPr>
                <w:rFonts w:ascii="宋体" w:hAnsi="宋体" w:cs="宋体" w:eastAsia="宋体" w:hint="default"/>
                <w:sz w:val="18"/>
                <w:szCs w:val="18"/>
              </w:rPr>
              <w:t>情况</w:t>
            </w:r>
          </w:p>
        </w:tc>
      </w:tr>
      <w:tr>
        <w:trPr>
          <w:trHeight w:val="404" w:hRule="exact"/>
        </w:trPr>
        <w:tc>
          <w:tcPr>
            <w:tcW w:w="15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股改承诺</w:t>
            </w:r>
          </w:p>
        </w:tc>
        <w:tc>
          <w:tcPr>
            <w:tcW w:w="994"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3265"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634" w:type="dxa"/>
            <w:tcBorders>
              <w:top w:val="single" w:sz="4" w:space="0" w:color="000000"/>
              <w:left w:val="single" w:sz="4" w:space="0" w:color="000000"/>
              <w:bottom w:val="single" w:sz="4" w:space="0" w:color="000000"/>
              <w:right w:val="single" w:sz="4" w:space="0" w:color="000000"/>
            </w:tcBorders>
          </w:tcPr>
          <w:p>
            <w:pPr/>
          </w:p>
        </w:tc>
      </w:tr>
      <w:tr>
        <w:trPr>
          <w:trHeight w:val="1022" w:hRule="exact"/>
        </w:trPr>
        <w:tc>
          <w:tcPr>
            <w:tcW w:w="15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05" w:right="180"/>
              <w:jc w:val="both"/>
              <w:rPr>
                <w:rFonts w:ascii="宋体" w:hAnsi="宋体" w:cs="宋体" w:eastAsia="宋体" w:hint="default"/>
                <w:sz w:val="18"/>
                <w:szCs w:val="18"/>
              </w:rPr>
            </w:pPr>
            <w:r>
              <w:rPr>
                <w:rFonts w:ascii="宋体" w:hAnsi="宋体" w:cs="宋体" w:eastAsia="宋体" w:hint="default"/>
                <w:spacing w:val="-3"/>
                <w:sz w:val="18"/>
                <w:szCs w:val="18"/>
              </w:rPr>
              <w:t>收购报告书或权</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3"/>
                <w:sz w:val="18"/>
                <w:szCs w:val="18"/>
              </w:rPr>
              <w:t>益变动报告书中</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所作承诺</w:t>
            </w:r>
          </w:p>
        </w:tc>
        <w:tc>
          <w:tcPr>
            <w:tcW w:w="994"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3265"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634" w:type="dxa"/>
            <w:tcBorders>
              <w:top w:val="single" w:sz="4" w:space="0" w:color="000000"/>
              <w:left w:val="single" w:sz="4" w:space="0" w:color="000000"/>
              <w:bottom w:val="single" w:sz="4" w:space="0" w:color="000000"/>
              <w:right w:val="single" w:sz="4" w:space="0" w:color="000000"/>
            </w:tcBorders>
          </w:tcPr>
          <w:p>
            <w:pPr/>
          </w:p>
        </w:tc>
      </w:tr>
      <w:tr>
        <w:trPr>
          <w:trHeight w:val="9728" w:hRule="exact"/>
        </w:trPr>
        <w:tc>
          <w:tcPr>
            <w:tcW w:w="15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4"/>
                <w:szCs w:val="24"/>
              </w:rPr>
            </w:pPr>
          </w:p>
          <w:p>
            <w:pPr>
              <w:pStyle w:val="TableParagraph"/>
              <w:spacing w:line="316" w:lineRule="auto"/>
              <w:ind w:left="105" w:right="180"/>
              <w:jc w:val="left"/>
              <w:rPr>
                <w:rFonts w:ascii="宋体" w:hAnsi="宋体" w:cs="宋体" w:eastAsia="宋体" w:hint="default"/>
                <w:sz w:val="18"/>
                <w:szCs w:val="18"/>
              </w:rPr>
            </w:pPr>
            <w:r>
              <w:rPr>
                <w:rFonts w:ascii="宋体" w:hAnsi="宋体" w:cs="宋体" w:eastAsia="宋体" w:hint="default"/>
                <w:spacing w:val="-3"/>
                <w:sz w:val="18"/>
                <w:szCs w:val="18"/>
              </w:rPr>
              <w:t>资产重组时所作</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承诺</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4"/>
                <w:szCs w:val="24"/>
              </w:rPr>
            </w:pPr>
          </w:p>
          <w:p>
            <w:pPr>
              <w:pStyle w:val="TableParagraph"/>
              <w:spacing w:line="316" w:lineRule="auto"/>
              <w:ind w:left="105" w:right="151"/>
              <w:jc w:val="left"/>
              <w:rPr>
                <w:rFonts w:ascii="宋体" w:hAnsi="宋体" w:cs="宋体" w:eastAsia="宋体" w:hint="default"/>
                <w:sz w:val="18"/>
                <w:szCs w:val="18"/>
              </w:rPr>
            </w:pPr>
            <w:r>
              <w:rPr>
                <w:rFonts w:ascii="宋体" w:hAnsi="宋体" w:cs="宋体" w:eastAsia="宋体" w:hint="default"/>
                <w:sz w:val="18"/>
                <w:szCs w:val="18"/>
              </w:rPr>
              <w:t>沈永健、</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周维君</w:t>
            </w:r>
          </w:p>
        </w:tc>
        <w:tc>
          <w:tcPr>
            <w:tcW w:w="989" w:type="dxa"/>
            <w:tcBorders>
              <w:top w:val="single" w:sz="4" w:space="0" w:color="000000"/>
              <w:left w:val="single" w:sz="4" w:space="0" w:color="000000"/>
              <w:bottom w:val="single" w:sz="4" w:space="0" w:color="000000"/>
              <w:right w:val="single" w:sz="4" w:space="0" w:color="000000"/>
            </w:tcBorders>
          </w:tcPr>
          <w:p>
            <w:pPr/>
          </w:p>
        </w:tc>
        <w:tc>
          <w:tcPr>
            <w:tcW w:w="326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105" w:right="84"/>
              <w:jc w:val="left"/>
              <w:rPr>
                <w:rFonts w:ascii="宋体" w:hAnsi="宋体" w:cs="宋体" w:eastAsia="宋体" w:hint="default"/>
                <w:sz w:val="18"/>
                <w:szCs w:val="18"/>
              </w:rPr>
            </w:pPr>
            <w:r>
              <w:rPr>
                <w:rFonts w:ascii="宋体" w:hAnsi="宋体" w:cs="宋体" w:eastAsia="宋体" w:hint="default"/>
                <w:spacing w:val="-4"/>
                <w:sz w:val="18"/>
                <w:szCs w:val="18"/>
              </w:rPr>
              <w:t>沈永健、周维君承诺自该等股份于证券</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4"/>
                <w:sz w:val="18"/>
                <w:szCs w:val="18"/>
              </w:rPr>
              <w:t>登记结算公司登记至沈永健、周维君名</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z w:val="18"/>
                <w:szCs w:val="18"/>
              </w:rPr>
              <w:t>下之日起</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7"/>
                <w:sz w:val="18"/>
                <w:szCs w:val="18"/>
              </w:rPr>
              <w:t> </w:t>
            </w:r>
            <w:r>
              <w:rPr>
                <w:rFonts w:ascii="宋体" w:hAnsi="宋体" w:cs="宋体" w:eastAsia="宋体" w:hint="default"/>
                <w:spacing w:val="-3"/>
                <w:sz w:val="18"/>
                <w:szCs w:val="18"/>
              </w:rPr>
              <w:t>个月内不转让。上述法定</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4"/>
                <w:sz w:val="18"/>
                <w:szCs w:val="18"/>
              </w:rPr>
              <w:t>限售期限届满后，沈永健、周维君所取</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4"/>
                <w:sz w:val="18"/>
                <w:szCs w:val="18"/>
              </w:rPr>
              <w:t>得的对价股份在满足《发行股份及支付</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4"/>
                <w:sz w:val="18"/>
                <w:szCs w:val="18"/>
              </w:rPr>
              <w:t>现金购买资产协议》及《盈利预测补偿</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协议》约定的以下条件后分四期解禁：</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4"/>
                <w:sz w:val="18"/>
                <w:szCs w:val="18"/>
              </w:rPr>
              <w:t>第一期：沈永健、周维君因本次发行获</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得奥拓电子的股份于证券登记结算公</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4"/>
                <w:sz w:val="18"/>
                <w:szCs w:val="18"/>
              </w:rPr>
              <w:t>司登记至沈永健、周维君名下之日起已</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z w:val="18"/>
                <w:szCs w:val="18"/>
              </w:rPr>
              <w:t>满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pacing w:val="-3"/>
                <w:sz w:val="18"/>
                <w:szCs w:val="18"/>
              </w:rPr>
              <w:t>个月；且沈永健、周维君各自已</w:t>
            </w:r>
          </w:p>
          <w:p>
            <w:pPr>
              <w:pStyle w:val="TableParagraph"/>
              <w:spacing w:line="312" w:lineRule="auto"/>
              <w:ind w:left="105" w:right="98"/>
              <w:jc w:val="left"/>
              <w:rPr>
                <w:rFonts w:ascii="宋体" w:hAnsi="宋体" w:cs="宋体" w:eastAsia="宋体" w:hint="default"/>
                <w:sz w:val="18"/>
                <w:szCs w:val="18"/>
              </w:rPr>
            </w:pPr>
            <w:r>
              <w:rPr>
                <w:rFonts w:ascii="宋体" w:hAnsi="宋体" w:cs="宋体" w:eastAsia="宋体" w:hint="default"/>
                <w:sz w:val="18"/>
                <w:szCs w:val="18"/>
              </w:rPr>
              <w:t>履行</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4"/>
                <w:sz w:val="18"/>
                <w:szCs w:val="18"/>
              </w:rPr>
              <w:t> </w:t>
            </w:r>
            <w:r>
              <w:rPr>
                <w:rFonts w:ascii="宋体" w:hAnsi="宋体" w:cs="宋体" w:eastAsia="宋体" w:hint="default"/>
                <w:spacing w:val="-3"/>
                <w:sz w:val="18"/>
                <w:szCs w:val="18"/>
              </w:rPr>
              <w:t>年度全部标的公司业绩补偿</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pacing w:val="-4"/>
                <w:sz w:val="18"/>
                <w:szCs w:val="18"/>
              </w:rPr>
              <w:t>承诺之日（以最晚发生的为准）。沈永</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4"/>
                <w:sz w:val="18"/>
                <w:szCs w:val="18"/>
              </w:rPr>
              <w:t>健、周维君各自因本次发行获得奥拓电</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z w:val="18"/>
                <w:szCs w:val="18"/>
              </w:rPr>
              <w:t>子的全部股份的</w:t>
            </w:r>
            <w:r>
              <w:rPr>
                <w:rFonts w:ascii="宋体" w:hAnsi="宋体" w:cs="宋体" w:eastAsia="宋体" w:hint="default"/>
                <w:spacing w:val="-8"/>
                <w:sz w:val="18"/>
                <w:szCs w:val="18"/>
              </w:rPr>
              <w:t> </w:t>
            </w:r>
            <w:r>
              <w:rPr>
                <w:rFonts w:ascii="Times New Roman" w:hAnsi="Times New Roman" w:cs="Times New Roman" w:eastAsia="Times New Roman" w:hint="default"/>
                <w:spacing w:val="-6"/>
                <w:sz w:val="18"/>
                <w:szCs w:val="18"/>
              </w:rPr>
              <w:t>25%</w:t>
            </w:r>
            <w:r>
              <w:rPr>
                <w:rFonts w:ascii="宋体" w:hAnsi="宋体" w:cs="宋体" w:eastAsia="宋体" w:hint="default"/>
                <w:spacing w:val="-6"/>
                <w:sz w:val="18"/>
                <w:szCs w:val="18"/>
              </w:rPr>
              <w:t>（需减去各自根据</w:t>
            </w:r>
          </w:p>
          <w:p>
            <w:pPr>
              <w:pStyle w:val="TableParagraph"/>
              <w:spacing w:line="319" w:lineRule="auto" w:before="3"/>
              <w:ind w:left="105" w:right="84"/>
              <w:jc w:val="left"/>
              <w:rPr>
                <w:rFonts w:ascii="宋体" w:hAnsi="宋体" w:cs="宋体" w:eastAsia="宋体" w:hint="default"/>
                <w:sz w:val="18"/>
                <w:szCs w:val="18"/>
              </w:rPr>
            </w:pPr>
            <w:r>
              <w:rPr>
                <w:rFonts w:ascii="宋体" w:hAnsi="宋体" w:cs="宋体" w:eastAsia="宋体" w:hint="default"/>
                <w:spacing w:val="-3"/>
                <w:sz w:val="18"/>
                <w:szCs w:val="18"/>
              </w:rPr>
              <w:t>《发行股份及支付现金购买资产协议》</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4"/>
                <w:sz w:val="18"/>
                <w:szCs w:val="18"/>
              </w:rPr>
              <w:t>及《盈利预测补偿协议》的约定应补偿</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4"/>
                <w:sz w:val="18"/>
                <w:szCs w:val="18"/>
              </w:rPr>
              <w:t>的股份数）可解除锁定；第二期：沈永</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4"/>
                <w:sz w:val="18"/>
                <w:szCs w:val="18"/>
              </w:rPr>
              <w:t>健、周维君因本次发行获得奥拓电子的</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股份于证券登记结算公司登记至沈永</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健、周维君名下之日起已满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个月；</w:t>
            </w:r>
          </w:p>
          <w:p>
            <w:pPr>
              <w:pStyle w:val="TableParagraph"/>
              <w:spacing w:line="314" w:lineRule="auto"/>
              <w:ind w:left="105" w:right="84"/>
              <w:jc w:val="left"/>
              <w:rPr>
                <w:rFonts w:ascii="宋体" w:hAnsi="宋体" w:cs="宋体" w:eastAsia="宋体" w:hint="default"/>
                <w:sz w:val="18"/>
                <w:szCs w:val="18"/>
              </w:rPr>
            </w:pPr>
            <w:r>
              <w:rPr>
                <w:rFonts w:ascii="宋体" w:hAnsi="宋体" w:cs="宋体" w:eastAsia="宋体" w:hint="default"/>
                <w:sz w:val="18"/>
                <w:szCs w:val="18"/>
              </w:rPr>
              <w:t>且沈永健、周维君各自已履行</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86"/>
                <w:sz w:val="18"/>
                <w:szCs w:val="18"/>
              </w:rPr>
              <w:t> </w:t>
            </w:r>
            <w:r>
              <w:rPr>
                <w:rFonts w:ascii="宋体" w:hAnsi="宋体" w:cs="宋体" w:eastAsia="宋体" w:hint="default"/>
                <w:spacing w:val="-4"/>
                <w:sz w:val="18"/>
                <w:szCs w:val="18"/>
              </w:rPr>
              <w:t>度全部标的公司业绩补偿承诺之日（以</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4"/>
                <w:sz w:val="18"/>
                <w:szCs w:val="18"/>
              </w:rPr>
              <w:t>最晚发生的为准）。沈永健、周维君各</w:t>
            </w:r>
            <w:r>
              <w:rPr>
                <w:rFonts w:ascii="宋体" w:hAnsi="宋体" w:cs="宋体" w:eastAsia="宋体" w:hint="default"/>
                <w:spacing w:val="-42"/>
                <w:sz w:val="18"/>
                <w:szCs w:val="18"/>
              </w:rPr>
              <w:t> </w:t>
            </w:r>
            <w:r>
              <w:rPr>
                <w:rFonts w:ascii="宋体" w:hAnsi="宋体" w:cs="宋体" w:eastAsia="宋体" w:hint="default"/>
                <w:spacing w:val="-42"/>
                <w:sz w:val="18"/>
                <w:szCs w:val="18"/>
              </w:rPr>
            </w:r>
            <w:r>
              <w:rPr>
                <w:rFonts w:ascii="宋体" w:hAnsi="宋体" w:cs="宋体" w:eastAsia="宋体" w:hint="default"/>
                <w:spacing w:val="-3"/>
                <w:sz w:val="18"/>
                <w:szCs w:val="18"/>
              </w:rPr>
              <w:t>自因本次发行获得奥拓电子的全部股</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z w:val="18"/>
                <w:szCs w:val="18"/>
              </w:rPr>
              <w:t>份的</w:t>
            </w:r>
            <w:r>
              <w:rPr>
                <w:rFonts w:ascii="宋体" w:hAnsi="宋体" w:cs="宋体" w:eastAsia="宋体" w:hint="default"/>
                <w:spacing w:val="-17"/>
                <w:sz w:val="18"/>
                <w:szCs w:val="18"/>
              </w:rPr>
              <w:t> </w:t>
            </w:r>
            <w:r>
              <w:rPr>
                <w:rFonts w:ascii="Times New Roman" w:hAnsi="Times New Roman" w:cs="Times New Roman" w:eastAsia="Times New Roman" w:hint="default"/>
                <w:spacing w:val="-5"/>
                <w:sz w:val="18"/>
                <w:szCs w:val="18"/>
              </w:rPr>
              <w:t>25%</w:t>
            </w:r>
            <w:r>
              <w:rPr>
                <w:rFonts w:ascii="宋体" w:hAnsi="宋体" w:cs="宋体" w:eastAsia="宋体" w:hint="default"/>
                <w:spacing w:val="-5"/>
                <w:sz w:val="18"/>
                <w:szCs w:val="18"/>
              </w:rPr>
              <w:t>（需减去各自根据《发行股份</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pacing w:val="-4"/>
                <w:sz w:val="18"/>
                <w:szCs w:val="18"/>
              </w:rPr>
              <w:t>及支付现金购买资产协议》及《盈利预</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测补偿协议》的约定应补偿的股份数）</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4"/>
                <w:sz w:val="18"/>
                <w:szCs w:val="18"/>
              </w:rPr>
              <w:t>可解除锁定；第三期：沈永健、周维君</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因本次发行获得奥拓电子的股份于证</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4"/>
                <w:sz w:val="18"/>
                <w:szCs w:val="18"/>
              </w:rPr>
              <w:t>券登记结算公司登记至沈永健、周维君</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10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314" w:lineRule="auto"/>
              <w:ind w:left="100" w:right="98"/>
              <w:jc w:val="left"/>
              <w:rPr>
                <w:rFonts w:ascii="Times New Roman" w:hAnsi="Times New Roman" w:cs="Times New Roman" w:eastAsia="Times New Roman" w:hint="default"/>
                <w:sz w:val="18"/>
                <w:szCs w:val="18"/>
              </w:rPr>
            </w:pPr>
            <w:r>
              <w:rPr>
                <w:rFonts w:ascii="宋体" w:hAnsi="宋体" w:cs="宋体" w:eastAsia="宋体" w:hint="default"/>
                <w:sz w:val="18"/>
                <w:szCs w:val="18"/>
              </w:rPr>
              <w:t>承诺结束</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日期：</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74"/>
                <w:sz w:val="18"/>
                <w:szCs w:val="18"/>
              </w:rPr>
              <w:t> </w:t>
            </w:r>
            <w:r>
              <w:rPr>
                <w:rFonts w:ascii="Times New Roman" w:hAnsi="Times New Roman" w:cs="Times New Roman" w:eastAsia="Times New Roman" w:hint="default"/>
                <w:sz w:val="18"/>
                <w:szCs w:val="18"/>
              </w:rPr>
              <w:t>12</w:t>
            </w:r>
          </w:p>
          <w:p>
            <w:pPr>
              <w:pStyle w:val="TableParagraph"/>
              <w:spacing w:line="240" w:lineRule="auto" w:before="6"/>
              <w:ind w:left="10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4"/>
                <w:szCs w:val="24"/>
              </w:rPr>
            </w:pPr>
          </w:p>
          <w:p>
            <w:pPr>
              <w:pStyle w:val="TableParagraph"/>
              <w:spacing w:line="316" w:lineRule="auto"/>
              <w:ind w:left="100" w:right="156"/>
              <w:jc w:val="left"/>
              <w:rPr>
                <w:rFonts w:ascii="宋体" w:hAnsi="宋体" w:cs="宋体" w:eastAsia="宋体" w:hint="default"/>
                <w:sz w:val="18"/>
                <w:szCs w:val="18"/>
              </w:rPr>
            </w:pPr>
            <w:r>
              <w:rPr>
                <w:rFonts w:ascii="宋体" w:hAnsi="宋体" w:cs="宋体" w:eastAsia="宋体" w:hint="default"/>
                <w:sz w:val="18"/>
                <w:szCs w:val="18"/>
              </w:rPr>
              <w:t>正在</w:t>
            </w:r>
            <w:r>
              <w:rPr>
                <w:rFonts w:ascii="宋体" w:hAnsi="宋体" w:cs="宋体" w:eastAsia="宋体" w:hint="default"/>
                <w:spacing w:val="-86"/>
                <w:sz w:val="18"/>
                <w:szCs w:val="18"/>
              </w:rPr>
              <w:t> </w:t>
            </w:r>
            <w:r>
              <w:rPr>
                <w:rFonts w:ascii="宋体" w:hAnsi="宋体" w:cs="宋体" w:eastAsia="宋体" w:hint="default"/>
                <w:sz w:val="18"/>
                <w:szCs w:val="18"/>
              </w:rPr>
              <w:t>履行</w:t>
            </w:r>
          </w:p>
        </w:tc>
      </w:tr>
    </w:tbl>
    <w:p>
      <w:pPr>
        <w:spacing w:after="0" w:line="316" w:lineRule="auto"/>
        <w:jc w:val="left"/>
        <w:rPr>
          <w:rFonts w:ascii="宋体" w:hAnsi="宋体" w:cs="宋体" w:eastAsia="宋体" w:hint="default"/>
          <w:sz w:val="18"/>
          <w:szCs w:val="18"/>
        </w:rPr>
        <w:sectPr>
          <w:pgSz w:w="11910" w:h="16840"/>
          <w:pgMar w:header="784" w:footer="1022" w:top="1100" w:bottom="1220" w:left="980" w:right="0"/>
        </w:sectPr>
      </w:pPr>
    </w:p>
    <w:p>
      <w:pPr>
        <w:spacing w:line="240" w:lineRule="auto" w:before="1"/>
        <w:rPr>
          <w:rFonts w:ascii="Times New Roman" w:hAnsi="Times New Roman" w:cs="Times New Roman" w:eastAsia="Times New Roman" w:hint="default"/>
          <w:sz w:val="29"/>
          <w:szCs w:val="29"/>
        </w:rPr>
      </w:pPr>
    </w:p>
    <w:tbl>
      <w:tblPr>
        <w:tblW w:w="0" w:type="auto"/>
        <w:jc w:val="left"/>
        <w:tblInd w:w="148" w:type="dxa"/>
        <w:tblLayout w:type="fixed"/>
        <w:tblCellMar>
          <w:top w:w="0" w:type="dxa"/>
          <w:left w:w="0" w:type="dxa"/>
          <w:bottom w:w="0" w:type="dxa"/>
          <w:right w:w="0" w:type="dxa"/>
        </w:tblCellMar>
        <w:tblLook w:val="01E0"/>
      </w:tblPr>
      <w:tblGrid>
        <w:gridCol w:w="1561"/>
        <w:gridCol w:w="994"/>
        <w:gridCol w:w="989"/>
        <w:gridCol w:w="3265"/>
        <w:gridCol w:w="1133"/>
        <w:gridCol w:w="994"/>
        <w:gridCol w:w="636"/>
      </w:tblGrid>
      <w:tr>
        <w:trPr>
          <w:trHeight w:val="6602" w:hRule="exact"/>
        </w:trPr>
        <w:tc>
          <w:tcPr>
            <w:tcW w:w="1561" w:type="dxa"/>
            <w:vMerge w:val="restart"/>
            <w:tcBorders>
              <w:top w:val="single" w:sz="4" w:space="0" w:color="000000"/>
              <w:left w:val="single" w:sz="4" w:space="0" w:color="000000"/>
              <w:right w:val="single" w:sz="4" w:space="0" w:color="000000"/>
            </w:tcBorders>
            <w:shd w:val="clear" w:color="auto" w:fill="D2D2D2"/>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3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名下之日起已满</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个月；且沈永健、</w:t>
            </w:r>
          </w:p>
          <w:p>
            <w:pPr>
              <w:pStyle w:val="TableParagraph"/>
              <w:spacing w:line="314" w:lineRule="auto" w:before="63"/>
              <w:ind w:left="105" w:right="8"/>
              <w:jc w:val="left"/>
              <w:rPr>
                <w:rFonts w:ascii="宋体" w:hAnsi="宋体" w:cs="宋体" w:eastAsia="宋体" w:hint="default"/>
                <w:sz w:val="18"/>
                <w:szCs w:val="18"/>
              </w:rPr>
            </w:pPr>
            <w:r>
              <w:rPr>
                <w:rFonts w:ascii="宋体" w:hAnsi="宋体" w:cs="宋体" w:eastAsia="宋体" w:hint="default"/>
                <w:sz w:val="18"/>
                <w:szCs w:val="18"/>
              </w:rPr>
              <w:t>周维君各自已履行</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年度全部标的</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4"/>
                <w:sz w:val="18"/>
                <w:szCs w:val="18"/>
              </w:rPr>
              <w:t>公司业绩补偿承诺之日（以最晚发生的</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4"/>
                <w:sz w:val="18"/>
                <w:szCs w:val="18"/>
              </w:rPr>
              <w:t>为准）。沈永健、周维君各自因本次发</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z w:val="18"/>
                <w:szCs w:val="18"/>
              </w:rPr>
              <w:t>行获得奥拓电子的全部股份的</w:t>
            </w:r>
            <w:r>
              <w:rPr>
                <w:rFonts w:ascii="宋体" w:hAnsi="宋体" w:cs="宋体" w:eastAsia="宋体" w:hint="default"/>
                <w:spacing w:val="-42"/>
                <w:sz w:val="18"/>
                <w:szCs w:val="18"/>
              </w:rPr>
              <w:t> </w:t>
            </w:r>
            <w:r>
              <w:rPr>
                <w:rFonts w:ascii="Times New Roman" w:hAnsi="Times New Roman" w:cs="Times New Roman" w:eastAsia="Times New Roman" w:hint="default"/>
                <w:spacing w:val="-10"/>
                <w:sz w:val="18"/>
                <w:szCs w:val="18"/>
              </w:rPr>
              <w:t>25%</w:t>
            </w:r>
            <w:r>
              <w:rPr>
                <w:rFonts w:ascii="宋体" w:hAnsi="宋体" w:cs="宋体" w:eastAsia="宋体" w:hint="default"/>
                <w:spacing w:val="-10"/>
                <w:sz w:val="18"/>
                <w:szCs w:val="18"/>
              </w:rPr>
              <w:t>（需</w:t>
            </w:r>
            <w:r>
              <w:rPr>
                <w:rFonts w:ascii="宋体" w:hAnsi="宋体" w:cs="宋体" w:eastAsia="宋体" w:hint="default"/>
                <w:spacing w:val="-77"/>
                <w:sz w:val="18"/>
                <w:szCs w:val="18"/>
              </w:rPr>
              <w:t> </w:t>
            </w:r>
            <w:r>
              <w:rPr>
                <w:rFonts w:ascii="宋体" w:hAnsi="宋体" w:cs="宋体" w:eastAsia="宋体" w:hint="default"/>
                <w:spacing w:val="-4"/>
                <w:sz w:val="18"/>
                <w:szCs w:val="18"/>
              </w:rPr>
              <w:t>减去各自根据《发行股份及支付现金购</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买资产协议》及《盈利预测补偿协议》</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的约定应补偿的股份数）可解除锁定。</w:t>
            </w:r>
            <w:r>
              <w:rPr>
                <w:rFonts w:ascii="宋体" w:hAnsi="宋体" w:cs="宋体" w:eastAsia="宋体" w:hint="default"/>
                <w:spacing w:val="-44"/>
                <w:sz w:val="18"/>
                <w:szCs w:val="18"/>
              </w:rPr>
              <w:t> </w:t>
            </w:r>
            <w:r>
              <w:rPr>
                <w:rFonts w:ascii="宋体" w:hAnsi="宋体" w:cs="宋体" w:eastAsia="宋体" w:hint="default"/>
                <w:spacing w:val="-44"/>
                <w:sz w:val="18"/>
                <w:szCs w:val="18"/>
              </w:rPr>
            </w:r>
            <w:r>
              <w:rPr>
                <w:rFonts w:ascii="宋体" w:hAnsi="宋体" w:cs="宋体" w:eastAsia="宋体" w:hint="default"/>
                <w:spacing w:val="-4"/>
                <w:sz w:val="18"/>
                <w:szCs w:val="18"/>
              </w:rPr>
              <w:t>第四期：沈永健、周维君因本次发行获</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得奥拓电子的股份于证券登记结算公</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4"/>
                <w:sz w:val="18"/>
                <w:szCs w:val="18"/>
              </w:rPr>
              <w:t>司登记至沈永健、周维君名下之日起已</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z w:val="18"/>
                <w:szCs w:val="18"/>
              </w:rPr>
              <w:t>满</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48</w:t>
            </w:r>
            <w:r>
              <w:rPr>
                <w:rFonts w:ascii="Times New Roman" w:hAnsi="Times New Roman" w:cs="Times New Roman" w:eastAsia="Times New Roman" w:hint="default"/>
                <w:spacing w:val="6"/>
                <w:sz w:val="18"/>
                <w:szCs w:val="18"/>
              </w:rPr>
              <w:t> </w:t>
            </w:r>
            <w:r>
              <w:rPr>
                <w:rFonts w:ascii="宋体" w:hAnsi="宋体" w:cs="宋体" w:eastAsia="宋体" w:hint="default"/>
                <w:spacing w:val="-3"/>
                <w:sz w:val="18"/>
                <w:szCs w:val="18"/>
              </w:rPr>
              <w:t>个月；且沈永健、周维君各自已</w:t>
            </w:r>
            <w:r>
              <w:rPr>
                <w:rFonts w:ascii="宋体" w:hAnsi="宋体" w:cs="宋体" w:eastAsia="宋体" w:hint="default"/>
                <w:spacing w:val="-57"/>
                <w:sz w:val="18"/>
                <w:szCs w:val="18"/>
              </w:rPr>
              <w:t> </w:t>
            </w:r>
            <w:r>
              <w:rPr>
                <w:rFonts w:ascii="宋体" w:hAnsi="宋体" w:cs="宋体" w:eastAsia="宋体" w:hint="default"/>
                <w:spacing w:val="-57"/>
                <w:sz w:val="18"/>
                <w:szCs w:val="18"/>
              </w:rPr>
            </w:r>
            <w:r>
              <w:rPr>
                <w:rFonts w:ascii="宋体" w:hAnsi="宋体" w:cs="宋体" w:eastAsia="宋体" w:hint="default"/>
                <w:spacing w:val="-3"/>
                <w:sz w:val="18"/>
                <w:szCs w:val="18"/>
              </w:rPr>
              <w:t>履行其相应全部标的公司业绩补偿承</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9"/>
                <w:sz w:val="18"/>
                <w:szCs w:val="18"/>
              </w:rPr>
              <w:t>诺之日（以最晚发生的为准）。沈永健、</w:t>
            </w:r>
            <w:r>
              <w:rPr>
                <w:rFonts w:ascii="宋体" w:hAnsi="宋体" w:cs="宋体" w:eastAsia="宋体" w:hint="default"/>
                <w:spacing w:val="-32"/>
                <w:sz w:val="18"/>
                <w:szCs w:val="18"/>
              </w:rPr>
              <w:t> </w:t>
            </w:r>
            <w:r>
              <w:rPr>
                <w:rFonts w:ascii="宋体" w:hAnsi="宋体" w:cs="宋体" w:eastAsia="宋体" w:hint="default"/>
                <w:spacing w:val="-32"/>
                <w:sz w:val="18"/>
                <w:szCs w:val="18"/>
              </w:rPr>
            </w:r>
            <w:r>
              <w:rPr>
                <w:rFonts w:ascii="宋体" w:hAnsi="宋体" w:cs="宋体" w:eastAsia="宋体" w:hint="default"/>
                <w:spacing w:val="-3"/>
                <w:sz w:val="18"/>
                <w:szCs w:val="18"/>
              </w:rPr>
              <w:t>周维君各自因本次发行获得奥拓电子</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z w:val="18"/>
                <w:szCs w:val="18"/>
              </w:rPr>
              <w:t>的全部股份的</w:t>
            </w:r>
            <w:r>
              <w:rPr>
                <w:rFonts w:ascii="宋体" w:hAnsi="宋体" w:cs="宋体" w:eastAsia="宋体" w:hint="default"/>
                <w:spacing w:val="-38"/>
                <w:sz w:val="18"/>
                <w:szCs w:val="18"/>
              </w:rPr>
              <w:t> </w:t>
            </w:r>
            <w:r>
              <w:rPr>
                <w:rFonts w:ascii="Times New Roman" w:hAnsi="Times New Roman" w:cs="Times New Roman" w:eastAsia="Times New Roman" w:hint="default"/>
                <w:spacing w:val="-5"/>
                <w:sz w:val="18"/>
                <w:szCs w:val="18"/>
              </w:rPr>
              <w:t>25%</w:t>
            </w:r>
            <w:r>
              <w:rPr>
                <w:rFonts w:ascii="宋体" w:hAnsi="宋体" w:cs="宋体" w:eastAsia="宋体" w:hint="default"/>
                <w:spacing w:val="-5"/>
                <w:sz w:val="18"/>
                <w:szCs w:val="18"/>
              </w:rPr>
              <w:t>（需减去各自根据本</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pacing w:val="-4"/>
                <w:sz w:val="18"/>
                <w:szCs w:val="18"/>
              </w:rPr>
              <w:t>协议及《盈利预测补偿协议》的约定应</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4"/>
                <w:sz w:val="18"/>
                <w:szCs w:val="18"/>
              </w:rPr>
              <w:t>补偿的股份数）可解除锁定。上述法定</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限售期限届满之日起至对价股份最后</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4"/>
                <w:sz w:val="18"/>
                <w:szCs w:val="18"/>
              </w:rPr>
              <w:t>一期解禁之日的期间内，未解禁的对价</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股份不得进行转让。</w:t>
            </w: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r>
      <w:tr>
        <w:trPr>
          <w:trHeight w:val="7231" w:hRule="exact"/>
        </w:trPr>
        <w:tc>
          <w:tcPr>
            <w:tcW w:w="1561" w:type="dxa"/>
            <w:vMerge/>
            <w:tcBorders>
              <w:left w:val="single" w:sz="4" w:space="0" w:color="000000"/>
              <w:bottom w:val="single" w:sz="4" w:space="0" w:color="000000"/>
              <w:right w:val="single" w:sz="4" w:space="0" w:color="000000"/>
            </w:tcBorders>
            <w:shd w:val="clear" w:color="auto" w:fill="D2D2D2"/>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6"/>
                <w:szCs w:val="26"/>
              </w:rPr>
            </w:pPr>
          </w:p>
          <w:p>
            <w:pPr>
              <w:pStyle w:val="TableParagraph"/>
              <w:spacing w:line="316" w:lineRule="auto"/>
              <w:ind w:left="105" w:right="3"/>
              <w:jc w:val="left"/>
              <w:rPr>
                <w:rFonts w:ascii="宋体" w:hAnsi="宋体" w:cs="宋体" w:eastAsia="宋体" w:hint="default"/>
                <w:sz w:val="18"/>
                <w:szCs w:val="18"/>
              </w:rPr>
            </w:pPr>
            <w:r>
              <w:rPr>
                <w:rFonts w:ascii="宋体" w:hAnsi="宋体" w:cs="宋体" w:eastAsia="宋体" w:hint="default"/>
                <w:sz w:val="18"/>
                <w:szCs w:val="18"/>
              </w:rPr>
              <w:t>广州中照</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龙腾资产</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管理合伙</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企业（有</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8"/>
                <w:sz w:val="18"/>
                <w:szCs w:val="18"/>
              </w:rPr>
              <w:t>限合伙）、</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深圳前海</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汉华源投</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资企业</w:t>
            </w:r>
          </w:p>
          <w:p>
            <w:pPr>
              <w:pStyle w:val="TableParagraph"/>
              <w:spacing w:line="319" w:lineRule="auto" w:before="19"/>
              <w:ind w:left="105" w:right="151"/>
              <w:jc w:val="both"/>
              <w:rPr>
                <w:rFonts w:ascii="宋体" w:hAnsi="宋体" w:cs="宋体" w:eastAsia="宋体" w:hint="default"/>
                <w:sz w:val="18"/>
                <w:szCs w:val="18"/>
              </w:rPr>
            </w:pPr>
            <w:r>
              <w:rPr>
                <w:rFonts w:ascii="宋体" w:hAnsi="宋体" w:cs="宋体" w:eastAsia="宋体" w:hint="default"/>
                <w:sz w:val="18"/>
                <w:szCs w:val="18"/>
              </w:rPr>
              <w:t>（有限合</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伙）、王</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亚伟、罗</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晓珊</w:t>
            </w:r>
          </w:p>
        </w:tc>
        <w:tc>
          <w:tcPr>
            <w:tcW w:w="989" w:type="dxa"/>
            <w:tcBorders>
              <w:top w:val="single" w:sz="4" w:space="0" w:color="000000"/>
              <w:left w:val="single" w:sz="4" w:space="0" w:color="000000"/>
              <w:bottom w:val="single" w:sz="4" w:space="0" w:color="000000"/>
              <w:right w:val="single" w:sz="4" w:space="0" w:color="000000"/>
            </w:tcBorders>
          </w:tcPr>
          <w:p>
            <w:pPr/>
          </w:p>
        </w:tc>
        <w:tc>
          <w:tcPr>
            <w:tcW w:w="326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3"/>
              <w:ind w:left="105" w:right="98"/>
              <w:jc w:val="left"/>
              <w:rPr>
                <w:rFonts w:ascii="宋体" w:hAnsi="宋体" w:cs="宋体" w:eastAsia="宋体" w:hint="default"/>
                <w:sz w:val="18"/>
                <w:szCs w:val="18"/>
              </w:rPr>
            </w:pPr>
            <w:r>
              <w:rPr>
                <w:rFonts w:ascii="宋体" w:hAnsi="宋体" w:cs="宋体" w:eastAsia="宋体" w:hint="default"/>
                <w:spacing w:val="-4"/>
                <w:sz w:val="18"/>
                <w:szCs w:val="18"/>
              </w:rPr>
              <w:t>王亚伟、罗晓珊、中照龙腾、汉华源投</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z w:val="18"/>
                <w:szCs w:val="18"/>
              </w:rPr>
              <w:t>资承诺自该等股份上市之日起</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个月</w:t>
            </w:r>
            <w:r>
              <w:rPr>
                <w:rFonts w:ascii="宋体" w:hAnsi="宋体" w:cs="宋体" w:eastAsia="宋体" w:hint="default"/>
                <w:spacing w:val="-84"/>
                <w:sz w:val="18"/>
                <w:szCs w:val="18"/>
              </w:rPr>
              <w:t> </w:t>
            </w:r>
            <w:r>
              <w:rPr>
                <w:rFonts w:ascii="宋体" w:hAnsi="宋体" w:cs="宋体" w:eastAsia="宋体" w:hint="default"/>
                <w:spacing w:val="-4"/>
                <w:sz w:val="18"/>
                <w:szCs w:val="18"/>
              </w:rPr>
              <w:t>内不转让。上述限售期限届满后，王亚</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4"/>
                <w:sz w:val="18"/>
                <w:szCs w:val="18"/>
              </w:rPr>
              <w:t>伟、罗晓珊、中照龙腾、汉华源投资各</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4"/>
                <w:sz w:val="18"/>
                <w:szCs w:val="18"/>
              </w:rPr>
              <w:t>自所取得的对价股份在满足《发行股份</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4"/>
                <w:sz w:val="18"/>
                <w:szCs w:val="18"/>
              </w:rPr>
              <w:t>及支付现金购买资产协议》及《盈利预</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4"/>
                <w:sz w:val="18"/>
                <w:szCs w:val="18"/>
              </w:rPr>
              <w:t>测补偿协议》约定的以下条件后一次性</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4"/>
                <w:sz w:val="18"/>
                <w:szCs w:val="18"/>
              </w:rPr>
              <w:t>解禁。王亚伟、罗晓珊、中照龙腾、汉</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华源投资因本次发行获得公司的股份</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4"/>
                <w:sz w:val="18"/>
                <w:szCs w:val="18"/>
              </w:rPr>
              <w:t>于证券登记结算公司登记至王亚伟、罗</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4"/>
                <w:sz w:val="18"/>
                <w:szCs w:val="18"/>
              </w:rPr>
              <w:t>晓珊、中照龙腾、汉华源投资名下之日</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z w:val="18"/>
                <w:szCs w:val="18"/>
              </w:rPr>
              <w:t>起已满</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4"/>
                <w:sz w:val="18"/>
                <w:szCs w:val="18"/>
              </w:rPr>
              <w:t> </w:t>
            </w:r>
            <w:r>
              <w:rPr>
                <w:rFonts w:ascii="宋体" w:hAnsi="宋体" w:cs="宋体" w:eastAsia="宋体" w:hint="default"/>
                <w:spacing w:val="-3"/>
                <w:sz w:val="18"/>
                <w:szCs w:val="18"/>
              </w:rPr>
              <w:t>个月；且王亚伟、罗晓珊、</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pacing w:val="-4"/>
                <w:sz w:val="18"/>
                <w:szCs w:val="18"/>
              </w:rPr>
              <w:t>中照龙腾、汉华源投资各自已履行其相</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应《发行股份及支付现金购买资产协</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z w:val="18"/>
                <w:szCs w:val="18"/>
              </w:rPr>
              <w:t>议》约定</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年度、</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42"/>
                <w:sz w:val="18"/>
                <w:szCs w:val="18"/>
              </w:rPr>
              <w:t> </w:t>
            </w:r>
            <w:r>
              <w:rPr>
                <w:rFonts w:ascii="Times New Roman" w:hAnsi="Times New Roman" w:cs="Times New Roman" w:eastAsia="Times New Roman" w:hint="default"/>
                <w:spacing w:val="-42"/>
                <w:sz w:val="18"/>
                <w:szCs w:val="18"/>
              </w:rPr>
            </w:r>
            <w:r>
              <w:rPr>
                <w:rFonts w:ascii="宋体" w:hAnsi="宋体" w:cs="宋体" w:eastAsia="宋体" w:hint="default"/>
                <w:spacing w:val="-4"/>
                <w:sz w:val="18"/>
                <w:szCs w:val="18"/>
              </w:rPr>
              <w:t>年度千百辉业绩补偿承诺之日（以最晚</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4"/>
                <w:sz w:val="18"/>
                <w:szCs w:val="18"/>
              </w:rPr>
              <w:t>发生的为准）。王亚伟、罗晓珊、中照</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4"/>
                <w:sz w:val="18"/>
                <w:szCs w:val="18"/>
              </w:rPr>
              <w:t>龙腾、汉华源投资各自因本次发行获得</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4"/>
                <w:sz w:val="18"/>
                <w:szCs w:val="18"/>
              </w:rPr>
              <w:t>公司的全部股份（需减去各自根据《发</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行股份及支付现金购买资产协议》及</w:t>
            </w:r>
          </w:p>
          <w:p>
            <w:pPr>
              <w:pStyle w:val="TableParagraph"/>
              <w:spacing w:line="316" w:lineRule="auto" w:before="21"/>
              <w:ind w:left="105" w:right="8"/>
              <w:jc w:val="left"/>
              <w:rPr>
                <w:rFonts w:ascii="宋体" w:hAnsi="宋体" w:cs="宋体" w:eastAsia="宋体" w:hint="default"/>
                <w:sz w:val="18"/>
                <w:szCs w:val="18"/>
              </w:rPr>
            </w:pPr>
            <w:r>
              <w:rPr>
                <w:rFonts w:ascii="宋体" w:hAnsi="宋体" w:cs="宋体" w:eastAsia="宋体" w:hint="default"/>
                <w:spacing w:val="-4"/>
                <w:sz w:val="18"/>
                <w:szCs w:val="18"/>
              </w:rPr>
              <w:t>《盈利预测补偿协议》的约定应补偿的</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9"/>
                <w:sz w:val="18"/>
                <w:szCs w:val="18"/>
              </w:rPr>
              <w:t>股份数）可解除锁定。本次交易完成后，</w:t>
            </w:r>
            <w:r>
              <w:rPr>
                <w:rFonts w:ascii="宋体" w:hAnsi="宋体" w:cs="宋体" w:eastAsia="宋体" w:hint="default"/>
                <w:spacing w:val="-31"/>
                <w:sz w:val="18"/>
                <w:szCs w:val="18"/>
              </w:rPr>
              <w:t> </w:t>
            </w:r>
            <w:r>
              <w:rPr>
                <w:rFonts w:ascii="宋体" w:hAnsi="宋体" w:cs="宋体" w:eastAsia="宋体" w:hint="default"/>
                <w:spacing w:val="-31"/>
                <w:sz w:val="18"/>
                <w:szCs w:val="18"/>
              </w:rPr>
            </w:r>
            <w:r>
              <w:rPr>
                <w:rFonts w:ascii="宋体" w:hAnsi="宋体" w:cs="宋体" w:eastAsia="宋体" w:hint="default"/>
                <w:spacing w:val="-4"/>
                <w:sz w:val="18"/>
                <w:szCs w:val="18"/>
              </w:rPr>
              <w:t>前述股份由于公司送股、转增股本等原</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10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4" w:lineRule="auto" w:before="104"/>
              <w:ind w:left="100" w:right="98"/>
              <w:jc w:val="left"/>
              <w:rPr>
                <w:rFonts w:ascii="Times New Roman" w:hAnsi="Times New Roman" w:cs="Times New Roman" w:eastAsia="Times New Roman" w:hint="default"/>
                <w:sz w:val="18"/>
                <w:szCs w:val="18"/>
              </w:rPr>
            </w:pPr>
            <w:r>
              <w:rPr>
                <w:rFonts w:ascii="宋体" w:hAnsi="宋体" w:cs="宋体" w:eastAsia="宋体" w:hint="default"/>
                <w:sz w:val="18"/>
                <w:szCs w:val="18"/>
              </w:rPr>
              <w:t>承诺结束</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日期：</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74"/>
                <w:sz w:val="18"/>
                <w:szCs w:val="18"/>
              </w:rPr>
              <w:t> </w:t>
            </w:r>
            <w:r>
              <w:rPr>
                <w:rFonts w:ascii="Times New Roman" w:hAnsi="Times New Roman" w:cs="Times New Roman" w:eastAsia="Times New Roman" w:hint="default"/>
                <w:sz w:val="18"/>
                <w:szCs w:val="18"/>
              </w:rPr>
              <w:t>12</w:t>
            </w:r>
          </w:p>
          <w:p>
            <w:pPr>
              <w:pStyle w:val="TableParagraph"/>
              <w:spacing w:line="240" w:lineRule="auto" w:before="6"/>
              <w:ind w:left="10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316" w:lineRule="auto"/>
              <w:ind w:left="100" w:right="158"/>
              <w:jc w:val="left"/>
              <w:rPr>
                <w:rFonts w:ascii="宋体" w:hAnsi="宋体" w:cs="宋体" w:eastAsia="宋体" w:hint="default"/>
                <w:sz w:val="18"/>
                <w:szCs w:val="18"/>
              </w:rPr>
            </w:pPr>
            <w:r>
              <w:rPr>
                <w:rFonts w:ascii="宋体" w:hAnsi="宋体" w:cs="宋体" w:eastAsia="宋体" w:hint="default"/>
                <w:sz w:val="18"/>
                <w:szCs w:val="18"/>
              </w:rPr>
              <w:t>正在</w:t>
            </w:r>
            <w:r>
              <w:rPr>
                <w:rFonts w:ascii="宋体" w:hAnsi="宋体" w:cs="宋体" w:eastAsia="宋体" w:hint="default"/>
                <w:spacing w:val="-86"/>
                <w:sz w:val="18"/>
                <w:szCs w:val="18"/>
              </w:rPr>
              <w:t> </w:t>
            </w:r>
            <w:r>
              <w:rPr>
                <w:rFonts w:ascii="宋体" w:hAnsi="宋体" w:cs="宋体" w:eastAsia="宋体" w:hint="default"/>
                <w:sz w:val="18"/>
                <w:szCs w:val="18"/>
              </w:rPr>
              <w:t>履行</w:t>
            </w:r>
          </w:p>
        </w:tc>
      </w:tr>
    </w:tbl>
    <w:p>
      <w:pPr>
        <w:spacing w:after="0" w:line="316" w:lineRule="auto"/>
        <w:jc w:val="left"/>
        <w:rPr>
          <w:rFonts w:ascii="宋体" w:hAnsi="宋体" w:cs="宋体" w:eastAsia="宋体" w:hint="default"/>
          <w:sz w:val="18"/>
          <w:szCs w:val="18"/>
        </w:rPr>
        <w:sectPr>
          <w:pgSz w:w="11910" w:h="16840"/>
          <w:pgMar w:header="784" w:footer="1022" w:top="1100" w:bottom="1220" w:left="980" w:right="0"/>
        </w:sectPr>
      </w:pPr>
    </w:p>
    <w:p>
      <w:pPr>
        <w:spacing w:line="240" w:lineRule="auto" w:before="1"/>
        <w:rPr>
          <w:rFonts w:ascii="Times New Roman" w:hAnsi="Times New Roman" w:cs="Times New Roman" w:eastAsia="Times New Roman" w:hint="default"/>
          <w:sz w:val="29"/>
          <w:szCs w:val="29"/>
        </w:rPr>
      </w:pPr>
    </w:p>
    <w:tbl>
      <w:tblPr>
        <w:tblW w:w="0" w:type="auto"/>
        <w:jc w:val="left"/>
        <w:tblInd w:w="148" w:type="dxa"/>
        <w:tblLayout w:type="fixed"/>
        <w:tblCellMar>
          <w:top w:w="0" w:type="dxa"/>
          <w:left w:w="0" w:type="dxa"/>
          <w:bottom w:w="0" w:type="dxa"/>
          <w:right w:w="0" w:type="dxa"/>
        </w:tblCellMar>
        <w:tblLook w:val="01E0"/>
      </w:tblPr>
      <w:tblGrid>
        <w:gridCol w:w="1561"/>
        <w:gridCol w:w="994"/>
        <w:gridCol w:w="989"/>
        <w:gridCol w:w="3265"/>
        <w:gridCol w:w="1133"/>
        <w:gridCol w:w="994"/>
        <w:gridCol w:w="636"/>
      </w:tblGrid>
      <w:tr>
        <w:trPr>
          <w:trHeight w:val="360" w:hRule="exact"/>
        </w:trPr>
        <w:tc>
          <w:tcPr>
            <w:tcW w:w="1561" w:type="dxa"/>
            <w:vMerge w:val="restart"/>
            <w:tcBorders>
              <w:top w:val="single" w:sz="4" w:space="0" w:color="000000"/>
              <w:left w:val="single" w:sz="4" w:space="0" w:color="000000"/>
              <w:right w:val="single" w:sz="4" w:space="0" w:color="000000"/>
            </w:tcBorders>
            <w:shd w:val="clear" w:color="auto" w:fill="D2D2D2"/>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3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5" w:right="0"/>
              <w:jc w:val="left"/>
              <w:rPr>
                <w:rFonts w:ascii="宋体" w:hAnsi="宋体" w:cs="宋体" w:eastAsia="宋体" w:hint="default"/>
                <w:sz w:val="18"/>
                <w:szCs w:val="18"/>
              </w:rPr>
            </w:pPr>
            <w:r>
              <w:rPr>
                <w:rFonts w:ascii="宋体" w:hAnsi="宋体" w:cs="宋体" w:eastAsia="宋体" w:hint="default"/>
                <w:spacing w:val="-3"/>
                <w:sz w:val="18"/>
                <w:szCs w:val="18"/>
              </w:rPr>
              <w:t>因增加的股份，亦应遵守上述约定。</w:t>
            </w: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r>
      <w:tr>
        <w:trPr>
          <w:trHeight w:val="5709" w:hRule="exact"/>
        </w:trPr>
        <w:tc>
          <w:tcPr>
            <w:tcW w:w="1561" w:type="dxa"/>
            <w:vMerge/>
            <w:tcBorders>
              <w:left w:val="single" w:sz="4" w:space="0" w:color="000000"/>
              <w:right w:val="single" w:sz="4" w:space="0" w:color="000000"/>
            </w:tcBorders>
            <w:shd w:val="clear" w:color="auto" w:fill="D2D2D2"/>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2"/>
                <w:szCs w:val="22"/>
              </w:rPr>
            </w:pPr>
          </w:p>
          <w:p>
            <w:pPr>
              <w:pStyle w:val="TableParagraph"/>
              <w:spacing w:line="316" w:lineRule="auto"/>
              <w:ind w:left="105" w:right="3"/>
              <w:jc w:val="left"/>
              <w:rPr>
                <w:rFonts w:ascii="宋体" w:hAnsi="宋体" w:cs="宋体" w:eastAsia="宋体" w:hint="default"/>
                <w:sz w:val="18"/>
                <w:szCs w:val="18"/>
              </w:rPr>
            </w:pPr>
            <w:r>
              <w:rPr>
                <w:rFonts w:ascii="宋体" w:hAnsi="宋体" w:cs="宋体" w:eastAsia="宋体" w:hint="default"/>
                <w:sz w:val="18"/>
                <w:szCs w:val="18"/>
              </w:rPr>
              <w:t>沈永健、</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周维君、</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广州中照</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龙腾资产</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管理合伙</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企业（有</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8"/>
                <w:sz w:val="18"/>
                <w:szCs w:val="18"/>
              </w:rPr>
              <w:t>限合伙）、</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深圳前海</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汉华源投</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资企业</w:t>
            </w:r>
          </w:p>
          <w:p>
            <w:pPr>
              <w:pStyle w:val="TableParagraph"/>
              <w:spacing w:line="319" w:lineRule="auto" w:before="19"/>
              <w:ind w:left="105" w:right="151"/>
              <w:jc w:val="both"/>
              <w:rPr>
                <w:rFonts w:ascii="宋体" w:hAnsi="宋体" w:cs="宋体" w:eastAsia="宋体" w:hint="default"/>
                <w:sz w:val="18"/>
                <w:szCs w:val="18"/>
              </w:rPr>
            </w:pPr>
            <w:r>
              <w:rPr>
                <w:rFonts w:ascii="宋体" w:hAnsi="宋体" w:cs="宋体" w:eastAsia="宋体" w:hint="default"/>
                <w:sz w:val="18"/>
                <w:szCs w:val="18"/>
              </w:rPr>
              <w:t>（有限合</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伙）、王</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亚伟、罗</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晓珊</w:t>
            </w:r>
          </w:p>
        </w:tc>
        <w:tc>
          <w:tcPr>
            <w:tcW w:w="989" w:type="dxa"/>
            <w:tcBorders>
              <w:top w:val="single" w:sz="4" w:space="0" w:color="000000"/>
              <w:left w:val="single" w:sz="4" w:space="0" w:color="000000"/>
              <w:bottom w:val="single" w:sz="4" w:space="0" w:color="000000"/>
              <w:right w:val="single" w:sz="4" w:space="0" w:color="000000"/>
            </w:tcBorders>
          </w:tcPr>
          <w:p>
            <w:pPr/>
          </w:p>
        </w:tc>
        <w:tc>
          <w:tcPr>
            <w:tcW w:w="3265"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3"/>
              <w:ind w:left="105" w:right="7"/>
              <w:jc w:val="both"/>
              <w:rPr>
                <w:rFonts w:ascii="宋体" w:hAnsi="宋体" w:cs="宋体" w:eastAsia="宋体" w:hint="default"/>
                <w:sz w:val="18"/>
                <w:szCs w:val="18"/>
              </w:rPr>
            </w:pPr>
            <w:r>
              <w:rPr>
                <w:rFonts w:ascii="宋体" w:hAnsi="宋体" w:cs="宋体" w:eastAsia="宋体" w:hint="default"/>
                <w:spacing w:val="-4"/>
                <w:sz w:val="18"/>
                <w:szCs w:val="18"/>
              </w:rPr>
              <w:t>根据《盈利预测补偿协议》作出以下承</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5"/>
                <w:sz w:val="18"/>
                <w:szCs w:val="18"/>
              </w:rPr>
              <w:t>诺：（一）盈利承诺</w:t>
            </w:r>
            <w:r>
              <w:rPr>
                <w:rFonts w:ascii="宋体" w:hAnsi="宋体" w:cs="宋体" w:eastAsia="宋体" w:hint="default"/>
                <w:spacing w:val="-34"/>
                <w:sz w:val="18"/>
                <w:szCs w:val="18"/>
              </w:rPr>
              <w:t> </w:t>
            </w: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、盈利承诺期间</w:t>
            </w:r>
            <w:r>
              <w:rPr>
                <w:rFonts w:ascii="Times New Roman" w:hAnsi="Times New Roman" w:cs="Times New Roman" w:eastAsia="Times New Roman" w:hint="default"/>
                <w:spacing w:val="-3"/>
                <w:sz w:val="18"/>
                <w:szCs w:val="18"/>
              </w:rPr>
              <w:t>-</w:t>
            </w:r>
            <w:r>
              <w:rPr>
                <w:rFonts w:ascii="Times New Roman" w:hAnsi="Times New Roman" w:cs="Times New Roman" w:eastAsia="Times New Roman" w:hint="default"/>
                <w:spacing w:val="-12"/>
                <w:sz w:val="18"/>
                <w:szCs w:val="18"/>
              </w:rPr>
              <w:t> </w:t>
            </w:r>
            <w:r>
              <w:rPr>
                <w:rFonts w:ascii="宋体" w:hAnsi="宋体" w:cs="宋体" w:eastAsia="宋体" w:hint="default"/>
                <w:spacing w:val="-3"/>
                <w:sz w:val="18"/>
                <w:szCs w:val="18"/>
              </w:rPr>
              <w:t>本次交易的盈利承诺期间为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年度、</w:t>
            </w:r>
          </w:p>
          <w:p>
            <w:pPr>
              <w:pStyle w:val="TableParagraph"/>
              <w:spacing w:line="312" w:lineRule="auto" w:before="5"/>
              <w:ind w:left="105" w:right="7"/>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6"/>
                <w:sz w:val="18"/>
                <w:szCs w:val="18"/>
              </w:rPr>
              <w:t> </w:t>
            </w:r>
            <w:r>
              <w:rPr>
                <w:rFonts w:ascii="宋体" w:hAnsi="宋体" w:cs="宋体" w:eastAsia="宋体" w:hint="default"/>
                <w:spacing w:val="-3"/>
                <w:sz w:val="18"/>
                <w:szCs w:val="18"/>
              </w:rPr>
              <w:t>年度、</w:t>
            </w:r>
            <w:r>
              <w:rPr>
                <w:rFonts w:ascii="Times New Roman" w:hAnsi="Times New Roman" w:cs="Times New Roman" w:eastAsia="Times New Roman" w:hint="default"/>
                <w:spacing w:val="-3"/>
                <w:sz w:val="18"/>
                <w:szCs w:val="18"/>
              </w:rPr>
              <w:t>2018</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年度及</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2019 </w:t>
            </w:r>
            <w:r>
              <w:rPr>
                <w:rFonts w:ascii="宋体" w:hAnsi="宋体" w:cs="宋体" w:eastAsia="宋体" w:hint="default"/>
                <w:spacing w:val="-3"/>
                <w:sz w:val="18"/>
                <w:szCs w:val="18"/>
              </w:rPr>
              <w:t>年度。</w:t>
            </w: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w:t>
            </w:r>
            <w:r>
              <w:rPr>
                <w:rFonts w:ascii="宋体" w:hAnsi="宋体" w:cs="宋体" w:eastAsia="宋体" w:hint="default"/>
                <w:spacing w:val="-87"/>
                <w:sz w:val="18"/>
                <w:szCs w:val="18"/>
              </w:rPr>
              <w:t> </w:t>
            </w:r>
            <w:r>
              <w:rPr>
                <w:rFonts w:ascii="宋体" w:hAnsi="宋体" w:cs="宋体" w:eastAsia="宋体" w:hint="default"/>
                <w:spacing w:val="-4"/>
                <w:sz w:val="18"/>
                <w:szCs w:val="18"/>
              </w:rPr>
              <w:t>承诺盈利数交易对方承诺，标的公司在</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Times New Roman" w:hAnsi="Times New Roman" w:cs="Times New Roman" w:eastAsia="Times New Roman" w:hint="default"/>
                <w:w w:val="101"/>
                <w:sz w:val="18"/>
                <w:szCs w:val="18"/>
              </w:rPr>
              <w:t>2016</w:t>
            </w:r>
            <w:r>
              <w:rPr>
                <w:rFonts w:ascii="Times New Roman" w:hAnsi="Times New Roman" w:cs="Times New Roman" w:eastAsia="Times New Roman" w:hint="default"/>
                <w:spacing w:val="-6"/>
                <w:w w:val="101"/>
                <w:sz w:val="18"/>
                <w:szCs w:val="18"/>
              </w:rPr>
              <w:t> </w:t>
            </w:r>
            <w:r>
              <w:rPr>
                <w:rFonts w:ascii="宋体" w:hAnsi="宋体" w:cs="宋体" w:eastAsia="宋体" w:hint="default"/>
                <w:spacing w:val="-15"/>
                <w:w w:val="101"/>
                <w:sz w:val="18"/>
                <w:szCs w:val="18"/>
              </w:rPr>
              <w:t>年度、</w:t>
            </w:r>
            <w:r>
              <w:rPr>
                <w:rFonts w:ascii="Times New Roman" w:hAnsi="Times New Roman" w:cs="Times New Roman" w:eastAsia="Times New Roman" w:hint="default"/>
                <w:spacing w:val="-15"/>
                <w:w w:val="101"/>
                <w:sz w:val="18"/>
                <w:szCs w:val="18"/>
              </w:rPr>
              <w:t>2017</w:t>
            </w:r>
            <w:r>
              <w:rPr>
                <w:rFonts w:ascii="Times New Roman" w:hAnsi="Times New Roman" w:cs="Times New Roman" w:eastAsia="Times New Roman" w:hint="default"/>
                <w:spacing w:val="-6"/>
                <w:w w:val="101"/>
                <w:sz w:val="18"/>
                <w:szCs w:val="18"/>
              </w:rPr>
              <w:t> </w:t>
            </w:r>
            <w:r>
              <w:rPr>
                <w:rFonts w:ascii="宋体" w:hAnsi="宋体" w:cs="宋体" w:eastAsia="宋体" w:hint="default"/>
                <w:spacing w:val="-15"/>
                <w:w w:val="101"/>
                <w:sz w:val="18"/>
                <w:szCs w:val="18"/>
              </w:rPr>
              <w:t>年度、</w:t>
            </w:r>
            <w:r>
              <w:rPr>
                <w:rFonts w:ascii="Times New Roman" w:hAnsi="Times New Roman" w:cs="Times New Roman" w:eastAsia="Times New Roman" w:hint="default"/>
                <w:spacing w:val="-15"/>
                <w:w w:val="101"/>
                <w:sz w:val="18"/>
                <w:szCs w:val="18"/>
              </w:rPr>
              <w:t>2018</w:t>
            </w:r>
            <w:r>
              <w:rPr>
                <w:rFonts w:ascii="Times New Roman" w:hAnsi="Times New Roman" w:cs="Times New Roman" w:eastAsia="Times New Roman" w:hint="default"/>
                <w:spacing w:val="-1"/>
                <w:w w:val="101"/>
                <w:sz w:val="18"/>
                <w:szCs w:val="18"/>
              </w:rPr>
              <w:t> </w:t>
            </w:r>
            <w:r>
              <w:rPr>
                <w:rFonts w:ascii="宋体" w:hAnsi="宋体" w:cs="宋体" w:eastAsia="宋体" w:hint="default"/>
                <w:spacing w:val="-4"/>
                <w:w w:val="101"/>
                <w:sz w:val="18"/>
                <w:szCs w:val="18"/>
              </w:rPr>
              <w:t>年度和</w:t>
            </w:r>
            <w:r>
              <w:rPr>
                <w:rFonts w:ascii="宋体" w:hAnsi="宋体" w:cs="宋体" w:eastAsia="宋体" w:hint="default"/>
                <w:spacing w:val="-47"/>
                <w:w w:val="101"/>
                <w:sz w:val="18"/>
                <w:szCs w:val="18"/>
              </w:rPr>
              <w:t> </w:t>
            </w:r>
            <w:r>
              <w:rPr>
                <w:rFonts w:ascii="Times New Roman" w:hAnsi="Times New Roman" w:cs="Times New Roman" w:eastAsia="Times New Roman" w:hint="default"/>
                <w:spacing w:val="-2"/>
                <w:w w:val="101"/>
                <w:sz w:val="18"/>
                <w:szCs w:val="18"/>
              </w:rPr>
              <w:t>2019</w:t>
            </w:r>
            <w:r>
              <w:rPr>
                <w:rFonts w:ascii="Times New Roman" w:hAnsi="Times New Roman" w:cs="Times New Roman" w:eastAsia="Times New Roman" w:hint="default"/>
                <w:spacing w:val="-41"/>
                <w:w w:val="101"/>
                <w:sz w:val="18"/>
                <w:szCs w:val="18"/>
              </w:rPr>
              <w:t> </w:t>
            </w:r>
            <w:r>
              <w:rPr>
                <w:rFonts w:ascii="Times New Roman" w:hAnsi="Times New Roman" w:cs="Times New Roman" w:eastAsia="Times New Roman" w:hint="default"/>
                <w:spacing w:val="-41"/>
                <w:w w:val="101"/>
                <w:sz w:val="18"/>
                <w:szCs w:val="18"/>
              </w:rPr>
            </w:r>
            <w:r>
              <w:rPr>
                <w:rFonts w:ascii="宋体" w:hAnsi="宋体" w:cs="宋体" w:eastAsia="宋体" w:hint="default"/>
                <w:spacing w:val="-3"/>
                <w:sz w:val="18"/>
                <w:szCs w:val="18"/>
              </w:rPr>
              <w:t>年度的扣除非经常性损益后的归属于</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z w:val="18"/>
                <w:szCs w:val="18"/>
              </w:rPr>
              <w:t>母公司所有者的净利润分别为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w:t>
            </w:r>
            <w:r>
              <w:rPr>
                <w:rFonts w:ascii="宋体" w:hAnsi="宋体" w:cs="宋体" w:eastAsia="宋体" w:hint="default"/>
                <w:spacing w:val="-87"/>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2,800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万元、</w:t>
            </w:r>
            <w:r>
              <w:rPr>
                <w:rFonts w:ascii="Times New Roman" w:hAnsi="Times New Roman" w:cs="Times New Roman" w:eastAsia="Times New Roman" w:hint="default"/>
                <w:sz w:val="18"/>
                <w:szCs w:val="18"/>
              </w:rPr>
              <w:t>3,300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万元、</w:t>
            </w:r>
            <w:r>
              <w:rPr>
                <w:rFonts w:ascii="Times New Roman" w:hAnsi="Times New Roman" w:cs="Times New Roman" w:eastAsia="Times New Roman" w:hint="default"/>
                <w:sz w:val="18"/>
                <w:szCs w:val="18"/>
              </w:rPr>
              <w:t>3,900 </w:t>
            </w:r>
            <w:r>
              <w:rPr>
                <w:rFonts w:ascii="宋体" w:hAnsi="宋体" w:cs="宋体" w:eastAsia="宋体" w:hint="default"/>
                <w:sz w:val="18"/>
                <w:szCs w:val="18"/>
              </w:rPr>
              <w:t>万</w:t>
            </w:r>
            <w:r>
              <w:rPr>
                <w:rFonts w:ascii="宋体" w:hAnsi="宋体" w:cs="宋体" w:eastAsia="宋体" w:hint="default"/>
                <w:spacing w:val="-79"/>
                <w:sz w:val="18"/>
                <w:szCs w:val="18"/>
              </w:rPr>
              <w:t> </w:t>
            </w:r>
            <w:r>
              <w:rPr>
                <w:rFonts w:ascii="宋体" w:hAnsi="宋体" w:cs="宋体" w:eastAsia="宋体" w:hint="default"/>
                <w:spacing w:val="-3"/>
                <w:sz w:val="18"/>
                <w:szCs w:val="18"/>
              </w:rPr>
              <w:t>元。</w:t>
            </w: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、实际盈利数在盈利承诺期间内</w:t>
            </w:r>
            <w:r>
              <w:rPr>
                <w:rFonts w:ascii="宋体" w:hAnsi="宋体" w:cs="宋体" w:eastAsia="宋体" w:hint="default"/>
                <w:spacing w:val="-35"/>
                <w:sz w:val="18"/>
                <w:szCs w:val="18"/>
              </w:rPr>
              <w:t> </w:t>
            </w:r>
            <w:r>
              <w:rPr>
                <w:rFonts w:ascii="宋体" w:hAnsi="宋体" w:cs="宋体" w:eastAsia="宋体" w:hint="default"/>
                <w:spacing w:val="-35"/>
                <w:sz w:val="18"/>
                <w:szCs w:val="18"/>
              </w:rPr>
            </w:r>
            <w:r>
              <w:rPr>
                <w:rFonts w:ascii="宋体" w:hAnsi="宋体" w:cs="宋体" w:eastAsia="宋体" w:hint="default"/>
                <w:spacing w:val="-4"/>
                <w:sz w:val="18"/>
                <w:szCs w:val="18"/>
              </w:rPr>
              <w:t>每一个会计年度结束后，奥拓电子将在</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z w:val="18"/>
                <w:szCs w:val="18"/>
              </w:rPr>
              <w:t>次年会计年度</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2"/>
                <w:sz w:val="18"/>
                <w:szCs w:val="18"/>
              </w:rPr>
              <w:t> </w:t>
            </w:r>
            <w:r>
              <w:rPr>
                <w:rFonts w:ascii="宋体" w:hAnsi="宋体" w:cs="宋体" w:eastAsia="宋体" w:hint="default"/>
                <w:spacing w:val="-3"/>
                <w:sz w:val="18"/>
                <w:szCs w:val="18"/>
              </w:rPr>
              <w:t>日之前聘请具有</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4"/>
                <w:sz w:val="18"/>
                <w:szCs w:val="18"/>
              </w:rPr>
              <w:t>证券、期货业务从业资格的审计机构对</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标的公司当年实际实现的扣除非经常</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性损益后归属于母公司所有者的净利</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润情况出具专项审核意见以确定在盈</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利承诺期间内标的公司各年度的实际</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z w:val="18"/>
                <w:szCs w:val="18"/>
              </w:rPr>
              <w:t>盈利数。</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3"/>
                <w:szCs w:val="23"/>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12</w:t>
            </w:r>
          </w:p>
          <w:p>
            <w:pPr>
              <w:pStyle w:val="TableParagraph"/>
              <w:spacing w:line="240" w:lineRule="auto" w:before="67"/>
              <w:ind w:left="10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14"/>
                <w:szCs w:val="14"/>
              </w:rPr>
            </w:pPr>
          </w:p>
          <w:p>
            <w:pPr>
              <w:pStyle w:val="TableParagraph"/>
              <w:spacing w:line="316" w:lineRule="auto"/>
              <w:ind w:left="100" w:right="98"/>
              <w:jc w:val="left"/>
              <w:rPr>
                <w:rFonts w:ascii="Times New Roman" w:hAnsi="Times New Roman" w:cs="Times New Roman" w:eastAsia="Times New Roman" w:hint="default"/>
                <w:sz w:val="18"/>
                <w:szCs w:val="18"/>
              </w:rPr>
            </w:pPr>
            <w:r>
              <w:rPr>
                <w:rFonts w:ascii="宋体" w:hAnsi="宋体" w:cs="宋体" w:eastAsia="宋体" w:hint="default"/>
                <w:sz w:val="18"/>
                <w:szCs w:val="18"/>
              </w:rPr>
              <w:t>承诺结束</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日期：</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74"/>
                <w:sz w:val="18"/>
                <w:szCs w:val="18"/>
              </w:rPr>
              <w:t> </w:t>
            </w:r>
            <w:r>
              <w:rPr>
                <w:rFonts w:ascii="Times New Roman" w:hAnsi="Times New Roman" w:cs="Times New Roman" w:eastAsia="Times New Roman" w:hint="default"/>
                <w:sz w:val="18"/>
                <w:szCs w:val="18"/>
              </w:rPr>
              <w:t>12</w:t>
            </w:r>
          </w:p>
          <w:p>
            <w:pPr>
              <w:pStyle w:val="TableParagraph"/>
              <w:spacing w:line="240" w:lineRule="auto" w:before="4"/>
              <w:ind w:left="10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3"/>
                <w:szCs w:val="23"/>
              </w:rPr>
            </w:pPr>
          </w:p>
          <w:p>
            <w:pPr>
              <w:pStyle w:val="TableParagraph"/>
              <w:spacing w:line="321" w:lineRule="auto"/>
              <w:ind w:left="100" w:right="158"/>
              <w:jc w:val="left"/>
              <w:rPr>
                <w:rFonts w:ascii="宋体" w:hAnsi="宋体" w:cs="宋体" w:eastAsia="宋体" w:hint="default"/>
                <w:sz w:val="18"/>
                <w:szCs w:val="18"/>
              </w:rPr>
            </w:pPr>
            <w:r>
              <w:rPr>
                <w:rFonts w:ascii="宋体" w:hAnsi="宋体" w:cs="宋体" w:eastAsia="宋体" w:hint="default"/>
                <w:sz w:val="18"/>
                <w:szCs w:val="18"/>
              </w:rPr>
              <w:t>正在</w:t>
            </w:r>
            <w:r>
              <w:rPr>
                <w:rFonts w:ascii="宋体" w:hAnsi="宋体" w:cs="宋体" w:eastAsia="宋体" w:hint="default"/>
                <w:spacing w:val="-86"/>
                <w:sz w:val="18"/>
                <w:szCs w:val="18"/>
              </w:rPr>
              <w:t> </w:t>
            </w:r>
            <w:r>
              <w:rPr>
                <w:rFonts w:ascii="宋体" w:hAnsi="宋体" w:cs="宋体" w:eastAsia="宋体" w:hint="default"/>
                <w:sz w:val="18"/>
                <w:szCs w:val="18"/>
              </w:rPr>
              <w:t>履行</w:t>
            </w:r>
          </w:p>
        </w:tc>
      </w:tr>
      <w:tr>
        <w:trPr>
          <w:trHeight w:val="7855" w:hRule="exact"/>
        </w:trPr>
        <w:tc>
          <w:tcPr>
            <w:tcW w:w="1561" w:type="dxa"/>
            <w:vMerge/>
            <w:tcBorders>
              <w:left w:val="single" w:sz="4" w:space="0" w:color="000000"/>
              <w:bottom w:val="single" w:sz="4" w:space="0" w:color="000000"/>
              <w:right w:val="single" w:sz="4" w:space="0" w:color="000000"/>
            </w:tcBorders>
            <w:shd w:val="clear" w:color="auto" w:fill="D2D2D2"/>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6"/>
                <w:szCs w:val="26"/>
              </w:rPr>
            </w:pPr>
          </w:p>
          <w:p>
            <w:pPr>
              <w:pStyle w:val="TableParagraph"/>
              <w:spacing w:line="316" w:lineRule="auto"/>
              <w:ind w:left="105" w:right="3"/>
              <w:jc w:val="left"/>
              <w:rPr>
                <w:rFonts w:ascii="宋体" w:hAnsi="宋体" w:cs="宋体" w:eastAsia="宋体" w:hint="default"/>
                <w:sz w:val="18"/>
                <w:szCs w:val="18"/>
              </w:rPr>
            </w:pPr>
            <w:r>
              <w:rPr>
                <w:rFonts w:ascii="宋体" w:hAnsi="宋体" w:cs="宋体" w:eastAsia="宋体" w:hint="default"/>
                <w:sz w:val="18"/>
                <w:szCs w:val="18"/>
              </w:rPr>
              <w:t>沈永健、</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周维君、</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广州中照</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龙腾资产</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管理合伙</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企业（有</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8"/>
                <w:sz w:val="18"/>
                <w:szCs w:val="18"/>
              </w:rPr>
              <w:t>限合伙）、</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深圳前海</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汉华源投</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资企业</w:t>
            </w:r>
          </w:p>
          <w:p>
            <w:pPr>
              <w:pStyle w:val="TableParagraph"/>
              <w:spacing w:line="319" w:lineRule="auto" w:before="19"/>
              <w:ind w:left="105" w:right="151"/>
              <w:jc w:val="both"/>
              <w:rPr>
                <w:rFonts w:ascii="宋体" w:hAnsi="宋体" w:cs="宋体" w:eastAsia="宋体" w:hint="default"/>
                <w:sz w:val="18"/>
                <w:szCs w:val="18"/>
              </w:rPr>
            </w:pPr>
            <w:r>
              <w:rPr>
                <w:rFonts w:ascii="宋体" w:hAnsi="宋体" w:cs="宋体" w:eastAsia="宋体" w:hint="default"/>
                <w:sz w:val="18"/>
                <w:szCs w:val="18"/>
              </w:rPr>
              <w:t>（有限合</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伙）、王</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亚伟、罗</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晓珊</w:t>
            </w:r>
          </w:p>
        </w:tc>
        <w:tc>
          <w:tcPr>
            <w:tcW w:w="989" w:type="dxa"/>
            <w:tcBorders>
              <w:top w:val="single" w:sz="4" w:space="0" w:color="000000"/>
              <w:left w:val="single" w:sz="4" w:space="0" w:color="000000"/>
              <w:bottom w:val="single" w:sz="4" w:space="0" w:color="000000"/>
              <w:right w:val="single" w:sz="4" w:space="0" w:color="000000"/>
            </w:tcBorders>
          </w:tcPr>
          <w:p>
            <w:pPr/>
          </w:p>
        </w:tc>
        <w:tc>
          <w:tcPr>
            <w:tcW w:w="3265"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4"/>
              <w:ind w:left="105" w:right="98"/>
              <w:jc w:val="left"/>
              <w:rPr>
                <w:rFonts w:ascii="宋体" w:hAnsi="宋体" w:cs="宋体" w:eastAsia="宋体" w:hint="default"/>
                <w:sz w:val="18"/>
                <w:szCs w:val="18"/>
              </w:rPr>
            </w:pPr>
            <w:r>
              <w:rPr>
                <w:rFonts w:ascii="宋体" w:hAnsi="宋体" w:cs="宋体" w:eastAsia="宋体" w:hint="default"/>
                <w:spacing w:val="-4"/>
                <w:sz w:val="18"/>
                <w:szCs w:val="18"/>
              </w:rPr>
              <w:t>一、关于避免同业竞争的承诺为了避免</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4"/>
                <w:sz w:val="18"/>
                <w:szCs w:val="18"/>
              </w:rPr>
              <w:t>与奥拓电子可能产生的同业竞争，沈永</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4"/>
                <w:sz w:val="18"/>
                <w:szCs w:val="18"/>
              </w:rPr>
              <w:t>健、周维君、王亚伟、罗晓珊、汉华源</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4"/>
                <w:sz w:val="18"/>
                <w:szCs w:val="18"/>
              </w:rPr>
              <w:t>投资出具了《关于避免同业竞争的承诺</w:t>
            </w:r>
            <w:r>
              <w:rPr>
                <w:rFonts w:ascii="宋体" w:hAnsi="宋体" w:cs="宋体" w:eastAsia="宋体" w:hint="default"/>
                <w:spacing w:val="-42"/>
                <w:sz w:val="18"/>
                <w:szCs w:val="18"/>
              </w:rPr>
              <w:t> </w:t>
            </w:r>
            <w:r>
              <w:rPr>
                <w:rFonts w:ascii="宋体" w:hAnsi="宋体" w:cs="宋体" w:eastAsia="宋体" w:hint="default"/>
                <w:spacing w:val="-42"/>
                <w:sz w:val="18"/>
                <w:szCs w:val="18"/>
              </w:rPr>
            </w:r>
            <w:r>
              <w:rPr>
                <w:rFonts w:ascii="宋体" w:hAnsi="宋体" w:cs="宋体" w:eastAsia="宋体" w:hint="default"/>
                <w:spacing w:val="-3"/>
                <w:sz w:val="18"/>
                <w:szCs w:val="18"/>
              </w:rPr>
              <w:t>函》，具体内容如下：</w:t>
            </w: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、截至本承诺</w:t>
            </w:r>
            <w:r>
              <w:rPr>
                <w:rFonts w:ascii="宋体" w:hAnsi="宋体" w:cs="宋体" w:eastAsia="宋体" w:hint="default"/>
                <w:spacing w:val="-34"/>
                <w:sz w:val="18"/>
                <w:szCs w:val="18"/>
              </w:rPr>
              <w:t> </w:t>
            </w:r>
            <w:r>
              <w:rPr>
                <w:rFonts w:ascii="宋体" w:hAnsi="宋体" w:cs="宋体" w:eastAsia="宋体" w:hint="default"/>
                <w:spacing w:val="-34"/>
                <w:sz w:val="18"/>
                <w:szCs w:val="18"/>
              </w:rPr>
            </w:r>
            <w:r>
              <w:rPr>
                <w:rFonts w:ascii="宋体" w:hAnsi="宋体" w:cs="宋体" w:eastAsia="宋体" w:hint="default"/>
                <w:spacing w:val="-6"/>
                <w:sz w:val="18"/>
                <w:szCs w:val="18"/>
              </w:rPr>
              <w:t>函出具之日，本人</w:t>
            </w:r>
            <w:r>
              <w:rPr>
                <w:rFonts w:ascii="Times New Roman" w:hAnsi="Times New Roman" w:cs="Times New Roman" w:eastAsia="Times New Roman" w:hint="default"/>
                <w:spacing w:val="-6"/>
                <w:sz w:val="18"/>
                <w:szCs w:val="18"/>
              </w:rPr>
              <w:t>/</w:t>
            </w:r>
            <w:r>
              <w:rPr>
                <w:rFonts w:ascii="宋体" w:hAnsi="宋体" w:cs="宋体" w:eastAsia="宋体" w:hint="default"/>
                <w:spacing w:val="-6"/>
                <w:sz w:val="18"/>
                <w:szCs w:val="18"/>
              </w:rPr>
              <w:t>本企业的经营业务均</w:t>
            </w:r>
            <w:r>
              <w:rPr>
                <w:rFonts w:ascii="宋体" w:hAnsi="宋体" w:cs="宋体" w:eastAsia="宋体" w:hint="default"/>
                <w:spacing w:val="-47"/>
                <w:sz w:val="18"/>
                <w:szCs w:val="18"/>
              </w:rPr>
              <w:t> </w:t>
            </w:r>
            <w:r>
              <w:rPr>
                <w:rFonts w:ascii="宋体" w:hAnsi="宋体" w:cs="宋体" w:eastAsia="宋体" w:hint="default"/>
                <w:spacing w:val="-47"/>
                <w:sz w:val="18"/>
                <w:szCs w:val="18"/>
              </w:rPr>
            </w:r>
            <w:r>
              <w:rPr>
                <w:rFonts w:ascii="宋体" w:hAnsi="宋体" w:cs="宋体" w:eastAsia="宋体" w:hint="default"/>
                <w:spacing w:val="-4"/>
                <w:sz w:val="18"/>
                <w:szCs w:val="18"/>
              </w:rPr>
              <w:t>系通过千百辉进行，没有在与奥拓电子</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或千百辉存在相同或类似业务的其他</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4"/>
                <w:sz w:val="18"/>
                <w:szCs w:val="18"/>
              </w:rPr>
              <w:t>任何经营实体中担任任何职务，没有与</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千百辉存在同业竞争的情形。</w:t>
            </w: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、在本</w:t>
            </w:r>
            <w:r>
              <w:rPr>
                <w:rFonts w:ascii="宋体" w:hAnsi="宋体" w:cs="宋体" w:eastAsia="宋体" w:hint="default"/>
                <w:spacing w:val="-35"/>
                <w:sz w:val="18"/>
                <w:szCs w:val="18"/>
              </w:rPr>
              <w:t> </w:t>
            </w:r>
            <w:r>
              <w:rPr>
                <w:rFonts w:ascii="宋体" w:hAnsi="宋体" w:cs="宋体" w:eastAsia="宋体" w:hint="default"/>
                <w:spacing w:val="-35"/>
                <w:sz w:val="18"/>
                <w:szCs w:val="18"/>
              </w:rPr>
            </w:r>
            <w:r>
              <w:rPr>
                <w:rFonts w:ascii="宋体" w:hAnsi="宋体" w:cs="宋体" w:eastAsia="宋体" w:hint="default"/>
                <w:spacing w:val="-3"/>
                <w:sz w:val="18"/>
                <w:szCs w:val="18"/>
              </w:rPr>
              <w:t>人</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本企业作为奥拓电子的股东或董事</w:t>
            </w:r>
            <w:r>
              <w:rPr>
                <w:rFonts w:ascii="宋体" w:hAnsi="宋体" w:cs="宋体" w:eastAsia="宋体" w:hint="default"/>
                <w:spacing w:val="-38"/>
                <w:sz w:val="18"/>
                <w:szCs w:val="18"/>
              </w:rPr>
              <w:t> </w:t>
            </w:r>
            <w:r>
              <w:rPr>
                <w:rFonts w:ascii="宋体" w:hAnsi="宋体" w:cs="宋体" w:eastAsia="宋体" w:hint="default"/>
                <w:spacing w:val="-38"/>
                <w:sz w:val="18"/>
                <w:szCs w:val="18"/>
              </w:rPr>
            </w:r>
            <w:r>
              <w:rPr>
                <w:rFonts w:ascii="宋体" w:hAnsi="宋体" w:cs="宋体" w:eastAsia="宋体" w:hint="default"/>
                <w:spacing w:val="-3"/>
                <w:sz w:val="18"/>
                <w:szCs w:val="18"/>
              </w:rPr>
              <w:t>期间，本人</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本企业及本人</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本企业的关</w:t>
            </w:r>
            <w:r>
              <w:rPr>
                <w:rFonts w:ascii="宋体" w:hAnsi="宋体" w:cs="宋体" w:eastAsia="宋体" w:hint="default"/>
                <w:spacing w:val="-33"/>
                <w:sz w:val="18"/>
                <w:szCs w:val="18"/>
              </w:rPr>
              <w:t> </w:t>
            </w:r>
            <w:r>
              <w:rPr>
                <w:rFonts w:ascii="宋体" w:hAnsi="宋体" w:cs="宋体" w:eastAsia="宋体" w:hint="default"/>
                <w:spacing w:val="-33"/>
                <w:sz w:val="18"/>
                <w:szCs w:val="18"/>
              </w:rPr>
            </w:r>
            <w:r>
              <w:rPr>
                <w:rFonts w:ascii="宋体" w:hAnsi="宋体" w:cs="宋体" w:eastAsia="宋体" w:hint="default"/>
                <w:spacing w:val="-4"/>
                <w:sz w:val="18"/>
                <w:szCs w:val="18"/>
              </w:rPr>
              <w:t>联方将不拥有、管理、控制、投资、从</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事其他任何与奥拓电子及千百辉从事</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4"/>
                <w:sz w:val="18"/>
                <w:szCs w:val="18"/>
              </w:rPr>
              <w:t>业务相同或相近的任何业务或项目，亦</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4"/>
                <w:sz w:val="18"/>
                <w:szCs w:val="18"/>
              </w:rPr>
              <w:t>不参与拥有、管理、控制、投资其他任</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何与奥拓电子及千百辉从事业务相同</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4"/>
                <w:sz w:val="18"/>
                <w:szCs w:val="18"/>
              </w:rPr>
              <w:t>或相近的任何业务或项目，亦不谋求通</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4"/>
                <w:sz w:val="18"/>
                <w:szCs w:val="18"/>
              </w:rPr>
              <w:t>过与任何第三人合资、合作、联营或采</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4"/>
                <w:sz w:val="18"/>
                <w:szCs w:val="18"/>
              </w:rPr>
              <w:t>取租赁经营、承包经营、委托管理等方</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式直接或间接从事与奥拓电子及千百</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辉构成竞争的业务。</w:t>
            </w: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、如本人</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本企业</w:t>
            </w:r>
            <w:r>
              <w:rPr>
                <w:rFonts w:ascii="宋体" w:hAnsi="宋体" w:cs="宋体" w:eastAsia="宋体" w:hint="default"/>
                <w:spacing w:val="-34"/>
                <w:sz w:val="18"/>
                <w:szCs w:val="18"/>
              </w:rPr>
              <w:t> </w:t>
            </w:r>
            <w:r>
              <w:rPr>
                <w:rFonts w:ascii="宋体" w:hAnsi="宋体" w:cs="宋体" w:eastAsia="宋体" w:hint="default"/>
                <w:spacing w:val="-34"/>
                <w:sz w:val="18"/>
                <w:szCs w:val="18"/>
              </w:rPr>
            </w:r>
            <w:r>
              <w:rPr>
                <w:rFonts w:ascii="宋体" w:hAnsi="宋体" w:cs="宋体" w:eastAsia="宋体" w:hint="default"/>
                <w:spacing w:val="-3"/>
                <w:sz w:val="18"/>
                <w:szCs w:val="18"/>
              </w:rPr>
              <w:t>及本人</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本企业的关联方违反上述承诺</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4"/>
                <w:sz w:val="18"/>
                <w:szCs w:val="18"/>
              </w:rPr>
              <w:t>的，将立即停止与奥拓电子及千百辉构</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4"/>
                <w:sz w:val="18"/>
                <w:szCs w:val="18"/>
              </w:rPr>
              <w:t>成竞争之业务，并采取必要措施予以纠</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7"/>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10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长期有效</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7"/>
              <w:ind w:left="100" w:right="158"/>
              <w:jc w:val="left"/>
              <w:rPr>
                <w:rFonts w:ascii="宋体" w:hAnsi="宋体" w:cs="宋体" w:eastAsia="宋体" w:hint="default"/>
                <w:sz w:val="18"/>
                <w:szCs w:val="18"/>
              </w:rPr>
            </w:pPr>
            <w:r>
              <w:rPr>
                <w:rFonts w:ascii="宋体" w:hAnsi="宋体" w:cs="宋体" w:eastAsia="宋体" w:hint="default"/>
                <w:sz w:val="18"/>
                <w:szCs w:val="18"/>
              </w:rPr>
              <w:t>正在</w:t>
            </w:r>
            <w:r>
              <w:rPr>
                <w:rFonts w:ascii="宋体" w:hAnsi="宋体" w:cs="宋体" w:eastAsia="宋体" w:hint="default"/>
                <w:spacing w:val="-86"/>
                <w:sz w:val="18"/>
                <w:szCs w:val="18"/>
              </w:rPr>
              <w:t> </w:t>
            </w:r>
            <w:r>
              <w:rPr>
                <w:rFonts w:ascii="宋体" w:hAnsi="宋体" w:cs="宋体" w:eastAsia="宋体" w:hint="default"/>
                <w:sz w:val="18"/>
                <w:szCs w:val="18"/>
              </w:rPr>
              <w:t>履行</w:t>
            </w:r>
          </w:p>
        </w:tc>
      </w:tr>
    </w:tbl>
    <w:p>
      <w:pPr>
        <w:spacing w:after="0" w:line="316" w:lineRule="auto"/>
        <w:jc w:val="left"/>
        <w:rPr>
          <w:rFonts w:ascii="宋体" w:hAnsi="宋体" w:cs="宋体" w:eastAsia="宋体" w:hint="default"/>
          <w:sz w:val="18"/>
          <w:szCs w:val="18"/>
        </w:rPr>
        <w:sectPr>
          <w:pgSz w:w="11910" w:h="16840"/>
          <w:pgMar w:header="784" w:footer="1022" w:top="1100" w:bottom="1220" w:left="980" w:right="0"/>
        </w:sectPr>
      </w:pPr>
    </w:p>
    <w:p>
      <w:pPr>
        <w:spacing w:line="240" w:lineRule="auto" w:before="1"/>
        <w:rPr>
          <w:rFonts w:ascii="Times New Roman" w:hAnsi="Times New Roman" w:cs="Times New Roman" w:eastAsia="Times New Roman" w:hint="default"/>
          <w:sz w:val="29"/>
          <w:szCs w:val="29"/>
        </w:rPr>
      </w:pPr>
    </w:p>
    <w:tbl>
      <w:tblPr>
        <w:tblW w:w="0" w:type="auto"/>
        <w:jc w:val="left"/>
        <w:tblInd w:w="148" w:type="dxa"/>
        <w:tblLayout w:type="fixed"/>
        <w:tblCellMar>
          <w:top w:w="0" w:type="dxa"/>
          <w:left w:w="0" w:type="dxa"/>
          <w:bottom w:w="0" w:type="dxa"/>
          <w:right w:w="0" w:type="dxa"/>
        </w:tblCellMar>
        <w:tblLook w:val="01E0"/>
      </w:tblPr>
      <w:tblGrid>
        <w:gridCol w:w="1561"/>
        <w:gridCol w:w="994"/>
        <w:gridCol w:w="989"/>
        <w:gridCol w:w="3265"/>
        <w:gridCol w:w="1133"/>
        <w:gridCol w:w="994"/>
        <w:gridCol w:w="636"/>
      </w:tblGrid>
      <w:tr>
        <w:trPr>
          <w:trHeight w:val="11283" w:hRule="exact"/>
        </w:trPr>
        <w:tc>
          <w:tcPr>
            <w:tcW w:w="1561" w:type="dxa"/>
            <w:vMerge w:val="restart"/>
            <w:tcBorders>
              <w:top w:val="single" w:sz="4" w:space="0" w:color="000000"/>
              <w:left w:val="single" w:sz="4" w:space="0" w:color="000000"/>
              <w:right w:val="single" w:sz="4" w:space="0" w:color="000000"/>
            </w:tcBorders>
            <w:shd w:val="clear" w:color="auto" w:fill="D2D2D2"/>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3265"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10"/>
              <w:ind w:left="105" w:right="31"/>
              <w:jc w:val="left"/>
              <w:rPr>
                <w:rFonts w:ascii="宋体" w:hAnsi="宋体" w:cs="宋体" w:eastAsia="宋体" w:hint="default"/>
                <w:sz w:val="18"/>
                <w:szCs w:val="18"/>
              </w:rPr>
            </w:pPr>
            <w:r>
              <w:rPr>
                <w:rFonts w:ascii="宋体" w:hAnsi="宋体" w:cs="宋体" w:eastAsia="宋体" w:hint="default"/>
                <w:spacing w:val="-3"/>
                <w:sz w:val="18"/>
                <w:szCs w:val="18"/>
              </w:rPr>
              <w:t>正补救。</w:t>
            </w: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、如因本人</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本企业及本人</w:t>
            </w:r>
            <w:r>
              <w:rPr>
                <w:rFonts w:ascii="Times New Roman" w:hAnsi="Times New Roman" w:cs="Times New Roman" w:eastAsia="Times New Roman" w:hint="default"/>
                <w:spacing w:val="-3"/>
                <w:sz w:val="18"/>
                <w:szCs w:val="18"/>
              </w:rPr>
              <w:t>/</w:t>
            </w:r>
            <w:r>
              <w:rPr>
                <w:rFonts w:ascii="Times New Roman" w:hAnsi="Times New Roman" w:cs="Times New Roman" w:eastAsia="Times New Roman" w:hint="default"/>
                <w:spacing w:val="8"/>
                <w:sz w:val="18"/>
                <w:szCs w:val="18"/>
              </w:rPr>
              <w:t> </w:t>
            </w:r>
            <w:r>
              <w:rPr>
                <w:rFonts w:ascii="宋体" w:hAnsi="宋体" w:cs="宋体" w:eastAsia="宋体" w:hint="default"/>
                <w:spacing w:val="-3"/>
                <w:sz w:val="18"/>
                <w:szCs w:val="18"/>
              </w:rPr>
              <w:t>本企业的关联方未履行本承诺函所作</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的承诺而给奥拓电子造成的一切损失</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和后果，由本人</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本企业承担赔偿责任。</w:t>
            </w:r>
            <w:r>
              <w:rPr>
                <w:rFonts w:ascii="宋体" w:hAnsi="宋体" w:cs="宋体" w:eastAsia="宋体" w:hint="default"/>
                <w:spacing w:val="-33"/>
                <w:sz w:val="18"/>
                <w:szCs w:val="18"/>
              </w:rPr>
              <w:t> </w:t>
            </w:r>
            <w:r>
              <w:rPr>
                <w:rFonts w:ascii="宋体" w:hAnsi="宋体" w:cs="宋体" w:eastAsia="宋体" w:hint="default"/>
                <w:spacing w:val="-33"/>
                <w:sz w:val="18"/>
                <w:szCs w:val="18"/>
              </w:rPr>
            </w:r>
            <w:r>
              <w:rPr>
                <w:rFonts w:ascii="Times New Roman" w:hAnsi="Times New Roman" w:cs="Times New Roman" w:eastAsia="Times New Roman" w:hint="default"/>
                <w:spacing w:val="-8"/>
                <w:w w:val="101"/>
                <w:sz w:val="18"/>
                <w:szCs w:val="18"/>
              </w:rPr>
              <w:t>"</w:t>
            </w:r>
            <w:r>
              <w:rPr>
                <w:rFonts w:ascii="宋体" w:hAnsi="宋体" w:cs="宋体" w:eastAsia="宋体" w:hint="default"/>
                <w:spacing w:val="-8"/>
                <w:w w:val="101"/>
                <w:sz w:val="18"/>
                <w:szCs w:val="18"/>
              </w:rPr>
              <w:t>二、关于减少和规范关联交易的承诺为</w:t>
            </w:r>
            <w:r>
              <w:rPr>
                <w:rFonts w:ascii="宋体" w:hAnsi="宋体" w:cs="宋体" w:eastAsia="宋体" w:hint="default"/>
                <w:spacing w:val="-78"/>
                <w:w w:val="101"/>
                <w:sz w:val="18"/>
                <w:szCs w:val="18"/>
              </w:rPr>
              <w:t> </w:t>
            </w:r>
            <w:r>
              <w:rPr>
                <w:rFonts w:ascii="宋体" w:hAnsi="宋体" w:cs="宋体" w:eastAsia="宋体" w:hint="default"/>
                <w:spacing w:val="-78"/>
                <w:w w:val="101"/>
                <w:sz w:val="18"/>
                <w:szCs w:val="18"/>
              </w:rPr>
            </w:r>
            <w:r>
              <w:rPr>
                <w:rFonts w:ascii="宋体" w:hAnsi="宋体" w:cs="宋体" w:eastAsia="宋体" w:hint="default"/>
                <w:spacing w:val="-3"/>
                <w:sz w:val="18"/>
                <w:szCs w:val="18"/>
              </w:rPr>
              <w:t>减少和规范可能与上市公司发生的关</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4"/>
                <w:sz w:val="18"/>
                <w:szCs w:val="18"/>
              </w:rPr>
              <w:t>联交易，充分保护上市公司的利益，沈</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4"/>
                <w:sz w:val="18"/>
                <w:szCs w:val="18"/>
              </w:rPr>
              <w:t>永健、周维君、王亚伟、罗晓珊、中照</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龙腾、汉华源投资出具如下承诺：</w:t>
            </w: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w:t>
            </w:r>
            <w:r>
              <w:rPr>
                <w:rFonts w:ascii="宋体" w:hAnsi="宋体" w:cs="宋体" w:eastAsia="宋体" w:hint="default"/>
                <w:spacing w:val="-34"/>
                <w:sz w:val="18"/>
                <w:szCs w:val="18"/>
              </w:rPr>
              <w:t> </w:t>
            </w:r>
            <w:r>
              <w:rPr>
                <w:rFonts w:ascii="宋体" w:hAnsi="宋体" w:cs="宋体" w:eastAsia="宋体" w:hint="default"/>
                <w:spacing w:val="-6"/>
                <w:sz w:val="18"/>
                <w:szCs w:val="18"/>
              </w:rPr>
              <w:t>本人</w:t>
            </w:r>
            <w:r>
              <w:rPr>
                <w:rFonts w:ascii="Times New Roman" w:hAnsi="Times New Roman" w:cs="Times New Roman" w:eastAsia="Times New Roman" w:hint="default"/>
                <w:spacing w:val="-6"/>
                <w:sz w:val="18"/>
                <w:szCs w:val="18"/>
              </w:rPr>
              <w:t>/</w:t>
            </w:r>
            <w:r>
              <w:rPr>
                <w:rFonts w:ascii="宋体" w:hAnsi="宋体" w:cs="宋体" w:eastAsia="宋体" w:hint="default"/>
                <w:spacing w:val="-6"/>
                <w:sz w:val="18"/>
                <w:szCs w:val="18"/>
              </w:rPr>
              <w:t>本企业将按照《公司法》等法律法</w:t>
            </w:r>
            <w:r>
              <w:rPr>
                <w:rFonts w:ascii="宋体" w:hAnsi="宋体" w:cs="宋体" w:eastAsia="宋体" w:hint="default"/>
                <w:spacing w:val="-47"/>
                <w:sz w:val="18"/>
                <w:szCs w:val="18"/>
              </w:rPr>
              <w:t> </w:t>
            </w:r>
            <w:r>
              <w:rPr>
                <w:rFonts w:ascii="宋体" w:hAnsi="宋体" w:cs="宋体" w:eastAsia="宋体" w:hint="default"/>
                <w:spacing w:val="-47"/>
                <w:sz w:val="18"/>
                <w:szCs w:val="18"/>
              </w:rPr>
            </w:r>
            <w:r>
              <w:rPr>
                <w:rFonts w:ascii="宋体" w:hAnsi="宋体" w:cs="宋体" w:eastAsia="宋体" w:hint="default"/>
                <w:spacing w:val="-4"/>
                <w:sz w:val="18"/>
                <w:szCs w:val="18"/>
              </w:rPr>
              <w:t>规以及奥拓电子公司章程、千百辉章程</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的有关规定行使股东权利；在董事会、</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股东大会</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股东会对涉及本人本企业的</w:t>
            </w:r>
            <w:r>
              <w:rPr>
                <w:rFonts w:ascii="宋体" w:hAnsi="宋体" w:cs="宋体" w:eastAsia="宋体" w:hint="default"/>
                <w:spacing w:val="-38"/>
                <w:sz w:val="18"/>
                <w:szCs w:val="18"/>
              </w:rPr>
              <w:t> </w:t>
            </w:r>
            <w:r>
              <w:rPr>
                <w:rFonts w:ascii="宋体" w:hAnsi="宋体" w:cs="宋体" w:eastAsia="宋体" w:hint="default"/>
                <w:spacing w:val="-38"/>
                <w:sz w:val="18"/>
                <w:szCs w:val="18"/>
              </w:rPr>
            </w:r>
            <w:r>
              <w:rPr>
                <w:rFonts w:ascii="宋体" w:hAnsi="宋体" w:cs="宋体" w:eastAsia="宋体" w:hint="default"/>
                <w:spacing w:val="-4"/>
                <w:sz w:val="18"/>
                <w:szCs w:val="18"/>
              </w:rPr>
              <w:t>关联交易进行表决时，履行回避表决的</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4"/>
                <w:sz w:val="18"/>
                <w:szCs w:val="18"/>
              </w:rPr>
              <w:t>义务。</w:t>
            </w: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、本人</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本企业及本人</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本企业的</w:t>
            </w:r>
            <w:r>
              <w:rPr>
                <w:rFonts w:ascii="宋体" w:hAnsi="宋体" w:cs="宋体" w:eastAsia="宋体" w:hint="default"/>
                <w:spacing w:val="-40"/>
                <w:sz w:val="18"/>
                <w:szCs w:val="18"/>
              </w:rPr>
              <w:t> </w:t>
            </w:r>
            <w:r>
              <w:rPr>
                <w:rFonts w:ascii="宋体" w:hAnsi="宋体" w:cs="宋体" w:eastAsia="宋体" w:hint="default"/>
                <w:spacing w:val="-40"/>
                <w:sz w:val="18"/>
                <w:szCs w:val="18"/>
              </w:rPr>
            </w:r>
            <w:r>
              <w:rPr>
                <w:rFonts w:ascii="宋体" w:hAnsi="宋体" w:cs="宋体" w:eastAsia="宋体" w:hint="default"/>
                <w:spacing w:val="-3"/>
                <w:sz w:val="18"/>
                <w:szCs w:val="18"/>
              </w:rPr>
              <w:t>关联方将杜绝一切非法占用奥拓电子</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4"/>
                <w:sz w:val="18"/>
                <w:szCs w:val="18"/>
              </w:rPr>
              <w:t>及千百辉的资金、资产及其他资源的行</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4"/>
                <w:sz w:val="18"/>
                <w:szCs w:val="18"/>
              </w:rPr>
              <w:t>为，在任何情况下，不要求奥拓电子及</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千百辉向本人</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本企业及本人</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本企业投</w:t>
            </w:r>
            <w:r>
              <w:rPr>
                <w:rFonts w:ascii="宋体" w:hAnsi="宋体" w:cs="宋体" w:eastAsia="宋体" w:hint="default"/>
                <w:spacing w:val="-33"/>
                <w:sz w:val="18"/>
                <w:szCs w:val="18"/>
              </w:rPr>
              <w:t> </w:t>
            </w:r>
            <w:r>
              <w:rPr>
                <w:rFonts w:ascii="宋体" w:hAnsi="宋体" w:cs="宋体" w:eastAsia="宋体" w:hint="default"/>
                <w:spacing w:val="-33"/>
                <w:sz w:val="18"/>
                <w:szCs w:val="18"/>
              </w:rPr>
            </w:r>
            <w:r>
              <w:rPr>
                <w:rFonts w:ascii="宋体" w:hAnsi="宋体" w:cs="宋体" w:eastAsia="宋体" w:hint="default"/>
                <w:spacing w:val="-3"/>
                <w:sz w:val="18"/>
                <w:szCs w:val="18"/>
              </w:rPr>
              <w:t>资或控制的其他企业提供任何形式的</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4"/>
                <w:sz w:val="18"/>
                <w:szCs w:val="18"/>
              </w:rPr>
              <w:t>担保。</w:t>
            </w:r>
            <w:r>
              <w:rPr>
                <w:rFonts w:ascii="Times New Roman" w:hAnsi="Times New Roman" w:cs="Times New Roman" w:eastAsia="Times New Roman" w:hint="default"/>
                <w:spacing w:val="-4"/>
                <w:sz w:val="18"/>
                <w:szCs w:val="18"/>
              </w:rPr>
              <w:t>3</w:t>
            </w:r>
            <w:r>
              <w:rPr>
                <w:rFonts w:ascii="宋体" w:hAnsi="宋体" w:cs="宋体" w:eastAsia="宋体" w:hint="default"/>
                <w:spacing w:val="-4"/>
                <w:sz w:val="18"/>
                <w:szCs w:val="18"/>
              </w:rPr>
              <w:t>、本人</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本企业及本人</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本企业的</w:t>
            </w:r>
            <w:r>
              <w:rPr>
                <w:rFonts w:ascii="宋体" w:hAnsi="宋体" w:cs="宋体" w:eastAsia="宋体" w:hint="default"/>
                <w:spacing w:val="-40"/>
                <w:sz w:val="18"/>
                <w:szCs w:val="18"/>
              </w:rPr>
              <w:t> </w:t>
            </w:r>
            <w:r>
              <w:rPr>
                <w:rFonts w:ascii="宋体" w:hAnsi="宋体" w:cs="宋体" w:eastAsia="宋体" w:hint="default"/>
                <w:spacing w:val="-40"/>
                <w:sz w:val="18"/>
                <w:szCs w:val="18"/>
              </w:rPr>
            </w:r>
            <w:r>
              <w:rPr>
                <w:rFonts w:ascii="宋体" w:hAnsi="宋体" w:cs="宋体" w:eastAsia="宋体" w:hint="default"/>
                <w:spacing w:val="-3"/>
                <w:sz w:val="18"/>
                <w:szCs w:val="18"/>
              </w:rPr>
              <w:t>关联方将尽可能地避免和减少与奥拓</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4"/>
                <w:sz w:val="18"/>
                <w:szCs w:val="18"/>
              </w:rPr>
              <w:t>电子及千百辉的关联交易，对于无法避</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免或者有合理原因而发生的关联交易，</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将遵循市场公正、公平、公开的原则，</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4"/>
                <w:sz w:val="18"/>
                <w:szCs w:val="18"/>
              </w:rPr>
              <w:t>并依法签订协议，履行合法程序，按照</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奥拓电子公司章程、有关法律法规和</w:t>
            </w:r>
          </w:p>
          <w:p>
            <w:pPr>
              <w:pStyle w:val="TableParagraph"/>
              <w:spacing w:line="307" w:lineRule="auto" w:before="22"/>
              <w:ind w:left="105" w:right="99"/>
              <w:jc w:val="left"/>
              <w:rPr>
                <w:rFonts w:ascii="Times New Roman" w:hAnsi="Times New Roman" w:cs="Times New Roman" w:eastAsia="Times New Roman" w:hint="default"/>
                <w:sz w:val="18"/>
                <w:szCs w:val="18"/>
              </w:rPr>
            </w:pPr>
            <w:r>
              <w:rPr>
                <w:rFonts w:ascii="宋体" w:hAnsi="宋体" w:cs="宋体" w:eastAsia="宋体" w:hint="default"/>
                <w:spacing w:val="-4"/>
                <w:sz w:val="18"/>
                <w:szCs w:val="18"/>
              </w:rPr>
              <w:t>《上市规则》等有关规定履行信息披露</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义务和办理有关报批程序。</w:t>
            </w: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、本人</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本</w:t>
            </w:r>
            <w:r>
              <w:rPr>
                <w:rFonts w:ascii="宋体" w:hAnsi="宋体" w:cs="宋体" w:eastAsia="宋体" w:hint="default"/>
                <w:spacing w:val="-35"/>
                <w:sz w:val="18"/>
                <w:szCs w:val="18"/>
              </w:rPr>
              <w:t> </w:t>
            </w:r>
            <w:r>
              <w:rPr>
                <w:rFonts w:ascii="宋体" w:hAnsi="宋体" w:cs="宋体" w:eastAsia="宋体" w:hint="default"/>
                <w:spacing w:val="-3"/>
                <w:sz w:val="18"/>
                <w:szCs w:val="18"/>
              </w:rPr>
              <w:t>企业及本人</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本企业的关联方保证不通</w:t>
            </w:r>
            <w:r>
              <w:rPr>
                <w:rFonts w:ascii="宋体" w:hAnsi="宋体" w:cs="宋体" w:eastAsia="宋体" w:hint="default"/>
                <w:spacing w:val="-38"/>
                <w:sz w:val="18"/>
                <w:szCs w:val="18"/>
              </w:rPr>
              <w:t> </w:t>
            </w:r>
            <w:r>
              <w:rPr>
                <w:rFonts w:ascii="宋体" w:hAnsi="宋体" w:cs="宋体" w:eastAsia="宋体" w:hint="default"/>
                <w:spacing w:val="-38"/>
                <w:sz w:val="18"/>
                <w:szCs w:val="18"/>
              </w:rPr>
            </w:r>
            <w:r>
              <w:rPr>
                <w:rFonts w:ascii="宋体" w:hAnsi="宋体" w:cs="宋体" w:eastAsia="宋体" w:hint="default"/>
                <w:spacing w:val="-3"/>
                <w:sz w:val="18"/>
                <w:szCs w:val="18"/>
              </w:rPr>
              <w:t>过关联交易损害奥拓电子及其他股东</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的合法权益。</w:t>
            </w:r>
            <w:r>
              <w:rPr>
                <w:rFonts w:ascii="Times New Roman" w:hAnsi="Times New Roman" w:cs="Times New Roman" w:eastAsia="Times New Roman" w:hint="default"/>
                <w:spacing w:val="-3"/>
                <w:sz w:val="18"/>
                <w:szCs w:val="18"/>
              </w:rPr>
              <w:t>5</w:t>
            </w:r>
            <w:r>
              <w:rPr>
                <w:rFonts w:ascii="宋体" w:hAnsi="宋体" w:cs="宋体" w:eastAsia="宋体" w:hint="default"/>
                <w:spacing w:val="-3"/>
                <w:sz w:val="18"/>
                <w:szCs w:val="18"/>
              </w:rPr>
              <w:t>、如因本人</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本企业及本</w:t>
            </w:r>
            <w:r>
              <w:rPr>
                <w:rFonts w:ascii="宋体" w:hAnsi="宋体" w:cs="宋体" w:eastAsia="宋体" w:hint="default"/>
                <w:spacing w:val="-35"/>
                <w:sz w:val="18"/>
                <w:szCs w:val="18"/>
              </w:rPr>
              <w:t> </w:t>
            </w:r>
            <w:r>
              <w:rPr>
                <w:rFonts w:ascii="宋体" w:hAnsi="宋体" w:cs="宋体" w:eastAsia="宋体" w:hint="default"/>
                <w:spacing w:val="-35"/>
                <w:sz w:val="18"/>
                <w:szCs w:val="18"/>
              </w:rPr>
            </w:r>
            <w:r>
              <w:rPr>
                <w:rFonts w:ascii="宋体" w:hAnsi="宋体" w:cs="宋体" w:eastAsia="宋体" w:hint="default"/>
                <w:spacing w:val="-3"/>
                <w:sz w:val="18"/>
                <w:szCs w:val="18"/>
              </w:rPr>
              <w:t>人</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本企业的关联方未履行本承诺函所</w:t>
            </w:r>
            <w:r>
              <w:rPr>
                <w:rFonts w:ascii="宋体" w:hAnsi="宋体" w:cs="宋体" w:eastAsia="宋体" w:hint="default"/>
                <w:spacing w:val="-38"/>
                <w:sz w:val="18"/>
                <w:szCs w:val="18"/>
              </w:rPr>
              <w:t> </w:t>
            </w:r>
            <w:r>
              <w:rPr>
                <w:rFonts w:ascii="宋体" w:hAnsi="宋体" w:cs="宋体" w:eastAsia="宋体" w:hint="default"/>
                <w:spacing w:val="-38"/>
                <w:sz w:val="18"/>
                <w:szCs w:val="18"/>
              </w:rPr>
            </w:r>
            <w:r>
              <w:rPr>
                <w:rFonts w:ascii="宋体" w:hAnsi="宋体" w:cs="宋体" w:eastAsia="宋体" w:hint="default"/>
                <w:spacing w:val="-3"/>
                <w:sz w:val="18"/>
                <w:szCs w:val="18"/>
              </w:rPr>
              <w:t>作的承诺而给奥拓电子造成的一切损</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失和后果，由本人</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本企业承担赔偿责</w:t>
            </w:r>
            <w:r>
              <w:rPr>
                <w:rFonts w:ascii="宋体" w:hAnsi="宋体" w:cs="宋体" w:eastAsia="宋体" w:hint="default"/>
                <w:spacing w:val="-38"/>
                <w:sz w:val="18"/>
                <w:szCs w:val="18"/>
              </w:rPr>
              <w:t> </w:t>
            </w:r>
            <w:r>
              <w:rPr>
                <w:rFonts w:ascii="宋体" w:hAnsi="宋体" w:cs="宋体" w:eastAsia="宋体" w:hint="default"/>
                <w:spacing w:val="-38"/>
                <w:sz w:val="18"/>
                <w:szCs w:val="18"/>
              </w:rPr>
            </w:r>
            <w:r>
              <w:rPr>
                <w:rFonts w:ascii="宋体" w:hAnsi="宋体" w:cs="宋体" w:eastAsia="宋体" w:hint="default"/>
                <w:sz w:val="18"/>
                <w:szCs w:val="18"/>
              </w:rPr>
              <w:t>任。</w:t>
            </w:r>
            <w:r>
              <w:rPr>
                <w:rFonts w:ascii="Times New Roman" w:hAnsi="Times New Roman" w:cs="Times New Roman" w:eastAsia="Times New Roman" w:hint="default"/>
                <w:sz w:val="18"/>
                <w:szCs w:val="18"/>
              </w:rPr>
              <w:t>"</w:t>
            </w: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r>
      <w:tr>
        <w:trPr>
          <w:trHeight w:val="2549" w:hRule="exact"/>
        </w:trPr>
        <w:tc>
          <w:tcPr>
            <w:tcW w:w="1561" w:type="dxa"/>
            <w:vMerge/>
            <w:tcBorders>
              <w:left w:val="single" w:sz="4" w:space="0" w:color="000000"/>
              <w:bottom w:val="single" w:sz="4" w:space="0" w:color="000000"/>
              <w:right w:val="single" w:sz="4" w:space="0" w:color="000000"/>
            </w:tcBorders>
            <w:shd w:val="clear" w:color="auto" w:fill="D2D2D2"/>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105" w:right="3"/>
              <w:jc w:val="left"/>
              <w:rPr>
                <w:rFonts w:ascii="宋体" w:hAnsi="宋体" w:cs="宋体" w:eastAsia="宋体" w:hint="default"/>
                <w:sz w:val="18"/>
                <w:szCs w:val="18"/>
              </w:rPr>
            </w:pPr>
            <w:r>
              <w:rPr>
                <w:rFonts w:ascii="宋体" w:hAnsi="宋体" w:cs="宋体" w:eastAsia="宋体" w:hint="default"/>
                <w:sz w:val="18"/>
                <w:szCs w:val="18"/>
              </w:rPr>
              <w:t>沈永健、</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周维君、</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广州中照</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龙腾资产</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管理合伙</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企业（有</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8"/>
                <w:sz w:val="18"/>
                <w:szCs w:val="18"/>
              </w:rPr>
              <w:t>限合伙）、</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深圳前海</w:t>
            </w:r>
          </w:p>
        </w:tc>
        <w:tc>
          <w:tcPr>
            <w:tcW w:w="989" w:type="dxa"/>
            <w:tcBorders>
              <w:top w:val="single" w:sz="4" w:space="0" w:color="000000"/>
              <w:left w:val="single" w:sz="4" w:space="0" w:color="000000"/>
              <w:bottom w:val="single" w:sz="4" w:space="0" w:color="000000"/>
              <w:right w:val="single" w:sz="4" w:space="0" w:color="000000"/>
            </w:tcBorders>
          </w:tcPr>
          <w:p>
            <w:pPr/>
          </w:p>
        </w:tc>
        <w:tc>
          <w:tcPr>
            <w:tcW w:w="3265"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3"/>
              <w:ind w:left="105" w:right="98"/>
              <w:jc w:val="left"/>
              <w:rPr>
                <w:rFonts w:ascii="宋体" w:hAnsi="宋体" w:cs="宋体" w:eastAsia="宋体" w:hint="default"/>
                <w:sz w:val="18"/>
                <w:szCs w:val="18"/>
              </w:rPr>
            </w:pPr>
            <w:r>
              <w:rPr>
                <w:rFonts w:ascii="宋体" w:hAnsi="宋体" w:cs="宋体" w:eastAsia="宋体" w:hint="default"/>
                <w:spacing w:val="-4"/>
                <w:sz w:val="18"/>
                <w:szCs w:val="18"/>
              </w:rPr>
              <w:t>一、关于所提供信息真实、准确、完整</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5"/>
                <w:sz w:val="18"/>
                <w:szCs w:val="18"/>
              </w:rPr>
              <w:t>的承诺：</w:t>
            </w:r>
            <w:r>
              <w:rPr>
                <w:rFonts w:ascii="Times New Roman" w:hAnsi="Times New Roman" w:cs="Times New Roman" w:eastAsia="Times New Roman" w:hint="default"/>
                <w:spacing w:val="-5"/>
                <w:sz w:val="18"/>
                <w:szCs w:val="18"/>
              </w:rPr>
              <w:t>"1</w:t>
            </w:r>
            <w:r>
              <w:rPr>
                <w:rFonts w:ascii="宋体" w:hAnsi="宋体" w:cs="宋体" w:eastAsia="宋体" w:hint="default"/>
                <w:spacing w:val="-5"/>
                <w:sz w:val="18"/>
                <w:szCs w:val="18"/>
              </w:rPr>
              <w:t>、本人</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本企业保证为本次交</w:t>
            </w:r>
            <w:r>
              <w:rPr>
                <w:rFonts w:ascii="宋体" w:hAnsi="宋体" w:cs="宋体" w:eastAsia="宋体" w:hint="default"/>
                <w:spacing w:val="-45"/>
                <w:sz w:val="18"/>
                <w:szCs w:val="18"/>
              </w:rPr>
              <w:t> </w:t>
            </w:r>
            <w:r>
              <w:rPr>
                <w:rFonts w:ascii="宋体" w:hAnsi="宋体" w:cs="宋体" w:eastAsia="宋体" w:hint="default"/>
                <w:spacing w:val="-45"/>
                <w:sz w:val="18"/>
                <w:szCs w:val="18"/>
              </w:rPr>
            </w:r>
            <w:r>
              <w:rPr>
                <w:rFonts w:ascii="宋体" w:hAnsi="宋体" w:cs="宋体" w:eastAsia="宋体" w:hint="default"/>
                <w:spacing w:val="-4"/>
                <w:sz w:val="18"/>
                <w:szCs w:val="18"/>
              </w:rPr>
              <w:t>易所提供信息的真实性、准确性和完整</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4"/>
                <w:sz w:val="18"/>
                <w:szCs w:val="18"/>
              </w:rPr>
              <w:t>性，保证不存在虚假记载、误导性陈述</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4"/>
                <w:sz w:val="18"/>
                <w:szCs w:val="18"/>
              </w:rPr>
              <w:t>或者重大遗漏，并声明承担个别和连带</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6"/>
                <w:sz w:val="18"/>
                <w:szCs w:val="18"/>
              </w:rPr>
              <w:t>的法律责任；同时，本人</w:t>
            </w:r>
            <w:r>
              <w:rPr>
                <w:rFonts w:ascii="Times New Roman" w:hAnsi="Times New Roman" w:cs="Times New Roman" w:eastAsia="Times New Roman" w:hint="default"/>
                <w:spacing w:val="-6"/>
                <w:sz w:val="18"/>
                <w:szCs w:val="18"/>
              </w:rPr>
              <w:t>/</w:t>
            </w:r>
            <w:r>
              <w:rPr>
                <w:rFonts w:ascii="宋体" w:hAnsi="宋体" w:cs="宋体" w:eastAsia="宋体" w:hint="default"/>
                <w:spacing w:val="-6"/>
                <w:sz w:val="18"/>
                <w:szCs w:val="18"/>
              </w:rPr>
              <w:t>本企业不存在</w:t>
            </w:r>
            <w:r>
              <w:rPr>
                <w:rFonts w:ascii="宋体" w:hAnsi="宋体" w:cs="宋体" w:eastAsia="宋体" w:hint="default"/>
                <w:spacing w:val="-47"/>
                <w:sz w:val="18"/>
                <w:szCs w:val="18"/>
              </w:rPr>
              <w:t> </w:t>
            </w:r>
            <w:r>
              <w:rPr>
                <w:rFonts w:ascii="宋体" w:hAnsi="宋体" w:cs="宋体" w:eastAsia="宋体" w:hint="default"/>
                <w:spacing w:val="-47"/>
                <w:sz w:val="18"/>
                <w:szCs w:val="18"/>
              </w:rPr>
            </w:r>
            <w:r>
              <w:rPr>
                <w:rFonts w:ascii="宋体" w:hAnsi="宋体" w:cs="宋体" w:eastAsia="宋体" w:hint="default"/>
                <w:spacing w:val="-3"/>
                <w:sz w:val="18"/>
                <w:szCs w:val="18"/>
              </w:rPr>
              <w:t>泄漏本次重大资产重组内幕信息以及</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利用本次重大资产重组信息进行内幕</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2"/>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12</w:t>
            </w:r>
          </w:p>
          <w:p>
            <w:pPr>
              <w:pStyle w:val="TableParagraph"/>
              <w:spacing w:line="240" w:lineRule="auto" w:before="67"/>
              <w:ind w:left="10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长期有效</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21" w:lineRule="auto" w:before="142"/>
              <w:ind w:left="100" w:right="158"/>
              <w:jc w:val="left"/>
              <w:rPr>
                <w:rFonts w:ascii="宋体" w:hAnsi="宋体" w:cs="宋体" w:eastAsia="宋体" w:hint="default"/>
                <w:sz w:val="18"/>
                <w:szCs w:val="18"/>
              </w:rPr>
            </w:pPr>
            <w:r>
              <w:rPr>
                <w:rFonts w:ascii="宋体" w:hAnsi="宋体" w:cs="宋体" w:eastAsia="宋体" w:hint="default"/>
                <w:sz w:val="18"/>
                <w:szCs w:val="18"/>
              </w:rPr>
              <w:t>正在</w:t>
            </w:r>
            <w:r>
              <w:rPr>
                <w:rFonts w:ascii="宋体" w:hAnsi="宋体" w:cs="宋体" w:eastAsia="宋体" w:hint="default"/>
                <w:spacing w:val="-86"/>
                <w:sz w:val="18"/>
                <w:szCs w:val="18"/>
              </w:rPr>
              <w:t> </w:t>
            </w:r>
            <w:r>
              <w:rPr>
                <w:rFonts w:ascii="宋体" w:hAnsi="宋体" w:cs="宋体" w:eastAsia="宋体" w:hint="default"/>
                <w:sz w:val="18"/>
                <w:szCs w:val="18"/>
              </w:rPr>
              <w:t>履行</w:t>
            </w:r>
          </w:p>
        </w:tc>
      </w:tr>
    </w:tbl>
    <w:p>
      <w:pPr>
        <w:spacing w:after="0" w:line="321" w:lineRule="auto"/>
        <w:jc w:val="left"/>
        <w:rPr>
          <w:rFonts w:ascii="宋体" w:hAnsi="宋体" w:cs="宋体" w:eastAsia="宋体" w:hint="default"/>
          <w:sz w:val="18"/>
          <w:szCs w:val="18"/>
        </w:rPr>
        <w:sectPr>
          <w:pgSz w:w="11910" w:h="16840"/>
          <w:pgMar w:header="784" w:footer="1022" w:top="1100" w:bottom="1220" w:left="980" w:right="0"/>
        </w:sectPr>
      </w:pPr>
    </w:p>
    <w:p>
      <w:pPr>
        <w:spacing w:line="240" w:lineRule="auto" w:before="1"/>
        <w:rPr>
          <w:rFonts w:ascii="Times New Roman" w:hAnsi="Times New Roman" w:cs="Times New Roman" w:eastAsia="Times New Roman" w:hint="default"/>
          <w:sz w:val="29"/>
          <w:szCs w:val="29"/>
        </w:rPr>
      </w:pPr>
    </w:p>
    <w:tbl>
      <w:tblPr>
        <w:tblW w:w="0" w:type="auto"/>
        <w:jc w:val="left"/>
        <w:tblInd w:w="148" w:type="dxa"/>
        <w:tblLayout w:type="fixed"/>
        <w:tblCellMar>
          <w:top w:w="0" w:type="dxa"/>
          <w:left w:w="0" w:type="dxa"/>
          <w:bottom w:w="0" w:type="dxa"/>
          <w:right w:w="0" w:type="dxa"/>
        </w:tblCellMar>
        <w:tblLook w:val="01E0"/>
      </w:tblPr>
      <w:tblGrid>
        <w:gridCol w:w="1561"/>
        <w:gridCol w:w="994"/>
        <w:gridCol w:w="989"/>
        <w:gridCol w:w="3265"/>
        <w:gridCol w:w="1133"/>
        <w:gridCol w:w="994"/>
        <w:gridCol w:w="634"/>
      </w:tblGrid>
      <w:tr>
        <w:trPr>
          <w:trHeight w:val="13742" w:hRule="exact"/>
        </w:trPr>
        <w:tc>
          <w:tcPr>
            <w:tcW w:w="156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5" w:right="151"/>
              <w:jc w:val="both"/>
              <w:rPr>
                <w:rFonts w:ascii="宋体" w:hAnsi="宋体" w:cs="宋体" w:eastAsia="宋体" w:hint="default"/>
                <w:sz w:val="18"/>
                <w:szCs w:val="18"/>
              </w:rPr>
            </w:pPr>
            <w:r>
              <w:rPr>
                <w:rFonts w:ascii="宋体" w:hAnsi="宋体" w:cs="宋体" w:eastAsia="宋体" w:hint="default"/>
                <w:sz w:val="18"/>
                <w:szCs w:val="18"/>
              </w:rPr>
              <w:t>汉华源投</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资企业</w:t>
            </w:r>
          </w:p>
          <w:p>
            <w:pPr>
              <w:pStyle w:val="TableParagraph"/>
              <w:spacing w:line="319" w:lineRule="auto" w:before="19"/>
              <w:ind w:left="105" w:right="151"/>
              <w:jc w:val="both"/>
              <w:rPr>
                <w:rFonts w:ascii="宋体" w:hAnsi="宋体" w:cs="宋体" w:eastAsia="宋体" w:hint="default"/>
                <w:sz w:val="18"/>
                <w:szCs w:val="18"/>
              </w:rPr>
            </w:pPr>
            <w:r>
              <w:rPr>
                <w:rFonts w:ascii="宋体" w:hAnsi="宋体" w:cs="宋体" w:eastAsia="宋体" w:hint="default"/>
                <w:sz w:val="18"/>
                <w:szCs w:val="18"/>
              </w:rPr>
              <w:t>（有限合</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伙）、王</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亚伟、罗</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晓珊</w:t>
            </w:r>
          </w:p>
        </w:tc>
        <w:tc>
          <w:tcPr>
            <w:tcW w:w="989" w:type="dxa"/>
            <w:tcBorders>
              <w:top w:val="single" w:sz="4" w:space="0" w:color="000000"/>
              <w:left w:val="single" w:sz="4" w:space="0" w:color="000000"/>
              <w:bottom w:val="single" w:sz="4" w:space="0" w:color="000000"/>
              <w:right w:val="single" w:sz="4" w:space="0" w:color="000000"/>
            </w:tcBorders>
          </w:tcPr>
          <w:p>
            <w:pPr/>
          </w:p>
        </w:tc>
        <w:tc>
          <w:tcPr>
            <w:tcW w:w="3265"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10"/>
              <w:ind w:left="105" w:right="7"/>
              <w:jc w:val="left"/>
              <w:rPr>
                <w:rFonts w:ascii="宋体" w:hAnsi="宋体" w:cs="宋体" w:eastAsia="宋体" w:hint="default"/>
                <w:sz w:val="18"/>
                <w:szCs w:val="18"/>
              </w:rPr>
            </w:pPr>
            <w:r>
              <w:rPr>
                <w:rFonts w:ascii="宋体" w:hAnsi="宋体" w:cs="宋体" w:eastAsia="宋体" w:hint="default"/>
                <w:spacing w:val="-3"/>
                <w:sz w:val="18"/>
                <w:szCs w:val="18"/>
              </w:rPr>
              <w:t>交易的情形。</w:t>
            </w: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、本人</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本企业保证向参</w:t>
            </w:r>
            <w:r>
              <w:rPr>
                <w:rFonts w:ascii="宋体" w:hAnsi="宋体" w:cs="宋体" w:eastAsia="宋体" w:hint="default"/>
                <w:spacing w:val="-35"/>
                <w:sz w:val="18"/>
                <w:szCs w:val="18"/>
              </w:rPr>
              <w:t> </w:t>
            </w:r>
            <w:r>
              <w:rPr>
                <w:rFonts w:ascii="宋体" w:hAnsi="宋体" w:cs="宋体" w:eastAsia="宋体" w:hint="default"/>
                <w:spacing w:val="-35"/>
                <w:sz w:val="18"/>
                <w:szCs w:val="18"/>
              </w:rPr>
            </w:r>
            <w:r>
              <w:rPr>
                <w:rFonts w:ascii="宋体" w:hAnsi="宋体" w:cs="宋体" w:eastAsia="宋体" w:hint="default"/>
                <w:spacing w:val="-3"/>
                <w:sz w:val="18"/>
                <w:szCs w:val="18"/>
              </w:rPr>
              <w:t>与本次交易的各中介机构所提供的资</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4"/>
                <w:sz w:val="18"/>
                <w:szCs w:val="18"/>
              </w:rPr>
              <w:t>料均为真实、准确、完整的原始书面资</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4"/>
                <w:sz w:val="18"/>
                <w:szCs w:val="18"/>
              </w:rPr>
              <w:t>料或副本资料，资料副本或复印件与其</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原始资料或原件一致；所有文件的签</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4"/>
                <w:sz w:val="18"/>
                <w:szCs w:val="18"/>
              </w:rPr>
              <w:t>名、印章均是真实的，不存在任何虚假</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记载、误导性陈述或者重大遗漏；</w:t>
            </w: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w:t>
            </w:r>
            <w:r>
              <w:rPr>
                <w:rFonts w:ascii="宋体" w:hAnsi="宋体" w:cs="宋体" w:eastAsia="宋体" w:hint="default"/>
                <w:spacing w:val="-35"/>
                <w:sz w:val="18"/>
                <w:szCs w:val="18"/>
              </w:rPr>
              <w:t> </w:t>
            </w:r>
            <w:r>
              <w:rPr>
                <w:rFonts w:ascii="宋体" w:hAnsi="宋体" w:cs="宋体" w:eastAsia="宋体" w:hint="default"/>
                <w:spacing w:val="-3"/>
                <w:sz w:val="18"/>
                <w:szCs w:val="18"/>
              </w:rPr>
              <w:t>本人</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本企业保证为本次交易所出具的</w:t>
            </w:r>
            <w:r>
              <w:rPr>
                <w:rFonts w:ascii="宋体" w:hAnsi="宋体" w:cs="宋体" w:eastAsia="宋体" w:hint="default"/>
                <w:spacing w:val="-38"/>
                <w:sz w:val="18"/>
                <w:szCs w:val="18"/>
              </w:rPr>
              <w:t> </w:t>
            </w:r>
            <w:r>
              <w:rPr>
                <w:rFonts w:ascii="宋体" w:hAnsi="宋体" w:cs="宋体" w:eastAsia="宋体" w:hint="default"/>
                <w:spacing w:val="-38"/>
                <w:sz w:val="18"/>
                <w:szCs w:val="18"/>
              </w:rPr>
            </w:r>
            <w:r>
              <w:rPr>
                <w:rFonts w:ascii="宋体" w:hAnsi="宋体" w:cs="宋体" w:eastAsia="宋体" w:hint="default"/>
                <w:spacing w:val="-3"/>
                <w:sz w:val="18"/>
                <w:szCs w:val="18"/>
              </w:rPr>
              <w:t>说明及确认均为真实、准确和完整的，</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4"/>
                <w:sz w:val="18"/>
                <w:szCs w:val="18"/>
              </w:rPr>
              <w:t>不存在任何虚假记载、误导性陈述或者</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重大遗漏；</w:t>
            </w: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、本人</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本企业承诺，如违</w:t>
            </w:r>
            <w:r>
              <w:rPr>
                <w:rFonts w:ascii="宋体" w:hAnsi="宋体" w:cs="宋体" w:eastAsia="宋体" w:hint="default"/>
                <w:spacing w:val="-34"/>
                <w:sz w:val="18"/>
                <w:szCs w:val="18"/>
              </w:rPr>
              <w:t> </w:t>
            </w:r>
            <w:r>
              <w:rPr>
                <w:rFonts w:ascii="宋体" w:hAnsi="宋体" w:cs="宋体" w:eastAsia="宋体" w:hint="default"/>
                <w:spacing w:val="-34"/>
                <w:sz w:val="18"/>
                <w:szCs w:val="18"/>
              </w:rPr>
            </w:r>
            <w:r>
              <w:rPr>
                <w:rFonts w:ascii="宋体" w:hAnsi="宋体" w:cs="宋体" w:eastAsia="宋体" w:hint="default"/>
                <w:spacing w:val="-3"/>
                <w:sz w:val="18"/>
                <w:szCs w:val="18"/>
              </w:rPr>
              <w:t>反上述保证，将依法承担全部责任。</w:t>
            </w:r>
            <w:r>
              <w:rPr>
                <w:rFonts w:ascii="Times New Roman" w:hAnsi="Times New Roman" w:cs="Times New Roman" w:eastAsia="Times New Roman" w:hint="default"/>
                <w:spacing w:val="-3"/>
                <w:sz w:val="18"/>
                <w:szCs w:val="18"/>
              </w:rPr>
              <w:t>"</w:t>
            </w:r>
            <w:r>
              <w:rPr>
                <w:rFonts w:ascii="Times New Roman" w:hAnsi="Times New Roman" w:cs="Times New Roman" w:eastAsia="Times New Roman" w:hint="default"/>
                <w:spacing w:val="10"/>
                <w:sz w:val="18"/>
                <w:szCs w:val="18"/>
              </w:rPr>
              <w:t> </w:t>
            </w:r>
            <w:r>
              <w:rPr>
                <w:rFonts w:ascii="宋体" w:hAnsi="宋体" w:cs="宋体" w:eastAsia="宋体" w:hint="default"/>
                <w:spacing w:val="-3"/>
                <w:sz w:val="18"/>
                <w:szCs w:val="18"/>
              </w:rPr>
              <w:t>二、关于拟出售资产之权属状况的承</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5"/>
                <w:sz w:val="18"/>
                <w:szCs w:val="18"/>
              </w:rPr>
              <w:t>诺：</w:t>
            </w:r>
            <w:r>
              <w:rPr>
                <w:rFonts w:ascii="Times New Roman" w:hAnsi="Times New Roman" w:cs="Times New Roman" w:eastAsia="Times New Roman" w:hint="default"/>
                <w:spacing w:val="-5"/>
                <w:sz w:val="18"/>
                <w:szCs w:val="18"/>
              </w:rPr>
              <w:t>"1</w:t>
            </w:r>
            <w:r>
              <w:rPr>
                <w:rFonts w:ascii="宋体" w:hAnsi="宋体" w:cs="宋体" w:eastAsia="宋体" w:hint="default"/>
                <w:spacing w:val="-5"/>
                <w:sz w:val="18"/>
                <w:szCs w:val="18"/>
              </w:rPr>
              <w:t>、本人</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本企业系深圳市千百辉照</w:t>
            </w:r>
            <w:r>
              <w:rPr>
                <w:rFonts w:ascii="宋体" w:hAnsi="宋体" w:cs="宋体" w:eastAsia="宋体" w:hint="default"/>
                <w:spacing w:val="-44"/>
                <w:sz w:val="18"/>
                <w:szCs w:val="18"/>
              </w:rPr>
              <w:t> </w:t>
            </w:r>
            <w:r>
              <w:rPr>
                <w:rFonts w:ascii="宋体" w:hAnsi="宋体" w:cs="宋体" w:eastAsia="宋体" w:hint="default"/>
                <w:spacing w:val="-44"/>
                <w:sz w:val="18"/>
                <w:szCs w:val="18"/>
              </w:rPr>
            </w:r>
            <w:r>
              <w:rPr>
                <w:rFonts w:ascii="宋体" w:hAnsi="宋体" w:cs="宋体" w:eastAsia="宋体" w:hint="default"/>
                <w:spacing w:val="-3"/>
                <w:sz w:val="18"/>
                <w:szCs w:val="18"/>
              </w:rPr>
              <w:t>明工程有限公司（以下简称</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千百辉</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r>
              <w:rPr>
                <w:rFonts w:ascii="宋体" w:hAnsi="宋体" w:cs="宋体" w:eastAsia="宋体" w:hint="default"/>
                <w:spacing w:val="-33"/>
                <w:sz w:val="18"/>
                <w:szCs w:val="18"/>
              </w:rPr>
              <w:t> </w:t>
            </w:r>
            <w:r>
              <w:rPr>
                <w:rFonts w:ascii="宋体" w:hAnsi="宋体" w:cs="宋体" w:eastAsia="宋体" w:hint="default"/>
                <w:spacing w:val="-6"/>
                <w:sz w:val="18"/>
                <w:szCs w:val="18"/>
              </w:rPr>
              <w:t>的股东，本人</w:t>
            </w:r>
            <w:r>
              <w:rPr>
                <w:rFonts w:ascii="Times New Roman" w:hAnsi="Times New Roman" w:cs="Times New Roman" w:eastAsia="Times New Roman" w:hint="default"/>
                <w:spacing w:val="-6"/>
                <w:sz w:val="18"/>
                <w:szCs w:val="18"/>
              </w:rPr>
              <w:t>/</w:t>
            </w:r>
            <w:r>
              <w:rPr>
                <w:rFonts w:ascii="宋体" w:hAnsi="宋体" w:cs="宋体" w:eastAsia="宋体" w:hint="default"/>
                <w:spacing w:val="-6"/>
                <w:sz w:val="18"/>
                <w:szCs w:val="18"/>
              </w:rPr>
              <w:t>本企业持有的千百辉的股</w:t>
            </w:r>
            <w:r>
              <w:rPr>
                <w:rFonts w:ascii="宋体" w:hAnsi="宋体" w:cs="宋体" w:eastAsia="宋体" w:hint="default"/>
                <w:spacing w:val="-47"/>
                <w:sz w:val="18"/>
                <w:szCs w:val="18"/>
              </w:rPr>
              <w:t> </w:t>
            </w:r>
            <w:r>
              <w:rPr>
                <w:rFonts w:ascii="宋体" w:hAnsi="宋体" w:cs="宋体" w:eastAsia="宋体" w:hint="default"/>
                <w:spacing w:val="-47"/>
                <w:sz w:val="18"/>
                <w:szCs w:val="18"/>
              </w:rPr>
            </w:r>
            <w:r>
              <w:rPr>
                <w:rFonts w:ascii="宋体" w:hAnsi="宋体" w:cs="宋体" w:eastAsia="宋体" w:hint="default"/>
                <w:spacing w:val="-4"/>
                <w:sz w:val="18"/>
                <w:szCs w:val="18"/>
              </w:rPr>
              <w:t>权权属清晰，不存在权属争议或潜在纠</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4"/>
                <w:sz w:val="18"/>
                <w:szCs w:val="18"/>
              </w:rPr>
              <w:t>纷，不存在国家法律、法规、规章及规</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范性文件规定不适宜担任股东的情形。</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、本人</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本企业用于出资或增资的资金</w:t>
            </w:r>
            <w:r>
              <w:rPr>
                <w:rFonts w:ascii="宋体" w:hAnsi="宋体" w:cs="宋体" w:eastAsia="宋体" w:hint="default"/>
                <w:spacing w:val="-35"/>
                <w:sz w:val="18"/>
                <w:szCs w:val="18"/>
              </w:rPr>
              <w:t> </w:t>
            </w:r>
            <w:r>
              <w:rPr>
                <w:rFonts w:ascii="宋体" w:hAnsi="宋体" w:cs="宋体" w:eastAsia="宋体" w:hint="default"/>
                <w:spacing w:val="-35"/>
                <w:sz w:val="18"/>
                <w:szCs w:val="18"/>
              </w:rPr>
            </w:r>
            <w:r>
              <w:rPr>
                <w:rFonts w:ascii="宋体" w:hAnsi="宋体" w:cs="宋体" w:eastAsia="宋体" w:hint="default"/>
                <w:spacing w:val="-4"/>
                <w:sz w:val="18"/>
                <w:szCs w:val="18"/>
              </w:rPr>
              <w:t>来源合法，以实物、知识产权、土地使</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用权等非货币财产出资的，已评估作</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价，办理完毕财产权转移手续。</w:t>
            </w: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、历</w:t>
            </w:r>
            <w:r>
              <w:rPr>
                <w:rFonts w:ascii="宋体" w:hAnsi="宋体" w:cs="宋体" w:eastAsia="宋体" w:hint="default"/>
                <w:spacing w:val="-35"/>
                <w:sz w:val="18"/>
                <w:szCs w:val="18"/>
              </w:rPr>
              <w:t> </w:t>
            </w:r>
            <w:r>
              <w:rPr>
                <w:rFonts w:ascii="宋体" w:hAnsi="宋体" w:cs="宋体" w:eastAsia="宋体" w:hint="default"/>
                <w:spacing w:val="-3"/>
                <w:sz w:val="18"/>
                <w:szCs w:val="18"/>
              </w:rPr>
              <w:t>次股权转让行为是本人</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本企业自愿做</w:t>
            </w:r>
            <w:r>
              <w:rPr>
                <w:rFonts w:ascii="宋体" w:hAnsi="宋体" w:cs="宋体" w:eastAsia="宋体" w:hint="default"/>
                <w:spacing w:val="-38"/>
                <w:sz w:val="18"/>
                <w:szCs w:val="18"/>
              </w:rPr>
              <w:t> </w:t>
            </w:r>
            <w:r>
              <w:rPr>
                <w:rFonts w:ascii="宋体" w:hAnsi="宋体" w:cs="宋体" w:eastAsia="宋体" w:hint="default"/>
                <w:spacing w:val="-38"/>
                <w:sz w:val="18"/>
                <w:szCs w:val="18"/>
              </w:rPr>
            </w:r>
            <w:r>
              <w:rPr>
                <w:rFonts w:ascii="宋体" w:hAnsi="宋体" w:cs="宋体" w:eastAsia="宋体" w:hint="default"/>
                <w:spacing w:val="-4"/>
                <w:sz w:val="18"/>
                <w:szCs w:val="18"/>
              </w:rPr>
              <w:t>出的真实意思表示，历次股权转让行为</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4"/>
                <w:sz w:val="18"/>
                <w:szCs w:val="18"/>
              </w:rPr>
              <w:t>真实、合法、有效，已足额支付相关股</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4"/>
                <w:sz w:val="18"/>
                <w:szCs w:val="18"/>
              </w:rPr>
              <w:t>权转让价款，不存在任何纠纷及纠纷隐</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患。</w:t>
            </w: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、本人</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本企业所持有的千百辉股</w:t>
            </w:r>
            <w:r>
              <w:rPr>
                <w:rFonts w:ascii="宋体" w:hAnsi="宋体" w:cs="宋体" w:eastAsia="宋体" w:hint="default"/>
                <w:spacing w:val="-34"/>
                <w:sz w:val="18"/>
                <w:szCs w:val="18"/>
              </w:rPr>
              <w:t> </w:t>
            </w:r>
            <w:r>
              <w:rPr>
                <w:rFonts w:ascii="宋体" w:hAnsi="宋体" w:cs="宋体" w:eastAsia="宋体" w:hint="default"/>
                <w:spacing w:val="-34"/>
                <w:sz w:val="18"/>
                <w:szCs w:val="18"/>
              </w:rPr>
            </w:r>
            <w:r>
              <w:rPr>
                <w:rFonts w:ascii="宋体" w:hAnsi="宋体" w:cs="宋体" w:eastAsia="宋体" w:hint="default"/>
                <w:spacing w:val="-6"/>
                <w:w w:val="101"/>
                <w:sz w:val="18"/>
                <w:szCs w:val="18"/>
              </w:rPr>
              <w:t>权为本人</w:t>
            </w:r>
            <w:r>
              <w:rPr>
                <w:rFonts w:ascii="Times New Roman" w:hAnsi="Times New Roman" w:cs="Times New Roman" w:eastAsia="Times New Roman" w:hint="default"/>
                <w:spacing w:val="-6"/>
                <w:w w:val="101"/>
                <w:sz w:val="18"/>
                <w:szCs w:val="18"/>
              </w:rPr>
              <w:t>/</w:t>
            </w:r>
            <w:r>
              <w:rPr>
                <w:rFonts w:ascii="宋体" w:hAnsi="宋体" w:cs="宋体" w:eastAsia="宋体" w:hint="default"/>
                <w:spacing w:val="-6"/>
                <w:w w:val="101"/>
                <w:sz w:val="18"/>
                <w:szCs w:val="18"/>
              </w:rPr>
              <w:t>本企业真实持有，与其他股东</w:t>
            </w:r>
            <w:r>
              <w:rPr>
                <w:rFonts w:ascii="宋体" w:hAnsi="宋体" w:cs="宋体" w:eastAsia="宋体" w:hint="default"/>
                <w:spacing w:val="-90"/>
                <w:w w:val="101"/>
                <w:sz w:val="18"/>
                <w:szCs w:val="18"/>
              </w:rPr>
              <w:t> </w:t>
            </w:r>
            <w:r>
              <w:rPr>
                <w:rFonts w:ascii="宋体" w:hAnsi="宋体" w:cs="宋体" w:eastAsia="宋体" w:hint="default"/>
                <w:spacing w:val="-90"/>
                <w:w w:val="101"/>
                <w:sz w:val="18"/>
                <w:szCs w:val="18"/>
              </w:rPr>
            </w:r>
            <w:r>
              <w:rPr>
                <w:rFonts w:ascii="宋体" w:hAnsi="宋体" w:cs="宋体" w:eastAsia="宋体" w:hint="default"/>
                <w:spacing w:val="-3"/>
                <w:sz w:val="18"/>
                <w:szCs w:val="18"/>
              </w:rPr>
              <w:t>及任何第三方之间不存在任何委托持</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4"/>
                <w:sz w:val="18"/>
                <w:szCs w:val="18"/>
              </w:rPr>
              <w:t>股、信托持股或其他利益安排，不存在</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纠纷或潜在纠纷。</w:t>
            </w:r>
            <w:r>
              <w:rPr>
                <w:rFonts w:ascii="Times New Roman" w:hAnsi="Times New Roman" w:cs="Times New Roman" w:eastAsia="Times New Roman" w:hint="default"/>
                <w:spacing w:val="-3"/>
                <w:sz w:val="18"/>
                <w:szCs w:val="18"/>
              </w:rPr>
              <w:t>5</w:t>
            </w:r>
            <w:r>
              <w:rPr>
                <w:rFonts w:ascii="宋体" w:hAnsi="宋体" w:cs="宋体" w:eastAsia="宋体" w:hint="default"/>
                <w:spacing w:val="-3"/>
                <w:sz w:val="18"/>
                <w:szCs w:val="18"/>
              </w:rPr>
              <w:t>、本人</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本企业持有</w:t>
            </w:r>
            <w:r>
              <w:rPr>
                <w:rFonts w:ascii="宋体" w:hAnsi="宋体" w:cs="宋体" w:eastAsia="宋体" w:hint="default"/>
                <w:spacing w:val="-35"/>
                <w:sz w:val="18"/>
                <w:szCs w:val="18"/>
              </w:rPr>
              <w:t> </w:t>
            </w:r>
            <w:r>
              <w:rPr>
                <w:rFonts w:ascii="宋体" w:hAnsi="宋体" w:cs="宋体" w:eastAsia="宋体" w:hint="default"/>
                <w:spacing w:val="-35"/>
                <w:sz w:val="18"/>
                <w:szCs w:val="18"/>
              </w:rPr>
            </w:r>
            <w:r>
              <w:rPr>
                <w:rFonts w:ascii="宋体" w:hAnsi="宋体" w:cs="宋体" w:eastAsia="宋体" w:hint="default"/>
                <w:spacing w:val="-4"/>
                <w:sz w:val="18"/>
                <w:szCs w:val="18"/>
              </w:rPr>
              <w:t>的千百辉股权均未设置质押，亦未设置</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4"/>
                <w:sz w:val="18"/>
                <w:szCs w:val="18"/>
              </w:rPr>
              <w:t>任何第三方权益，未对该等股权所含的</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投票权、收益权做任何限制性安排。</w:t>
            </w:r>
            <w:r>
              <w:rPr>
                <w:rFonts w:ascii="Times New Roman" w:hAnsi="Times New Roman" w:cs="Times New Roman" w:eastAsia="Times New Roman" w:hint="default"/>
                <w:spacing w:val="-3"/>
                <w:sz w:val="18"/>
                <w:szCs w:val="18"/>
              </w:rPr>
              <w:t>6</w:t>
            </w:r>
            <w:r>
              <w:rPr>
                <w:rFonts w:ascii="宋体" w:hAnsi="宋体" w:cs="宋体" w:eastAsia="宋体" w:hint="default"/>
                <w:spacing w:val="-3"/>
                <w:sz w:val="18"/>
                <w:szCs w:val="18"/>
              </w:rPr>
              <w:t>、</w:t>
            </w:r>
            <w:r>
              <w:rPr>
                <w:rFonts w:ascii="宋体" w:hAnsi="宋体" w:cs="宋体" w:eastAsia="宋体" w:hint="default"/>
                <w:spacing w:val="-48"/>
                <w:sz w:val="18"/>
                <w:szCs w:val="18"/>
              </w:rPr>
              <w:t> </w:t>
            </w:r>
            <w:r>
              <w:rPr>
                <w:rFonts w:ascii="宋体" w:hAnsi="宋体" w:cs="宋体" w:eastAsia="宋体" w:hint="default"/>
                <w:spacing w:val="-3"/>
                <w:sz w:val="18"/>
                <w:szCs w:val="18"/>
              </w:rPr>
              <w:t>本人</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本企业持有的千百辉股权均不存</w:t>
            </w:r>
            <w:r>
              <w:rPr>
                <w:rFonts w:ascii="宋体" w:hAnsi="宋体" w:cs="宋体" w:eastAsia="宋体" w:hint="default"/>
                <w:spacing w:val="-38"/>
                <w:sz w:val="18"/>
                <w:szCs w:val="18"/>
              </w:rPr>
              <w:t> </w:t>
            </w:r>
            <w:r>
              <w:rPr>
                <w:rFonts w:ascii="宋体" w:hAnsi="宋体" w:cs="宋体" w:eastAsia="宋体" w:hint="default"/>
                <w:spacing w:val="-38"/>
                <w:sz w:val="18"/>
                <w:szCs w:val="18"/>
              </w:rPr>
            </w:r>
            <w:r>
              <w:rPr>
                <w:rFonts w:ascii="宋体" w:hAnsi="宋体" w:cs="宋体" w:eastAsia="宋体" w:hint="default"/>
                <w:spacing w:val="-3"/>
                <w:sz w:val="18"/>
                <w:szCs w:val="18"/>
              </w:rPr>
              <w:t>在被司法冻结、查封等权利受限情形。</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三、关于保障上市公司独立性的承诺：</w:t>
            </w:r>
            <w:r>
              <w:rPr>
                <w:rFonts w:ascii="宋体" w:hAnsi="宋体" w:cs="宋体" w:eastAsia="宋体" w:hint="default"/>
                <w:spacing w:val="-33"/>
                <w:sz w:val="18"/>
                <w:szCs w:val="18"/>
              </w:rPr>
              <w:t> </w:t>
            </w:r>
            <w:r>
              <w:rPr>
                <w:rFonts w:ascii="宋体" w:hAnsi="宋体" w:cs="宋体" w:eastAsia="宋体" w:hint="default"/>
                <w:spacing w:val="-33"/>
                <w:sz w:val="18"/>
                <w:szCs w:val="18"/>
              </w:rPr>
            </w:r>
            <w:r>
              <w:rPr>
                <w:rFonts w:ascii="Times New Roman" w:hAnsi="Times New Roman" w:cs="Times New Roman" w:eastAsia="Times New Roman" w:hint="default"/>
                <w:spacing w:val="-5"/>
                <w:sz w:val="18"/>
                <w:szCs w:val="18"/>
              </w:rPr>
              <w:t>"1</w:t>
            </w:r>
            <w:r>
              <w:rPr>
                <w:rFonts w:ascii="宋体" w:hAnsi="宋体" w:cs="宋体" w:eastAsia="宋体" w:hint="default"/>
                <w:spacing w:val="-5"/>
                <w:sz w:val="18"/>
                <w:szCs w:val="18"/>
              </w:rPr>
              <w:t>、本人</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本企业保证为本次交易承诺在</w:t>
            </w:r>
            <w:r>
              <w:rPr>
                <w:rFonts w:ascii="宋体" w:hAnsi="宋体" w:cs="宋体" w:eastAsia="宋体" w:hint="default"/>
                <w:spacing w:val="-44"/>
                <w:sz w:val="18"/>
                <w:szCs w:val="18"/>
              </w:rPr>
              <w:t> </w:t>
            </w:r>
            <w:r>
              <w:rPr>
                <w:rFonts w:ascii="宋体" w:hAnsi="宋体" w:cs="宋体" w:eastAsia="宋体" w:hint="default"/>
                <w:spacing w:val="-44"/>
                <w:sz w:val="18"/>
                <w:szCs w:val="18"/>
              </w:rPr>
            </w:r>
            <w:r>
              <w:rPr>
                <w:rFonts w:ascii="宋体" w:hAnsi="宋体" w:cs="宋体" w:eastAsia="宋体" w:hint="default"/>
                <w:spacing w:val="-9"/>
                <w:sz w:val="18"/>
                <w:szCs w:val="18"/>
              </w:rPr>
              <w:t>本次交易完成后，遵守相关法律、法规、</w:t>
            </w:r>
            <w:r>
              <w:rPr>
                <w:rFonts w:ascii="宋体" w:hAnsi="宋体" w:cs="宋体" w:eastAsia="宋体" w:hint="default"/>
                <w:spacing w:val="-31"/>
                <w:sz w:val="18"/>
                <w:szCs w:val="18"/>
              </w:rPr>
              <w:t> </w:t>
            </w:r>
            <w:r>
              <w:rPr>
                <w:rFonts w:ascii="宋体" w:hAnsi="宋体" w:cs="宋体" w:eastAsia="宋体" w:hint="default"/>
                <w:spacing w:val="-31"/>
                <w:sz w:val="18"/>
                <w:szCs w:val="18"/>
              </w:rPr>
            </w:r>
            <w:r>
              <w:rPr>
                <w:rFonts w:ascii="宋体" w:hAnsi="宋体" w:cs="宋体" w:eastAsia="宋体" w:hint="default"/>
                <w:spacing w:val="-4"/>
                <w:sz w:val="18"/>
                <w:szCs w:val="18"/>
              </w:rPr>
              <w:t>规章、其他规范性文件及公司章程的规</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4"/>
                <w:sz w:val="18"/>
                <w:szCs w:val="18"/>
              </w:rPr>
              <w:t>定，依法行使股东权利，不利用其身份</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4"/>
                <w:sz w:val="18"/>
                <w:szCs w:val="18"/>
              </w:rPr>
              <w:t>影响奥拓电子的独立性，保持奥拓电子</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4"/>
                <w:sz w:val="18"/>
                <w:szCs w:val="18"/>
              </w:rPr>
              <w:t>在资产、人员、财务、机构和业务方面</w:t>
            </w: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63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84" w:footer="1022" w:top="1100" w:bottom="1220" w:left="980" w:right="0"/>
        </w:sectPr>
      </w:pPr>
    </w:p>
    <w:p>
      <w:pPr>
        <w:spacing w:line="240" w:lineRule="auto" w:before="1"/>
        <w:rPr>
          <w:rFonts w:ascii="Times New Roman" w:hAnsi="Times New Roman" w:cs="Times New Roman" w:eastAsia="Times New Roman" w:hint="default"/>
          <w:sz w:val="29"/>
          <w:szCs w:val="29"/>
        </w:rPr>
      </w:pPr>
    </w:p>
    <w:tbl>
      <w:tblPr>
        <w:tblW w:w="0" w:type="auto"/>
        <w:jc w:val="left"/>
        <w:tblInd w:w="148" w:type="dxa"/>
        <w:tblLayout w:type="fixed"/>
        <w:tblCellMar>
          <w:top w:w="0" w:type="dxa"/>
          <w:left w:w="0" w:type="dxa"/>
          <w:bottom w:w="0" w:type="dxa"/>
          <w:right w:w="0" w:type="dxa"/>
        </w:tblCellMar>
        <w:tblLook w:val="01E0"/>
      </w:tblPr>
      <w:tblGrid>
        <w:gridCol w:w="1561"/>
        <w:gridCol w:w="994"/>
        <w:gridCol w:w="989"/>
        <w:gridCol w:w="3265"/>
        <w:gridCol w:w="1133"/>
        <w:gridCol w:w="994"/>
        <w:gridCol w:w="634"/>
      </w:tblGrid>
      <w:tr>
        <w:trPr>
          <w:trHeight w:val="9098" w:hRule="exact"/>
        </w:trPr>
        <w:tc>
          <w:tcPr>
            <w:tcW w:w="156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326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10"/>
              <w:ind w:left="105" w:right="7"/>
              <w:jc w:val="left"/>
              <w:rPr>
                <w:rFonts w:ascii="Times New Roman" w:hAnsi="Times New Roman" w:cs="Times New Roman" w:eastAsia="Times New Roman" w:hint="default"/>
                <w:sz w:val="18"/>
                <w:szCs w:val="18"/>
              </w:rPr>
            </w:pPr>
            <w:r>
              <w:rPr>
                <w:rFonts w:ascii="宋体" w:hAnsi="宋体" w:cs="宋体" w:eastAsia="宋体" w:hint="default"/>
                <w:spacing w:val="-3"/>
                <w:sz w:val="18"/>
                <w:szCs w:val="18"/>
              </w:rPr>
              <w:t>的完整性和独立性。</w:t>
            </w: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、本人</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本企业承</w:t>
            </w:r>
            <w:r>
              <w:rPr>
                <w:rFonts w:ascii="宋体" w:hAnsi="宋体" w:cs="宋体" w:eastAsia="宋体" w:hint="default"/>
                <w:spacing w:val="-34"/>
                <w:sz w:val="18"/>
                <w:szCs w:val="18"/>
              </w:rPr>
              <w:t> </w:t>
            </w:r>
            <w:r>
              <w:rPr>
                <w:rFonts w:ascii="宋体" w:hAnsi="宋体" w:cs="宋体" w:eastAsia="宋体" w:hint="default"/>
                <w:spacing w:val="-34"/>
                <w:sz w:val="18"/>
                <w:szCs w:val="18"/>
              </w:rPr>
            </w:r>
            <w:r>
              <w:rPr>
                <w:rFonts w:ascii="宋体" w:hAnsi="宋体" w:cs="宋体" w:eastAsia="宋体" w:hint="default"/>
                <w:spacing w:val="-4"/>
                <w:sz w:val="18"/>
                <w:szCs w:val="18"/>
              </w:rPr>
              <w:t>诺，如违反上述保证和承诺，将依法承</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8"/>
                <w:sz w:val="18"/>
                <w:szCs w:val="18"/>
              </w:rPr>
              <w:t>担全部责任。</w:t>
            </w:r>
            <w:r>
              <w:rPr>
                <w:rFonts w:ascii="Times New Roman" w:hAnsi="Times New Roman" w:cs="Times New Roman" w:eastAsia="Times New Roman" w:hint="default"/>
                <w:spacing w:val="-8"/>
                <w:sz w:val="18"/>
                <w:szCs w:val="18"/>
              </w:rPr>
              <w:t>"</w:t>
            </w:r>
            <w:r>
              <w:rPr>
                <w:rFonts w:ascii="宋体" w:hAnsi="宋体" w:cs="宋体" w:eastAsia="宋体" w:hint="default"/>
                <w:spacing w:val="-8"/>
                <w:sz w:val="18"/>
                <w:szCs w:val="18"/>
              </w:rPr>
              <w:t>四、关于交易对方无相关</w:t>
            </w:r>
            <w:r>
              <w:rPr>
                <w:rFonts w:ascii="宋体" w:hAnsi="宋体" w:cs="宋体" w:eastAsia="宋体" w:hint="default"/>
                <w:spacing w:val="-34"/>
                <w:sz w:val="18"/>
                <w:szCs w:val="18"/>
              </w:rPr>
              <w:t> </w:t>
            </w:r>
            <w:r>
              <w:rPr>
                <w:rFonts w:ascii="宋体" w:hAnsi="宋体" w:cs="宋体" w:eastAsia="宋体" w:hint="default"/>
                <w:spacing w:val="-34"/>
                <w:sz w:val="18"/>
                <w:szCs w:val="18"/>
              </w:rPr>
            </w:r>
            <w:r>
              <w:rPr>
                <w:rFonts w:ascii="宋体" w:hAnsi="宋体" w:cs="宋体" w:eastAsia="宋体" w:hint="default"/>
                <w:spacing w:val="-3"/>
                <w:sz w:val="18"/>
                <w:szCs w:val="18"/>
              </w:rPr>
              <w:t>情形的承诺函：</w:t>
            </w: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、本次交易前，千百</w:t>
            </w:r>
            <w:r>
              <w:rPr>
                <w:rFonts w:ascii="宋体" w:hAnsi="宋体" w:cs="宋体" w:eastAsia="宋体" w:hint="default"/>
                <w:spacing w:val="-34"/>
                <w:sz w:val="18"/>
                <w:szCs w:val="18"/>
              </w:rPr>
              <w:t> </w:t>
            </w:r>
            <w:r>
              <w:rPr>
                <w:rFonts w:ascii="宋体" w:hAnsi="宋体" w:cs="宋体" w:eastAsia="宋体" w:hint="default"/>
                <w:spacing w:val="-34"/>
                <w:sz w:val="18"/>
                <w:szCs w:val="18"/>
              </w:rPr>
            </w:r>
            <w:r>
              <w:rPr>
                <w:rFonts w:ascii="宋体" w:hAnsi="宋体" w:cs="宋体" w:eastAsia="宋体" w:hint="default"/>
                <w:spacing w:val="-4"/>
                <w:sz w:val="18"/>
                <w:szCs w:val="18"/>
              </w:rPr>
              <w:t>辉及股东、千百辉董事、监事及高级管</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理人员以及千百辉控制的其他企业与</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奥拓电子及本次交易的各中介机构不</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存在关联关系；</w:t>
            </w: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、自出具本承诺函之</w:t>
            </w:r>
            <w:r>
              <w:rPr>
                <w:rFonts w:ascii="宋体" w:hAnsi="宋体" w:cs="宋体" w:eastAsia="宋体" w:hint="default"/>
                <w:spacing w:val="-35"/>
                <w:sz w:val="18"/>
                <w:szCs w:val="18"/>
              </w:rPr>
              <w:t> </w:t>
            </w:r>
            <w:r>
              <w:rPr>
                <w:rFonts w:ascii="宋体" w:hAnsi="宋体" w:cs="宋体" w:eastAsia="宋体" w:hint="default"/>
                <w:spacing w:val="-35"/>
                <w:sz w:val="18"/>
                <w:szCs w:val="18"/>
              </w:rPr>
            </w:r>
            <w:r>
              <w:rPr>
                <w:rFonts w:ascii="宋体" w:hAnsi="宋体" w:cs="宋体" w:eastAsia="宋体" w:hint="default"/>
                <w:spacing w:val="-4"/>
                <w:sz w:val="18"/>
                <w:szCs w:val="18"/>
              </w:rPr>
              <w:t>日起的最近五年，千百辉及股东、千百</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4"/>
                <w:sz w:val="18"/>
                <w:szCs w:val="18"/>
              </w:rPr>
              <w:t>辉董事、监事及高级管理人员未受到行</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9"/>
                <w:sz w:val="18"/>
                <w:szCs w:val="18"/>
              </w:rPr>
              <w:t>政处罚（与证券市场明显无关的除外）、</w:t>
            </w:r>
            <w:r>
              <w:rPr>
                <w:rFonts w:ascii="宋体" w:hAnsi="宋体" w:cs="宋体" w:eastAsia="宋体" w:hint="default"/>
                <w:spacing w:val="-31"/>
                <w:sz w:val="18"/>
                <w:szCs w:val="18"/>
              </w:rPr>
              <w:t> </w:t>
            </w:r>
            <w:r>
              <w:rPr>
                <w:rFonts w:ascii="宋体" w:hAnsi="宋体" w:cs="宋体" w:eastAsia="宋体" w:hint="default"/>
                <w:spacing w:val="-31"/>
                <w:sz w:val="18"/>
                <w:szCs w:val="18"/>
              </w:rPr>
            </w:r>
            <w:r>
              <w:rPr>
                <w:rFonts w:ascii="宋体" w:hAnsi="宋体" w:cs="宋体" w:eastAsia="宋体" w:hint="default"/>
                <w:spacing w:val="-4"/>
                <w:sz w:val="18"/>
                <w:szCs w:val="18"/>
              </w:rPr>
              <w:t>刑事处罚，亦未涉及重大的未决诉讼或</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者仲裁；</w:t>
            </w: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、千百辉及股东、千百辉董</w:t>
            </w:r>
            <w:r>
              <w:rPr>
                <w:rFonts w:ascii="宋体" w:hAnsi="宋体" w:cs="宋体" w:eastAsia="宋体" w:hint="default"/>
                <w:spacing w:val="-36"/>
                <w:sz w:val="18"/>
                <w:szCs w:val="18"/>
              </w:rPr>
              <w:t> </w:t>
            </w:r>
            <w:r>
              <w:rPr>
                <w:rFonts w:ascii="宋体" w:hAnsi="宋体" w:cs="宋体" w:eastAsia="宋体" w:hint="default"/>
                <w:spacing w:val="-36"/>
                <w:sz w:val="18"/>
                <w:szCs w:val="18"/>
              </w:rPr>
            </w:r>
            <w:r>
              <w:rPr>
                <w:rFonts w:ascii="宋体" w:hAnsi="宋体" w:cs="宋体" w:eastAsia="宋体" w:hint="default"/>
                <w:spacing w:val="-4"/>
                <w:sz w:val="18"/>
                <w:szCs w:val="18"/>
              </w:rPr>
              <w:t>事、监事及高级管理人员以及千百辉控</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制的其他企业不存在因涉嫌重大资产</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重组相关的内幕交易被立案调查或者</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4"/>
                <w:sz w:val="18"/>
                <w:szCs w:val="18"/>
              </w:rPr>
              <w:t>立案侦查，最近五年不存在被中国证监</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会作出行政处罚或者司法机关依法追</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4"/>
                <w:sz w:val="18"/>
                <w:szCs w:val="18"/>
              </w:rPr>
              <w:t>究刑事责任的情况，不存在《关于加强</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与上市公司重大资产重组相关股票异</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4"/>
                <w:sz w:val="18"/>
                <w:szCs w:val="18"/>
              </w:rPr>
              <w:t>常交易监管的暂行规定》第十三条规定</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中不得参与任何上市公司重大资产重</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组情形；</w:t>
            </w: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、千百辉及股东、千百辉董</w:t>
            </w:r>
            <w:r>
              <w:rPr>
                <w:rFonts w:ascii="宋体" w:hAnsi="宋体" w:cs="宋体" w:eastAsia="宋体" w:hint="default"/>
                <w:spacing w:val="-36"/>
                <w:sz w:val="18"/>
                <w:szCs w:val="18"/>
              </w:rPr>
              <w:t> </w:t>
            </w:r>
            <w:r>
              <w:rPr>
                <w:rFonts w:ascii="宋体" w:hAnsi="宋体" w:cs="宋体" w:eastAsia="宋体" w:hint="default"/>
                <w:spacing w:val="-36"/>
                <w:sz w:val="18"/>
                <w:szCs w:val="18"/>
              </w:rPr>
            </w:r>
            <w:r>
              <w:rPr>
                <w:rFonts w:ascii="宋体" w:hAnsi="宋体" w:cs="宋体" w:eastAsia="宋体" w:hint="default"/>
                <w:spacing w:val="-4"/>
                <w:sz w:val="18"/>
                <w:szCs w:val="18"/>
              </w:rPr>
              <w:t>事、监事及高级管理人员最近五年不存</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4"/>
                <w:sz w:val="18"/>
                <w:szCs w:val="18"/>
              </w:rPr>
              <w:t>在未偿还大额债务、未履行承诺、被中</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国证监会采取行政监管措施或受到证</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券交易所纪律处分的情形；</w:t>
            </w:r>
            <w:r>
              <w:rPr>
                <w:rFonts w:ascii="Times New Roman" w:hAnsi="Times New Roman" w:cs="Times New Roman" w:eastAsia="Times New Roman" w:hint="default"/>
                <w:spacing w:val="-3"/>
                <w:sz w:val="18"/>
                <w:szCs w:val="18"/>
              </w:rPr>
              <w:t>5</w:t>
            </w:r>
            <w:r>
              <w:rPr>
                <w:rFonts w:ascii="宋体" w:hAnsi="宋体" w:cs="宋体" w:eastAsia="宋体" w:hint="default"/>
                <w:spacing w:val="-3"/>
                <w:sz w:val="18"/>
                <w:szCs w:val="18"/>
              </w:rPr>
              <w:t>、本人</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本</w:t>
            </w:r>
            <w:r>
              <w:rPr>
                <w:rFonts w:ascii="宋体" w:hAnsi="宋体" w:cs="宋体" w:eastAsia="宋体" w:hint="default"/>
                <w:spacing w:val="-35"/>
                <w:sz w:val="18"/>
                <w:szCs w:val="18"/>
              </w:rPr>
              <w:t> </w:t>
            </w:r>
            <w:r>
              <w:rPr>
                <w:rFonts w:ascii="宋体" w:hAnsi="宋体" w:cs="宋体" w:eastAsia="宋体" w:hint="default"/>
                <w:spacing w:val="-4"/>
                <w:sz w:val="18"/>
                <w:szCs w:val="18"/>
              </w:rPr>
              <w:t>企业承诺，如违反上述保证，将依法承</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z w:val="18"/>
                <w:szCs w:val="18"/>
              </w:rPr>
              <w:t>担全部责任。</w:t>
            </w:r>
            <w:r>
              <w:rPr>
                <w:rFonts w:ascii="Times New Roman" w:hAnsi="Times New Roman" w:cs="Times New Roman" w:eastAsia="Times New Roman" w:hint="default"/>
                <w:sz w:val="18"/>
                <w:szCs w:val="18"/>
              </w:rPr>
              <w:t>"</w:t>
            </w: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634" w:type="dxa"/>
            <w:tcBorders>
              <w:top w:val="single" w:sz="4" w:space="0" w:color="000000"/>
              <w:left w:val="single" w:sz="4" w:space="0" w:color="000000"/>
              <w:bottom w:val="single" w:sz="4" w:space="0" w:color="000000"/>
              <w:right w:val="single" w:sz="4" w:space="0" w:color="000000"/>
            </w:tcBorders>
          </w:tcPr>
          <w:p>
            <w:pPr/>
          </w:p>
        </w:tc>
      </w:tr>
      <w:tr>
        <w:trPr>
          <w:trHeight w:val="3837" w:hRule="exact"/>
        </w:trPr>
        <w:tc>
          <w:tcPr>
            <w:tcW w:w="156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26"/>
                <w:szCs w:val="26"/>
              </w:rPr>
            </w:pPr>
          </w:p>
          <w:p>
            <w:pPr>
              <w:pStyle w:val="TableParagraph"/>
              <w:spacing w:line="316" w:lineRule="auto"/>
              <w:ind w:left="105" w:right="180"/>
              <w:jc w:val="both"/>
              <w:rPr>
                <w:rFonts w:ascii="宋体" w:hAnsi="宋体" w:cs="宋体" w:eastAsia="宋体" w:hint="default"/>
                <w:sz w:val="18"/>
                <w:szCs w:val="18"/>
              </w:rPr>
            </w:pPr>
            <w:r>
              <w:rPr>
                <w:rFonts w:ascii="宋体" w:hAnsi="宋体" w:cs="宋体" w:eastAsia="宋体" w:hint="default"/>
                <w:spacing w:val="-3"/>
                <w:sz w:val="18"/>
                <w:szCs w:val="18"/>
              </w:rPr>
              <w:t>首次公开发行或</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3"/>
                <w:sz w:val="18"/>
                <w:szCs w:val="18"/>
              </w:rPr>
              <w:t>再融资时所作承</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诺</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14"/>
              <w:ind w:left="105" w:right="151"/>
              <w:jc w:val="both"/>
              <w:rPr>
                <w:rFonts w:ascii="宋体" w:hAnsi="宋体" w:cs="宋体" w:eastAsia="宋体" w:hint="default"/>
                <w:sz w:val="18"/>
                <w:szCs w:val="18"/>
              </w:rPr>
            </w:pPr>
            <w:r>
              <w:rPr>
                <w:rFonts w:ascii="宋体" w:hAnsi="宋体" w:cs="宋体" w:eastAsia="宋体" w:hint="default"/>
                <w:sz w:val="18"/>
                <w:szCs w:val="18"/>
              </w:rPr>
              <w:t>发行人的</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控股股东</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及实际控</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制人、董</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事吴涵渠</w:t>
            </w:r>
          </w:p>
        </w:tc>
        <w:tc>
          <w:tcPr>
            <w:tcW w:w="989" w:type="dxa"/>
            <w:tcBorders>
              <w:top w:val="single" w:sz="4" w:space="0" w:color="000000"/>
              <w:left w:val="single" w:sz="4" w:space="0" w:color="000000"/>
              <w:bottom w:val="single" w:sz="4" w:space="0" w:color="000000"/>
              <w:right w:val="single" w:sz="4" w:space="0" w:color="000000"/>
            </w:tcBorders>
          </w:tcPr>
          <w:p>
            <w:pPr/>
          </w:p>
        </w:tc>
        <w:tc>
          <w:tcPr>
            <w:tcW w:w="326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3"/>
              <w:ind w:left="105" w:right="84"/>
              <w:jc w:val="left"/>
              <w:rPr>
                <w:rFonts w:ascii="宋体" w:hAnsi="宋体" w:cs="宋体" w:eastAsia="宋体" w:hint="default"/>
                <w:sz w:val="18"/>
                <w:szCs w:val="18"/>
              </w:rPr>
            </w:pPr>
            <w:r>
              <w:rPr>
                <w:rFonts w:ascii="宋体" w:hAnsi="宋体" w:cs="宋体" w:eastAsia="宋体" w:hint="default"/>
                <w:sz w:val="18"/>
                <w:szCs w:val="18"/>
              </w:rPr>
              <w:t>自发行人股票上市之日起</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个月内，</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3"/>
                <w:sz w:val="18"/>
                <w:szCs w:val="18"/>
              </w:rPr>
              <w:t>不转让或者委托他人管理本人持有的</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发行人公开发行股票前已发行的股份，</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也不由发行人回购本人持有的发行人</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4"/>
                <w:sz w:val="18"/>
                <w:szCs w:val="18"/>
              </w:rPr>
              <w:t>公开发行股票前已发行的股份。上述锁</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4"/>
                <w:sz w:val="18"/>
                <w:szCs w:val="18"/>
              </w:rPr>
              <w:t>定期届满后，在本人任职期间，每年转</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让的股份不超过本人持有股份总数的</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Times New Roman" w:hAnsi="Times New Roman" w:cs="Times New Roman" w:eastAsia="Times New Roman" w:hint="default"/>
                <w:spacing w:val="-3"/>
                <w:sz w:val="18"/>
                <w:szCs w:val="18"/>
              </w:rPr>
              <w:t>25%</w:t>
            </w:r>
            <w:r>
              <w:rPr>
                <w:rFonts w:ascii="宋体" w:hAnsi="宋体" w:cs="宋体" w:eastAsia="宋体" w:hint="default"/>
                <w:spacing w:val="-3"/>
                <w:sz w:val="18"/>
                <w:szCs w:val="18"/>
              </w:rPr>
              <w:t>，且在离职后半年内，不转让本人</w:t>
            </w:r>
            <w:r>
              <w:rPr>
                <w:rFonts w:ascii="宋体" w:hAnsi="宋体" w:cs="宋体" w:eastAsia="宋体" w:hint="default"/>
                <w:spacing w:val="-35"/>
                <w:sz w:val="18"/>
                <w:szCs w:val="18"/>
              </w:rPr>
              <w:t> </w:t>
            </w:r>
            <w:r>
              <w:rPr>
                <w:rFonts w:ascii="宋体" w:hAnsi="宋体" w:cs="宋体" w:eastAsia="宋体" w:hint="default"/>
                <w:spacing w:val="-35"/>
                <w:sz w:val="18"/>
                <w:szCs w:val="18"/>
              </w:rPr>
            </w:r>
            <w:r>
              <w:rPr>
                <w:rFonts w:ascii="宋体" w:hAnsi="宋体" w:cs="宋体" w:eastAsia="宋体" w:hint="default"/>
                <w:spacing w:val="-4"/>
                <w:sz w:val="18"/>
                <w:szCs w:val="18"/>
              </w:rPr>
              <w:t>所持有的股份；在申报离职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4"/>
                <w:sz w:val="18"/>
                <w:szCs w:val="18"/>
              </w:rPr>
              <w:t> </w:t>
            </w:r>
            <w:r>
              <w:rPr>
                <w:rFonts w:ascii="宋体" w:hAnsi="宋体" w:cs="宋体" w:eastAsia="宋体" w:hint="default"/>
                <w:spacing w:val="-3"/>
                <w:sz w:val="18"/>
                <w:szCs w:val="18"/>
              </w:rPr>
              <w:t>个月后的</w:t>
            </w:r>
          </w:p>
          <w:p>
            <w:pPr>
              <w:pStyle w:val="TableParagraph"/>
              <w:spacing w:line="312" w:lineRule="auto" w:before="1"/>
              <w:ind w:left="105" w:right="219"/>
              <w:jc w:val="both"/>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4"/>
                <w:sz w:val="18"/>
                <w:szCs w:val="18"/>
              </w:rPr>
              <w:t> </w:t>
            </w:r>
            <w:r>
              <w:rPr>
                <w:rFonts w:ascii="宋体" w:hAnsi="宋体" w:cs="宋体" w:eastAsia="宋体" w:hint="default"/>
                <w:spacing w:val="-3"/>
                <w:sz w:val="18"/>
                <w:szCs w:val="18"/>
              </w:rPr>
              <w:t>个月内通过证券交易所挂牌交易出</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3"/>
                <w:sz w:val="18"/>
                <w:szCs w:val="18"/>
              </w:rPr>
              <w:t>售公司股票的数量占本人所持有公司</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z w:val="18"/>
                <w:szCs w:val="18"/>
              </w:rPr>
              <w:t>股票总数的比例不超过</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50%</w:t>
            </w:r>
            <w:r>
              <w:rPr>
                <w:rFonts w:ascii="宋体" w:hAnsi="宋体" w:cs="宋体" w:eastAsia="宋体" w:hint="default"/>
                <w:sz w:val="18"/>
                <w:szCs w:val="18"/>
              </w:rPr>
              <w:t>。</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2010 </w:t>
            </w: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06</w:t>
            </w:r>
          </w:p>
          <w:p>
            <w:pPr>
              <w:pStyle w:val="TableParagraph"/>
              <w:spacing w:line="240" w:lineRule="auto" w:before="68"/>
              <w:ind w:left="10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7"/>
              <w:ind w:right="55"/>
              <w:jc w:val="center"/>
              <w:rPr>
                <w:rFonts w:ascii="宋体" w:hAnsi="宋体" w:cs="宋体" w:eastAsia="宋体" w:hint="default"/>
                <w:sz w:val="18"/>
                <w:szCs w:val="18"/>
              </w:rPr>
            </w:pPr>
            <w:r>
              <w:rPr>
                <w:rFonts w:ascii="宋体" w:hAnsi="宋体" w:cs="宋体" w:eastAsia="宋体" w:hint="default"/>
                <w:sz w:val="18"/>
                <w:szCs w:val="18"/>
              </w:rPr>
              <w:t>长期有效</w:t>
            </w:r>
          </w:p>
        </w:tc>
        <w:tc>
          <w:tcPr>
            <w:tcW w:w="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324" w:lineRule="auto"/>
              <w:ind w:left="100" w:right="156"/>
              <w:jc w:val="left"/>
              <w:rPr>
                <w:rFonts w:ascii="宋体" w:hAnsi="宋体" w:cs="宋体" w:eastAsia="宋体" w:hint="default"/>
                <w:sz w:val="18"/>
                <w:szCs w:val="18"/>
              </w:rPr>
            </w:pPr>
            <w:r>
              <w:rPr>
                <w:rFonts w:ascii="宋体" w:hAnsi="宋体" w:cs="宋体" w:eastAsia="宋体" w:hint="default"/>
                <w:sz w:val="18"/>
                <w:szCs w:val="18"/>
              </w:rPr>
              <w:t>正在</w:t>
            </w:r>
            <w:r>
              <w:rPr>
                <w:rFonts w:ascii="宋体" w:hAnsi="宋体" w:cs="宋体" w:eastAsia="宋体" w:hint="default"/>
                <w:spacing w:val="-86"/>
                <w:sz w:val="18"/>
                <w:szCs w:val="18"/>
              </w:rPr>
              <w:t> </w:t>
            </w:r>
            <w:r>
              <w:rPr>
                <w:rFonts w:ascii="宋体" w:hAnsi="宋体" w:cs="宋体" w:eastAsia="宋体" w:hint="default"/>
                <w:sz w:val="18"/>
                <w:szCs w:val="18"/>
              </w:rPr>
              <w:t>履行</w:t>
            </w:r>
          </w:p>
        </w:tc>
      </w:tr>
      <w:tr>
        <w:trPr>
          <w:trHeight w:val="989" w:hRule="exact"/>
        </w:trPr>
        <w:tc>
          <w:tcPr>
            <w:tcW w:w="1561" w:type="dxa"/>
            <w:vMerge/>
            <w:tcBorders>
              <w:left w:val="single" w:sz="4" w:space="0" w:color="000000"/>
              <w:bottom w:val="single" w:sz="4" w:space="0" w:color="000000"/>
              <w:right w:val="single" w:sz="4" w:space="0" w:color="000000"/>
            </w:tcBorders>
            <w:shd w:val="clear" w:color="auto" w:fill="D2D2D2"/>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105" w:right="151"/>
              <w:jc w:val="left"/>
              <w:rPr>
                <w:rFonts w:ascii="宋体" w:hAnsi="宋体" w:cs="宋体" w:eastAsia="宋体" w:hint="default"/>
                <w:sz w:val="18"/>
                <w:szCs w:val="18"/>
              </w:rPr>
            </w:pPr>
            <w:r>
              <w:rPr>
                <w:rFonts w:ascii="宋体" w:hAnsi="宋体" w:cs="宋体" w:eastAsia="宋体" w:hint="default"/>
                <w:sz w:val="18"/>
                <w:szCs w:val="18"/>
              </w:rPr>
              <w:t>发行时持</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有公司</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Times New Roman" w:hAnsi="Times New Roman" w:cs="Times New Roman" w:eastAsia="Times New Roman" w:hint="default"/>
                <w:sz w:val="18"/>
                <w:szCs w:val="18"/>
              </w:rPr>
              <w:t>5%</w:t>
            </w:r>
            <w:r>
              <w:rPr>
                <w:rFonts w:ascii="宋体" w:hAnsi="宋体" w:cs="宋体" w:eastAsia="宋体" w:hint="default"/>
                <w:sz w:val="18"/>
                <w:szCs w:val="18"/>
              </w:rPr>
              <w:t>以上</w:t>
            </w:r>
          </w:p>
        </w:tc>
        <w:tc>
          <w:tcPr>
            <w:tcW w:w="989" w:type="dxa"/>
            <w:tcBorders>
              <w:top w:val="single" w:sz="4" w:space="0" w:color="000000"/>
              <w:left w:val="single" w:sz="4" w:space="0" w:color="000000"/>
              <w:bottom w:val="single" w:sz="4" w:space="0" w:color="000000"/>
              <w:right w:val="single" w:sz="4" w:space="0" w:color="000000"/>
            </w:tcBorders>
          </w:tcPr>
          <w:p>
            <w:pPr/>
          </w:p>
        </w:tc>
        <w:tc>
          <w:tcPr>
            <w:tcW w:w="3265"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3"/>
              <w:ind w:left="105" w:right="170"/>
              <w:jc w:val="left"/>
              <w:rPr>
                <w:rFonts w:ascii="宋体" w:hAnsi="宋体" w:cs="宋体" w:eastAsia="宋体" w:hint="default"/>
                <w:sz w:val="18"/>
                <w:szCs w:val="18"/>
              </w:rPr>
            </w:pPr>
            <w:r>
              <w:rPr>
                <w:rFonts w:ascii="宋体" w:hAnsi="宋体" w:cs="宋体" w:eastAsia="宋体" w:hint="default"/>
                <w:sz w:val="18"/>
                <w:szCs w:val="18"/>
              </w:rPr>
              <w:t>自发行人股票上市之日起</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个月内，</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3"/>
                <w:sz w:val="18"/>
                <w:szCs w:val="18"/>
              </w:rPr>
              <w:t>不转让本人持有的发行人公开发行股</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票前已发行的股份；上述锁定期届满</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2010 </w:t>
            </w: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06</w:t>
            </w:r>
          </w:p>
          <w:p>
            <w:pPr>
              <w:pStyle w:val="TableParagraph"/>
              <w:spacing w:line="240" w:lineRule="auto" w:before="62"/>
              <w:ind w:left="10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9"/>
              <w:ind w:right="55"/>
              <w:jc w:val="center"/>
              <w:rPr>
                <w:rFonts w:ascii="宋体" w:hAnsi="宋体" w:cs="宋体" w:eastAsia="宋体" w:hint="default"/>
                <w:sz w:val="18"/>
                <w:szCs w:val="18"/>
              </w:rPr>
            </w:pPr>
            <w:r>
              <w:rPr>
                <w:rFonts w:ascii="宋体" w:hAnsi="宋体" w:cs="宋体" w:eastAsia="宋体" w:hint="default"/>
                <w:sz w:val="18"/>
                <w:szCs w:val="18"/>
              </w:rPr>
              <w:t>长期有效</w:t>
            </w:r>
          </w:p>
        </w:tc>
        <w:tc>
          <w:tcPr>
            <w:tcW w:w="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spacing w:line="316" w:lineRule="auto"/>
              <w:ind w:left="100" w:right="156"/>
              <w:jc w:val="left"/>
              <w:rPr>
                <w:rFonts w:ascii="宋体" w:hAnsi="宋体" w:cs="宋体" w:eastAsia="宋体" w:hint="default"/>
                <w:sz w:val="18"/>
                <w:szCs w:val="18"/>
              </w:rPr>
            </w:pPr>
            <w:r>
              <w:rPr>
                <w:rFonts w:ascii="宋体" w:hAnsi="宋体" w:cs="宋体" w:eastAsia="宋体" w:hint="default"/>
                <w:sz w:val="18"/>
                <w:szCs w:val="18"/>
              </w:rPr>
              <w:t>正在</w:t>
            </w:r>
            <w:r>
              <w:rPr>
                <w:rFonts w:ascii="宋体" w:hAnsi="宋体" w:cs="宋体" w:eastAsia="宋体" w:hint="default"/>
                <w:spacing w:val="-86"/>
                <w:sz w:val="18"/>
                <w:szCs w:val="18"/>
              </w:rPr>
              <w:t> </w:t>
            </w:r>
            <w:r>
              <w:rPr>
                <w:rFonts w:ascii="宋体" w:hAnsi="宋体" w:cs="宋体" w:eastAsia="宋体" w:hint="default"/>
                <w:sz w:val="18"/>
                <w:szCs w:val="18"/>
              </w:rPr>
              <w:t>履行</w:t>
            </w:r>
          </w:p>
        </w:tc>
      </w:tr>
    </w:tbl>
    <w:p>
      <w:pPr>
        <w:spacing w:after="0" w:line="316" w:lineRule="auto"/>
        <w:jc w:val="left"/>
        <w:rPr>
          <w:rFonts w:ascii="宋体" w:hAnsi="宋体" w:cs="宋体" w:eastAsia="宋体" w:hint="default"/>
          <w:sz w:val="18"/>
          <w:szCs w:val="18"/>
        </w:rPr>
        <w:sectPr>
          <w:pgSz w:w="11910" w:h="16840"/>
          <w:pgMar w:header="784" w:footer="1022" w:top="1100" w:bottom="1220" w:left="980" w:right="0"/>
        </w:sectPr>
      </w:pPr>
    </w:p>
    <w:p>
      <w:pPr>
        <w:spacing w:line="240" w:lineRule="auto" w:before="1"/>
        <w:rPr>
          <w:rFonts w:ascii="Times New Roman" w:hAnsi="Times New Roman" w:cs="Times New Roman" w:eastAsia="Times New Roman" w:hint="default"/>
          <w:sz w:val="29"/>
          <w:szCs w:val="29"/>
        </w:rPr>
      </w:pPr>
    </w:p>
    <w:tbl>
      <w:tblPr>
        <w:tblW w:w="0" w:type="auto"/>
        <w:jc w:val="left"/>
        <w:tblInd w:w="148" w:type="dxa"/>
        <w:tblLayout w:type="fixed"/>
        <w:tblCellMar>
          <w:top w:w="0" w:type="dxa"/>
          <w:left w:w="0" w:type="dxa"/>
          <w:bottom w:w="0" w:type="dxa"/>
          <w:right w:w="0" w:type="dxa"/>
        </w:tblCellMar>
        <w:tblLook w:val="01E0"/>
      </w:tblPr>
      <w:tblGrid>
        <w:gridCol w:w="1561"/>
        <w:gridCol w:w="994"/>
        <w:gridCol w:w="989"/>
        <w:gridCol w:w="3265"/>
        <w:gridCol w:w="1133"/>
        <w:gridCol w:w="994"/>
        <w:gridCol w:w="636"/>
      </w:tblGrid>
      <w:tr>
        <w:trPr>
          <w:trHeight w:val="2233" w:hRule="exact"/>
        </w:trPr>
        <w:tc>
          <w:tcPr>
            <w:tcW w:w="1561" w:type="dxa"/>
            <w:vMerge w:val="restart"/>
            <w:tcBorders>
              <w:top w:val="single" w:sz="4" w:space="0" w:color="000000"/>
              <w:left w:val="single" w:sz="4" w:space="0" w:color="000000"/>
              <w:right w:val="single" w:sz="4" w:space="0" w:color="000000"/>
            </w:tcBorders>
            <w:shd w:val="clear" w:color="auto" w:fill="D2D2D2"/>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105" w:right="151"/>
              <w:jc w:val="both"/>
              <w:rPr>
                <w:rFonts w:ascii="宋体" w:hAnsi="宋体" w:cs="宋体" w:eastAsia="宋体" w:hint="default"/>
                <w:sz w:val="18"/>
                <w:szCs w:val="18"/>
              </w:rPr>
            </w:pPr>
            <w:r>
              <w:rPr>
                <w:rFonts w:ascii="宋体" w:hAnsi="宋体" w:cs="宋体" w:eastAsia="宋体" w:hint="default"/>
                <w:sz w:val="18"/>
                <w:szCs w:val="18"/>
              </w:rPr>
              <w:t>股份的股</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东同时是</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公司监事</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黄斌</w:t>
            </w:r>
          </w:p>
        </w:tc>
        <w:tc>
          <w:tcPr>
            <w:tcW w:w="989" w:type="dxa"/>
            <w:tcBorders>
              <w:top w:val="single" w:sz="4" w:space="0" w:color="000000"/>
              <w:left w:val="single" w:sz="4" w:space="0" w:color="000000"/>
              <w:bottom w:val="single" w:sz="4" w:space="0" w:color="000000"/>
              <w:right w:val="single" w:sz="4" w:space="0" w:color="000000"/>
            </w:tcBorders>
          </w:tcPr>
          <w:p>
            <w:pPr/>
          </w:p>
        </w:tc>
        <w:tc>
          <w:tcPr>
            <w:tcW w:w="3265"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10"/>
              <w:ind w:left="105" w:right="98"/>
              <w:jc w:val="left"/>
              <w:rPr>
                <w:rFonts w:ascii="宋体" w:hAnsi="宋体" w:cs="宋体" w:eastAsia="宋体" w:hint="default"/>
                <w:sz w:val="18"/>
                <w:szCs w:val="18"/>
              </w:rPr>
            </w:pPr>
            <w:r>
              <w:rPr>
                <w:rFonts w:ascii="宋体" w:hAnsi="宋体" w:cs="宋体" w:eastAsia="宋体" w:hint="default"/>
                <w:spacing w:val="-4"/>
                <w:sz w:val="18"/>
                <w:szCs w:val="18"/>
              </w:rPr>
              <w:t>后，在本人任职期间，每年转让的股份</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不超过本人持有股份总数的 </w:t>
            </w:r>
            <w:r>
              <w:rPr>
                <w:rFonts w:ascii="Times New Roman" w:hAnsi="Times New Roman" w:cs="Times New Roman" w:eastAsia="Times New Roman" w:hint="default"/>
                <w:spacing w:val="-8"/>
                <w:sz w:val="18"/>
                <w:szCs w:val="18"/>
              </w:rPr>
              <w:t>25%</w:t>
            </w:r>
            <w:r>
              <w:rPr>
                <w:rFonts w:ascii="宋体" w:hAnsi="宋体" w:cs="宋体" w:eastAsia="宋体" w:hint="default"/>
                <w:spacing w:val="-8"/>
                <w:sz w:val="18"/>
                <w:szCs w:val="18"/>
              </w:rPr>
              <w:t>，且在</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4"/>
                <w:sz w:val="18"/>
                <w:szCs w:val="18"/>
              </w:rPr>
              <w:t>离职后半年内，不转让本人所持有的股</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z w:val="18"/>
                <w:szCs w:val="18"/>
              </w:rPr>
              <w:t>份；在申报离职</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个月后的</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个月内</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3"/>
                <w:sz w:val="18"/>
                <w:szCs w:val="18"/>
              </w:rPr>
              <w:t>通过证券交易所挂牌交易出售公司股</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票的数量占本人所持有公司股票总数</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z w:val="18"/>
                <w:szCs w:val="18"/>
              </w:rPr>
              <w:t>的比例不超过</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50%</w:t>
            </w:r>
            <w:r>
              <w:rPr>
                <w:rFonts w:ascii="宋体" w:hAnsi="宋体" w:cs="宋体" w:eastAsia="宋体" w:hint="default"/>
                <w:sz w:val="18"/>
                <w:szCs w:val="18"/>
              </w:rPr>
              <w:t>。</w:t>
            </w: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r>
      <w:tr>
        <w:trPr>
          <w:trHeight w:val="8518" w:hRule="exact"/>
        </w:trPr>
        <w:tc>
          <w:tcPr>
            <w:tcW w:w="1561" w:type="dxa"/>
            <w:vMerge/>
            <w:tcBorders>
              <w:left w:val="single" w:sz="4" w:space="0" w:color="000000"/>
              <w:right w:val="single" w:sz="4" w:space="0" w:color="000000"/>
            </w:tcBorders>
            <w:shd w:val="clear" w:color="auto" w:fill="D2D2D2"/>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5"/>
                <w:szCs w:val="15"/>
              </w:rPr>
            </w:pPr>
          </w:p>
          <w:p>
            <w:pPr>
              <w:pStyle w:val="TableParagraph"/>
              <w:spacing w:line="319" w:lineRule="auto"/>
              <w:ind w:left="105" w:right="151"/>
              <w:jc w:val="both"/>
              <w:rPr>
                <w:rFonts w:ascii="宋体" w:hAnsi="宋体" w:cs="宋体" w:eastAsia="宋体" w:hint="default"/>
                <w:sz w:val="18"/>
                <w:szCs w:val="18"/>
              </w:rPr>
            </w:pPr>
            <w:r>
              <w:rPr>
                <w:rFonts w:ascii="宋体" w:hAnsi="宋体" w:cs="宋体" w:eastAsia="宋体" w:hint="default"/>
                <w:sz w:val="18"/>
                <w:szCs w:val="18"/>
              </w:rPr>
              <w:t>发行人的</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控股股东</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及实际控</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制人吴涵</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渠</w:t>
            </w:r>
          </w:p>
        </w:tc>
        <w:tc>
          <w:tcPr>
            <w:tcW w:w="989" w:type="dxa"/>
            <w:tcBorders>
              <w:top w:val="single" w:sz="4" w:space="0" w:color="000000"/>
              <w:left w:val="single" w:sz="4" w:space="0" w:color="000000"/>
              <w:bottom w:val="single" w:sz="4" w:space="0" w:color="000000"/>
              <w:right w:val="single" w:sz="4" w:space="0" w:color="000000"/>
            </w:tcBorders>
          </w:tcPr>
          <w:p>
            <w:pPr/>
          </w:p>
        </w:tc>
        <w:tc>
          <w:tcPr>
            <w:tcW w:w="326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3"/>
              <w:ind w:left="105" w:right="98"/>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、本人及本人控制的企业均未直接或</w:t>
            </w:r>
            <w:r>
              <w:rPr>
                <w:rFonts w:ascii="宋体" w:hAnsi="宋体" w:cs="宋体" w:eastAsia="宋体" w:hint="default"/>
                <w:spacing w:val="-35"/>
                <w:sz w:val="18"/>
                <w:szCs w:val="18"/>
              </w:rPr>
              <w:t> </w:t>
            </w:r>
            <w:r>
              <w:rPr>
                <w:rFonts w:ascii="宋体" w:hAnsi="宋体" w:cs="宋体" w:eastAsia="宋体" w:hint="default"/>
                <w:spacing w:val="-35"/>
                <w:sz w:val="18"/>
                <w:szCs w:val="18"/>
              </w:rPr>
            </w:r>
            <w:r>
              <w:rPr>
                <w:rFonts w:ascii="宋体" w:hAnsi="宋体" w:cs="宋体" w:eastAsia="宋体" w:hint="default"/>
                <w:spacing w:val="-3"/>
                <w:sz w:val="18"/>
                <w:szCs w:val="18"/>
              </w:rPr>
              <w:t>间接经营任何与奥拓电子及其子公司</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经营的业务构成竞争或可能构成竞争</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4"/>
                <w:sz w:val="18"/>
                <w:szCs w:val="18"/>
              </w:rPr>
              <w:t>的业务，也未参与投资任何与奥拓电子</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及其子公司经营的业务构成竞争或可</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能构成竞争的其他企业。</w:t>
            </w: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、本人及本</w:t>
            </w:r>
            <w:r>
              <w:rPr>
                <w:rFonts w:ascii="宋体" w:hAnsi="宋体" w:cs="宋体" w:eastAsia="宋体" w:hint="default"/>
                <w:spacing w:val="-35"/>
                <w:sz w:val="18"/>
                <w:szCs w:val="18"/>
              </w:rPr>
              <w:t> </w:t>
            </w:r>
            <w:r>
              <w:rPr>
                <w:rFonts w:ascii="宋体" w:hAnsi="宋体" w:cs="宋体" w:eastAsia="宋体" w:hint="default"/>
                <w:spacing w:val="-35"/>
                <w:sz w:val="18"/>
                <w:szCs w:val="18"/>
              </w:rPr>
            </w:r>
            <w:r>
              <w:rPr>
                <w:rFonts w:ascii="宋体" w:hAnsi="宋体" w:cs="宋体" w:eastAsia="宋体" w:hint="default"/>
                <w:spacing w:val="-3"/>
                <w:sz w:val="18"/>
                <w:szCs w:val="18"/>
              </w:rPr>
              <w:t>人控制的企业将不直接或间接经营任</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何与奥拓电子及其子公司经营的业务</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4"/>
                <w:sz w:val="18"/>
                <w:szCs w:val="18"/>
              </w:rPr>
              <w:t>构成竞争或可能构成竞争的业务，也不</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参与投资任何与奥拓电子及其子公司</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经营的业务构成竞争或可能构成竞争</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的其他企业。</w:t>
            </w: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、若本人及本人控制的</w:t>
            </w:r>
            <w:r>
              <w:rPr>
                <w:rFonts w:ascii="宋体" w:hAnsi="宋体" w:cs="宋体" w:eastAsia="宋体" w:hint="default"/>
                <w:spacing w:val="-35"/>
                <w:sz w:val="18"/>
                <w:szCs w:val="18"/>
              </w:rPr>
              <w:t> </w:t>
            </w:r>
            <w:r>
              <w:rPr>
                <w:rFonts w:ascii="宋体" w:hAnsi="宋体" w:cs="宋体" w:eastAsia="宋体" w:hint="default"/>
                <w:spacing w:val="-35"/>
                <w:sz w:val="18"/>
                <w:szCs w:val="18"/>
              </w:rPr>
            </w:r>
            <w:r>
              <w:rPr>
                <w:rFonts w:ascii="宋体" w:hAnsi="宋体" w:cs="宋体" w:eastAsia="宋体" w:hint="default"/>
                <w:spacing w:val="-4"/>
                <w:sz w:val="18"/>
                <w:szCs w:val="18"/>
              </w:rPr>
              <w:t>企业进一步拓展业务范围，本人及本人</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控制的企业将不与奥拓电子及其子公</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4"/>
                <w:sz w:val="18"/>
                <w:szCs w:val="18"/>
              </w:rPr>
              <w:t>司拓展后的业务相竞争；若与奥拓电子</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4"/>
                <w:sz w:val="18"/>
                <w:szCs w:val="18"/>
              </w:rPr>
              <w:t>及其子公司拓展后的业务产生竞争，则</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本人及本人控制的企业将以停止经营</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4"/>
                <w:sz w:val="18"/>
                <w:szCs w:val="18"/>
              </w:rPr>
              <w:t>相竞争的业务的方式，或者将相竞争的</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4"/>
                <w:sz w:val="18"/>
                <w:szCs w:val="18"/>
              </w:rPr>
              <w:t>业务纳入到奥拓电子经营的方式，或者</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将相竞争的业务转让给无关联关系的</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第三方的方式避免同业竞争。</w:t>
            </w: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、在本</w:t>
            </w:r>
            <w:r>
              <w:rPr>
                <w:rFonts w:ascii="宋体" w:hAnsi="宋体" w:cs="宋体" w:eastAsia="宋体" w:hint="default"/>
                <w:spacing w:val="-35"/>
                <w:sz w:val="18"/>
                <w:szCs w:val="18"/>
              </w:rPr>
              <w:t> </w:t>
            </w:r>
            <w:r>
              <w:rPr>
                <w:rFonts w:ascii="宋体" w:hAnsi="宋体" w:cs="宋体" w:eastAsia="宋体" w:hint="default"/>
                <w:spacing w:val="-35"/>
                <w:sz w:val="18"/>
                <w:szCs w:val="18"/>
              </w:rPr>
            </w:r>
            <w:r>
              <w:rPr>
                <w:rFonts w:ascii="宋体" w:hAnsi="宋体" w:cs="宋体" w:eastAsia="宋体" w:hint="default"/>
                <w:spacing w:val="-3"/>
                <w:sz w:val="18"/>
                <w:szCs w:val="18"/>
              </w:rPr>
              <w:t>人及本人控制的企业与奥拓电子存在</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关联关系期间，本承诺函为有效之承</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4"/>
                <w:sz w:val="18"/>
                <w:szCs w:val="18"/>
              </w:rPr>
              <w:t>诺。如上述承诺被证明是不真实的或未</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被遵守</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本人将向奥拓电子赔偿一切直</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接和间接损失，并承担相应的法律责</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z w:val="18"/>
                <w:szCs w:val="18"/>
              </w:rPr>
              <w:t>任。</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2010 </w:t>
            </w: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06</w:t>
            </w:r>
          </w:p>
          <w:p>
            <w:pPr>
              <w:pStyle w:val="TableParagraph"/>
              <w:spacing w:line="240" w:lineRule="auto" w:before="63"/>
              <w:ind w:left="10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5"/>
                <w:szCs w:val="15"/>
              </w:rPr>
            </w:pPr>
          </w:p>
          <w:p>
            <w:pPr>
              <w:pStyle w:val="TableParagraph"/>
              <w:spacing w:line="240" w:lineRule="auto"/>
              <w:ind w:right="55"/>
              <w:jc w:val="center"/>
              <w:rPr>
                <w:rFonts w:ascii="宋体" w:hAnsi="宋体" w:cs="宋体" w:eastAsia="宋体" w:hint="default"/>
                <w:sz w:val="18"/>
                <w:szCs w:val="18"/>
              </w:rPr>
            </w:pPr>
            <w:r>
              <w:rPr>
                <w:rFonts w:ascii="宋体" w:hAnsi="宋体" w:cs="宋体" w:eastAsia="宋体" w:hint="default"/>
                <w:sz w:val="18"/>
                <w:szCs w:val="18"/>
              </w:rPr>
              <w:t>长期有效</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0"/>
                <w:szCs w:val="20"/>
              </w:rPr>
            </w:pPr>
          </w:p>
          <w:p>
            <w:pPr>
              <w:pStyle w:val="TableParagraph"/>
              <w:spacing w:line="316" w:lineRule="auto"/>
              <w:ind w:left="100" w:right="158"/>
              <w:jc w:val="left"/>
              <w:rPr>
                <w:rFonts w:ascii="宋体" w:hAnsi="宋体" w:cs="宋体" w:eastAsia="宋体" w:hint="default"/>
                <w:sz w:val="18"/>
                <w:szCs w:val="18"/>
              </w:rPr>
            </w:pPr>
            <w:r>
              <w:rPr>
                <w:rFonts w:ascii="宋体" w:hAnsi="宋体" w:cs="宋体" w:eastAsia="宋体" w:hint="default"/>
                <w:sz w:val="18"/>
                <w:szCs w:val="18"/>
              </w:rPr>
              <w:t>正在</w:t>
            </w:r>
            <w:r>
              <w:rPr>
                <w:rFonts w:ascii="宋体" w:hAnsi="宋体" w:cs="宋体" w:eastAsia="宋体" w:hint="default"/>
                <w:spacing w:val="-86"/>
                <w:sz w:val="18"/>
                <w:szCs w:val="18"/>
              </w:rPr>
              <w:t> </w:t>
            </w:r>
            <w:r>
              <w:rPr>
                <w:rFonts w:ascii="宋体" w:hAnsi="宋体" w:cs="宋体" w:eastAsia="宋体" w:hint="default"/>
                <w:sz w:val="18"/>
                <w:szCs w:val="18"/>
              </w:rPr>
              <w:t>履行</w:t>
            </w:r>
          </w:p>
        </w:tc>
      </w:tr>
      <w:tr>
        <w:trPr>
          <w:trHeight w:val="3174" w:hRule="exact"/>
        </w:trPr>
        <w:tc>
          <w:tcPr>
            <w:tcW w:w="1561" w:type="dxa"/>
            <w:vMerge/>
            <w:tcBorders>
              <w:left w:val="single" w:sz="4" w:space="0" w:color="000000"/>
              <w:bottom w:val="single" w:sz="4" w:space="0" w:color="000000"/>
              <w:right w:val="single" w:sz="4" w:space="0" w:color="000000"/>
            </w:tcBorders>
            <w:shd w:val="clear" w:color="auto" w:fill="D2D2D2"/>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105" w:right="3"/>
              <w:jc w:val="left"/>
              <w:rPr>
                <w:rFonts w:ascii="宋体" w:hAnsi="宋体" w:cs="宋体" w:eastAsia="宋体" w:hint="default"/>
                <w:sz w:val="18"/>
                <w:szCs w:val="18"/>
              </w:rPr>
            </w:pPr>
            <w:r>
              <w:rPr>
                <w:rFonts w:ascii="宋体" w:hAnsi="宋体" w:cs="宋体" w:eastAsia="宋体" w:hint="default"/>
                <w:sz w:val="18"/>
                <w:szCs w:val="18"/>
              </w:rPr>
              <w:t>除控股股</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东之外的</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发起人持</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有公司</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Times New Roman" w:hAnsi="Times New Roman" w:cs="Times New Roman" w:eastAsia="Times New Roman" w:hint="default"/>
                <w:sz w:val="18"/>
                <w:szCs w:val="18"/>
              </w:rPr>
              <w:t>5%</w:t>
            </w:r>
            <w:r>
              <w:rPr>
                <w:rFonts w:ascii="宋体" w:hAnsi="宋体" w:cs="宋体" w:eastAsia="宋体" w:hint="default"/>
                <w:sz w:val="18"/>
                <w:szCs w:val="18"/>
              </w:rPr>
              <w:t>以上</w:t>
            </w:r>
            <w:r>
              <w:rPr>
                <w:rFonts w:ascii="宋体" w:hAnsi="宋体" w:cs="宋体" w:eastAsia="宋体" w:hint="default"/>
                <w:spacing w:val="-86"/>
                <w:sz w:val="18"/>
                <w:szCs w:val="18"/>
              </w:rPr>
              <w:t> </w:t>
            </w:r>
            <w:r>
              <w:rPr>
                <w:rFonts w:ascii="宋体" w:hAnsi="宋体" w:cs="宋体" w:eastAsia="宋体" w:hint="default"/>
                <w:sz w:val="18"/>
                <w:szCs w:val="18"/>
              </w:rPr>
              <w:t>股份股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8"/>
                <w:sz w:val="18"/>
                <w:szCs w:val="18"/>
              </w:rPr>
              <w:t>东：黄斌、</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中检集团</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南方电子</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产品测试</w:t>
            </w:r>
          </w:p>
        </w:tc>
        <w:tc>
          <w:tcPr>
            <w:tcW w:w="989" w:type="dxa"/>
            <w:tcBorders>
              <w:top w:val="single" w:sz="4" w:space="0" w:color="000000"/>
              <w:left w:val="single" w:sz="4" w:space="0" w:color="000000"/>
              <w:bottom w:val="single" w:sz="4" w:space="0" w:color="000000"/>
              <w:right w:val="single" w:sz="4" w:space="0" w:color="000000"/>
            </w:tcBorders>
          </w:tcPr>
          <w:p>
            <w:pPr/>
          </w:p>
        </w:tc>
        <w:tc>
          <w:tcPr>
            <w:tcW w:w="326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3"/>
              <w:ind w:left="105" w:right="99"/>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、本人及本人控制的企业均未直接或</w:t>
            </w:r>
            <w:r>
              <w:rPr>
                <w:rFonts w:ascii="宋体" w:hAnsi="宋体" w:cs="宋体" w:eastAsia="宋体" w:hint="default"/>
                <w:spacing w:val="-35"/>
                <w:sz w:val="18"/>
                <w:szCs w:val="18"/>
              </w:rPr>
              <w:t> </w:t>
            </w:r>
            <w:r>
              <w:rPr>
                <w:rFonts w:ascii="宋体" w:hAnsi="宋体" w:cs="宋体" w:eastAsia="宋体" w:hint="default"/>
                <w:spacing w:val="-35"/>
                <w:sz w:val="18"/>
                <w:szCs w:val="18"/>
              </w:rPr>
            </w:r>
            <w:r>
              <w:rPr>
                <w:rFonts w:ascii="宋体" w:hAnsi="宋体" w:cs="宋体" w:eastAsia="宋体" w:hint="default"/>
                <w:spacing w:val="-3"/>
                <w:sz w:val="18"/>
                <w:szCs w:val="18"/>
              </w:rPr>
              <w:t>间接经营任何与奥拓电子及其子公司</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经营的业务构成竞争或可能构成竞争</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4"/>
                <w:sz w:val="18"/>
                <w:szCs w:val="18"/>
              </w:rPr>
              <w:t>的业务，也未参与投资任何与奥拓电子</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及其子公司经营的业务构成竞争或可</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能构成竞争的其他企业。</w:t>
            </w: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、本人及本</w:t>
            </w:r>
            <w:r>
              <w:rPr>
                <w:rFonts w:ascii="宋体" w:hAnsi="宋体" w:cs="宋体" w:eastAsia="宋体" w:hint="default"/>
                <w:spacing w:val="-35"/>
                <w:sz w:val="18"/>
                <w:szCs w:val="18"/>
              </w:rPr>
              <w:t> </w:t>
            </w:r>
            <w:r>
              <w:rPr>
                <w:rFonts w:ascii="宋体" w:hAnsi="宋体" w:cs="宋体" w:eastAsia="宋体" w:hint="default"/>
                <w:spacing w:val="-35"/>
                <w:sz w:val="18"/>
                <w:szCs w:val="18"/>
              </w:rPr>
            </w:r>
            <w:r>
              <w:rPr>
                <w:rFonts w:ascii="宋体" w:hAnsi="宋体" w:cs="宋体" w:eastAsia="宋体" w:hint="default"/>
                <w:spacing w:val="-3"/>
                <w:sz w:val="18"/>
                <w:szCs w:val="18"/>
              </w:rPr>
              <w:t>人控制的企业将不直接或间接经营任</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何与奥拓电子及其子公司经营的业务</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4"/>
                <w:sz w:val="18"/>
                <w:szCs w:val="18"/>
              </w:rPr>
              <w:t>构成竞争或可能构成竞争的业务，也不</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参与投资任何与奥拓电子及其子公司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2010 </w:t>
            </w: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06</w:t>
            </w:r>
          </w:p>
          <w:p>
            <w:pPr>
              <w:pStyle w:val="TableParagraph"/>
              <w:spacing w:line="240" w:lineRule="auto" w:before="63"/>
              <w:ind w:left="10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right="55"/>
              <w:jc w:val="center"/>
              <w:rPr>
                <w:rFonts w:ascii="宋体" w:hAnsi="宋体" w:cs="宋体" w:eastAsia="宋体" w:hint="default"/>
                <w:sz w:val="18"/>
                <w:szCs w:val="18"/>
              </w:rPr>
            </w:pPr>
            <w:r>
              <w:rPr>
                <w:rFonts w:ascii="宋体" w:hAnsi="宋体" w:cs="宋体" w:eastAsia="宋体" w:hint="default"/>
                <w:sz w:val="18"/>
                <w:szCs w:val="18"/>
              </w:rPr>
              <w:t>长期有效</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316" w:lineRule="auto"/>
              <w:ind w:left="100" w:right="158"/>
              <w:jc w:val="left"/>
              <w:rPr>
                <w:rFonts w:ascii="宋体" w:hAnsi="宋体" w:cs="宋体" w:eastAsia="宋体" w:hint="default"/>
                <w:sz w:val="18"/>
                <w:szCs w:val="18"/>
              </w:rPr>
            </w:pPr>
            <w:r>
              <w:rPr>
                <w:rFonts w:ascii="宋体" w:hAnsi="宋体" w:cs="宋体" w:eastAsia="宋体" w:hint="default"/>
                <w:sz w:val="18"/>
                <w:szCs w:val="18"/>
              </w:rPr>
              <w:t>正在</w:t>
            </w:r>
            <w:r>
              <w:rPr>
                <w:rFonts w:ascii="宋体" w:hAnsi="宋体" w:cs="宋体" w:eastAsia="宋体" w:hint="default"/>
                <w:spacing w:val="-86"/>
                <w:sz w:val="18"/>
                <w:szCs w:val="18"/>
              </w:rPr>
              <w:t> </w:t>
            </w:r>
            <w:r>
              <w:rPr>
                <w:rFonts w:ascii="宋体" w:hAnsi="宋体" w:cs="宋体" w:eastAsia="宋体" w:hint="default"/>
                <w:sz w:val="18"/>
                <w:szCs w:val="18"/>
              </w:rPr>
              <w:t>履行</w:t>
            </w:r>
          </w:p>
        </w:tc>
      </w:tr>
    </w:tbl>
    <w:p>
      <w:pPr>
        <w:spacing w:after="0" w:line="316" w:lineRule="auto"/>
        <w:jc w:val="left"/>
        <w:rPr>
          <w:rFonts w:ascii="宋体" w:hAnsi="宋体" w:cs="宋体" w:eastAsia="宋体" w:hint="default"/>
          <w:sz w:val="18"/>
          <w:szCs w:val="18"/>
        </w:rPr>
        <w:sectPr>
          <w:pgSz w:w="11910" w:h="16840"/>
          <w:pgMar w:header="784" w:footer="1022" w:top="1100" w:bottom="1220" w:left="980" w:right="0"/>
        </w:sectPr>
      </w:pPr>
    </w:p>
    <w:p>
      <w:pPr>
        <w:spacing w:line="240" w:lineRule="auto" w:before="1"/>
        <w:rPr>
          <w:rFonts w:ascii="Times New Roman" w:hAnsi="Times New Roman" w:cs="Times New Roman" w:eastAsia="Times New Roman" w:hint="default"/>
          <w:sz w:val="29"/>
          <w:szCs w:val="29"/>
        </w:rPr>
      </w:pPr>
    </w:p>
    <w:tbl>
      <w:tblPr>
        <w:tblW w:w="0" w:type="auto"/>
        <w:jc w:val="left"/>
        <w:tblInd w:w="148" w:type="dxa"/>
        <w:tblLayout w:type="fixed"/>
        <w:tblCellMar>
          <w:top w:w="0" w:type="dxa"/>
          <w:left w:w="0" w:type="dxa"/>
          <w:bottom w:w="0" w:type="dxa"/>
          <w:right w:w="0" w:type="dxa"/>
        </w:tblCellMar>
        <w:tblLook w:val="01E0"/>
      </w:tblPr>
      <w:tblGrid>
        <w:gridCol w:w="1561"/>
        <w:gridCol w:w="994"/>
        <w:gridCol w:w="989"/>
        <w:gridCol w:w="3265"/>
        <w:gridCol w:w="1133"/>
        <w:gridCol w:w="994"/>
        <w:gridCol w:w="634"/>
      </w:tblGrid>
      <w:tr>
        <w:trPr>
          <w:trHeight w:val="5354" w:hRule="exact"/>
        </w:trPr>
        <w:tc>
          <w:tcPr>
            <w:tcW w:w="1561" w:type="dxa"/>
            <w:vMerge w:val="restart"/>
            <w:tcBorders>
              <w:top w:val="single" w:sz="4" w:space="0" w:color="000000"/>
              <w:left w:val="single" w:sz="4" w:space="0" w:color="000000"/>
              <w:right w:val="single" w:sz="4" w:space="0" w:color="000000"/>
            </w:tcBorders>
            <w:shd w:val="clear" w:color="auto" w:fill="D2D2D2"/>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5" w:right="151"/>
              <w:jc w:val="left"/>
              <w:rPr>
                <w:rFonts w:ascii="宋体" w:hAnsi="宋体" w:cs="宋体" w:eastAsia="宋体" w:hint="default"/>
                <w:sz w:val="18"/>
                <w:szCs w:val="18"/>
              </w:rPr>
            </w:pPr>
            <w:r>
              <w:rPr>
                <w:rFonts w:ascii="宋体" w:hAnsi="宋体" w:cs="宋体" w:eastAsia="宋体" w:hint="default"/>
                <w:sz w:val="18"/>
                <w:szCs w:val="18"/>
              </w:rPr>
              <w:t>（深圳）</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有限公司</w:t>
            </w:r>
          </w:p>
          <w:p>
            <w:pPr>
              <w:pStyle w:val="TableParagraph"/>
              <w:spacing w:line="319" w:lineRule="auto" w:before="19"/>
              <w:ind w:left="105" w:right="151"/>
              <w:jc w:val="left"/>
              <w:rPr>
                <w:rFonts w:ascii="宋体" w:hAnsi="宋体" w:cs="宋体" w:eastAsia="宋体" w:hint="default"/>
                <w:sz w:val="18"/>
                <w:szCs w:val="18"/>
              </w:rPr>
            </w:pPr>
            <w:r>
              <w:rPr>
                <w:rFonts w:ascii="宋体" w:hAnsi="宋体" w:cs="宋体" w:eastAsia="宋体" w:hint="default"/>
                <w:sz w:val="18"/>
                <w:szCs w:val="18"/>
              </w:rPr>
              <w:t>（原名：</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深圳电子</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产品质量</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检测中</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心）、深</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圳市国成</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科技投资</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有限公司</w:t>
            </w:r>
          </w:p>
        </w:tc>
        <w:tc>
          <w:tcPr>
            <w:tcW w:w="989" w:type="dxa"/>
            <w:tcBorders>
              <w:top w:val="single" w:sz="4" w:space="0" w:color="000000"/>
              <w:left w:val="single" w:sz="4" w:space="0" w:color="000000"/>
              <w:bottom w:val="single" w:sz="4" w:space="0" w:color="000000"/>
              <w:right w:val="single" w:sz="4" w:space="0" w:color="000000"/>
            </w:tcBorders>
          </w:tcPr>
          <w:p>
            <w:pPr/>
          </w:p>
        </w:tc>
        <w:tc>
          <w:tcPr>
            <w:tcW w:w="326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10"/>
              <w:ind w:left="105" w:right="99"/>
              <w:jc w:val="left"/>
              <w:rPr>
                <w:rFonts w:ascii="宋体" w:hAnsi="宋体" w:cs="宋体" w:eastAsia="宋体" w:hint="default"/>
                <w:sz w:val="18"/>
                <w:szCs w:val="18"/>
              </w:rPr>
            </w:pPr>
            <w:r>
              <w:rPr>
                <w:rFonts w:ascii="宋体" w:hAnsi="宋体" w:cs="宋体" w:eastAsia="宋体" w:hint="default"/>
                <w:spacing w:val="-3"/>
                <w:sz w:val="18"/>
                <w:szCs w:val="18"/>
              </w:rPr>
              <w:t>经营的业务构成竞争或可能构成竞争</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的其他企业。</w:t>
            </w: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、若本人及本人控制的</w:t>
            </w:r>
            <w:r>
              <w:rPr>
                <w:rFonts w:ascii="宋体" w:hAnsi="宋体" w:cs="宋体" w:eastAsia="宋体" w:hint="default"/>
                <w:spacing w:val="-35"/>
                <w:sz w:val="18"/>
                <w:szCs w:val="18"/>
              </w:rPr>
              <w:t> </w:t>
            </w:r>
            <w:r>
              <w:rPr>
                <w:rFonts w:ascii="宋体" w:hAnsi="宋体" w:cs="宋体" w:eastAsia="宋体" w:hint="default"/>
                <w:spacing w:val="-35"/>
                <w:sz w:val="18"/>
                <w:szCs w:val="18"/>
              </w:rPr>
            </w:r>
            <w:r>
              <w:rPr>
                <w:rFonts w:ascii="宋体" w:hAnsi="宋体" w:cs="宋体" w:eastAsia="宋体" w:hint="default"/>
                <w:spacing w:val="-4"/>
                <w:sz w:val="18"/>
                <w:szCs w:val="18"/>
              </w:rPr>
              <w:t>企业进一步拓展业务范围，本人及本人</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控制的企业将不与奥拓电子及其子公</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4"/>
                <w:sz w:val="18"/>
                <w:szCs w:val="18"/>
              </w:rPr>
              <w:t>司拓展后的业务相竞争；若与奥拓电子</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4"/>
                <w:sz w:val="18"/>
                <w:szCs w:val="18"/>
              </w:rPr>
              <w:t>及其子公司拓展后的业务产生竞争，则</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本人及本人控制的企业将以停止经营</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4"/>
                <w:sz w:val="18"/>
                <w:szCs w:val="18"/>
              </w:rPr>
              <w:t>相竞争的业务的方式，或者将相竞争的</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4"/>
                <w:sz w:val="18"/>
                <w:szCs w:val="18"/>
              </w:rPr>
              <w:t>业务纳入到奥拓电子经营的方式，或者</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将相竞争的业务转让给无关联关系的</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第三方的方式避免同业竞争。</w:t>
            </w: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、在本</w:t>
            </w:r>
            <w:r>
              <w:rPr>
                <w:rFonts w:ascii="宋体" w:hAnsi="宋体" w:cs="宋体" w:eastAsia="宋体" w:hint="default"/>
                <w:spacing w:val="-35"/>
                <w:sz w:val="18"/>
                <w:szCs w:val="18"/>
              </w:rPr>
              <w:t> </w:t>
            </w:r>
            <w:r>
              <w:rPr>
                <w:rFonts w:ascii="宋体" w:hAnsi="宋体" w:cs="宋体" w:eastAsia="宋体" w:hint="default"/>
                <w:spacing w:val="-35"/>
                <w:sz w:val="18"/>
                <w:szCs w:val="18"/>
              </w:rPr>
            </w:r>
            <w:r>
              <w:rPr>
                <w:rFonts w:ascii="宋体" w:hAnsi="宋体" w:cs="宋体" w:eastAsia="宋体" w:hint="default"/>
                <w:spacing w:val="-3"/>
                <w:sz w:val="18"/>
                <w:szCs w:val="18"/>
              </w:rPr>
              <w:t>人及本人控制的企业与奥拓电子存在</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关联关系期间，本承诺函为有效之承</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4"/>
                <w:sz w:val="18"/>
                <w:szCs w:val="18"/>
              </w:rPr>
              <w:t>诺。如上述承诺被证明是不真实的或未</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被遵守</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本人将向奥拓电子赔偿一切直</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接和间接损失，并承担相应的法律责</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z w:val="18"/>
                <w:szCs w:val="18"/>
              </w:rPr>
              <w:t>任。</w:t>
            </w: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634" w:type="dxa"/>
            <w:tcBorders>
              <w:top w:val="single" w:sz="4" w:space="0" w:color="000000"/>
              <w:left w:val="single" w:sz="4" w:space="0" w:color="000000"/>
              <w:bottom w:val="single" w:sz="4" w:space="0" w:color="000000"/>
              <w:right w:val="single" w:sz="4" w:space="0" w:color="000000"/>
            </w:tcBorders>
          </w:tcPr>
          <w:p>
            <w:pPr/>
          </w:p>
        </w:tc>
      </w:tr>
      <w:tr>
        <w:trPr>
          <w:trHeight w:val="2588" w:hRule="exact"/>
        </w:trPr>
        <w:tc>
          <w:tcPr>
            <w:tcW w:w="1561" w:type="dxa"/>
            <w:vMerge/>
            <w:tcBorders>
              <w:left w:val="single" w:sz="4" w:space="0" w:color="000000"/>
              <w:right w:val="single" w:sz="4" w:space="0" w:color="000000"/>
            </w:tcBorders>
            <w:shd w:val="clear" w:color="auto" w:fill="D2D2D2"/>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10"/>
              <w:ind w:left="105" w:right="151"/>
              <w:jc w:val="both"/>
              <w:rPr>
                <w:rFonts w:ascii="宋体" w:hAnsi="宋体" w:cs="宋体" w:eastAsia="宋体" w:hint="default"/>
                <w:sz w:val="18"/>
                <w:szCs w:val="18"/>
              </w:rPr>
            </w:pPr>
            <w:r>
              <w:rPr>
                <w:rFonts w:ascii="宋体" w:hAnsi="宋体" w:cs="宋体" w:eastAsia="宋体" w:hint="default"/>
                <w:sz w:val="18"/>
                <w:szCs w:val="18"/>
              </w:rPr>
              <w:t>发行人的</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控股股东</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及实际控</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制人吴涵</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渠</w:t>
            </w:r>
          </w:p>
        </w:tc>
        <w:tc>
          <w:tcPr>
            <w:tcW w:w="989" w:type="dxa"/>
            <w:tcBorders>
              <w:top w:val="single" w:sz="4" w:space="0" w:color="000000"/>
              <w:left w:val="single" w:sz="4" w:space="0" w:color="000000"/>
              <w:bottom w:val="single" w:sz="4" w:space="0" w:color="000000"/>
              <w:right w:val="single" w:sz="4" w:space="0" w:color="000000"/>
            </w:tcBorders>
          </w:tcPr>
          <w:p>
            <w:pPr/>
          </w:p>
        </w:tc>
        <w:tc>
          <w:tcPr>
            <w:tcW w:w="326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3"/>
              <w:ind w:left="105" w:right="84"/>
              <w:jc w:val="left"/>
              <w:rPr>
                <w:rFonts w:ascii="宋体" w:hAnsi="宋体" w:cs="宋体" w:eastAsia="宋体" w:hint="default"/>
                <w:sz w:val="18"/>
                <w:szCs w:val="18"/>
              </w:rPr>
            </w:pPr>
            <w:r>
              <w:rPr>
                <w:rFonts w:ascii="宋体" w:hAnsi="宋体" w:cs="宋体" w:eastAsia="宋体" w:hint="default"/>
                <w:spacing w:val="-3"/>
                <w:sz w:val="18"/>
                <w:szCs w:val="18"/>
              </w:rPr>
              <w:t>本人及本人所控制的企业将尽量避免、</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减少与发行人及其子公司发生关联交</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4"/>
                <w:sz w:val="18"/>
                <w:szCs w:val="18"/>
              </w:rPr>
              <w:t>易。如关联交易无法避免，本人及本人</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所控制的企业将严格遵守中国证监会</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4"/>
                <w:sz w:val="18"/>
                <w:szCs w:val="18"/>
              </w:rPr>
              <w:t>和发行人及其子公司章程的规定，按照</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通常的商业准则确定交易价格及其他</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4"/>
                <w:sz w:val="18"/>
                <w:szCs w:val="18"/>
              </w:rPr>
              <w:t>交易条件，并按照关联交易公允决策的</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程序履行批准手续。</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4"/>
                <w:szCs w:val="14"/>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2010 </w:t>
            </w: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12</w:t>
            </w:r>
          </w:p>
          <w:p>
            <w:pPr>
              <w:pStyle w:val="TableParagraph"/>
              <w:spacing w:line="240" w:lineRule="auto" w:before="67"/>
              <w:ind w:left="10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right="55"/>
              <w:jc w:val="center"/>
              <w:rPr>
                <w:rFonts w:ascii="宋体" w:hAnsi="宋体" w:cs="宋体" w:eastAsia="宋体" w:hint="default"/>
                <w:sz w:val="18"/>
                <w:szCs w:val="18"/>
              </w:rPr>
            </w:pPr>
            <w:r>
              <w:rPr>
                <w:rFonts w:ascii="宋体" w:hAnsi="宋体" w:cs="宋体" w:eastAsia="宋体" w:hint="default"/>
                <w:sz w:val="18"/>
                <w:szCs w:val="18"/>
              </w:rPr>
              <w:t>长期有效</w:t>
            </w:r>
          </w:p>
        </w:tc>
        <w:tc>
          <w:tcPr>
            <w:tcW w:w="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4"/>
                <w:szCs w:val="14"/>
              </w:rPr>
            </w:pPr>
          </w:p>
          <w:p>
            <w:pPr>
              <w:pStyle w:val="TableParagraph"/>
              <w:spacing w:line="321" w:lineRule="auto"/>
              <w:ind w:left="100" w:right="156"/>
              <w:jc w:val="left"/>
              <w:rPr>
                <w:rFonts w:ascii="宋体" w:hAnsi="宋体" w:cs="宋体" w:eastAsia="宋体" w:hint="default"/>
                <w:sz w:val="18"/>
                <w:szCs w:val="18"/>
              </w:rPr>
            </w:pPr>
            <w:r>
              <w:rPr>
                <w:rFonts w:ascii="宋体" w:hAnsi="宋体" w:cs="宋体" w:eastAsia="宋体" w:hint="default"/>
                <w:sz w:val="18"/>
                <w:szCs w:val="18"/>
              </w:rPr>
              <w:t>正在</w:t>
            </w:r>
            <w:r>
              <w:rPr>
                <w:rFonts w:ascii="宋体" w:hAnsi="宋体" w:cs="宋体" w:eastAsia="宋体" w:hint="default"/>
                <w:spacing w:val="-86"/>
                <w:sz w:val="18"/>
                <w:szCs w:val="18"/>
              </w:rPr>
              <w:t> </w:t>
            </w:r>
            <w:r>
              <w:rPr>
                <w:rFonts w:ascii="宋体" w:hAnsi="宋体" w:cs="宋体" w:eastAsia="宋体" w:hint="default"/>
                <w:sz w:val="18"/>
                <w:szCs w:val="18"/>
              </w:rPr>
              <w:t>履行</w:t>
            </w:r>
          </w:p>
        </w:tc>
      </w:tr>
      <w:tr>
        <w:trPr>
          <w:trHeight w:val="4772" w:hRule="exact"/>
        </w:trPr>
        <w:tc>
          <w:tcPr>
            <w:tcW w:w="1561" w:type="dxa"/>
            <w:vMerge/>
            <w:tcBorders>
              <w:left w:val="single" w:sz="4" w:space="0" w:color="000000"/>
              <w:right w:val="single" w:sz="4" w:space="0" w:color="000000"/>
            </w:tcBorders>
            <w:shd w:val="clear" w:color="auto" w:fill="D2D2D2"/>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105" w:right="3"/>
              <w:jc w:val="left"/>
              <w:rPr>
                <w:rFonts w:ascii="宋体" w:hAnsi="宋体" w:cs="宋体" w:eastAsia="宋体" w:hint="default"/>
                <w:sz w:val="18"/>
                <w:szCs w:val="18"/>
              </w:rPr>
            </w:pPr>
            <w:r>
              <w:rPr>
                <w:rFonts w:ascii="宋体" w:hAnsi="宋体" w:cs="宋体" w:eastAsia="宋体" w:hint="default"/>
                <w:sz w:val="18"/>
                <w:szCs w:val="18"/>
              </w:rPr>
              <w:t>吴涵渠、</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深圳市国</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成科技投</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资有限公</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8"/>
                <w:sz w:val="18"/>
                <w:szCs w:val="18"/>
              </w:rPr>
              <w:t>司、黄斌、</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中检集团</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南方电子</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产品测试</w:t>
            </w:r>
          </w:p>
          <w:p>
            <w:pPr>
              <w:pStyle w:val="TableParagraph"/>
              <w:spacing w:line="316" w:lineRule="auto" w:before="19"/>
              <w:ind w:left="105" w:right="151"/>
              <w:jc w:val="left"/>
              <w:rPr>
                <w:rFonts w:ascii="宋体" w:hAnsi="宋体" w:cs="宋体" w:eastAsia="宋体" w:hint="default"/>
                <w:sz w:val="18"/>
                <w:szCs w:val="18"/>
              </w:rPr>
            </w:pPr>
            <w:r>
              <w:rPr>
                <w:rFonts w:ascii="宋体" w:hAnsi="宋体" w:cs="宋体" w:eastAsia="宋体" w:hint="default"/>
                <w:sz w:val="18"/>
                <w:szCs w:val="18"/>
              </w:rPr>
              <w:t>（深圳）</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有限公司</w:t>
            </w:r>
          </w:p>
          <w:p>
            <w:pPr>
              <w:pStyle w:val="TableParagraph"/>
              <w:spacing w:line="319" w:lineRule="auto" w:before="19"/>
              <w:ind w:left="105" w:right="151"/>
              <w:jc w:val="left"/>
              <w:rPr>
                <w:rFonts w:ascii="宋体" w:hAnsi="宋体" w:cs="宋体" w:eastAsia="宋体" w:hint="default"/>
                <w:sz w:val="18"/>
                <w:szCs w:val="18"/>
              </w:rPr>
            </w:pPr>
            <w:r>
              <w:rPr>
                <w:rFonts w:ascii="宋体" w:hAnsi="宋体" w:cs="宋体" w:eastAsia="宋体" w:hint="default"/>
                <w:sz w:val="18"/>
                <w:szCs w:val="18"/>
              </w:rPr>
              <w:t>（原名：</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深圳电子</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产品质量</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检测中</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心）</w:t>
            </w:r>
          </w:p>
        </w:tc>
        <w:tc>
          <w:tcPr>
            <w:tcW w:w="989" w:type="dxa"/>
            <w:tcBorders>
              <w:top w:val="single" w:sz="4" w:space="0" w:color="000000"/>
              <w:left w:val="single" w:sz="4" w:space="0" w:color="000000"/>
              <w:bottom w:val="single" w:sz="4" w:space="0" w:color="000000"/>
              <w:right w:val="single" w:sz="4" w:space="0" w:color="000000"/>
            </w:tcBorders>
          </w:tcPr>
          <w:p>
            <w:pPr/>
          </w:p>
        </w:tc>
        <w:tc>
          <w:tcPr>
            <w:tcW w:w="3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3"/>
                <w:szCs w:val="23"/>
              </w:rPr>
            </w:pPr>
          </w:p>
          <w:p>
            <w:pPr>
              <w:pStyle w:val="TableParagraph"/>
              <w:spacing w:line="316" w:lineRule="auto"/>
              <w:ind w:left="105" w:right="84"/>
              <w:jc w:val="left"/>
              <w:rPr>
                <w:rFonts w:ascii="宋体" w:hAnsi="宋体" w:cs="宋体" w:eastAsia="宋体" w:hint="default"/>
                <w:sz w:val="18"/>
                <w:szCs w:val="18"/>
              </w:rPr>
            </w:pPr>
            <w:r>
              <w:rPr>
                <w:rFonts w:ascii="宋体" w:hAnsi="宋体" w:cs="宋体" w:eastAsia="宋体" w:hint="default"/>
                <w:spacing w:val="-3"/>
                <w:sz w:val="18"/>
                <w:szCs w:val="18"/>
              </w:rPr>
              <w:t>如公司及其子公司因以提供免费住房</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或住房补贴方式代替缴存部分职工的</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4"/>
                <w:sz w:val="18"/>
                <w:szCs w:val="18"/>
              </w:rPr>
              <w:t>住房公积金而遭受的任何经济处罚，或</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3"/>
                <w:sz w:val="18"/>
                <w:szCs w:val="18"/>
              </w:rPr>
              <w:t>有关政府部门要求公司及其子公司为</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员工补缴住房公积金而发生额外支出，</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6"/>
                <w:w w:val="101"/>
                <w:sz w:val="18"/>
                <w:szCs w:val="18"/>
              </w:rPr>
              <w:t>则本人</w:t>
            </w:r>
            <w:r>
              <w:rPr>
                <w:rFonts w:ascii="Times New Roman" w:hAnsi="Times New Roman" w:cs="Times New Roman" w:eastAsia="Times New Roman" w:hint="default"/>
                <w:spacing w:val="-6"/>
                <w:w w:val="101"/>
                <w:sz w:val="18"/>
                <w:szCs w:val="18"/>
              </w:rPr>
              <w:t>/</w:t>
            </w:r>
            <w:r>
              <w:rPr>
                <w:rFonts w:ascii="宋体" w:hAnsi="宋体" w:cs="宋体" w:eastAsia="宋体" w:hint="default"/>
                <w:spacing w:val="-6"/>
                <w:w w:val="101"/>
                <w:sz w:val="18"/>
                <w:szCs w:val="18"/>
              </w:rPr>
              <w:t>本公司愿承担该等经济处罚、额</w:t>
            </w:r>
            <w:r>
              <w:rPr>
                <w:rFonts w:ascii="宋体" w:hAnsi="宋体" w:cs="宋体" w:eastAsia="宋体" w:hint="default"/>
                <w:w w:val="101"/>
                <w:sz w:val="18"/>
                <w:szCs w:val="18"/>
              </w:rPr>
              <w:t> </w:t>
            </w:r>
            <w:r>
              <w:rPr>
                <w:rFonts w:ascii="宋体" w:hAnsi="宋体" w:cs="宋体" w:eastAsia="宋体" w:hint="default"/>
                <w:spacing w:val="-3"/>
                <w:sz w:val="18"/>
                <w:szCs w:val="18"/>
              </w:rPr>
              <w:t>外支出及相应责任。</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9"/>
                <w:szCs w:val="19"/>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2010 </w:t>
            </w: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08</w:t>
            </w:r>
          </w:p>
          <w:p>
            <w:pPr>
              <w:pStyle w:val="TableParagraph"/>
              <w:spacing w:line="240" w:lineRule="auto" w:before="63"/>
              <w:ind w:left="10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14"/>
                <w:szCs w:val="14"/>
              </w:rPr>
            </w:pPr>
          </w:p>
          <w:p>
            <w:pPr>
              <w:pStyle w:val="TableParagraph"/>
              <w:spacing w:line="240" w:lineRule="auto"/>
              <w:ind w:right="55"/>
              <w:jc w:val="center"/>
              <w:rPr>
                <w:rFonts w:ascii="宋体" w:hAnsi="宋体" w:cs="宋体" w:eastAsia="宋体" w:hint="default"/>
                <w:sz w:val="18"/>
                <w:szCs w:val="18"/>
              </w:rPr>
            </w:pPr>
            <w:r>
              <w:rPr>
                <w:rFonts w:ascii="宋体" w:hAnsi="宋体" w:cs="宋体" w:eastAsia="宋体" w:hint="default"/>
                <w:sz w:val="18"/>
                <w:szCs w:val="18"/>
              </w:rPr>
              <w:t>长期有效</w:t>
            </w:r>
          </w:p>
        </w:tc>
        <w:tc>
          <w:tcPr>
            <w:tcW w:w="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9"/>
                <w:szCs w:val="19"/>
              </w:rPr>
            </w:pPr>
          </w:p>
          <w:p>
            <w:pPr>
              <w:pStyle w:val="TableParagraph"/>
              <w:spacing w:line="316" w:lineRule="auto"/>
              <w:ind w:left="100" w:right="156"/>
              <w:jc w:val="left"/>
              <w:rPr>
                <w:rFonts w:ascii="宋体" w:hAnsi="宋体" w:cs="宋体" w:eastAsia="宋体" w:hint="default"/>
                <w:sz w:val="18"/>
                <w:szCs w:val="18"/>
              </w:rPr>
            </w:pPr>
            <w:r>
              <w:rPr>
                <w:rFonts w:ascii="宋体" w:hAnsi="宋体" w:cs="宋体" w:eastAsia="宋体" w:hint="default"/>
                <w:sz w:val="18"/>
                <w:szCs w:val="18"/>
              </w:rPr>
              <w:t>正在</w:t>
            </w:r>
            <w:r>
              <w:rPr>
                <w:rFonts w:ascii="宋体" w:hAnsi="宋体" w:cs="宋体" w:eastAsia="宋体" w:hint="default"/>
                <w:spacing w:val="-86"/>
                <w:sz w:val="18"/>
                <w:szCs w:val="18"/>
              </w:rPr>
              <w:t> </w:t>
            </w:r>
            <w:r>
              <w:rPr>
                <w:rFonts w:ascii="宋体" w:hAnsi="宋体" w:cs="宋体" w:eastAsia="宋体" w:hint="default"/>
                <w:sz w:val="18"/>
                <w:szCs w:val="18"/>
              </w:rPr>
              <w:t>履行</w:t>
            </w:r>
          </w:p>
        </w:tc>
      </w:tr>
      <w:tr>
        <w:trPr>
          <w:trHeight w:val="985" w:hRule="exact"/>
        </w:trPr>
        <w:tc>
          <w:tcPr>
            <w:tcW w:w="1561" w:type="dxa"/>
            <w:vMerge/>
            <w:tcBorders>
              <w:left w:val="single" w:sz="4" w:space="0" w:color="000000"/>
              <w:bottom w:val="single" w:sz="4" w:space="0" w:color="000000"/>
              <w:right w:val="single" w:sz="4" w:space="0" w:color="000000"/>
            </w:tcBorders>
            <w:shd w:val="clear" w:color="auto" w:fill="D2D2D2"/>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4"/>
              <w:ind w:left="105" w:right="151"/>
              <w:jc w:val="both"/>
              <w:rPr>
                <w:rFonts w:ascii="宋体" w:hAnsi="宋体" w:cs="宋体" w:eastAsia="宋体" w:hint="default"/>
                <w:sz w:val="18"/>
                <w:szCs w:val="18"/>
              </w:rPr>
            </w:pPr>
            <w:r>
              <w:rPr>
                <w:rFonts w:ascii="宋体" w:hAnsi="宋体" w:cs="宋体" w:eastAsia="宋体" w:hint="default"/>
                <w:sz w:val="18"/>
                <w:szCs w:val="18"/>
              </w:rPr>
              <w:t>深圳市奥</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拓电子股</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份有限公</w:t>
            </w:r>
          </w:p>
        </w:tc>
        <w:tc>
          <w:tcPr>
            <w:tcW w:w="989" w:type="dxa"/>
            <w:tcBorders>
              <w:top w:val="single" w:sz="4" w:space="0" w:color="000000"/>
              <w:left w:val="single" w:sz="4" w:space="0" w:color="000000"/>
              <w:bottom w:val="single" w:sz="4" w:space="0" w:color="000000"/>
              <w:right w:val="single" w:sz="4" w:space="0" w:color="000000"/>
            </w:tcBorders>
          </w:tcPr>
          <w:p>
            <w:pPr/>
          </w:p>
        </w:tc>
        <w:tc>
          <w:tcPr>
            <w:tcW w:w="3265"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54"/>
              <w:ind w:left="105" w:right="99"/>
              <w:jc w:val="left"/>
              <w:rPr>
                <w:rFonts w:ascii="宋体" w:hAnsi="宋体" w:cs="宋体" w:eastAsia="宋体" w:hint="default"/>
                <w:sz w:val="18"/>
                <w:szCs w:val="18"/>
              </w:rPr>
            </w:pPr>
            <w:r>
              <w:rPr>
                <w:rFonts w:ascii="宋体" w:hAnsi="宋体" w:cs="宋体" w:eastAsia="宋体" w:hint="default"/>
                <w:sz w:val="18"/>
                <w:szCs w:val="18"/>
              </w:rPr>
              <w:t>为拓宽</w:t>
            </w:r>
            <w:r>
              <w:rPr>
                <w:rFonts w:ascii="宋体" w:hAnsi="宋体" w:cs="宋体" w:eastAsia="宋体" w:hint="default"/>
                <w:spacing w:val="-43"/>
                <w:sz w:val="18"/>
                <w:szCs w:val="18"/>
              </w:rPr>
              <w:t> </w:t>
            </w:r>
            <w:r>
              <w:rPr>
                <w:rFonts w:ascii="Times New Roman" w:hAnsi="Times New Roman" w:cs="Times New Roman" w:eastAsia="Times New Roman" w:hint="default"/>
                <w:spacing w:val="-3"/>
                <w:sz w:val="18"/>
                <w:szCs w:val="18"/>
              </w:rPr>
              <w:t>LED</w:t>
            </w:r>
            <w:r>
              <w:rPr>
                <w:rFonts w:ascii="Times New Roman" w:hAnsi="Times New Roman" w:cs="Times New Roman" w:eastAsia="Times New Roman" w:hint="default"/>
                <w:sz w:val="18"/>
                <w:szCs w:val="18"/>
              </w:rPr>
              <w:t> </w:t>
            </w:r>
            <w:r>
              <w:rPr>
                <w:rFonts w:ascii="宋体" w:hAnsi="宋体" w:cs="宋体" w:eastAsia="宋体" w:hint="default"/>
                <w:sz w:val="18"/>
                <w:szCs w:val="18"/>
              </w:rPr>
              <w:t>器件的供应渠道，提高成</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4"/>
                <w:sz w:val="18"/>
                <w:szCs w:val="18"/>
              </w:rPr>
              <w:t>本优势，降低供应链风险，深圳市奥拓</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2"/>
                <w:sz w:val="18"/>
                <w:szCs w:val="18"/>
              </w:rPr>
              <w:t>电子股份有限公司（下称</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奥拓电子</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6"/>
                <w:szCs w:val="16"/>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05</w:t>
            </w:r>
          </w:p>
          <w:p>
            <w:pPr>
              <w:pStyle w:val="TableParagraph"/>
              <w:spacing w:line="240" w:lineRule="auto" w:before="67"/>
              <w:ind w:left="10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0"/>
              <w:ind w:right="55"/>
              <w:jc w:val="center"/>
              <w:rPr>
                <w:rFonts w:ascii="宋体" w:hAnsi="宋体" w:cs="宋体" w:eastAsia="宋体" w:hint="default"/>
                <w:sz w:val="18"/>
                <w:szCs w:val="18"/>
              </w:rPr>
            </w:pPr>
            <w:r>
              <w:rPr>
                <w:rFonts w:ascii="宋体" w:hAnsi="宋体" w:cs="宋体" w:eastAsia="宋体" w:hint="default"/>
                <w:sz w:val="18"/>
                <w:szCs w:val="18"/>
              </w:rPr>
              <w:t>长期有效</w:t>
            </w:r>
          </w:p>
        </w:tc>
        <w:tc>
          <w:tcPr>
            <w:tcW w:w="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6"/>
                <w:szCs w:val="16"/>
              </w:rPr>
            </w:pPr>
          </w:p>
          <w:p>
            <w:pPr>
              <w:pStyle w:val="TableParagraph"/>
              <w:spacing w:line="321" w:lineRule="auto"/>
              <w:ind w:left="100" w:right="156"/>
              <w:jc w:val="left"/>
              <w:rPr>
                <w:rFonts w:ascii="宋体" w:hAnsi="宋体" w:cs="宋体" w:eastAsia="宋体" w:hint="default"/>
                <w:sz w:val="18"/>
                <w:szCs w:val="18"/>
              </w:rPr>
            </w:pPr>
            <w:r>
              <w:rPr>
                <w:rFonts w:ascii="宋体" w:hAnsi="宋体" w:cs="宋体" w:eastAsia="宋体" w:hint="default"/>
                <w:sz w:val="18"/>
                <w:szCs w:val="18"/>
              </w:rPr>
              <w:t>正在</w:t>
            </w:r>
            <w:r>
              <w:rPr>
                <w:rFonts w:ascii="宋体" w:hAnsi="宋体" w:cs="宋体" w:eastAsia="宋体" w:hint="default"/>
                <w:spacing w:val="-86"/>
                <w:sz w:val="18"/>
                <w:szCs w:val="18"/>
              </w:rPr>
              <w:t> </w:t>
            </w:r>
            <w:r>
              <w:rPr>
                <w:rFonts w:ascii="宋体" w:hAnsi="宋体" w:cs="宋体" w:eastAsia="宋体" w:hint="default"/>
                <w:sz w:val="18"/>
                <w:szCs w:val="18"/>
              </w:rPr>
              <w:t>履行</w:t>
            </w:r>
          </w:p>
        </w:tc>
      </w:tr>
    </w:tbl>
    <w:p>
      <w:pPr>
        <w:spacing w:after="0" w:line="321" w:lineRule="auto"/>
        <w:jc w:val="left"/>
        <w:rPr>
          <w:rFonts w:ascii="宋体" w:hAnsi="宋体" w:cs="宋体" w:eastAsia="宋体" w:hint="default"/>
          <w:sz w:val="18"/>
          <w:szCs w:val="18"/>
        </w:rPr>
        <w:sectPr>
          <w:pgSz w:w="11910" w:h="16840"/>
          <w:pgMar w:header="784" w:footer="1022" w:top="1100" w:bottom="1220" w:left="980" w:right="0"/>
        </w:sectPr>
      </w:pPr>
    </w:p>
    <w:p>
      <w:pPr>
        <w:spacing w:line="240" w:lineRule="auto" w:before="1"/>
        <w:rPr>
          <w:rFonts w:ascii="Times New Roman" w:hAnsi="Times New Roman" w:cs="Times New Roman" w:eastAsia="Times New Roman" w:hint="default"/>
          <w:sz w:val="29"/>
          <w:szCs w:val="29"/>
        </w:rPr>
      </w:pPr>
    </w:p>
    <w:tbl>
      <w:tblPr>
        <w:tblW w:w="0" w:type="auto"/>
        <w:jc w:val="left"/>
        <w:tblInd w:w="148" w:type="dxa"/>
        <w:tblLayout w:type="fixed"/>
        <w:tblCellMar>
          <w:top w:w="0" w:type="dxa"/>
          <w:left w:w="0" w:type="dxa"/>
          <w:bottom w:w="0" w:type="dxa"/>
          <w:right w:w="0" w:type="dxa"/>
        </w:tblCellMar>
        <w:tblLook w:val="01E0"/>
      </w:tblPr>
      <w:tblGrid>
        <w:gridCol w:w="1561"/>
        <w:gridCol w:w="994"/>
        <w:gridCol w:w="989"/>
        <w:gridCol w:w="3265"/>
        <w:gridCol w:w="1133"/>
        <w:gridCol w:w="994"/>
        <w:gridCol w:w="634"/>
      </w:tblGrid>
      <w:tr>
        <w:trPr>
          <w:trHeight w:val="2233" w:hRule="exact"/>
        </w:trPr>
        <w:tc>
          <w:tcPr>
            <w:tcW w:w="156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5" w:right="0"/>
              <w:jc w:val="left"/>
              <w:rPr>
                <w:rFonts w:ascii="宋体" w:hAnsi="宋体" w:cs="宋体" w:eastAsia="宋体" w:hint="default"/>
                <w:sz w:val="18"/>
                <w:szCs w:val="18"/>
              </w:rPr>
            </w:pPr>
            <w:r>
              <w:rPr>
                <w:rFonts w:ascii="宋体" w:hAnsi="宋体" w:cs="宋体" w:eastAsia="宋体" w:hint="default"/>
                <w:w w:val="101"/>
                <w:sz w:val="18"/>
                <w:szCs w:val="18"/>
              </w:rPr>
              <w:t>司</w:t>
            </w:r>
            <w:r>
              <w:rPr>
                <w:rFonts w:ascii="宋体" w:hAnsi="宋体" w:cs="宋体" w:eastAsia="宋体" w:hint="default"/>
                <w:sz w:val="18"/>
                <w:szCs w:val="18"/>
              </w:rPr>
            </w:r>
          </w:p>
        </w:tc>
        <w:tc>
          <w:tcPr>
            <w:tcW w:w="989" w:type="dxa"/>
            <w:tcBorders>
              <w:top w:val="single" w:sz="4" w:space="0" w:color="000000"/>
              <w:left w:val="single" w:sz="4" w:space="0" w:color="000000"/>
              <w:bottom w:val="single" w:sz="4" w:space="0" w:color="000000"/>
              <w:right w:val="single" w:sz="4" w:space="0" w:color="000000"/>
            </w:tcBorders>
          </w:tcPr>
          <w:p>
            <w:pPr/>
          </w:p>
        </w:tc>
        <w:tc>
          <w:tcPr>
            <w:tcW w:w="3265"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10"/>
              <w:ind w:left="105" w:right="99"/>
              <w:jc w:val="left"/>
              <w:rPr>
                <w:rFonts w:ascii="宋体" w:hAnsi="宋体" w:cs="宋体" w:eastAsia="宋体" w:hint="default"/>
                <w:sz w:val="18"/>
                <w:szCs w:val="18"/>
              </w:rPr>
            </w:pPr>
            <w:r>
              <w:rPr>
                <w:rFonts w:ascii="宋体" w:hAnsi="宋体" w:cs="宋体" w:eastAsia="宋体" w:hint="default"/>
                <w:spacing w:val="-3"/>
                <w:sz w:val="18"/>
                <w:szCs w:val="18"/>
              </w:rPr>
              <w:t>就与深圳市奥伦德科技股份有限公司</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2"/>
                <w:sz w:val="18"/>
                <w:szCs w:val="18"/>
              </w:rPr>
              <w:t>及其控股子公司（下称</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奥伦德股份</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w:t>
            </w:r>
            <w:r>
              <w:rPr>
                <w:rFonts w:ascii="宋体" w:hAnsi="宋体" w:cs="宋体" w:eastAsia="宋体" w:hint="default"/>
                <w:spacing w:val="-50"/>
                <w:sz w:val="18"/>
                <w:szCs w:val="18"/>
              </w:rPr>
              <w:t> </w:t>
            </w:r>
            <w:r>
              <w:rPr>
                <w:rFonts w:ascii="宋体" w:hAnsi="宋体" w:cs="宋体" w:eastAsia="宋体" w:hint="default"/>
                <w:spacing w:val="-4"/>
                <w:sz w:val="18"/>
                <w:szCs w:val="18"/>
              </w:rPr>
              <w:t>的关联交易问题承诺如下：自本承诺函</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4"/>
                <w:sz w:val="18"/>
                <w:szCs w:val="18"/>
              </w:rPr>
              <w:t>出具之日起，每年奥拓电子与奥伦德股</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z w:val="18"/>
                <w:szCs w:val="18"/>
              </w:rPr>
              <w:t>份发生</w:t>
            </w:r>
            <w:r>
              <w:rPr>
                <w:rFonts w:ascii="宋体" w:hAnsi="宋体" w:cs="宋体" w:eastAsia="宋体" w:hint="default"/>
                <w:spacing w:val="-43"/>
                <w:sz w:val="18"/>
                <w:szCs w:val="18"/>
              </w:rPr>
              <w:t> </w:t>
            </w:r>
            <w:r>
              <w:rPr>
                <w:rFonts w:ascii="Times New Roman" w:hAnsi="Times New Roman" w:cs="Times New Roman" w:eastAsia="Times New Roman" w:hint="default"/>
                <w:spacing w:val="-3"/>
                <w:sz w:val="18"/>
                <w:szCs w:val="18"/>
              </w:rPr>
              <w:t>LED</w:t>
            </w:r>
            <w:r>
              <w:rPr>
                <w:rFonts w:ascii="Times New Roman" w:hAnsi="Times New Roman" w:cs="Times New Roman" w:eastAsia="Times New Roman" w:hint="default"/>
                <w:sz w:val="18"/>
                <w:szCs w:val="18"/>
              </w:rPr>
              <w:t> </w:t>
            </w:r>
            <w:r>
              <w:rPr>
                <w:rFonts w:ascii="宋体" w:hAnsi="宋体" w:cs="宋体" w:eastAsia="宋体" w:hint="default"/>
                <w:sz w:val="18"/>
                <w:szCs w:val="18"/>
              </w:rPr>
              <w:t>器件的关联交易金额占奥</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拓电子当年</w:t>
            </w:r>
            <w:r>
              <w:rPr>
                <w:rFonts w:ascii="宋体" w:hAnsi="宋体" w:cs="宋体" w:eastAsia="宋体" w:hint="default"/>
                <w:spacing w:val="-43"/>
                <w:sz w:val="18"/>
                <w:szCs w:val="18"/>
              </w:rPr>
              <w:t> </w:t>
            </w:r>
            <w:r>
              <w:rPr>
                <w:rFonts w:ascii="Times New Roman" w:hAnsi="Times New Roman" w:cs="Times New Roman" w:eastAsia="Times New Roman" w:hint="default"/>
                <w:spacing w:val="-3"/>
                <w:sz w:val="18"/>
                <w:szCs w:val="18"/>
              </w:rPr>
              <w:t>LED</w:t>
            </w:r>
            <w:r>
              <w:rPr>
                <w:rFonts w:ascii="Times New Roman" w:hAnsi="Times New Roman" w:cs="Times New Roman" w:eastAsia="Times New Roman" w:hint="default"/>
                <w:sz w:val="18"/>
                <w:szCs w:val="18"/>
              </w:rPr>
              <w:t> </w:t>
            </w:r>
            <w:r>
              <w:rPr>
                <w:rFonts w:ascii="宋体" w:hAnsi="宋体" w:cs="宋体" w:eastAsia="宋体" w:hint="default"/>
                <w:sz w:val="18"/>
                <w:szCs w:val="18"/>
              </w:rPr>
              <w:t>器件交易金额的比例</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不超过</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50%</w:t>
            </w:r>
            <w:r>
              <w:rPr>
                <w:rFonts w:ascii="宋体" w:hAnsi="宋体" w:cs="宋体" w:eastAsia="宋体" w:hint="default"/>
                <w:sz w:val="18"/>
                <w:szCs w:val="18"/>
              </w:rPr>
              <w:t>。</w:t>
            </w: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634" w:type="dxa"/>
            <w:tcBorders>
              <w:top w:val="single" w:sz="4" w:space="0" w:color="000000"/>
              <w:left w:val="single" w:sz="4" w:space="0" w:color="000000"/>
              <w:bottom w:val="single" w:sz="4" w:space="0" w:color="000000"/>
              <w:right w:val="single" w:sz="4" w:space="0" w:color="000000"/>
            </w:tcBorders>
          </w:tcPr>
          <w:p>
            <w:pPr/>
          </w:p>
        </w:tc>
      </w:tr>
      <w:tr>
        <w:trPr>
          <w:trHeight w:val="1340" w:hRule="exact"/>
        </w:trPr>
        <w:tc>
          <w:tcPr>
            <w:tcW w:w="156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7"/>
              <w:ind w:left="105" w:right="0"/>
              <w:jc w:val="left"/>
              <w:rPr>
                <w:rFonts w:ascii="宋体" w:hAnsi="宋体" w:cs="宋体" w:eastAsia="宋体" w:hint="default"/>
                <w:sz w:val="18"/>
                <w:szCs w:val="18"/>
              </w:rPr>
            </w:pPr>
            <w:r>
              <w:rPr>
                <w:rFonts w:ascii="宋体" w:hAnsi="宋体" w:cs="宋体" w:eastAsia="宋体" w:hint="default"/>
                <w:sz w:val="18"/>
                <w:szCs w:val="18"/>
              </w:rPr>
              <w:t>股权激励承诺</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3"/>
              <w:ind w:left="105" w:right="151"/>
              <w:jc w:val="both"/>
              <w:rPr>
                <w:rFonts w:ascii="宋体" w:hAnsi="宋体" w:cs="宋体" w:eastAsia="宋体" w:hint="default"/>
                <w:sz w:val="18"/>
                <w:szCs w:val="18"/>
              </w:rPr>
            </w:pPr>
            <w:r>
              <w:rPr>
                <w:rFonts w:ascii="宋体" w:hAnsi="宋体" w:cs="宋体" w:eastAsia="宋体" w:hint="default"/>
                <w:sz w:val="18"/>
                <w:szCs w:val="18"/>
              </w:rPr>
              <w:t>深圳市奥</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拓电子股</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份有限公</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司</w:t>
            </w:r>
          </w:p>
        </w:tc>
        <w:tc>
          <w:tcPr>
            <w:tcW w:w="989" w:type="dxa"/>
            <w:tcBorders>
              <w:top w:val="single" w:sz="4" w:space="0" w:color="000000"/>
              <w:left w:val="single" w:sz="4" w:space="0" w:color="000000"/>
              <w:bottom w:val="single" w:sz="4" w:space="0" w:color="000000"/>
              <w:right w:val="single" w:sz="4" w:space="0" w:color="000000"/>
            </w:tcBorders>
          </w:tcPr>
          <w:p>
            <w:pPr/>
          </w:p>
        </w:tc>
        <w:tc>
          <w:tcPr>
            <w:tcW w:w="326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3"/>
              <w:ind w:left="105" w:right="170"/>
              <w:jc w:val="left"/>
              <w:rPr>
                <w:rFonts w:ascii="宋体" w:hAnsi="宋体" w:cs="宋体" w:eastAsia="宋体" w:hint="default"/>
                <w:sz w:val="18"/>
                <w:szCs w:val="18"/>
              </w:rPr>
            </w:pPr>
            <w:r>
              <w:rPr>
                <w:rFonts w:ascii="宋体" w:hAnsi="宋体" w:cs="宋体" w:eastAsia="宋体" w:hint="default"/>
                <w:spacing w:val="-3"/>
                <w:sz w:val="18"/>
                <w:szCs w:val="18"/>
              </w:rPr>
              <w:t>公司承诺不为激励对象依据</w:t>
            </w:r>
            <w:r>
              <w:rPr>
                <w:rFonts w:ascii="宋体" w:hAnsi="宋体" w:cs="宋体" w:eastAsia="宋体" w:hint="default"/>
                <w:spacing w:val="-25"/>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年限</w:t>
            </w:r>
            <w:r>
              <w:rPr>
                <w:rFonts w:ascii="宋体" w:hAnsi="宋体" w:cs="宋体" w:eastAsia="宋体" w:hint="default"/>
                <w:spacing w:val="-83"/>
                <w:sz w:val="18"/>
                <w:szCs w:val="18"/>
              </w:rPr>
              <w:t> </w:t>
            </w:r>
            <w:r>
              <w:rPr>
                <w:rFonts w:ascii="宋体" w:hAnsi="宋体" w:cs="宋体" w:eastAsia="宋体" w:hint="default"/>
                <w:spacing w:val="-3"/>
                <w:sz w:val="18"/>
                <w:szCs w:val="18"/>
              </w:rPr>
              <w:t>制性股票激励计划获取有关限制性股</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票提供贷款以及其他任何形式的财务</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资助，包括为其贷款提供担保。</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02</w:t>
            </w:r>
          </w:p>
          <w:p>
            <w:pPr>
              <w:pStyle w:val="TableParagraph"/>
              <w:spacing w:line="240" w:lineRule="auto" w:before="67"/>
              <w:ind w:left="10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3"/>
              <w:ind w:left="100" w:right="119"/>
              <w:jc w:val="both"/>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5"/>
                <w:sz w:val="18"/>
                <w:szCs w:val="18"/>
              </w:rPr>
              <w:t> </w:t>
            </w:r>
            <w:r>
              <w:rPr>
                <w:rFonts w:ascii="宋体" w:hAnsi="宋体" w:cs="宋体" w:eastAsia="宋体" w:hint="default"/>
                <w:spacing w:val="-5"/>
                <w:sz w:val="18"/>
                <w:szCs w:val="18"/>
              </w:rPr>
              <w:t>年限</w:t>
            </w:r>
            <w:r>
              <w:rPr>
                <w:rFonts w:ascii="宋体" w:hAnsi="宋体" w:cs="宋体" w:eastAsia="宋体" w:hint="default"/>
                <w:spacing w:val="-88"/>
                <w:sz w:val="18"/>
                <w:szCs w:val="18"/>
              </w:rPr>
              <w:t> </w:t>
            </w:r>
            <w:r>
              <w:rPr>
                <w:rFonts w:ascii="宋体" w:hAnsi="宋体" w:cs="宋体" w:eastAsia="宋体" w:hint="default"/>
                <w:sz w:val="18"/>
                <w:szCs w:val="18"/>
              </w:rPr>
              <w:t>制性股票</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激励计划</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有效期内</w:t>
            </w:r>
          </w:p>
        </w:tc>
        <w:tc>
          <w:tcPr>
            <w:tcW w:w="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21" w:lineRule="auto" w:before="159"/>
              <w:ind w:left="100" w:right="156"/>
              <w:jc w:val="left"/>
              <w:rPr>
                <w:rFonts w:ascii="宋体" w:hAnsi="宋体" w:cs="宋体" w:eastAsia="宋体" w:hint="default"/>
                <w:sz w:val="18"/>
                <w:szCs w:val="18"/>
              </w:rPr>
            </w:pPr>
            <w:r>
              <w:rPr>
                <w:rFonts w:ascii="宋体" w:hAnsi="宋体" w:cs="宋体" w:eastAsia="宋体" w:hint="default"/>
                <w:sz w:val="18"/>
                <w:szCs w:val="18"/>
              </w:rPr>
              <w:t>正在</w:t>
            </w:r>
            <w:r>
              <w:rPr>
                <w:rFonts w:ascii="宋体" w:hAnsi="宋体" w:cs="宋体" w:eastAsia="宋体" w:hint="default"/>
                <w:spacing w:val="-86"/>
                <w:sz w:val="18"/>
                <w:szCs w:val="18"/>
              </w:rPr>
              <w:t> </w:t>
            </w:r>
            <w:r>
              <w:rPr>
                <w:rFonts w:ascii="宋体" w:hAnsi="宋体" w:cs="宋体" w:eastAsia="宋体" w:hint="default"/>
                <w:sz w:val="18"/>
                <w:szCs w:val="18"/>
              </w:rPr>
              <w:t>履行</w:t>
            </w:r>
          </w:p>
        </w:tc>
      </w:tr>
      <w:tr>
        <w:trPr>
          <w:trHeight w:val="1340" w:hRule="exact"/>
        </w:trPr>
        <w:tc>
          <w:tcPr>
            <w:tcW w:w="1561" w:type="dxa"/>
            <w:vMerge/>
            <w:tcBorders>
              <w:left w:val="single" w:sz="4" w:space="0" w:color="000000"/>
              <w:bottom w:val="single" w:sz="4" w:space="0" w:color="000000"/>
              <w:right w:val="single" w:sz="4" w:space="0" w:color="000000"/>
            </w:tcBorders>
            <w:shd w:val="clear" w:color="auto" w:fill="D2D2D2"/>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3"/>
              <w:ind w:left="105" w:right="151"/>
              <w:jc w:val="both"/>
              <w:rPr>
                <w:rFonts w:ascii="宋体" w:hAnsi="宋体" w:cs="宋体" w:eastAsia="宋体" w:hint="default"/>
                <w:sz w:val="18"/>
                <w:szCs w:val="18"/>
              </w:rPr>
            </w:pPr>
            <w:r>
              <w:rPr>
                <w:rFonts w:ascii="宋体" w:hAnsi="宋体" w:cs="宋体" w:eastAsia="宋体" w:hint="default"/>
                <w:sz w:val="18"/>
                <w:szCs w:val="18"/>
              </w:rPr>
              <w:t>深圳市奥</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拓电子股</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份有限公</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司</w:t>
            </w:r>
          </w:p>
        </w:tc>
        <w:tc>
          <w:tcPr>
            <w:tcW w:w="989" w:type="dxa"/>
            <w:tcBorders>
              <w:top w:val="single" w:sz="4" w:space="0" w:color="000000"/>
              <w:left w:val="single" w:sz="4" w:space="0" w:color="000000"/>
              <w:bottom w:val="single" w:sz="4" w:space="0" w:color="000000"/>
              <w:right w:val="single" w:sz="4" w:space="0" w:color="000000"/>
            </w:tcBorders>
          </w:tcPr>
          <w:p>
            <w:pPr/>
          </w:p>
        </w:tc>
        <w:tc>
          <w:tcPr>
            <w:tcW w:w="326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3"/>
              <w:ind w:left="105" w:right="170"/>
              <w:jc w:val="left"/>
              <w:rPr>
                <w:rFonts w:ascii="宋体" w:hAnsi="宋体" w:cs="宋体" w:eastAsia="宋体" w:hint="default"/>
                <w:sz w:val="18"/>
                <w:szCs w:val="18"/>
              </w:rPr>
            </w:pPr>
            <w:r>
              <w:rPr>
                <w:rFonts w:ascii="宋体" w:hAnsi="宋体" w:cs="宋体" w:eastAsia="宋体" w:hint="default"/>
                <w:spacing w:val="-3"/>
                <w:sz w:val="18"/>
                <w:szCs w:val="18"/>
              </w:rPr>
              <w:t>公司承诺不为激励对象依据</w:t>
            </w:r>
            <w:r>
              <w:rPr>
                <w:rFonts w:ascii="宋体" w:hAnsi="宋体" w:cs="宋体" w:eastAsia="宋体" w:hint="default"/>
                <w:spacing w:val="-25"/>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年限</w:t>
            </w:r>
            <w:r>
              <w:rPr>
                <w:rFonts w:ascii="宋体" w:hAnsi="宋体" w:cs="宋体" w:eastAsia="宋体" w:hint="default"/>
                <w:spacing w:val="-83"/>
                <w:sz w:val="18"/>
                <w:szCs w:val="18"/>
              </w:rPr>
              <w:t> </w:t>
            </w:r>
            <w:r>
              <w:rPr>
                <w:rFonts w:ascii="宋体" w:hAnsi="宋体" w:cs="宋体" w:eastAsia="宋体" w:hint="default"/>
                <w:spacing w:val="-3"/>
                <w:sz w:val="18"/>
                <w:szCs w:val="18"/>
              </w:rPr>
              <w:t>制性股票激励计划获取有关限制性股</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票提供贷款以及其他任何形式的财务</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资助，包括为其贷款提供担保。</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8"/>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09</w:t>
            </w:r>
          </w:p>
          <w:p>
            <w:pPr>
              <w:pStyle w:val="TableParagraph"/>
              <w:spacing w:line="240" w:lineRule="auto" w:before="68"/>
              <w:ind w:left="10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3"/>
              <w:ind w:left="100" w:right="119"/>
              <w:jc w:val="both"/>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pacing w:val="-5"/>
                <w:sz w:val="18"/>
                <w:szCs w:val="18"/>
              </w:rPr>
              <w:t>年限</w:t>
            </w:r>
            <w:r>
              <w:rPr>
                <w:rFonts w:ascii="宋体" w:hAnsi="宋体" w:cs="宋体" w:eastAsia="宋体" w:hint="default"/>
                <w:spacing w:val="-88"/>
                <w:sz w:val="18"/>
                <w:szCs w:val="18"/>
              </w:rPr>
              <w:t> </w:t>
            </w:r>
            <w:r>
              <w:rPr>
                <w:rFonts w:ascii="宋体" w:hAnsi="宋体" w:cs="宋体" w:eastAsia="宋体" w:hint="default"/>
                <w:sz w:val="18"/>
                <w:szCs w:val="18"/>
              </w:rPr>
              <w:t>制性股票</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激励计划</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有效期内</w:t>
            </w:r>
          </w:p>
        </w:tc>
        <w:tc>
          <w:tcPr>
            <w:tcW w:w="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24" w:lineRule="auto" w:before="158"/>
              <w:ind w:left="100" w:right="156"/>
              <w:jc w:val="left"/>
              <w:rPr>
                <w:rFonts w:ascii="宋体" w:hAnsi="宋体" w:cs="宋体" w:eastAsia="宋体" w:hint="default"/>
                <w:sz w:val="18"/>
                <w:szCs w:val="18"/>
              </w:rPr>
            </w:pPr>
            <w:r>
              <w:rPr>
                <w:rFonts w:ascii="宋体" w:hAnsi="宋体" w:cs="宋体" w:eastAsia="宋体" w:hint="default"/>
                <w:sz w:val="18"/>
                <w:szCs w:val="18"/>
              </w:rPr>
              <w:t>正在</w:t>
            </w:r>
            <w:r>
              <w:rPr>
                <w:rFonts w:ascii="宋体" w:hAnsi="宋体" w:cs="宋体" w:eastAsia="宋体" w:hint="default"/>
                <w:spacing w:val="-86"/>
                <w:sz w:val="18"/>
                <w:szCs w:val="18"/>
              </w:rPr>
              <w:t> </w:t>
            </w:r>
            <w:r>
              <w:rPr>
                <w:rFonts w:ascii="宋体" w:hAnsi="宋体" w:cs="宋体" w:eastAsia="宋体" w:hint="default"/>
                <w:sz w:val="18"/>
                <w:szCs w:val="18"/>
              </w:rPr>
              <w:t>履行</w:t>
            </w:r>
          </w:p>
        </w:tc>
      </w:tr>
      <w:tr>
        <w:trPr>
          <w:trHeight w:val="715" w:hRule="exact"/>
        </w:trPr>
        <w:tc>
          <w:tcPr>
            <w:tcW w:w="15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05" w:right="180"/>
              <w:jc w:val="left"/>
              <w:rPr>
                <w:rFonts w:ascii="宋体" w:hAnsi="宋体" w:cs="宋体" w:eastAsia="宋体" w:hint="default"/>
                <w:sz w:val="18"/>
                <w:szCs w:val="18"/>
              </w:rPr>
            </w:pPr>
            <w:r>
              <w:rPr>
                <w:rFonts w:ascii="宋体" w:hAnsi="宋体" w:cs="宋体" w:eastAsia="宋体" w:hint="default"/>
                <w:spacing w:val="-3"/>
                <w:sz w:val="18"/>
                <w:szCs w:val="18"/>
              </w:rPr>
              <w:t>其他对公司中小</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股东所作承诺</w:t>
            </w:r>
          </w:p>
        </w:tc>
        <w:tc>
          <w:tcPr>
            <w:tcW w:w="994"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3265"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634" w:type="dxa"/>
            <w:tcBorders>
              <w:top w:val="single" w:sz="4" w:space="0" w:color="000000"/>
              <w:left w:val="single" w:sz="4" w:space="0" w:color="000000"/>
              <w:bottom w:val="single" w:sz="4" w:space="0" w:color="000000"/>
              <w:right w:val="single" w:sz="4" w:space="0" w:color="000000"/>
            </w:tcBorders>
          </w:tcPr>
          <w:p>
            <w:pPr/>
          </w:p>
        </w:tc>
      </w:tr>
      <w:tr>
        <w:trPr>
          <w:trHeight w:val="711" w:hRule="exact"/>
        </w:trPr>
        <w:tc>
          <w:tcPr>
            <w:tcW w:w="15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105" w:right="180"/>
              <w:jc w:val="left"/>
              <w:rPr>
                <w:rFonts w:ascii="宋体" w:hAnsi="宋体" w:cs="宋体" w:eastAsia="宋体" w:hint="default"/>
                <w:sz w:val="18"/>
                <w:szCs w:val="18"/>
              </w:rPr>
            </w:pPr>
            <w:r>
              <w:rPr>
                <w:rFonts w:ascii="宋体" w:hAnsi="宋体" w:cs="宋体" w:eastAsia="宋体" w:hint="default"/>
                <w:spacing w:val="-3"/>
                <w:sz w:val="18"/>
                <w:szCs w:val="18"/>
              </w:rPr>
              <w:t>承诺是否按时履</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行</w:t>
            </w:r>
          </w:p>
        </w:tc>
        <w:tc>
          <w:tcPr>
            <w:tcW w:w="8009"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1964" w:hRule="exact"/>
        </w:trPr>
        <w:tc>
          <w:tcPr>
            <w:tcW w:w="15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105" w:right="180"/>
              <w:jc w:val="both"/>
              <w:rPr>
                <w:rFonts w:ascii="宋体" w:hAnsi="宋体" w:cs="宋体" w:eastAsia="宋体" w:hint="default"/>
                <w:sz w:val="18"/>
                <w:szCs w:val="18"/>
              </w:rPr>
            </w:pPr>
            <w:r>
              <w:rPr>
                <w:rFonts w:ascii="宋体" w:hAnsi="宋体" w:cs="宋体" w:eastAsia="宋体" w:hint="default"/>
                <w:spacing w:val="-3"/>
                <w:sz w:val="18"/>
                <w:szCs w:val="18"/>
              </w:rPr>
              <w:t>如承诺超期未履</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3"/>
                <w:sz w:val="18"/>
                <w:szCs w:val="18"/>
              </w:rPr>
              <w:t>行完毕的，应当</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3"/>
                <w:sz w:val="18"/>
                <w:szCs w:val="18"/>
              </w:rPr>
              <w:t>详细说明未完成</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3"/>
                <w:sz w:val="18"/>
                <w:szCs w:val="18"/>
              </w:rPr>
              <w:t>履行的具体原因</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3"/>
                <w:sz w:val="18"/>
                <w:szCs w:val="18"/>
              </w:rPr>
              <w:t>及下一步的工作</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计划</w:t>
            </w:r>
          </w:p>
        </w:tc>
        <w:tc>
          <w:tcPr>
            <w:tcW w:w="8009"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无</w:t>
            </w:r>
            <w:r>
              <w:rPr>
                <w:rFonts w:ascii="宋体" w:hAnsi="宋体" w:cs="宋体" w:eastAsia="宋体" w:hint="default"/>
                <w:sz w:val="18"/>
                <w:szCs w:val="18"/>
              </w:rPr>
            </w:r>
          </w:p>
        </w:tc>
      </w:tr>
    </w:tbl>
    <w:p>
      <w:pPr>
        <w:spacing w:line="240" w:lineRule="auto" w:before="10"/>
        <w:rPr>
          <w:rFonts w:ascii="Times New Roman" w:hAnsi="Times New Roman" w:cs="Times New Roman" w:eastAsia="Times New Roman" w:hint="default"/>
          <w:sz w:val="21"/>
          <w:szCs w:val="21"/>
        </w:rPr>
      </w:pPr>
    </w:p>
    <w:p>
      <w:pPr>
        <w:pStyle w:val="Heading4"/>
        <w:spacing w:line="256" w:lineRule="auto" w:before="36"/>
        <w:ind w:right="0"/>
        <w:jc w:val="left"/>
        <w:rPr>
          <w:b w:val="0"/>
          <w:bCs w:val="0"/>
        </w:rPr>
      </w:pPr>
      <w:bookmarkStart w:name="2、公司资产或项目存在盈利预测，且报告期仍处在盈利预测期间，公司就资产或项目达到" w:id="68"/>
      <w:bookmarkEnd w:id="68"/>
      <w:r>
        <w:rPr>
          <w:b w:val="0"/>
          <w:bCs w:val="0"/>
        </w:rPr>
      </w:r>
      <w:r>
        <w:rPr>
          <w:rFonts w:ascii="Times New Roman" w:hAnsi="Times New Roman" w:cs="Times New Roman" w:eastAsia="Times New Roman" w:hint="default"/>
        </w:rPr>
        <w:t>2</w:t>
      </w:r>
      <w:r>
        <w:rPr/>
        <w:t>、公司资产或项目存在盈利预测，且报告期仍处在盈利预测期间，公司就资产或项目达到原盈利预测及</w:t>
      </w:r>
      <w:r>
        <w:rPr>
          <w:spacing w:val="-65"/>
        </w:rPr>
        <w:t> </w:t>
      </w:r>
      <w:r>
        <w:rPr>
          <w:spacing w:val="-65"/>
        </w:rPr>
      </w:r>
      <w:r>
        <w:rPr/>
        <w:t>其原因做出说明</w:t>
      </w:r>
      <w:r>
        <w:rPr>
          <w:b w:val="0"/>
          <w:bCs w:val="0"/>
        </w:rPr>
      </w:r>
    </w:p>
    <w:p>
      <w:pPr>
        <w:spacing w:line="240" w:lineRule="auto" w:before="2"/>
        <w:rPr>
          <w:rFonts w:ascii="宋体" w:hAnsi="宋体" w:cs="宋体" w:eastAsia="宋体" w:hint="default"/>
          <w:b/>
          <w:bCs/>
          <w:sz w:val="27"/>
          <w:szCs w:val="27"/>
        </w:rPr>
      </w:pPr>
    </w:p>
    <w:p>
      <w:pPr>
        <w:pStyle w:val="BodyText"/>
        <w:spacing w:line="240" w:lineRule="auto" w:before="0"/>
        <w:ind w:right="0"/>
        <w:jc w:val="left"/>
      </w:pPr>
      <w:r>
        <w:rPr/>
        <w:t>√ </w:t>
      </w:r>
      <w:r>
        <w:rPr>
          <w:spacing w:val="-3"/>
        </w:rPr>
        <w:t>适用 </w:t>
      </w:r>
      <w:r>
        <w:rPr/>
        <w:t>□</w:t>
      </w:r>
      <w:r>
        <w:rPr>
          <w:spacing w:val="13"/>
        </w:rPr>
        <w:t> </w:t>
      </w:r>
      <w:r>
        <w:rPr/>
        <w:t>不适用</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306"/>
        <w:gridCol w:w="1181"/>
        <w:gridCol w:w="1181"/>
        <w:gridCol w:w="1176"/>
        <w:gridCol w:w="1181"/>
        <w:gridCol w:w="1181"/>
        <w:gridCol w:w="1181"/>
        <w:gridCol w:w="1181"/>
      </w:tblGrid>
      <w:tr>
        <w:trPr>
          <w:trHeight w:val="1027"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16" w:lineRule="auto"/>
              <w:ind w:left="201" w:right="99" w:hanging="92"/>
              <w:jc w:val="left"/>
              <w:rPr>
                <w:rFonts w:ascii="宋体" w:hAnsi="宋体" w:cs="宋体" w:eastAsia="宋体" w:hint="default"/>
                <w:sz w:val="18"/>
                <w:szCs w:val="18"/>
              </w:rPr>
            </w:pPr>
            <w:r>
              <w:rPr>
                <w:rFonts w:ascii="宋体" w:hAnsi="宋体" w:cs="宋体" w:eastAsia="宋体" w:hint="default"/>
                <w:spacing w:val="-2"/>
                <w:sz w:val="18"/>
                <w:szCs w:val="18"/>
              </w:rPr>
              <w:t>盈利预测资产</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或项目名称</w:t>
            </w:r>
          </w:p>
        </w:tc>
        <w:tc>
          <w:tcPr>
            <w:tcW w:w="11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16" w:lineRule="auto"/>
              <w:ind w:left="499" w:right="127" w:hanging="360"/>
              <w:jc w:val="left"/>
              <w:rPr>
                <w:rFonts w:ascii="宋体" w:hAnsi="宋体" w:cs="宋体" w:eastAsia="宋体" w:hint="default"/>
                <w:sz w:val="18"/>
                <w:szCs w:val="18"/>
              </w:rPr>
            </w:pPr>
            <w:r>
              <w:rPr>
                <w:rFonts w:ascii="宋体" w:hAnsi="宋体" w:cs="宋体" w:eastAsia="宋体" w:hint="default"/>
                <w:spacing w:val="-2"/>
                <w:sz w:val="18"/>
                <w:szCs w:val="18"/>
              </w:rPr>
              <w:t>预测起始时</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间</w:t>
            </w:r>
          </w:p>
        </w:tc>
        <w:tc>
          <w:tcPr>
            <w:tcW w:w="11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16" w:lineRule="auto"/>
              <w:ind w:left="494" w:right="132" w:hanging="360"/>
              <w:jc w:val="left"/>
              <w:rPr>
                <w:rFonts w:ascii="宋体" w:hAnsi="宋体" w:cs="宋体" w:eastAsia="宋体" w:hint="default"/>
                <w:sz w:val="18"/>
                <w:szCs w:val="18"/>
              </w:rPr>
            </w:pPr>
            <w:r>
              <w:rPr>
                <w:rFonts w:ascii="宋体" w:hAnsi="宋体" w:cs="宋体" w:eastAsia="宋体" w:hint="default"/>
                <w:spacing w:val="-2"/>
                <w:sz w:val="18"/>
                <w:szCs w:val="18"/>
              </w:rPr>
              <w:t>预测终止时</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间</w:t>
            </w:r>
          </w:p>
        </w:tc>
        <w:tc>
          <w:tcPr>
            <w:tcW w:w="11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16" w:lineRule="auto"/>
              <w:ind w:left="134" w:right="127"/>
              <w:jc w:val="left"/>
              <w:rPr>
                <w:rFonts w:ascii="宋体" w:hAnsi="宋体" w:cs="宋体" w:eastAsia="宋体" w:hint="default"/>
                <w:sz w:val="18"/>
                <w:szCs w:val="18"/>
              </w:rPr>
            </w:pPr>
            <w:r>
              <w:rPr>
                <w:rFonts w:ascii="宋体" w:hAnsi="宋体" w:cs="宋体" w:eastAsia="宋体" w:hint="default"/>
                <w:spacing w:val="-2"/>
                <w:sz w:val="18"/>
                <w:szCs w:val="18"/>
              </w:rPr>
              <w:t>当期预测业</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2"/>
                <w:sz w:val="18"/>
                <w:szCs w:val="18"/>
              </w:rPr>
              <w:t>绩（万元）</w:t>
            </w:r>
          </w:p>
        </w:tc>
        <w:tc>
          <w:tcPr>
            <w:tcW w:w="11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16" w:lineRule="auto"/>
              <w:ind w:left="139" w:right="127"/>
              <w:jc w:val="left"/>
              <w:rPr>
                <w:rFonts w:ascii="宋体" w:hAnsi="宋体" w:cs="宋体" w:eastAsia="宋体" w:hint="default"/>
                <w:sz w:val="18"/>
                <w:szCs w:val="18"/>
              </w:rPr>
            </w:pPr>
            <w:r>
              <w:rPr>
                <w:rFonts w:ascii="宋体" w:hAnsi="宋体" w:cs="宋体" w:eastAsia="宋体" w:hint="default"/>
                <w:spacing w:val="-2"/>
                <w:sz w:val="18"/>
                <w:szCs w:val="18"/>
              </w:rPr>
              <w:t>当期实际业</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2"/>
                <w:sz w:val="18"/>
                <w:szCs w:val="18"/>
              </w:rPr>
              <w:t>绩（万元）</w:t>
            </w:r>
          </w:p>
        </w:tc>
        <w:tc>
          <w:tcPr>
            <w:tcW w:w="11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139" w:right="128"/>
              <w:jc w:val="center"/>
              <w:rPr>
                <w:rFonts w:ascii="宋体" w:hAnsi="宋体" w:cs="宋体" w:eastAsia="宋体" w:hint="default"/>
                <w:sz w:val="18"/>
                <w:szCs w:val="18"/>
              </w:rPr>
            </w:pPr>
            <w:r>
              <w:rPr>
                <w:rFonts w:ascii="宋体" w:hAnsi="宋体" w:cs="宋体" w:eastAsia="宋体" w:hint="default"/>
                <w:spacing w:val="-2"/>
                <w:sz w:val="18"/>
                <w:szCs w:val="18"/>
              </w:rPr>
              <w:t>未达预测的</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2"/>
                <w:sz w:val="18"/>
                <w:szCs w:val="18"/>
              </w:rPr>
              <w:t>原因（如适</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用）</w:t>
            </w:r>
          </w:p>
        </w:tc>
        <w:tc>
          <w:tcPr>
            <w:tcW w:w="11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16" w:lineRule="auto"/>
              <w:ind w:left="408" w:right="127" w:hanging="269"/>
              <w:jc w:val="left"/>
              <w:rPr>
                <w:rFonts w:ascii="宋体" w:hAnsi="宋体" w:cs="宋体" w:eastAsia="宋体" w:hint="default"/>
                <w:sz w:val="18"/>
                <w:szCs w:val="18"/>
              </w:rPr>
            </w:pPr>
            <w:r>
              <w:rPr>
                <w:rFonts w:ascii="宋体" w:hAnsi="宋体" w:cs="宋体" w:eastAsia="宋体" w:hint="default"/>
                <w:spacing w:val="-2"/>
                <w:sz w:val="18"/>
                <w:szCs w:val="18"/>
              </w:rPr>
              <w:t>原预测披露</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日期</w:t>
            </w:r>
          </w:p>
        </w:tc>
        <w:tc>
          <w:tcPr>
            <w:tcW w:w="11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16" w:lineRule="auto"/>
              <w:ind w:left="403" w:right="132" w:hanging="269"/>
              <w:jc w:val="left"/>
              <w:rPr>
                <w:rFonts w:ascii="宋体" w:hAnsi="宋体" w:cs="宋体" w:eastAsia="宋体" w:hint="default"/>
                <w:sz w:val="18"/>
                <w:szCs w:val="18"/>
              </w:rPr>
            </w:pPr>
            <w:r>
              <w:rPr>
                <w:rFonts w:ascii="宋体" w:hAnsi="宋体" w:cs="宋体" w:eastAsia="宋体" w:hint="default"/>
                <w:spacing w:val="-2"/>
                <w:sz w:val="18"/>
                <w:szCs w:val="18"/>
              </w:rPr>
              <w:t>原预测披露</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索引</w:t>
            </w:r>
          </w:p>
        </w:tc>
      </w:tr>
      <w:tr>
        <w:trPr>
          <w:trHeight w:val="1340" w:hRule="exact"/>
        </w:trPr>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05" w:right="104"/>
              <w:jc w:val="both"/>
              <w:rPr>
                <w:rFonts w:ascii="宋体" w:hAnsi="宋体" w:cs="宋体" w:eastAsia="宋体" w:hint="default"/>
                <w:sz w:val="18"/>
                <w:szCs w:val="18"/>
              </w:rPr>
            </w:pPr>
            <w:r>
              <w:rPr>
                <w:rFonts w:ascii="宋体" w:hAnsi="宋体" w:cs="宋体" w:eastAsia="宋体" w:hint="default"/>
                <w:spacing w:val="-2"/>
                <w:sz w:val="18"/>
                <w:szCs w:val="18"/>
              </w:rPr>
              <w:t>深圳市千百辉</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照明工程有限</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公司</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105"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10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441" w:right="0"/>
              <w:jc w:val="left"/>
              <w:rPr>
                <w:rFonts w:ascii="Times New Roman" w:hAnsi="Times New Roman" w:cs="Times New Roman" w:eastAsia="Times New Roman" w:hint="default"/>
                <w:sz w:val="18"/>
                <w:szCs w:val="18"/>
              </w:rPr>
            </w:pPr>
            <w:r>
              <w:rPr>
                <w:rFonts w:ascii="Times New Roman"/>
                <w:sz w:val="18"/>
              </w:rPr>
              <w:t>3,811.87</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441" w:right="0"/>
              <w:jc w:val="left"/>
              <w:rPr>
                <w:rFonts w:ascii="Times New Roman" w:hAnsi="Times New Roman" w:cs="Times New Roman" w:eastAsia="Times New Roman" w:hint="default"/>
                <w:sz w:val="18"/>
                <w:szCs w:val="18"/>
              </w:rPr>
            </w:pPr>
            <w:r>
              <w:rPr>
                <w:rFonts w:ascii="Times New Roman"/>
                <w:sz w:val="18"/>
              </w:rPr>
              <w:t>4,194.65</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105"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336" w:lineRule="auto" w:before="54"/>
              <w:ind w:left="105" w:right="118"/>
              <w:jc w:val="left"/>
              <w:rPr>
                <w:rFonts w:ascii="Times New Roman" w:hAnsi="Times New Roman" w:cs="Times New Roman" w:eastAsia="Times New Roman" w:hint="default"/>
                <w:sz w:val="18"/>
                <w:szCs w:val="18"/>
              </w:rPr>
            </w:pPr>
            <w:r>
              <w:rPr>
                <w:rFonts w:ascii="宋体" w:hAnsi="宋体" w:cs="宋体" w:eastAsia="宋体" w:hint="default"/>
                <w:sz w:val="18"/>
                <w:szCs w:val="18"/>
              </w:rPr>
              <w:t>详见巨潮资</w:t>
            </w:r>
            <w:r>
              <w:rPr>
                <w:rFonts w:ascii="宋体" w:hAnsi="宋体" w:cs="宋体" w:eastAsia="宋体" w:hint="default"/>
                <w:w w:val="101"/>
                <w:sz w:val="18"/>
                <w:szCs w:val="18"/>
              </w:rPr>
              <w:t> </w:t>
            </w:r>
            <w:r>
              <w:rPr>
                <w:rFonts w:ascii="宋体" w:hAnsi="宋体" w:cs="宋体" w:eastAsia="宋体" w:hint="default"/>
                <w:sz w:val="18"/>
                <w:szCs w:val="18"/>
              </w:rPr>
              <w:t>讯网：</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Times New Roman" w:hAnsi="Times New Roman" w:cs="Times New Roman" w:eastAsia="Times New Roman" w:hint="default"/>
                <w:spacing w:val="-2"/>
                <w:sz w:val="18"/>
                <w:szCs w:val="18"/>
              </w:rPr>
              <w:t>http://www.c</w:t>
            </w:r>
          </w:p>
          <w:p>
            <w:pPr>
              <w:pStyle w:val="TableParagraph"/>
              <w:spacing w:line="240" w:lineRule="auto" w:before="30"/>
              <w:ind w:left="105" w:right="0"/>
              <w:jc w:val="left"/>
              <w:rPr>
                <w:rFonts w:ascii="Times New Roman" w:hAnsi="Times New Roman" w:cs="Times New Roman" w:eastAsia="Times New Roman" w:hint="default"/>
                <w:sz w:val="18"/>
                <w:szCs w:val="18"/>
              </w:rPr>
            </w:pPr>
            <w:r>
              <w:rPr>
                <w:rFonts w:ascii="Times New Roman"/>
                <w:sz w:val="18"/>
              </w:rPr>
              <w:t>ninfo.com.cn</w:t>
            </w:r>
          </w:p>
        </w:tc>
      </w:tr>
    </w:tbl>
    <w:p>
      <w:pPr>
        <w:pStyle w:val="BodyText"/>
        <w:spacing w:line="240" w:lineRule="auto" w:before="53"/>
        <w:ind w:right="0"/>
        <w:jc w:val="left"/>
      </w:pPr>
      <w:r>
        <w:rPr>
          <w:spacing w:val="-3"/>
        </w:rPr>
        <w:t>公司股东、交易对手方在报告年度经营业绩做出的承诺情况</w:t>
      </w:r>
    </w:p>
    <w:p>
      <w:pPr>
        <w:pStyle w:val="BodyText"/>
        <w:spacing w:line="357" w:lineRule="auto" w:before="115"/>
        <w:ind w:left="513" w:right="1120" w:hanging="360"/>
        <w:jc w:val="left"/>
      </w:pPr>
      <w:r>
        <w:rPr/>
        <w:t>√ </w:t>
      </w:r>
      <w:r>
        <w:rPr>
          <w:spacing w:val="-3"/>
        </w:rPr>
        <w:t>适用 </w:t>
      </w:r>
      <w:r>
        <w:rPr/>
        <w:t>□ 不适用</w:t>
      </w:r>
      <w:r>
        <w:rPr>
          <w:spacing w:val="-77"/>
        </w:rPr>
        <w:t> </w:t>
      </w:r>
      <w:r>
        <w:rPr>
          <w:spacing w:val="-77"/>
        </w:rPr>
      </w:r>
      <w:r>
        <w:rPr>
          <w:spacing w:val="-4"/>
        </w:rPr>
        <w:t>根据公司与千百辉全体原股东签署的《发行股份及支付现金购买资产协议》和《盈利预测补偿协议》，千百辉全体原股</w:t>
      </w:r>
    </w:p>
    <w:p>
      <w:pPr>
        <w:pStyle w:val="BodyText"/>
        <w:spacing w:line="224" w:lineRule="exact" w:before="0"/>
        <w:ind w:right="0"/>
        <w:jc w:val="left"/>
      </w:pPr>
      <w:r>
        <w:rPr>
          <w:spacing w:val="-4"/>
        </w:rPr>
        <w:t>东承诺千百辉在</w:t>
      </w:r>
      <w:r>
        <w:rPr>
          <w:rFonts w:ascii="宋体" w:hAnsi="宋体" w:cs="宋体" w:eastAsia="宋体" w:hint="default"/>
          <w:spacing w:val="-4"/>
        </w:rPr>
        <w:t>2016</w:t>
      </w:r>
      <w:r>
        <w:rPr>
          <w:spacing w:val="-4"/>
        </w:rPr>
        <w:t>年度、</w:t>
      </w:r>
      <w:r>
        <w:rPr>
          <w:rFonts w:ascii="宋体" w:hAnsi="宋体" w:cs="宋体" w:eastAsia="宋体" w:hint="default"/>
          <w:spacing w:val="-4"/>
        </w:rPr>
        <w:t>2017</w:t>
      </w:r>
      <w:r>
        <w:rPr>
          <w:spacing w:val="-4"/>
        </w:rPr>
        <w:t>年度、</w:t>
      </w:r>
      <w:r>
        <w:rPr>
          <w:rFonts w:ascii="宋体" w:hAnsi="宋体" w:cs="宋体" w:eastAsia="宋体" w:hint="default"/>
          <w:spacing w:val="-4"/>
        </w:rPr>
        <w:t>2018</w:t>
      </w:r>
      <w:r>
        <w:rPr>
          <w:spacing w:val="-4"/>
        </w:rPr>
        <w:t>年度和</w:t>
      </w:r>
      <w:r>
        <w:rPr>
          <w:rFonts w:ascii="宋体" w:hAnsi="宋体" w:cs="宋体" w:eastAsia="宋体" w:hint="default"/>
          <w:spacing w:val="-4"/>
        </w:rPr>
        <w:t>2019</w:t>
      </w:r>
      <w:r>
        <w:rPr>
          <w:spacing w:val="-4"/>
        </w:rPr>
        <w:t>年度实现的扣除非经常性损益后的归属于母公司所有者的净利润分别</w:t>
      </w:r>
    </w:p>
    <w:p>
      <w:pPr>
        <w:pStyle w:val="BodyText"/>
        <w:spacing w:line="240" w:lineRule="auto" w:before="76"/>
        <w:ind w:right="0"/>
        <w:jc w:val="left"/>
      </w:pPr>
      <w:r>
        <w:rPr>
          <w:spacing w:val="-4"/>
        </w:rPr>
        <w:t>为</w:t>
      </w:r>
      <w:r>
        <w:rPr>
          <w:rFonts w:ascii="宋体" w:hAnsi="宋体" w:cs="宋体" w:eastAsia="宋体" w:hint="default"/>
          <w:spacing w:val="-4"/>
        </w:rPr>
        <w:t>2,300.00</w:t>
      </w:r>
      <w:r>
        <w:rPr>
          <w:spacing w:val="-4"/>
        </w:rPr>
        <w:t>万元、</w:t>
      </w:r>
      <w:r>
        <w:rPr>
          <w:rFonts w:ascii="宋体" w:hAnsi="宋体" w:cs="宋体" w:eastAsia="宋体" w:hint="default"/>
          <w:spacing w:val="-4"/>
        </w:rPr>
        <w:t>2,800.00</w:t>
      </w:r>
      <w:r>
        <w:rPr>
          <w:spacing w:val="-4"/>
        </w:rPr>
        <w:t>万元、</w:t>
      </w:r>
      <w:r>
        <w:rPr>
          <w:rFonts w:ascii="宋体" w:hAnsi="宋体" w:cs="宋体" w:eastAsia="宋体" w:hint="default"/>
          <w:spacing w:val="-4"/>
        </w:rPr>
        <w:t>3,300.00</w:t>
      </w:r>
      <w:r>
        <w:rPr>
          <w:spacing w:val="-4"/>
        </w:rPr>
        <w:t>万元、</w:t>
      </w:r>
      <w:r>
        <w:rPr>
          <w:rFonts w:ascii="宋体" w:hAnsi="宋体" w:cs="宋体" w:eastAsia="宋体" w:hint="default"/>
          <w:spacing w:val="-4"/>
        </w:rPr>
        <w:t>3,900.00</w:t>
      </w:r>
      <w:r>
        <w:rPr>
          <w:spacing w:val="-4"/>
        </w:rPr>
        <w:t>万元。经审计，千百辉</w:t>
      </w:r>
      <w:r>
        <w:rPr>
          <w:rFonts w:ascii="宋体" w:hAnsi="宋体" w:cs="宋体" w:eastAsia="宋体" w:hint="default"/>
          <w:spacing w:val="-4"/>
        </w:rPr>
        <w:t>2019</w:t>
      </w:r>
      <w:r>
        <w:rPr>
          <w:spacing w:val="-4"/>
        </w:rPr>
        <w:t>年度扣除非经常性损益后归属于母公</w:t>
      </w:r>
    </w:p>
    <w:p>
      <w:pPr>
        <w:spacing w:after="0" w:line="240" w:lineRule="auto"/>
        <w:jc w:val="left"/>
        <w:sectPr>
          <w:pgSz w:w="11910" w:h="16840"/>
          <w:pgMar w:header="784" w:footer="1022" w:top="1100" w:bottom="1220" w:left="980" w:right="0"/>
        </w:sectPr>
      </w:pPr>
    </w:p>
    <w:p>
      <w:pPr>
        <w:spacing w:line="240" w:lineRule="auto" w:before="10"/>
        <w:rPr>
          <w:rFonts w:ascii="宋体" w:hAnsi="宋体" w:cs="宋体" w:eastAsia="宋体" w:hint="default"/>
          <w:sz w:val="22"/>
          <w:szCs w:val="22"/>
        </w:rPr>
      </w:pPr>
      <w:r>
        <w:rPr/>
        <w:pict>
          <v:group style="position:absolute;margin-left:216.789993pt;margin-top:627.765991pt;width:158.5pt;height:15.65pt;mso-position-horizontal-relative:page;mso-position-vertical-relative:page;z-index:-1079008" coordorigin="4336,12555" coordsize="3170,313">
            <v:shape style="position:absolute;left:4336;top:12555;width:3170;height:313" coordorigin="4336,12555" coordsize="3170,313" path="m4336,12868l7505,12868,7505,12555,4336,12555,4336,12868xe" filled="true" fillcolor="#ffffff" stroked="false">
              <v:path arrowok="t"/>
              <v:fill type="solid"/>
            </v:shape>
            <w10:wrap type="none"/>
          </v:group>
        </w:pict>
      </w:r>
    </w:p>
    <w:p>
      <w:pPr>
        <w:pStyle w:val="BodyText"/>
        <w:spacing w:line="362" w:lineRule="auto"/>
        <w:ind w:right="6445"/>
        <w:jc w:val="left"/>
      </w:pPr>
      <w:r>
        <w:rPr/>
        <w:t>司所有者股东的净利润金额为</w:t>
      </w:r>
      <w:r>
        <w:rPr>
          <w:rFonts w:ascii="宋体" w:hAnsi="宋体" w:cs="宋体" w:eastAsia="宋体" w:hint="default"/>
        </w:rPr>
        <w:t>3,904.35</w:t>
      </w:r>
      <w:r>
        <w:rPr/>
        <w:t>万元。</w:t>
      </w:r>
      <w:r>
        <w:rPr>
          <w:w w:val="101"/>
        </w:rPr>
        <w:t> </w:t>
      </w:r>
      <w:r>
        <w:rPr>
          <w:spacing w:val="-3"/>
        </w:rPr>
        <w:t>业绩承诺的完成情况及其对商誉减值测试的影响</w:t>
      </w:r>
    </w:p>
    <w:p>
      <w:pPr>
        <w:pStyle w:val="BodyText"/>
        <w:spacing w:line="309" w:lineRule="auto" w:before="23"/>
        <w:ind w:right="1047" w:firstLine="360"/>
        <w:jc w:val="both"/>
      </w:pPr>
      <w:r>
        <w:rPr>
          <w:spacing w:val="-4"/>
          <w:w w:val="101"/>
        </w:rPr>
        <w:t>根据《深圳市奥拓电子股份有限公司与深圳市千百辉照明工程有限公司股东之关于发行股份及支付现金购买资产的盈利</w:t>
      </w:r>
      <w:r>
        <w:rPr>
          <w:w w:val="101"/>
        </w:rPr>
        <w:t> </w:t>
      </w:r>
      <w:r>
        <w:rPr>
          <w:spacing w:val="-4"/>
        </w:rPr>
        <w:t>预测补偿协议》中有关业绩承诺的规定，千百辉完成了 </w:t>
      </w:r>
      <w:r>
        <w:rPr>
          <w:rFonts w:ascii="Times New Roman" w:hAnsi="Times New Roman" w:cs="Times New Roman" w:eastAsia="Times New Roman" w:hint="default"/>
        </w:rPr>
        <w:t>2019 </w:t>
      </w:r>
      <w:r>
        <w:rPr>
          <w:spacing w:val="-3"/>
        </w:rPr>
        <w:t>年度承诺利润。本公司将深圳市千百辉照明工程有限公司认定</w:t>
      </w:r>
      <w:r>
        <w:rPr>
          <w:spacing w:val="2"/>
        </w:rPr>
        <w:t> </w:t>
      </w:r>
      <w:r>
        <w:rPr>
          <w:spacing w:val="2"/>
        </w:rPr>
      </w:r>
      <w:r>
        <w:rPr>
          <w:spacing w:val="-3"/>
        </w:rPr>
        <w:t>一个资产组。公司年末对商誉进行了减值测试，经测试资产组的账面余额小于资产组估计的可收回金额，不存在减值迹象。</w:t>
      </w: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26"/>
          <w:szCs w:val="26"/>
        </w:rPr>
      </w:pPr>
    </w:p>
    <w:p>
      <w:pPr>
        <w:pStyle w:val="Heading2"/>
        <w:spacing w:line="240" w:lineRule="auto"/>
        <w:ind w:right="0"/>
        <w:jc w:val="left"/>
        <w:rPr>
          <w:b w:val="0"/>
          <w:bCs w:val="0"/>
        </w:rPr>
      </w:pPr>
      <w:bookmarkStart w:name="四、控股股东及其关联方对上市公司的非经营性占用资金情况" w:id="69"/>
      <w:bookmarkEnd w:id="69"/>
      <w:r>
        <w:rPr>
          <w:b w:val="0"/>
          <w:bCs w:val="0"/>
        </w:rPr>
      </w:r>
      <w:r>
        <w:rPr/>
        <w:t>四、控股股东及其关联方对上市公司的非经营性占用资金情况</w:t>
      </w:r>
      <w:r>
        <w:rPr>
          <w:b w:val="0"/>
          <w:bCs w:val="0"/>
        </w:rPr>
      </w:r>
    </w:p>
    <w:p>
      <w:pPr>
        <w:spacing w:line="240" w:lineRule="auto" w:before="3"/>
        <w:rPr>
          <w:rFonts w:ascii="宋体" w:hAnsi="宋体" w:cs="宋体" w:eastAsia="宋体" w:hint="default"/>
          <w:b/>
          <w:bCs/>
          <w:sz w:val="27"/>
          <w:szCs w:val="27"/>
        </w:rPr>
      </w:pPr>
    </w:p>
    <w:p>
      <w:pPr>
        <w:pStyle w:val="BodyText"/>
        <w:spacing w:line="357" w:lineRule="auto" w:before="0"/>
        <w:ind w:right="4900"/>
        <w:jc w:val="left"/>
      </w:pPr>
      <w:r>
        <w:rPr/>
        <w:t>□ </w:t>
      </w:r>
      <w:r>
        <w:rPr>
          <w:spacing w:val="-3"/>
        </w:rPr>
        <w:t>适用 </w:t>
      </w:r>
      <w:r>
        <w:rPr/>
        <w:t>√ 不适用</w:t>
      </w:r>
      <w:r>
        <w:rPr>
          <w:spacing w:val="-77"/>
        </w:rPr>
        <w:t> </w:t>
      </w:r>
      <w:r>
        <w:rPr>
          <w:spacing w:val="-77"/>
        </w:rPr>
      </w:r>
      <w:r>
        <w:rPr>
          <w:spacing w:val="-3"/>
        </w:rPr>
        <w:t>公司报告期不存在控股股东及其关联方对上市公司的非经营性占用资金。</w:t>
      </w:r>
    </w:p>
    <w:p>
      <w:pPr>
        <w:spacing w:line="240" w:lineRule="auto" w:before="7"/>
        <w:rPr>
          <w:rFonts w:ascii="宋体" w:hAnsi="宋体" w:cs="宋体" w:eastAsia="宋体" w:hint="default"/>
          <w:sz w:val="20"/>
          <w:szCs w:val="20"/>
        </w:rPr>
      </w:pPr>
    </w:p>
    <w:p>
      <w:pPr>
        <w:pStyle w:val="Heading2"/>
        <w:spacing w:line="308" w:lineRule="exact"/>
        <w:ind w:right="1113"/>
        <w:jc w:val="left"/>
        <w:rPr>
          <w:b w:val="0"/>
          <w:bCs w:val="0"/>
        </w:rPr>
      </w:pPr>
      <w:bookmarkStart w:name="五、董事会、监事会、独立董事（如有）对会计师事务所本报告期“非标准审计报告”的说" w:id="70"/>
      <w:bookmarkEnd w:id="70"/>
      <w:r>
        <w:rPr>
          <w:b w:val="0"/>
          <w:bCs w:val="0"/>
        </w:rPr>
      </w:r>
      <w:r>
        <w:rPr/>
        <w:t>五、董事会、监事会、独立董事（如有）对会计师事务所本报告期“非标准审计报告”的说</w:t>
      </w:r>
      <w:r>
        <w:rPr>
          <w:w w:val="99"/>
        </w:rPr>
        <w:t> </w:t>
      </w:r>
      <w:r>
        <w:rPr/>
        <w:t>明</w:t>
      </w:r>
      <w:r>
        <w:rPr>
          <w:b w:val="0"/>
          <w:bCs w:val="0"/>
        </w:rPr>
      </w:r>
    </w:p>
    <w:p>
      <w:pPr>
        <w:spacing w:line="240" w:lineRule="auto" w:before="6"/>
        <w:rPr>
          <w:rFonts w:ascii="宋体" w:hAnsi="宋体" w:cs="宋体" w:eastAsia="宋体" w:hint="default"/>
          <w:b/>
          <w:bCs/>
          <w:sz w:val="25"/>
          <w:szCs w:val="25"/>
        </w:rPr>
      </w:pPr>
    </w:p>
    <w:p>
      <w:pPr>
        <w:pStyle w:val="BodyText"/>
        <w:spacing w:line="240" w:lineRule="auto" w:before="0"/>
        <w:ind w:right="0"/>
        <w:jc w:val="left"/>
      </w:pPr>
      <w:r>
        <w:rPr/>
        <w:t>□ </w:t>
      </w:r>
      <w:r>
        <w:rPr>
          <w:spacing w:val="-3"/>
        </w:rPr>
        <w:t>适用 </w:t>
      </w:r>
      <w:r>
        <w:rPr/>
        <w:t>√</w:t>
      </w:r>
      <w:r>
        <w:rPr>
          <w:spacing w:val="13"/>
        </w:rPr>
        <w:t> </w:t>
      </w:r>
      <w:r>
        <w:rPr/>
        <w:t>不适用</w:t>
      </w:r>
    </w:p>
    <w:p>
      <w:pPr>
        <w:spacing w:line="240" w:lineRule="auto" w:before="13"/>
        <w:rPr>
          <w:rFonts w:ascii="宋体" w:hAnsi="宋体" w:cs="宋体" w:eastAsia="宋体" w:hint="default"/>
          <w:sz w:val="23"/>
          <w:szCs w:val="23"/>
        </w:rPr>
      </w:pPr>
    </w:p>
    <w:p>
      <w:pPr>
        <w:pStyle w:val="Heading2"/>
        <w:spacing w:line="240" w:lineRule="auto"/>
        <w:ind w:right="0"/>
        <w:jc w:val="left"/>
        <w:rPr>
          <w:b w:val="0"/>
          <w:bCs w:val="0"/>
        </w:rPr>
      </w:pPr>
      <w:bookmarkStart w:name="六、与上年度财务报告相比，会计政策、会计估计和核算方法发生变化的情况说明" w:id="71"/>
      <w:bookmarkEnd w:id="71"/>
      <w:r>
        <w:rPr>
          <w:b w:val="0"/>
          <w:bCs w:val="0"/>
        </w:rPr>
      </w:r>
      <w:r>
        <w:rPr/>
        <w:t>六、与上年度财务报告相比，会计政策、会计估计和核算方法发生变化的情况说明</w:t>
      </w:r>
      <w:r>
        <w:rPr>
          <w:b w:val="0"/>
          <w:bCs w:val="0"/>
        </w:rPr>
      </w:r>
    </w:p>
    <w:p>
      <w:pPr>
        <w:spacing w:line="240" w:lineRule="auto" w:before="8"/>
        <w:rPr>
          <w:rFonts w:ascii="宋体" w:hAnsi="宋体" w:cs="宋体" w:eastAsia="宋体" w:hint="default"/>
          <w:b/>
          <w:bCs/>
          <w:sz w:val="27"/>
          <w:szCs w:val="27"/>
        </w:rPr>
      </w:pPr>
    </w:p>
    <w:p>
      <w:pPr>
        <w:pStyle w:val="BodyText"/>
        <w:spacing w:line="240" w:lineRule="auto" w:before="0"/>
        <w:ind w:right="0"/>
        <w:jc w:val="left"/>
      </w:pPr>
      <w:r>
        <w:rPr/>
        <w:t>√ </w:t>
      </w:r>
      <w:r>
        <w:rPr>
          <w:spacing w:val="-3"/>
        </w:rPr>
        <w:t>适用 </w:t>
      </w:r>
      <w:r>
        <w:rPr/>
        <w:t>□</w:t>
      </w:r>
      <w:r>
        <w:rPr>
          <w:spacing w:val="13"/>
        </w:rPr>
        <w:t> </w:t>
      </w:r>
      <w:r>
        <w:rPr/>
        <w:t>不适用</w:t>
      </w:r>
    </w:p>
    <w:p>
      <w:pPr>
        <w:spacing w:line="240" w:lineRule="auto" w:before="8"/>
        <w:rPr>
          <w:rFonts w:ascii="宋体" w:hAnsi="宋体" w:cs="宋体" w:eastAsia="宋体" w:hint="default"/>
          <w:sz w:val="7"/>
          <w:szCs w:val="7"/>
        </w:rPr>
      </w:pPr>
    </w:p>
    <w:tbl>
      <w:tblPr>
        <w:tblW w:w="0" w:type="auto"/>
        <w:jc w:val="left"/>
        <w:tblInd w:w="143" w:type="dxa"/>
        <w:tblLayout w:type="fixed"/>
        <w:tblCellMar>
          <w:top w:w="0" w:type="dxa"/>
          <w:left w:w="0" w:type="dxa"/>
          <w:bottom w:w="0" w:type="dxa"/>
          <w:right w:w="0" w:type="dxa"/>
        </w:tblCellMar>
        <w:tblLook w:val="01E0"/>
      </w:tblPr>
      <w:tblGrid>
        <w:gridCol w:w="3193"/>
        <w:gridCol w:w="3189"/>
        <w:gridCol w:w="3193"/>
      </w:tblGrid>
      <w:tr>
        <w:trPr>
          <w:trHeight w:val="427" w:hRule="exact"/>
        </w:trPr>
        <w:tc>
          <w:tcPr>
            <w:tcW w:w="3193"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68"/>
              <w:ind w:left="508" w:right="0"/>
              <w:jc w:val="left"/>
              <w:rPr>
                <w:rFonts w:ascii="宋体" w:hAnsi="宋体" w:cs="宋体" w:eastAsia="宋体" w:hint="default"/>
                <w:sz w:val="18"/>
                <w:szCs w:val="18"/>
              </w:rPr>
            </w:pPr>
            <w:r>
              <w:rPr>
                <w:rFonts w:ascii="宋体" w:hAnsi="宋体" w:cs="宋体" w:eastAsia="宋体" w:hint="default"/>
                <w:spacing w:val="-3"/>
                <w:sz w:val="18"/>
                <w:szCs w:val="18"/>
              </w:rPr>
              <w:t>会计政策变更的内容和原因</w:t>
            </w:r>
          </w:p>
        </w:tc>
        <w:tc>
          <w:tcPr>
            <w:tcW w:w="3189"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68"/>
              <w:ind w:left="9" w:right="0"/>
              <w:jc w:val="center"/>
              <w:rPr>
                <w:rFonts w:ascii="宋体" w:hAnsi="宋体" w:cs="宋体" w:eastAsia="宋体" w:hint="default"/>
                <w:sz w:val="18"/>
                <w:szCs w:val="18"/>
              </w:rPr>
            </w:pPr>
            <w:r>
              <w:rPr>
                <w:rFonts w:ascii="宋体" w:hAnsi="宋体" w:cs="宋体" w:eastAsia="宋体" w:hint="default"/>
                <w:sz w:val="18"/>
                <w:szCs w:val="18"/>
              </w:rPr>
              <w:t>审批程序</w:t>
            </w:r>
          </w:p>
        </w:tc>
        <w:tc>
          <w:tcPr>
            <w:tcW w:w="3193"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68"/>
              <w:ind w:right="0"/>
              <w:jc w:val="center"/>
              <w:rPr>
                <w:rFonts w:ascii="宋体" w:hAnsi="宋体" w:cs="宋体" w:eastAsia="宋体" w:hint="default"/>
                <w:sz w:val="18"/>
                <w:szCs w:val="18"/>
              </w:rPr>
            </w:pPr>
            <w:r>
              <w:rPr>
                <w:rFonts w:ascii="宋体" w:hAnsi="宋体" w:cs="宋体" w:eastAsia="宋体" w:hint="default"/>
                <w:sz w:val="18"/>
                <w:szCs w:val="18"/>
              </w:rPr>
              <w:t>备注</w:t>
            </w:r>
          </w:p>
        </w:tc>
      </w:tr>
      <w:tr>
        <w:trPr>
          <w:trHeight w:val="1051" w:hRule="exact"/>
        </w:trPr>
        <w:tc>
          <w:tcPr>
            <w:tcW w:w="31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left="4" w:right="0"/>
              <w:jc w:val="left"/>
              <w:rPr>
                <w:rFonts w:ascii="宋体" w:hAnsi="宋体" w:cs="宋体" w:eastAsia="宋体" w:hint="default"/>
                <w:sz w:val="18"/>
                <w:szCs w:val="18"/>
              </w:rPr>
            </w:pPr>
            <w:r>
              <w:rPr>
                <w:rFonts w:ascii="宋体" w:hAnsi="宋体" w:cs="宋体" w:eastAsia="宋体" w:hint="default"/>
                <w:spacing w:val="-3"/>
                <w:sz w:val="18"/>
                <w:szCs w:val="18"/>
              </w:rPr>
              <w:t>执行新金融工具准则</w:t>
            </w:r>
          </w:p>
        </w:tc>
        <w:tc>
          <w:tcPr>
            <w:tcW w:w="3189" w:type="dxa"/>
            <w:tcBorders>
              <w:top w:val="single" w:sz="6" w:space="0" w:color="000000"/>
              <w:left w:val="single" w:sz="6" w:space="0" w:color="000000"/>
              <w:bottom w:val="single" w:sz="6" w:space="0" w:color="000000"/>
              <w:right w:val="single" w:sz="6" w:space="0" w:color="000000"/>
            </w:tcBorders>
          </w:tcPr>
          <w:p>
            <w:pPr>
              <w:pStyle w:val="TableParagraph"/>
              <w:spacing w:line="309" w:lineRule="auto" w:before="68"/>
              <w:ind w:left="4" w:right="-4"/>
              <w:jc w:val="left"/>
              <w:rPr>
                <w:rFonts w:ascii="宋体" w:hAnsi="宋体" w:cs="宋体" w:eastAsia="宋体" w:hint="default"/>
                <w:sz w:val="18"/>
                <w:szCs w:val="18"/>
              </w:rPr>
            </w:pPr>
            <w:r>
              <w:rPr>
                <w:rFonts w:ascii="宋体" w:hAnsi="宋体" w:cs="宋体" w:eastAsia="宋体" w:hint="default"/>
                <w:sz w:val="18"/>
                <w:szCs w:val="18"/>
              </w:rPr>
              <w:t>本公司于</w:t>
            </w: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r>
              <w:rPr>
                <w:rFonts w:ascii="Times New Roman" w:hAnsi="Times New Roman" w:cs="Times New Roman" w:eastAsia="Times New Roman" w:hint="default"/>
                <w:sz w:val="18"/>
                <w:szCs w:val="18"/>
              </w:rPr>
              <w:t>4</w:t>
            </w:r>
            <w:r>
              <w:rPr>
                <w:rFonts w:ascii="宋体" w:hAnsi="宋体" w:cs="宋体" w:eastAsia="宋体" w:hint="default"/>
                <w:sz w:val="18"/>
                <w:szCs w:val="18"/>
              </w:rPr>
              <w:t>日召开第三届董事</w:t>
            </w:r>
            <w:r>
              <w:rPr>
                <w:rFonts w:ascii="宋体" w:hAnsi="宋体" w:cs="宋体" w:eastAsia="宋体" w:hint="default"/>
                <w:w w:val="101"/>
                <w:sz w:val="18"/>
                <w:szCs w:val="18"/>
              </w:rPr>
              <w:t> </w:t>
            </w:r>
            <w:r>
              <w:rPr>
                <w:rFonts w:ascii="宋体" w:hAnsi="宋体" w:cs="宋体" w:eastAsia="宋体" w:hint="default"/>
                <w:spacing w:val="-7"/>
                <w:sz w:val="18"/>
                <w:szCs w:val="18"/>
              </w:rPr>
              <w:t>会第三十五次会议，审议通过《关于会计</w:t>
            </w:r>
            <w:r>
              <w:rPr>
                <w:rFonts w:ascii="宋体" w:hAnsi="宋体" w:cs="宋体" w:eastAsia="宋体" w:hint="default"/>
                <w:spacing w:val="-34"/>
                <w:sz w:val="18"/>
                <w:szCs w:val="18"/>
              </w:rPr>
              <w:t> </w:t>
            </w:r>
            <w:r>
              <w:rPr>
                <w:rFonts w:ascii="宋体" w:hAnsi="宋体" w:cs="宋体" w:eastAsia="宋体" w:hint="default"/>
                <w:spacing w:val="-34"/>
                <w:sz w:val="18"/>
                <w:szCs w:val="18"/>
              </w:rPr>
            </w:r>
            <w:r>
              <w:rPr>
                <w:rFonts w:ascii="宋体" w:hAnsi="宋体" w:cs="宋体" w:eastAsia="宋体" w:hint="default"/>
                <w:sz w:val="18"/>
                <w:szCs w:val="18"/>
              </w:rPr>
              <w:t>政策变更的议案》</w:t>
            </w:r>
          </w:p>
        </w:tc>
        <w:tc>
          <w:tcPr>
            <w:tcW w:w="31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left="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详见奥拓电子公告，编号：</w:t>
            </w:r>
            <w:r>
              <w:rPr>
                <w:rFonts w:ascii="Times New Roman" w:hAnsi="Times New Roman" w:cs="Times New Roman" w:eastAsia="Times New Roman" w:hint="default"/>
                <w:sz w:val="18"/>
                <w:szCs w:val="18"/>
              </w:rPr>
              <w:t>2019-007</w:t>
            </w:r>
          </w:p>
        </w:tc>
      </w:tr>
      <w:tr>
        <w:trPr>
          <w:trHeight w:val="2924" w:hRule="exact"/>
        </w:trPr>
        <w:tc>
          <w:tcPr>
            <w:tcW w:w="3193" w:type="dxa"/>
            <w:tcBorders>
              <w:top w:val="single" w:sz="6" w:space="0" w:color="000000"/>
              <w:left w:val="single" w:sz="6" w:space="0" w:color="000000"/>
              <w:bottom w:val="single" w:sz="6" w:space="0" w:color="000000"/>
              <w:right w:val="single" w:sz="6" w:space="0" w:color="000000"/>
            </w:tcBorders>
          </w:tcPr>
          <w:p>
            <w:pPr>
              <w:pStyle w:val="TableParagraph"/>
              <w:spacing w:line="304" w:lineRule="auto" w:before="68"/>
              <w:ind w:left="4" w:right="-5"/>
              <w:jc w:val="left"/>
              <w:rPr>
                <w:rFonts w:ascii="宋体" w:hAnsi="宋体" w:cs="宋体" w:eastAsia="宋体" w:hint="default"/>
                <w:sz w:val="18"/>
                <w:szCs w:val="18"/>
              </w:rPr>
            </w:pPr>
            <w:r>
              <w:rPr>
                <w:rFonts w:ascii="宋体" w:hAnsi="宋体" w:cs="宋体" w:eastAsia="宋体" w:hint="default"/>
                <w:spacing w:val="-2"/>
                <w:sz w:val="18"/>
                <w:szCs w:val="18"/>
              </w:rPr>
              <w:t>财政部于</w:t>
            </w:r>
            <w:r>
              <w:rPr>
                <w:rFonts w:ascii="Times New Roman" w:hAnsi="Times New Roman" w:cs="Times New Roman" w:eastAsia="Times New Roman" w:hint="default"/>
                <w:spacing w:val="-2"/>
                <w:sz w:val="18"/>
                <w:szCs w:val="18"/>
              </w:rPr>
              <w:t>2019</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4</w:t>
            </w:r>
            <w:r>
              <w:rPr>
                <w:rFonts w:ascii="宋体" w:hAnsi="宋体" w:cs="宋体" w:eastAsia="宋体" w:hint="default"/>
                <w:spacing w:val="-2"/>
                <w:sz w:val="18"/>
                <w:szCs w:val="18"/>
              </w:rPr>
              <w:t>月</w:t>
            </w:r>
            <w:r>
              <w:rPr>
                <w:rFonts w:ascii="Times New Roman" w:hAnsi="Times New Roman" w:cs="Times New Roman" w:eastAsia="Times New Roman" w:hint="default"/>
                <w:spacing w:val="-2"/>
                <w:sz w:val="18"/>
                <w:szCs w:val="18"/>
              </w:rPr>
              <w:t>30</w:t>
            </w:r>
            <w:r>
              <w:rPr>
                <w:rFonts w:ascii="宋体" w:hAnsi="宋体" w:cs="宋体" w:eastAsia="宋体" w:hint="default"/>
                <w:spacing w:val="-2"/>
                <w:sz w:val="18"/>
                <w:szCs w:val="18"/>
              </w:rPr>
              <w:t>日发布了《关于修</w:t>
            </w:r>
            <w:r>
              <w:rPr>
                <w:rFonts w:ascii="宋体" w:hAnsi="宋体" w:cs="宋体" w:eastAsia="宋体" w:hint="default"/>
                <w:spacing w:val="-47"/>
                <w:sz w:val="18"/>
                <w:szCs w:val="18"/>
              </w:rPr>
              <w:t> </w:t>
            </w:r>
            <w:r>
              <w:rPr>
                <w:rFonts w:ascii="宋体" w:hAnsi="宋体" w:cs="宋体" w:eastAsia="宋体" w:hint="default"/>
                <w:spacing w:val="-47"/>
                <w:sz w:val="18"/>
                <w:szCs w:val="18"/>
              </w:rPr>
            </w:r>
            <w:r>
              <w:rPr>
                <w:rFonts w:ascii="宋体" w:hAnsi="宋体" w:cs="宋体" w:eastAsia="宋体" w:hint="default"/>
                <w:spacing w:val="-3"/>
                <w:sz w:val="18"/>
                <w:szCs w:val="18"/>
              </w:rPr>
              <w:t>订印发</w:t>
            </w:r>
            <w:r>
              <w:rPr>
                <w:rFonts w:ascii="Times New Roman" w:hAnsi="Times New Roman" w:cs="Times New Roman" w:eastAsia="Times New Roman" w:hint="default"/>
                <w:spacing w:val="-3"/>
                <w:sz w:val="18"/>
                <w:szCs w:val="18"/>
              </w:rPr>
              <w:t>2019</w:t>
            </w:r>
            <w:r>
              <w:rPr>
                <w:rFonts w:ascii="宋体" w:hAnsi="宋体" w:cs="宋体" w:eastAsia="宋体" w:hint="default"/>
                <w:spacing w:val="-3"/>
                <w:sz w:val="18"/>
                <w:szCs w:val="18"/>
              </w:rPr>
              <w:t>年度一般企业财务报表格式</w:t>
            </w:r>
            <w:r>
              <w:rPr>
                <w:rFonts w:ascii="宋体" w:hAnsi="宋体" w:cs="宋体" w:eastAsia="宋体" w:hint="default"/>
                <w:spacing w:val="-34"/>
                <w:sz w:val="18"/>
                <w:szCs w:val="18"/>
              </w:rPr>
              <w:t> </w:t>
            </w:r>
            <w:r>
              <w:rPr>
                <w:rFonts w:ascii="宋体" w:hAnsi="宋体" w:cs="宋体" w:eastAsia="宋体" w:hint="default"/>
                <w:spacing w:val="-34"/>
                <w:sz w:val="18"/>
                <w:szCs w:val="18"/>
              </w:rPr>
            </w:r>
            <w:r>
              <w:rPr>
                <w:rFonts w:ascii="宋体" w:hAnsi="宋体" w:cs="宋体" w:eastAsia="宋体" w:hint="default"/>
                <w:spacing w:val="-2"/>
                <w:sz w:val="18"/>
                <w:szCs w:val="18"/>
              </w:rPr>
              <w:t>的通知》（财会〔</w:t>
            </w:r>
            <w:r>
              <w:rPr>
                <w:rFonts w:ascii="Times New Roman" w:hAnsi="Times New Roman" w:cs="Times New Roman" w:eastAsia="Times New Roman" w:hint="default"/>
                <w:spacing w:val="-2"/>
                <w:sz w:val="18"/>
                <w:szCs w:val="18"/>
              </w:rPr>
              <w:t>2019</w:t>
            </w: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6</w:t>
            </w:r>
            <w:r>
              <w:rPr>
                <w:rFonts w:ascii="宋体" w:hAnsi="宋体" w:cs="宋体" w:eastAsia="宋体" w:hint="default"/>
                <w:spacing w:val="-2"/>
                <w:sz w:val="18"/>
                <w:szCs w:val="18"/>
              </w:rPr>
              <w:t>号）（以下简</w:t>
            </w:r>
            <w:r>
              <w:rPr>
                <w:rFonts w:ascii="宋体" w:hAnsi="宋体" w:cs="宋体" w:eastAsia="宋体" w:hint="default"/>
                <w:spacing w:val="-48"/>
                <w:sz w:val="18"/>
                <w:szCs w:val="18"/>
              </w:rPr>
              <w:t> </w:t>
            </w:r>
            <w:r>
              <w:rPr>
                <w:rFonts w:ascii="宋体" w:hAnsi="宋体" w:cs="宋体" w:eastAsia="宋体" w:hint="default"/>
                <w:spacing w:val="-48"/>
                <w:sz w:val="18"/>
                <w:szCs w:val="18"/>
              </w:rPr>
            </w:r>
            <w:r>
              <w:rPr>
                <w:rFonts w:ascii="宋体" w:hAnsi="宋体" w:cs="宋体" w:eastAsia="宋体" w:hint="default"/>
                <w:sz w:val="18"/>
                <w:szCs w:val="18"/>
              </w:rPr>
              <w:t>称</w:t>
            </w:r>
            <w:r>
              <w:rPr>
                <w:rFonts w:ascii="Times New Roman" w:hAnsi="Times New Roman" w:cs="Times New Roman" w:eastAsia="Times New Roman" w:hint="default"/>
                <w:sz w:val="18"/>
                <w:szCs w:val="18"/>
              </w:rPr>
              <w:t>“</w:t>
            </w:r>
            <w:r>
              <w:rPr>
                <w:rFonts w:ascii="宋体" w:hAnsi="宋体" w:cs="宋体" w:eastAsia="宋体" w:hint="default"/>
                <w:sz w:val="18"/>
                <w:szCs w:val="18"/>
              </w:rPr>
              <w:t>财会〔</w:t>
            </w:r>
            <w:r>
              <w:rPr>
                <w:rFonts w:ascii="Times New Roman" w:hAnsi="Times New Roman" w:cs="Times New Roman" w:eastAsia="Times New Roman" w:hint="default"/>
                <w:sz w:val="18"/>
                <w:szCs w:val="18"/>
              </w:rPr>
              <w:t>2019</w:t>
            </w:r>
            <w:r>
              <w:rPr>
                <w:rFonts w:ascii="宋体" w:hAnsi="宋体" w:cs="宋体" w:eastAsia="宋体" w:hint="default"/>
                <w:sz w:val="18"/>
                <w:szCs w:val="18"/>
              </w:rPr>
              <w:t>〕</w:t>
            </w:r>
            <w:r>
              <w:rPr>
                <w:rFonts w:ascii="Times New Roman" w:hAnsi="Times New Roman" w:cs="Times New Roman" w:eastAsia="Times New Roman" w:hint="default"/>
                <w:sz w:val="18"/>
                <w:szCs w:val="18"/>
              </w:rPr>
              <w:t>6</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）的通知，要求执</w:t>
            </w:r>
            <w:r>
              <w:rPr>
                <w:rFonts w:ascii="宋体" w:hAnsi="宋体" w:cs="宋体" w:eastAsia="宋体" w:hint="default"/>
                <w:w w:val="101"/>
                <w:sz w:val="18"/>
                <w:szCs w:val="18"/>
              </w:rPr>
              <w:t> </w:t>
            </w:r>
            <w:r>
              <w:rPr>
                <w:rFonts w:ascii="宋体" w:hAnsi="宋体" w:cs="宋体" w:eastAsia="宋体" w:hint="default"/>
                <w:spacing w:val="-3"/>
                <w:sz w:val="18"/>
                <w:szCs w:val="18"/>
              </w:rPr>
              <w:t>行企业会计准则的非金融企业按照企业</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2"/>
                <w:sz w:val="18"/>
                <w:szCs w:val="18"/>
              </w:rPr>
              <w:t>会计准则和财会〔</w:t>
            </w:r>
            <w:r>
              <w:rPr>
                <w:rFonts w:ascii="Times New Roman" w:hAnsi="Times New Roman" w:cs="Times New Roman" w:eastAsia="Times New Roman" w:hint="default"/>
                <w:spacing w:val="-2"/>
                <w:sz w:val="18"/>
                <w:szCs w:val="18"/>
              </w:rPr>
              <w:t>2019</w:t>
            </w: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6</w:t>
            </w:r>
            <w:r>
              <w:rPr>
                <w:rFonts w:ascii="宋体" w:hAnsi="宋体" w:cs="宋体" w:eastAsia="宋体" w:hint="default"/>
                <w:spacing w:val="-2"/>
                <w:sz w:val="18"/>
                <w:szCs w:val="18"/>
              </w:rPr>
              <w:t>号的要求编制</w:t>
            </w:r>
            <w:r>
              <w:rPr>
                <w:rFonts w:ascii="宋体" w:hAnsi="宋体" w:cs="宋体" w:eastAsia="宋体" w:hint="default"/>
                <w:spacing w:val="-48"/>
                <w:sz w:val="18"/>
                <w:szCs w:val="18"/>
              </w:rPr>
              <w:t> </w:t>
            </w:r>
            <w:r>
              <w:rPr>
                <w:rFonts w:ascii="宋体" w:hAnsi="宋体" w:cs="宋体" w:eastAsia="宋体" w:hint="default"/>
                <w:spacing w:val="-48"/>
                <w:sz w:val="18"/>
                <w:szCs w:val="18"/>
              </w:rPr>
            </w:r>
            <w:r>
              <w:rPr>
                <w:rFonts w:ascii="宋体" w:hAnsi="宋体" w:cs="宋体" w:eastAsia="宋体" w:hint="default"/>
                <w:spacing w:val="-6"/>
                <w:sz w:val="18"/>
                <w:szCs w:val="18"/>
              </w:rPr>
              <w:t>财务报表，企业</w:t>
            </w:r>
            <w:r>
              <w:rPr>
                <w:rFonts w:ascii="Times New Roman" w:hAnsi="Times New Roman" w:cs="Times New Roman" w:eastAsia="Times New Roman" w:hint="default"/>
                <w:spacing w:val="-6"/>
                <w:sz w:val="18"/>
                <w:szCs w:val="18"/>
              </w:rPr>
              <w:t>2019</w:t>
            </w:r>
            <w:r>
              <w:rPr>
                <w:rFonts w:ascii="宋体" w:hAnsi="宋体" w:cs="宋体" w:eastAsia="宋体" w:hint="default"/>
                <w:spacing w:val="-6"/>
                <w:sz w:val="18"/>
                <w:szCs w:val="18"/>
              </w:rPr>
              <w:t>年度中期财务报表和</w:t>
            </w:r>
            <w:r>
              <w:rPr>
                <w:rFonts w:ascii="宋体" w:hAnsi="宋体" w:cs="宋体" w:eastAsia="宋体" w:hint="default"/>
                <w:spacing w:val="-36"/>
                <w:sz w:val="18"/>
                <w:szCs w:val="18"/>
              </w:rPr>
              <w:t> </w:t>
            </w:r>
            <w:r>
              <w:rPr>
                <w:rFonts w:ascii="宋体" w:hAnsi="宋体" w:cs="宋体" w:eastAsia="宋体" w:hint="default"/>
                <w:spacing w:val="-36"/>
                <w:sz w:val="18"/>
                <w:szCs w:val="18"/>
              </w:rPr>
            </w:r>
            <w:r>
              <w:rPr>
                <w:rFonts w:ascii="宋体" w:hAnsi="宋体" w:cs="宋体" w:eastAsia="宋体" w:hint="default"/>
                <w:spacing w:val="-3"/>
                <w:sz w:val="18"/>
                <w:szCs w:val="18"/>
              </w:rPr>
              <w:t>年度财务报表及以后期间的财务报表均</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z w:val="18"/>
                <w:szCs w:val="18"/>
              </w:rPr>
              <w:t>按财会〔</w:t>
            </w:r>
            <w:r>
              <w:rPr>
                <w:rFonts w:ascii="Times New Roman" w:hAnsi="Times New Roman" w:cs="Times New Roman" w:eastAsia="Times New Roman" w:hint="default"/>
                <w:sz w:val="18"/>
                <w:szCs w:val="18"/>
              </w:rPr>
              <w:t>2019</w:t>
            </w:r>
            <w:r>
              <w:rPr>
                <w:rFonts w:ascii="宋体" w:hAnsi="宋体" w:cs="宋体" w:eastAsia="宋体" w:hint="default"/>
                <w:sz w:val="18"/>
                <w:szCs w:val="18"/>
              </w:rPr>
              <w:t>〕</w:t>
            </w:r>
            <w:r>
              <w:rPr>
                <w:rFonts w:ascii="Times New Roman" w:hAnsi="Times New Roman" w:cs="Times New Roman" w:eastAsia="Times New Roman" w:hint="default"/>
                <w:sz w:val="18"/>
                <w:szCs w:val="18"/>
              </w:rPr>
              <w:t>6</w:t>
            </w:r>
            <w:r>
              <w:rPr>
                <w:rFonts w:ascii="宋体" w:hAnsi="宋体" w:cs="宋体" w:eastAsia="宋体" w:hint="default"/>
                <w:sz w:val="18"/>
                <w:szCs w:val="18"/>
              </w:rPr>
              <w:t>号要求编制执行。</w:t>
            </w:r>
          </w:p>
        </w:tc>
        <w:tc>
          <w:tcPr>
            <w:tcW w:w="3189" w:type="dxa"/>
            <w:tcBorders>
              <w:top w:val="single" w:sz="6" w:space="0" w:color="000000"/>
              <w:left w:val="single" w:sz="6" w:space="0" w:color="000000"/>
              <w:bottom w:val="single" w:sz="6" w:space="0" w:color="000000"/>
              <w:right w:val="single" w:sz="6" w:space="0" w:color="000000"/>
            </w:tcBorders>
          </w:tcPr>
          <w:p>
            <w:pPr>
              <w:pStyle w:val="TableParagraph"/>
              <w:spacing w:line="309" w:lineRule="auto" w:before="68"/>
              <w:ind w:left="4" w:right="-4"/>
              <w:jc w:val="left"/>
              <w:rPr>
                <w:rFonts w:ascii="宋体" w:hAnsi="宋体" w:cs="宋体" w:eastAsia="宋体" w:hint="default"/>
                <w:sz w:val="18"/>
                <w:szCs w:val="18"/>
              </w:rPr>
            </w:pPr>
            <w:r>
              <w:rPr>
                <w:rFonts w:ascii="宋体" w:hAnsi="宋体" w:cs="宋体" w:eastAsia="宋体" w:hint="default"/>
                <w:sz w:val="18"/>
                <w:szCs w:val="18"/>
              </w:rPr>
              <w:t>本公司于</w:t>
            </w: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8</w:t>
            </w:r>
            <w:r>
              <w:rPr>
                <w:rFonts w:ascii="宋体" w:hAnsi="宋体" w:cs="宋体" w:eastAsia="宋体" w:hint="default"/>
                <w:sz w:val="18"/>
                <w:szCs w:val="18"/>
              </w:rPr>
              <w:t>月</w:t>
            </w:r>
            <w:r>
              <w:rPr>
                <w:rFonts w:ascii="Times New Roman" w:hAnsi="Times New Roman" w:cs="Times New Roman" w:eastAsia="Times New Roman" w:hint="default"/>
                <w:sz w:val="18"/>
                <w:szCs w:val="18"/>
              </w:rPr>
              <w:t>8</w:t>
            </w:r>
            <w:r>
              <w:rPr>
                <w:rFonts w:ascii="宋体" w:hAnsi="宋体" w:cs="宋体" w:eastAsia="宋体" w:hint="default"/>
                <w:sz w:val="18"/>
                <w:szCs w:val="18"/>
              </w:rPr>
              <w:t>日召开第四届董事</w:t>
            </w:r>
            <w:r>
              <w:rPr>
                <w:rFonts w:ascii="宋体" w:hAnsi="宋体" w:cs="宋体" w:eastAsia="宋体" w:hint="default"/>
                <w:w w:val="101"/>
                <w:sz w:val="18"/>
                <w:szCs w:val="18"/>
              </w:rPr>
              <w:t> </w:t>
            </w:r>
            <w:r>
              <w:rPr>
                <w:rFonts w:ascii="宋体" w:hAnsi="宋体" w:cs="宋体" w:eastAsia="宋体" w:hint="default"/>
                <w:spacing w:val="-7"/>
                <w:sz w:val="18"/>
                <w:szCs w:val="18"/>
              </w:rPr>
              <w:t>会第七次会议，审议通过《关于会计政策</w:t>
            </w:r>
            <w:r>
              <w:rPr>
                <w:rFonts w:ascii="宋体" w:hAnsi="宋体" w:cs="宋体" w:eastAsia="宋体" w:hint="default"/>
                <w:spacing w:val="-34"/>
                <w:sz w:val="18"/>
                <w:szCs w:val="18"/>
              </w:rPr>
              <w:t> </w:t>
            </w:r>
            <w:r>
              <w:rPr>
                <w:rFonts w:ascii="宋体" w:hAnsi="宋体" w:cs="宋体" w:eastAsia="宋体" w:hint="default"/>
                <w:spacing w:val="-34"/>
                <w:sz w:val="18"/>
                <w:szCs w:val="18"/>
              </w:rPr>
            </w:r>
            <w:r>
              <w:rPr>
                <w:rFonts w:ascii="宋体" w:hAnsi="宋体" w:cs="宋体" w:eastAsia="宋体" w:hint="default"/>
                <w:sz w:val="18"/>
                <w:szCs w:val="18"/>
              </w:rPr>
              <w:t>变更的议案》</w:t>
            </w:r>
          </w:p>
        </w:tc>
        <w:tc>
          <w:tcPr>
            <w:tcW w:w="31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left="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详见奥拓电子公告，编号：</w:t>
            </w:r>
            <w:r>
              <w:rPr>
                <w:rFonts w:ascii="Times New Roman" w:hAnsi="Times New Roman" w:cs="Times New Roman" w:eastAsia="Times New Roman" w:hint="default"/>
                <w:sz w:val="18"/>
                <w:szCs w:val="18"/>
              </w:rPr>
              <w:t>2019-070</w:t>
            </w:r>
          </w:p>
        </w:tc>
      </w:tr>
      <w:tr>
        <w:trPr>
          <w:trHeight w:val="3198" w:hRule="exact"/>
        </w:trPr>
        <w:tc>
          <w:tcPr>
            <w:tcW w:w="3193"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63"/>
              <w:ind w:left="4" w:right="-20"/>
              <w:jc w:val="both"/>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8"/>
                <w:sz w:val="18"/>
                <w:szCs w:val="18"/>
              </w:rPr>
              <w:t> </w:t>
            </w:r>
            <w:r>
              <w:rPr>
                <w:rFonts w:ascii="宋体" w:hAnsi="宋体" w:cs="宋体" w:eastAsia="宋体" w:hint="default"/>
                <w:sz w:val="18"/>
                <w:szCs w:val="18"/>
              </w:rPr>
              <w:t>9</w:t>
            </w:r>
            <w:r>
              <w:rPr>
                <w:rFonts w:ascii="宋体" w:hAnsi="宋体" w:cs="宋体" w:eastAsia="宋体"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3"/>
                <w:sz w:val="18"/>
                <w:szCs w:val="18"/>
              </w:rPr>
              <w:t> </w:t>
            </w:r>
            <w:r>
              <w:rPr>
                <w:rFonts w:ascii="宋体" w:hAnsi="宋体" w:cs="宋体" w:eastAsia="宋体" w:hint="default"/>
                <w:sz w:val="18"/>
                <w:szCs w:val="18"/>
              </w:rPr>
              <w:t>19</w:t>
            </w:r>
            <w:r>
              <w:rPr>
                <w:rFonts w:ascii="宋体" w:hAnsi="宋体" w:cs="宋体" w:eastAsia="宋体" w:hint="default"/>
                <w:spacing w:val="3"/>
                <w:sz w:val="18"/>
                <w:szCs w:val="18"/>
              </w:rPr>
              <w:t> </w:t>
            </w:r>
            <w:r>
              <w:rPr>
                <w:rFonts w:ascii="宋体" w:hAnsi="宋体" w:cs="宋体" w:eastAsia="宋体" w:hint="default"/>
                <w:spacing w:val="-9"/>
                <w:sz w:val="18"/>
                <w:szCs w:val="18"/>
              </w:rPr>
              <w:t>日，财政部发布了《关</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5"/>
                <w:sz w:val="18"/>
                <w:szCs w:val="18"/>
              </w:rPr>
              <w:t>于修订印发合并财务报表格式（</w:t>
            </w:r>
            <w:r>
              <w:rPr>
                <w:rFonts w:ascii="宋体" w:hAnsi="宋体" w:cs="宋体" w:eastAsia="宋体" w:hint="default"/>
                <w:spacing w:val="-5"/>
                <w:sz w:val="18"/>
                <w:szCs w:val="18"/>
              </w:rPr>
              <w:t>2019</w:t>
            </w:r>
            <w:r>
              <w:rPr>
                <w:rFonts w:ascii="宋体" w:hAnsi="宋体" w:cs="宋体" w:eastAsia="宋体" w:hint="default"/>
                <w:spacing w:val="-5"/>
                <w:sz w:val="18"/>
                <w:szCs w:val="18"/>
              </w:rPr>
              <w:t>版）</w:t>
            </w:r>
            <w:r>
              <w:rPr>
                <w:rFonts w:ascii="宋体" w:hAnsi="宋体" w:cs="宋体" w:eastAsia="宋体" w:hint="default"/>
                <w:spacing w:val="-40"/>
                <w:sz w:val="18"/>
                <w:szCs w:val="18"/>
              </w:rPr>
              <w:t> </w:t>
            </w:r>
            <w:r>
              <w:rPr>
                <w:rFonts w:ascii="宋体" w:hAnsi="宋体" w:cs="宋体" w:eastAsia="宋体" w:hint="default"/>
                <w:spacing w:val="-40"/>
                <w:sz w:val="18"/>
                <w:szCs w:val="18"/>
              </w:rPr>
            </w:r>
            <w:r>
              <w:rPr>
                <w:rFonts w:ascii="宋体" w:hAnsi="宋体" w:cs="宋体" w:eastAsia="宋体" w:hint="default"/>
                <w:sz w:val="18"/>
                <w:szCs w:val="18"/>
              </w:rPr>
              <w:t>的通知》（财会〔</w:t>
            </w:r>
            <w:r>
              <w:rPr>
                <w:rFonts w:ascii="宋体" w:hAnsi="宋体" w:cs="宋体" w:eastAsia="宋体" w:hint="default"/>
                <w:sz w:val="18"/>
                <w:szCs w:val="18"/>
              </w:rPr>
              <w:t>2019</w:t>
            </w:r>
            <w:r>
              <w:rPr>
                <w:rFonts w:ascii="宋体" w:hAnsi="宋体" w:cs="宋体" w:eastAsia="宋体" w:hint="default"/>
                <w:sz w:val="18"/>
                <w:szCs w:val="18"/>
              </w:rPr>
              <w:t>〕</w:t>
            </w:r>
            <w:r>
              <w:rPr>
                <w:rFonts w:ascii="宋体" w:hAnsi="宋体" w:cs="宋体" w:eastAsia="宋体" w:hint="default"/>
                <w:sz w:val="18"/>
                <w:szCs w:val="18"/>
              </w:rPr>
              <w:t>16 </w:t>
            </w:r>
            <w:r>
              <w:rPr>
                <w:rFonts w:ascii="宋体" w:hAnsi="宋体" w:cs="宋体" w:eastAsia="宋体" w:hint="default"/>
                <w:sz w:val="18"/>
                <w:szCs w:val="18"/>
              </w:rPr>
              <w:t>号，以下简</w:t>
            </w:r>
            <w:r>
              <w:rPr>
                <w:rFonts w:ascii="宋体" w:hAnsi="宋体" w:cs="宋体" w:eastAsia="宋体" w:hint="default"/>
                <w:spacing w:val="-89"/>
                <w:sz w:val="18"/>
                <w:szCs w:val="18"/>
              </w:rPr>
              <w:t> </w:t>
            </w:r>
            <w:r>
              <w:rPr>
                <w:rFonts w:ascii="宋体" w:hAnsi="宋体" w:cs="宋体" w:eastAsia="宋体" w:hint="default"/>
                <w:spacing w:val="-89"/>
                <w:sz w:val="18"/>
                <w:szCs w:val="18"/>
              </w:rPr>
            </w:r>
            <w:r>
              <w:rPr>
                <w:rFonts w:ascii="宋体" w:hAnsi="宋体" w:cs="宋体" w:eastAsia="宋体" w:hint="default"/>
                <w:spacing w:val="-7"/>
                <w:sz w:val="18"/>
                <w:szCs w:val="18"/>
              </w:rPr>
              <w:t>称“《修订通知》”），对合并财务报表</w:t>
            </w:r>
            <w:r>
              <w:rPr>
                <w:rFonts w:ascii="宋体" w:hAnsi="宋体" w:cs="宋体" w:eastAsia="宋体" w:hint="default"/>
                <w:spacing w:val="-31"/>
                <w:sz w:val="18"/>
                <w:szCs w:val="18"/>
              </w:rPr>
              <w:t> </w:t>
            </w:r>
            <w:r>
              <w:rPr>
                <w:rFonts w:ascii="宋体" w:hAnsi="宋体" w:cs="宋体" w:eastAsia="宋体" w:hint="default"/>
                <w:spacing w:val="-31"/>
                <w:sz w:val="18"/>
                <w:szCs w:val="18"/>
              </w:rPr>
            </w:r>
            <w:r>
              <w:rPr>
                <w:rFonts w:ascii="宋体" w:hAnsi="宋体" w:cs="宋体" w:eastAsia="宋体" w:hint="default"/>
                <w:spacing w:val="-6"/>
                <w:w w:val="101"/>
                <w:sz w:val="18"/>
                <w:szCs w:val="18"/>
              </w:rPr>
              <w:t>格式进行了修订，要求所有已执行新金融</w:t>
            </w:r>
            <w:r>
              <w:rPr>
                <w:rFonts w:ascii="宋体" w:hAnsi="宋体" w:cs="宋体" w:eastAsia="宋体" w:hint="default"/>
                <w:w w:val="101"/>
                <w:sz w:val="18"/>
                <w:szCs w:val="18"/>
              </w:rPr>
              <w:t> </w:t>
            </w:r>
            <w:r>
              <w:rPr>
                <w:rFonts w:ascii="宋体" w:hAnsi="宋体" w:cs="宋体" w:eastAsia="宋体" w:hint="default"/>
                <w:sz w:val="18"/>
                <w:szCs w:val="18"/>
              </w:rPr>
              <w:t>准则的企业应当结合财会〔</w:t>
            </w:r>
            <w:r>
              <w:rPr>
                <w:rFonts w:ascii="宋体" w:hAnsi="宋体" w:cs="宋体" w:eastAsia="宋体" w:hint="default"/>
                <w:sz w:val="18"/>
                <w:szCs w:val="18"/>
              </w:rPr>
              <w:t>2019</w:t>
            </w:r>
            <w:r>
              <w:rPr>
                <w:rFonts w:ascii="宋体" w:hAnsi="宋体" w:cs="宋体" w:eastAsia="宋体" w:hint="default"/>
                <w:sz w:val="18"/>
                <w:szCs w:val="18"/>
              </w:rPr>
              <w:t>〕</w:t>
            </w:r>
            <w:r>
              <w:rPr>
                <w:rFonts w:ascii="宋体" w:hAnsi="宋体" w:cs="宋体" w:eastAsia="宋体" w:hint="default"/>
                <w:sz w:val="18"/>
                <w:szCs w:val="18"/>
              </w:rPr>
              <w:t>16</w:t>
            </w:r>
            <w:r>
              <w:rPr>
                <w:rFonts w:ascii="宋体" w:hAnsi="宋体" w:cs="宋体" w:eastAsia="宋体" w:hint="default"/>
                <w:spacing w:val="1"/>
                <w:sz w:val="18"/>
                <w:szCs w:val="18"/>
              </w:rPr>
              <w:t> </w:t>
            </w:r>
            <w:r>
              <w:rPr>
                <w:rFonts w:ascii="宋体" w:hAnsi="宋体" w:cs="宋体" w:eastAsia="宋体" w:hint="default"/>
                <w:sz w:val="18"/>
                <w:szCs w:val="18"/>
              </w:rPr>
              <w:t>号</w:t>
            </w:r>
          </w:p>
          <w:p>
            <w:pPr>
              <w:pStyle w:val="TableParagraph"/>
              <w:spacing w:line="316" w:lineRule="auto" w:before="19"/>
              <w:ind w:left="4" w:right="-5"/>
              <w:jc w:val="left"/>
              <w:rPr>
                <w:rFonts w:ascii="宋体" w:hAnsi="宋体" w:cs="宋体" w:eastAsia="宋体" w:hint="default"/>
                <w:sz w:val="18"/>
                <w:szCs w:val="18"/>
              </w:rPr>
            </w:pPr>
            <w:r>
              <w:rPr>
                <w:rFonts w:ascii="宋体" w:hAnsi="宋体" w:cs="宋体" w:eastAsia="宋体" w:hint="default"/>
                <w:spacing w:val="-6"/>
                <w:w w:val="101"/>
                <w:sz w:val="18"/>
                <w:szCs w:val="18"/>
              </w:rPr>
              <w:t>《修订通知》及其附件要求对合并财务报</w:t>
            </w:r>
            <w:r>
              <w:rPr>
                <w:rFonts w:ascii="宋体" w:hAnsi="宋体" w:cs="宋体" w:eastAsia="宋体" w:hint="default"/>
                <w:w w:val="101"/>
                <w:sz w:val="18"/>
                <w:szCs w:val="18"/>
              </w:rPr>
              <w:t> </w:t>
            </w:r>
            <w:r>
              <w:rPr>
                <w:rFonts w:ascii="宋体" w:hAnsi="宋体" w:cs="宋体" w:eastAsia="宋体" w:hint="default"/>
                <w:spacing w:val="-6"/>
                <w:sz w:val="18"/>
                <w:szCs w:val="18"/>
              </w:rPr>
              <w:t>表项目进行相应调整。《修订通知》适用</w:t>
            </w:r>
            <w:r>
              <w:rPr>
                <w:rFonts w:ascii="宋体" w:hAnsi="宋体" w:cs="宋体" w:eastAsia="宋体" w:hint="default"/>
                <w:spacing w:val="-46"/>
                <w:sz w:val="18"/>
                <w:szCs w:val="18"/>
              </w:rPr>
              <w:t> </w:t>
            </w:r>
            <w:r>
              <w:rPr>
                <w:rFonts w:ascii="宋体" w:hAnsi="宋体" w:cs="宋体" w:eastAsia="宋体" w:hint="default"/>
                <w:spacing w:val="-46"/>
                <w:sz w:val="18"/>
                <w:szCs w:val="18"/>
              </w:rPr>
            </w:r>
            <w:r>
              <w:rPr>
                <w:rFonts w:ascii="宋体" w:hAnsi="宋体" w:cs="宋体" w:eastAsia="宋体" w:hint="default"/>
                <w:spacing w:val="-3"/>
                <w:sz w:val="18"/>
                <w:szCs w:val="18"/>
              </w:rPr>
              <w:t>于执行企业会计准则的企业 </w:t>
            </w:r>
            <w:r>
              <w:rPr>
                <w:rFonts w:ascii="宋体" w:hAnsi="宋体" w:cs="宋体" w:eastAsia="宋体" w:hint="default"/>
                <w:sz w:val="18"/>
                <w:szCs w:val="18"/>
              </w:rPr>
              <w:t>2019 </w:t>
            </w:r>
            <w:r>
              <w:rPr>
                <w:rFonts w:ascii="宋体" w:hAnsi="宋体" w:cs="宋体" w:eastAsia="宋体" w:hint="default"/>
                <w:spacing w:val="-5"/>
                <w:sz w:val="18"/>
                <w:szCs w:val="18"/>
              </w:rPr>
              <w:t>年度</w:t>
            </w:r>
            <w:r>
              <w:rPr>
                <w:rFonts w:ascii="宋体" w:hAnsi="宋体" w:cs="宋体" w:eastAsia="宋体" w:hint="default"/>
                <w:spacing w:val="-45"/>
                <w:sz w:val="18"/>
                <w:szCs w:val="18"/>
              </w:rPr>
              <w:t> </w:t>
            </w:r>
            <w:r>
              <w:rPr>
                <w:rFonts w:ascii="宋体" w:hAnsi="宋体" w:cs="宋体" w:eastAsia="宋体" w:hint="default"/>
                <w:spacing w:val="-3"/>
                <w:sz w:val="18"/>
                <w:szCs w:val="18"/>
              </w:rPr>
              <w:t>合并财务报表及以后期间的合并财务报</w:t>
            </w:r>
          </w:p>
        </w:tc>
        <w:tc>
          <w:tcPr>
            <w:tcW w:w="3189" w:type="dxa"/>
            <w:tcBorders>
              <w:top w:val="single" w:sz="6" w:space="0" w:color="000000"/>
              <w:left w:val="single" w:sz="6" w:space="0" w:color="000000"/>
              <w:bottom w:val="single" w:sz="6" w:space="0" w:color="000000"/>
              <w:right w:val="single" w:sz="6" w:space="0" w:color="000000"/>
            </w:tcBorders>
          </w:tcPr>
          <w:p>
            <w:pPr>
              <w:pStyle w:val="TableParagraph"/>
              <w:spacing w:line="321" w:lineRule="auto" w:before="63"/>
              <w:ind w:left="4" w:right="-4"/>
              <w:jc w:val="both"/>
              <w:rPr>
                <w:rFonts w:ascii="宋体" w:hAnsi="宋体" w:cs="宋体" w:eastAsia="宋体" w:hint="default"/>
                <w:sz w:val="18"/>
                <w:szCs w:val="18"/>
              </w:rPr>
            </w:pPr>
            <w:r>
              <w:rPr>
                <w:rFonts w:ascii="宋体" w:hAnsi="宋体" w:cs="宋体" w:eastAsia="宋体" w:hint="default"/>
                <w:spacing w:val="-2"/>
                <w:sz w:val="18"/>
                <w:szCs w:val="18"/>
              </w:rPr>
              <w:t>本公司于</w:t>
            </w:r>
            <w:r>
              <w:rPr>
                <w:rFonts w:ascii="宋体" w:hAnsi="宋体" w:cs="宋体" w:eastAsia="宋体" w:hint="default"/>
                <w:spacing w:val="-2"/>
                <w:sz w:val="18"/>
                <w:szCs w:val="18"/>
              </w:rPr>
              <w:t>2020</w:t>
            </w:r>
            <w:r>
              <w:rPr>
                <w:rFonts w:ascii="宋体" w:hAnsi="宋体" w:cs="宋体" w:eastAsia="宋体" w:hint="default"/>
                <w:spacing w:val="-2"/>
                <w:sz w:val="18"/>
                <w:szCs w:val="18"/>
              </w:rPr>
              <w:t>年</w:t>
            </w:r>
            <w:r>
              <w:rPr>
                <w:rFonts w:ascii="宋体" w:hAnsi="宋体" w:cs="宋体" w:eastAsia="宋体" w:hint="default"/>
                <w:spacing w:val="-2"/>
                <w:sz w:val="18"/>
                <w:szCs w:val="18"/>
              </w:rPr>
              <w:t>1</w:t>
            </w:r>
            <w:r>
              <w:rPr>
                <w:rFonts w:ascii="宋体" w:hAnsi="宋体" w:cs="宋体" w:eastAsia="宋体" w:hint="default"/>
                <w:spacing w:val="-2"/>
                <w:sz w:val="18"/>
                <w:szCs w:val="18"/>
              </w:rPr>
              <w:t>月</w:t>
            </w:r>
            <w:r>
              <w:rPr>
                <w:rFonts w:ascii="宋体" w:hAnsi="宋体" w:cs="宋体" w:eastAsia="宋体" w:hint="default"/>
                <w:spacing w:val="-2"/>
                <w:sz w:val="18"/>
                <w:szCs w:val="18"/>
              </w:rPr>
              <w:t>15</w:t>
            </w:r>
            <w:r>
              <w:rPr>
                <w:rFonts w:ascii="宋体" w:hAnsi="宋体" w:cs="宋体" w:eastAsia="宋体" w:hint="default"/>
                <w:spacing w:val="-2"/>
                <w:sz w:val="18"/>
                <w:szCs w:val="18"/>
              </w:rPr>
              <w:t>日召开第四届董事</w:t>
            </w:r>
            <w:r>
              <w:rPr>
                <w:rFonts w:ascii="宋体" w:hAnsi="宋体" w:cs="宋体" w:eastAsia="宋体" w:hint="default"/>
                <w:spacing w:val="-46"/>
                <w:sz w:val="18"/>
                <w:szCs w:val="18"/>
              </w:rPr>
              <w:t> </w:t>
            </w:r>
            <w:r>
              <w:rPr>
                <w:rFonts w:ascii="宋体" w:hAnsi="宋体" w:cs="宋体" w:eastAsia="宋体" w:hint="default"/>
                <w:spacing w:val="-46"/>
                <w:sz w:val="18"/>
                <w:szCs w:val="18"/>
              </w:rPr>
            </w:r>
            <w:r>
              <w:rPr>
                <w:rFonts w:ascii="宋体" w:hAnsi="宋体" w:cs="宋体" w:eastAsia="宋体" w:hint="default"/>
                <w:spacing w:val="-7"/>
                <w:sz w:val="18"/>
                <w:szCs w:val="18"/>
              </w:rPr>
              <w:t>会第七次会议，审议通过《关于会计政策</w:t>
            </w:r>
            <w:r>
              <w:rPr>
                <w:rFonts w:ascii="宋体" w:hAnsi="宋体" w:cs="宋体" w:eastAsia="宋体" w:hint="default"/>
                <w:spacing w:val="-34"/>
                <w:sz w:val="18"/>
                <w:szCs w:val="18"/>
              </w:rPr>
              <w:t> </w:t>
            </w:r>
            <w:r>
              <w:rPr>
                <w:rFonts w:ascii="宋体" w:hAnsi="宋体" w:cs="宋体" w:eastAsia="宋体" w:hint="default"/>
                <w:spacing w:val="-34"/>
                <w:sz w:val="18"/>
                <w:szCs w:val="18"/>
              </w:rPr>
            </w:r>
            <w:r>
              <w:rPr>
                <w:rFonts w:ascii="宋体" w:hAnsi="宋体" w:cs="宋体" w:eastAsia="宋体" w:hint="default"/>
                <w:sz w:val="18"/>
                <w:szCs w:val="18"/>
              </w:rPr>
              <w:t>变更的议案》</w:t>
            </w:r>
          </w:p>
        </w:tc>
        <w:tc>
          <w:tcPr>
            <w:tcW w:w="31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left="4" w:right="0"/>
              <w:jc w:val="left"/>
              <w:rPr>
                <w:rFonts w:ascii="宋体" w:hAnsi="宋体" w:cs="宋体" w:eastAsia="宋体" w:hint="default"/>
                <w:sz w:val="18"/>
                <w:szCs w:val="18"/>
              </w:rPr>
            </w:pPr>
            <w:r>
              <w:rPr>
                <w:rFonts w:ascii="宋体" w:hAnsi="宋体" w:cs="宋体" w:eastAsia="宋体" w:hint="default"/>
                <w:sz w:val="18"/>
                <w:szCs w:val="18"/>
              </w:rPr>
              <w:t>详见奥拓电子公告，编号：</w:t>
            </w:r>
            <w:r>
              <w:rPr>
                <w:rFonts w:ascii="宋体" w:hAnsi="宋体" w:cs="宋体" w:eastAsia="宋体" w:hint="default"/>
                <w:sz w:val="18"/>
                <w:szCs w:val="18"/>
              </w:rPr>
              <w:t>2020-005</w:t>
            </w:r>
          </w:p>
        </w:tc>
      </w:tr>
    </w:tbl>
    <w:p>
      <w:pPr>
        <w:spacing w:after="0" w:line="240" w:lineRule="auto"/>
        <w:jc w:val="left"/>
        <w:rPr>
          <w:rFonts w:ascii="宋体" w:hAnsi="宋体" w:cs="宋体" w:eastAsia="宋体" w:hint="default"/>
          <w:sz w:val="18"/>
          <w:szCs w:val="18"/>
        </w:rPr>
        <w:sectPr>
          <w:pgSz w:w="11910" w:h="16840"/>
          <w:pgMar w:header="784" w:footer="1022" w:top="1100" w:bottom="1220" w:left="980" w:right="0"/>
        </w:sectPr>
      </w:pPr>
    </w:p>
    <w:p>
      <w:pPr>
        <w:spacing w:line="240" w:lineRule="auto" w:before="7"/>
        <w:rPr>
          <w:rFonts w:ascii="宋体" w:hAnsi="宋体" w:cs="宋体" w:eastAsia="宋体" w:hint="default"/>
          <w:sz w:val="25"/>
          <w:szCs w:val="25"/>
        </w:rPr>
      </w:pPr>
    </w:p>
    <w:tbl>
      <w:tblPr>
        <w:tblW w:w="0" w:type="auto"/>
        <w:jc w:val="left"/>
        <w:tblInd w:w="143" w:type="dxa"/>
        <w:tblLayout w:type="fixed"/>
        <w:tblCellMar>
          <w:top w:w="0" w:type="dxa"/>
          <w:left w:w="0" w:type="dxa"/>
          <w:bottom w:w="0" w:type="dxa"/>
          <w:right w:w="0" w:type="dxa"/>
        </w:tblCellMar>
        <w:tblLook w:val="01E0"/>
      </w:tblPr>
      <w:tblGrid>
        <w:gridCol w:w="3193"/>
        <w:gridCol w:w="3189"/>
        <w:gridCol w:w="3193"/>
      </w:tblGrid>
      <w:tr>
        <w:trPr>
          <w:trHeight w:val="1325" w:hRule="exact"/>
        </w:trPr>
        <w:tc>
          <w:tcPr>
            <w:tcW w:w="3193"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0"/>
              <w:ind w:left="4" w:right="-5"/>
              <w:jc w:val="left"/>
              <w:rPr>
                <w:rFonts w:ascii="宋体" w:hAnsi="宋体" w:cs="宋体" w:eastAsia="宋体" w:hint="default"/>
                <w:sz w:val="18"/>
                <w:szCs w:val="18"/>
              </w:rPr>
            </w:pPr>
            <w:r>
              <w:rPr>
                <w:rFonts w:ascii="宋体" w:hAnsi="宋体" w:cs="宋体" w:eastAsia="宋体" w:hint="default"/>
                <w:spacing w:val="-7"/>
                <w:sz w:val="18"/>
                <w:szCs w:val="18"/>
              </w:rPr>
              <w:t>表。根据《修订通知》的有关规定，公司</w:t>
            </w:r>
            <w:r>
              <w:rPr>
                <w:rFonts w:ascii="宋体" w:hAnsi="宋体" w:cs="宋体" w:eastAsia="宋体" w:hint="default"/>
                <w:spacing w:val="-31"/>
                <w:sz w:val="18"/>
                <w:szCs w:val="18"/>
              </w:rPr>
              <w:t> </w:t>
            </w:r>
            <w:r>
              <w:rPr>
                <w:rFonts w:ascii="宋体" w:hAnsi="宋体" w:cs="宋体" w:eastAsia="宋体" w:hint="default"/>
                <w:spacing w:val="-31"/>
                <w:sz w:val="18"/>
                <w:szCs w:val="18"/>
              </w:rPr>
            </w:r>
            <w:r>
              <w:rPr>
                <w:rFonts w:ascii="宋体" w:hAnsi="宋体" w:cs="宋体" w:eastAsia="宋体" w:hint="default"/>
                <w:spacing w:val="-6"/>
                <w:w w:val="101"/>
                <w:sz w:val="18"/>
                <w:szCs w:val="18"/>
              </w:rPr>
              <w:t>属于已执行新金融准则的企业，应当结合</w:t>
            </w:r>
            <w:r>
              <w:rPr>
                <w:rFonts w:ascii="宋体" w:hAnsi="宋体" w:cs="宋体" w:eastAsia="宋体" w:hint="default"/>
                <w:spacing w:val="-6"/>
                <w:sz w:val="18"/>
                <w:szCs w:val="18"/>
              </w:rPr>
            </w:r>
          </w:p>
          <w:p>
            <w:pPr>
              <w:pStyle w:val="TableParagraph"/>
              <w:spacing w:line="324" w:lineRule="auto" w:before="19"/>
              <w:ind w:left="4" w:right="-5"/>
              <w:jc w:val="left"/>
              <w:rPr>
                <w:rFonts w:ascii="宋体" w:hAnsi="宋体" w:cs="宋体" w:eastAsia="宋体" w:hint="default"/>
                <w:sz w:val="18"/>
                <w:szCs w:val="18"/>
              </w:rPr>
            </w:pPr>
            <w:r>
              <w:rPr>
                <w:rFonts w:ascii="宋体" w:hAnsi="宋体" w:cs="宋体" w:eastAsia="宋体" w:hint="default"/>
                <w:spacing w:val="-6"/>
                <w:sz w:val="18"/>
                <w:szCs w:val="18"/>
              </w:rPr>
              <w:t>《修订通知》的要求，对合并财务报表项</w:t>
            </w:r>
            <w:r>
              <w:rPr>
                <w:rFonts w:ascii="宋体" w:hAnsi="宋体" w:cs="宋体" w:eastAsia="宋体" w:hint="default"/>
                <w:spacing w:val="-47"/>
                <w:sz w:val="18"/>
                <w:szCs w:val="18"/>
              </w:rPr>
              <w:t> </w:t>
            </w:r>
            <w:r>
              <w:rPr>
                <w:rFonts w:ascii="宋体" w:hAnsi="宋体" w:cs="宋体" w:eastAsia="宋体" w:hint="default"/>
                <w:spacing w:val="-47"/>
                <w:sz w:val="18"/>
                <w:szCs w:val="18"/>
              </w:rPr>
            </w:r>
            <w:r>
              <w:rPr>
                <w:rFonts w:ascii="宋体" w:hAnsi="宋体" w:cs="宋体" w:eastAsia="宋体" w:hint="default"/>
                <w:sz w:val="18"/>
                <w:szCs w:val="18"/>
              </w:rPr>
              <w:t>目进行相应调整。</w:t>
            </w:r>
          </w:p>
        </w:tc>
        <w:tc>
          <w:tcPr>
            <w:tcW w:w="3189" w:type="dxa"/>
            <w:tcBorders>
              <w:top w:val="single" w:sz="6" w:space="0" w:color="000000"/>
              <w:left w:val="single" w:sz="6" w:space="0" w:color="000000"/>
              <w:bottom w:val="single" w:sz="6" w:space="0" w:color="000000"/>
              <w:right w:val="single" w:sz="6" w:space="0" w:color="000000"/>
            </w:tcBorders>
          </w:tcPr>
          <w:p>
            <w:pPr/>
          </w:p>
        </w:tc>
        <w:tc>
          <w:tcPr>
            <w:tcW w:w="3193" w:type="dxa"/>
            <w:tcBorders>
              <w:top w:val="single" w:sz="6" w:space="0" w:color="000000"/>
              <w:left w:val="single" w:sz="6" w:space="0" w:color="000000"/>
              <w:bottom w:val="single" w:sz="6" w:space="0" w:color="000000"/>
              <w:right w:val="single" w:sz="6" w:space="0" w:color="000000"/>
            </w:tcBorders>
          </w:tcPr>
          <w:p>
            <w:pPr/>
          </w:p>
        </w:tc>
      </w:tr>
    </w:tbl>
    <w:p>
      <w:pPr>
        <w:spacing w:line="240" w:lineRule="auto" w:before="1"/>
        <w:rPr>
          <w:rFonts w:ascii="宋体" w:hAnsi="宋体" w:cs="宋体" w:eastAsia="宋体" w:hint="default"/>
          <w:sz w:val="21"/>
          <w:szCs w:val="21"/>
        </w:rPr>
      </w:pPr>
    </w:p>
    <w:p>
      <w:pPr>
        <w:pStyle w:val="BodyText"/>
        <w:spacing w:line="316" w:lineRule="auto"/>
        <w:ind w:left="633" w:right="0"/>
        <w:jc w:val="left"/>
      </w:pPr>
      <w:r>
        <w:rPr>
          <w:spacing w:val="-3"/>
        </w:rPr>
        <w:t>①执行新金融工具准则对本公司的主要变化和影响如下：</w:t>
      </w:r>
      <w:r>
        <w:rPr>
          <w:spacing w:val="-15"/>
        </w:rPr>
        <w:t> </w:t>
      </w:r>
      <w:r>
        <w:rPr>
          <w:spacing w:val="-15"/>
        </w:rPr>
      </w:r>
      <w:r>
        <w:rPr/>
        <w:t>本集团于</w:t>
      </w:r>
      <w:r>
        <w:rPr>
          <w:rFonts w:ascii="宋体" w:hAnsi="宋体" w:cs="宋体" w:eastAsia="宋体" w:hint="default"/>
        </w:rPr>
        <w:t>2019</w:t>
      </w:r>
      <w:r>
        <w:rPr/>
        <w:t>年</w:t>
      </w:r>
      <w:r>
        <w:rPr>
          <w:rFonts w:ascii="宋体" w:hAnsi="宋体" w:cs="宋体" w:eastAsia="宋体" w:hint="default"/>
        </w:rPr>
        <w:t>1</w:t>
      </w:r>
      <w:r>
        <w:rPr/>
        <w:t>月</w:t>
      </w:r>
      <w:r>
        <w:rPr>
          <w:rFonts w:ascii="宋体" w:hAnsi="宋体" w:cs="宋体" w:eastAsia="宋体" w:hint="default"/>
        </w:rPr>
        <w:t>1</w:t>
      </w:r>
      <w:r>
        <w:rPr/>
        <w:t>日及以后将持有的部分非交易性股权投资重分类为以公允价值计量且其变动计入当期损益的金</w:t>
      </w:r>
    </w:p>
    <w:p>
      <w:pPr>
        <w:pStyle w:val="BodyText"/>
        <w:spacing w:line="319" w:lineRule="auto" w:before="19"/>
        <w:ind w:right="1124"/>
        <w:jc w:val="both"/>
      </w:pPr>
      <w:r>
        <w:rPr>
          <w:spacing w:val="-4"/>
        </w:rPr>
        <w:t>融资产，列报为其他非流动金融资产。本公司在日常资金管理中将部分银行承兑汇票背书或贴现，既以收取合同现金流量又</w:t>
      </w:r>
      <w:r>
        <w:rPr>
          <w:spacing w:val="43"/>
        </w:rPr>
        <w:t> </w:t>
      </w:r>
      <w:r>
        <w:rPr>
          <w:spacing w:val="43"/>
        </w:rPr>
      </w:r>
      <w:r>
        <w:rPr>
          <w:spacing w:val="-4"/>
        </w:rPr>
        <w:t>以出售金融资产为目标，因此，本公司在</w:t>
      </w:r>
      <w:r>
        <w:rPr>
          <w:rFonts w:ascii="宋体" w:hAnsi="宋体" w:cs="宋体" w:eastAsia="宋体" w:hint="default"/>
          <w:spacing w:val="-4"/>
        </w:rPr>
        <w:t>2019</w:t>
      </w:r>
      <w:r>
        <w:rPr>
          <w:spacing w:val="-4"/>
        </w:rPr>
        <w:t>年</w:t>
      </w:r>
      <w:r>
        <w:rPr>
          <w:rFonts w:ascii="宋体" w:hAnsi="宋体" w:cs="宋体" w:eastAsia="宋体" w:hint="default"/>
          <w:spacing w:val="-4"/>
        </w:rPr>
        <w:t>1</w:t>
      </w:r>
      <w:r>
        <w:rPr>
          <w:spacing w:val="-4"/>
        </w:rPr>
        <w:t>月</w:t>
      </w:r>
      <w:r>
        <w:rPr>
          <w:rFonts w:ascii="宋体" w:hAnsi="宋体" w:cs="宋体" w:eastAsia="宋体" w:hint="default"/>
          <w:spacing w:val="-4"/>
        </w:rPr>
        <w:t>1</w:t>
      </w:r>
      <w:r>
        <w:rPr>
          <w:spacing w:val="-4"/>
        </w:rPr>
        <w:t>日及以后将该等应收票据重分类为以公允价值计量且其变动计入其他综</w:t>
      </w:r>
      <w:r>
        <w:rPr>
          <w:spacing w:val="51"/>
        </w:rPr>
        <w:t> </w:t>
      </w:r>
      <w:r>
        <w:rPr>
          <w:spacing w:val="51"/>
        </w:rPr>
      </w:r>
      <w:r>
        <w:rPr>
          <w:spacing w:val="-3"/>
        </w:rPr>
        <w:t>合收益金融资产类别，列报为应收款项融资。</w:t>
      </w:r>
    </w:p>
    <w:p>
      <w:pPr>
        <w:pStyle w:val="BodyText"/>
        <w:spacing w:line="316" w:lineRule="auto" w:before="17"/>
        <w:ind w:left="633" w:right="6445"/>
        <w:jc w:val="left"/>
      </w:pPr>
      <w:r>
        <w:rPr>
          <w:rFonts w:ascii="宋体" w:hAnsi="宋体" w:cs="宋体" w:eastAsia="宋体" w:hint="default"/>
          <w:spacing w:val="-3"/>
        </w:rPr>
        <w:t>A</w:t>
      </w:r>
      <w:r>
        <w:rPr>
          <w:spacing w:val="-3"/>
        </w:rPr>
        <w:t>、首次执行日前后金融资产分类和计量对比表</w:t>
      </w:r>
      <w:r>
        <w:rPr>
          <w:spacing w:val="-23"/>
        </w:rPr>
        <w:t> </w:t>
      </w:r>
      <w:r>
        <w:rPr>
          <w:spacing w:val="-23"/>
        </w:rPr>
      </w:r>
      <w:r>
        <w:rPr>
          <w:rFonts w:ascii="宋体" w:hAnsi="宋体" w:cs="宋体" w:eastAsia="宋体" w:hint="default"/>
          <w:spacing w:val="-3"/>
        </w:rPr>
        <w:t>a</w:t>
      </w:r>
      <w:r>
        <w:rPr>
          <w:spacing w:val="-3"/>
        </w:rPr>
        <w:t>、对合并财务报表的影响</w:t>
      </w:r>
    </w:p>
    <w:tbl>
      <w:tblPr>
        <w:tblW w:w="0" w:type="auto"/>
        <w:jc w:val="left"/>
        <w:tblInd w:w="503" w:type="dxa"/>
        <w:tblLayout w:type="fixed"/>
        <w:tblCellMar>
          <w:top w:w="0" w:type="dxa"/>
          <w:left w:w="0" w:type="dxa"/>
          <w:bottom w:w="0" w:type="dxa"/>
          <w:right w:w="0" w:type="dxa"/>
        </w:tblCellMar>
        <w:tblLook w:val="01E0"/>
      </w:tblPr>
      <w:tblGrid>
        <w:gridCol w:w="1950"/>
        <w:gridCol w:w="2694"/>
        <w:gridCol w:w="2070"/>
        <w:gridCol w:w="2218"/>
      </w:tblGrid>
      <w:tr>
        <w:trPr>
          <w:trHeight w:val="341" w:hRule="exact"/>
        </w:trPr>
        <w:tc>
          <w:tcPr>
            <w:tcW w:w="4644"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left="1234" w:right="0"/>
              <w:jc w:val="left"/>
              <w:rPr>
                <w:rFonts w:ascii="宋体" w:hAnsi="宋体" w:cs="宋体" w:eastAsia="宋体" w:hint="default"/>
                <w:sz w:val="18"/>
                <w:szCs w:val="18"/>
              </w:rPr>
            </w:pPr>
            <w:r>
              <w:rPr>
                <w:rFonts w:ascii="宋体" w:hAnsi="宋体" w:cs="宋体" w:eastAsia="宋体" w:hint="default"/>
                <w:b/>
                <w:bCs/>
                <w:sz w:val="18"/>
                <w:szCs w:val="18"/>
              </w:rPr>
              <w:t>2018</w:t>
            </w:r>
            <w:r>
              <w:rPr>
                <w:rFonts w:ascii="宋体" w:hAnsi="宋体" w:cs="宋体" w:eastAsia="宋体" w:hint="default"/>
                <w:b/>
                <w:bCs/>
                <w:sz w:val="18"/>
                <w:szCs w:val="18"/>
              </w:rPr>
              <w:t>年</w:t>
            </w:r>
            <w:r>
              <w:rPr>
                <w:rFonts w:ascii="宋体" w:hAnsi="宋体" w:cs="宋体" w:eastAsia="宋体" w:hint="default"/>
                <w:b/>
                <w:bCs/>
                <w:sz w:val="18"/>
                <w:szCs w:val="18"/>
              </w:rPr>
              <w:t>12</w:t>
            </w:r>
            <w:r>
              <w:rPr>
                <w:rFonts w:ascii="宋体" w:hAnsi="宋体" w:cs="宋体" w:eastAsia="宋体" w:hint="default"/>
                <w:b/>
                <w:bCs/>
                <w:sz w:val="18"/>
                <w:szCs w:val="18"/>
              </w:rPr>
              <w:t>月</w:t>
            </w:r>
            <w:r>
              <w:rPr>
                <w:rFonts w:ascii="宋体" w:hAnsi="宋体" w:cs="宋体" w:eastAsia="宋体" w:hint="default"/>
                <w:b/>
                <w:bCs/>
                <w:sz w:val="18"/>
                <w:szCs w:val="18"/>
              </w:rPr>
              <w:t>31</w:t>
            </w:r>
            <w:r>
              <w:rPr>
                <w:rFonts w:ascii="宋体" w:hAnsi="宋体" w:cs="宋体" w:eastAsia="宋体" w:hint="default"/>
                <w:b/>
                <w:bCs/>
                <w:sz w:val="18"/>
                <w:szCs w:val="18"/>
              </w:rPr>
              <w:t>日（变更前）</w:t>
            </w:r>
            <w:r>
              <w:rPr>
                <w:rFonts w:ascii="宋体" w:hAnsi="宋体" w:cs="宋体" w:eastAsia="宋体" w:hint="default"/>
                <w:sz w:val="18"/>
                <w:szCs w:val="18"/>
              </w:rPr>
            </w:r>
          </w:p>
        </w:tc>
        <w:tc>
          <w:tcPr>
            <w:tcW w:w="428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left="1147" w:right="0"/>
              <w:jc w:val="left"/>
              <w:rPr>
                <w:rFonts w:ascii="宋体" w:hAnsi="宋体" w:cs="宋体" w:eastAsia="宋体" w:hint="default"/>
                <w:sz w:val="18"/>
                <w:szCs w:val="18"/>
              </w:rPr>
            </w:pPr>
            <w:r>
              <w:rPr>
                <w:rFonts w:ascii="宋体" w:hAnsi="宋体" w:cs="宋体" w:eastAsia="宋体" w:hint="default"/>
                <w:b/>
                <w:bCs/>
                <w:sz w:val="18"/>
                <w:szCs w:val="18"/>
              </w:rPr>
              <w:t>2019</w:t>
            </w:r>
            <w:r>
              <w:rPr>
                <w:rFonts w:ascii="宋体" w:hAnsi="宋体" w:cs="宋体" w:eastAsia="宋体" w:hint="default"/>
                <w:b/>
                <w:bCs/>
                <w:sz w:val="18"/>
                <w:szCs w:val="18"/>
              </w:rPr>
              <w:t>年</w:t>
            </w:r>
            <w:r>
              <w:rPr>
                <w:rFonts w:ascii="宋体" w:hAnsi="宋体" w:cs="宋体" w:eastAsia="宋体" w:hint="default"/>
                <w:b/>
                <w:bCs/>
                <w:sz w:val="18"/>
                <w:szCs w:val="18"/>
              </w:rPr>
              <w:t>1</w:t>
            </w:r>
            <w:r>
              <w:rPr>
                <w:rFonts w:ascii="宋体" w:hAnsi="宋体" w:cs="宋体" w:eastAsia="宋体" w:hint="default"/>
                <w:b/>
                <w:bCs/>
                <w:sz w:val="18"/>
                <w:szCs w:val="18"/>
              </w:rPr>
              <w:t>月</w:t>
            </w:r>
            <w:r>
              <w:rPr>
                <w:rFonts w:ascii="宋体" w:hAnsi="宋体" w:cs="宋体" w:eastAsia="宋体" w:hint="default"/>
                <w:b/>
                <w:bCs/>
                <w:sz w:val="18"/>
                <w:szCs w:val="18"/>
              </w:rPr>
              <w:t>1</w:t>
            </w:r>
            <w:r>
              <w:rPr>
                <w:rFonts w:ascii="宋体" w:hAnsi="宋体" w:cs="宋体" w:eastAsia="宋体" w:hint="default"/>
                <w:b/>
                <w:bCs/>
                <w:sz w:val="18"/>
                <w:szCs w:val="18"/>
              </w:rPr>
              <w:t>日（变更后）</w:t>
            </w:r>
            <w:r>
              <w:rPr>
                <w:rFonts w:ascii="宋体" w:hAnsi="宋体" w:cs="宋体" w:eastAsia="宋体" w:hint="default"/>
                <w:sz w:val="18"/>
                <w:szCs w:val="18"/>
              </w:rPr>
            </w:r>
          </w:p>
        </w:tc>
      </w:tr>
      <w:tr>
        <w:trPr>
          <w:trHeight w:val="341" w:hRule="exact"/>
        </w:trPr>
        <w:tc>
          <w:tcPr>
            <w:tcW w:w="19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6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left="4" w:right="0"/>
              <w:jc w:val="center"/>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c>
        <w:tc>
          <w:tcPr>
            <w:tcW w:w="20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left="14"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2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left="743" w:right="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c>
      </w:tr>
      <w:tr>
        <w:trPr>
          <w:trHeight w:val="341"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
              <w:jc w:val="right"/>
              <w:rPr>
                <w:rFonts w:ascii="宋体" w:hAnsi="宋体" w:cs="宋体" w:eastAsia="宋体" w:hint="default"/>
                <w:sz w:val="18"/>
                <w:szCs w:val="18"/>
              </w:rPr>
            </w:pPr>
            <w:r>
              <w:rPr>
                <w:rFonts w:ascii="宋体"/>
                <w:w w:val="101"/>
                <w:sz w:val="18"/>
              </w:rPr>
              <w:t>-</w:t>
            </w:r>
            <w:r>
              <w:rPr>
                <w:rFonts w:ascii="宋体"/>
                <w:sz w:val="18"/>
              </w:rPr>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9"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2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5"/>
              <w:jc w:val="right"/>
              <w:rPr>
                <w:rFonts w:ascii="宋体" w:hAnsi="宋体" w:cs="宋体" w:eastAsia="宋体" w:hint="default"/>
                <w:sz w:val="18"/>
                <w:szCs w:val="18"/>
              </w:rPr>
            </w:pPr>
            <w:r>
              <w:rPr>
                <w:rFonts w:ascii="宋体"/>
                <w:spacing w:val="-1"/>
                <w:sz w:val="18"/>
              </w:rPr>
              <w:t>7,107,793.00</w:t>
            </w:r>
          </w:p>
        </w:tc>
      </w:tr>
      <w:tr>
        <w:trPr>
          <w:trHeight w:val="346"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4" w:right="0"/>
              <w:jc w:val="left"/>
              <w:rPr>
                <w:rFonts w:ascii="宋体" w:hAnsi="宋体" w:cs="宋体" w:eastAsia="宋体" w:hint="default"/>
                <w:sz w:val="18"/>
                <w:szCs w:val="18"/>
              </w:rPr>
            </w:pPr>
            <w:r>
              <w:rPr>
                <w:rFonts w:ascii="宋体" w:hAnsi="宋体" w:cs="宋体" w:eastAsia="宋体" w:hint="default"/>
                <w:sz w:val="18"/>
                <w:szCs w:val="18"/>
              </w:rPr>
              <w:t>应收票据减值准备</w:t>
            </w:r>
          </w:p>
        </w:tc>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
              <w:jc w:val="right"/>
              <w:rPr>
                <w:rFonts w:ascii="宋体" w:hAnsi="宋体" w:cs="宋体" w:eastAsia="宋体" w:hint="default"/>
                <w:sz w:val="18"/>
                <w:szCs w:val="18"/>
              </w:rPr>
            </w:pPr>
            <w:r>
              <w:rPr>
                <w:rFonts w:ascii="宋体"/>
                <w:w w:val="101"/>
                <w:sz w:val="18"/>
              </w:rPr>
              <w:t>-</w:t>
            </w:r>
            <w:r>
              <w:rPr>
                <w:rFonts w:ascii="宋体"/>
                <w:sz w:val="18"/>
              </w:rPr>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9" w:right="0"/>
              <w:jc w:val="left"/>
              <w:rPr>
                <w:rFonts w:ascii="宋体" w:hAnsi="宋体" w:cs="宋体" w:eastAsia="宋体" w:hint="default"/>
                <w:sz w:val="18"/>
                <w:szCs w:val="18"/>
              </w:rPr>
            </w:pPr>
            <w:r>
              <w:rPr>
                <w:rFonts w:ascii="宋体" w:hAnsi="宋体" w:cs="宋体" w:eastAsia="宋体" w:hint="default"/>
                <w:sz w:val="18"/>
                <w:szCs w:val="18"/>
              </w:rPr>
              <w:t>应收票据减值准备</w:t>
            </w:r>
          </w:p>
        </w:tc>
        <w:tc>
          <w:tcPr>
            <w:tcW w:w="2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5"/>
              <w:jc w:val="right"/>
              <w:rPr>
                <w:rFonts w:ascii="宋体" w:hAnsi="宋体" w:cs="宋体" w:eastAsia="宋体" w:hint="default"/>
                <w:sz w:val="18"/>
                <w:szCs w:val="18"/>
              </w:rPr>
            </w:pPr>
            <w:r>
              <w:rPr>
                <w:rFonts w:ascii="宋体"/>
                <w:spacing w:val="-1"/>
                <w:sz w:val="18"/>
              </w:rPr>
              <w:t>355,389.65</w:t>
            </w:r>
          </w:p>
        </w:tc>
      </w:tr>
      <w:tr>
        <w:trPr>
          <w:trHeight w:val="341" w:hRule="exact"/>
        </w:trPr>
        <w:tc>
          <w:tcPr>
            <w:tcW w:w="1950" w:type="dxa"/>
            <w:vMerge w:val="restart"/>
            <w:tcBorders>
              <w:top w:val="single" w:sz="4" w:space="0" w:color="000000"/>
              <w:left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2694" w:type="dxa"/>
            <w:vMerge w:val="restart"/>
            <w:tcBorders>
              <w:top w:val="single" w:sz="4" w:space="0" w:color="000000"/>
              <w:left w:val="single" w:sz="4" w:space="0" w:color="000000"/>
              <w:right w:val="single" w:sz="4" w:space="0" w:color="000000"/>
            </w:tcBorders>
          </w:tcPr>
          <w:p>
            <w:pPr>
              <w:pStyle w:val="TableParagraph"/>
              <w:spacing w:line="240" w:lineRule="auto" w:before="20"/>
              <w:ind w:left="1426" w:right="-5"/>
              <w:jc w:val="left"/>
              <w:rPr>
                <w:rFonts w:ascii="宋体" w:hAnsi="宋体" w:cs="宋体" w:eastAsia="宋体" w:hint="default"/>
                <w:sz w:val="18"/>
                <w:szCs w:val="18"/>
              </w:rPr>
            </w:pPr>
            <w:r>
              <w:rPr>
                <w:rFonts w:ascii="宋体"/>
                <w:spacing w:val="-2"/>
                <w:sz w:val="18"/>
              </w:rPr>
              <w:t>190,589,070.05</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9" w:right="0"/>
              <w:jc w:val="left"/>
              <w:rPr>
                <w:rFonts w:ascii="宋体" w:hAnsi="宋体" w:cs="宋体" w:eastAsia="宋体" w:hint="default"/>
                <w:sz w:val="18"/>
                <w:szCs w:val="18"/>
              </w:rPr>
            </w:pPr>
            <w:r>
              <w:rPr>
                <w:rFonts w:ascii="宋体" w:hAnsi="宋体" w:cs="宋体" w:eastAsia="宋体" w:hint="default"/>
                <w:spacing w:val="-3"/>
                <w:sz w:val="18"/>
                <w:szCs w:val="18"/>
              </w:rPr>
              <w:t>交易性金融资产</w:t>
            </w:r>
          </w:p>
        </w:tc>
        <w:tc>
          <w:tcPr>
            <w:tcW w:w="2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spacing w:val="-2"/>
                <w:sz w:val="18"/>
              </w:rPr>
              <w:t>107,106,000.00</w:t>
            </w:r>
          </w:p>
        </w:tc>
      </w:tr>
      <w:tr>
        <w:trPr>
          <w:trHeight w:val="341" w:hRule="exact"/>
        </w:trPr>
        <w:tc>
          <w:tcPr>
            <w:tcW w:w="1950" w:type="dxa"/>
            <w:vMerge/>
            <w:tcBorders>
              <w:left w:val="single" w:sz="4" w:space="0" w:color="000000"/>
              <w:bottom w:val="single" w:sz="4" w:space="0" w:color="000000"/>
              <w:right w:val="single" w:sz="4" w:space="0" w:color="000000"/>
            </w:tcBorders>
          </w:tcPr>
          <w:p>
            <w:pPr/>
          </w:p>
        </w:tc>
        <w:tc>
          <w:tcPr>
            <w:tcW w:w="2694" w:type="dxa"/>
            <w:vMerge/>
            <w:tcBorders>
              <w:left w:val="single" w:sz="4" w:space="0" w:color="000000"/>
              <w:bottom w:val="single" w:sz="4" w:space="0" w:color="000000"/>
              <w:right w:val="single" w:sz="4" w:space="0" w:color="000000"/>
            </w:tcBorders>
          </w:tcPr>
          <w:p>
            <w:pP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9"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2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5"/>
              <w:jc w:val="right"/>
              <w:rPr>
                <w:rFonts w:ascii="宋体" w:hAnsi="宋体" w:cs="宋体" w:eastAsia="宋体" w:hint="default"/>
                <w:sz w:val="18"/>
                <w:szCs w:val="18"/>
              </w:rPr>
            </w:pPr>
            <w:r>
              <w:rPr>
                <w:rFonts w:ascii="宋体"/>
                <w:spacing w:val="-1"/>
                <w:sz w:val="18"/>
              </w:rPr>
              <w:t>83,483,070.05</w:t>
            </w:r>
          </w:p>
        </w:tc>
      </w:tr>
      <w:tr>
        <w:trPr>
          <w:trHeight w:val="341"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pacing w:val="-3"/>
                <w:sz w:val="18"/>
                <w:szCs w:val="18"/>
              </w:rPr>
              <w:t>可供出售金融产</w:t>
            </w:r>
          </w:p>
        </w:tc>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5"/>
              <w:jc w:val="right"/>
              <w:rPr>
                <w:rFonts w:ascii="宋体" w:hAnsi="宋体" w:cs="宋体" w:eastAsia="宋体" w:hint="default"/>
                <w:sz w:val="18"/>
                <w:szCs w:val="18"/>
              </w:rPr>
            </w:pPr>
            <w:r>
              <w:rPr>
                <w:rFonts w:ascii="宋体"/>
                <w:spacing w:val="-1"/>
                <w:sz w:val="18"/>
              </w:rPr>
              <w:t>13,000,000.00</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9" w:right="0"/>
              <w:jc w:val="left"/>
              <w:rPr>
                <w:rFonts w:ascii="宋体" w:hAnsi="宋体" w:cs="宋体" w:eastAsia="宋体" w:hint="default"/>
                <w:sz w:val="18"/>
                <w:szCs w:val="18"/>
              </w:rPr>
            </w:pPr>
            <w:r>
              <w:rPr>
                <w:rFonts w:ascii="宋体" w:hAnsi="宋体" w:cs="宋体" w:eastAsia="宋体" w:hint="default"/>
                <w:spacing w:val="-3"/>
                <w:sz w:val="18"/>
                <w:szCs w:val="18"/>
              </w:rPr>
              <w:t>其他非流动金融资产</w:t>
            </w:r>
          </w:p>
        </w:tc>
        <w:tc>
          <w:tcPr>
            <w:tcW w:w="2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5"/>
              <w:jc w:val="right"/>
              <w:rPr>
                <w:rFonts w:ascii="宋体" w:hAnsi="宋体" w:cs="宋体" w:eastAsia="宋体" w:hint="default"/>
                <w:sz w:val="18"/>
                <w:szCs w:val="18"/>
              </w:rPr>
            </w:pPr>
            <w:r>
              <w:rPr>
                <w:rFonts w:ascii="宋体"/>
                <w:spacing w:val="-1"/>
                <w:sz w:val="18"/>
              </w:rPr>
              <w:t>13,000,000.00</w:t>
            </w:r>
          </w:p>
        </w:tc>
      </w:tr>
      <w:tr>
        <w:trPr>
          <w:trHeight w:val="346"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4" w:right="0"/>
              <w:jc w:val="left"/>
              <w:rPr>
                <w:rFonts w:ascii="宋体" w:hAnsi="宋体" w:cs="宋体" w:eastAsia="宋体" w:hint="default"/>
                <w:sz w:val="18"/>
                <w:szCs w:val="18"/>
              </w:rPr>
            </w:pPr>
            <w:r>
              <w:rPr>
                <w:rFonts w:ascii="宋体" w:hAnsi="宋体" w:cs="宋体" w:eastAsia="宋体" w:hint="default"/>
                <w:spacing w:val="-3"/>
                <w:sz w:val="18"/>
                <w:szCs w:val="18"/>
              </w:rPr>
              <w:t>递延所得税资产</w:t>
            </w:r>
          </w:p>
        </w:tc>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5"/>
              <w:jc w:val="right"/>
              <w:rPr>
                <w:rFonts w:ascii="宋体" w:hAnsi="宋体" w:cs="宋体" w:eastAsia="宋体" w:hint="default"/>
                <w:sz w:val="18"/>
                <w:szCs w:val="18"/>
              </w:rPr>
            </w:pPr>
            <w:r>
              <w:rPr>
                <w:rFonts w:ascii="宋体"/>
                <w:spacing w:val="-1"/>
                <w:sz w:val="18"/>
              </w:rPr>
              <w:t>27,114,094.91</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9" w:right="0"/>
              <w:jc w:val="left"/>
              <w:rPr>
                <w:rFonts w:ascii="宋体" w:hAnsi="宋体" w:cs="宋体" w:eastAsia="宋体" w:hint="default"/>
                <w:sz w:val="18"/>
                <w:szCs w:val="18"/>
              </w:rPr>
            </w:pPr>
            <w:r>
              <w:rPr>
                <w:rFonts w:ascii="宋体" w:hAnsi="宋体" w:cs="宋体" w:eastAsia="宋体" w:hint="default"/>
                <w:spacing w:val="-3"/>
                <w:sz w:val="18"/>
                <w:szCs w:val="18"/>
              </w:rPr>
              <w:t>递延所得税资产</w:t>
            </w:r>
          </w:p>
        </w:tc>
        <w:tc>
          <w:tcPr>
            <w:tcW w:w="2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5"/>
              <w:jc w:val="right"/>
              <w:rPr>
                <w:rFonts w:ascii="宋体" w:hAnsi="宋体" w:cs="宋体" w:eastAsia="宋体" w:hint="default"/>
                <w:sz w:val="18"/>
                <w:szCs w:val="18"/>
              </w:rPr>
            </w:pPr>
            <w:r>
              <w:rPr>
                <w:rFonts w:ascii="宋体"/>
                <w:spacing w:val="-1"/>
                <w:sz w:val="18"/>
              </w:rPr>
              <w:t>27,167,403.36</w:t>
            </w:r>
          </w:p>
        </w:tc>
      </w:tr>
      <w:tr>
        <w:trPr>
          <w:trHeight w:val="341"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
              <w:jc w:val="right"/>
              <w:rPr>
                <w:rFonts w:ascii="宋体" w:hAnsi="宋体" w:cs="宋体" w:eastAsia="宋体" w:hint="default"/>
                <w:sz w:val="18"/>
                <w:szCs w:val="18"/>
              </w:rPr>
            </w:pPr>
            <w:r>
              <w:rPr>
                <w:rFonts w:ascii="宋体"/>
                <w:w w:val="101"/>
                <w:sz w:val="18"/>
              </w:rPr>
              <w:t>-</w:t>
            </w:r>
            <w:r>
              <w:rPr>
                <w:rFonts w:ascii="宋体"/>
                <w:sz w:val="18"/>
              </w:rPr>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9"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2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5"/>
              <w:jc w:val="right"/>
              <w:rPr>
                <w:rFonts w:ascii="宋体" w:hAnsi="宋体" w:cs="宋体" w:eastAsia="宋体" w:hint="default"/>
                <w:sz w:val="18"/>
                <w:szCs w:val="18"/>
              </w:rPr>
            </w:pPr>
            <w:r>
              <w:rPr>
                <w:rFonts w:ascii="宋体"/>
                <w:spacing w:val="-1"/>
                <w:sz w:val="18"/>
              </w:rPr>
              <w:t>7,107,793.00</w:t>
            </w:r>
          </w:p>
        </w:tc>
      </w:tr>
      <w:tr>
        <w:trPr>
          <w:trHeight w:val="341"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5"/>
              <w:jc w:val="right"/>
              <w:rPr>
                <w:rFonts w:ascii="宋体" w:hAnsi="宋体" w:cs="宋体" w:eastAsia="宋体" w:hint="default"/>
                <w:sz w:val="18"/>
                <w:szCs w:val="18"/>
              </w:rPr>
            </w:pPr>
            <w:r>
              <w:rPr>
                <w:rFonts w:ascii="宋体"/>
                <w:spacing w:val="-2"/>
                <w:sz w:val="18"/>
              </w:rPr>
              <w:t>429,684,583.57</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9"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2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5"/>
              <w:jc w:val="right"/>
              <w:rPr>
                <w:rFonts w:ascii="宋体" w:hAnsi="宋体" w:cs="宋体" w:eastAsia="宋体" w:hint="default"/>
                <w:sz w:val="18"/>
                <w:szCs w:val="18"/>
              </w:rPr>
            </w:pPr>
            <w:r>
              <w:rPr>
                <w:rFonts w:ascii="宋体"/>
                <w:spacing w:val="-2"/>
                <w:sz w:val="18"/>
              </w:rPr>
              <w:t>429,382,502.37</w:t>
            </w:r>
          </w:p>
        </w:tc>
      </w:tr>
    </w:tbl>
    <w:p>
      <w:pPr>
        <w:pStyle w:val="BodyText"/>
        <w:spacing w:line="240" w:lineRule="auto" w:before="19"/>
        <w:ind w:left="633" w:right="0"/>
        <w:jc w:val="left"/>
      </w:pPr>
      <w:r>
        <w:rPr>
          <w:rFonts w:ascii="宋体" w:hAnsi="宋体" w:cs="宋体" w:eastAsia="宋体" w:hint="default"/>
        </w:rPr>
        <w:t>b</w:t>
      </w:r>
      <w:r>
        <w:rPr/>
        <w:t>、对母公司财务报表的影响</w:t>
      </w:r>
    </w:p>
    <w:p>
      <w:pPr>
        <w:spacing w:line="240" w:lineRule="auto" w:before="0"/>
        <w:rPr>
          <w:rFonts w:ascii="宋体" w:hAnsi="宋体" w:cs="宋体" w:eastAsia="宋体" w:hint="default"/>
          <w:sz w:val="5"/>
          <w:szCs w:val="5"/>
        </w:rPr>
      </w:pPr>
    </w:p>
    <w:tbl>
      <w:tblPr>
        <w:tblW w:w="0" w:type="auto"/>
        <w:jc w:val="left"/>
        <w:tblInd w:w="503" w:type="dxa"/>
        <w:tblLayout w:type="fixed"/>
        <w:tblCellMar>
          <w:top w:w="0" w:type="dxa"/>
          <w:left w:w="0" w:type="dxa"/>
          <w:bottom w:w="0" w:type="dxa"/>
          <w:right w:w="0" w:type="dxa"/>
        </w:tblCellMar>
        <w:tblLook w:val="01E0"/>
      </w:tblPr>
      <w:tblGrid>
        <w:gridCol w:w="2516"/>
        <w:gridCol w:w="2127"/>
        <w:gridCol w:w="1762"/>
        <w:gridCol w:w="2526"/>
      </w:tblGrid>
      <w:tr>
        <w:trPr>
          <w:trHeight w:val="346" w:hRule="exact"/>
        </w:trPr>
        <w:tc>
          <w:tcPr>
            <w:tcW w:w="4644"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left="1229" w:right="0"/>
              <w:jc w:val="left"/>
              <w:rPr>
                <w:rFonts w:ascii="宋体" w:hAnsi="宋体" w:cs="宋体" w:eastAsia="宋体" w:hint="default"/>
                <w:sz w:val="18"/>
                <w:szCs w:val="18"/>
              </w:rPr>
            </w:pPr>
            <w:r>
              <w:rPr>
                <w:rFonts w:ascii="宋体" w:hAnsi="宋体" w:cs="宋体" w:eastAsia="宋体" w:hint="default"/>
                <w:b/>
                <w:bCs/>
                <w:sz w:val="18"/>
                <w:szCs w:val="18"/>
              </w:rPr>
              <w:t>2018</w:t>
            </w:r>
            <w:r>
              <w:rPr>
                <w:rFonts w:ascii="宋体" w:hAnsi="宋体" w:cs="宋体" w:eastAsia="宋体" w:hint="default"/>
                <w:b/>
                <w:bCs/>
                <w:sz w:val="18"/>
                <w:szCs w:val="18"/>
              </w:rPr>
              <w:t>年</w:t>
            </w:r>
            <w:r>
              <w:rPr>
                <w:rFonts w:ascii="宋体" w:hAnsi="宋体" w:cs="宋体" w:eastAsia="宋体" w:hint="default"/>
                <w:b/>
                <w:bCs/>
                <w:sz w:val="18"/>
                <w:szCs w:val="18"/>
              </w:rPr>
              <w:t>12</w:t>
            </w:r>
            <w:r>
              <w:rPr>
                <w:rFonts w:ascii="宋体" w:hAnsi="宋体" w:cs="宋体" w:eastAsia="宋体" w:hint="default"/>
                <w:b/>
                <w:bCs/>
                <w:sz w:val="18"/>
                <w:szCs w:val="18"/>
              </w:rPr>
              <w:t>月</w:t>
            </w:r>
            <w:r>
              <w:rPr>
                <w:rFonts w:ascii="宋体" w:hAnsi="宋体" w:cs="宋体" w:eastAsia="宋体" w:hint="default"/>
                <w:b/>
                <w:bCs/>
                <w:sz w:val="18"/>
                <w:szCs w:val="18"/>
              </w:rPr>
              <w:t>31</w:t>
            </w:r>
            <w:r>
              <w:rPr>
                <w:rFonts w:ascii="宋体" w:hAnsi="宋体" w:cs="宋体" w:eastAsia="宋体" w:hint="default"/>
                <w:b/>
                <w:bCs/>
                <w:sz w:val="18"/>
                <w:szCs w:val="18"/>
              </w:rPr>
              <w:t>日（变更前）</w:t>
            </w:r>
            <w:r>
              <w:rPr>
                <w:rFonts w:ascii="宋体" w:hAnsi="宋体" w:cs="宋体" w:eastAsia="宋体" w:hint="default"/>
                <w:sz w:val="18"/>
                <w:szCs w:val="18"/>
              </w:rPr>
            </w:r>
          </w:p>
        </w:tc>
        <w:tc>
          <w:tcPr>
            <w:tcW w:w="428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left="1142" w:right="0"/>
              <w:jc w:val="left"/>
              <w:rPr>
                <w:rFonts w:ascii="宋体" w:hAnsi="宋体" w:cs="宋体" w:eastAsia="宋体" w:hint="default"/>
                <w:sz w:val="18"/>
                <w:szCs w:val="18"/>
              </w:rPr>
            </w:pPr>
            <w:r>
              <w:rPr>
                <w:rFonts w:ascii="宋体" w:hAnsi="宋体" w:cs="宋体" w:eastAsia="宋体" w:hint="default"/>
                <w:b/>
                <w:bCs/>
                <w:sz w:val="18"/>
                <w:szCs w:val="18"/>
              </w:rPr>
              <w:t>2019</w:t>
            </w:r>
            <w:r>
              <w:rPr>
                <w:rFonts w:ascii="宋体" w:hAnsi="宋体" w:cs="宋体" w:eastAsia="宋体" w:hint="default"/>
                <w:b/>
                <w:bCs/>
                <w:sz w:val="18"/>
                <w:szCs w:val="18"/>
              </w:rPr>
              <w:t>年</w:t>
            </w:r>
            <w:r>
              <w:rPr>
                <w:rFonts w:ascii="宋体" w:hAnsi="宋体" w:cs="宋体" w:eastAsia="宋体" w:hint="default"/>
                <w:b/>
                <w:bCs/>
                <w:sz w:val="18"/>
                <w:szCs w:val="18"/>
              </w:rPr>
              <w:t>1</w:t>
            </w:r>
            <w:r>
              <w:rPr>
                <w:rFonts w:ascii="宋体" w:hAnsi="宋体" w:cs="宋体" w:eastAsia="宋体" w:hint="default"/>
                <w:b/>
                <w:bCs/>
                <w:sz w:val="18"/>
                <w:szCs w:val="18"/>
              </w:rPr>
              <w:t>月</w:t>
            </w:r>
            <w:r>
              <w:rPr>
                <w:rFonts w:ascii="宋体" w:hAnsi="宋体" w:cs="宋体" w:eastAsia="宋体" w:hint="default"/>
                <w:b/>
                <w:bCs/>
                <w:sz w:val="18"/>
                <w:szCs w:val="18"/>
              </w:rPr>
              <w:t>1</w:t>
            </w:r>
            <w:r>
              <w:rPr>
                <w:rFonts w:ascii="宋体" w:hAnsi="宋体" w:cs="宋体" w:eastAsia="宋体" w:hint="default"/>
                <w:b/>
                <w:bCs/>
                <w:sz w:val="18"/>
                <w:szCs w:val="18"/>
              </w:rPr>
              <w:t>日（变更后）</w:t>
            </w:r>
            <w:r>
              <w:rPr>
                <w:rFonts w:ascii="宋体" w:hAnsi="宋体" w:cs="宋体" w:eastAsia="宋体" w:hint="default"/>
                <w:sz w:val="18"/>
                <w:szCs w:val="18"/>
              </w:rPr>
            </w:r>
          </w:p>
        </w:tc>
      </w:tr>
      <w:tr>
        <w:trPr>
          <w:trHeight w:val="326" w:hRule="exact"/>
        </w:trPr>
        <w:tc>
          <w:tcPr>
            <w:tcW w:w="25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right="1068"/>
              <w:jc w:val="righ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12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left="696" w:right="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c>
        <w:tc>
          <w:tcPr>
            <w:tcW w:w="176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left="4"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52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c>
      </w:tr>
      <w:tr>
        <w:trPr>
          <w:trHeight w:val="355" w:hRule="exact"/>
        </w:trPr>
        <w:tc>
          <w:tcPr>
            <w:tcW w:w="2516" w:type="dxa"/>
            <w:vMerge w:val="restart"/>
            <w:tcBorders>
              <w:top w:val="single" w:sz="4" w:space="0" w:color="000000"/>
              <w:left w:val="single" w:sz="4" w:space="0" w:color="000000"/>
              <w:right w:val="single" w:sz="4" w:space="0" w:color="000000"/>
            </w:tcBorders>
          </w:tcPr>
          <w:p>
            <w:pPr>
              <w:pStyle w:val="TableParagraph"/>
              <w:spacing w:line="240" w:lineRule="auto" w:before="34"/>
              <w:ind w:left="4"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2127" w:type="dxa"/>
            <w:vMerge w:val="restart"/>
            <w:tcBorders>
              <w:top w:val="single" w:sz="4" w:space="0" w:color="000000"/>
              <w:left w:val="single" w:sz="4" w:space="0" w:color="000000"/>
              <w:right w:val="single" w:sz="4" w:space="0" w:color="000000"/>
            </w:tcBorders>
          </w:tcPr>
          <w:p>
            <w:pPr>
              <w:pStyle w:val="TableParagraph"/>
              <w:spacing w:line="240" w:lineRule="auto" w:before="34"/>
              <w:ind w:left="854" w:right="0"/>
              <w:jc w:val="left"/>
              <w:rPr>
                <w:rFonts w:ascii="宋体" w:hAnsi="宋体" w:cs="宋体" w:eastAsia="宋体" w:hint="default"/>
                <w:sz w:val="18"/>
                <w:szCs w:val="18"/>
              </w:rPr>
            </w:pPr>
            <w:r>
              <w:rPr>
                <w:rFonts w:ascii="宋体"/>
                <w:spacing w:val="-2"/>
                <w:sz w:val="18"/>
              </w:rPr>
              <w:t>118,267,038.54</w:t>
            </w:r>
          </w:p>
        </w:tc>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4" w:right="0"/>
              <w:jc w:val="left"/>
              <w:rPr>
                <w:rFonts w:ascii="宋体" w:hAnsi="宋体" w:cs="宋体" w:eastAsia="宋体" w:hint="default"/>
                <w:sz w:val="18"/>
                <w:szCs w:val="18"/>
              </w:rPr>
            </w:pPr>
            <w:r>
              <w:rPr>
                <w:rFonts w:ascii="宋体" w:hAnsi="宋体" w:cs="宋体" w:eastAsia="宋体" w:hint="default"/>
                <w:spacing w:val="-3"/>
                <w:sz w:val="18"/>
                <w:szCs w:val="18"/>
              </w:rPr>
              <w:t>交易性金融资产</w:t>
            </w:r>
          </w:p>
        </w:tc>
        <w:tc>
          <w:tcPr>
            <w:tcW w:w="2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
              <w:jc w:val="right"/>
              <w:rPr>
                <w:rFonts w:ascii="宋体" w:hAnsi="宋体" w:cs="宋体" w:eastAsia="宋体" w:hint="default"/>
                <w:sz w:val="18"/>
                <w:szCs w:val="18"/>
              </w:rPr>
            </w:pPr>
            <w:r>
              <w:rPr>
                <w:rFonts w:ascii="宋体"/>
                <w:spacing w:val="-2"/>
                <w:sz w:val="18"/>
              </w:rPr>
              <w:t>101,606,000.00</w:t>
            </w:r>
          </w:p>
        </w:tc>
      </w:tr>
      <w:tr>
        <w:trPr>
          <w:trHeight w:val="341" w:hRule="exact"/>
        </w:trPr>
        <w:tc>
          <w:tcPr>
            <w:tcW w:w="2516" w:type="dxa"/>
            <w:vMerge/>
            <w:tcBorders>
              <w:left w:val="single" w:sz="4" w:space="0" w:color="000000"/>
              <w:bottom w:val="single" w:sz="4" w:space="0" w:color="000000"/>
              <w:right w:val="single" w:sz="4" w:space="0" w:color="000000"/>
            </w:tcBorders>
          </w:tcPr>
          <w:p>
            <w:pPr/>
          </w:p>
        </w:tc>
        <w:tc>
          <w:tcPr>
            <w:tcW w:w="2127" w:type="dxa"/>
            <w:vMerge/>
            <w:tcBorders>
              <w:left w:val="single" w:sz="4" w:space="0" w:color="000000"/>
              <w:bottom w:val="single" w:sz="4" w:space="0" w:color="000000"/>
              <w:right w:val="single" w:sz="4" w:space="0" w:color="000000"/>
            </w:tcBorders>
          </w:tcPr>
          <w:p>
            <w:pPr/>
          </w:p>
        </w:tc>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2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3"/>
              <w:jc w:val="right"/>
              <w:rPr>
                <w:rFonts w:ascii="宋体" w:hAnsi="宋体" w:cs="宋体" w:eastAsia="宋体" w:hint="default"/>
                <w:sz w:val="18"/>
                <w:szCs w:val="18"/>
              </w:rPr>
            </w:pPr>
            <w:r>
              <w:rPr>
                <w:rFonts w:ascii="宋体"/>
                <w:spacing w:val="-2"/>
                <w:sz w:val="18"/>
              </w:rPr>
              <w:t>16,661,038.54</w:t>
            </w:r>
          </w:p>
        </w:tc>
      </w:tr>
      <w:tr>
        <w:trPr>
          <w:trHeight w:val="346" w:hRule="exact"/>
        </w:trPr>
        <w:tc>
          <w:tcPr>
            <w:tcW w:w="2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54"/>
              <w:jc w:val="right"/>
              <w:rPr>
                <w:rFonts w:ascii="宋体" w:hAnsi="宋体" w:cs="宋体" w:eastAsia="宋体" w:hint="default"/>
                <w:sz w:val="18"/>
                <w:szCs w:val="18"/>
              </w:rPr>
            </w:pPr>
            <w:r>
              <w:rPr>
                <w:rFonts w:ascii="宋体" w:hAnsi="宋体" w:cs="宋体" w:eastAsia="宋体" w:hint="default"/>
                <w:spacing w:val="-2"/>
                <w:sz w:val="18"/>
                <w:szCs w:val="18"/>
              </w:rPr>
              <w:t>可供出售金融资产</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941" w:right="0"/>
              <w:jc w:val="left"/>
              <w:rPr>
                <w:rFonts w:ascii="宋体" w:hAnsi="宋体" w:cs="宋体" w:eastAsia="宋体" w:hint="default"/>
                <w:sz w:val="18"/>
                <w:szCs w:val="18"/>
              </w:rPr>
            </w:pPr>
            <w:r>
              <w:rPr>
                <w:rFonts w:ascii="宋体"/>
                <w:spacing w:val="-1"/>
                <w:sz w:val="18"/>
              </w:rPr>
              <w:t>10,000,000.00</w:t>
            </w:r>
          </w:p>
        </w:tc>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67" w:right="0"/>
              <w:jc w:val="left"/>
              <w:rPr>
                <w:rFonts w:ascii="宋体" w:hAnsi="宋体" w:cs="宋体" w:eastAsia="宋体" w:hint="default"/>
                <w:sz w:val="18"/>
                <w:szCs w:val="18"/>
              </w:rPr>
            </w:pPr>
            <w:r>
              <w:rPr>
                <w:rFonts w:ascii="宋体" w:hAnsi="宋体" w:cs="宋体" w:eastAsia="宋体" w:hint="default"/>
                <w:spacing w:val="-3"/>
                <w:sz w:val="18"/>
                <w:szCs w:val="18"/>
              </w:rPr>
              <w:t>其他非流动金融资产</w:t>
            </w:r>
          </w:p>
        </w:tc>
        <w:tc>
          <w:tcPr>
            <w:tcW w:w="2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spacing w:val="-1"/>
                <w:sz w:val="18"/>
              </w:rPr>
              <w:t>10,000,000.00</w:t>
            </w:r>
          </w:p>
        </w:tc>
      </w:tr>
    </w:tbl>
    <w:p>
      <w:pPr>
        <w:spacing w:line="240" w:lineRule="auto" w:before="2"/>
        <w:rPr>
          <w:rFonts w:ascii="宋体" w:hAnsi="宋体" w:cs="宋体" w:eastAsia="宋体" w:hint="default"/>
          <w:sz w:val="21"/>
          <w:szCs w:val="21"/>
        </w:rPr>
      </w:pPr>
    </w:p>
    <w:p>
      <w:pPr>
        <w:pStyle w:val="BodyText"/>
        <w:spacing w:line="240" w:lineRule="auto"/>
        <w:ind w:left="633" w:right="0"/>
        <w:jc w:val="left"/>
      </w:pPr>
      <w:r>
        <w:rPr>
          <w:spacing w:val="-3"/>
        </w:rPr>
        <w:t>②执行新财务报表格式会计政策变更，对可比期间的财务报表的项目与金额产生影响如下：</w:t>
      </w:r>
    </w:p>
    <w:p>
      <w:pPr>
        <w:spacing w:line="240" w:lineRule="auto" w:before="0"/>
        <w:rPr>
          <w:rFonts w:ascii="宋体" w:hAnsi="宋体" w:cs="宋体" w:eastAsia="宋体" w:hint="default"/>
          <w:sz w:val="5"/>
          <w:szCs w:val="5"/>
        </w:rPr>
      </w:pPr>
    </w:p>
    <w:tbl>
      <w:tblPr>
        <w:tblW w:w="0" w:type="auto"/>
        <w:jc w:val="left"/>
        <w:tblInd w:w="503" w:type="dxa"/>
        <w:tblLayout w:type="fixed"/>
        <w:tblCellMar>
          <w:top w:w="0" w:type="dxa"/>
          <w:left w:w="0" w:type="dxa"/>
          <w:bottom w:w="0" w:type="dxa"/>
          <w:right w:w="0" w:type="dxa"/>
        </w:tblCellMar>
        <w:tblLook w:val="01E0"/>
      </w:tblPr>
      <w:tblGrid>
        <w:gridCol w:w="2492"/>
        <w:gridCol w:w="2118"/>
        <w:gridCol w:w="2247"/>
        <w:gridCol w:w="2074"/>
      </w:tblGrid>
      <w:tr>
        <w:trPr>
          <w:trHeight w:val="341" w:hRule="exact"/>
        </w:trPr>
        <w:tc>
          <w:tcPr>
            <w:tcW w:w="4610"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left="1397" w:right="0"/>
              <w:jc w:val="left"/>
              <w:rPr>
                <w:rFonts w:ascii="宋体" w:hAnsi="宋体" w:cs="宋体" w:eastAsia="宋体" w:hint="default"/>
                <w:sz w:val="18"/>
                <w:szCs w:val="18"/>
              </w:rPr>
            </w:pPr>
            <w:r>
              <w:rPr>
                <w:rFonts w:ascii="宋体" w:hAnsi="宋体" w:cs="宋体" w:eastAsia="宋体" w:hint="default"/>
                <w:b/>
                <w:bCs/>
                <w:sz w:val="18"/>
                <w:szCs w:val="18"/>
              </w:rPr>
              <w:t>原列报报表项目及金额</w:t>
            </w:r>
            <w:r>
              <w:rPr>
                <w:rFonts w:ascii="宋体" w:hAnsi="宋体" w:cs="宋体" w:eastAsia="宋体" w:hint="default"/>
                <w:sz w:val="18"/>
                <w:szCs w:val="18"/>
              </w:rPr>
            </w:r>
          </w:p>
        </w:tc>
        <w:tc>
          <w:tcPr>
            <w:tcW w:w="4321"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left="1253" w:right="0"/>
              <w:jc w:val="left"/>
              <w:rPr>
                <w:rFonts w:ascii="宋体" w:hAnsi="宋体" w:cs="宋体" w:eastAsia="宋体" w:hint="default"/>
                <w:sz w:val="18"/>
                <w:szCs w:val="18"/>
              </w:rPr>
            </w:pPr>
            <w:r>
              <w:rPr>
                <w:rFonts w:ascii="宋体" w:hAnsi="宋体" w:cs="宋体" w:eastAsia="宋体" w:hint="default"/>
                <w:b/>
                <w:bCs/>
                <w:sz w:val="18"/>
                <w:szCs w:val="18"/>
              </w:rPr>
              <w:t>新列报报表项目及金额</w:t>
            </w:r>
            <w:r>
              <w:rPr>
                <w:rFonts w:ascii="宋体" w:hAnsi="宋体" w:cs="宋体" w:eastAsia="宋体" w:hint="default"/>
                <w:sz w:val="18"/>
                <w:szCs w:val="18"/>
              </w:rPr>
            </w:r>
          </w:p>
        </w:tc>
      </w:tr>
      <w:tr>
        <w:trPr>
          <w:trHeight w:val="341" w:hRule="exact"/>
        </w:trPr>
        <w:tc>
          <w:tcPr>
            <w:tcW w:w="2492" w:type="dxa"/>
            <w:vMerge w:val="restart"/>
            <w:tcBorders>
              <w:top w:val="single" w:sz="4" w:space="0" w:color="000000"/>
              <w:left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pacing w:val="-3"/>
                <w:sz w:val="18"/>
                <w:szCs w:val="18"/>
              </w:rPr>
              <w:t>应收票据及应收账款</w:t>
            </w:r>
          </w:p>
        </w:tc>
        <w:tc>
          <w:tcPr>
            <w:tcW w:w="2118" w:type="dxa"/>
            <w:vMerge w:val="restart"/>
            <w:tcBorders>
              <w:top w:val="single" w:sz="4" w:space="0" w:color="000000"/>
              <w:left w:val="single" w:sz="4" w:space="0" w:color="000000"/>
              <w:right w:val="single" w:sz="4" w:space="0" w:color="000000"/>
            </w:tcBorders>
          </w:tcPr>
          <w:p>
            <w:pPr>
              <w:pStyle w:val="TableParagraph"/>
              <w:spacing w:line="240" w:lineRule="auto" w:before="20"/>
              <w:ind w:left="759" w:right="0"/>
              <w:jc w:val="left"/>
              <w:rPr>
                <w:rFonts w:ascii="宋体" w:hAnsi="宋体" w:cs="宋体" w:eastAsia="宋体" w:hint="default"/>
                <w:sz w:val="18"/>
                <w:szCs w:val="18"/>
              </w:rPr>
            </w:pPr>
            <w:r>
              <w:rPr>
                <w:rFonts w:ascii="宋体"/>
                <w:sz w:val="18"/>
              </w:rPr>
              <w:t>869,801,744.37</w:t>
            </w:r>
          </w:p>
        </w:tc>
        <w:tc>
          <w:tcPr>
            <w:tcW w:w="22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2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5"/>
              <w:jc w:val="right"/>
              <w:rPr>
                <w:rFonts w:ascii="宋体" w:hAnsi="宋体" w:cs="宋体" w:eastAsia="宋体" w:hint="default"/>
                <w:sz w:val="18"/>
                <w:szCs w:val="18"/>
              </w:rPr>
            </w:pPr>
            <w:r>
              <w:rPr>
                <w:rFonts w:ascii="宋体"/>
                <w:w w:val="101"/>
                <w:sz w:val="18"/>
              </w:rPr>
              <w:t>-</w:t>
            </w:r>
            <w:r>
              <w:rPr>
                <w:rFonts w:ascii="宋体"/>
                <w:sz w:val="18"/>
              </w:rPr>
            </w:r>
          </w:p>
        </w:tc>
      </w:tr>
      <w:tr>
        <w:trPr>
          <w:trHeight w:val="341" w:hRule="exact"/>
        </w:trPr>
        <w:tc>
          <w:tcPr>
            <w:tcW w:w="2492" w:type="dxa"/>
            <w:vMerge/>
            <w:tcBorders>
              <w:left w:val="single" w:sz="4" w:space="0" w:color="000000"/>
              <w:bottom w:val="single" w:sz="4" w:space="0" w:color="000000"/>
              <w:right w:val="single" w:sz="4" w:space="0" w:color="000000"/>
            </w:tcBorders>
          </w:tcPr>
          <w:p>
            <w:pPr/>
          </w:p>
        </w:tc>
        <w:tc>
          <w:tcPr>
            <w:tcW w:w="2118" w:type="dxa"/>
            <w:vMerge/>
            <w:tcBorders>
              <w:left w:val="single" w:sz="4" w:space="0" w:color="000000"/>
              <w:bottom w:val="single" w:sz="4" w:space="0" w:color="000000"/>
              <w:right w:val="single" w:sz="4" w:space="0" w:color="000000"/>
            </w:tcBorders>
          </w:tcPr>
          <w:p>
            <w:pPr/>
          </w:p>
        </w:tc>
        <w:tc>
          <w:tcPr>
            <w:tcW w:w="22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89"/>
              <w:jc w:val="right"/>
              <w:rPr>
                <w:rFonts w:ascii="宋体" w:hAnsi="宋体" w:cs="宋体" w:eastAsia="宋体" w:hint="default"/>
                <w:sz w:val="18"/>
                <w:szCs w:val="18"/>
              </w:rPr>
            </w:pPr>
            <w:r>
              <w:rPr>
                <w:rFonts w:ascii="宋体"/>
                <w:spacing w:val="-2"/>
                <w:sz w:val="18"/>
              </w:rPr>
              <w:t>869,801,744.37</w:t>
            </w:r>
          </w:p>
        </w:tc>
      </w:tr>
      <w:tr>
        <w:trPr>
          <w:trHeight w:val="346" w:hRule="exact"/>
        </w:trPr>
        <w:tc>
          <w:tcPr>
            <w:tcW w:w="2492" w:type="dxa"/>
            <w:vMerge w:val="restart"/>
            <w:tcBorders>
              <w:top w:val="single" w:sz="4" w:space="0" w:color="000000"/>
              <w:left w:val="single" w:sz="4" w:space="0" w:color="000000"/>
              <w:right w:val="single" w:sz="4" w:space="0" w:color="000000"/>
            </w:tcBorders>
          </w:tcPr>
          <w:p>
            <w:pPr>
              <w:pStyle w:val="TableParagraph"/>
              <w:spacing w:line="240" w:lineRule="auto" w:before="25"/>
              <w:ind w:left="4" w:right="0"/>
              <w:jc w:val="left"/>
              <w:rPr>
                <w:rFonts w:ascii="宋体" w:hAnsi="宋体" w:cs="宋体" w:eastAsia="宋体" w:hint="default"/>
                <w:sz w:val="18"/>
                <w:szCs w:val="18"/>
              </w:rPr>
            </w:pPr>
            <w:r>
              <w:rPr>
                <w:rFonts w:ascii="宋体" w:hAnsi="宋体" w:cs="宋体" w:eastAsia="宋体" w:hint="default"/>
                <w:spacing w:val="-3"/>
                <w:sz w:val="18"/>
                <w:szCs w:val="18"/>
              </w:rPr>
              <w:t>应付票据及应付账款</w:t>
            </w:r>
          </w:p>
        </w:tc>
        <w:tc>
          <w:tcPr>
            <w:tcW w:w="2118" w:type="dxa"/>
            <w:vMerge w:val="restart"/>
            <w:tcBorders>
              <w:top w:val="single" w:sz="4" w:space="0" w:color="000000"/>
              <w:left w:val="single" w:sz="4" w:space="0" w:color="000000"/>
              <w:right w:val="single" w:sz="4" w:space="0" w:color="000000"/>
            </w:tcBorders>
          </w:tcPr>
          <w:p>
            <w:pPr>
              <w:pStyle w:val="TableParagraph"/>
              <w:spacing w:line="240" w:lineRule="auto" w:before="25"/>
              <w:ind w:left="759" w:right="0"/>
              <w:jc w:val="left"/>
              <w:rPr>
                <w:rFonts w:ascii="宋体" w:hAnsi="宋体" w:cs="宋体" w:eastAsia="宋体" w:hint="default"/>
                <w:sz w:val="18"/>
                <w:szCs w:val="18"/>
              </w:rPr>
            </w:pPr>
            <w:r>
              <w:rPr>
                <w:rFonts w:ascii="宋体"/>
                <w:sz w:val="18"/>
              </w:rPr>
              <w:t>626,534,420.36</w:t>
            </w:r>
          </w:p>
        </w:tc>
        <w:tc>
          <w:tcPr>
            <w:tcW w:w="22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4"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2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89"/>
              <w:jc w:val="right"/>
              <w:rPr>
                <w:rFonts w:ascii="宋体" w:hAnsi="宋体" w:cs="宋体" w:eastAsia="宋体" w:hint="default"/>
                <w:sz w:val="18"/>
                <w:szCs w:val="18"/>
              </w:rPr>
            </w:pPr>
            <w:r>
              <w:rPr>
                <w:rFonts w:ascii="宋体"/>
                <w:spacing w:val="-1"/>
                <w:sz w:val="18"/>
              </w:rPr>
              <w:t>30,590,360.43</w:t>
            </w:r>
          </w:p>
        </w:tc>
      </w:tr>
      <w:tr>
        <w:trPr>
          <w:trHeight w:val="341" w:hRule="exact"/>
        </w:trPr>
        <w:tc>
          <w:tcPr>
            <w:tcW w:w="2492" w:type="dxa"/>
            <w:vMerge/>
            <w:tcBorders>
              <w:left w:val="single" w:sz="4" w:space="0" w:color="000000"/>
              <w:bottom w:val="single" w:sz="4" w:space="0" w:color="000000"/>
              <w:right w:val="single" w:sz="4" w:space="0" w:color="000000"/>
            </w:tcBorders>
          </w:tcPr>
          <w:p>
            <w:pPr/>
          </w:p>
        </w:tc>
        <w:tc>
          <w:tcPr>
            <w:tcW w:w="2118" w:type="dxa"/>
            <w:vMerge/>
            <w:tcBorders>
              <w:left w:val="single" w:sz="4" w:space="0" w:color="000000"/>
              <w:bottom w:val="single" w:sz="4" w:space="0" w:color="000000"/>
              <w:right w:val="single" w:sz="4" w:space="0" w:color="000000"/>
            </w:tcBorders>
          </w:tcPr>
          <w:p>
            <w:pPr/>
          </w:p>
        </w:tc>
        <w:tc>
          <w:tcPr>
            <w:tcW w:w="22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89"/>
              <w:jc w:val="right"/>
              <w:rPr>
                <w:rFonts w:ascii="宋体" w:hAnsi="宋体" w:cs="宋体" w:eastAsia="宋体" w:hint="default"/>
                <w:sz w:val="18"/>
                <w:szCs w:val="18"/>
              </w:rPr>
            </w:pPr>
            <w:r>
              <w:rPr>
                <w:rFonts w:ascii="宋体"/>
                <w:spacing w:val="-2"/>
                <w:sz w:val="18"/>
              </w:rPr>
              <w:t>595,944,059.93</w:t>
            </w:r>
          </w:p>
        </w:tc>
      </w:tr>
    </w:tbl>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1"/>
          <w:szCs w:val="21"/>
        </w:rPr>
      </w:pPr>
    </w:p>
    <w:p>
      <w:pPr>
        <w:pStyle w:val="Heading2"/>
        <w:spacing w:line="240" w:lineRule="auto" w:before="26"/>
        <w:ind w:right="0"/>
        <w:jc w:val="left"/>
        <w:rPr>
          <w:b w:val="0"/>
          <w:bCs w:val="0"/>
        </w:rPr>
      </w:pPr>
      <w:bookmarkStart w:name="七、报告期内发生重大会计差错更正需追溯重述的情况说明" w:id="72"/>
      <w:bookmarkEnd w:id="72"/>
      <w:r>
        <w:rPr>
          <w:b w:val="0"/>
          <w:bCs w:val="0"/>
        </w:rPr>
      </w:r>
      <w:r>
        <w:rPr/>
        <w:t>七、报告期内发生重大会计差错更正需追溯重述的情况说明</w:t>
      </w:r>
      <w:r>
        <w:rPr>
          <w:b w:val="0"/>
          <w:bCs w:val="0"/>
        </w:rPr>
      </w:r>
    </w:p>
    <w:p>
      <w:pPr>
        <w:spacing w:line="240" w:lineRule="auto" w:before="3"/>
        <w:rPr>
          <w:rFonts w:ascii="宋体" w:hAnsi="宋体" w:cs="宋体" w:eastAsia="宋体" w:hint="default"/>
          <w:b/>
          <w:bCs/>
          <w:sz w:val="27"/>
          <w:szCs w:val="27"/>
        </w:rPr>
      </w:pPr>
    </w:p>
    <w:p>
      <w:pPr>
        <w:pStyle w:val="BodyText"/>
        <w:spacing w:line="362" w:lineRule="auto" w:before="0"/>
        <w:ind w:right="6445"/>
        <w:jc w:val="left"/>
      </w:pPr>
      <w:r>
        <w:rPr/>
        <w:t>□ </w:t>
      </w:r>
      <w:r>
        <w:rPr>
          <w:spacing w:val="-3"/>
        </w:rPr>
        <w:t>适用 </w:t>
      </w:r>
      <w:r>
        <w:rPr/>
        <w:t>√ 不适用</w:t>
      </w:r>
      <w:r>
        <w:rPr>
          <w:spacing w:val="-77"/>
        </w:rPr>
        <w:t> </w:t>
      </w:r>
      <w:r>
        <w:rPr>
          <w:spacing w:val="-77"/>
        </w:rPr>
      </w:r>
      <w:r>
        <w:rPr>
          <w:spacing w:val="-3"/>
        </w:rPr>
        <w:t>公司报告期无重大会计差错更正需追溯重述的情况。</w:t>
      </w:r>
    </w:p>
    <w:p>
      <w:pPr>
        <w:spacing w:after="0" w:line="362" w:lineRule="auto"/>
        <w:jc w:val="left"/>
        <w:sectPr>
          <w:pgSz w:w="11910" w:h="16840"/>
          <w:pgMar w:header="784" w:footer="1022" w:top="1100" w:bottom="1220" w:left="980" w:right="0"/>
        </w:sectPr>
      </w:pPr>
    </w:p>
    <w:p>
      <w:pPr>
        <w:spacing w:line="240" w:lineRule="auto" w:before="1"/>
        <w:rPr>
          <w:rFonts w:ascii="宋体" w:hAnsi="宋体" w:cs="宋体" w:eastAsia="宋体" w:hint="default"/>
          <w:sz w:val="20"/>
          <w:szCs w:val="20"/>
        </w:rPr>
      </w:pPr>
    </w:p>
    <w:p>
      <w:pPr>
        <w:pStyle w:val="Heading2"/>
        <w:spacing w:line="240" w:lineRule="auto" w:before="26"/>
        <w:ind w:right="0"/>
        <w:jc w:val="left"/>
        <w:rPr>
          <w:b w:val="0"/>
          <w:bCs w:val="0"/>
        </w:rPr>
      </w:pPr>
      <w:bookmarkStart w:name="八、与上年度财务报告相比，合并报表范围发生变化的情况说明" w:id="73"/>
      <w:bookmarkEnd w:id="73"/>
      <w:r>
        <w:rPr>
          <w:b w:val="0"/>
          <w:bCs w:val="0"/>
        </w:rPr>
      </w:r>
      <w:r>
        <w:rPr/>
        <w:t>八、与上年度财务报告相比，合并报表范围发生变化的情况说明</w:t>
      </w:r>
      <w:r>
        <w:rPr>
          <w:b w:val="0"/>
          <w:bCs w:val="0"/>
        </w:rPr>
      </w:r>
    </w:p>
    <w:p>
      <w:pPr>
        <w:spacing w:line="240" w:lineRule="auto" w:before="7"/>
        <w:rPr>
          <w:rFonts w:ascii="宋体" w:hAnsi="宋体" w:cs="宋体" w:eastAsia="宋体" w:hint="default"/>
          <w:b/>
          <w:bCs/>
          <w:sz w:val="27"/>
          <w:szCs w:val="27"/>
        </w:rPr>
      </w:pPr>
    </w:p>
    <w:p>
      <w:pPr>
        <w:pStyle w:val="BodyText"/>
        <w:spacing w:line="357" w:lineRule="auto" w:before="0"/>
        <w:ind w:right="6445"/>
        <w:jc w:val="left"/>
      </w:pPr>
      <w:r>
        <w:rPr/>
        <w:t>□ </w:t>
      </w:r>
      <w:r>
        <w:rPr>
          <w:spacing w:val="-3"/>
        </w:rPr>
        <w:t>适用 </w:t>
      </w:r>
      <w:r>
        <w:rPr/>
        <w:t>√ 不适用</w:t>
      </w:r>
      <w:r>
        <w:rPr>
          <w:spacing w:val="-77"/>
        </w:rPr>
        <w:t> </w:t>
      </w:r>
      <w:r>
        <w:rPr>
          <w:spacing w:val="-77"/>
        </w:rPr>
      </w:r>
      <w:r>
        <w:rPr>
          <w:spacing w:val="-3"/>
        </w:rPr>
        <w:t>公司报告期无合并报表范围发生变化的情况。</w:t>
      </w:r>
    </w:p>
    <w:p>
      <w:pPr>
        <w:spacing w:line="240" w:lineRule="auto" w:before="3"/>
        <w:rPr>
          <w:rFonts w:ascii="宋体" w:hAnsi="宋体" w:cs="宋体" w:eastAsia="宋体" w:hint="default"/>
          <w:sz w:val="17"/>
          <w:szCs w:val="17"/>
        </w:rPr>
      </w:pPr>
    </w:p>
    <w:p>
      <w:pPr>
        <w:pStyle w:val="Heading2"/>
        <w:spacing w:line="240" w:lineRule="auto"/>
        <w:ind w:right="0"/>
        <w:jc w:val="left"/>
        <w:rPr>
          <w:b w:val="0"/>
          <w:bCs w:val="0"/>
        </w:rPr>
      </w:pPr>
      <w:bookmarkStart w:name="九、聘任、解聘会计师事务所情况" w:id="74"/>
      <w:bookmarkEnd w:id="74"/>
      <w:r>
        <w:rPr>
          <w:b w:val="0"/>
          <w:bCs w:val="0"/>
        </w:rPr>
      </w:r>
      <w:r>
        <w:rPr/>
        <w:t>九、聘任、解聘会计师事务所情况</w:t>
      </w:r>
      <w:r>
        <w:rPr>
          <w:b w:val="0"/>
          <w:bCs w:val="0"/>
        </w:rPr>
      </w:r>
    </w:p>
    <w:p>
      <w:pPr>
        <w:spacing w:line="240" w:lineRule="auto" w:before="7"/>
        <w:rPr>
          <w:rFonts w:ascii="宋体" w:hAnsi="宋体" w:cs="宋体" w:eastAsia="宋体" w:hint="default"/>
          <w:b/>
          <w:bCs/>
          <w:sz w:val="27"/>
          <w:szCs w:val="27"/>
        </w:rPr>
      </w:pPr>
    </w:p>
    <w:p>
      <w:pPr>
        <w:pStyle w:val="BodyText"/>
        <w:spacing w:line="240" w:lineRule="auto" w:before="0"/>
        <w:ind w:right="0"/>
        <w:jc w:val="left"/>
      </w:pPr>
      <w:r>
        <w:rPr/>
        <w:t>现聘任的会计师事务所</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4792"/>
        <w:gridCol w:w="4777"/>
      </w:tblGrid>
      <w:tr>
        <w:trPr>
          <w:trHeight w:val="401" w:hRule="exact"/>
        </w:trPr>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境内会计师事务所名称</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pacing w:val="-3"/>
                <w:sz w:val="18"/>
                <w:szCs w:val="18"/>
              </w:rPr>
              <w:t>中喜会计师事务所（特殊普通合伙）</w:t>
            </w:r>
          </w:p>
        </w:tc>
      </w:tr>
      <w:tr>
        <w:trPr>
          <w:trHeight w:val="401" w:hRule="exact"/>
        </w:trPr>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105" w:right="0"/>
              <w:jc w:val="left"/>
              <w:rPr>
                <w:rFonts w:ascii="宋体" w:hAnsi="宋体" w:cs="宋体" w:eastAsia="宋体" w:hint="default"/>
                <w:sz w:val="18"/>
                <w:szCs w:val="18"/>
              </w:rPr>
            </w:pPr>
            <w:r>
              <w:rPr>
                <w:rFonts w:ascii="宋体" w:hAnsi="宋体" w:cs="宋体" w:eastAsia="宋体" w:hint="default"/>
                <w:spacing w:val="-3"/>
                <w:sz w:val="18"/>
                <w:szCs w:val="18"/>
              </w:rPr>
              <w:t>境内会计师事务所报酬（万元）</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95"/>
              <w:jc w:val="right"/>
              <w:rPr>
                <w:rFonts w:ascii="Times New Roman" w:hAnsi="Times New Roman" w:cs="Times New Roman" w:eastAsia="Times New Roman" w:hint="default"/>
                <w:sz w:val="18"/>
                <w:szCs w:val="18"/>
              </w:rPr>
            </w:pPr>
            <w:r>
              <w:rPr>
                <w:rFonts w:ascii="Times New Roman"/>
                <w:spacing w:val="-1"/>
                <w:sz w:val="18"/>
              </w:rPr>
              <w:t>71.50</w:t>
            </w:r>
          </w:p>
        </w:tc>
      </w:tr>
      <w:tr>
        <w:trPr>
          <w:trHeight w:val="403" w:hRule="exact"/>
        </w:trPr>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境内会计师事务所审计服务的连续年限</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w w:val="101"/>
                <w:sz w:val="18"/>
              </w:rPr>
              <w:t>1</w:t>
            </w:r>
            <w:r>
              <w:rPr>
                <w:rFonts w:ascii="Times New Roman"/>
                <w:sz w:val="18"/>
              </w:rPr>
            </w:r>
          </w:p>
        </w:tc>
      </w:tr>
      <w:tr>
        <w:trPr>
          <w:trHeight w:val="403" w:hRule="exact"/>
        </w:trPr>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境内会计师事务所注册会计师姓名</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3"/>
              <w:jc w:val="right"/>
              <w:rPr>
                <w:rFonts w:ascii="宋体" w:hAnsi="宋体" w:cs="宋体" w:eastAsia="宋体" w:hint="default"/>
                <w:sz w:val="18"/>
                <w:szCs w:val="18"/>
              </w:rPr>
            </w:pPr>
            <w:r>
              <w:rPr>
                <w:rFonts w:ascii="宋体" w:hAnsi="宋体" w:cs="宋体" w:eastAsia="宋体" w:hint="default"/>
                <w:sz w:val="18"/>
                <w:szCs w:val="18"/>
              </w:rPr>
              <w:t>谢翠</w:t>
            </w:r>
            <w:r>
              <w:rPr>
                <w:rFonts w:ascii="宋体" w:hAnsi="宋体" w:cs="宋体" w:eastAsia="宋体" w:hint="default"/>
                <w:spacing w:val="3"/>
                <w:sz w:val="18"/>
                <w:szCs w:val="18"/>
              </w:rPr>
              <w:t> </w:t>
            </w:r>
            <w:r>
              <w:rPr>
                <w:rFonts w:ascii="宋体" w:hAnsi="宋体" w:cs="宋体" w:eastAsia="宋体" w:hint="default"/>
                <w:sz w:val="18"/>
                <w:szCs w:val="18"/>
              </w:rPr>
              <w:t>、张丽</w:t>
            </w:r>
          </w:p>
        </w:tc>
      </w:tr>
      <w:tr>
        <w:trPr>
          <w:trHeight w:val="401" w:hRule="exact"/>
        </w:trPr>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境内会计师事务所注册会计师审计服务的连续年限</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5"/>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4</w:t>
            </w:r>
          </w:p>
        </w:tc>
      </w:tr>
      <w:tr>
        <w:trPr>
          <w:trHeight w:val="401" w:hRule="exact"/>
        </w:trPr>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105" w:right="0"/>
              <w:jc w:val="left"/>
              <w:rPr>
                <w:rFonts w:ascii="宋体" w:hAnsi="宋体" w:cs="宋体" w:eastAsia="宋体" w:hint="default"/>
                <w:sz w:val="18"/>
                <w:szCs w:val="18"/>
              </w:rPr>
            </w:pPr>
            <w:r>
              <w:rPr>
                <w:rFonts w:ascii="宋体" w:hAnsi="宋体" w:cs="宋体" w:eastAsia="宋体" w:hint="default"/>
                <w:spacing w:val="-3"/>
                <w:sz w:val="18"/>
                <w:szCs w:val="18"/>
              </w:rPr>
              <w:t>境外会计师事务所名称（如有）</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95"/>
              <w:jc w:val="right"/>
              <w:rPr>
                <w:rFonts w:ascii="宋体" w:hAnsi="宋体" w:cs="宋体" w:eastAsia="宋体" w:hint="default"/>
                <w:sz w:val="18"/>
                <w:szCs w:val="18"/>
              </w:rPr>
            </w:pPr>
            <w:r>
              <w:rPr>
                <w:rFonts w:ascii="宋体" w:hAnsi="宋体" w:cs="宋体" w:eastAsia="宋体" w:hint="default"/>
                <w:w w:val="101"/>
                <w:sz w:val="18"/>
                <w:szCs w:val="18"/>
              </w:rPr>
              <w:t>无</w:t>
            </w:r>
            <w:r>
              <w:rPr>
                <w:rFonts w:ascii="宋体" w:hAnsi="宋体" w:cs="宋体" w:eastAsia="宋体" w:hint="default"/>
                <w:sz w:val="18"/>
                <w:szCs w:val="18"/>
              </w:rPr>
            </w:r>
          </w:p>
        </w:tc>
      </w:tr>
    </w:tbl>
    <w:p>
      <w:pPr>
        <w:pStyle w:val="BodyText"/>
        <w:spacing w:line="240" w:lineRule="auto" w:before="53"/>
        <w:ind w:right="0"/>
        <w:jc w:val="left"/>
      </w:pPr>
      <w:r>
        <w:rPr>
          <w:spacing w:val="-3"/>
        </w:rPr>
        <w:t>当期是否改聘会计师事务所</w:t>
      </w:r>
    </w:p>
    <w:p>
      <w:pPr>
        <w:pStyle w:val="BodyText"/>
        <w:spacing w:line="357" w:lineRule="auto" w:before="119"/>
        <w:ind w:right="7667"/>
        <w:jc w:val="left"/>
      </w:pPr>
      <w:r>
        <w:rPr/>
        <w:t>√</w:t>
      </w:r>
      <w:r>
        <w:rPr>
          <w:spacing w:val="1"/>
        </w:rPr>
        <w:t> </w:t>
      </w:r>
      <w:r>
        <w:rPr/>
        <w:t>是</w:t>
      </w:r>
      <w:r>
        <w:rPr>
          <w:spacing w:val="-4"/>
        </w:rPr>
        <w:t> </w:t>
      </w:r>
      <w:r>
        <w:rPr/>
        <w:t>□</w:t>
      </w:r>
      <w:r>
        <w:rPr>
          <w:spacing w:val="-4"/>
        </w:rPr>
        <w:t> </w:t>
      </w:r>
      <w:r>
        <w:rPr/>
        <w:t>否</w:t>
      </w:r>
      <w:r>
        <w:rPr>
          <w:spacing w:val="-82"/>
        </w:rPr>
        <w:t> </w:t>
      </w:r>
      <w:r>
        <w:rPr>
          <w:spacing w:val="-82"/>
        </w:rPr>
      </w:r>
      <w:r>
        <w:rPr>
          <w:spacing w:val="-3"/>
        </w:rPr>
        <w:t>是否在审计期间改聘会计师事务所</w:t>
      </w:r>
    </w:p>
    <w:p>
      <w:pPr>
        <w:pStyle w:val="BodyText"/>
        <w:spacing w:line="357" w:lineRule="auto" w:before="32"/>
        <w:ind w:right="7667"/>
        <w:jc w:val="left"/>
      </w:pPr>
      <w:r>
        <w:rPr/>
        <w:t>□</w:t>
      </w:r>
      <w:r>
        <w:rPr>
          <w:spacing w:val="1"/>
        </w:rPr>
        <w:t> </w:t>
      </w:r>
      <w:r>
        <w:rPr/>
        <w:t>是</w:t>
      </w:r>
      <w:r>
        <w:rPr>
          <w:spacing w:val="-4"/>
        </w:rPr>
        <w:t> </w:t>
      </w:r>
      <w:r>
        <w:rPr/>
        <w:t>√</w:t>
      </w:r>
      <w:r>
        <w:rPr>
          <w:spacing w:val="-4"/>
        </w:rPr>
        <w:t> </w:t>
      </w:r>
      <w:r>
        <w:rPr/>
        <w:t>否</w:t>
      </w:r>
      <w:r>
        <w:rPr>
          <w:spacing w:val="-82"/>
        </w:rPr>
        <w:t> </w:t>
      </w:r>
      <w:r>
        <w:rPr>
          <w:spacing w:val="-82"/>
        </w:rPr>
      </w:r>
      <w:r>
        <w:rPr>
          <w:spacing w:val="-3"/>
        </w:rPr>
        <w:t>更换会计师事务所是否履行审批程序</w:t>
      </w:r>
    </w:p>
    <w:p>
      <w:pPr>
        <w:pStyle w:val="BodyText"/>
        <w:spacing w:line="362" w:lineRule="auto" w:before="26"/>
        <w:ind w:right="6445"/>
        <w:jc w:val="left"/>
      </w:pPr>
      <w:r>
        <w:rPr/>
        <w:t>√</w:t>
      </w:r>
      <w:r>
        <w:rPr>
          <w:spacing w:val="1"/>
        </w:rPr>
        <w:t> </w:t>
      </w:r>
      <w:r>
        <w:rPr/>
        <w:t>是</w:t>
      </w:r>
      <w:r>
        <w:rPr>
          <w:spacing w:val="-4"/>
        </w:rPr>
        <w:t> </w:t>
      </w:r>
      <w:r>
        <w:rPr/>
        <w:t>□</w:t>
      </w:r>
      <w:r>
        <w:rPr>
          <w:spacing w:val="-4"/>
        </w:rPr>
        <w:t> </w:t>
      </w:r>
      <w:r>
        <w:rPr/>
        <w:t>否</w:t>
      </w:r>
      <w:r>
        <w:rPr>
          <w:spacing w:val="-82"/>
        </w:rPr>
        <w:t> </w:t>
      </w:r>
      <w:r>
        <w:rPr>
          <w:spacing w:val="-82"/>
        </w:rPr>
      </w:r>
      <w:r>
        <w:rPr>
          <w:spacing w:val="-3"/>
        </w:rPr>
        <w:t>对改聘、变更会计师事务所情况的详细说明</w:t>
      </w:r>
    </w:p>
    <w:p>
      <w:pPr>
        <w:pStyle w:val="BodyText"/>
        <w:spacing w:line="319" w:lineRule="auto" w:before="18"/>
        <w:ind w:right="0" w:firstLine="360"/>
        <w:jc w:val="left"/>
      </w:pPr>
      <w:r>
        <w:rPr>
          <w:spacing w:val="-3"/>
        </w:rPr>
        <w:t>公司于</w:t>
      </w:r>
      <w:r>
        <w:rPr>
          <w:rFonts w:ascii="宋体" w:hAnsi="宋体" w:cs="宋体" w:eastAsia="宋体" w:hint="default"/>
          <w:spacing w:val="-3"/>
        </w:rPr>
        <w:t>2019</w:t>
      </w:r>
      <w:r>
        <w:rPr>
          <w:spacing w:val="-3"/>
        </w:rPr>
        <w:t>年</w:t>
      </w:r>
      <w:r>
        <w:rPr>
          <w:rFonts w:ascii="宋体" w:hAnsi="宋体" w:cs="宋体" w:eastAsia="宋体" w:hint="default"/>
          <w:spacing w:val="-3"/>
        </w:rPr>
        <w:t>4</w:t>
      </w:r>
      <w:r>
        <w:rPr>
          <w:spacing w:val="-3"/>
        </w:rPr>
        <w:t>月</w:t>
      </w:r>
      <w:r>
        <w:rPr>
          <w:rFonts w:ascii="宋体" w:hAnsi="宋体" w:cs="宋体" w:eastAsia="宋体" w:hint="default"/>
          <w:spacing w:val="-3"/>
        </w:rPr>
        <w:t>23</w:t>
      </w:r>
      <w:r>
        <w:rPr>
          <w:spacing w:val="-3"/>
        </w:rPr>
        <w:t>日召开</w:t>
      </w:r>
      <w:r>
        <w:rPr>
          <w:rFonts w:ascii="宋体" w:hAnsi="宋体" w:cs="宋体" w:eastAsia="宋体" w:hint="default"/>
          <w:spacing w:val="-3"/>
        </w:rPr>
        <w:t>2018</w:t>
      </w:r>
      <w:r>
        <w:rPr>
          <w:spacing w:val="-3"/>
        </w:rPr>
        <w:t>年度股东大会，审议通过了《关于公司续聘会计师事务所的议案》，同意续聘瑞华会计</w:t>
      </w:r>
      <w:r>
        <w:rPr>
          <w:w w:val="101"/>
        </w:rPr>
        <w:t> </w:t>
      </w:r>
      <w:r>
        <w:rPr>
          <w:spacing w:val="-3"/>
        </w:rPr>
        <w:t>师事务所（特殊普通合伙）（以下简称“瑞华会计师事务所”）为公司</w:t>
      </w:r>
      <w:r>
        <w:rPr>
          <w:rFonts w:ascii="宋体" w:hAnsi="宋体" w:cs="宋体" w:eastAsia="宋体" w:hint="default"/>
          <w:spacing w:val="-3"/>
        </w:rPr>
        <w:t>2019</w:t>
      </w:r>
      <w:r>
        <w:rPr>
          <w:spacing w:val="-3"/>
        </w:rPr>
        <w:t>年度审计机构。根据公司未来发展规划的需要，</w:t>
      </w:r>
      <w:r>
        <w:rPr>
          <w:spacing w:val="71"/>
        </w:rPr>
        <w:t> </w:t>
      </w:r>
      <w:r>
        <w:rPr>
          <w:spacing w:val="71"/>
        </w:rPr>
      </w:r>
      <w:r>
        <w:rPr>
          <w:spacing w:val="-4"/>
        </w:rPr>
        <w:t>经过审慎考虑，公司改聘中喜会计师事务所（特殊普通合伙）（以下简称“中喜会计师事务所”）担任公司</w:t>
      </w:r>
      <w:r>
        <w:rPr>
          <w:rFonts w:ascii="宋体" w:hAnsi="宋体" w:cs="宋体" w:eastAsia="宋体" w:hint="default"/>
          <w:spacing w:val="-4"/>
        </w:rPr>
        <w:t>2019</w:t>
      </w:r>
      <w:r>
        <w:rPr>
          <w:spacing w:val="-4"/>
        </w:rPr>
        <w:t>年度审计机</w:t>
      </w:r>
      <w:r>
        <w:rPr>
          <w:spacing w:val="47"/>
        </w:rPr>
        <w:t> </w:t>
      </w:r>
      <w:r>
        <w:rPr>
          <w:spacing w:val="47"/>
        </w:rPr>
      </w:r>
      <w:r>
        <w:rPr>
          <w:spacing w:val="-4"/>
        </w:rPr>
        <w:t>构，聘期一年。审议程序：公司提前与原审计机构瑞华会计师事务所就更换会计师事务所事宜进行了事前沟通，征得其理解</w:t>
      </w:r>
      <w:r>
        <w:rPr>
          <w:spacing w:val="40"/>
        </w:rPr>
        <w:t> </w:t>
      </w:r>
      <w:r>
        <w:rPr>
          <w:spacing w:val="40"/>
        </w:rPr>
      </w:r>
      <w:r>
        <w:rPr>
          <w:spacing w:val="-4"/>
        </w:rPr>
        <w:t>和支持。公司董事会审计委员会对中喜会计师事务所的业务资质与执业质量进行了充分了解，并对中喜会计师事务所的相关</w:t>
      </w:r>
      <w:r>
        <w:rPr>
          <w:spacing w:val="43"/>
        </w:rPr>
        <w:t> </w:t>
      </w:r>
      <w:r>
        <w:rPr>
          <w:spacing w:val="43"/>
        </w:rPr>
      </w:r>
      <w:r>
        <w:rPr>
          <w:spacing w:val="-4"/>
        </w:rPr>
        <w:t>资质进行了认真核查，结合公司业务发展需要和实际情况，认为中喜会计师事务所具备为上市公司服务的综合资质要求，能</w:t>
      </w:r>
      <w:r>
        <w:rPr>
          <w:spacing w:val="44"/>
        </w:rPr>
        <w:t> </w:t>
      </w:r>
      <w:r>
        <w:rPr>
          <w:spacing w:val="44"/>
        </w:rPr>
      </w:r>
      <w:r>
        <w:rPr>
          <w:spacing w:val="-4"/>
          <w:w w:val="101"/>
        </w:rPr>
        <w:t>够胜任公司年度审计工作。</w:t>
      </w:r>
      <w:r>
        <w:rPr>
          <w:rFonts w:ascii="宋体" w:hAnsi="宋体" w:cs="宋体" w:eastAsia="宋体" w:hint="default"/>
          <w:spacing w:val="-4"/>
          <w:w w:val="101"/>
        </w:rPr>
        <w:t>2019</w:t>
      </w:r>
      <w:r>
        <w:rPr>
          <w:spacing w:val="-4"/>
          <w:w w:val="101"/>
        </w:rPr>
        <w:t>年</w:t>
      </w:r>
      <w:r>
        <w:rPr>
          <w:rFonts w:ascii="宋体" w:hAnsi="宋体" w:cs="宋体" w:eastAsia="宋体" w:hint="default"/>
          <w:spacing w:val="-4"/>
          <w:w w:val="101"/>
        </w:rPr>
        <w:t>11</w:t>
      </w:r>
      <w:r>
        <w:rPr>
          <w:spacing w:val="-4"/>
          <w:w w:val="101"/>
        </w:rPr>
        <w:t>月</w:t>
      </w:r>
      <w:r>
        <w:rPr>
          <w:rFonts w:ascii="宋体" w:hAnsi="宋体" w:cs="宋体" w:eastAsia="宋体" w:hint="default"/>
          <w:spacing w:val="-4"/>
          <w:w w:val="101"/>
        </w:rPr>
        <w:t>29</w:t>
      </w:r>
      <w:r>
        <w:rPr>
          <w:spacing w:val="-4"/>
          <w:w w:val="101"/>
        </w:rPr>
        <w:t>日公司日召开的第四届董事会第十一次会议及第四届监事会第十次会议审议通过了</w:t>
      </w:r>
      <w:r>
        <w:rPr>
          <w:spacing w:val="-4"/>
        </w:rPr>
      </w:r>
    </w:p>
    <w:p>
      <w:pPr>
        <w:pStyle w:val="BodyText"/>
        <w:spacing w:line="316" w:lineRule="auto" w:before="17"/>
        <w:ind w:right="0"/>
        <w:jc w:val="left"/>
      </w:pPr>
      <w:r>
        <w:rPr>
          <w:spacing w:val="-6"/>
        </w:rPr>
        <w:t>《关于变更审计机构的议案》，同意公司解聘原</w:t>
      </w:r>
      <w:r>
        <w:rPr>
          <w:rFonts w:ascii="宋体" w:hAnsi="宋体" w:cs="宋体" w:eastAsia="宋体" w:hint="default"/>
          <w:spacing w:val="-6"/>
        </w:rPr>
        <w:t>2019</w:t>
      </w:r>
      <w:r>
        <w:rPr>
          <w:spacing w:val="-6"/>
        </w:rPr>
        <w:t>年度审计机构瑞华会计师事务所，并聘请中喜会计师事务所为公司 </w:t>
      </w:r>
      <w:r>
        <w:rPr>
          <w:rFonts w:ascii="宋体" w:hAnsi="宋体" w:cs="宋体" w:eastAsia="宋体" w:hint="default"/>
        </w:rPr>
        <w:t>2019</w:t>
      </w:r>
      <w:r>
        <w:rPr>
          <w:rFonts w:ascii="宋体" w:hAnsi="宋体" w:cs="宋体" w:eastAsia="宋体" w:hint="default"/>
          <w:spacing w:val="-23"/>
        </w:rPr>
        <w:t> </w:t>
      </w:r>
      <w:r>
        <w:rPr>
          <w:rFonts w:ascii="宋体" w:hAnsi="宋体" w:cs="宋体" w:eastAsia="宋体" w:hint="default"/>
          <w:spacing w:val="-23"/>
        </w:rPr>
      </w:r>
      <w:r>
        <w:rPr>
          <w:spacing w:val="-5"/>
        </w:rPr>
        <w:t>年度审计机构，聘期一年。</w:t>
      </w:r>
      <w:r>
        <w:rPr>
          <w:rFonts w:ascii="宋体" w:hAnsi="宋体" w:cs="宋体" w:eastAsia="宋体" w:hint="default"/>
          <w:spacing w:val="-5"/>
        </w:rPr>
        <w:t>2019</w:t>
      </w:r>
      <w:r>
        <w:rPr>
          <w:spacing w:val="-5"/>
        </w:rPr>
        <w:t>年</w:t>
      </w:r>
      <w:r>
        <w:rPr>
          <w:rFonts w:ascii="宋体" w:hAnsi="宋体" w:cs="宋体" w:eastAsia="宋体" w:hint="default"/>
          <w:spacing w:val="-5"/>
        </w:rPr>
        <w:t>12</w:t>
      </w:r>
      <w:r>
        <w:rPr>
          <w:spacing w:val="-5"/>
        </w:rPr>
        <w:t>月</w:t>
      </w:r>
      <w:r>
        <w:rPr>
          <w:rFonts w:ascii="宋体" w:hAnsi="宋体" w:cs="宋体" w:eastAsia="宋体" w:hint="default"/>
          <w:spacing w:val="-5"/>
        </w:rPr>
        <w:t>23</w:t>
      </w:r>
      <w:r>
        <w:rPr>
          <w:spacing w:val="-5"/>
        </w:rPr>
        <w:t>日公司召开</w:t>
      </w:r>
      <w:r>
        <w:rPr>
          <w:rFonts w:ascii="宋体" w:hAnsi="宋体" w:cs="宋体" w:eastAsia="宋体" w:hint="default"/>
          <w:spacing w:val="-5"/>
        </w:rPr>
        <w:t>2019</w:t>
      </w:r>
      <w:r>
        <w:rPr>
          <w:spacing w:val="-5"/>
        </w:rPr>
        <w:t>年度第三次临时股东大会，审议通过《关于变更审计机构的议案》。</w:t>
      </w:r>
    </w:p>
    <w:p>
      <w:pPr>
        <w:spacing w:line="240" w:lineRule="auto" w:before="0"/>
        <w:rPr>
          <w:rFonts w:ascii="宋体" w:hAnsi="宋体" w:cs="宋体" w:eastAsia="宋体" w:hint="default"/>
          <w:sz w:val="18"/>
          <w:szCs w:val="18"/>
        </w:rPr>
      </w:pPr>
    </w:p>
    <w:p>
      <w:pPr>
        <w:pStyle w:val="BodyText"/>
        <w:spacing w:line="240" w:lineRule="auto" w:before="138"/>
        <w:ind w:right="0"/>
        <w:jc w:val="left"/>
      </w:pPr>
      <w:r>
        <w:rPr>
          <w:spacing w:val="-3"/>
        </w:rPr>
        <w:t>聘请内部控制审计会计师事务所、财务顾问或保荐人情况</w:t>
      </w:r>
    </w:p>
    <w:p>
      <w:pPr>
        <w:pStyle w:val="BodyText"/>
        <w:spacing w:line="240" w:lineRule="auto" w:before="120"/>
        <w:ind w:right="0"/>
        <w:jc w:val="left"/>
      </w:pPr>
      <w:r>
        <w:rPr/>
        <w:t>□ </w:t>
      </w:r>
      <w:r>
        <w:rPr>
          <w:spacing w:val="-3"/>
        </w:rPr>
        <w:t>适用 </w:t>
      </w:r>
      <w:r>
        <w:rPr/>
        <w:t>√</w:t>
      </w:r>
      <w:r>
        <w:rPr>
          <w:spacing w:val="13"/>
        </w:rPr>
        <w:t> </w:t>
      </w:r>
      <w:r>
        <w:rPr/>
        <w:t>不适用</w:t>
      </w:r>
    </w:p>
    <w:p>
      <w:pPr>
        <w:spacing w:line="240" w:lineRule="auto" w:before="13"/>
        <w:rPr>
          <w:rFonts w:ascii="宋体" w:hAnsi="宋体" w:cs="宋体" w:eastAsia="宋体" w:hint="default"/>
          <w:sz w:val="23"/>
          <w:szCs w:val="23"/>
        </w:rPr>
      </w:pPr>
    </w:p>
    <w:p>
      <w:pPr>
        <w:pStyle w:val="Heading2"/>
        <w:spacing w:line="240" w:lineRule="auto"/>
        <w:ind w:right="0"/>
        <w:jc w:val="left"/>
        <w:rPr>
          <w:b w:val="0"/>
          <w:bCs w:val="0"/>
        </w:rPr>
      </w:pPr>
      <w:bookmarkStart w:name="十、年度报告披露后面临暂停上市和终止上市情况" w:id="75"/>
      <w:bookmarkEnd w:id="75"/>
      <w:r>
        <w:rPr>
          <w:b w:val="0"/>
          <w:bCs w:val="0"/>
        </w:rPr>
      </w:r>
      <w:r>
        <w:rPr/>
        <w:t>十、年度报告披露后面临暂停上市和终止上市情况</w:t>
      </w:r>
      <w:r>
        <w:rPr>
          <w:b w:val="0"/>
          <w:bCs w:val="0"/>
        </w:rPr>
      </w:r>
    </w:p>
    <w:p>
      <w:pPr>
        <w:spacing w:line="240" w:lineRule="auto" w:before="7"/>
        <w:rPr>
          <w:rFonts w:ascii="宋体" w:hAnsi="宋体" w:cs="宋体" w:eastAsia="宋体" w:hint="default"/>
          <w:b/>
          <w:bCs/>
          <w:sz w:val="27"/>
          <w:szCs w:val="27"/>
        </w:rPr>
      </w:pPr>
    </w:p>
    <w:p>
      <w:pPr>
        <w:pStyle w:val="BodyText"/>
        <w:spacing w:line="240" w:lineRule="auto" w:before="0"/>
        <w:ind w:right="0"/>
        <w:jc w:val="left"/>
      </w:pPr>
      <w:r>
        <w:rPr/>
        <w:t>□ </w:t>
      </w:r>
      <w:r>
        <w:rPr>
          <w:spacing w:val="-3"/>
        </w:rPr>
        <w:t>适用 </w:t>
      </w:r>
      <w:r>
        <w:rPr/>
        <w:t>√</w:t>
      </w:r>
      <w:r>
        <w:rPr>
          <w:spacing w:val="13"/>
        </w:rPr>
        <w:t> </w:t>
      </w:r>
      <w:r>
        <w:rPr/>
        <w:t>不适用</w:t>
      </w:r>
    </w:p>
    <w:p>
      <w:pPr>
        <w:spacing w:line="240" w:lineRule="auto" w:before="0"/>
        <w:rPr>
          <w:rFonts w:ascii="宋体" w:hAnsi="宋体" w:cs="宋体" w:eastAsia="宋体" w:hint="default"/>
          <w:sz w:val="24"/>
          <w:szCs w:val="24"/>
        </w:rPr>
      </w:pPr>
    </w:p>
    <w:p>
      <w:pPr>
        <w:pStyle w:val="Heading2"/>
        <w:spacing w:line="240" w:lineRule="auto"/>
        <w:ind w:right="0"/>
        <w:jc w:val="left"/>
        <w:rPr>
          <w:b w:val="0"/>
          <w:bCs w:val="0"/>
        </w:rPr>
      </w:pPr>
      <w:bookmarkStart w:name="十一、破产重整相关事项" w:id="76"/>
      <w:bookmarkEnd w:id="76"/>
      <w:r>
        <w:rPr>
          <w:b w:val="0"/>
          <w:bCs w:val="0"/>
        </w:rPr>
      </w:r>
      <w:r>
        <w:rPr/>
        <w:t>十一、破产重整相关事项</w:t>
      </w:r>
      <w:r>
        <w:rPr>
          <w:b w:val="0"/>
          <w:bCs w:val="0"/>
        </w:rPr>
      </w:r>
    </w:p>
    <w:p>
      <w:pPr>
        <w:spacing w:line="240" w:lineRule="auto" w:before="7"/>
        <w:rPr>
          <w:rFonts w:ascii="宋体" w:hAnsi="宋体" w:cs="宋体" w:eastAsia="宋体" w:hint="default"/>
          <w:b/>
          <w:bCs/>
          <w:sz w:val="27"/>
          <w:szCs w:val="27"/>
        </w:rPr>
      </w:pPr>
    </w:p>
    <w:p>
      <w:pPr>
        <w:pStyle w:val="BodyText"/>
        <w:spacing w:line="240" w:lineRule="auto" w:before="0"/>
        <w:ind w:right="0"/>
        <w:jc w:val="left"/>
      </w:pPr>
      <w:r>
        <w:rPr/>
        <w:t>□ </w:t>
      </w:r>
      <w:r>
        <w:rPr>
          <w:spacing w:val="-3"/>
        </w:rPr>
        <w:t>适用 </w:t>
      </w:r>
      <w:r>
        <w:rPr/>
        <w:t>√</w:t>
      </w:r>
      <w:r>
        <w:rPr>
          <w:spacing w:val="13"/>
        </w:rPr>
        <w:t> </w:t>
      </w:r>
      <w:r>
        <w:rPr/>
        <w:t>不适用</w:t>
      </w:r>
    </w:p>
    <w:p>
      <w:pPr>
        <w:spacing w:after="0" w:line="240" w:lineRule="auto"/>
        <w:jc w:val="left"/>
        <w:sectPr>
          <w:pgSz w:w="11910" w:h="16840"/>
          <w:pgMar w:header="784" w:footer="1022" w:top="1100" w:bottom="1220" w:left="980" w:right="0"/>
        </w:sectPr>
      </w:pPr>
    </w:p>
    <w:p>
      <w:pPr>
        <w:spacing w:line="240" w:lineRule="auto" w:before="2"/>
        <w:rPr>
          <w:rFonts w:ascii="宋体" w:hAnsi="宋体" w:cs="宋体" w:eastAsia="宋体" w:hint="default"/>
          <w:sz w:val="23"/>
          <w:szCs w:val="23"/>
        </w:rPr>
      </w:pPr>
    </w:p>
    <w:p>
      <w:pPr>
        <w:pStyle w:val="BodyText"/>
        <w:spacing w:line="240" w:lineRule="auto"/>
        <w:ind w:right="0"/>
        <w:jc w:val="both"/>
      </w:pPr>
      <w:r>
        <w:rPr>
          <w:spacing w:val="-3"/>
        </w:rPr>
        <w:t>公司报告期未发生破产重整相关事项。</w:t>
      </w:r>
    </w:p>
    <w:p>
      <w:pPr>
        <w:spacing w:line="240" w:lineRule="auto" w:before="13"/>
        <w:rPr>
          <w:rFonts w:ascii="宋体" w:hAnsi="宋体" w:cs="宋体" w:eastAsia="宋体" w:hint="default"/>
          <w:sz w:val="23"/>
          <w:szCs w:val="23"/>
        </w:rPr>
      </w:pPr>
    </w:p>
    <w:p>
      <w:pPr>
        <w:pStyle w:val="Heading2"/>
        <w:spacing w:line="240" w:lineRule="auto"/>
        <w:ind w:right="0"/>
        <w:jc w:val="both"/>
        <w:rPr>
          <w:b w:val="0"/>
          <w:bCs w:val="0"/>
        </w:rPr>
      </w:pPr>
      <w:bookmarkStart w:name="十二、重大诉讼、仲裁事项" w:id="77"/>
      <w:bookmarkEnd w:id="77"/>
      <w:r>
        <w:rPr>
          <w:b w:val="0"/>
          <w:bCs w:val="0"/>
        </w:rPr>
      </w:r>
      <w:r>
        <w:rPr/>
        <w:t>十二、重大诉讼、仲裁事项</w:t>
      </w:r>
      <w:r>
        <w:rPr>
          <w:b w:val="0"/>
          <w:bCs w:val="0"/>
        </w:rPr>
      </w:r>
    </w:p>
    <w:p>
      <w:pPr>
        <w:spacing w:line="240" w:lineRule="auto" w:before="8"/>
        <w:rPr>
          <w:rFonts w:ascii="宋体" w:hAnsi="宋体" w:cs="宋体" w:eastAsia="宋体" w:hint="default"/>
          <w:b/>
          <w:bCs/>
          <w:sz w:val="27"/>
          <w:szCs w:val="27"/>
        </w:rPr>
      </w:pPr>
    </w:p>
    <w:p>
      <w:pPr>
        <w:pStyle w:val="BodyText"/>
        <w:spacing w:line="362" w:lineRule="auto" w:before="0"/>
        <w:ind w:right="6445"/>
        <w:jc w:val="left"/>
      </w:pPr>
      <w:r>
        <w:rPr/>
        <w:t>□ </w:t>
      </w:r>
      <w:r>
        <w:rPr>
          <w:spacing w:val="-3"/>
        </w:rPr>
        <w:t>适用 </w:t>
      </w:r>
      <w:r>
        <w:rPr/>
        <w:t>√ 不适用</w:t>
      </w:r>
      <w:r>
        <w:rPr>
          <w:spacing w:val="-77"/>
        </w:rPr>
        <w:t> </w:t>
      </w:r>
      <w:r>
        <w:rPr>
          <w:spacing w:val="-77"/>
        </w:rPr>
      </w:r>
      <w:r>
        <w:rPr>
          <w:spacing w:val="-3"/>
        </w:rPr>
        <w:t>本报告期公司无重大诉讼、仲裁事项。</w:t>
      </w:r>
    </w:p>
    <w:p>
      <w:pPr>
        <w:spacing w:line="240" w:lineRule="auto" w:before="12"/>
        <w:rPr>
          <w:rFonts w:ascii="宋体" w:hAnsi="宋体" w:cs="宋体" w:eastAsia="宋体" w:hint="default"/>
          <w:sz w:val="16"/>
          <w:szCs w:val="16"/>
        </w:rPr>
      </w:pPr>
    </w:p>
    <w:p>
      <w:pPr>
        <w:pStyle w:val="Heading2"/>
        <w:spacing w:line="240" w:lineRule="auto"/>
        <w:ind w:right="0"/>
        <w:jc w:val="both"/>
        <w:rPr>
          <w:b w:val="0"/>
          <w:bCs w:val="0"/>
        </w:rPr>
      </w:pPr>
      <w:bookmarkStart w:name="十三、处罚及整改情况" w:id="78"/>
      <w:bookmarkEnd w:id="78"/>
      <w:r>
        <w:rPr>
          <w:b w:val="0"/>
          <w:bCs w:val="0"/>
        </w:rPr>
      </w:r>
      <w:r>
        <w:rPr/>
        <w:t>十三、处罚及整改情况</w:t>
      </w:r>
      <w:r>
        <w:rPr>
          <w:b w:val="0"/>
          <w:bCs w:val="0"/>
        </w:rPr>
      </w:r>
    </w:p>
    <w:p>
      <w:pPr>
        <w:spacing w:line="240" w:lineRule="auto" w:before="8"/>
        <w:rPr>
          <w:rFonts w:ascii="宋体" w:hAnsi="宋体" w:cs="宋体" w:eastAsia="宋体" w:hint="default"/>
          <w:b/>
          <w:bCs/>
          <w:sz w:val="27"/>
          <w:szCs w:val="27"/>
        </w:rPr>
      </w:pPr>
    </w:p>
    <w:p>
      <w:pPr>
        <w:pStyle w:val="BodyText"/>
        <w:spacing w:line="357" w:lineRule="auto" w:before="0"/>
        <w:ind w:right="6445"/>
        <w:jc w:val="left"/>
      </w:pPr>
      <w:r>
        <w:rPr/>
        <w:t>□ </w:t>
      </w:r>
      <w:r>
        <w:rPr>
          <w:spacing w:val="-3"/>
        </w:rPr>
        <w:t>适用 </w:t>
      </w:r>
      <w:r>
        <w:rPr/>
        <w:t>√ 不适用</w:t>
      </w:r>
      <w:r>
        <w:rPr>
          <w:spacing w:val="-77"/>
        </w:rPr>
        <w:t> </w:t>
      </w:r>
      <w:r>
        <w:rPr>
          <w:spacing w:val="-77"/>
        </w:rPr>
      </w:r>
      <w:r>
        <w:rPr>
          <w:spacing w:val="-3"/>
        </w:rPr>
        <w:t>公司报告期不存在处罚及整改情况。</w:t>
      </w:r>
    </w:p>
    <w:p>
      <w:pPr>
        <w:spacing w:line="240" w:lineRule="auto" w:before="8"/>
        <w:rPr>
          <w:rFonts w:ascii="宋体" w:hAnsi="宋体" w:cs="宋体" w:eastAsia="宋体" w:hint="default"/>
          <w:sz w:val="17"/>
          <w:szCs w:val="17"/>
        </w:rPr>
      </w:pPr>
    </w:p>
    <w:p>
      <w:pPr>
        <w:pStyle w:val="Heading2"/>
        <w:spacing w:line="240" w:lineRule="auto"/>
        <w:ind w:right="0"/>
        <w:jc w:val="both"/>
        <w:rPr>
          <w:b w:val="0"/>
          <w:bCs w:val="0"/>
        </w:rPr>
      </w:pPr>
      <w:bookmarkStart w:name="十四、公司及其控股股东、实际控制人的诚信状况" w:id="79"/>
      <w:bookmarkEnd w:id="79"/>
      <w:r>
        <w:rPr>
          <w:b w:val="0"/>
          <w:bCs w:val="0"/>
        </w:rPr>
      </w:r>
      <w:r>
        <w:rPr/>
        <w:t>十四、公司及其控股股东、实际控制人的诚信状况</w:t>
      </w:r>
      <w:r>
        <w:rPr>
          <w:b w:val="0"/>
          <w:bCs w:val="0"/>
        </w:rPr>
      </w:r>
    </w:p>
    <w:p>
      <w:pPr>
        <w:spacing w:line="240" w:lineRule="auto" w:before="3"/>
        <w:rPr>
          <w:rFonts w:ascii="宋体" w:hAnsi="宋体" w:cs="宋体" w:eastAsia="宋体" w:hint="default"/>
          <w:b/>
          <w:bCs/>
          <w:sz w:val="27"/>
          <w:szCs w:val="27"/>
        </w:rPr>
      </w:pPr>
    </w:p>
    <w:p>
      <w:pPr>
        <w:pStyle w:val="BodyText"/>
        <w:spacing w:line="240" w:lineRule="auto" w:before="0"/>
        <w:ind w:right="0"/>
        <w:jc w:val="both"/>
      </w:pPr>
      <w:r>
        <w:rPr/>
        <w:t>□ </w:t>
      </w:r>
      <w:r>
        <w:rPr>
          <w:spacing w:val="-3"/>
        </w:rPr>
        <w:t>适用 </w:t>
      </w:r>
      <w:r>
        <w:rPr/>
        <w:t>√</w:t>
      </w:r>
      <w:r>
        <w:rPr>
          <w:spacing w:val="13"/>
        </w:rPr>
        <w:t> </w:t>
      </w:r>
      <w:r>
        <w:rPr/>
        <w:t>不适用</w:t>
      </w:r>
    </w:p>
    <w:p>
      <w:pPr>
        <w:spacing w:line="240" w:lineRule="auto" w:before="4"/>
        <w:rPr>
          <w:rFonts w:ascii="宋体" w:hAnsi="宋体" w:cs="宋体" w:eastAsia="宋体" w:hint="default"/>
          <w:sz w:val="24"/>
          <w:szCs w:val="24"/>
        </w:rPr>
      </w:pPr>
    </w:p>
    <w:p>
      <w:pPr>
        <w:pStyle w:val="Heading2"/>
        <w:spacing w:line="240" w:lineRule="auto"/>
        <w:ind w:right="0"/>
        <w:jc w:val="both"/>
        <w:rPr>
          <w:b w:val="0"/>
          <w:bCs w:val="0"/>
        </w:rPr>
      </w:pPr>
      <w:bookmarkStart w:name="十五、公司股权激励计划、员工持股计划或其他员工激励措施的实施情况" w:id="80"/>
      <w:bookmarkEnd w:id="80"/>
      <w:r>
        <w:rPr>
          <w:b w:val="0"/>
          <w:bCs w:val="0"/>
        </w:rPr>
      </w:r>
      <w:r>
        <w:rPr/>
        <w:t>十五、公司股权激励计划、员工持股计划或其他员工激励措施的实施情况</w:t>
      </w:r>
      <w:r>
        <w:rPr>
          <w:b w:val="0"/>
          <w:bCs w:val="0"/>
        </w:rPr>
      </w:r>
    </w:p>
    <w:p>
      <w:pPr>
        <w:spacing w:line="240" w:lineRule="auto" w:before="7"/>
        <w:rPr>
          <w:rFonts w:ascii="宋体" w:hAnsi="宋体" w:cs="宋体" w:eastAsia="宋体" w:hint="default"/>
          <w:b/>
          <w:bCs/>
          <w:sz w:val="27"/>
          <w:szCs w:val="27"/>
        </w:rPr>
      </w:pPr>
    </w:p>
    <w:p>
      <w:pPr>
        <w:pStyle w:val="BodyText"/>
        <w:spacing w:line="240" w:lineRule="auto" w:before="0"/>
        <w:ind w:right="0"/>
        <w:jc w:val="both"/>
      </w:pPr>
      <w:r>
        <w:rPr/>
        <w:t>√ </w:t>
      </w:r>
      <w:r>
        <w:rPr>
          <w:spacing w:val="-3"/>
        </w:rPr>
        <w:t>适用 </w:t>
      </w:r>
      <w:r>
        <w:rPr/>
        <w:t>□</w:t>
      </w:r>
      <w:r>
        <w:rPr>
          <w:spacing w:val="13"/>
        </w:rPr>
        <w:t> </w:t>
      </w:r>
      <w:r>
        <w:rPr/>
        <w:t>不适用</w:t>
      </w:r>
    </w:p>
    <w:p>
      <w:pPr>
        <w:pStyle w:val="BodyText"/>
        <w:spacing w:line="300" w:lineRule="auto" w:before="110"/>
        <w:ind w:right="1131" w:firstLine="360"/>
        <w:jc w:val="both"/>
      </w:pPr>
      <w:r>
        <w:rPr>
          <w:rFonts w:ascii="Times New Roman" w:hAnsi="Times New Roman" w:cs="Times New Roman" w:eastAsia="Times New Roman" w:hint="default"/>
          <w:spacing w:val="-3"/>
        </w:rPr>
        <w:t>1</w:t>
      </w:r>
      <w:r>
        <w:rPr>
          <w:spacing w:val="-3"/>
        </w:rPr>
        <w:t>、报告期内，公司完成</w:t>
      </w:r>
      <w:r>
        <w:rPr>
          <w:rFonts w:ascii="Times New Roman" w:hAnsi="Times New Roman" w:cs="Times New Roman" w:eastAsia="Times New Roman" w:hint="default"/>
          <w:spacing w:val="-3"/>
        </w:rPr>
        <w:t>2016</w:t>
      </w:r>
      <w:r>
        <w:rPr>
          <w:spacing w:val="-3"/>
        </w:rPr>
        <w:t>年限制性股票激励计划暂缓授予部分第二期解锁、部分限制股票回购注销和</w:t>
      </w:r>
      <w:r>
        <w:rPr>
          <w:rFonts w:ascii="Times New Roman" w:hAnsi="Times New Roman" w:cs="Times New Roman" w:eastAsia="Times New Roman" w:hint="default"/>
          <w:spacing w:val="-3"/>
        </w:rPr>
        <w:t>2016</w:t>
      </w:r>
      <w:r>
        <w:rPr>
          <w:spacing w:val="-3"/>
        </w:rPr>
        <w:t>年限制性</w:t>
      </w:r>
      <w:r>
        <w:rPr>
          <w:w w:val="101"/>
        </w:rPr>
        <w:t> </w:t>
      </w:r>
      <w:r>
        <w:rPr>
          <w:spacing w:val="-3"/>
        </w:rPr>
        <w:t>股票激励计划第三期解锁事项。</w:t>
      </w:r>
    </w:p>
    <w:p>
      <w:pPr>
        <w:pStyle w:val="BodyText"/>
        <w:spacing w:line="300" w:lineRule="auto" w:before="31"/>
        <w:ind w:right="1122" w:firstLine="360"/>
        <w:jc w:val="both"/>
      </w:pPr>
      <w:r>
        <w:rPr>
          <w:rFonts w:ascii="Times New Roman" w:hAnsi="Times New Roman" w:cs="Times New Roman" w:eastAsia="Times New Roman" w:hint="default"/>
          <w:spacing w:val="-3"/>
        </w:rPr>
        <w:t>2019</w:t>
      </w:r>
      <w:r>
        <w:rPr>
          <w:spacing w:val="-3"/>
        </w:rPr>
        <w:t>年</w:t>
      </w:r>
      <w:r>
        <w:rPr>
          <w:rFonts w:ascii="Times New Roman" w:hAnsi="Times New Roman" w:cs="Times New Roman" w:eastAsia="Times New Roman" w:hint="default"/>
          <w:spacing w:val="-3"/>
        </w:rPr>
        <w:t>3</w:t>
      </w:r>
      <w:r>
        <w:rPr>
          <w:spacing w:val="-3"/>
        </w:rPr>
        <w:t>月</w:t>
      </w:r>
      <w:r>
        <w:rPr>
          <w:rFonts w:ascii="Times New Roman" w:hAnsi="Times New Roman" w:cs="Times New Roman" w:eastAsia="Times New Roman" w:hint="default"/>
          <w:spacing w:val="-3"/>
        </w:rPr>
        <w:t>19</w:t>
      </w:r>
      <w:r>
        <w:rPr>
          <w:spacing w:val="-3"/>
        </w:rPr>
        <w:t>日，公司召开第四届董事会第二次会议和第四届监事会第二次会议，审议通过了《关于回购注销部分限制</w:t>
      </w:r>
      <w:r>
        <w:rPr>
          <w:w w:val="101"/>
        </w:rPr>
        <w:t> </w:t>
      </w:r>
      <w:r>
        <w:rPr>
          <w:spacing w:val="-4"/>
        </w:rPr>
        <w:t>性股票的议案》，根据本激励计划的相关规定及公司</w:t>
      </w:r>
      <w:r>
        <w:rPr>
          <w:rFonts w:ascii="Times New Roman" w:hAnsi="Times New Roman" w:cs="Times New Roman" w:eastAsia="Times New Roman" w:hint="default"/>
          <w:spacing w:val="-4"/>
        </w:rPr>
        <w:t>2016</w:t>
      </w:r>
      <w:r>
        <w:rPr>
          <w:spacing w:val="-4"/>
        </w:rPr>
        <w:t>年第二次临时股东大会对董事会的授权，公司董事会同意对</w:t>
      </w:r>
      <w:r>
        <w:rPr>
          <w:rFonts w:ascii="Times New Roman" w:hAnsi="Times New Roman" w:cs="Times New Roman" w:eastAsia="Times New Roman" w:hint="default"/>
          <w:spacing w:val="-4"/>
        </w:rPr>
        <w:t>11</w:t>
      </w:r>
      <w:r>
        <w:rPr>
          <w:spacing w:val="-4"/>
        </w:rPr>
        <w:t>名离</w:t>
      </w:r>
      <w:r>
        <w:rPr>
          <w:spacing w:val="56"/>
        </w:rPr>
        <w:t> </w:t>
      </w:r>
      <w:r>
        <w:rPr>
          <w:spacing w:val="-3"/>
        </w:rPr>
        <w:t>职的激励对象持有的已获授但尚未解除限售的</w:t>
      </w:r>
      <w:r>
        <w:rPr>
          <w:rFonts w:ascii="Times New Roman" w:hAnsi="Times New Roman" w:cs="Times New Roman" w:eastAsia="Times New Roman" w:hint="default"/>
          <w:spacing w:val="-3"/>
        </w:rPr>
        <w:t>8.775</w:t>
      </w:r>
      <w:r>
        <w:rPr>
          <w:spacing w:val="-3"/>
        </w:rPr>
        <w:t>万股（除权后）限制性股票进行回购注销处理。监事会对本次回购注销</w:t>
      </w:r>
      <w:r>
        <w:rPr>
          <w:spacing w:val="78"/>
        </w:rPr>
        <w:t> </w:t>
      </w:r>
      <w:r>
        <w:rPr>
          <w:spacing w:val="78"/>
        </w:rPr>
      </w:r>
      <w:r>
        <w:rPr>
          <w:spacing w:val="-3"/>
        </w:rPr>
        <w:t>部分限制性股票相关事项进行了核实并发表核查意见，公司独立董事、律师对该事项发表了意见。</w:t>
      </w:r>
      <w:r>
        <w:rPr>
          <w:rFonts w:ascii="Times New Roman" w:hAnsi="Times New Roman" w:cs="Times New Roman" w:eastAsia="Times New Roman" w:hint="default"/>
          <w:spacing w:val="-3"/>
        </w:rPr>
        <w:t>2019</w:t>
      </w:r>
      <w:r>
        <w:rPr>
          <w:spacing w:val="-3"/>
        </w:rPr>
        <w:t>年</w:t>
      </w:r>
      <w:r>
        <w:rPr>
          <w:rFonts w:ascii="Times New Roman" w:hAnsi="Times New Roman" w:cs="Times New Roman" w:eastAsia="Times New Roman" w:hint="default"/>
          <w:spacing w:val="-3"/>
        </w:rPr>
        <w:t>5</w:t>
      </w:r>
      <w:r>
        <w:rPr>
          <w:spacing w:val="-3"/>
        </w:rPr>
        <w:t>月</w:t>
      </w:r>
      <w:r>
        <w:rPr>
          <w:rFonts w:ascii="Times New Roman" w:hAnsi="Times New Roman" w:cs="Times New Roman" w:eastAsia="Times New Roman" w:hint="default"/>
          <w:spacing w:val="-3"/>
        </w:rPr>
        <w:t>25</w:t>
      </w:r>
      <w:r>
        <w:rPr>
          <w:spacing w:val="-3"/>
        </w:rPr>
        <w:t>日，公司披</w:t>
      </w:r>
      <w:r>
        <w:rPr>
          <w:spacing w:val="80"/>
        </w:rPr>
        <w:t> </w:t>
      </w:r>
      <w:r>
        <w:rPr>
          <w:spacing w:val="80"/>
        </w:rPr>
      </w:r>
      <w:r>
        <w:rPr>
          <w:spacing w:val="-3"/>
        </w:rPr>
        <w:t>露了《关于部分限制性股票回购注销完成的公告》（公告编号：</w:t>
      </w:r>
      <w:r>
        <w:rPr>
          <w:rFonts w:ascii="Times New Roman" w:hAnsi="Times New Roman" w:cs="Times New Roman" w:eastAsia="Times New Roman" w:hint="default"/>
          <w:spacing w:val="-3"/>
        </w:rPr>
        <w:t>2019-051</w:t>
      </w:r>
      <w:r>
        <w:rPr>
          <w:spacing w:val="-3"/>
        </w:rPr>
        <w:t>）。</w:t>
      </w:r>
      <w:r>
        <w:rPr/>
      </w:r>
    </w:p>
    <w:p>
      <w:pPr>
        <w:pStyle w:val="BodyText"/>
        <w:spacing w:line="300" w:lineRule="auto" w:before="13"/>
        <w:ind w:right="1127" w:firstLine="360"/>
        <w:jc w:val="both"/>
      </w:pPr>
      <w:r>
        <w:rPr>
          <w:rFonts w:ascii="Times New Roman" w:hAnsi="Times New Roman" w:cs="Times New Roman" w:eastAsia="Times New Roman" w:hint="default"/>
          <w:spacing w:val="-3"/>
        </w:rPr>
        <w:t>2019</w:t>
      </w:r>
      <w:r>
        <w:rPr>
          <w:spacing w:val="-3"/>
        </w:rPr>
        <w:t>年</w:t>
      </w:r>
      <w:r>
        <w:rPr>
          <w:rFonts w:ascii="Times New Roman" w:hAnsi="Times New Roman" w:cs="Times New Roman" w:eastAsia="Times New Roman" w:hint="default"/>
          <w:spacing w:val="-3"/>
        </w:rPr>
        <w:t>3</w:t>
      </w:r>
      <w:r>
        <w:rPr>
          <w:spacing w:val="-3"/>
        </w:rPr>
        <w:t>月</w:t>
      </w:r>
      <w:r>
        <w:rPr>
          <w:rFonts w:ascii="Times New Roman" w:hAnsi="Times New Roman" w:cs="Times New Roman" w:eastAsia="Times New Roman" w:hint="default"/>
          <w:spacing w:val="-3"/>
        </w:rPr>
        <w:t>19</w:t>
      </w:r>
      <w:r>
        <w:rPr>
          <w:spacing w:val="-3"/>
        </w:rPr>
        <w:t>日，公司召开第四届董事会第二次会议和第四届监事会第二次会议，审议通过了《关于公司限制性股票激</w:t>
      </w:r>
      <w:r>
        <w:rPr>
          <w:w w:val="101"/>
        </w:rPr>
        <w:t> </w:t>
      </w:r>
      <w:r>
        <w:rPr>
          <w:spacing w:val="-4"/>
        </w:rPr>
        <w:t>励计划暂缓授予部分第二个解锁期可解锁的议案》，监事会对公司</w:t>
      </w:r>
      <w:r>
        <w:rPr>
          <w:rFonts w:ascii="Times New Roman" w:hAnsi="Times New Roman" w:cs="Times New Roman" w:eastAsia="Times New Roman" w:hint="default"/>
          <w:spacing w:val="-4"/>
        </w:rPr>
        <w:t>2016</w:t>
      </w:r>
      <w:r>
        <w:rPr>
          <w:spacing w:val="-4"/>
        </w:rPr>
        <w:t>年股权激励计划暂缓授予部分第二个解锁期解锁条件</w:t>
      </w:r>
      <w:r>
        <w:rPr>
          <w:spacing w:val="46"/>
        </w:rPr>
        <w:t> </w:t>
      </w:r>
      <w:r>
        <w:rPr>
          <w:spacing w:val="46"/>
        </w:rPr>
      </w:r>
      <w:r>
        <w:rPr>
          <w:spacing w:val="-3"/>
        </w:rPr>
        <w:t>及激励对象名单进行了核实，公司独立董事对此发表了同意的独立意见。</w:t>
      </w:r>
      <w:r>
        <w:rPr>
          <w:rFonts w:ascii="Times New Roman" w:hAnsi="Times New Roman" w:cs="Times New Roman" w:eastAsia="Times New Roman" w:hint="default"/>
          <w:spacing w:val="-3"/>
        </w:rPr>
        <w:t>2019</w:t>
      </w:r>
      <w:r>
        <w:rPr>
          <w:spacing w:val="-3"/>
        </w:rPr>
        <w:t>年</w:t>
      </w:r>
      <w:r>
        <w:rPr>
          <w:rFonts w:ascii="Times New Roman" w:hAnsi="Times New Roman" w:cs="Times New Roman" w:eastAsia="Times New Roman" w:hint="default"/>
          <w:spacing w:val="-3"/>
        </w:rPr>
        <w:t>4</w:t>
      </w:r>
      <w:r>
        <w:rPr>
          <w:spacing w:val="-3"/>
        </w:rPr>
        <w:t>月</w:t>
      </w:r>
      <w:r>
        <w:rPr>
          <w:rFonts w:ascii="Times New Roman" w:hAnsi="Times New Roman" w:cs="Times New Roman" w:eastAsia="Times New Roman" w:hint="default"/>
          <w:spacing w:val="-3"/>
        </w:rPr>
        <w:t>19</w:t>
      </w:r>
      <w:r>
        <w:rPr>
          <w:spacing w:val="-3"/>
        </w:rPr>
        <w:t>日，公司披露了《关于公司限制性股</w:t>
      </w:r>
      <w:r>
        <w:rPr>
          <w:spacing w:val="79"/>
        </w:rPr>
        <w:t> </w:t>
      </w:r>
      <w:r>
        <w:rPr>
          <w:spacing w:val="79"/>
        </w:rPr>
      </w:r>
      <w:r>
        <w:rPr>
          <w:spacing w:val="-3"/>
        </w:rPr>
        <w:t>票激励计划暂缓授予部分第二个解锁期限制性股票上市流通的提示性公告》（公告编号：</w:t>
      </w:r>
      <w:r>
        <w:rPr>
          <w:rFonts w:ascii="Times New Roman" w:hAnsi="Times New Roman" w:cs="Times New Roman" w:eastAsia="Times New Roman" w:hint="default"/>
          <w:spacing w:val="-3"/>
        </w:rPr>
        <w:t>2019-038</w:t>
      </w:r>
      <w:r>
        <w:rPr>
          <w:spacing w:val="-3"/>
        </w:rPr>
        <w:t>）。</w:t>
      </w:r>
    </w:p>
    <w:p>
      <w:pPr>
        <w:pStyle w:val="BodyText"/>
        <w:spacing w:line="240" w:lineRule="auto" w:before="13"/>
        <w:ind w:left="513" w:right="0"/>
        <w:jc w:val="left"/>
      </w:pPr>
      <w:r>
        <w:rPr>
          <w:rFonts w:ascii="Times New Roman" w:hAnsi="Times New Roman" w:cs="Times New Roman" w:eastAsia="Times New Roman" w:hint="default"/>
        </w:rPr>
        <w:t>2019</w:t>
      </w:r>
      <w:r>
        <w:rPr/>
        <w:t>年 </w:t>
      </w:r>
      <w:r>
        <w:rPr>
          <w:rFonts w:ascii="Times New Roman" w:hAnsi="Times New Roman" w:cs="Times New Roman" w:eastAsia="Times New Roman" w:hint="default"/>
        </w:rPr>
        <w:t>4  </w:t>
      </w:r>
      <w:r>
        <w:rPr/>
        <w:t>月 </w:t>
      </w:r>
      <w:r>
        <w:rPr>
          <w:rFonts w:ascii="Times New Roman" w:hAnsi="Times New Roman" w:cs="Times New Roman" w:eastAsia="Times New Roman" w:hint="default"/>
          <w:spacing w:val="-3"/>
        </w:rPr>
        <w:t>24  </w:t>
      </w:r>
      <w:r>
        <w:rPr>
          <w:spacing w:val="-5"/>
        </w:rPr>
        <w:t>日，公司召开第四届董事会第四次会议和第四届监事会第四次会议，审议通过了《关于公司 </w:t>
      </w:r>
      <w:r>
        <w:rPr>
          <w:rFonts w:ascii="Times New Roman" w:hAnsi="Times New Roman" w:cs="Times New Roman" w:eastAsia="Times New Roman" w:hint="default"/>
        </w:rPr>
        <w:t>2016   </w:t>
      </w:r>
      <w:r>
        <w:rPr/>
        <w:t>年限</w:t>
      </w:r>
    </w:p>
    <w:p>
      <w:pPr>
        <w:pStyle w:val="BodyText"/>
        <w:spacing w:line="300" w:lineRule="auto" w:before="63"/>
        <w:ind w:right="1122"/>
        <w:jc w:val="both"/>
      </w:pPr>
      <w:r>
        <w:rPr>
          <w:spacing w:val="-5"/>
        </w:rPr>
        <w:t>制性股票激励计划第三个解锁期可解锁的议案》，监事会对公司</w:t>
      </w:r>
      <w:r>
        <w:rPr>
          <w:spacing w:val="60"/>
        </w:rPr>
        <w:t> </w:t>
      </w:r>
      <w:r>
        <w:rPr>
          <w:rFonts w:ascii="Times New Roman" w:hAnsi="Times New Roman" w:cs="Times New Roman" w:eastAsia="Times New Roman" w:hint="default"/>
        </w:rPr>
        <w:t>2016</w:t>
      </w:r>
      <w:r>
        <w:rPr>
          <w:rFonts w:ascii="Times New Roman" w:hAnsi="Times New Roman" w:cs="Times New Roman" w:eastAsia="Times New Roman" w:hint="default"/>
          <w:spacing w:val="3"/>
        </w:rPr>
        <w:t> </w:t>
      </w:r>
      <w:r>
        <w:rPr>
          <w:spacing w:val="-3"/>
        </w:rPr>
        <w:t>年股权激励计划首次授予第三个解锁期解锁条件及激</w:t>
      </w:r>
      <w:r>
        <w:rPr>
          <w:spacing w:val="-73"/>
        </w:rPr>
        <w:t> </w:t>
      </w:r>
      <w:r>
        <w:rPr>
          <w:spacing w:val="-73"/>
        </w:rPr>
      </w:r>
      <w:r>
        <w:rPr>
          <w:spacing w:val="-3"/>
        </w:rPr>
        <w:t>励对象名单进行了核实，公司独立董事对此发表了同意的独立意见。</w:t>
      </w:r>
      <w:r>
        <w:rPr>
          <w:rFonts w:ascii="Times New Roman" w:hAnsi="Times New Roman" w:cs="Times New Roman" w:eastAsia="Times New Roman" w:hint="default"/>
          <w:spacing w:val="-3"/>
        </w:rPr>
        <w:t>2019</w:t>
      </w:r>
      <w:r>
        <w:rPr>
          <w:spacing w:val="-3"/>
        </w:rPr>
        <w:t>年</w:t>
      </w:r>
      <w:r>
        <w:rPr>
          <w:rFonts w:ascii="Times New Roman" w:hAnsi="Times New Roman" w:cs="Times New Roman" w:eastAsia="Times New Roman" w:hint="default"/>
          <w:spacing w:val="-3"/>
        </w:rPr>
        <w:t>5</w:t>
      </w:r>
      <w:r>
        <w:rPr>
          <w:spacing w:val="-3"/>
        </w:rPr>
        <w:t>月</w:t>
      </w:r>
      <w:r>
        <w:rPr>
          <w:rFonts w:ascii="Times New Roman" w:hAnsi="Times New Roman" w:cs="Times New Roman" w:eastAsia="Times New Roman" w:hint="default"/>
          <w:spacing w:val="-3"/>
        </w:rPr>
        <w:t>16</w:t>
      </w:r>
      <w:r>
        <w:rPr>
          <w:spacing w:val="-3"/>
        </w:rPr>
        <w:t>日，公司披露了《关于公司</w:t>
      </w:r>
      <w:r>
        <w:rPr>
          <w:rFonts w:ascii="Times New Roman" w:hAnsi="Times New Roman" w:cs="Times New Roman" w:eastAsia="Times New Roman" w:hint="default"/>
          <w:spacing w:val="-3"/>
        </w:rPr>
        <w:t>2016</w:t>
      </w:r>
      <w:r>
        <w:rPr>
          <w:spacing w:val="-3"/>
        </w:rPr>
        <w:t>年限制性</w:t>
      </w:r>
      <w:r>
        <w:rPr>
          <w:spacing w:val="-2"/>
        </w:rPr>
        <w:t> </w:t>
      </w:r>
      <w:r>
        <w:rPr>
          <w:spacing w:val="-2"/>
        </w:rPr>
      </w:r>
      <w:r>
        <w:rPr>
          <w:spacing w:val="-3"/>
        </w:rPr>
        <w:t>股票激励计划第三个解锁期限制性股票上市流通的提示性公告》（公告编号：</w:t>
      </w:r>
      <w:r>
        <w:rPr>
          <w:rFonts w:ascii="Times New Roman" w:hAnsi="Times New Roman" w:cs="Times New Roman" w:eastAsia="Times New Roman" w:hint="default"/>
          <w:spacing w:val="-3"/>
        </w:rPr>
        <w:t>2019-050</w:t>
      </w:r>
      <w:r>
        <w:rPr>
          <w:spacing w:val="-3"/>
        </w:rPr>
        <w:t>）。</w:t>
      </w:r>
      <w:r>
        <w:rPr/>
      </w:r>
    </w:p>
    <w:p>
      <w:pPr>
        <w:pStyle w:val="BodyText"/>
        <w:spacing w:line="300" w:lineRule="auto" w:before="13"/>
        <w:ind w:right="1126" w:firstLine="360"/>
        <w:jc w:val="both"/>
      </w:pPr>
      <w:r>
        <w:rPr>
          <w:rFonts w:ascii="Times New Roman" w:hAnsi="Times New Roman" w:cs="Times New Roman" w:eastAsia="Times New Roman" w:hint="default"/>
          <w:spacing w:val="-4"/>
        </w:rPr>
        <w:t>2019</w:t>
      </w:r>
      <w:r>
        <w:rPr>
          <w:spacing w:val="-4"/>
        </w:rPr>
        <w:t>年</w:t>
      </w:r>
      <w:r>
        <w:rPr>
          <w:rFonts w:ascii="Times New Roman" w:hAnsi="Times New Roman" w:cs="Times New Roman" w:eastAsia="Times New Roman" w:hint="default"/>
          <w:spacing w:val="-4"/>
        </w:rPr>
        <w:t>5</w:t>
      </w:r>
      <w:r>
        <w:rPr>
          <w:spacing w:val="-4"/>
        </w:rPr>
        <w:t>月</w:t>
      </w:r>
      <w:r>
        <w:rPr>
          <w:rFonts w:ascii="Times New Roman" w:hAnsi="Times New Roman" w:cs="Times New Roman" w:eastAsia="Times New Roman" w:hint="default"/>
          <w:spacing w:val="-4"/>
        </w:rPr>
        <w:t>9</w:t>
      </w:r>
      <w:r>
        <w:rPr>
          <w:spacing w:val="-4"/>
        </w:rPr>
        <w:t>日，公司召开第四届董事会第五次会议和第四届监事会第五次会议，审议通过了《关于公司 </w:t>
      </w:r>
      <w:r>
        <w:rPr>
          <w:rFonts w:ascii="Times New Roman" w:hAnsi="Times New Roman" w:cs="Times New Roman" w:eastAsia="Times New Roman" w:hint="default"/>
        </w:rPr>
        <w:t>2016</w:t>
      </w:r>
      <w:r>
        <w:rPr>
          <w:rFonts w:ascii="Times New Roman" w:hAnsi="Times New Roman" w:cs="Times New Roman" w:eastAsia="Times New Roman" w:hint="default"/>
          <w:spacing w:val="15"/>
        </w:rPr>
        <w:t> </w:t>
      </w:r>
      <w:r>
        <w:rPr>
          <w:spacing w:val="-3"/>
        </w:rPr>
        <w:t>年限制性</w:t>
      </w:r>
      <w:r>
        <w:rPr>
          <w:w w:val="101"/>
        </w:rPr>
        <w:t> </w:t>
      </w:r>
      <w:r>
        <w:rPr>
          <w:spacing w:val="-3"/>
        </w:rPr>
        <w:t>股票激励计划第三个解锁期可解锁的议案（调整后）》，由于黄永忠先生于</w:t>
      </w:r>
      <w:r>
        <w:rPr>
          <w:rFonts w:ascii="Times New Roman" w:hAnsi="Times New Roman" w:cs="Times New Roman" w:eastAsia="Times New Roman" w:hint="default"/>
          <w:spacing w:val="-3"/>
        </w:rPr>
        <w:t>2019</w:t>
      </w:r>
      <w:r>
        <w:rPr>
          <w:spacing w:val="-3"/>
        </w:rPr>
        <w:t>年</w:t>
      </w:r>
      <w:r>
        <w:rPr>
          <w:rFonts w:ascii="Times New Roman" w:hAnsi="Times New Roman" w:cs="Times New Roman" w:eastAsia="Times New Roman" w:hint="default"/>
          <w:spacing w:val="-3"/>
        </w:rPr>
        <w:t>1</w:t>
      </w:r>
      <w:r>
        <w:rPr>
          <w:spacing w:val="-3"/>
        </w:rPr>
        <w:t>月</w:t>
      </w:r>
      <w:r>
        <w:rPr>
          <w:rFonts w:ascii="Times New Roman" w:hAnsi="Times New Roman" w:cs="Times New Roman" w:eastAsia="Times New Roman" w:hint="default"/>
          <w:spacing w:val="-3"/>
        </w:rPr>
        <w:t>23</w:t>
      </w:r>
      <w:r>
        <w:rPr>
          <w:spacing w:val="-3"/>
        </w:rPr>
        <w:t>日被选举为公司监事，根据《上市</w:t>
      </w:r>
      <w:r>
        <w:rPr>
          <w:spacing w:val="80"/>
        </w:rPr>
        <w:t> </w:t>
      </w:r>
      <w:r>
        <w:rPr>
          <w:spacing w:val="80"/>
        </w:rPr>
      </w:r>
      <w:r>
        <w:rPr>
          <w:spacing w:val="-3"/>
        </w:rPr>
        <w:t>公司股权激励管理办法》等法律法规的规定，黄永忠先生已获授的第三个解锁期的限制性股票需公司回购注销，</w:t>
      </w:r>
      <w:r>
        <w:rPr>
          <w:rFonts w:ascii="Times New Roman" w:hAnsi="Times New Roman" w:cs="Times New Roman" w:eastAsia="Times New Roman" w:hint="default"/>
          <w:spacing w:val="-3"/>
        </w:rPr>
        <w:t>2016 </w:t>
      </w:r>
      <w:r>
        <w:rPr/>
        <w:t>年股</w:t>
      </w:r>
      <w:r>
        <w:rPr>
          <w:spacing w:val="-29"/>
        </w:rPr>
        <w:t> </w:t>
      </w:r>
      <w:r>
        <w:rPr>
          <w:spacing w:val="-3"/>
        </w:rPr>
        <w:t>权激励计划首次授予第三个解锁期解锁人数由</w:t>
      </w:r>
      <w:r>
        <w:rPr>
          <w:rFonts w:ascii="Times New Roman" w:hAnsi="Times New Roman" w:cs="Times New Roman" w:eastAsia="Times New Roman" w:hint="default"/>
          <w:spacing w:val="-3"/>
        </w:rPr>
        <w:t>120</w:t>
      </w:r>
      <w:r>
        <w:rPr>
          <w:spacing w:val="-3"/>
        </w:rPr>
        <w:t>人调整为</w:t>
      </w:r>
      <w:r>
        <w:rPr>
          <w:rFonts w:ascii="Times New Roman" w:hAnsi="Times New Roman" w:cs="Times New Roman" w:eastAsia="Times New Roman" w:hint="default"/>
          <w:spacing w:val="-3"/>
        </w:rPr>
        <w:t>119</w:t>
      </w:r>
      <w:r>
        <w:rPr>
          <w:spacing w:val="-3"/>
        </w:rPr>
        <w:t>人，解锁股份由</w:t>
      </w:r>
      <w:r>
        <w:rPr>
          <w:rFonts w:ascii="Times New Roman" w:hAnsi="Times New Roman" w:cs="Times New Roman" w:eastAsia="Times New Roman" w:hint="default"/>
          <w:spacing w:val="-3"/>
        </w:rPr>
        <w:t>201.285</w:t>
      </w:r>
      <w:r>
        <w:rPr>
          <w:spacing w:val="-3"/>
        </w:rPr>
        <w:t>万股调整为</w:t>
      </w:r>
      <w:r>
        <w:rPr>
          <w:rFonts w:ascii="Times New Roman" w:hAnsi="Times New Roman" w:cs="Times New Roman" w:eastAsia="Times New Roman" w:hint="default"/>
          <w:spacing w:val="-3"/>
        </w:rPr>
        <w:t>192.285</w:t>
      </w:r>
      <w:r>
        <w:rPr>
          <w:spacing w:val="-3"/>
        </w:rPr>
        <w:t>万股。监事会对公</w:t>
      </w:r>
      <w:r>
        <w:rPr>
          <w:spacing w:val="7"/>
        </w:rPr>
        <w:t> </w:t>
      </w:r>
      <w:r>
        <w:rPr>
          <w:spacing w:val="7"/>
        </w:rPr>
      </w:r>
      <w:r>
        <w:rPr/>
        <w:t>司</w:t>
      </w:r>
      <w:r>
        <w:rPr>
          <w:rFonts w:ascii="Times New Roman" w:hAnsi="Times New Roman" w:cs="Times New Roman" w:eastAsia="Times New Roman" w:hint="default"/>
        </w:rPr>
        <w:t>2016 </w:t>
      </w:r>
      <w:r>
        <w:rPr>
          <w:spacing w:val="-3"/>
        </w:rPr>
        <w:t>年股权激励计划首次授予第三个解锁期解锁条件及激励对象名单（调整后）进行了核实，公司独立董事对此发表了</w:t>
      </w:r>
      <w:r>
        <w:rPr>
          <w:spacing w:val="-52"/>
        </w:rPr>
        <w:t> </w:t>
      </w:r>
      <w:r>
        <w:rPr>
          <w:spacing w:val="-52"/>
        </w:rPr>
      </w:r>
      <w:r>
        <w:rPr>
          <w:spacing w:val="-3"/>
        </w:rPr>
        <w:t>同意的独立意见。</w:t>
      </w:r>
      <w:r>
        <w:rPr>
          <w:rFonts w:ascii="Times New Roman" w:hAnsi="Times New Roman" w:cs="Times New Roman" w:eastAsia="Times New Roman" w:hint="default"/>
          <w:spacing w:val="-3"/>
        </w:rPr>
        <w:t>2019</w:t>
      </w:r>
      <w:r>
        <w:rPr>
          <w:spacing w:val="-3"/>
        </w:rPr>
        <w:t>年</w:t>
      </w:r>
      <w:r>
        <w:rPr>
          <w:rFonts w:ascii="Times New Roman" w:hAnsi="Times New Roman" w:cs="Times New Roman" w:eastAsia="Times New Roman" w:hint="default"/>
          <w:spacing w:val="-3"/>
        </w:rPr>
        <w:t>5</w:t>
      </w:r>
      <w:r>
        <w:rPr>
          <w:spacing w:val="-3"/>
        </w:rPr>
        <w:t>月</w:t>
      </w:r>
      <w:r>
        <w:rPr>
          <w:rFonts w:ascii="Times New Roman" w:hAnsi="Times New Roman" w:cs="Times New Roman" w:eastAsia="Times New Roman" w:hint="default"/>
          <w:spacing w:val="-3"/>
        </w:rPr>
        <w:t>16</w:t>
      </w:r>
      <w:r>
        <w:rPr>
          <w:spacing w:val="-3"/>
        </w:rPr>
        <w:t>日，公司披露了《关于公司</w:t>
      </w:r>
      <w:r>
        <w:rPr>
          <w:rFonts w:ascii="Times New Roman" w:hAnsi="Times New Roman" w:cs="Times New Roman" w:eastAsia="Times New Roman" w:hint="default"/>
          <w:spacing w:val="-3"/>
        </w:rPr>
        <w:t>2016</w:t>
      </w:r>
      <w:r>
        <w:rPr>
          <w:spacing w:val="-3"/>
        </w:rPr>
        <w:t>年限制性股票激励计划第三个解锁期限制性股票上市流通的 </w:t>
      </w:r>
      <w:r>
        <w:rPr/>
        <w:t>提示性公告》（公告编号：</w:t>
      </w:r>
      <w:r>
        <w:rPr>
          <w:rFonts w:ascii="Times New Roman" w:hAnsi="Times New Roman" w:cs="Times New Roman" w:eastAsia="Times New Roman" w:hint="default"/>
        </w:rPr>
        <w:t>2019-050</w:t>
      </w:r>
      <w:r>
        <w:rPr/>
        <w:t>）。</w:t>
      </w:r>
    </w:p>
    <w:p>
      <w:pPr>
        <w:pStyle w:val="BodyText"/>
        <w:spacing w:line="316" w:lineRule="auto" w:before="13"/>
        <w:ind w:right="1127" w:firstLine="360"/>
        <w:jc w:val="left"/>
      </w:pPr>
      <w:r>
        <w:rPr>
          <w:rFonts w:ascii="宋体" w:hAnsi="宋体" w:cs="宋体" w:eastAsia="宋体" w:hint="default"/>
          <w:spacing w:val="-3"/>
        </w:rPr>
        <w:t>2019</w:t>
      </w:r>
      <w:r>
        <w:rPr>
          <w:spacing w:val="-3"/>
        </w:rPr>
        <w:t>年</w:t>
      </w:r>
      <w:r>
        <w:rPr>
          <w:rFonts w:ascii="宋体" w:hAnsi="宋体" w:cs="宋体" w:eastAsia="宋体" w:hint="default"/>
          <w:spacing w:val="-3"/>
        </w:rPr>
        <w:t>6</w:t>
      </w:r>
      <w:r>
        <w:rPr>
          <w:spacing w:val="-3"/>
        </w:rPr>
        <w:t>月</w:t>
      </w:r>
      <w:r>
        <w:rPr>
          <w:rFonts w:ascii="宋体" w:hAnsi="宋体" w:cs="宋体" w:eastAsia="宋体" w:hint="default"/>
          <w:spacing w:val="-3"/>
        </w:rPr>
        <w:t>6</w:t>
      </w:r>
      <w:r>
        <w:rPr>
          <w:spacing w:val="-3"/>
        </w:rPr>
        <w:t>日召开第四届董事会第六次会议审议通过了《关于调整限制性股票和股票期权价格的议案》，公司对</w:t>
      </w:r>
      <w:r>
        <w:rPr>
          <w:rFonts w:ascii="宋体" w:hAnsi="宋体" w:cs="宋体" w:eastAsia="宋体" w:hint="default"/>
          <w:spacing w:val="-3"/>
        </w:rPr>
        <w:t>2016</w:t>
      </w:r>
      <w:r>
        <w:rPr>
          <w:rFonts w:ascii="宋体" w:hAnsi="宋体" w:cs="宋体" w:eastAsia="宋体" w:hint="default"/>
          <w:w w:val="101"/>
        </w:rPr>
        <w:t> </w:t>
      </w:r>
      <w:r>
        <w:rPr>
          <w:spacing w:val="-4"/>
        </w:rPr>
        <w:t>年限制性股票激励计划首次授予价格及暂缓授予价格进行调整。公司独立董事发表了同意独立意见，公司聘请律师出具了相</w:t>
      </w:r>
      <w:r>
        <w:rPr>
          <w:spacing w:val="38"/>
        </w:rPr>
        <w:t> </w:t>
      </w:r>
      <w:r>
        <w:rPr>
          <w:spacing w:val="38"/>
        </w:rPr>
      </w:r>
      <w:r>
        <w:rPr>
          <w:spacing w:val="-3"/>
        </w:rPr>
        <w:t>关法律意见书。</w:t>
      </w:r>
      <w:r>
        <w:rPr>
          <w:rFonts w:ascii="Times New Roman" w:hAnsi="Times New Roman" w:cs="Times New Roman" w:eastAsia="Times New Roman" w:hint="default"/>
          <w:spacing w:val="-3"/>
        </w:rPr>
        <w:t>2019</w:t>
      </w:r>
      <w:r>
        <w:rPr>
          <w:spacing w:val="-3"/>
        </w:rPr>
        <w:t>年</w:t>
      </w:r>
      <w:r>
        <w:rPr>
          <w:rFonts w:ascii="宋体" w:hAnsi="宋体" w:cs="宋体" w:eastAsia="宋体" w:hint="default"/>
          <w:spacing w:val="-3"/>
        </w:rPr>
        <w:t>6</w:t>
      </w:r>
      <w:r>
        <w:rPr>
          <w:spacing w:val="-3"/>
        </w:rPr>
        <w:t>月</w:t>
      </w:r>
      <w:r>
        <w:rPr>
          <w:rFonts w:ascii="宋体" w:hAnsi="宋体" w:cs="宋体" w:eastAsia="宋体" w:hint="default"/>
          <w:spacing w:val="-3"/>
        </w:rPr>
        <w:t>10</w:t>
      </w:r>
      <w:r>
        <w:rPr>
          <w:spacing w:val="-3"/>
        </w:rPr>
        <w:t>日，公司披露了《关于调整限制性股票和股票期权价格的公告》（公告编号：</w:t>
      </w:r>
      <w:r>
        <w:rPr>
          <w:rFonts w:ascii="Times New Roman" w:hAnsi="Times New Roman" w:cs="Times New Roman" w:eastAsia="Times New Roman" w:hint="default"/>
          <w:spacing w:val="-3"/>
        </w:rPr>
        <w:t>2019-058</w:t>
      </w:r>
      <w:r>
        <w:rPr>
          <w:spacing w:val="-3"/>
        </w:rPr>
        <w:t>）。</w:t>
      </w:r>
    </w:p>
    <w:p>
      <w:pPr>
        <w:spacing w:after="0" w:line="316" w:lineRule="auto"/>
        <w:jc w:val="left"/>
        <w:sectPr>
          <w:pgSz w:w="11910" w:h="16840"/>
          <w:pgMar w:header="784" w:footer="1022" w:top="1100" w:bottom="1220" w:left="980" w:right="0"/>
        </w:sectPr>
      </w:pPr>
    </w:p>
    <w:p>
      <w:pPr>
        <w:spacing w:line="240" w:lineRule="auto" w:before="10"/>
        <w:rPr>
          <w:rFonts w:ascii="宋体" w:hAnsi="宋体" w:cs="宋体" w:eastAsia="宋体" w:hint="default"/>
          <w:sz w:val="22"/>
          <w:szCs w:val="22"/>
        </w:rPr>
      </w:pPr>
    </w:p>
    <w:p>
      <w:pPr>
        <w:pStyle w:val="BodyText"/>
        <w:spacing w:line="304" w:lineRule="auto"/>
        <w:ind w:right="1122" w:firstLine="360"/>
        <w:jc w:val="both"/>
      </w:pPr>
      <w:r>
        <w:rPr>
          <w:rFonts w:ascii="Times New Roman" w:hAnsi="Times New Roman" w:cs="Times New Roman" w:eastAsia="Times New Roman" w:hint="default"/>
          <w:spacing w:val="-4"/>
        </w:rPr>
        <w:t>2019</w:t>
      </w:r>
      <w:r>
        <w:rPr>
          <w:spacing w:val="-4"/>
        </w:rPr>
        <w:t>年</w:t>
      </w:r>
      <w:r>
        <w:rPr>
          <w:rFonts w:ascii="宋体" w:hAnsi="宋体" w:cs="宋体" w:eastAsia="宋体" w:hint="default"/>
          <w:spacing w:val="-4"/>
        </w:rPr>
        <w:t>8</w:t>
      </w:r>
      <w:r>
        <w:rPr>
          <w:spacing w:val="-4"/>
        </w:rPr>
        <w:t>月</w:t>
      </w:r>
      <w:r>
        <w:rPr>
          <w:rFonts w:ascii="宋体" w:hAnsi="宋体" w:cs="宋体" w:eastAsia="宋体" w:hint="default"/>
          <w:spacing w:val="-4"/>
        </w:rPr>
        <w:t>8</w:t>
      </w:r>
      <w:r>
        <w:rPr>
          <w:spacing w:val="-4"/>
        </w:rPr>
        <w:t>日，公司召开第四届董事会第七次会议和第四届监事会第七次会议，审议通过了《关于回购注销部分限制性</w:t>
      </w:r>
      <w:r>
        <w:rPr>
          <w:w w:val="101"/>
        </w:rPr>
        <w:t> </w:t>
      </w:r>
      <w:r>
        <w:rPr>
          <w:spacing w:val="-4"/>
        </w:rPr>
        <w:t>股票的议案》，根据本激励计划的相关规定及公司</w:t>
      </w:r>
      <w:r>
        <w:rPr>
          <w:rFonts w:ascii="Times New Roman" w:hAnsi="Times New Roman" w:cs="Times New Roman" w:eastAsia="Times New Roman" w:hint="default"/>
          <w:spacing w:val="-4"/>
        </w:rPr>
        <w:t>2016</w:t>
      </w:r>
      <w:r>
        <w:rPr>
          <w:spacing w:val="-4"/>
        </w:rPr>
        <w:t>年第二次临时股东大会对董事会的授权及《上市公司股权激励管理办</w:t>
      </w:r>
      <w:r>
        <w:rPr>
          <w:spacing w:val="51"/>
        </w:rPr>
        <w:t> </w:t>
      </w:r>
      <w:r>
        <w:rPr>
          <w:spacing w:val="51"/>
        </w:rPr>
      </w:r>
      <w:r>
        <w:rPr>
          <w:spacing w:val="-4"/>
        </w:rPr>
        <w:t>法》等法律法规的规定，公司董事会同意对</w:t>
      </w:r>
      <w:r>
        <w:rPr>
          <w:rFonts w:ascii="Times New Roman" w:hAnsi="Times New Roman" w:cs="Times New Roman" w:eastAsia="Times New Roman" w:hint="default"/>
          <w:spacing w:val="-4"/>
        </w:rPr>
        <w:t>1</w:t>
      </w:r>
      <w:r>
        <w:rPr>
          <w:spacing w:val="-4"/>
        </w:rPr>
        <w:t>名离职的激励对象持有的已获授但尚未解除限售的</w:t>
      </w:r>
      <w:r>
        <w:rPr>
          <w:rFonts w:ascii="宋体" w:hAnsi="宋体" w:cs="宋体" w:eastAsia="宋体" w:hint="default"/>
          <w:spacing w:val="-4"/>
        </w:rPr>
        <w:t>9</w:t>
      </w:r>
      <w:r>
        <w:rPr>
          <w:spacing w:val="-4"/>
        </w:rPr>
        <w:t>万股（除权后）限制性股票</w:t>
      </w:r>
      <w:r>
        <w:rPr>
          <w:spacing w:val="45"/>
        </w:rPr>
        <w:t> </w:t>
      </w:r>
      <w:r>
        <w:rPr>
          <w:spacing w:val="45"/>
        </w:rPr>
      </w:r>
      <w:r>
        <w:rPr>
          <w:spacing w:val="-4"/>
        </w:rPr>
        <w:t>进行回购注销处理。监事会对本次回购注销部分限制性股票相关事项进行了核实并发表核查意见，公司独立董事、律师对该</w:t>
      </w:r>
      <w:r>
        <w:rPr>
          <w:spacing w:val="43"/>
        </w:rPr>
        <w:t> </w:t>
      </w:r>
      <w:r>
        <w:rPr>
          <w:spacing w:val="43"/>
        </w:rPr>
      </w:r>
      <w:r>
        <w:rPr>
          <w:spacing w:val="-3"/>
        </w:rPr>
        <w:t>事项发表了意见。</w:t>
      </w:r>
      <w:r>
        <w:rPr>
          <w:rFonts w:ascii="Times New Roman" w:hAnsi="Times New Roman" w:cs="Times New Roman" w:eastAsia="Times New Roman" w:hint="default"/>
          <w:spacing w:val="-3"/>
        </w:rPr>
        <w:t>2019</w:t>
      </w:r>
      <w:r>
        <w:rPr>
          <w:spacing w:val="-3"/>
        </w:rPr>
        <w:t>年</w:t>
      </w:r>
      <w:r>
        <w:rPr>
          <w:rFonts w:ascii="宋体" w:hAnsi="宋体" w:cs="宋体" w:eastAsia="宋体" w:hint="default"/>
          <w:spacing w:val="-3"/>
        </w:rPr>
        <w:t>12</w:t>
      </w:r>
      <w:r>
        <w:rPr>
          <w:spacing w:val="-3"/>
        </w:rPr>
        <w:t>月</w:t>
      </w:r>
      <w:r>
        <w:rPr>
          <w:rFonts w:ascii="Times New Roman" w:hAnsi="Times New Roman" w:cs="Times New Roman" w:eastAsia="Times New Roman" w:hint="default"/>
          <w:spacing w:val="-3"/>
        </w:rPr>
        <w:t>27</w:t>
      </w:r>
      <w:r>
        <w:rPr>
          <w:spacing w:val="-3"/>
        </w:rPr>
        <w:t>日，公司披露了《关于部分限制性股票回购注销完成的公告》（公告编号：</w:t>
      </w:r>
      <w:r>
        <w:rPr>
          <w:rFonts w:ascii="Times New Roman" w:hAnsi="Times New Roman" w:cs="Times New Roman" w:eastAsia="Times New Roman" w:hint="default"/>
          <w:spacing w:val="-3"/>
        </w:rPr>
        <w:t>2019-112</w:t>
      </w:r>
      <w:r>
        <w:rPr>
          <w:spacing w:val="-3"/>
        </w:rPr>
        <w:t>）。</w:t>
      </w:r>
      <w:r>
        <w:rPr/>
      </w:r>
    </w:p>
    <w:p>
      <w:pPr>
        <w:pStyle w:val="BodyText"/>
        <w:spacing w:line="240" w:lineRule="auto" w:before="9"/>
        <w:ind w:left="513" w:right="0"/>
        <w:jc w:val="left"/>
      </w:pPr>
      <w:r>
        <w:rPr>
          <w:rFonts w:ascii="Times New Roman" w:hAnsi="Times New Roman" w:cs="Times New Roman" w:eastAsia="Times New Roman" w:hint="default"/>
          <w:spacing w:val="-3"/>
        </w:rPr>
        <w:t>2</w:t>
      </w:r>
      <w:r>
        <w:rPr>
          <w:spacing w:val="-3"/>
        </w:rPr>
        <w:t>、报告期内，公司完成</w:t>
      </w:r>
      <w:r>
        <w:rPr>
          <w:rFonts w:ascii="Times New Roman" w:hAnsi="Times New Roman" w:cs="Times New Roman" w:eastAsia="Times New Roman" w:hint="default"/>
          <w:spacing w:val="-3"/>
        </w:rPr>
        <w:t>2017</w:t>
      </w:r>
      <w:r>
        <w:rPr>
          <w:spacing w:val="-3"/>
        </w:rPr>
        <w:t>年股权激励计划部分股票期权注销完成事项。</w:t>
      </w:r>
    </w:p>
    <w:p>
      <w:pPr>
        <w:pStyle w:val="BodyText"/>
        <w:spacing w:line="302" w:lineRule="auto" w:before="63"/>
        <w:ind w:right="1045" w:firstLine="360"/>
        <w:jc w:val="left"/>
      </w:pPr>
      <w:r>
        <w:rPr>
          <w:rFonts w:ascii="Times New Roman" w:hAnsi="Times New Roman" w:cs="Times New Roman" w:eastAsia="Times New Roman" w:hint="default"/>
          <w:spacing w:val="-4"/>
        </w:rPr>
        <w:t>2019</w:t>
      </w:r>
      <w:r>
        <w:rPr>
          <w:spacing w:val="-4"/>
        </w:rPr>
        <w:t>年</w:t>
      </w:r>
      <w:r>
        <w:rPr>
          <w:rFonts w:ascii="Times New Roman" w:hAnsi="Times New Roman" w:cs="Times New Roman" w:eastAsia="Times New Roman" w:hint="default"/>
          <w:spacing w:val="-4"/>
        </w:rPr>
        <w:t>6</w:t>
      </w:r>
      <w:r>
        <w:rPr>
          <w:spacing w:val="-4"/>
        </w:rPr>
        <w:t>月</w:t>
      </w:r>
      <w:r>
        <w:rPr>
          <w:rFonts w:ascii="Times New Roman" w:hAnsi="Times New Roman" w:cs="Times New Roman" w:eastAsia="Times New Roman" w:hint="default"/>
          <w:spacing w:val="-4"/>
        </w:rPr>
        <w:t>6</w:t>
      </w:r>
      <w:r>
        <w:rPr>
          <w:spacing w:val="-4"/>
        </w:rPr>
        <w:t>日，公司第四届董事会第六次会议和第四届监事会第六次会议审议通过了《关于公司注销</w:t>
      </w:r>
      <w:r>
        <w:rPr>
          <w:rFonts w:ascii="Times New Roman" w:hAnsi="Times New Roman" w:cs="Times New Roman" w:eastAsia="Times New Roman" w:hint="default"/>
          <w:spacing w:val="-4"/>
        </w:rPr>
        <w:t>2017</w:t>
      </w:r>
      <w:r>
        <w:rPr>
          <w:spacing w:val="-4"/>
        </w:rPr>
        <w:t>年股票期权激</w:t>
      </w:r>
      <w:r>
        <w:rPr>
          <w:w w:val="101"/>
        </w:rPr>
        <w:t> </w:t>
      </w:r>
      <w:r>
        <w:rPr>
          <w:spacing w:val="-4"/>
        </w:rPr>
        <w:t>励计划部分股票期权的议案》、《关于调整限制性股票和股票期权价格的议案》。原激励对象曹开宇等激励对象因个人原因</w:t>
      </w:r>
      <w:r>
        <w:rPr>
          <w:spacing w:val="43"/>
        </w:rPr>
        <w:t> </w:t>
      </w:r>
      <w:r>
        <w:rPr>
          <w:spacing w:val="43"/>
        </w:rPr>
      </w:r>
      <w:r>
        <w:rPr>
          <w:spacing w:val="-3"/>
        </w:rPr>
        <w:t>离职已不符合激励条件，同意注销其已获授的全部股票期权共计</w:t>
      </w:r>
      <w:r>
        <w:rPr>
          <w:rFonts w:ascii="Times New Roman" w:hAnsi="Times New Roman" w:cs="Times New Roman" w:eastAsia="Times New Roman" w:hint="default"/>
          <w:spacing w:val="-3"/>
        </w:rPr>
        <w:t>379,950</w:t>
      </w:r>
      <w:r>
        <w:rPr>
          <w:spacing w:val="-3"/>
        </w:rPr>
        <w:t>份。由于公司股票期权首次授予部分第二个行权期</w:t>
      </w:r>
      <w:r>
        <w:rPr>
          <w:spacing w:val="76"/>
        </w:rPr>
        <w:t> </w:t>
      </w:r>
      <w:r>
        <w:rPr>
          <w:spacing w:val="76"/>
        </w:rPr>
      </w:r>
      <w:r>
        <w:rPr>
          <w:spacing w:val="-3"/>
        </w:rPr>
        <w:t>及预留授予部分第一个行权期行权条件中的公司业绩考核条件未达成，所以根据《公司</w:t>
      </w:r>
      <w:r>
        <w:rPr>
          <w:rFonts w:ascii="Times New Roman" w:hAnsi="Times New Roman" w:cs="Times New Roman" w:eastAsia="Times New Roman" w:hint="default"/>
          <w:spacing w:val="-3"/>
        </w:rPr>
        <w:t>2017</w:t>
      </w:r>
      <w:r>
        <w:rPr>
          <w:spacing w:val="-3"/>
        </w:rPr>
        <w:t>年股票期权激励计划（草案）》</w:t>
      </w:r>
      <w:r>
        <w:rPr>
          <w:spacing w:val="73"/>
        </w:rPr>
        <w:t> </w:t>
      </w:r>
      <w:r>
        <w:rPr>
          <w:spacing w:val="73"/>
        </w:rPr>
      </w:r>
      <w:r>
        <w:rPr>
          <w:spacing w:val="-3"/>
        </w:rPr>
        <w:t>的规定，注销其他</w:t>
      </w:r>
      <w:r>
        <w:rPr>
          <w:rFonts w:ascii="Times New Roman" w:hAnsi="Times New Roman" w:cs="Times New Roman" w:eastAsia="Times New Roman" w:hint="default"/>
          <w:spacing w:val="-3"/>
        </w:rPr>
        <w:t>146</w:t>
      </w:r>
      <w:r>
        <w:rPr>
          <w:spacing w:val="-3"/>
        </w:rPr>
        <w:t>名激励对象首次授予已获授但未达到第二期行权条件的股票期权</w:t>
      </w:r>
      <w:r>
        <w:rPr>
          <w:rFonts w:ascii="Times New Roman" w:hAnsi="Times New Roman" w:cs="Times New Roman" w:eastAsia="Times New Roman" w:hint="default"/>
          <w:spacing w:val="-3"/>
        </w:rPr>
        <w:t>2,033,325</w:t>
      </w:r>
      <w:r>
        <w:rPr>
          <w:spacing w:val="-3"/>
        </w:rPr>
        <w:t>份，注销其他</w:t>
      </w:r>
      <w:r>
        <w:rPr>
          <w:rFonts w:ascii="Times New Roman" w:hAnsi="Times New Roman" w:cs="Times New Roman" w:eastAsia="Times New Roman" w:hint="default"/>
          <w:spacing w:val="-3"/>
        </w:rPr>
        <w:t>83</w:t>
      </w:r>
      <w:r>
        <w:rPr>
          <w:spacing w:val="-3"/>
        </w:rPr>
        <w:t>名激励对象</w:t>
      </w:r>
      <w:r>
        <w:rPr>
          <w:spacing w:val="3"/>
        </w:rPr>
        <w:t> </w:t>
      </w:r>
      <w:r>
        <w:rPr>
          <w:spacing w:val="3"/>
        </w:rPr>
      </w:r>
      <w:r>
        <w:rPr>
          <w:spacing w:val="-3"/>
        </w:rPr>
        <w:t>预留授予已获授但未达到第一期行权条件的股票期权</w:t>
      </w:r>
      <w:r>
        <w:rPr>
          <w:rFonts w:ascii="Times New Roman" w:hAnsi="Times New Roman" w:cs="Times New Roman" w:eastAsia="Times New Roman" w:hint="default"/>
          <w:spacing w:val="-3"/>
        </w:rPr>
        <w:t>456,500</w:t>
      </w:r>
      <w:r>
        <w:rPr>
          <w:spacing w:val="-3"/>
        </w:rPr>
        <w:t>份；公司对</w:t>
      </w:r>
      <w:r>
        <w:rPr>
          <w:rFonts w:ascii="宋体" w:hAnsi="宋体" w:cs="宋体" w:eastAsia="宋体" w:hint="default"/>
          <w:spacing w:val="-3"/>
        </w:rPr>
        <w:t>2017</w:t>
      </w:r>
      <w:r>
        <w:rPr>
          <w:spacing w:val="-3"/>
        </w:rPr>
        <w:t>年股票期权激励计划首次授予及预留授予行权</w:t>
      </w:r>
      <w:r>
        <w:rPr>
          <w:spacing w:val="-2"/>
        </w:rPr>
        <w:t> </w:t>
      </w:r>
      <w:r>
        <w:rPr>
          <w:spacing w:val="-2"/>
        </w:rPr>
      </w:r>
      <w:r>
        <w:rPr>
          <w:spacing w:val="-6"/>
        </w:rPr>
        <w:t>价格进行调整。公司独立董事发表了同意独立意见，公司聘请律师出具了相关法律意见书。</w:t>
      </w:r>
      <w:r>
        <w:rPr>
          <w:rFonts w:ascii="Times New Roman" w:hAnsi="Times New Roman" w:cs="Times New Roman" w:eastAsia="Times New Roman" w:hint="default"/>
          <w:spacing w:val="-6"/>
        </w:rPr>
        <w:t>2019</w:t>
      </w:r>
      <w:r>
        <w:rPr>
          <w:spacing w:val="-6"/>
        </w:rPr>
        <w:t>年</w:t>
      </w:r>
      <w:r>
        <w:rPr>
          <w:rFonts w:ascii="宋体" w:hAnsi="宋体" w:cs="宋体" w:eastAsia="宋体" w:hint="default"/>
          <w:spacing w:val="-6"/>
        </w:rPr>
        <w:t>6</w:t>
      </w:r>
      <w:r>
        <w:rPr>
          <w:spacing w:val="-6"/>
        </w:rPr>
        <w:t>月</w:t>
      </w:r>
      <w:r>
        <w:rPr>
          <w:rFonts w:ascii="宋体" w:hAnsi="宋体" w:cs="宋体" w:eastAsia="宋体" w:hint="default"/>
          <w:spacing w:val="-6"/>
        </w:rPr>
        <w:t>10</w:t>
      </w:r>
      <w:r>
        <w:rPr>
          <w:spacing w:val="-6"/>
        </w:rPr>
        <w:t>日，公司披露了《关</w:t>
      </w:r>
      <w:r>
        <w:rPr>
          <w:spacing w:val="-1"/>
        </w:rPr>
        <w:t> </w:t>
      </w:r>
      <w:r>
        <w:rPr>
          <w:spacing w:val="-1"/>
        </w:rPr>
      </w:r>
      <w:r>
        <w:rPr>
          <w:spacing w:val="-3"/>
        </w:rPr>
        <w:t>于调整限制性股票和股票期权价格的公告》（公告编号：</w:t>
      </w:r>
      <w:r>
        <w:rPr>
          <w:rFonts w:ascii="Times New Roman" w:hAnsi="Times New Roman" w:cs="Times New Roman" w:eastAsia="Times New Roman" w:hint="default"/>
          <w:spacing w:val="-3"/>
        </w:rPr>
        <w:t>2019-058</w:t>
      </w:r>
      <w:r>
        <w:rPr>
          <w:spacing w:val="-3"/>
        </w:rPr>
        <w:t>）。</w:t>
      </w:r>
      <w:r>
        <w:rPr>
          <w:rFonts w:ascii="Times New Roman" w:hAnsi="Times New Roman" w:cs="Times New Roman" w:eastAsia="Times New Roman" w:hint="default"/>
          <w:spacing w:val="-3"/>
        </w:rPr>
        <w:t>2019</w:t>
      </w:r>
      <w:r>
        <w:rPr>
          <w:spacing w:val="-3"/>
        </w:rPr>
        <w:t>年</w:t>
      </w:r>
      <w:r>
        <w:rPr>
          <w:rFonts w:ascii="Times New Roman" w:hAnsi="Times New Roman" w:cs="Times New Roman" w:eastAsia="Times New Roman" w:hint="default"/>
          <w:spacing w:val="-3"/>
        </w:rPr>
        <w:t>6</w:t>
      </w:r>
      <w:r>
        <w:rPr>
          <w:spacing w:val="-3"/>
        </w:rPr>
        <w:t>月</w:t>
      </w:r>
      <w:r>
        <w:rPr>
          <w:rFonts w:ascii="Times New Roman" w:hAnsi="Times New Roman" w:cs="Times New Roman" w:eastAsia="Times New Roman" w:hint="default"/>
          <w:spacing w:val="-3"/>
        </w:rPr>
        <w:t>18</w:t>
      </w:r>
      <w:r>
        <w:rPr>
          <w:spacing w:val="-3"/>
        </w:rPr>
        <w:t>日，公司披露了《关于公司</w:t>
      </w:r>
      <w:r>
        <w:rPr>
          <w:rFonts w:ascii="Times New Roman" w:hAnsi="Times New Roman" w:cs="Times New Roman" w:eastAsia="Times New Roman" w:hint="default"/>
          <w:spacing w:val="-3"/>
        </w:rPr>
        <w:t>2017</w:t>
      </w:r>
      <w:r>
        <w:rPr>
          <w:spacing w:val="-3"/>
        </w:rPr>
        <w:t>年股票</w:t>
      </w:r>
      <w:r>
        <w:rPr>
          <w:spacing w:val="6"/>
        </w:rPr>
        <w:t> </w:t>
      </w:r>
      <w:r>
        <w:rPr>
          <w:spacing w:val="6"/>
        </w:rPr>
      </w:r>
      <w:r>
        <w:rPr>
          <w:spacing w:val="-3"/>
        </w:rPr>
        <w:t>期权激励计划部分股票期权注销完成的公告》。</w:t>
      </w:r>
    </w:p>
    <w:p>
      <w:pPr>
        <w:pStyle w:val="BodyText"/>
        <w:spacing w:line="240" w:lineRule="auto" w:before="29"/>
        <w:ind w:left="513" w:right="0"/>
        <w:jc w:val="left"/>
      </w:pPr>
      <w:r>
        <w:rPr>
          <w:rFonts w:ascii="Times New Roman" w:hAnsi="Times New Roman" w:cs="Times New Roman" w:eastAsia="Times New Roman" w:hint="default"/>
          <w:spacing w:val="-3"/>
        </w:rPr>
        <w:t>3</w:t>
      </w:r>
      <w:r>
        <w:rPr>
          <w:spacing w:val="-3"/>
        </w:rPr>
        <w:t>、报告期内，公司对</w:t>
      </w:r>
      <w:r>
        <w:rPr>
          <w:rFonts w:ascii="Times New Roman" w:hAnsi="Times New Roman" w:cs="Times New Roman" w:eastAsia="Times New Roman" w:hint="default"/>
          <w:spacing w:val="-3"/>
        </w:rPr>
        <w:t>2018</w:t>
      </w:r>
      <w:r>
        <w:rPr>
          <w:spacing w:val="-3"/>
        </w:rPr>
        <w:t>年限制性股票激励计划预留的限制性股票进行了授予</w:t>
      </w:r>
    </w:p>
    <w:p>
      <w:pPr>
        <w:pStyle w:val="BodyText"/>
        <w:spacing w:line="309" w:lineRule="auto" w:before="63"/>
        <w:ind w:right="1122" w:firstLine="360"/>
        <w:jc w:val="both"/>
      </w:pPr>
      <w:r>
        <w:rPr>
          <w:rFonts w:ascii="Times New Roman" w:hAnsi="Times New Roman" w:cs="Times New Roman" w:eastAsia="Times New Roman" w:hint="default"/>
          <w:spacing w:val="-4"/>
        </w:rPr>
        <w:t>2019</w:t>
      </w:r>
      <w:r>
        <w:rPr>
          <w:spacing w:val="-4"/>
        </w:rPr>
        <w:t>年</w:t>
      </w:r>
      <w:r>
        <w:rPr>
          <w:rFonts w:ascii="Times New Roman" w:hAnsi="Times New Roman" w:cs="Times New Roman" w:eastAsia="Times New Roman" w:hint="default"/>
          <w:spacing w:val="-4"/>
        </w:rPr>
        <w:t>6</w:t>
      </w:r>
      <w:r>
        <w:rPr>
          <w:spacing w:val="-4"/>
        </w:rPr>
        <w:t>月</w:t>
      </w:r>
      <w:r>
        <w:rPr>
          <w:rFonts w:ascii="Times New Roman" w:hAnsi="Times New Roman" w:cs="Times New Roman" w:eastAsia="Times New Roman" w:hint="default"/>
          <w:spacing w:val="-4"/>
        </w:rPr>
        <w:t>6</w:t>
      </w:r>
      <w:r>
        <w:rPr>
          <w:spacing w:val="-4"/>
        </w:rPr>
        <w:t>日，公司第四届董事会第六次会议和第四届监事会第六次会议审议通过了《关于向激励对象授予</w:t>
      </w:r>
      <w:r>
        <w:rPr>
          <w:rFonts w:ascii="Times New Roman" w:hAnsi="Times New Roman" w:cs="Times New Roman" w:eastAsia="Times New Roman" w:hint="default"/>
          <w:spacing w:val="-4"/>
        </w:rPr>
        <w:t>2018</w:t>
      </w:r>
      <w:r>
        <w:rPr>
          <w:spacing w:val="-4"/>
        </w:rPr>
        <w:t>年限制</w:t>
      </w:r>
      <w:r>
        <w:rPr>
          <w:w w:val="101"/>
        </w:rPr>
        <w:t> </w:t>
      </w:r>
      <w:r>
        <w:rPr>
          <w:spacing w:val="-4"/>
        </w:rPr>
        <w:t>性股票激励计划预留限制性股票的议案》、《关于调整限制性股票和股票期权价格的议案》。公司监事会及独立董事分别对</w:t>
      </w:r>
      <w:r>
        <w:rPr>
          <w:spacing w:val="42"/>
        </w:rPr>
        <w:t> </w:t>
      </w:r>
      <w:r>
        <w:rPr>
          <w:spacing w:val="42"/>
        </w:rPr>
      </w:r>
      <w:r>
        <w:rPr>
          <w:spacing w:val="-4"/>
        </w:rPr>
        <w:t>激励对象获授予益的条件是否成就发表了明确意见，监事会对激励对象名单进行了核实并发表了核查意见，公司聘请的律师</w:t>
      </w:r>
      <w:r>
        <w:rPr>
          <w:spacing w:val="43"/>
        </w:rPr>
        <w:t> </w:t>
      </w:r>
      <w:r>
        <w:rPr>
          <w:spacing w:val="43"/>
        </w:rPr>
      </w:r>
      <w:r>
        <w:rPr>
          <w:spacing w:val="-4"/>
        </w:rPr>
        <w:t>出具了相关法律意见书；公司对</w:t>
      </w:r>
      <w:r>
        <w:rPr>
          <w:rFonts w:ascii="宋体" w:hAnsi="宋体" w:cs="宋体" w:eastAsia="宋体" w:hint="default"/>
          <w:spacing w:val="-4"/>
        </w:rPr>
        <w:t>2018</w:t>
      </w:r>
      <w:r>
        <w:rPr>
          <w:spacing w:val="-4"/>
        </w:rPr>
        <w:t>年限制性股票激励计划首次授予价格进行调整。公司独立董事发表了同意独立意见，公</w:t>
      </w:r>
      <w:r>
        <w:rPr>
          <w:spacing w:val="50"/>
        </w:rPr>
        <w:t> </w:t>
      </w:r>
      <w:r>
        <w:rPr>
          <w:spacing w:val="50"/>
        </w:rPr>
      </w:r>
      <w:r>
        <w:rPr>
          <w:spacing w:val="-3"/>
        </w:rPr>
        <w:t>司聘请律师出具了相关法律意见书。</w:t>
      </w:r>
      <w:r>
        <w:rPr>
          <w:rFonts w:ascii="Times New Roman" w:hAnsi="Times New Roman" w:cs="Times New Roman" w:eastAsia="Times New Roman" w:hint="default"/>
          <w:spacing w:val="-3"/>
        </w:rPr>
        <w:t>2019</w:t>
      </w:r>
      <w:r>
        <w:rPr>
          <w:spacing w:val="-3"/>
        </w:rPr>
        <w:t>年</w:t>
      </w:r>
      <w:r>
        <w:rPr>
          <w:rFonts w:ascii="宋体" w:hAnsi="宋体" w:cs="宋体" w:eastAsia="宋体" w:hint="default"/>
          <w:spacing w:val="-3"/>
        </w:rPr>
        <w:t>6</w:t>
      </w:r>
      <w:r>
        <w:rPr>
          <w:spacing w:val="-3"/>
        </w:rPr>
        <w:t>月</w:t>
      </w:r>
      <w:r>
        <w:rPr>
          <w:rFonts w:ascii="宋体" w:hAnsi="宋体" w:cs="宋体" w:eastAsia="宋体" w:hint="default"/>
          <w:spacing w:val="-3"/>
        </w:rPr>
        <w:t>10</w:t>
      </w:r>
      <w:r>
        <w:rPr>
          <w:spacing w:val="-3"/>
        </w:rPr>
        <w:t>日，公司披露了《关于调整限制性股票和股票期权价格的公告》（公告编</w:t>
      </w:r>
      <w:r>
        <w:rPr>
          <w:spacing w:val="79"/>
        </w:rPr>
        <w:t> </w:t>
      </w:r>
      <w:r>
        <w:rPr>
          <w:spacing w:val="79"/>
        </w:rPr>
      </w:r>
      <w:r>
        <w:rPr>
          <w:spacing w:val="-3"/>
        </w:rPr>
        <w:t>号：</w:t>
      </w:r>
      <w:r>
        <w:rPr>
          <w:rFonts w:ascii="Times New Roman" w:hAnsi="Times New Roman" w:cs="Times New Roman" w:eastAsia="Times New Roman" w:hint="default"/>
          <w:spacing w:val="-3"/>
        </w:rPr>
        <w:t>2019-058</w:t>
      </w:r>
      <w:r>
        <w:rPr>
          <w:spacing w:val="-3"/>
        </w:rPr>
        <w:t>）。</w:t>
      </w:r>
      <w:r>
        <w:rPr>
          <w:rFonts w:ascii="Times New Roman" w:hAnsi="Times New Roman" w:cs="Times New Roman" w:eastAsia="Times New Roman" w:hint="default"/>
          <w:spacing w:val="-3"/>
        </w:rPr>
        <w:t>2019</w:t>
      </w:r>
      <w:r>
        <w:rPr>
          <w:spacing w:val="-3"/>
        </w:rPr>
        <w:t>年</w:t>
      </w:r>
      <w:r>
        <w:rPr>
          <w:rFonts w:ascii="宋体" w:hAnsi="宋体" w:cs="宋体" w:eastAsia="宋体" w:hint="default"/>
          <w:spacing w:val="-3"/>
        </w:rPr>
        <w:t>7</w:t>
      </w:r>
      <w:r>
        <w:rPr>
          <w:spacing w:val="-3"/>
        </w:rPr>
        <w:t>月</w:t>
      </w:r>
      <w:r>
        <w:rPr>
          <w:rFonts w:ascii="宋体" w:hAnsi="宋体" w:cs="宋体" w:eastAsia="宋体" w:hint="default"/>
          <w:spacing w:val="-3"/>
        </w:rPr>
        <w:t>4</w:t>
      </w:r>
      <w:r>
        <w:rPr>
          <w:spacing w:val="-3"/>
        </w:rPr>
        <w:t>日，公司披露了《关于向</w:t>
      </w:r>
      <w:r>
        <w:rPr>
          <w:rFonts w:ascii="宋体" w:hAnsi="宋体" w:cs="宋体" w:eastAsia="宋体" w:hint="default"/>
          <w:spacing w:val="-3"/>
        </w:rPr>
        <w:t>2018</w:t>
      </w:r>
      <w:r>
        <w:rPr>
          <w:spacing w:val="-3"/>
        </w:rPr>
        <w:t>年限制性股票激励计划激励对象授予预留限制性股票登记完成的</w:t>
      </w:r>
      <w:r>
        <w:rPr>
          <w:spacing w:val="38"/>
        </w:rPr>
        <w:t> </w:t>
      </w:r>
      <w:r>
        <w:rPr>
          <w:spacing w:val="38"/>
        </w:rPr>
      </w:r>
      <w:r>
        <w:rPr>
          <w:spacing w:val="-3"/>
        </w:rPr>
        <w:t>公告》（公告编号：</w:t>
      </w:r>
      <w:r>
        <w:rPr>
          <w:rFonts w:ascii="Times New Roman" w:hAnsi="Times New Roman" w:cs="Times New Roman" w:eastAsia="Times New Roman" w:hint="default"/>
          <w:spacing w:val="-3"/>
        </w:rPr>
        <w:t>2019-063</w:t>
      </w:r>
      <w:r>
        <w:rPr>
          <w:spacing w:val="-3"/>
        </w:rPr>
        <w:t>）。</w:t>
      </w:r>
      <w:r>
        <w:rPr/>
      </w:r>
    </w:p>
    <w:p>
      <w:pPr>
        <w:spacing w:line="240" w:lineRule="auto" w:before="5"/>
        <w:rPr>
          <w:rFonts w:ascii="宋体" w:hAnsi="宋体" w:cs="宋体" w:eastAsia="宋体" w:hint="default"/>
          <w:sz w:val="23"/>
          <w:szCs w:val="23"/>
        </w:rPr>
      </w:pPr>
    </w:p>
    <w:tbl>
      <w:tblPr>
        <w:tblW w:w="0" w:type="auto"/>
        <w:jc w:val="left"/>
        <w:tblInd w:w="143" w:type="dxa"/>
        <w:tblLayout w:type="fixed"/>
        <w:tblCellMar>
          <w:top w:w="0" w:type="dxa"/>
          <w:left w:w="0" w:type="dxa"/>
          <w:bottom w:w="0" w:type="dxa"/>
          <w:right w:w="0" w:type="dxa"/>
        </w:tblCellMar>
        <w:tblLook w:val="01E0"/>
      </w:tblPr>
      <w:tblGrid>
        <w:gridCol w:w="1877"/>
        <w:gridCol w:w="2877"/>
        <w:gridCol w:w="4821"/>
      </w:tblGrid>
      <w:tr>
        <w:trPr>
          <w:trHeight w:val="346" w:hRule="exact"/>
        </w:trPr>
        <w:tc>
          <w:tcPr>
            <w:tcW w:w="1877"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0"/>
              <w:ind w:left="571" w:right="0"/>
              <w:jc w:val="left"/>
              <w:rPr>
                <w:rFonts w:ascii="宋体" w:hAnsi="宋体" w:cs="宋体" w:eastAsia="宋体" w:hint="default"/>
                <w:sz w:val="18"/>
                <w:szCs w:val="18"/>
              </w:rPr>
            </w:pPr>
            <w:r>
              <w:rPr>
                <w:rFonts w:ascii="宋体" w:hAnsi="宋体" w:cs="宋体" w:eastAsia="宋体" w:hint="default"/>
                <w:sz w:val="18"/>
                <w:szCs w:val="18"/>
              </w:rPr>
              <w:t>披露时间</w:t>
            </w:r>
          </w:p>
        </w:tc>
        <w:tc>
          <w:tcPr>
            <w:tcW w:w="2877"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0"/>
              <w:ind w:left="715" w:right="0"/>
              <w:jc w:val="left"/>
              <w:rPr>
                <w:rFonts w:ascii="宋体" w:hAnsi="宋体" w:cs="宋体" w:eastAsia="宋体" w:hint="default"/>
                <w:sz w:val="18"/>
                <w:szCs w:val="18"/>
              </w:rPr>
            </w:pPr>
            <w:r>
              <w:rPr>
                <w:rFonts w:ascii="宋体" w:hAnsi="宋体" w:cs="宋体" w:eastAsia="宋体" w:hint="default"/>
                <w:sz w:val="18"/>
                <w:szCs w:val="18"/>
              </w:rPr>
              <w:t>信息披露网站名称</w:t>
            </w:r>
          </w:p>
        </w:tc>
        <w:tc>
          <w:tcPr>
            <w:tcW w:w="4821"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0"/>
              <w:ind w:left="9" w:right="0"/>
              <w:jc w:val="center"/>
              <w:rPr>
                <w:rFonts w:ascii="宋体" w:hAnsi="宋体" w:cs="宋体" w:eastAsia="宋体" w:hint="default"/>
                <w:sz w:val="18"/>
                <w:szCs w:val="18"/>
              </w:rPr>
            </w:pPr>
            <w:r>
              <w:rPr>
                <w:rFonts w:ascii="宋体" w:hAnsi="宋体" w:cs="宋体" w:eastAsia="宋体" w:hint="default"/>
                <w:sz w:val="18"/>
                <w:szCs w:val="18"/>
              </w:rPr>
              <w:t>公告名称</w:t>
            </w:r>
          </w:p>
        </w:tc>
      </w:tr>
      <w:tr>
        <w:trPr>
          <w:trHeight w:val="662" w:hRule="exact"/>
        </w:trPr>
        <w:tc>
          <w:tcPr>
            <w:tcW w:w="18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52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4</w:t>
            </w:r>
            <w:r>
              <w:rPr>
                <w:rFonts w:ascii="宋体" w:hAnsi="宋体" w:cs="宋体" w:eastAsia="宋体" w:hint="default"/>
                <w:sz w:val="18"/>
                <w:szCs w:val="18"/>
              </w:rPr>
              <w:t>月</w:t>
            </w:r>
            <w:r>
              <w:rPr>
                <w:rFonts w:ascii="Times New Roman" w:hAnsi="Times New Roman" w:cs="Times New Roman" w:eastAsia="Times New Roman" w:hint="default"/>
                <w:sz w:val="18"/>
                <w:szCs w:val="18"/>
              </w:rPr>
              <w:t>19</w:t>
            </w:r>
            <w:r>
              <w:rPr>
                <w:rFonts w:ascii="宋体" w:hAnsi="宋体" w:cs="宋体" w:eastAsia="宋体" w:hint="default"/>
                <w:sz w:val="18"/>
                <w:szCs w:val="18"/>
              </w:rPr>
              <w:t>日</w:t>
            </w:r>
          </w:p>
        </w:tc>
        <w:tc>
          <w:tcPr>
            <w:tcW w:w="28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9" w:right="0"/>
              <w:jc w:val="center"/>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240" w:lineRule="auto" w:before="76"/>
              <w:ind w:left="4" w:right="0"/>
              <w:jc w:val="center"/>
              <w:rPr>
                <w:rFonts w:ascii="宋体" w:hAnsi="宋体" w:cs="宋体" w:eastAsia="宋体" w:hint="default"/>
                <w:sz w:val="18"/>
                <w:szCs w:val="18"/>
              </w:rPr>
            </w:pPr>
            <w:r>
              <w:rPr>
                <w:rFonts w:ascii="宋体" w:hAnsi="宋体" w:cs="宋体" w:eastAsia="宋体" w:hint="default"/>
                <w:spacing w:val="-3"/>
                <w:sz w:val="18"/>
                <w:szCs w:val="18"/>
              </w:rPr>
              <w:t>（</w:t>
            </w:r>
            <w:hyperlink r:id="rId12">
              <w:r>
                <w:rPr>
                  <w:rFonts w:ascii="Times New Roman" w:hAnsi="Times New Roman" w:cs="Times New Roman" w:eastAsia="Times New Roman" w:hint="default"/>
                  <w:spacing w:val="-3"/>
                  <w:sz w:val="18"/>
                  <w:szCs w:val="18"/>
                </w:rPr>
                <w:t>www.cninfo.com.cn</w:t>
              </w:r>
            </w:hyperlink>
            <w:r>
              <w:rPr>
                <w:rFonts w:ascii="宋体" w:hAnsi="宋体" w:cs="宋体" w:eastAsia="宋体" w:hint="default"/>
                <w:spacing w:val="-3"/>
                <w:sz w:val="18"/>
                <w:szCs w:val="18"/>
              </w:rPr>
              <w:t>）</w:t>
            </w:r>
          </w:p>
        </w:tc>
        <w:tc>
          <w:tcPr>
            <w:tcW w:w="482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0"/>
              <w:ind w:left="604" w:right="-5" w:hanging="600"/>
              <w:jc w:val="left"/>
              <w:rPr>
                <w:rFonts w:ascii="宋体" w:hAnsi="宋体" w:cs="宋体" w:eastAsia="宋体" w:hint="default"/>
                <w:sz w:val="18"/>
                <w:szCs w:val="18"/>
              </w:rPr>
            </w:pPr>
            <w:r>
              <w:rPr>
                <w:rFonts w:ascii="宋体" w:hAnsi="宋体" w:cs="宋体" w:eastAsia="宋体" w:hint="default"/>
                <w:spacing w:val="-5"/>
                <w:sz w:val="18"/>
                <w:szCs w:val="18"/>
              </w:rPr>
              <w:t>《奥拓电子：关于公司限制性股票激励计划暂缓授予部分第二</w:t>
            </w:r>
            <w:r>
              <w:rPr>
                <w:rFonts w:ascii="宋体" w:hAnsi="宋体" w:cs="宋体" w:eastAsia="宋体" w:hint="default"/>
                <w:spacing w:val="-14"/>
                <w:sz w:val="18"/>
                <w:szCs w:val="18"/>
              </w:rPr>
              <w:t> </w:t>
            </w:r>
            <w:r>
              <w:rPr>
                <w:rFonts w:ascii="宋体" w:hAnsi="宋体" w:cs="宋体" w:eastAsia="宋体" w:hint="default"/>
                <w:spacing w:val="-14"/>
                <w:sz w:val="18"/>
                <w:szCs w:val="18"/>
              </w:rPr>
            </w:r>
            <w:r>
              <w:rPr>
                <w:rFonts w:ascii="宋体" w:hAnsi="宋体" w:cs="宋体" w:eastAsia="宋体" w:hint="default"/>
                <w:spacing w:val="-3"/>
                <w:sz w:val="18"/>
                <w:szCs w:val="18"/>
              </w:rPr>
              <w:t>个解锁期限制性股票上市流通的提示性公告》</w:t>
            </w:r>
          </w:p>
        </w:tc>
      </w:tr>
      <w:tr>
        <w:trPr>
          <w:trHeight w:val="658" w:hRule="exact"/>
        </w:trPr>
        <w:tc>
          <w:tcPr>
            <w:tcW w:w="18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52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5</w:t>
            </w:r>
            <w:r>
              <w:rPr>
                <w:rFonts w:ascii="宋体" w:hAnsi="宋体" w:cs="宋体" w:eastAsia="宋体" w:hint="default"/>
                <w:sz w:val="18"/>
                <w:szCs w:val="18"/>
              </w:rPr>
              <w:t>月</w:t>
            </w:r>
            <w:r>
              <w:rPr>
                <w:rFonts w:ascii="Times New Roman" w:hAnsi="Times New Roman" w:cs="Times New Roman" w:eastAsia="Times New Roman" w:hint="default"/>
                <w:sz w:val="18"/>
                <w:szCs w:val="18"/>
              </w:rPr>
              <w:t>16</w:t>
            </w:r>
            <w:r>
              <w:rPr>
                <w:rFonts w:ascii="宋体" w:hAnsi="宋体" w:cs="宋体" w:eastAsia="宋体" w:hint="default"/>
                <w:sz w:val="18"/>
                <w:szCs w:val="18"/>
              </w:rPr>
              <w:t>日</w:t>
            </w:r>
          </w:p>
        </w:tc>
        <w:tc>
          <w:tcPr>
            <w:tcW w:w="28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9" w:right="0"/>
              <w:jc w:val="center"/>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240" w:lineRule="auto" w:before="76"/>
              <w:ind w:left="4" w:right="0"/>
              <w:jc w:val="center"/>
              <w:rPr>
                <w:rFonts w:ascii="宋体" w:hAnsi="宋体" w:cs="宋体" w:eastAsia="宋体" w:hint="default"/>
                <w:sz w:val="18"/>
                <w:szCs w:val="18"/>
              </w:rPr>
            </w:pPr>
            <w:r>
              <w:rPr>
                <w:rFonts w:ascii="宋体" w:hAnsi="宋体" w:cs="宋体" w:eastAsia="宋体" w:hint="default"/>
                <w:spacing w:val="-3"/>
                <w:sz w:val="18"/>
                <w:szCs w:val="18"/>
              </w:rPr>
              <w:t>（</w:t>
            </w:r>
            <w:hyperlink r:id="rId12">
              <w:r>
                <w:rPr>
                  <w:rFonts w:ascii="Times New Roman" w:hAnsi="Times New Roman" w:cs="Times New Roman" w:eastAsia="Times New Roman" w:hint="default"/>
                  <w:spacing w:val="-3"/>
                  <w:sz w:val="18"/>
                  <w:szCs w:val="18"/>
                </w:rPr>
                <w:t>www.cninfo.com.cn</w:t>
              </w:r>
            </w:hyperlink>
            <w:r>
              <w:rPr>
                <w:rFonts w:ascii="宋体" w:hAnsi="宋体" w:cs="宋体" w:eastAsia="宋体" w:hint="default"/>
                <w:spacing w:val="-3"/>
                <w:sz w:val="18"/>
                <w:szCs w:val="18"/>
              </w:rPr>
              <w:t>）</w:t>
            </w:r>
          </w:p>
        </w:tc>
        <w:tc>
          <w:tcPr>
            <w:tcW w:w="4821"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0"/>
              <w:ind w:left="873" w:right="-5" w:hanging="869"/>
              <w:jc w:val="left"/>
              <w:rPr>
                <w:rFonts w:ascii="宋体" w:hAnsi="宋体" w:cs="宋体" w:eastAsia="宋体" w:hint="default"/>
                <w:sz w:val="18"/>
                <w:szCs w:val="18"/>
              </w:rPr>
            </w:pPr>
            <w:r>
              <w:rPr>
                <w:rFonts w:ascii="宋体" w:hAnsi="宋体" w:cs="宋体" w:eastAsia="宋体" w:hint="default"/>
                <w:spacing w:val="-5"/>
                <w:sz w:val="18"/>
                <w:szCs w:val="18"/>
              </w:rPr>
              <w:t>《奥拓电子：关于公司</w:t>
            </w:r>
            <w:r>
              <w:rPr>
                <w:rFonts w:ascii="Times New Roman" w:hAnsi="Times New Roman" w:cs="Times New Roman" w:eastAsia="Times New Roman" w:hint="default"/>
                <w:spacing w:val="-5"/>
                <w:sz w:val="18"/>
                <w:szCs w:val="18"/>
              </w:rPr>
              <w:t>2016</w:t>
            </w:r>
            <w:r>
              <w:rPr>
                <w:rFonts w:ascii="宋体" w:hAnsi="宋体" w:cs="宋体" w:eastAsia="宋体" w:hint="default"/>
                <w:spacing w:val="-5"/>
                <w:sz w:val="18"/>
                <w:szCs w:val="18"/>
              </w:rPr>
              <w:t>年限制性股票激励计划第三个解锁 </w:t>
            </w:r>
            <w:r>
              <w:rPr>
                <w:rFonts w:ascii="宋体" w:hAnsi="宋体" w:cs="宋体" w:eastAsia="宋体" w:hint="default"/>
                <w:spacing w:val="-3"/>
                <w:sz w:val="18"/>
                <w:szCs w:val="18"/>
              </w:rPr>
              <w:t>期限制性股票上市流通的提示性公告》</w:t>
            </w:r>
          </w:p>
        </w:tc>
      </w:tr>
      <w:tr>
        <w:trPr>
          <w:trHeight w:val="658" w:hRule="exact"/>
        </w:trPr>
        <w:tc>
          <w:tcPr>
            <w:tcW w:w="18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left="52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5</w:t>
            </w:r>
            <w:r>
              <w:rPr>
                <w:rFonts w:ascii="宋体" w:hAnsi="宋体" w:cs="宋体" w:eastAsia="宋体" w:hint="default"/>
                <w:sz w:val="18"/>
                <w:szCs w:val="18"/>
              </w:rPr>
              <w:t>月</w:t>
            </w:r>
            <w:r>
              <w:rPr>
                <w:rFonts w:ascii="Times New Roman" w:hAnsi="Times New Roman" w:cs="Times New Roman" w:eastAsia="Times New Roman" w:hint="default"/>
                <w:sz w:val="18"/>
                <w:szCs w:val="18"/>
              </w:rPr>
              <w:t>25</w:t>
            </w:r>
            <w:r>
              <w:rPr>
                <w:rFonts w:ascii="宋体" w:hAnsi="宋体" w:cs="宋体" w:eastAsia="宋体" w:hint="default"/>
                <w:sz w:val="18"/>
                <w:szCs w:val="18"/>
              </w:rPr>
              <w:t>日</w:t>
            </w:r>
          </w:p>
        </w:tc>
        <w:tc>
          <w:tcPr>
            <w:tcW w:w="28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9" w:right="0"/>
              <w:jc w:val="center"/>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240" w:lineRule="auto" w:before="77"/>
              <w:ind w:left="4" w:right="0"/>
              <w:jc w:val="center"/>
              <w:rPr>
                <w:rFonts w:ascii="宋体" w:hAnsi="宋体" w:cs="宋体" w:eastAsia="宋体" w:hint="default"/>
                <w:sz w:val="18"/>
                <w:szCs w:val="18"/>
              </w:rPr>
            </w:pPr>
            <w:r>
              <w:rPr>
                <w:rFonts w:ascii="宋体" w:hAnsi="宋体" w:cs="宋体" w:eastAsia="宋体" w:hint="default"/>
                <w:spacing w:val="-3"/>
                <w:sz w:val="18"/>
                <w:szCs w:val="18"/>
              </w:rPr>
              <w:t>（</w:t>
            </w:r>
            <w:hyperlink r:id="rId12">
              <w:r>
                <w:rPr>
                  <w:rFonts w:ascii="Times New Roman" w:hAnsi="Times New Roman" w:cs="Times New Roman" w:eastAsia="Times New Roman" w:hint="default"/>
                  <w:spacing w:val="-3"/>
                  <w:sz w:val="18"/>
                  <w:szCs w:val="18"/>
                </w:rPr>
                <w:t>www.cninfo.com.cn</w:t>
              </w:r>
            </w:hyperlink>
            <w:r>
              <w:rPr>
                <w:rFonts w:ascii="宋体" w:hAnsi="宋体" w:cs="宋体" w:eastAsia="宋体" w:hint="default"/>
                <w:spacing w:val="-3"/>
                <w:sz w:val="18"/>
                <w:szCs w:val="18"/>
              </w:rPr>
              <w:t>）</w:t>
            </w:r>
          </w:p>
        </w:tc>
        <w:tc>
          <w:tcPr>
            <w:tcW w:w="48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pacing w:val="-3"/>
                <w:sz w:val="18"/>
                <w:szCs w:val="18"/>
              </w:rPr>
              <w:t>《奥拓电子：关于部分限制性股票回购注销完成的公告》</w:t>
            </w:r>
          </w:p>
        </w:tc>
      </w:tr>
      <w:tr>
        <w:trPr>
          <w:trHeight w:val="658" w:hRule="exact"/>
        </w:trPr>
        <w:tc>
          <w:tcPr>
            <w:tcW w:w="18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5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w:t>
            </w:r>
            <w:r>
              <w:rPr>
                <w:rFonts w:ascii="Times New Roman" w:hAnsi="Times New Roman" w:cs="Times New Roman" w:eastAsia="Times New Roman" w:hint="default"/>
                <w:sz w:val="18"/>
                <w:szCs w:val="18"/>
              </w:rPr>
              <w:t>6</w:t>
            </w:r>
            <w:r>
              <w:rPr>
                <w:rFonts w:ascii="宋体" w:hAnsi="宋体" w:cs="宋体" w:eastAsia="宋体" w:hint="default"/>
                <w:sz w:val="18"/>
                <w:szCs w:val="18"/>
              </w:rPr>
              <w:t>日</w:t>
            </w:r>
          </w:p>
        </w:tc>
        <w:tc>
          <w:tcPr>
            <w:tcW w:w="28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9" w:right="0"/>
              <w:jc w:val="center"/>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240" w:lineRule="auto" w:before="76"/>
              <w:ind w:left="4" w:right="0"/>
              <w:jc w:val="center"/>
              <w:rPr>
                <w:rFonts w:ascii="宋体" w:hAnsi="宋体" w:cs="宋体" w:eastAsia="宋体" w:hint="default"/>
                <w:sz w:val="18"/>
                <w:szCs w:val="18"/>
              </w:rPr>
            </w:pPr>
            <w:r>
              <w:rPr>
                <w:rFonts w:ascii="宋体" w:hAnsi="宋体" w:cs="宋体" w:eastAsia="宋体" w:hint="default"/>
                <w:spacing w:val="-3"/>
                <w:sz w:val="18"/>
                <w:szCs w:val="18"/>
              </w:rPr>
              <w:t>（</w:t>
            </w:r>
            <w:hyperlink r:id="rId12">
              <w:r>
                <w:rPr>
                  <w:rFonts w:ascii="Times New Roman" w:hAnsi="Times New Roman" w:cs="Times New Roman" w:eastAsia="Times New Roman" w:hint="default"/>
                  <w:spacing w:val="-3"/>
                  <w:sz w:val="18"/>
                  <w:szCs w:val="18"/>
                </w:rPr>
                <w:t>www.cninfo.com.cn</w:t>
              </w:r>
            </w:hyperlink>
            <w:r>
              <w:rPr>
                <w:rFonts w:ascii="宋体" w:hAnsi="宋体" w:cs="宋体" w:eastAsia="宋体" w:hint="default"/>
                <w:spacing w:val="-3"/>
                <w:sz w:val="18"/>
                <w:szCs w:val="18"/>
              </w:rPr>
              <w:t>）</w:t>
            </w:r>
          </w:p>
        </w:tc>
        <w:tc>
          <w:tcPr>
            <w:tcW w:w="48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pacing w:val="-3"/>
                <w:sz w:val="18"/>
                <w:szCs w:val="18"/>
              </w:rPr>
              <w:t>《奥拓电子：关于部分限制性股票回购注销完成的公告》</w:t>
            </w:r>
          </w:p>
        </w:tc>
      </w:tr>
      <w:tr>
        <w:trPr>
          <w:trHeight w:val="975" w:hRule="exact"/>
        </w:trPr>
        <w:tc>
          <w:tcPr>
            <w:tcW w:w="18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5"/>
                <w:szCs w:val="25"/>
              </w:rPr>
            </w:pPr>
          </w:p>
          <w:p>
            <w:pPr>
              <w:pStyle w:val="TableParagraph"/>
              <w:spacing w:line="240" w:lineRule="auto"/>
              <w:ind w:left="52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w:t>
            </w:r>
            <w:r>
              <w:rPr>
                <w:rFonts w:ascii="Times New Roman" w:hAnsi="Times New Roman" w:cs="Times New Roman" w:eastAsia="Times New Roman" w:hint="default"/>
                <w:sz w:val="18"/>
                <w:szCs w:val="18"/>
              </w:rPr>
              <w:t>10</w:t>
            </w:r>
            <w:r>
              <w:rPr>
                <w:rFonts w:ascii="宋体" w:hAnsi="宋体" w:cs="宋体" w:eastAsia="宋体" w:hint="default"/>
                <w:sz w:val="18"/>
                <w:szCs w:val="18"/>
              </w:rPr>
              <w:t>日</w:t>
            </w:r>
          </w:p>
        </w:tc>
        <w:tc>
          <w:tcPr>
            <w:tcW w:w="28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240" w:lineRule="auto" w:before="77"/>
              <w:ind w:left="4" w:right="0"/>
              <w:jc w:val="center"/>
              <w:rPr>
                <w:rFonts w:ascii="宋体" w:hAnsi="宋体" w:cs="宋体" w:eastAsia="宋体" w:hint="default"/>
                <w:sz w:val="18"/>
                <w:szCs w:val="18"/>
              </w:rPr>
            </w:pPr>
            <w:r>
              <w:rPr>
                <w:rFonts w:ascii="宋体" w:hAnsi="宋体" w:cs="宋体" w:eastAsia="宋体" w:hint="default"/>
                <w:spacing w:val="-3"/>
                <w:sz w:val="18"/>
                <w:szCs w:val="18"/>
              </w:rPr>
              <w:t>（</w:t>
            </w:r>
            <w:hyperlink r:id="rId12">
              <w:r>
                <w:rPr>
                  <w:rFonts w:ascii="Times New Roman" w:hAnsi="Times New Roman" w:cs="Times New Roman" w:eastAsia="Times New Roman" w:hint="default"/>
                  <w:spacing w:val="-3"/>
                  <w:sz w:val="18"/>
                  <w:szCs w:val="18"/>
                </w:rPr>
                <w:t>www.cninfo.com.cn</w:t>
              </w:r>
            </w:hyperlink>
            <w:r>
              <w:rPr>
                <w:rFonts w:ascii="宋体" w:hAnsi="宋体" w:cs="宋体" w:eastAsia="宋体" w:hint="default"/>
                <w:spacing w:val="-3"/>
                <w:sz w:val="18"/>
                <w:szCs w:val="18"/>
              </w:rPr>
              <w:t>）</w:t>
            </w:r>
          </w:p>
        </w:tc>
        <w:tc>
          <w:tcPr>
            <w:tcW w:w="4821"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5"/>
              <w:ind w:left="4" w:right="-5" w:hanging="1"/>
              <w:jc w:val="center"/>
              <w:rPr>
                <w:rFonts w:ascii="宋体" w:hAnsi="宋体" w:cs="宋体" w:eastAsia="宋体" w:hint="default"/>
                <w:sz w:val="18"/>
                <w:szCs w:val="18"/>
              </w:rPr>
            </w:pPr>
            <w:r>
              <w:rPr>
                <w:rFonts w:ascii="宋体" w:hAnsi="宋体" w:cs="宋体" w:eastAsia="宋体" w:hint="default"/>
                <w:spacing w:val="-5"/>
                <w:sz w:val="18"/>
                <w:szCs w:val="18"/>
              </w:rPr>
              <w:t>《奥拓电子：关于向</w:t>
            </w:r>
            <w:r>
              <w:rPr>
                <w:rFonts w:ascii="Times New Roman" w:hAnsi="Times New Roman" w:cs="Times New Roman" w:eastAsia="Times New Roman" w:hint="default"/>
                <w:spacing w:val="-5"/>
                <w:sz w:val="18"/>
                <w:szCs w:val="18"/>
              </w:rPr>
              <w:t>2018</w:t>
            </w:r>
            <w:r>
              <w:rPr>
                <w:rFonts w:ascii="宋体" w:hAnsi="宋体" w:cs="宋体" w:eastAsia="宋体" w:hint="default"/>
                <w:spacing w:val="-5"/>
                <w:sz w:val="18"/>
                <w:szCs w:val="18"/>
              </w:rPr>
              <w:t>年限制性股票激励计划激励对象授予</w:t>
            </w:r>
            <w:r>
              <w:rPr>
                <w:rFonts w:ascii="宋体" w:hAnsi="宋体" w:cs="宋体" w:eastAsia="宋体" w:hint="default"/>
                <w:spacing w:val="-14"/>
                <w:sz w:val="18"/>
                <w:szCs w:val="18"/>
              </w:rPr>
              <w:t> </w:t>
            </w:r>
            <w:r>
              <w:rPr>
                <w:rFonts w:ascii="宋体" w:hAnsi="宋体" w:cs="宋体" w:eastAsia="宋体" w:hint="default"/>
                <w:spacing w:val="-14"/>
                <w:sz w:val="18"/>
                <w:szCs w:val="18"/>
              </w:rPr>
            </w:r>
            <w:r>
              <w:rPr>
                <w:rFonts w:ascii="宋体" w:hAnsi="宋体" w:cs="宋体" w:eastAsia="宋体" w:hint="default"/>
                <w:spacing w:val="-5"/>
                <w:sz w:val="18"/>
                <w:szCs w:val="18"/>
              </w:rPr>
              <w:t>预留限制性股票的公告》、《奥拓电子：</w:t>
            </w:r>
            <w:r>
              <w:rPr>
                <w:rFonts w:ascii="Times New Roman" w:hAnsi="Times New Roman" w:cs="Times New Roman" w:eastAsia="Times New Roman" w:hint="default"/>
                <w:spacing w:val="-5"/>
                <w:sz w:val="18"/>
                <w:szCs w:val="18"/>
              </w:rPr>
              <w:t>2018</w:t>
            </w:r>
            <w:r>
              <w:rPr>
                <w:rFonts w:ascii="宋体" w:hAnsi="宋体" w:cs="宋体" w:eastAsia="宋体" w:hint="default"/>
                <w:spacing w:val="-5"/>
                <w:sz w:val="18"/>
                <w:szCs w:val="18"/>
              </w:rPr>
              <w:t>年限制性股票激</w:t>
            </w:r>
            <w:r>
              <w:rPr>
                <w:rFonts w:ascii="宋体" w:hAnsi="宋体" w:cs="宋体" w:eastAsia="宋体" w:hint="default"/>
                <w:spacing w:val="-16"/>
                <w:sz w:val="18"/>
                <w:szCs w:val="18"/>
              </w:rPr>
              <w:t> </w:t>
            </w:r>
            <w:r>
              <w:rPr>
                <w:rFonts w:ascii="宋体" w:hAnsi="宋体" w:cs="宋体" w:eastAsia="宋体" w:hint="default"/>
                <w:spacing w:val="-16"/>
                <w:sz w:val="18"/>
                <w:szCs w:val="18"/>
              </w:rPr>
            </w:r>
            <w:r>
              <w:rPr>
                <w:rFonts w:ascii="宋体" w:hAnsi="宋体" w:cs="宋体" w:eastAsia="宋体" w:hint="default"/>
                <w:spacing w:val="-3"/>
                <w:sz w:val="18"/>
                <w:szCs w:val="18"/>
              </w:rPr>
              <w:t>励计划预留限制性股票激励对象名单》</w:t>
            </w:r>
          </w:p>
        </w:tc>
      </w:tr>
      <w:tr>
        <w:trPr>
          <w:trHeight w:val="658" w:hRule="exact"/>
        </w:trPr>
        <w:tc>
          <w:tcPr>
            <w:tcW w:w="18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52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w:t>
            </w:r>
            <w:r>
              <w:rPr>
                <w:rFonts w:ascii="Times New Roman" w:hAnsi="Times New Roman" w:cs="Times New Roman" w:eastAsia="Times New Roman" w:hint="default"/>
                <w:sz w:val="18"/>
                <w:szCs w:val="18"/>
              </w:rPr>
              <w:t>18</w:t>
            </w:r>
            <w:r>
              <w:rPr>
                <w:rFonts w:ascii="宋体" w:hAnsi="宋体" w:cs="宋体" w:eastAsia="宋体" w:hint="default"/>
                <w:sz w:val="18"/>
                <w:szCs w:val="18"/>
              </w:rPr>
              <w:t>日</w:t>
            </w:r>
          </w:p>
        </w:tc>
        <w:tc>
          <w:tcPr>
            <w:tcW w:w="28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9" w:right="0"/>
              <w:jc w:val="center"/>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240" w:lineRule="auto" w:before="76"/>
              <w:ind w:left="4" w:right="0"/>
              <w:jc w:val="center"/>
              <w:rPr>
                <w:rFonts w:ascii="宋体" w:hAnsi="宋体" w:cs="宋体" w:eastAsia="宋体" w:hint="default"/>
                <w:sz w:val="18"/>
                <w:szCs w:val="18"/>
              </w:rPr>
            </w:pPr>
            <w:r>
              <w:rPr>
                <w:rFonts w:ascii="宋体" w:hAnsi="宋体" w:cs="宋体" w:eastAsia="宋体" w:hint="default"/>
                <w:spacing w:val="-3"/>
                <w:sz w:val="18"/>
                <w:szCs w:val="18"/>
              </w:rPr>
              <w:t>（</w:t>
            </w:r>
            <w:hyperlink r:id="rId12">
              <w:r>
                <w:rPr>
                  <w:rFonts w:ascii="Times New Roman" w:hAnsi="Times New Roman" w:cs="Times New Roman" w:eastAsia="Times New Roman" w:hint="default"/>
                  <w:spacing w:val="-3"/>
                  <w:sz w:val="18"/>
                  <w:szCs w:val="18"/>
                </w:rPr>
                <w:t>www.cninfo.com.cn</w:t>
              </w:r>
            </w:hyperlink>
            <w:r>
              <w:rPr>
                <w:rFonts w:ascii="宋体" w:hAnsi="宋体" w:cs="宋体" w:eastAsia="宋体" w:hint="default"/>
                <w:spacing w:val="-3"/>
                <w:sz w:val="18"/>
                <w:szCs w:val="18"/>
              </w:rPr>
              <w:t>）</w:t>
            </w:r>
          </w:p>
        </w:tc>
        <w:tc>
          <w:tcPr>
            <w:tcW w:w="4821"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0"/>
              <w:ind w:left="1685" w:right="-5" w:hanging="1681"/>
              <w:jc w:val="left"/>
              <w:rPr>
                <w:rFonts w:ascii="宋体" w:hAnsi="宋体" w:cs="宋体" w:eastAsia="宋体" w:hint="default"/>
                <w:sz w:val="18"/>
                <w:szCs w:val="18"/>
              </w:rPr>
            </w:pPr>
            <w:r>
              <w:rPr>
                <w:rFonts w:ascii="宋体" w:hAnsi="宋体" w:cs="宋体" w:eastAsia="宋体" w:hint="default"/>
                <w:spacing w:val="-5"/>
                <w:sz w:val="18"/>
                <w:szCs w:val="18"/>
              </w:rPr>
              <w:t>《奥拓电子：关于公司</w:t>
            </w:r>
            <w:r>
              <w:rPr>
                <w:rFonts w:ascii="Times New Roman" w:hAnsi="Times New Roman" w:cs="Times New Roman" w:eastAsia="Times New Roman" w:hint="default"/>
                <w:spacing w:val="-5"/>
                <w:sz w:val="18"/>
                <w:szCs w:val="18"/>
              </w:rPr>
              <w:t>2017</w:t>
            </w:r>
            <w:r>
              <w:rPr>
                <w:rFonts w:ascii="宋体" w:hAnsi="宋体" w:cs="宋体" w:eastAsia="宋体" w:hint="default"/>
                <w:spacing w:val="-5"/>
                <w:sz w:val="18"/>
                <w:szCs w:val="18"/>
              </w:rPr>
              <w:t>年股票期权激励计划部分股票期权 </w:t>
            </w:r>
            <w:r>
              <w:rPr>
                <w:rFonts w:ascii="宋体" w:hAnsi="宋体" w:cs="宋体" w:eastAsia="宋体" w:hint="default"/>
                <w:sz w:val="18"/>
                <w:szCs w:val="18"/>
              </w:rPr>
              <w:t>注销完成的公告》</w:t>
            </w:r>
          </w:p>
        </w:tc>
      </w:tr>
    </w:tbl>
    <w:p>
      <w:pPr>
        <w:spacing w:after="0" w:line="300" w:lineRule="auto"/>
        <w:jc w:val="left"/>
        <w:rPr>
          <w:rFonts w:ascii="宋体" w:hAnsi="宋体" w:cs="宋体" w:eastAsia="宋体" w:hint="default"/>
          <w:sz w:val="18"/>
          <w:szCs w:val="18"/>
        </w:rPr>
        <w:sectPr>
          <w:pgSz w:w="11910" w:h="16840"/>
          <w:pgMar w:header="784" w:footer="1022" w:top="1100" w:bottom="1220" w:left="980" w:right="0"/>
        </w:sectPr>
      </w:pPr>
    </w:p>
    <w:p>
      <w:pPr>
        <w:spacing w:line="240" w:lineRule="auto" w:before="6"/>
        <w:rPr>
          <w:rFonts w:ascii="宋体" w:hAnsi="宋体" w:cs="宋体" w:eastAsia="宋体" w:hint="default"/>
          <w:sz w:val="20"/>
          <w:szCs w:val="20"/>
        </w:rPr>
      </w:pPr>
    </w:p>
    <w:p>
      <w:pPr>
        <w:pStyle w:val="Heading2"/>
        <w:spacing w:line="240" w:lineRule="auto" w:before="26"/>
        <w:ind w:right="0"/>
        <w:jc w:val="left"/>
        <w:rPr>
          <w:b w:val="0"/>
          <w:bCs w:val="0"/>
        </w:rPr>
      </w:pPr>
      <w:bookmarkStart w:name="十六、重大关联交易" w:id="81"/>
      <w:bookmarkEnd w:id="81"/>
      <w:r>
        <w:rPr>
          <w:b w:val="0"/>
          <w:bCs w:val="0"/>
        </w:rPr>
      </w:r>
      <w:r>
        <w:rPr/>
        <w:t>十六、重大关联交易</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0"/>
        <w:jc w:val="left"/>
        <w:rPr>
          <w:b w:val="0"/>
          <w:bCs w:val="0"/>
        </w:rPr>
      </w:pPr>
      <w:bookmarkStart w:name="1、与日常经营相关的关联交易" w:id="82"/>
      <w:bookmarkEnd w:id="82"/>
      <w:r>
        <w:rPr>
          <w:b w:val="0"/>
          <w:bCs w:val="0"/>
        </w:rPr>
      </w:r>
      <w:r>
        <w:rPr>
          <w:rFonts w:ascii="Times New Roman" w:hAnsi="Times New Roman" w:cs="Times New Roman" w:eastAsia="Times New Roman" w:hint="default"/>
        </w:rPr>
        <w:t>1</w:t>
      </w:r>
      <w:r>
        <w:rPr/>
        <w:t>、与日常经营相关的关联交易</w:t>
      </w:r>
      <w:r>
        <w:rPr>
          <w:b w:val="0"/>
          <w:bCs w:val="0"/>
        </w:rPr>
      </w:r>
    </w:p>
    <w:p>
      <w:pPr>
        <w:spacing w:line="240" w:lineRule="auto" w:before="1"/>
        <w:rPr>
          <w:rFonts w:ascii="宋体" w:hAnsi="宋体" w:cs="宋体" w:eastAsia="宋体" w:hint="default"/>
          <w:b/>
          <w:bCs/>
          <w:sz w:val="27"/>
          <w:szCs w:val="27"/>
        </w:rPr>
      </w:pPr>
    </w:p>
    <w:p>
      <w:pPr>
        <w:pStyle w:val="BodyText"/>
        <w:spacing w:line="357" w:lineRule="auto" w:before="0"/>
        <w:ind w:right="6445"/>
        <w:jc w:val="left"/>
      </w:pPr>
      <w:r>
        <w:rPr/>
        <w:t>□ </w:t>
      </w:r>
      <w:r>
        <w:rPr>
          <w:spacing w:val="-3"/>
        </w:rPr>
        <w:t>适用 </w:t>
      </w:r>
      <w:r>
        <w:rPr/>
        <w:t>√ 不适用</w:t>
      </w:r>
      <w:r>
        <w:rPr>
          <w:spacing w:val="-77"/>
        </w:rPr>
        <w:t> </w:t>
      </w:r>
      <w:r>
        <w:rPr>
          <w:spacing w:val="-77"/>
        </w:rPr>
      </w:r>
      <w:r>
        <w:rPr>
          <w:spacing w:val="-3"/>
        </w:rPr>
        <w:t>公司报告期未发生与日常经营相关的关联交易。</w:t>
      </w:r>
    </w:p>
    <w:p>
      <w:pPr>
        <w:spacing w:line="240" w:lineRule="auto" w:before="7"/>
        <w:rPr>
          <w:rFonts w:ascii="宋体" w:hAnsi="宋体" w:cs="宋体" w:eastAsia="宋体" w:hint="default"/>
          <w:sz w:val="19"/>
          <w:szCs w:val="19"/>
        </w:rPr>
      </w:pPr>
    </w:p>
    <w:p>
      <w:pPr>
        <w:pStyle w:val="Heading4"/>
        <w:spacing w:line="240" w:lineRule="auto"/>
        <w:ind w:right="0"/>
        <w:jc w:val="left"/>
        <w:rPr>
          <w:b w:val="0"/>
          <w:bCs w:val="0"/>
        </w:rPr>
      </w:pPr>
      <w:bookmarkStart w:name="2、资产或股权收购、出售发生的关联交易" w:id="83"/>
      <w:bookmarkEnd w:id="83"/>
      <w:r>
        <w:rPr>
          <w:b w:val="0"/>
          <w:bCs w:val="0"/>
        </w:rPr>
      </w:r>
      <w:r>
        <w:rPr>
          <w:rFonts w:ascii="Times New Roman" w:hAnsi="Times New Roman" w:cs="Times New Roman" w:eastAsia="Times New Roman" w:hint="default"/>
        </w:rPr>
        <w:t>2</w:t>
      </w:r>
      <w:r>
        <w:rPr/>
        <w:t>、资产或股权收购、出售发生的关联交易</w:t>
      </w:r>
      <w:r>
        <w:rPr>
          <w:b w:val="0"/>
          <w:bCs w:val="0"/>
        </w:rPr>
      </w:r>
    </w:p>
    <w:p>
      <w:pPr>
        <w:spacing w:line="240" w:lineRule="auto" w:before="1"/>
        <w:rPr>
          <w:rFonts w:ascii="宋体" w:hAnsi="宋体" w:cs="宋体" w:eastAsia="宋体" w:hint="default"/>
          <w:b/>
          <w:bCs/>
          <w:sz w:val="27"/>
          <w:szCs w:val="27"/>
        </w:rPr>
      </w:pPr>
    </w:p>
    <w:p>
      <w:pPr>
        <w:pStyle w:val="BodyText"/>
        <w:spacing w:line="357" w:lineRule="auto" w:before="0"/>
        <w:ind w:right="6445"/>
        <w:jc w:val="left"/>
      </w:pPr>
      <w:r>
        <w:rPr/>
        <w:t>□ </w:t>
      </w:r>
      <w:r>
        <w:rPr>
          <w:spacing w:val="-3"/>
        </w:rPr>
        <w:t>适用 </w:t>
      </w:r>
      <w:r>
        <w:rPr/>
        <w:t>√ 不适用</w:t>
      </w:r>
      <w:r>
        <w:rPr>
          <w:spacing w:val="-77"/>
        </w:rPr>
        <w:t> </w:t>
      </w:r>
      <w:r>
        <w:rPr>
          <w:spacing w:val="-77"/>
        </w:rPr>
      </w:r>
      <w:r>
        <w:rPr>
          <w:spacing w:val="-3"/>
        </w:rPr>
        <w:t>公司报告期未发生资产或股权收购、出售的关联交易。</w:t>
      </w:r>
    </w:p>
    <w:p>
      <w:pPr>
        <w:spacing w:line="240" w:lineRule="auto" w:before="12"/>
        <w:rPr>
          <w:rFonts w:ascii="宋体" w:hAnsi="宋体" w:cs="宋体" w:eastAsia="宋体" w:hint="default"/>
          <w:sz w:val="19"/>
          <w:szCs w:val="19"/>
        </w:rPr>
      </w:pPr>
    </w:p>
    <w:p>
      <w:pPr>
        <w:pStyle w:val="Heading4"/>
        <w:spacing w:line="240" w:lineRule="auto"/>
        <w:ind w:right="0"/>
        <w:jc w:val="left"/>
        <w:rPr>
          <w:b w:val="0"/>
          <w:bCs w:val="0"/>
        </w:rPr>
      </w:pPr>
      <w:bookmarkStart w:name="3、共同对外投资的关联交易" w:id="84"/>
      <w:bookmarkEnd w:id="84"/>
      <w:r>
        <w:rPr>
          <w:b w:val="0"/>
          <w:bCs w:val="0"/>
        </w:rPr>
      </w:r>
      <w:r>
        <w:rPr>
          <w:rFonts w:ascii="Times New Roman" w:hAnsi="Times New Roman" w:cs="Times New Roman" w:eastAsia="Times New Roman" w:hint="default"/>
        </w:rPr>
        <w:t>3</w:t>
      </w:r>
      <w:r>
        <w:rPr/>
        <w:t>、共同对外投资的关联交易</w:t>
      </w:r>
      <w:r>
        <w:rPr>
          <w:b w:val="0"/>
          <w:bCs w:val="0"/>
        </w:rPr>
      </w:r>
    </w:p>
    <w:p>
      <w:pPr>
        <w:spacing w:line="240" w:lineRule="auto" w:before="1"/>
        <w:rPr>
          <w:rFonts w:ascii="宋体" w:hAnsi="宋体" w:cs="宋体" w:eastAsia="宋体" w:hint="default"/>
          <w:b/>
          <w:bCs/>
          <w:sz w:val="27"/>
          <w:szCs w:val="27"/>
        </w:rPr>
      </w:pPr>
    </w:p>
    <w:p>
      <w:pPr>
        <w:pStyle w:val="BodyText"/>
        <w:spacing w:line="357" w:lineRule="auto" w:before="0"/>
        <w:ind w:right="6445"/>
        <w:jc w:val="left"/>
      </w:pPr>
      <w:r>
        <w:rPr/>
        <w:t>□ </w:t>
      </w:r>
      <w:r>
        <w:rPr>
          <w:spacing w:val="-3"/>
        </w:rPr>
        <w:t>适用 </w:t>
      </w:r>
      <w:r>
        <w:rPr/>
        <w:t>√ 不适用</w:t>
      </w:r>
      <w:r>
        <w:rPr>
          <w:spacing w:val="-77"/>
        </w:rPr>
        <w:t> </w:t>
      </w:r>
      <w:r>
        <w:rPr>
          <w:spacing w:val="-77"/>
        </w:rPr>
      </w:r>
      <w:r>
        <w:rPr>
          <w:spacing w:val="-3"/>
        </w:rPr>
        <w:t>公司报告期未发生共同对外投资的关联交易。</w:t>
      </w:r>
    </w:p>
    <w:p>
      <w:pPr>
        <w:spacing w:line="240" w:lineRule="auto" w:before="7"/>
        <w:rPr>
          <w:rFonts w:ascii="宋体" w:hAnsi="宋体" w:cs="宋体" w:eastAsia="宋体" w:hint="default"/>
          <w:sz w:val="19"/>
          <w:szCs w:val="19"/>
        </w:rPr>
      </w:pPr>
    </w:p>
    <w:p>
      <w:pPr>
        <w:pStyle w:val="Heading4"/>
        <w:spacing w:line="240" w:lineRule="auto"/>
        <w:ind w:right="0"/>
        <w:jc w:val="left"/>
        <w:rPr>
          <w:b w:val="0"/>
          <w:bCs w:val="0"/>
        </w:rPr>
      </w:pPr>
      <w:bookmarkStart w:name="4、关联债权债务往来" w:id="85"/>
      <w:bookmarkEnd w:id="85"/>
      <w:r>
        <w:rPr>
          <w:b w:val="0"/>
          <w:bCs w:val="0"/>
        </w:rPr>
      </w:r>
      <w:r>
        <w:rPr>
          <w:rFonts w:ascii="Times New Roman" w:hAnsi="Times New Roman" w:cs="Times New Roman" w:eastAsia="Times New Roman" w:hint="default"/>
        </w:rPr>
        <w:t>4</w:t>
      </w:r>
      <w:r>
        <w:rPr/>
        <w:t>、关联债权债务往来</w:t>
      </w:r>
      <w:r>
        <w:rPr>
          <w:b w:val="0"/>
          <w:bCs w:val="0"/>
        </w:rPr>
      </w:r>
    </w:p>
    <w:p>
      <w:pPr>
        <w:spacing w:line="240" w:lineRule="auto" w:before="1"/>
        <w:rPr>
          <w:rFonts w:ascii="宋体" w:hAnsi="宋体" w:cs="宋体" w:eastAsia="宋体" w:hint="default"/>
          <w:b/>
          <w:bCs/>
          <w:sz w:val="27"/>
          <w:szCs w:val="27"/>
        </w:rPr>
      </w:pPr>
    </w:p>
    <w:p>
      <w:pPr>
        <w:pStyle w:val="BodyText"/>
        <w:spacing w:line="362" w:lineRule="auto" w:before="0"/>
        <w:ind w:right="6445"/>
        <w:jc w:val="left"/>
      </w:pPr>
      <w:r>
        <w:rPr/>
        <w:t>□ </w:t>
      </w:r>
      <w:r>
        <w:rPr>
          <w:spacing w:val="-3"/>
        </w:rPr>
        <w:t>适用 </w:t>
      </w:r>
      <w:r>
        <w:rPr/>
        <w:t>√ 不适用</w:t>
      </w:r>
      <w:r>
        <w:rPr>
          <w:spacing w:val="-77"/>
        </w:rPr>
        <w:t> </w:t>
      </w:r>
      <w:r>
        <w:rPr>
          <w:spacing w:val="-77"/>
        </w:rPr>
      </w:r>
      <w:r>
        <w:rPr>
          <w:spacing w:val="-3"/>
        </w:rPr>
        <w:t>公司报告期不存在关联债权债务往来。</w:t>
      </w:r>
    </w:p>
    <w:p>
      <w:pPr>
        <w:spacing w:line="240" w:lineRule="auto" w:before="3"/>
        <w:rPr>
          <w:rFonts w:ascii="宋体" w:hAnsi="宋体" w:cs="宋体" w:eastAsia="宋体" w:hint="default"/>
          <w:sz w:val="19"/>
          <w:szCs w:val="19"/>
        </w:rPr>
      </w:pPr>
    </w:p>
    <w:p>
      <w:pPr>
        <w:pStyle w:val="Heading4"/>
        <w:spacing w:line="240" w:lineRule="auto"/>
        <w:ind w:right="0"/>
        <w:jc w:val="left"/>
        <w:rPr>
          <w:b w:val="0"/>
          <w:bCs w:val="0"/>
        </w:rPr>
      </w:pPr>
      <w:bookmarkStart w:name="5、其他重大关联交易" w:id="86"/>
      <w:bookmarkEnd w:id="86"/>
      <w:r>
        <w:rPr>
          <w:b w:val="0"/>
          <w:bCs w:val="0"/>
        </w:rPr>
      </w:r>
      <w:r>
        <w:rPr>
          <w:rFonts w:ascii="Times New Roman" w:hAnsi="Times New Roman" w:cs="Times New Roman" w:eastAsia="Times New Roman" w:hint="default"/>
        </w:rPr>
        <w:t>5</w:t>
      </w:r>
      <w:r>
        <w:rPr/>
        <w:t>、其他重大关联交易</w:t>
      </w:r>
      <w:r>
        <w:rPr>
          <w:b w:val="0"/>
          <w:bCs w:val="0"/>
        </w:rPr>
      </w:r>
    </w:p>
    <w:p>
      <w:pPr>
        <w:spacing w:line="240" w:lineRule="auto" w:before="1"/>
        <w:rPr>
          <w:rFonts w:ascii="宋体" w:hAnsi="宋体" w:cs="宋体" w:eastAsia="宋体" w:hint="default"/>
          <w:b/>
          <w:bCs/>
          <w:sz w:val="27"/>
          <w:szCs w:val="27"/>
        </w:rPr>
      </w:pPr>
    </w:p>
    <w:p>
      <w:pPr>
        <w:pStyle w:val="BodyText"/>
        <w:spacing w:line="357" w:lineRule="auto" w:before="0"/>
        <w:ind w:right="7667"/>
        <w:jc w:val="left"/>
      </w:pPr>
      <w:r>
        <w:rPr/>
        <w:t>□ </w:t>
      </w:r>
      <w:r>
        <w:rPr>
          <w:spacing w:val="-3"/>
        </w:rPr>
        <w:t>适用 </w:t>
      </w:r>
      <w:r>
        <w:rPr/>
        <w:t>√ 不适用</w:t>
      </w:r>
      <w:r>
        <w:rPr>
          <w:spacing w:val="-77"/>
        </w:rPr>
        <w:t> </w:t>
      </w:r>
      <w:r>
        <w:rPr>
          <w:spacing w:val="-77"/>
        </w:rPr>
      </w:r>
      <w:r>
        <w:rPr>
          <w:spacing w:val="-3"/>
        </w:rPr>
        <w:t>公司报告期无其他重大关联交易。</w:t>
      </w:r>
    </w:p>
    <w:p>
      <w:pPr>
        <w:spacing w:line="240" w:lineRule="auto" w:before="8"/>
        <w:rPr>
          <w:rFonts w:ascii="宋体" w:hAnsi="宋体" w:cs="宋体" w:eastAsia="宋体" w:hint="default"/>
          <w:sz w:val="17"/>
          <w:szCs w:val="17"/>
        </w:rPr>
      </w:pPr>
    </w:p>
    <w:p>
      <w:pPr>
        <w:pStyle w:val="Heading2"/>
        <w:spacing w:line="240" w:lineRule="auto"/>
        <w:ind w:right="0"/>
        <w:jc w:val="left"/>
        <w:rPr>
          <w:b w:val="0"/>
          <w:bCs w:val="0"/>
        </w:rPr>
      </w:pPr>
      <w:bookmarkStart w:name="十七、重大合同及其履行情况" w:id="87"/>
      <w:bookmarkEnd w:id="87"/>
      <w:r>
        <w:rPr>
          <w:b w:val="0"/>
          <w:bCs w:val="0"/>
        </w:rPr>
      </w:r>
      <w:r>
        <w:rPr/>
        <w:t>十七、重大合同及其履行情况</w:t>
      </w:r>
      <w:r>
        <w:rPr>
          <w:b w:val="0"/>
          <w:bCs w:val="0"/>
        </w:rPr>
      </w:r>
    </w:p>
    <w:p>
      <w:pPr>
        <w:spacing w:line="240" w:lineRule="auto" w:before="3"/>
        <w:rPr>
          <w:rFonts w:ascii="宋体" w:hAnsi="宋体" w:cs="宋体" w:eastAsia="宋体" w:hint="default"/>
          <w:b/>
          <w:bCs/>
          <w:sz w:val="25"/>
          <w:szCs w:val="25"/>
        </w:rPr>
      </w:pPr>
    </w:p>
    <w:p>
      <w:pPr>
        <w:pStyle w:val="Heading4"/>
        <w:spacing w:line="240" w:lineRule="auto"/>
        <w:ind w:right="0"/>
        <w:jc w:val="left"/>
        <w:rPr>
          <w:b w:val="0"/>
          <w:bCs w:val="0"/>
        </w:rPr>
      </w:pPr>
      <w:bookmarkStart w:name="1、托管、承包、租赁事项情况" w:id="88"/>
      <w:bookmarkEnd w:id="88"/>
      <w:r>
        <w:rPr>
          <w:b w:val="0"/>
          <w:bCs w:val="0"/>
        </w:rPr>
      </w:r>
      <w:r>
        <w:rPr>
          <w:rFonts w:ascii="Times New Roman" w:hAnsi="Times New Roman" w:cs="Times New Roman" w:eastAsia="Times New Roman" w:hint="default"/>
        </w:rPr>
        <w:t>1</w:t>
      </w:r>
      <w:r>
        <w:rPr/>
        <w:t>、托管、承包、租赁事项情况</w:t>
      </w:r>
      <w:r>
        <w:rPr>
          <w:b w:val="0"/>
          <w:bCs w:val="0"/>
        </w:rPr>
      </w:r>
    </w:p>
    <w:p>
      <w:pPr>
        <w:spacing w:line="240" w:lineRule="auto" w:before="5"/>
        <w:rPr>
          <w:rFonts w:ascii="宋体" w:hAnsi="宋体" w:cs="宋体" w:eastAsia="宋体" w:hint="default"/>
          <w:b/>
          <w:bCs/>
          <w:sz w:val="24"/>
          <w:szCs w:val="24"/>
        </w:rPr>
      </w:pPr>
    </w:p>
    <w:p>
      <w:pPr>
        <w:pStyle w:val="Heading4"/>
        <w:spacing w:line="240" w:lineRule="auto"/>
        <w:ind w:right="0"/>
        <w:jc w:val="left"/>
        <w:rPr>
          <w:b w:val="0"/>
          <w:bCs w:val="0"/>
        </w:rPr>
      </w:pPr>
      <w:bookmarkStart w:name="（1）托管情况" w:id="89"/>
      <w:bookmarkEnd w:id="89"/>
      <w:r>
        <w:rPr>
          <w:b w:val="0"/>
          <w:bCs w:val="0"/>
        </w:rPr>
      </w:r>
      <w:r>
        <w:rPr/>
        <w:t>（</w:t>
      </w:r>
      <w:r>
        <w:rPr>
          <w:rFonts w:ascii="Times New Roman" w:hAnsi="Times New Roman" w:cs="Times New Roman" w:eastAsia="Times New Roman" w:hint="default"/>
        </w:rPr>
        <w:t>1</w:t>
      </w:r>
      <w:r>
        <w:rPr/>
        <w:t>）托管情况</w:t>
      </w:r>
      <w:r>
        <w:rPr>
          <w:b w:val="0"/>
          <w:bCs w:val="0"/>
        </w:rPr>
      </w:r>
    </w:p>
    <w:p>
      <w:pPr>
        <w:spacing w:line="240" w:lineRule="auto" w:before="1"/>
        <w:rPr>
          <w:rFonts w:ascii="宋体" w:hAnsi="宋体" w:cs="宋体" w:eastAsia="宋体" w:hint="default"/>
          <w:b/>
          <w:bCs/>
          <w:sz w:val="27"/>
          <w:szCs w:val="27"/>
        </w:rPr>
      </w:pPr>
    </w:p>
    <w:p>
      <w:pPr>
        <w:pStyle w:val="BodyText"/>
        <w:spacing w:line="357" w:lineRule="auto" w:before="0"/>
        <w:ind w:right="7667"/>
        <w:jc w:val="left"/>
      </w:pPr>
      <w:r>
        <w:rPr/>
        <w:t>□ </w:t>
      </w:r>
      <w:r>
        <w:rPr>
          <w:spacing w:val="-3"/>
        </w:rPr>
        <w:t>适用 </w:t>
      </w:r>
      <w:r>
        <w:rPr/>
        <w:t>√ 不适用</w:t>
      </w:r>
      <w:r>
        <w:rPr>
          <w:spacing w:val="-77"/>
        </w:rPr>
        <w:t> </w:t>
      </w:r>
      <w:r>
        <w:rPr>
          <w:spacing w:val="-77"/>
        </w:rPr>
      </w:r>
      <w:r>
        <w:rPr>
          <w:spacing w:val="-3"/>
        </w:rPr>
        <w:t>公司报告期不存在托管情况。</w:t>
      </w:r>
    </w:p>
    <w:p>
      <w:pPr>
        <w:spacing w:line="240" w:lineRule="auto" w:before="12"/>
        <w:rPr>
          <w:rFonts w:ascii="宋体" w:hAnsi="宋体" w:cs="宋体" w:eastAsia="宋体" w:hint="default"/>
          <w:sz w:val="19"/>
          <w:szCs w:val="19"/>
        </w:rPr>
      </w:pPr>
    </w:p>
    <w:p>
      <w:pPr>
        <w:pStyle w:val="Heading4"/>
        <w:spacing w:line="240" w:lineRule="auto"/>
        <w:ind w:right="0"/>
        <w:jc w:val="left"/>
        <w:rPr>
          <w:b w:val="0"/>
          <w:bCs w:val="0"/>
        </w:rPr>
      </w:pPr>
      <w:bookmarkStart w:name="（2）承包情况" w:id="90"/>
      <w:bookmarkEnd w:id="90"/>
      <w:r>
        <w:rPr>
          <w:b w:val="0"/>
          <w:bCs w:val="0"/>
        </w:rPr>
      </w:r>
      <w:r>
        <w:rPr/>
        <w:t>（</w:t>
      </w:r>
      <w:r>
        <w:rPr>
          <w:rFonts w:ascii="Times New Roman" w:hAnsi="Times New Roman" w:cs="Times New Roman" w:eastAsia="Times New Roman" w:hint="default"/>
        </w:rPr>
        <w:t>2</w:t>
      </w:r>
      <w:r>
        <w:rPr/>
        <w:t>）承包情况</w:t>
      </w:r>
      <w:r>
        <w:rPr>
          <w:b w:val="0"/>
          <w:bCs w:val="0"/>
        </w:rPr>
      </w:r>
    </w:p>
    <w:p>
      <w:pPr>
        <w:spacing w:line="240" w:lineRule="auto" w:before="1"/>
        <w:rPr>
          <w:rFonts w:ascii="宋体" w:hAnsi="宋体" w:cs="宋体" w:eastAsia="宋体" w:hint="default"/>
          <w:b/>
          <w:bCs/>
          <w:sz w:val="27"/>
          <w:szCs w:val="27"/>
        </w:rPr>
      </w:pPr>
    </w:p>
    <w:p>
      <w:pPr>
        <w:pStyle w:val="BodyText"/>
        <w:spacing w:line="357" w:lineRule="auto" w:before="0"/>
        <w:ind w:right="7667"/>
        <w:jc w:val="left"/>
      </w:pPr>
      <w:r>
        <w:rPr/>
        <w:t>□ </w:t>
      </w:r>
      <w:r>
        <w:rPr>
          <w:spacing w:val="-3"/>
        </w:rPr>
        <w:t>适用 </w:t>
      </w:r>
      <w:r>
        <w:rPr/>
        <w:t>√ 不适用</w:t>
      </w:r>
      <w:r>
        <w:rPr>
          <w:spacing w:val="-77"/>
        </w:rPr>
        <w:t> </w:t>
      </w:r>
      <w:r>
        <w:rPr>
          <w:spacing w:val="-77"/>
        </w:rPr>
      </w:r>
      <w:r>
        <w:rPr>
          <w:spacing w:val="-3"/>
        </w:rPr>
        <w:t>公司报告期不存在承包情况。</w:t>
      </w:r>
    </w:p>
    <w:p>
      <w:pPr>
        <w:spacing w:line="240" w:lineRule="auto" w:before="8"/>
        <w:rPr>
          <w:rFonts w:ascii="宋体" w:hAnsi="宋体" w:cs="宋体" w:eastAsia="宋体" w:hint="default"/>
          <w:sz w:val="19"/>
          <w:szCs w:val="19"/>
        </w:rPr>
      </w:pPr>
    </w:p>
    <w:p>
      <w:pPr>
        <w:pStyle w:val="Heading4"/>
        <w:spacing w:line="240" w:lineRule="auto"/>
        <w:ind w:right="0"/>
        <w:jc w:val="left"/>
        <w:rPr>
          <w:b w:val="0"/>
          <w:bCs w:val="0"/>
        </w:rPr>
      </w:pPr>
      <w:bookmarkStart w:name="（3）租赁情况" w:id="91"/>
      <w:bookmarkEnd w:id="91"/>
      <w:r>
        <w:rPr>
          <w:b w:val="0"/>
          <w:bCs w:val="0"/>
        </w:rPr>
      </w:r>
      <w:r>
        <w:rPr/>
        <w:t>（</w:t>
      </w:r>
      <w:r>
        <w:rPr>
          <w:rFonts w:ascii="Times New Roman" w:hAnsi="Times New Roman" w:cs="Times New Roman" w:eastAsia="Times New Roman" w:hint="default"/>
        </w:rPr>
        <w:t>3</w:t>
      </w:r>
      <w:r>
        <w:rPr/>
        <w:t>）租赁情况</w:t>
      </w:r>
      <w:r>
        <w:rPr>
          <w:b w:val="0"/>
          <w:bCs w:val="0"/>
        </w:rPr>
      </w:r>
    </w:p>
    <w:p>
      <w:pPr>
        <w:spacing w:line="240" w:lineRule="auto" w:before="1"/>
        <w:rPr>
          <w:rFonts w:ascii="宋体" w:hAnsi="宋体" w:cs="宋体" w:eastAsia="宋体" w:hint="default"/>
          <w:b/>
          <w:bCs/>
          <w:sz w:val="27"/>
          <w:szCs w:val="27"/>
        </w:rPr>
      </w:pPr>
    </w:p>
    <w:p>
      <w:pPr>
        <w:pStyle w:val="BodyText"/>
        <w:spacing w:line="240" w:lineRule="auto" w:before="0"/>
        <w:ind w:right="0"/>
        <w:jc w:val="left"/>
      </w:pPr>
      <w:r>
        <w:rPr/>
        <w:t>□ </w:t>
      </w:r>
      <w:r>
        <w:rPr>
          <w:spacing w:val="-3"/>
        </w:rPr>
        <w:t>适用 </w:t>
      </w:r>
      <w:r>
        <w:rPr/>
        <w:t>√</w:t>
      </w:r>
      <w:r>
        <w:rPr>
          <w:spacing w:val="13"/>
        </w:rPr>
        <w:t> </w:t>
      </w:r>
      <w:r>
        <w:rPr/>
        <w:t>不适用</w:t>
      </w:r>
    </w:p>
    <w:p>
      <w:pPr>
        <w:spacing w:after="0" w:line="240" w:lineRule="auto"/>
        <w:jc w:val="left"/>
        <w:sectPr>
          <w:pgSz w:w="11910" w:h="16840"/>
          <w:pgMar w:header="784" w:footer="1022" w:top="1100" w:bottom="1220" w:left="980" w:right="0"/>
        </w:sectPr>
      </w:pPr>
    </w:p>
    <w:p>
      <w:pPr>
        <w:spacing w:line="240" w:lineRule="auto" w:before="2"/>
        <w:rPr>
          <w:rFonts w:ascii="宋体" w:hAnsi="宋体" w:cs="宋体" w:eastAsia="宋体" w:hint="default"/>
          <w:sz w:val="23"/>
          <w:szCs w:val="23"/>
        </w:rPr>
      </w:pPr>
    </w:p>
    <w:p>
      <w:pPr>
        <w:pStyle w:val="BodyText"/>
        <w:spacing w:line="240" w:lineRule="auto"/>
        <w:ind w:right="0"/>
        <w:jc w:val="left"/>
      </w:pPr>
      <w:r>
        <w:rPr>
          <w:spacing w:val="-3"/>
        </w:rPr>
        <w:t>公司报告期不存在租赁情况。</w:t>
      </w:r>
    </w:p>
    <w:p>
      <w:pPr>
        <w:spacing w:line="240" w:lineRule="auto" w:before="4"/>
        <w:rPr>
          <w:rFonts w:ascii="宋体" w:hAnsi="宋体" w:cs="宋体" w:eastAsia="宋体" w:hint="default"/>
          <w:sz w:val="26"/>
          <w:szCs w:val="26"/>
        </w:rPr>
      </w:pPr>
    </w:p>
    <w:p>
      <w:pPr>
        <w:pStyle w:val="Heading4"/>
        <w:spacing w:line="240" w:lineRule="auto"/>
        <w:ind w:right="0"/>
        <w:jc w:val="left"/>
        <w:rPr>
          <w:b w:val="0"/>
          <w:bCs w:val="0"/>
        </w:rPr>
      </w:pPr>
      <w:bookmarkStart w:name="2、重大担保" w:id="92"/>
      <w:bookmarkEnd w:id="92"/>
      <w:r>
        <w:rPr>
          <w:b w:val="0"/>
          <w:bCs w:val="0"/>
        </w:rPr>
      </w:r>
      <w:r>
        <w:rPr>
          <w:rFonts w:ascii="Times New Roman" w:hAnsi="Times New Roman" w:cs="Times New Roman" w:eastAsia="Times New Roman" w:hint="default"/>
        </w:rPr>
        <w:t>2</w:t>
      </w:r>
      <w:r>
        <w:rPr/>
        <w:t>、重大担保</w:t>
      </w:r>
      <w:r>
        <w:rPr>
          <w:b w:val="0"/>
          <w:bCs w:val="0"/>
        </w:rPr>
      </w:r>
    </w:p>
    <w:p>
      <w:pPr>
        <w:spacing w:line="240" w:lineRule="auto" w:before="1"/>
        <w:rPr>
          <w:rFonts w:ascii="宋体" w:hAnsi="宋体" w:cs="宋体" w:eastAsia="宋体" w:hint="default"/>
          <w:b/>
          <w:bCs/>
          <w:sz w:val="27"/>
          <w:szCs w:val="27"/>
        </w:rPr>
      </w:pPr>
    </w:p>
    <w:p>
      <w:pPr>
        <w:pStyle w:val="BodyText"/>
        <w:spacing w:line="240" w:lineRule="auto" w:before="0"/>
        <w:ind w:right="0"/>
        <w:jc w:val="left"/>
      </w:pPr>
      <w:r>
        <w:rPr/>
        <w:t>√ </w:t>
      </w:r>
      <w:r>
        <w:rPr>
          <w:spacing w:val="-3"/>
        </w:rPr>
        <w:t>适用 </w:t>
      </w:r>
      <w:r>
        <w:rPr/>
        <w:t>□</w:t>
      </w:r>
      <w:r>
        <w:rPr>
          <w:spacing w:val="13"/>
        </w:rPr>
        <w:t> </w:t>
      </w:r>
      <w:r>
        <w:rPr/>
        <w:t>不适用</w:t>
      </w:r>
    </w:p>
    <w:p>
      <w:pPr>
        <w:spacing w:line="240" w:lineRule="auto" w:before="8"/>
        <w:rPr>
          <w:rFonts w:ascii="宋体" w:hAnsi="宋体" w:cs="宋体" w:eastAsia="宋体" w:hint="default"/>
          <w:sz w:val="26"/>
          <w:szCs w:val="26"/>
        </w:rPr>
      </w:pPr>
    </w:p>
    <w:p>
      <w:pPr>
        <w:pStyle w:val="Heading4"/>
        <w:spacing w:line="240" w:lineRule="auto"/>
        <w:ind w:right="0"/>
        <w:jc w:val="left"/>
        <w:rPr>
          <w:b w:val="0"/>
          <w:bCs w:val="0"/>
        </w:rPr>
      </w:pPr>
      <w:bookmarkStart w:name="（1）担保情况" w:id="93"/>
      <w:bookmarkEnd w:id="93"/>
      <w:r>
        <w:rPr>
          <w:b w:val="0"/>
          <w:bCs w:val="0"/>
        </w:rPr>
      </w:r>
      <w:r>
        <w:rPr/>
        <w:t>（</w:t>
      </w:r>
      <w:r>
        <w:rPr>
          <w:rFonts w:ascii="Times New Roman" w:hAnsi="Times New Roman" w:cs="Times New Roman" w:eastAsia="Times New Roman" w:hint="default"/>
        </w:rPr>
        <w:t>1</w:t>
      </w:r>
      <w:r>
        <w:rPr/>
        <w:t>）担保情况</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left="0" w:right="1122"/>
        <w:jc w:val="right"/>
      </w:pPr>
      <w:r>
        <w:rPr>
          <w:spacing w:val="-2"/>
        </w:rPr>
        <w:t>单位：万元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709"/>
        <w:gridCol w:w="927"/>
        <w:gridCol w:w="922"/>
        <w:gridCol w:w="1296"/>
        <w:gridCol w:w="1066"/>
        <w:gridCol w:w="1037"/>
        <w:gridCol w:w="1047"/>
        <w:gridCol w:w="792"/>
        <w:gridCol w:w="778"/>
      </w:tblGrid>
      <w:tr>
        <w:trPr>
          <w:trHeight w:val="403" w:hRule="exact"/>
        </w:trPr>
        <w:tc>
          <w:tcPr>
            <w:tcW w:w="9575"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535" w:right="0"/>
              <w:jc w:val="left"/>
              <w:rPr>
                <w:rFonts w:ascii="宋体" w:hAnsi="宋体" w:cs="宋体" w:eastAsia="宋体" w:hint="default"/>
                <w:sz w:val="18"/>
                <w:szCs w:val="18"/>
              </w:rPr>
            </w:pPr>
            <w:r>
              <w:rPr>
                <w:rFonts w:ascii="宋体" w:hAnsi="宋体" w:cs="宋体" w:eastAsia="宋体" w:hint="default"/>
                <w:spacing w:val="-3"/>
                <w:sz w:val="18"/>
                <w:szCs w:val="18"/>
              </w:rPr>
              <w:t>公司及其子公司对外担保情况（不包括对子公司的担保）</w:t>
            </w:r>
          </w:p>
        </w:tc>
      </w:tr>
      <w:tr>
        <w:trPr>
          <w:trHeight w:val="1335" w:hRule="exact"/>
        </w:trPr>
        <w:tc>
          <w:tcPr>
            <w:tcW w:w="1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担保对象名称</w:t>
            </w:r>
          </w:p>
        </w:tc>
        <w:tc>
          <w:tcPr>
            <w:tcW w:w="9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91" w:right="180"/>
              <w:jc w:val="both"/>
              <w:rPr>
                <w:rFonts w:ascii="宋体" w:hAnsi="宋体" w:cs="宋体" w:eastAsia="宋体" w:hint="default"/>
                <w:sz w:val="18"/>
                <w:szCs w:val="18"/>
              </w:rPr>
            </w:pPr>
            <w:r>
              <w:rPr>
                <w:rFonts w:ascii="宋体" w:hAnsi="宋体" w:cs="宋体" w:eastAsia="宋体" w:hint="default"/>
                <w:sz w:val="18"/>
                <w:szCs w:val="18"/>
              </w:rPr>
              <w:t>担保额</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度相关</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公告披</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露日期</w:t>
            </w:r>
          </w:p>
        </w:tc>
        <w:tc>
          <w:tcPr>
            <w:tcW w:w="9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30"/>
              <w:ind w:left="374" w:right="176" w:hanging="183"/>
              <w:jc w:val="left"/>
              <w:rPr>
                <w:rFonts w:ascii="宋体" w:hAnsi="宋体" w:cs="宋体" w:eastAsia="宋体" w:hint="default"/>
                <w:sz w:val="18"/>
                <w:szCs w:val="18"/>
              </w:rPr>
            </w:pPr>
            <w:r>
              <w:rPr>
                <w:rFonts w:ascii="宋体" w:hAnsi="宋体" w:cs="宋体" w:eastAsia="宋体" w:hint="default"/>
                <w:sz w:val="18"/>
                <w:szCs w:val="18"/>
              </w:rPr>
              <w:t>担保额</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度</w:t>
            </w:r>
          </w:p>
        </w:tc>
        <w:tc>
          <w:tcPr>
            <w:tcW w:w="1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实际发生日期</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30"/>
              <w:ind w:left="345" w:right="161" w:hanging="178"/>
              <w:jc w:val="left"/>
              <w:rPr>
                <w:rFonts w:ascii="宋体" w:hAnsi="宋体" w:cs="宋体" w:eastAsia="宋体" w:hint="default"/>
                <w:sz w:val="18"/>
                <w:szCs w:val="18"/>
              </w:rPr>
            </w:pPr>
            <w:r>
              <w:rPr>
                <w:rFonts w:ascii="宋体" w:hAnsi="宋体" w:cs="宋体" w:eastAsia="宋体" w:hint="default"/>
                <w:sz w:val="18"/>
                <w:szCs w:val="18"/>
              </w:rPr>
              <w:t>实际担保</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金额</w:t>
            </w:r>
          </w:p>
        </w:tc>
        <w:tc>
          <w:tcPr>
            <w:tcW w:w="10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担保类型</w:t>
            </w:r>
          </w:p>
        </w:tc>
        <w:tc>
          <w:tcPr>
            <w:tcW w:w="10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242"/>
              <w:jc w:val="right"/>
              <w:rPr>
                <w:rFonts w:ascii="宋体" w:hAnsi="宋体" w:cs="宋体" w:eastAsia="宋体" w:hint="default"/>
                <w:sz w:val="18"/>
                <w:szCs w:val="18"/>
              </w:rPr>
            </w:pPr>
            <w:r>
              <w:rPr>
                <w:rFonts w:ascii="宋体" w:hAnsi="宋体" w:cs="宋体" w:eastAsia="宋体" w:hint="default"/>
                <w:spacing w:val="-2"/>
                <w:sz w:val="18"/>
                <w:szCs w:val="18"/>
              </w:rPr>
              <w:t>担保期</w:t>
            </w:r>
          </w:p>
        </w:tc>
        <w:tc>
          <w:tcPr>
            <w:tcW w:w="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30"/>
              <w:ind w:left="119" w:right="118"/>
              <w:jc w:val="left"/>
              <w:rPr>
                <w:rFonts w:ascii="宋体" w:hAnsi="宋体" w:cs="宋体" w:eastAsia="宋体" w:hint="default"/>
                <w:sz w:val="18"/>
                <w:szCs w:val="18"/>
              </w:rPr>
            </w:pPr>
            <w:r>
              <w:rPr>
                <w:rFonts w:ascii="宋体" w:hAnsi="宋体" w:cs="宋体" w:eastAsia="宋体" w:hint="default"/>
                <w:sz w:val="18"/>
                <w:szCs w:val="18"/>
              </w:rPr>
              <w:t>是否履</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行完毕</w:t>
            </w:r>
          </w:p>
        </w:tc>
        <w:tc>
          <w:tcPr>
            <w:tcW w:w="7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15" w:right="108"/>
              <w:jc w:val="both"/>
              <w:rPr>
                <w:rFonts w:ascii="宋体" w:hAnsi="宋体" w:cs="宋体" w:eastAsia="宋体" w:hint="default"/>
                <w:sz w:val="18"/>
                <w:szCs w:val="18"/>
              </w:rPr>
            </w:pPr>
            <w:r>
              <w:rPr>
                <w:rFonts w:ascii="宋体" w:hAnsi="宋体" w:cs="宋体" w:eastAsia="宋体" w:hint="default"/>
                <w:sz w:val="18"/>
                <w:szCs w:val="18"/>
              </w:rPr>
              <w:t>是否为</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关联方</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担保</w:t>
            </w:r>
          </w:p>
        </w:tc>
      </w:tr>
      <w:tr>
        <w:trPr>
          <w:trHeight w:val="403" w:hRule="exact"/>
        </w:trPr>
        <w:tc>
          <w:tcPr>
            <w:tcW w:w="9575"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pacing w:val="-3"/>
                <w:sz w:val="18"/>
                <w:szCs w:val="18"/>
              </w:rPr>
              <w:t>公司对子公司的担保情况</w:t>
            </w:r>
          </w:p>
        </w:tc>
      </w:tr>
      <w:tr>
        <w:trPr>
          <w:trHeight w:val="1340" w:hRule="exact"/>
        </w:trPr>
        <w:tc>
          <w:tcPr>
            <w:tcW w:w="1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担保对象名称</w:t>
            </w:r>
          </w:p>
        </w:tc>
        <w:tc>
          <w:tcPr>
            <w:tcW w:w="9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187" w:right="185"/>
              <w:jc w:val="both"/>
              <w:rPr>
                <w:rFonts w:ascii="宋体" w:hAnsi="宋体" w:cs="宋体" w:eastAsia="宋体" w:hint="default"/>
                <w:sz w:val="18"/>
                <w:szCs w:val="18"/>
              </w:rPr>
            </w:pPr>
            <w:r>
              <w:rPr>
                <w:rFonts w:ascii="宋体" w:hAnsi="宋体" w:cs="宋体" w:eastAsia="宋体" w:hint="default"/>
                <w:sz w:val="18"/>
                <w:szCs w:val="18"/>
              </w:rPr>
              <w:t>担保额</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度相关</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公告披</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露日期</w:t>
            </w:r>
          </w:p>
        </w:tc>
        <w:tc>
          <w:tcPr>
            <w:tcW w:w="9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21" w:lineRule="auto" w:before="130"/>
              <w:ind w:left="364" w:right="180" w:hanging="178"/>
              <w:jc w:val="left"/>
              <w:rPr>
                <w:rFonts w:ascii="宋体" w:hAnsi="宋体" w:cs="宋体" w:eastAsia="宋体" w:hint="default"/>
                <w:sz w:val="18"/>
                <w:szCs w:val="18"/>
              </w:rPr>
            </w:pPr>
            <w:r>
              <w:rPr>
                <w:rFonts w:ascii="宋体" w:hAnsi="宋体" w:cs="宋体" w:eastAsia="宋体" w:hint="default"/>
                <w:sz w:val="18"/>
                <w:szCs w:val="18"/>
              </w:rPr>
              <w:t>担保额</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度</w:t>
            </w:r>
          </w:p>
        </w:tc>
        <w:tc>
          <w:tcPr>
            <w:tcW w:w="1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实际发生日期</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21" w:lineRule="auto" w:before="130"/>
              <w:ind w:left="345" w:right="161" w:hanging="178"/>
              <w:jc w:val="left"/>
              <w:rPr>
                <w:rFonts w:ascii="宋体" w:hAnsi="宋体" w:cs="宋体" w:eastAsia="宋体" w:hint="default"/>
                <w:sz w:val="18"/>
                <w:szCs w:val="18"/>
              </w:rPr>
            </w:pPr>
            <w:r>
              <w:rPr>
                <w:rFonts w:ascii="宋体" w:hAnsi="宋体" w:cs="宋体" w:eastAsia="宋体" w:hint="default"/>
                <w:sz w:val="18"/>
                <w:szCs w:val="18"/>
              </w:rPr>
              <w:t>实际担保</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金额</w:t>
            </w:r>
          </w:p>
        </w:tc>
        <w:tc>
          <w:tcPr>
            <w:tcW w:w="10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担保类型</w:t>
            </w:r>
          </w:p>
        </w:tc>
        <w:tc>
          <w:tcPr>
            <w:tcW w:w="10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247"/>
              <w:jc w:val="right"/>
              <w:rPr>
                <w:rFonts w:ascii="宋体" w:hAnsi="宋体" w:cs="宋体" w:eastAsia="宋体" w:hint="default"/>
                <w:sz w:val="18"/>
                <w:szCs w:val="18"/>
              </w:rPr>
            </w:pPr>
            <w:r>
              <w:rPr>
                <w:rFonts w:ascii="宋体" w:hAnsi="宋体" w:cs="宋体" w:eastAsia="宋体" w:hint="default"/>
                <w:spacing w:val="-2"/>
                <w:sz w:val="18"/>
                <w:szCs w:val="18"/>
              </w:rPr>
              <w:t>担保期</w:t>
            </w:r>
          </w:p>
        </w:tc>
        <w:tc>
          <w:tcPr>
            <w:tcW w:w="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21" w:lineRule="auto" w:before="130"/>
              <w:ind w:left="119" w:right="118"/>
              <w:jc w:val="left"/>
              <w:rPr>
                <w:rFonts w:ascii="宋体" w:hAnsi="宋体" w:cs="宋体" w:eastAsia="宋体" w:hint="default"/>
                <w:sz w:val="18"/>
                <w:szCs w:val="18"/>
              </w:rPr>
            </w:pPr>
            <w:r>
              <w:rPr>
                <w:rFonts w:ascii="宋体" w:hAnsi="宋体" w:cs="宋体" w:eastAsia="宋体" w:hint="default"/>
                <w:sz w:val="18"/>
                <w:szCs w:val="18"/>
              </w:rPr>
              <w:t>是否履</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行完毕</w:t>
            </w:r>
          </w:p>
        </w:tc>
        <w:tc>
          <w:tcPr>
            <w:tcW w:w="7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16" w:lineRule="auto"/>
              <w:ind w:left="115" w:right="108"/>
              <w:jc w:val="both"/>
              <w:rPr>
                <w:rFonts w:ascii="宋体" w:hAnsi="宋体" w:cs="宋体" w:eastAsia="宋体" w:hint="default"/>
                <w:sz w:val="18"/>
                <w:szCs w:val="18"/>
              </w:rPr>
            </w:pPr>
            <w:r>
              <w:rPr>
                <w:rFonts w:ascii="宋体" w:hAnsi="宋体" w:cs="宋体" w:eastAsia="宋体" w:hint="default"/>
                <w:sz w:val="18"/>
                <w:szCs w:val="18"/>
              </w:rPr>
              <w:t>是否为</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关联方</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担保</w:t>
            </w:r>
          </w:p>
        </w:tc>
      </w:tr>
      <w:tr>
        <w:trPr>
          <w:trHeight w:val="1027"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21" w:lineRule="auto"/>
              <w:ind w:left="105" w:right="147"/>
              <w:jc w:val="left"/>
              <w:rPr>
                <w:rFonts w:ascii="宋体" w:hAnsi="宋体" w:cs="宋体" w:eastAsia="宋体" w:hint="default"/>
                <w:sz w:val="18"/>
                <w:szCs w:val="18"/>
              </w:rPr>
            </w:pPr>
            <w:r>
              <w:rPr>
                <w:rFonts w:ascii="宋体" w:hAnsi="宋体" w:cs="宋体" w:eastAsia="宋体" w:hint="default"/>
                <w:spacing w:val="-2"/>
                <w:sz w:val="18"/>
                <w:szCs w:val="18"/>
              </w:rPr>
              <w:t>惠州市奥拓电子科</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技有限公司</w:t>
            </w:r>
          </w:p>
        </w:tc>
        <w:tc>
          <w:tcPr>
            <w:tcW w:w="9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p>
            <w:pPr>
              <w:pStyle w:val="TableParagraph"/>
              <w:spacing w:line="240" w:lineRule="auto" w:before="58"/>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3"/>
                <w:sz w:val="18"/>
                <w:szCs w:val="18"/>
              </w:rPr>
              <w:t>11 </w:t>
            </w:r>
            <w:r>
              <w:rPr>
                <w:rFonts w:ascii="宋体" w:hAnsi="宋体" w:cs="宋体" w:eastAsia="宋体" w:hint="default"/>
                <w:sz w:val="18"/>
                <w:szCs w:val="18"/>
              </w:rPr>
              <w:t>月</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05</w:t>
            </w:r>
          </w:p>
          <w:p>
            <w:pPr>
              <w:pStyle w:val="TableParagraph"/>
              <w:spacing w:line="240" w:lineRule="auto" w:before="67"/>
              <w:ind w:left="105"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1,500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7"/>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1,500</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21" w:lineRule="auto"/>
              <w:ind w:left="105" w:right="194"/>
              <w:jc w:val="left"/>
              <w:rPr>
                <w:rFonts w:ascii="宋体" w:hAnsi="宋体" w:cs="宋体" w:eastAsia="宋体" w:hint="default"/>
                <w:sz w:val="18"/>
                <w:szCs w:val="18"/>
              </w:rPr>
            </w:pPr>
            <w:r>
              <w:rPr>
                <w:rFonts w:ascii="宋体" w:hAnsi="宋体" w:cs="宋体" w:eastAsia="宋体" w:hint="default"/>
                <w:sz w:val="18"/>
                <w:szCs w:val="18"/>
              </w:rPr>
              <w:t>连带责任</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保证</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100"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1023"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24" w:lineRule="auto"/>
              <w:ind w:left="105" w:right="147"/>
              <w:jc w:val="left"/>
              <w:rPr>
                <w:rFonts w:ascii="宋体" w:hAnsi="宋体" w:cs="宋体" w:eastAsia="宋体" w:hint="default"/>
                <w:sz w:val="18"/>
                <w:szCs w:val="18"/>
              </w:rPr>
            </w:pPr>
            <w:r>
              <w:rPr>
                <w:rFonts w:ascii="宋体" w:hAnsi="宋体" w:cs="宋体" w:eastAsia="宋体" w:hint="default"/>
                <w:spacing w:val="-2"/>
                <w:sz w:val="18"/>
                <w:szCs w:val="18"/>
              </w:rPr>
              <w:t>惠州市奥拓电子科</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技有限公司</w:t>
            </w:r>
          </w:p>
        </w:tc>
        <w:tc>
          <w:tcPr>
            <w:tcW w:w="9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p>
            <w:pPr>
              <w:pStyle w:val="TableParagraph"/>
              <w:spacing w:line="240" w:lineRule="auto" w:before="58"/>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07</w:t>
            </w:r>
          </w:p>
          <w:p>
            <w:pPr>
              <w:pStyle w:val="TableParagraph"/>
              <w:spacing w:line="240" w:lineRule="auto" w:before="67"/>
              <w:ind w:left="105"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5,000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8"/>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2,000</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24" w:lineRule="auto"/>
              <w:ind w:left="105" w:right="194"/>
              <w:jc w:val="left"/>
              <w:rPr>
                <w:rFonts w:ascii="宋体" w:hAnsi="宋体" w:cs="宋体" w:eastAsia="宋体" w:hint="default"/>
                <w:sz w:val="18"/>
                <w:szCs w:val="18"/>
              </w:rPr>
            </w:pPr>
            <w:r>
              <w:rPr>
                <w:rFonts w:ascii="宋体" w:hAnsi="宋体" w:cs="宋体" w:eastAsia="宋体" w:hint="default"/>
                <w:sz w:val="18"/>
                <w:szCs w:val="18"/>
              </w:rPr>
              <w:t>连带责任</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保证</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100" w:right="0"/>
              <w:jc w:val="left"/>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1027"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316" w:lineRule="auto"/>
              <w:ind w:left="105" w:right="147"/>
              <w:jc w:val="left"/>
              <w:rPr>
                <w:rFonts w:ascii="宋体" w:hAnsi="宋体" w:cs="宋体" w:eastAsia="宋体" w:hint="default"/>
                <w:sz w:val="18"/>
                <w:szCs w:val="18"/>
              </w:rPr>
            </w:pPr>
            <w:r>
              <w:rPr>
                <w:rFonts w:ascii="宋体" w:hAnsi="宋体" w:cs="宋体" w:eastAsia="宋体" w:hint="default"/>
                <w:spacing w:val="-2"/>
                <w:sz w:val="18"/>
                <w:szCs w:val="18"/>
              </w:rPr>
              <w:t>深圳市千百辉照明</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工程有限公司</w:t>
            </w:r>
          </w:p>
        </w:tc>
        <w:tc>
          <w:tcPr>
            <w:tcW w:w="9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p>
            <w:pPr>
              <w:pStyle w:val="TableParagraph"/>
              <w:spacing w:line="240" w:lineRule="auto" w:before="63"/>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29</w:t>
            </w:r>
          </w:p>
          <w:p>
            <w:pPr>
              <w:pStyle w:val="TableParagraph"/>
              <w:spacing w:line="240" w:lineRule="auto" w:before="67"/>
              <w:ind w:left="105"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20,000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2"/>
                <w:sz w:val="18"/>
              </w:rPr>
              <w:t>5,000</w:t>
            </w:r>
            <w:r>
              <w:rPr>
                <w:rFonts w:ascii="Times New Roman"/>
                <w:sz w:val="18"/>
              </w:rPr>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316" w:lineRule="auto"/>
              <w:ind w:left="105" w:right="194"/>
              <w:jc w:val="left"/>
              <w:rPr>
                <w:rFonts w:ascii="宋体" w:hAnsi="宋体" w:cs="宋体" w:eastAsia="宋体" w:hint="default"/>
                <w:sz w:val="18"/>
                <w:szCs w:val="18"/>
              </w:rPr>
            </w:pPr>
            <w:r>
              <w:rPr>
                <w:rFonts w:ascii="宋体" w:hAnsi="宋体" w:cs="宋体" w:eastAsia="宋体" w:hint="default"/>
                <w:sz w:val="18"/>
                <w:szCs w:val="18"/>
              </w:rPr>
              <w:t>连带责任</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保证</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100" w:right="0"/>
              <w:jc w:val="left"/>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2588"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21" w:lineRule="auto"/>
              <w:ind w:left="105" w:right="147"/>
              <w:jc w:val="left"/>
              <w:rPr>
                <w:rFonts w:ascii="宋体" w:hAnsi="宋体" w:cs="宋体" w:eastAsia="宋体" w:hint="default"/>
                <w:sz w:val="18"/>
                <w:szCs w:val="18"/>
              </w:rPr>
            </w:pPr>
            <w:r>
              <w:rPr>
                <w:rFonts w:ascii="宋体" w:hAnsi="宋体" w:cs="宋体" w:eastAsia="宋体" w:hint="default"/>
                <w:spacing w:val="-2"/>
                <w:sz w:val="18"/>
                <w:szCs w:val="18"/>
              </w:rPr>
              <w:t>深圳市千百辉照明</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工程有限公司</w:t>
            </w:r>
          </w:p>
        </w:tc>
        <w:tc>
          <w:tcPr>
            <w:tcW w:w="9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p>
            <w:pPr>
              <w:pStyle w:val="TableParagraph"/>
              <w:spacing w:line="240" w:lineRule="auto" w:before="58"/>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03</w:t>
            </w:r>
          </w:p>
          <w:p>
            <w:pPr>
              <w:pStyle w:val="TableParagraph"/>
              <w:spacing w:line="240" w:lineRule="auto" w:before="67"/>
              <w:ind w:left="105"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590.02</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7"/>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413.01</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21" w:lineRule="auto"/>
              <w:ind w:left="105" w:right="194"/>
              <w:jc w:val="left"/>
              <w:rPr>
                <w:rFonts w:ascii="宋体" w:hAnsi="宋体" w:cs="宋体" w:eastAsia="宋体" w:hint="default"/>
                <w:sz w:val="18"/>
                <w:szCs w:val="18"/>
              </w:rPr>
            </w:pPr>
            <w:r>
              <w:rPr>
                <w:rFonts w:ascii="宋体" w:hAnsi="宋体" w:cs="宋体" w:eastAsia="宋体" w:hint="default"/>
                <w:sz w:val="18"/>
                <w:szCs w:val="18"/>
              </w:rPr>
              <w:t>连带责任</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保证</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4"/>
              <w:ind w:left="101" w:right="209"/>
              <w:jc w:val="both"/>
              <w:rPr>
                <w:rFonts w:ascii="宋体" w:hAnsi="宋体" w:cs="宋体" w:eastAsia="宋体" w:hint="default"/>
                <w:sz w:val="18"/>
                <w:szCs w:val="18"/>
              </w:rPr>
            </w:pPr>
            <w:r>
              <w:rPr>
                <w:rFonts w:ascii="宋体" w:hAnsi="宋体" w:cs="宋体" w:eastAsia="宋体" w:hint="default"/>
                <w:sz w:val="18"/>
                <w:szCs w:val="18"/>
              </w:rPr>
              <w:t>保证期间</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自银行出</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具保函之</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日起至银</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行在保函</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项下责任</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解除之日</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止</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1028"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21" w:lineRule="auto"/>
              <w:ind w:left="105" w:right="147"/>
              <w:jc w:val="left"/>
              <w:rPr>
                <w:rFonts w:ascii="宋体" w:hAnsi="宋体" w:cs="宋体" w:eastAsia="宋体" w:hint="default"/>
                <w:sz w:val="18"/>
                <w:szCs w:val="18"/>
              </w:rPr>
            </w:pPr>
            <w:r>
              <w:rPr>
                <w:rFonts w:ascii="宋体" w:hAnsi="宋体" w:cs="宋体" w:eastAsia="宋体" w:hint="default"/>
                <w:spacing w:val="-2"/>
                <w:sz w:val="18"/>
                <w:szCs w:val="18"/>
              </w:rPr>
              <w:t>深圳市千百辉照明</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工程有限公司</w:t>
            </w:r>
          </w:p>
        </w:tc>
        <w:tc>
          <w:tcPr>
            <w:tcW w:w="9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p>
            <w:pPr>
              <w:pStyle w:val="TableParagraph"/>
              <w:spacing w:line="240" w:lineRule="auto" w:before="58"/>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3"/>
                <w:sz w:val="18"/>
                <w:szCs w:val="18"/>
              </w:rPr>
              <w:t>11 </w:t>
            </w:r>
            <w:r>
              <w:rPr>
                <w:rFonts w:ascii="宋体" w:hAnsi="宋体" w:cs="宋体" w:eastAsia="宋体" w:hint="default"/>
                <w:sz w:val="18"/>
                <w:szCs w:val="18"/>
              </w:rPr>
              <w:t>月</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19</w:t>
            </w:r>
          </w:p>
          <w:p>
            <w:pPr>
              <w:pStyle w:val="TableParagraph"/>
              <w:spacing w:line="240" w:lineRule="auto" w:before="67"/>
              <w:ind w:left="105"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10,000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7"/>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8,000</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21" w:lineRule="auto"/>
              <w:ind w:left="105" w:right="194"/>
              <w:jc w:val="left"/>
              <w:rPr>
                <w:rFonts w:ascii="宋体" w:hAnsi="宋体" w:cs="宋体" w:eastAsia="宋体" w:hint="default"/>
                <w:sz w:val="18"/>
                <w:szCs w:val="18"/>
              </w:rPr>
            </w:pPr>
            <w:r>
              <w:rPr>
                <w:rFonts w:ascii="宋体" w:hAnsi="宋体" w:cs="宋体" w:eastAsia="宋体" w:hint="default"/>
                <w:sz w:val="18"/>
                <w:szCs w:val="18"/>
              </w:rPr>
              <w:t>连带责任</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保证</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100"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710"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73"/>
              <w:ind w:left="105" w:right="147"/>
              <w:jc w:val="left"/>
              <w:rPr>
                <w:rFonts w:ascii="宋体" w:hAnsi="宋体" w:cs="宋体" w:eastAsia="宋体" w:hint="default"/>
                <w:sz w:val="18"/>
                <w:szCs w:val="18"/>
              </w:rPr>
            </w:pPr>
            <w:r>
              <w:rPr>
                <w:rFonts w:ascii="宋体" w:hAnsi="宋体" w:cs="宋体" w:eastAsia="宋体" w:hint="default"/>
                <w:spacing w:val="-2"/>
                <w:sz w:val="18"/>
                <w:szCs w:val="18"/>
              </w:rPr>
              <w:t>深圳市千百辉照明</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pacing w:val="-2"/>
                <w:sz w:val="18"/>
                <w:szCs w:val="18"/>
              </w:rPr>
              <w:t>工程有限公司、惠</w:t>
            </w:r>
          </w:p>
        </w:tc>
        <w:tc>
          <w:tcPr>
            <w:tcW w:w="9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p>
            <w:pPr>
              <w:pStyle w:val="TableParagraph"/>
              <w:spacing w:line="240" w:lineRule="auto" w:before="58"/>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02</w:t>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30,000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2"/>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12,000</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105" w:right="194"/>
              <w:jc w:val="left"/>
              <w:rPr>
                <w:rFonts w:ascii="宋体" w:hAnsi="宋体" w:cs="宋体" w:eastAsia="宋体" w:hint="default"/>
                <w:sz w:val="18"/>
                <w:szCs w:val="18"/>
              </w:rPr>
            </w:pPr>
            <w:r>
              <w:rPr>
                <w:rFonts w:ascii="宋体" w:hAnsi="宋体" w:cs="宋体" w:eastAsia="宋体" w:hint="default"/>
                <w:sz w:val="18"/>
                <w:szCs w:val="18"/>
              </w:rPr>
              <w:t>连带责任</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保证</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73"/>
              <w:ind w:left="101" w:right="209"/>
              <w:jc w:val="left"/>
              <w:rPr>
                <w:rFonts w:ascii="宋体" w:hAnsi="宋体" w:cs="宋体" w:eastAsia="宋体" w:hint="default"/>
                <w:sz w:val="18"/>
                <w:szCs w:val="18"/>
              </w:rPr>
            </w:pPr>
            <w:r>
              <w:rPr>
                <w:rFonts w:ascii="宋体" w:hAnsi="宋体" w:cs="宋体" w:eastAsia="宋体" w:hint="default"/>
                <w:sz w:val="18"/>
                <w:szCs w:val="18"/>
              </w:rPr>
              <w:t>每笔担保</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金额及期</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bl>
    <w:p>
      <w:pPr>
        <w:spacing w:after="0" w:line="240" w:lineRule="auto"/>
        <w:jc w:val="left"/>
        <w:rPr>
          <w:rFonts w:ascii="宋体" w:hAnsi="宋体" w:cs="宋体" w:eastAsia="宋体" w:hint="default"/>
          <w:sz w:val="18"/>
          <w:szCs w:val="18"/>
        </w:rPr>
        <w:sectPr>
          <w:pgSz w:w="11910" w:h="16840"/>
          <w:pgMar w:header="784" w:footer="1022" w:top="1100" w:bottom="1220" w:left="980" w:right="0"/>
        </w:sectPr>
      </w:pPr>
    </w:p>
    <w:p>
      <w:pPr>
        <w:spacing w:line="240" w:lineRule="auto" w:before="7"/>
        <w:rPr>
          <w:rFonts w:ascii="宋体" w:hAnsi="宋体" w:cs="宋体" w:eastAsia="宋体" w:hint="default"/>
          <w:sz w:val="25"/>
          <w:szCs w:val="25"/>
        </w:rPr>
      </w:pPr>
    </w:p>
    <w:tbl>
      <w:tblPr>
        <w:tblW w:w="0" w:type="auto"/>
        <w:jc w:val="left"/>
        <w:tblInd w:w="148" w:type="dxa"/>
        <w:tblLayout w:type="fixed"/>
        <w:tblCellMar>
          <w:top w:w="0" w:type="dxa"/>
          <w:left w:w="0" w:type="dxa"/>
          <w:bottom w:w="0" w:type="dxa"/>
          <w:right w:w="0" w:type="dxa"/>
        </w:tblCellMar>
        <w:tblLook w:val="01E0"/>
      </w:tblPr>
      <w:tblGrid>
        <w:gridCol w:w="1709"/>
        <w:gridCol w:w="920"/>
        <w:gridCol w:w="921"/>
        <w:gridCol w:w="1304"/>
        <w:gridCol w:w="1056"/>
        <w:gridCol w:w="1046"/>
        <w:gridCol w:w="1043"/>
        <w:gridCol w:w="791"/>
        <w:gridCol w:w="783"/>
      </w:tblGrid>
      <w:tr>
        <w:trPr>
          <w:trHeight w:val="984"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321" w:lineRule="auto" w:before="10"/>
              <w:ind w:left="105" w:right="147"/>
              <w:jc w:val="left"/>
              <w:rPr>
                <w:rFonts w:ascii="宋体" w:hAnsi="宋体" w:cs="宋体" w:eastAsia="宋体" w:hint="default"/>
                <w:sz w:val="18"/>
                <w:szCs w:val="18"/>
              </w:rPr>
            </w:pPr>
            <w:r>
              <w:rPr>
                <w:rFonts w:ascii="宋体" w:hAnsi="宋体" w:cs="宋体" w:eastAsia="宋体" w:hint="default"/>
                <w:spacing w:val="-2"/>
                <w:sz w:val="18"/>
                <w:szCs w:val="18"/>
              </w:rPr>
              <w:t>州市奥拓电子科技</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有限公司</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5"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921"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056"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101" w:right="205"/>
              <w:jc w:val="both"/>
              <w:rPr>
                <w:rFonts w:ascii="宋体" w:hAnsi="宋体" w:cs="宋体" w:eastAsia="宋体" w:hint="default"/>
                <w:sz w:val="18"/>
                <w:szCs w:val="18"/>
              </w:rPr>
            </w:pPr>
            <w:r>
              <w:rPr>
                <w:rFonts w:ascii="宋体" w:hAnsi="宋体" w:cs="宋体" w:eastAsia="宋体" w:hint="default"/>
                <w:sz w:val="18"/>
                <w:szCs w:val="18"/>
              </w:rPr>
              <w:t>限根据具</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体合同另</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行约定。</w:t>
            </w:r>
          </w:p>
        </w:tc>
        <w:tc>
          <w:tcPr>
            <w:tcW w:w="791" w:type="dxa"/>
            <w:tcBorders>
              <w:top w:val="single" w:sz="4" w:space="0" w:color="000000"/>
              <w:left w:val="single" w:sz="4" w:space="0" w:color="000000"/>
              <w:bottom w:val="single" w:sz="4" w:space="0" w:color="000000"/>
              <w:right w:val="single" w:sz="4" w:space="0" w:color="000000"/>
            </w:tcBorders>
          </w:tcPr>
          <w:p>
            <w:pPr/>
          </w:p>
        </w:tc>
        <w:tc>
          <w:tcPr>
            <w:tcW w:w="783"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263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4"/>
              <w:ind w:left="105" w:right="169"/>
              <w:jc w:val="left"/>
              <w:rPr>
                <w:rFonts w:ascii="宋体" w:hAnsi="宋体" w:cs="宋体" w:eastAsia="宋体" w:hint="default"/>
                <w:sz w:val="18"/>
                <w:szCs w:val="18"/>
              </w:rPr>
            </w:pPr>
            <w:r>
              <w:rPr>
                <w:rFonts w:ascii="宋体" w:hAnsi="宋体" w:cs="宋体" w:eastAsia="宋体" w:hint="default"/>
                <w:spacing w:val="-3"/>
                <w:sz w:val="18"/>
                <w:szCs w:val="18"/>
              </w:rPr>
              <w:t>报告期内审批对子公司担保额</w:t>
            </w:r>
            <w:r>
              <w:rPr>
                <w:rFonts w:ascii="宋体" w:hAnsi="宋体" w:cs="宋体" w:eastAsia="宋体" w:hint="default"/>
                <w:spacing w:val="-50"/>
                <w:sz w:val="18"/>
                <w:szCs w:val="18"/>
              </w:rPr>
              <w:t> </w:t>
            </w:r>
            <w:r>
              <w:rPr>
                <w:rFonts w:ascii="宋体" w:hAnsi="宋体" w:cs="宋体" w:eastAsia="宋体" w:hint="default"/>
                <w:spacing w:val="-50"/>
                <w:sz w:val="18"/>
                <w:szCs w:val="18"/>
              </w:rPr>
            </w:r>
            <w:r>
              <w:rPr>
                <w:rFonts w:ascii="宋体" w:hAnsi="宋体" w:cs="宋体" w:eastAsia="宋体" w:hint="default"/>
                <w:sz w:val="18"/>
                <w:szCs w:val="18"/>
              </w:rPr>
              <w:t>度合计（</w:t>
            </w:r>
            <w:r>
              <w:rPr>
                <w:rFonts w:ascii="Times New Roman" w:hAnsi="Times New Roman" w:cs="Times New Roman" w:eastAsia="Times New Roman" w:hint="default"/>
                <w:sz w:val="18"/>
                <w:szCs w:val="18"/>
              </w:rPr>
              <w:t>B1</w:t>
            </w:r>
            <w:r>
              <w:rPr>
                <w:rFonts w:ascii="宋体" w:hAnsi="宋体" w:cs="宋体" w:eastAsia="宋体" w:hint="default"/>
                <w:sz w:val="18"/>
                <w:szCs w:val="18"/>
              </w:rPr>
              <w:t>）</w:t>
            </w:r>
          </w:p>
        </w:tc>
        <w:tc>
          <w:tcPr>
            <w:tcW w:w="222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30,000</w:t>
            </w:r>
          </w:p>
        </w:tc>
        <w:tc>
          <w:tcPr>
            <w:tcW w:w="210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4"/>
              <w:ind w:left="105" w:right="151"/>
              <w:jc w:val="left"/>
              <w:rPr>
                <w:rFonts w:ascii="宋体" w:hAnsi="宋体" w:cs="宋体" w:eastAsia="宋体" w:hint="default"/>
                <w:sz w:val="18"/>
                <w:szCs w:val="18"/>
              </w:rPr>
            </w:pPr>
            <w:r>
              <w:rPr>
                <w:rFonts w:ascii="宋体" w:hAnsi="宋体" w:cs="宋体" w:eastAsia="宋体" w:hint="default"/>
                <w:sz w:val="18"/>
                <w:szCs w:val="18"/>
              </w:rPr>
              <w:t>报告期内对子公司担保</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2"/>
                <w:sz w:val="18"/>
                <w:szCs w:val="18"/>
              </w:rPr>
              <w:t>实际发生额合计（</w:t>
            </w:r>
            <w:r>
              <w:rPr>
                <w:rFonts w:ascii="Times New Roman" w:hAnsi="Times New Roman" w:cs="Times New Roman" w:eastAsia="Times New Roman" w:hint="default"/>
                <w:spacing w:val="-2"/>
                <w:sz w:val="18"/>
                <w:szCs w:val="18"/>
              </w:rPr>
              <w:t>B2</w:t>
            </w:r>
            <w:r>
              <w:rPr>
                <w:rFonts w:ascii="宋体" w:hAnsi="宋体" w:cs="宋体" w:eastAsia="宋体" w:hint="default"/>
                <w:spacing w:val="-2"/>
                <w:sz w:val="18"/>
                <w:szCs w:val="18"/>
              </w:rPr>
              <w:t>）</w:t>
            </w:r>
          </w:p>
        </w:tc>
        <w:tc>
          <w:tcPr>
            <w:tcW w:w="261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20,000</w:t>
            </w:r>
          </w:p>
        </w:tc>
      </w:tr>
      <w:tr>
        <w:trPr>
          <w:trHeight w:val="720" w:hRule="exact"/>
        </w:trPr>
        <w:tc>
          <w:tcPr>
            <w:tcW w:w="263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05" w:right="169"/>
              <w:jc w:val="left"/>
              <w:rPr>
                <w:rFonts w:ascii="宋体" w:hAnsi="宋体" w:cs="宋体" w:eastAsia="宋体" w:hint="default"/>
                <w:sz w:val="18"/>
                <w:szCs w:val="18"/>
              </w:rPr>
            </w:pPr>
            <w:r>
              <w:rPr>
                <w:rFonts w:ascii="宋体" w:hAnsi="宋体" w:cs="宋体" w:eastAsia="宋体" w:hint="default"/>
                <w:spacing w:val="-3"/>
                <w:sz w:val="18"/>
                <w:szCs w:val="18"/>
              </w:rPr>
              <w:t>报告期末已审批的对子公司担</w:t>
            </w:r>
            <w:r>
              <w:rPr>
                <w:rFonts w:ascii="宋体" w:hAnsi="宋体" w:cs="宋体" w:eastAsia="宋体" w:hint="default"/>
                <w:spacing w:val="-50"/>
                <w:sz w:val="18"/>
                <w:szCs w:val="18"/>
              </w:rPr>
              <w:t> </w:t>
            </w:r>
            <w:r>
              <w:rPr>
                <w:rFonts w:ascii="宋体" w:hAnsi="宋体" w:cs="宋体" w:eastAsia="宋体" w:hint="default"/>
                <w:spacing w:val="-50"/>
                <w:sz w:val="18"/>
                <w:szCs w:val="18"/>
              </w:rPr>
            </w:r>
            <w:r>
              <w:rPr>
                <w:rFonts w:ascii="宋体" w:hAnsi="宋体" w:cs="宋体" w:eastAsia="宋体" w:hint="default"/>
                <w:sz w:val="18"/>
                <w:szCs w:val="18"/>
              </w:rPr>
              <w:t>保额度合计（</w:t>
            </w:r>
            <w:r>
              <w:rPr>
                <w:rFonts w:ascii="Times New Roman" w:hAnsi="Times New Roman" w:cs="Times New Roman" w:eastAsia="Times New Roman" w:hint="default"/>
                <w:sz w:val="18"/>
                <w:szCs w:val="18"/>
              </w:rPr>
              <w:t>B3</w:t>
            </w:r>
            <w:r>
              <w:rPr>
                <w:rFonts w:ascii="宋体" w:hAnsi="宋体" w:cs="宋体" w:eastAsia="宋体" w:hint="default"/>
                <w:sz w:val="18"/>
                <w:szCs w:val="18"/>
              </w:rPr>
              <w:t>）</w:t>
            </w:r>
          </w:p>
        </w:tc>
        <w:tc>
          <w:tcPr>
            <w:tcW w:w="222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67,090</w:t>
            </w:r>
          </w:p>
        </w:tc>
        <w:tc>
          <w:tcPr>
            <w:tcW w:w="210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05" w:right="180"/>
              <w:jc w:val="left"/>
              <w:rPr>
                <w:rFonts w:ascii="宋体" w:hAnsi="宋体" w:cs="宋体" w:eastAsia="宋体" w:hint="default"/>
                <w:sz w:val="18"/>
                <w:szCs w:val="18"/>
              </w:rPr>
            </w:pPr>
            <w:r>
              <w:rPr>
                <w:rFonts w:ascii="宋体" w:hAnsi="宋体" w:cs="宋体" w:eastAsia="宋体" w:hint="default"/>
                <w:spacing w:val="-2"/>
                <w:sz w:val="18"/>
                <w:szCs w:val="18"/>
              </w:rPr>
              <w:t>报告期末对子公司实际</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担保余额合计（</w:t>
            </w:r>
            <w:r>
              <w:rPr>
                <w:rFonts w:ascii="Times New Roman" w:hAnsi="Times New Roman" w:cs="Times New Roman" w:eastAsia="Times New Roman" w:hint="default"/>
                <w:sz w:val="18"/>
                <w:szCs w:val="18"/>
              </w:rPr>
              <w:t>B4</w:t>
            </w:r>
            <w:r>
              <w:rPr>
                <w:rFonts w:ascii="宋体" w:hAnsi="宋体" w:cs="宋体" w:eastAsia="宋体" w:hint="default"/>
                <w:sz w:val="18"/>
                <w:szCs w:val="18"/>
              </w:rPr>
              <w:t>）</w:t>
            </w:r>
          </w:p>
        </w:tc>
        <w:tc>
          <w:tcPr>
            <w:tcW w:w="261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21,500</w:t>
            </w:r>
          </w:p>
        </w:tc>
      </w:tr>
      <w:tr>
        <w:trPr>
          <w:trHeight w:val="399" w:hRule="exact"/>
        </w:trPr>
        <w:tc>
          <w:tcPr>
            <w:tcW w:w="9575"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pacing w:val="-3"/>
                <w:sz w:val="18"/>
                <w:szCs w:val="18"/>
              </w:rPr>
              <w:t>子公司对子公司的担保情况</w:t>
            </w:r>
          </w:p>
        </w:tc>
      </w:tr>
      <w:tr>
        <w:trPr>
          <w:trHeight w:val="1334" w:hRule="exact"/>
        </w:trPr>
        <w:tc>
          <w:tcPr>
            <w:tcW w:w="1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312" w:right="0"/>
              <w:jc w:val="left"/>
              <w:rPr>
                <w:rFonts w:ascii="宋体" w:hAnsi="宋体" w:cs="宋体" w:eastAsia="宋体" w:hint="default"/>
                <w:sz w:val="18"/>
                <w:szCs w:val="18"/>
              </w:rPr>
            </w:pPr>
            <w:r>
              <w:rPr>
                <w:rFonts w:ascii="宋体" w:hAnsi="宋体" w:cs="宋体" w:eastAsia="宋体" w:hint="default"/>
                <w:sz w:val="18"/>
                <w:szCs w:val="18"/>
              </w:rPr>
              <w:t>担保对象名称</w:t>
            </w:r>
          </w:p>
        </w:tc>
        <w:tc>
          <w:tcPr>
            <w:tcW w:w="9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87" w:right="179"/>
              <w:jc w:val="both"/>
              <w:rPr>
                <w:rFonts w:ascii="宋体" w:hAnsi="宋体" w:cs="宋体" w:eastAsia="宋体" w:hint="default"/>
                <w:sz w:val="18"/>
                <w:szCs w:val="18"/>
              </w:rPr>
            </w:pPr>
            <w:r>
              <w:rPr>
                <w:rFonts w:ascii="宋体" w:hAnsi="宋体" w:cs="宋体" w:eastAsia="宋体" w:hint="default"/>
                <w:sz w:val="18"/>
                <w:szCs w:val="18"/>
              </w:rPr>
              <w:t>担保额</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度相关</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公告披</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露日期</w:t>
            </w:r>
          </w:p>
        </w:tc>
        <w:tc>
          <w:tcPr>
            <w:tcW w:w="9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30"/>
              <w:ind w:left="361" w:right="183" w:hanging="178"/>
              <w:jc w:val="left"/>
              <w:rPr>
                <w:rFonts w:ascii="宋体" w:hAnsi="宋体" w:cs="宋体" w:eastAsia="宋体" w:hint="default"/>
                <w:sz w:val="18"/>
                <w:szCs w:val="18"/>
              </w:rPr>
            </w:pPr>
            <w:r>
              <w:rPr>
                <w:rFonts w:ascii="宋体" w:hAnsi="宋体" w:cs="宋体" w:eastAsia="宋体" w:hint="default"/>
                <w:sz w:val="18"/>
                <w:szCs w:val="18"/>
              </w:rPr>
              <w:t>担保额</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度</w:t>
            </w:r>
          </w:p>
        </w:tc>
        <w:tc>
          <w:tcPr>
            <w:tcW w:w="13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实际发生日期</w:t>
            </w:r>
          </w:p>
        </w:tc>
        <w:tc>
          <w:tcPr>
            <w:tcW w:w="10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30"/>
              <w:ind w:left="335" w:right="161" w:hanging="178"/>
              <w:jc w:val="left"/>
              <w:rPr>
                <w:rFonts w:ascii="宋体" w:hAnsi="宋体" w:cs="宋体" w:eastAsia="宋体" w:hint="default"/>
                <w:sz w:val="18"/>
                <w:szCs w:val="18"/>
              </w:rPr>
            </w:pPr>
            <w:r>
              <w:rPr>
                <w:rFonts w:ascii="宋体" w:hAnsi="宋体" w:cs="宋体" w:eastAsia="宋体" w:hint="default"/>
                <w:sz w:val="18"/>
                <w:szCs w:val="18"/>
              </w:rPr>
              <w:t>实际担保</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金额</w:t>
            </w:r>
          </w:p>
        </w:tc>
        <w:tc>
          <w:tcPr>
            <w:tcW w:w="10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153" w:right="0"/>
              <w:jc w:val="left"/>
              <w:rPr>
                <w:rFonts w:ascii="宋体" w:hAnsi="宋体" w:cs="宋体" w:eastAsia="宋体" w:hint="default"/>
                <w:sz w:val="18"/>
                <w:szCs w:val="18"/>
              </w:rPr>
            </w:pPr>
            <w:r>
              <w:rPr>
                <w:rFonts w:ascii="宋体" w:hAnsi="宋体" w:cs="宋体" w:eastAsia="宋体" w:hint="default"/>
                <w:sz w:val="18"/>
                <w:szCs w:val="18"/>
              </w:rPr>
              <w:t>担保类型</w:t>
            </w:r>
          </w:p>
        </w:tc>
        <w:tc>
          <w:tcPr>
            <w:tcW w:w="10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45" w:right="0"/>
              <w:jc w:val="left"/>
              <w:rPr>
                <w:rFonts w:ascii="宋体" w:hAnsi="宋体" w:cs="宋体" w:eastAsia="宋体" w:hint="default"/>
                <w:sz w:val="18"/>
                <w:szCs w:val="18"/>
              </w:rPr>
            </w:pPr>
            <w:r>
              <w:rPr>
                <w:rFonts w:ascii="宋体" w:hAnsi="宋体" w:cs="宋体" w:eastAsia="宋体" w:hint="default"/>
                <w:sz w:val="18"/>
                <w:szCs w:val="18"/>
              </w:rPr>
              <w:t>担保期</w:t>
            </w:r>
          </w:p>
        </w:tc>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30"/>
              <w:ind w:left="118" w:right="118"/>
              <w:jc w:val="left"/>
              <w:rPr>
                <w:rFonts w:ascii="宋体" w:hAnsi="宋体" w:cs="宋体" w:eastAsia="宋体" w:hint="default"/>
                <w:sz w:val="18"/>
                <w:szCs w:val="18"/>
              </w:rPr>
            </w:pPr>
            <w:r>
              <w:rPr>
                <w:rFonts w:ascii="宋体" w:hAnsi="宋体" w:cs="宋体" w:eastAsia="宋体" w:hint="default"/>
                <w:sz w:val="18"/>
                <w:szCs w:val="18"/>
              </w:rPr>
              <w:t>是否履</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行完毕</w:t>
            </w:r>
          </w:p>
        </w:tc>
        <w:tc>
          <w:tcPr>
            <w:tcW w:w="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15" w:right="113"/>
              <w:jc w:val="both"/>
              <w:rPr>
                <w:rFonts w:ascii="宋体" w:hAnsi="宋体" w:cs="宋体" w:eastAsia="宋体" w:hint="default"/>
                <w:sz w:val="18"/>
                <w:szCs w:val="18"/>
              </w:rPr>
            </w:pPr>
            <w:r>
              <w:rPr>
                <w:rFonts w:ascii="宋体" w:hAnsi="宋体" w:cs="宋体" w:eastAsia="宋体" w:hint="default"/>
                <w:sz w:val="18"/>
                <w:szCs w:val="18"/>
              </w:rPr>
              <w:t>是否为</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关联方</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担保</w:t>
            </w:r>
          </w:p>
        </w:tc>
      </w:tr>
      <w:tr>
        <w:trPr>
          <w:trHeight w:val="399" w:hRule="exact"/>
        </w:trPr>
        <w:tc>
          <w:tcPr>
            <w:tcW w:w="9575"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公司担保总额（即前三大项的合计）</w:t>
            </w:r>
          </w:p>
        </w:tc>
      </w:tr>
      <w:tr>
        <w:trPr>
          <w:trHeight w:val="720" w:hRule="exact"/>
        </w:trPr>
        <w:tc>
          <w:tcPr>
            <w:tcW w:w="263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pacing w:val="-3"/>
                <w:sz w:val="18"/>
                <w:szCs w:val="18"/>
              </w:rPr>
              <w:t>报告期内审批担保额度合计</w:t>
            </w:r>
          </w:p>
          <w:p>
            <w:pPr>
              <w:pStyle w:val="TableParagraph"/>
              <w:spacing w:line="240" w:lineRule="auto" w:before="81"/>
              <w:ind w:left="10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A1+B1+C1</w:t>
            </w:r>
            <w:r>
              <w:rPr>
                <w:rFonts w:ascii="宋体" w:hAnsi="宋体" w:cs="宋体" w:eastAsia="宋体" w:hint="default"/>
                <w:sz w:val="18"/>
                <w:szCs w:val="18"/>
              </w:rPr>
              <w:t>）</w:t>
            </w:r>
          </w:p>
        </w:tc>
        <w:tc>
          <w:tcPr>
            <w:tcW w:w="222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30,000</w:t>
            </w:r>
          </w:p>
        </w:tc>
        <w:tc>
          <w:tcPr>
            <w:tcW w:w="210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8"/>
              <w:ind w:left="105" w:right="180"/>
              <w:jc w:val="left"/>
              <w:rPr>
                <w:rFonts w:ascii="宋体" w:hAnsi="宋体" w:cs="宋体" w:eastAsia="宋体" w:hint="default"/>
                <w:sz w:val="18"/>
                <w:szCs w:val="18"/>
              </w:rPr>
            </w:pPr>
            <w:r>
              <w:rPr>
                <w:rFonts w:ascii="宋体" w:hAnsi="宋体" w:cs="宋体" w:eastAsia="宋体" w:hint="default"/>
                <w:spacing w:val="-2"/>
                <w:sz w:val="18"/>
                <w:szCs w:val="18"/>
              </w:rPr>
              <w:t>报告期内担保实际发生</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额合计（</w:t>
            </w:r>
            <w:r>
              <w:rPr>
                <w:rFonts w:ascii="Times New Roman" w:hAnsi="Times New Roman" w:cs="Times New Roman" w:eastAsia="Times New Roman" w:hint="default"/>
                <w:sz w:val="18"/>
                <w:szCs w:val="18"/>
              </w:rPr>
              <w:t>A2+B2+C2</w:t>
            </w:r>
            <w:r>
              <w:rPr>
                <w:rFonts w:ascii="宋体" w:hAnsi="宋体" w:cs="宋体" w:eastAsia="宋体" w:hint="default"/>
                <w:sz w:val="18"/>
                <w:szCs w:val="18"/>
              </w:rPr>
              <w:t>）</w:t>
            </w:r>
          </w:p>
        </w:tc>
        <w:tc>
          <w:tcPr>
            <w:tcW w:w="261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20,000</w:t>
            </w:r>
          </w:p>
        </w:tc>
      </w:tr>
      <w:tr>
        <w:trPr>
          <w:trHeight w:val="715" w:hRule="exact"/>
        </w:trPr>
        <w:tc>
          <w:tcPr>
            <w:tcW w:w="263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05" w:right="169"/>
              <w:jc w:val="left"/>
              <w:rPr>
                <w:rFonts w:ascii="宋体" w:hAnsi="宋体" w:cs="宋体" w:eastAsia="宋体" w:hint="default"/>
                <w:sz w:val="18"/>
                <w:szCs w:val="18"/>
              </w:rPr>
            </w:pPr>
            <w:r>
              <w:rPr>
                <w:rFonts w:ascii="宋体" w:hAnsi="宋体" w:cs="宋体" w:eastAsia="宋体" w:hint="default"/>
                <w:spacing w:val="-3"/>
                <w:sz w:val="18"/>
                <w:szCs w:val="18"/>
              </w:rPr>
              <w:t>报告期末已审批的担保额度合</w:t>
            </w:r>
            <w:r>
              <w:rPr>
                <w:rFonts w:ascii="宋体" w:hAnsi="宋体" w:cs="宋体" w:eastAsia="宋体" w:hint="default"/>
                <w:spacing w:val="-50"/>
                <w:sz w:val="18"/>
                <w:szCs w:val="18"/>
              </w:rPr>
              <w:t> </w:t>
            </w:r>
            <w:r>
              <w:rPr>
                <w:rFonts w:ascii="宋体" w:hAnsi="宋体" w:cs="宋体" w:eastAsia="宋体" w:hint="default"/>
                <w:spacing w:val="-50"/>
                <w:sz w:val="18"/>
                <w:szCs w:val="18"/>
              </w:rPr>
            </w:r>
            <w:r>
              <w:rPr>
                <w:rFonts w:ascii="宋体" w:hAnsi="宋体" w:cs="宋体" w:eastAsia="宋体" w:hint="default"/>
                <w:sz w:val="18"/>
                <w:szCs w:val="18"/>
              </w:rPr>
              <w:t>计（</w:t>
            </w:r>
            <w:r>
              <w:rPr>
                <w:rFonts w:ascii="Times New Roman" w:hAnsi="Times New Roman" w:cs="Times New Roman" w:eastAsia="Times New Roman" w:hint="default"/>
                <w:sz w:val="18"/>
                <w:szCs w:val="18"/>
              </w:rPr>
              <w:t>A3+B3+C3</w:t>
            </w:r>
            <w:r>
              <w:rPr>
                <w:rFonts w:ascii="宋体" w:hAnsi="宋体" w:cs="宋体" w:eastAsia="宋体" w:hint="default"/>
                <w:sz w:val="18"/>
                <w:szCs w:val="18"/>
              </w:rPr>
              <w:t>）</w:t>
            </w:r>
          </w:p>
        </w:tc>
        <w:tc>
          <w:tcPr>
            <w:tcW w:w="222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67,090</w:t>
            </w:r>
          </w:p>
        </w:tc>
        <w:tc>
          <w:tcPr>
            <w:tcW w:w="210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05" w:right="180"/>
              <w:jc w:val="left"/>
              <w:rPr>
                <w:rFonts w:ascii="宋体" w:hAnsi="宋体" w:cs="宋体" w:eastAsia="宋体" w:hint="default"/>
                <w:sz w:val="18"/>
                <w:szCs w:val="18"/>
              </w:rPr>
            </w:pPr>
            <w:r>
              <w:rPr>
                <w:rFonts w:ascii="宋体" w:hAnsi="宋体" w:cs="宋体" w:eastAsia="宋体" w:hint="default"/>
                <w:spacing w:val="-2"/>
                <w:sz w:val="18"/>
                <w:szCs w:val="18"/>
              </w:rPr>
              <w:t>报告期末实际担保余额</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合计（</w:t>
            </w:r>
            <w:r>
              <w:rPr>
                <w:rFonts w:ascii="Times New Roman" w:hAnsi="Times New Roman" w:cs="Times New Roman" w:eastAsia="Times New Roman" w:hint="default"/>
                <w:sz w:val="18"/>
                <w:szCs w:val="18"/>
              </w:rPr>
              <w:t>A4+B4+C4</w:t>
            </w:r>
            <w:r>
              <w:rPr>
                <w:rFonts w:ascii="宋体" w:hAnsi="宋体" w:cs="宋体" w:eastAsia="宋体" w:hint="default"/>
                <w:sz w:val="18"/>
                <w:szCs w:val="18"/>
              </w:rPr>
              <w:t>）</w:t>
            </w:r>
          </w:p>
        </w:tc>
        <w:tc>
          <w:tcPr>
            <w:tcW w:w="261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21,500</w:t>
            </w:r>
          </w:p>
        </w:tc>
      </w:tr>
      <w:tr>
        <w:trPr>
          <w:trHeight w:val="404" w:hRule="exact"/>
        </w:trPr>
        <w:tc>
          <w:tcPr>
            <w:tcW w:w="4855"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pacing w:val="-2"/>
                <w:sz w:val="18"/>
                <w:szCs w:val="18"/>
              </w:rPr>
              <w:t>实际担保总额（即</w:t>
            </w:r>
            <w:r>
              <w:rPr>
                <w:rFonts w:ascii="宋体" w:hAnsi="宋体" w:cs="宋体" w:eastAsia="宋体" w:hint="default"/>
                <w:spacing w:val="9"/>
                <w:sz w:val="18"/>
                <w:szCs w:val="18"/>
              </w:rPr>
              <w:t> </w:t>
            </w:r>
            <w:r>
              <w:rPr>
                <w:rFonts w:ascii="Times New Roman" w:hAnsi="Times New Roman" w:cs="Times New Roman" w:eastAsia="Times New Roman" w:hint="default"/>
                <w:spacing w:val="-2"/>
                <w:sz w:val="18"/>
                <w:szCs w:val="18"/>
              </w:rPr>
              <w:t>A4+B4+C4</w:t>
            </w:r>
            <w:r>
              <w:rPr>
                <w:rFonts w:ascii="宋体" w:hAnsi="宋体" w:cs="宋体" w:eastAsia="宋体" w:hint="default"/>
                <w:spacing w:val="-2"/>
                <w:sz w:val="18"/>
                <w:szCs w:val="18"/>
              </w:rPr>
              <w:t>）占公司净资产的比例</w:t>
            </w:r>
          </w:p>
        </w:tc>
        <w:tc>
          <w:tcPr>
            <w:tcW w:w="472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15.76%</w:t>
            </w:r>
          </w:p>
        </w:tc>
      </w:tr>
      <w:tr>
        <w:trPr>
          <w:trHeight w:val="394" w:hRule="exact"/>
        </w:trPr>
        <w:tc>
          <w:tcPr>
            <w:tcW w:w="9575"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其中：</w:t>
            </w:r>
          </w:p>
        </w:tc>
      </w:tr>
      <w:tr>
        <w:trPr>
          <w:trHeight w:val="408" w:hRule="exact"/>
        </w:trPr>
        <w:tc>
          <w:tcPr>
            <w:tcW w:w="4855"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pacing w:val="-3"/>
                <w:sz w:val="18"/>
                <w:szCs w:val="18"/>
              </w:rPr>
              <w:t>为股东、实际控制人及其关联方提供担保的余额（</w:t>
            </w:r>
            <w:r>
              <w:rPr>
                <w:rFonts w:ascii="Times New Roman" w:hAnsi="Times New Roman" w:cs="Times New Roman" w:eastAsia="Times New Roman" w:hint="default"/>
                <w:spacing w:val="-3"/>
                <w:sz w:val="18"/>
                <w:szCs w:val="18"/>
              </w:rPr>
              <w:t>D</w:t>
            </w:r>
            <w:r>
              <w:rPr>
                <w:rFonts w:ascii="宋体" w:hAnsi="宋体" w:cs="宋体" w:eastAsia="宋体" w:hint="default"/>
                <w:spacing w:val="-3"/>
                <w:sz w:val="18"/>
                <w:szCs w:val="18"/>
              </w:rPr>
              <w:t>）</w:t>
            </w:r>
          </w:p>
        </w:tc>
        <w:tc>
          <w:tcPr>
            <w:tcW w:w="472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716" w:hRule="exact"/>
        </w:trPr>
        <w:tc>
          <w:tcPr>
            <w:tcW w:w="4855"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105" w:right="219"/>
              <w:jc w:val="left"/>
              <w:rPr>
                <w:rFonts w:ascii="宋体" w:hAnsi="宋体" w:cs="宋体" w:eastAsia="宋体" w:hint="default"/>
                <w:sz w:val="18"/>
                <w:szCs w:val="18"/>
              </w:rPr>
            </w:pPr>
            <w:r>
              <w:rPr>
                <w:rFonts w:ascii="宋体" w:hAnsi="宋体" w:cs="宋体" w:eastAsia="宋体" w:hint="default"/>
                <w:sz w:val="18"/>
                <w:szCs w:val="18"/>
              </w:rPr>
              <w:t>直接或间接为资产负债率超过</w:t>
            </w:r>
            <w:r>
              <w:rPr>
                <w:rFonts w:ascii="宋体" w:hAnsi="宋体" w:cs="宋体" w:eastAsia="宋体" w:hint="default"/>
                <w:spacing w:val="-19"/>
                <w:sz w:val="18"/>
                <w:szCs w:val="18"/>
              </w:rPr>
              <w:t> </w:t>
            </w:r>
            <w:r>
              <w:rPr>
                <w:rFonts w:ascii="Times New Roman" w:hAnsi="Times New Roman" w:cs="Times New Roman" w:eastAsia="Times New Roman" w:hint="default"/>
                <w:spacing w:val="-3"/>
                <w:sz w:val="18"/>
                <w:szCs w:val="18"/>
              </w:rPr>
              <w:t>70%</w:t>
            </w:r>
            <w:r>
              <w:rPr>
                <w:rFonts w:ascii="宋体" w:hAnsi="宋体" w:cs="宋体" w:eastAsia="宋体" w:hint="default"/>
                <w:spacing w:val="-3"/>
                <w:sz w:val="18"/>
                <w:szCs w:val="18"/>
              </w:rPr>
              <w:t>的被担保对象提供的债</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务担保余额（</w:t>
            </w:r>
            <w:r>
              <w:rPr>
                <w:rFonts w:ascii="Times New Roman" w:hAnsi="Times New Roman" w:cs="Times New Roman" w:eastAsia="Times New Roman" w:hint="default"/>
                <w:sz w:val="18"/>
                <w:szCs w:val="18"/>
              </w:rPr>
              <w:t>E</w:t>
            </w:r>
            <w:r>
              <w:rPr>
                <w:rFonts w:ascii="宋体" w:hAnsi="宋体" w:cs="宋体" w:eastAsia="宋体" w:hint="default"/>
                <w:sz w:val="18"/>
                <w:szCs w:val="18"/>
              </w:rPr>
              <w:t>）</w:t>
            </w:r>
          </w:p>
        </w:tc>
        <w:tc>
          <w:tcPr>
            <w:tcW w:w="472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398" w:hRule="exact"/>
        </w:trPr>
        <w:tc>
          <w:tcPr>
            <w:tcW w:w="4855"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担保总额超过净资产</w:t>
            </w:r>
            <w:r>
              <w:rPr>
                <w:rFonts w:ascii="宋体" w:hAnsi="宋体" w:cs="宋体" w:eastAsia="宋体" w:hint="default"/>
                <w:spacing w:val="-8"/>
                <w:sz w:val="18"/>
                <w:szCs w:val="18"/>
              </w:rPr>
              <w:t> </w:t>
            </w:r>
            <w:r>
              <w:rPr>
                <w:rFonts w:ascii="Times New Roman" w:hAnsi="Times New Roman" w:cs="Times New Roman" w:eastAsia="Times New Roman" w:hint="default"/>
                <w:spacing w:val="-3"/>
                <w:sz w:val="18"/>
                <w:szCs w:val="18"/>
              </w:rPr>
              <w:t>50%</w:t>
            </w:r>
            <w:r>
              <w:rPr>
                <w:rFonts w:ascii="宋体" w:hAnsi="宋体" w:cs="宋体" w:eastAsia="宋体" w:hint="default"/>
                <w:spacing w:val="-3"/>
                <w:sz w:val="18"/>
                <w:szCs w:val="18"/>
              </w:rPr>
              <w:t>部分的金额（</w:t>
            </w:r>
            <w:r>
              <w:rPr>
                <w:rFonts w:ascii="Times New Roman" w:hAnsi="Times New Roman" w:cs="Times New Roman" w:eastAsia="Times New Roman" w:hint="default"/>
                <w:spacing w:val="-3"/>
                <w:sz w:val="18"/>
                <w:szCs w:val="18"/>
              </w:rPr>
              <w:t>F</w:t>
            </w:r>
            <w:r>
              <w:rPr>
                <w:rFonts w:ascii="宋体" w:hAnsi="宋体" w:cs="宋体" w:eastAsia="宋体" w:hint="default"/>
                <w:spacing w:val="-3"/>
                <w:sz w:val="18"/>
                <w:szCs w:val="18"/>
              </w:rPr>
              <w:t>）</w:t>
            </w:r>
          </w:p>
        </w:tc>
        <w:tc>
          <w:tcPr>
            <w:tcW w:w="472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403" w:hRule="exact"/>
        </w:trPr>
        <w:tc>
          <w:tcPr>
            <w:tcW w:w="4855"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上述三项担保金额合计（</w:t>
            </w:r>
            <w:r>
              <w:rPr>
                <w:rFonts w:ascii="Times New Roman" w:hAnsi="Times New Roman" w:cs="Times New Roman" w:eastAsia="Times New Roman" w:hint="default"/>
                <w:sz w:val="18"/>
                <w:szCs w:val="18"/>
              </w:rPr>
              <w:t>D+E+F</w:t>
            </w:r>
            <w:r>
              <w:rPr>
                <w:rFonts w:ascii="宋体" w:hAnsi="宋体" w:cs="宋体" w:eastAsia="宋体" w:hint="default"/>
                <w:sz w:val="18"/>
                <w:szCs w:val="18"/>
              </w:rPr>
              <w:t>）</w:t>
            </w:r>
          </w:p>
        </w:tc>
        <w:tc>
          <w:tcPr>
            <w:tcW w:w="472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715" w:hRule="exact"/>
        </w:trPr>
        <w:tc>
          <w:tcPr>
            <w:tcW w:w="4855"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05" w:right="95"/>
              <w:jc w:val="left"/>
              <w:rPr>
                <w:rFonts w:ascii="宋体" w:hAnsi="宋体" w:cs="宋体" w:eastAsia="宋体" w:hint="default"/>
                <w:sz w:val="18"/>
                <w:szCs w:val="18"/>
              </w:rPr>
            </w:pPr>
            <w:r>
              <w:rPr>
                <w:rFonts w:ascii="宋体" w:hAnsi="宋体" w:cs="宋体" w:eastAsia="宋体" w:hint="default"/>
                <w:spacing w:val="-4"/>
                <w:sz w:val="18"/>
                <w:szCs w:val="18"/>
              </w:rPr>
              <w:t>对未到期担保，报告期内已发生担保责任或可能承担连带清</w:t>
            </w:r>
            <w:r>
              <w:rPr>
                <w:rFonts w:ascii="宋体" w:hAnsi="宋体" w:cs="宋体" w:eastAsia="宋体" w:hint="default"/>
                <w:spacing w:val="-27"/>
                <w:sz w:val="18"/>
                <w:szCs w:val="18"/>
              </w:rPr>
              <w:t> </w:t>
            </w:r>
            <w:r>
              <w:rPr>
                <w:rFonts w:ascii="宋体" w:hAnsi="宋体" w:cs="宋体" w:eastAsia="宋体" w:hint="default"/>
                <w:spacing w:val="-27"/>
                <w:sz w:val="18"/>
                <w:szCs w:val="18"/>
              </w:rPr>
            </w:r>
            <w:r>
              <w:rPr>
                <w:rFonts w:ascii="宋体" w:hAnsi="宋体" w:cs="宋体" w:eastAsia="宋体" w:hint="default"/>
                <w:spacing w:val="-3"/>
                <w:sz w:val="18"/>
                <w:szCs w:val="18"/>
              </w:rPr>
              <w:t>偿责任的情况说明（如有）</w:t>
            </w:r>
          </w:p>
        </w:tc>
        <w:tc>
          <w:tcPr>
            <w:tcW w:w="472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无</w:t>
            </w:r>
            <w:r>
              <w:rPr>
                <w:rFonts w:ascii="宋体" w:hAnsi="宋体" w:cs="宋体" w:eastAsia="宋体" w:hint="default"/>
                <w:sz w:val="18"/>
                <w:szCs w:val="18"/>
              </w:rPr>
            </w:r>
          </w:p>
        </w:tc>
      </w:tr>
      <w:tr>
        <w:trPr>
          <w:trHeight w:val="404" w:hRule="exact"/>
        </w:trPr>
        <w:tc>
          <w:tcPr>
            <w:tcW w:w="4855"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pacing w:val="-3"/>
                <w:sz w:val="18"/>
                <w:szCs w:val="18"/>
              </w:rPr>
              <w:t>违反规定程序对外提供担保的说明（如有）</w:t>
            </w:r>
          </w:p>
        </w:tc>
        <w:tc>
          <w:tcPr>
            <w:tcW w:w="472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w w:val="101"/>
                <w:sz w:val="18"/>
                <w:szCs w:val="18"/>
              </w:rPr>
              <w:t>无</w:t>
            </w:r>
            <w:r>
              <w:rPr>
                <w:rFonts w:ascii="宋体" w:hAnsi="宋体" w:cs="宋体" w:eastAsia="宋体" w:hint="default"/>
                <w:sz w:val="18"/>
                <w:szCs w:val="18"/>
              </w:rPr>
            </w:r>
          </w:p>
        </w:tc>
      </w:tr>
    </w:tbl>
    <w:p>
      <w:pPr>
        <w:pStyle w:val="BodyText"/>
        <w:spacing w:line="352" w:lineRule="auto" w:before="53"/>
        <w:ind w:right="7956"/>
        <w:jc w:val="left"/>
      </w:pPr>
      <w:r>
        <w:rPr>
          <w:spacing w:val="-3"/>
        </w:rPr>
        <w:t>采用复合方式担保的具体情况说明</w:t>
      </w:r>
      <w:r>
        <w:rPr>
          <w:spacing w:val="-44"/>
        </w:rPr>
        <w:t> </w:t>
      </w:r>
      <w:r>
        <w:rPr>
          <w:spacing w:val="-44"/>
        </w:rPr>
      </w:r>
      <w:r>
        <w:rPr/>
        <w:t>无</w:t>
      </w:r>
    </w:p>
    <w:p>
      <w:pPr>
        <w:spacing w:line="240" w:lineRule="auto" w:before="7"/>
        <w:rPr>
          <w:rFonts w:ascii="宋体" w:hAnsi="宋体" w:cs="宋体" w:eastAsia="宋体" w:hint="default"/>
          <w:sz w:val="20"/>
          <w:szCs w:val="20"/>
        </w:rPr>
      </w:pPr>
    </w:p>
    <w:p>
      <w:pPr>
        <w:pStyle w:val="Heading4"/>
        <w:spacing w:line="240" w:lineRule="auto"/>
        <w:ind w:right="0"/>
        <w:jc w:val="left"/>
        <w:rPr>
          <w:b w:val="0"/>
          <w:bCs w:val="0"/>
        </w:rPr>
      </w:pPr>
      <w:bookmarkStart w:name="（2）违规对外担保情况" w:id="94"/>
      <w:bookmarkEnd w:id="94"/>
      <w:r>
        <w:rPr>
          <w:b w:val="0"/>
          <w:bCs w:val="0"/>
        </w:rPr>
      </w:r>
      <w:r>
        <w:rPr/>
        <w:t>（</w:t>
      </w:r>
      <w:r>
        <w:rPr>
          <w:rFonts w:ascii="Times New Roman" w:hAnsi="Times New Roman" w:cs="Times New Roman" w:eastAsia="Times New Roman" w:hint="default"/>
        </w:rPr>
        <w:t>2</w:t>
      </w:r>
      <w:r>
        <w:rPr/>
        <w:t>）违规对外担保情况</w:t>
      </w:r>
      <w:r>
        <w:rPr>
          <w:b w:val="0"/>
          <w:bCs w:val="0"/>
        </w:rPr>
      </w:r>
    </w:p>
    <w:p>
      <w:pPr>
        <w:spacing w:line="240" w:lineRule="auto" w:before="1"/>
        <w:rPr>
          <w:rFonts w:ascii="宋体" w:hAnsi="宋体" w:cs="宋体" w:eastAsia="宋体" w:hint="default"/>
          <w:b/>
          <w:bCs/>
          <w:sz w:val="27"/>
          <w:szCs w:val="27"/>
        </w:rPr>
      </w:pPr>
    </w:p>
    <w:p>
      <w:pPr>
        <w:pStyle w:val="BodyText"/>
        <w:spacing w:line="357" w:lineRule="auto" w:before="0"/>
        <w:ind w:right="7667"/>
        <w:jc w:val="left"/>
      </w:pPr>
      <w:r>
        <w:rPr/>
        <w:t>□ </w:t>
      </w:r>
      <w:r>
        <w:rPr>
          <w:spacing w:val="-3"/>
        </w:rPr>
        <w:t>适用 </w:t>
      </w:r>
      <w:r>
        <w:rPr/>
        <w:t>√ 不适用</w:t>
      </w:r>
      <w:r>
        <w:rPr>
          <w:spacing w:val="-77"/>
        </w:rPr>
        <w:t> </w:t>
      </w:r>
      <w:r>
        <w:rPr>
          <w:spacing w:val="-77"/>
        </w:rPr>
      </w:r>
      <w:r>
        <w:rPr>
          <w:spacing w:val="-3"/>
        </w:rPr>
        <w:t>公司报告期无违规对外担保情况。</w:t>
      </w:r>
    </w:p>
    <w:p>
      <w:pPr>
        <w:spacing w:line="240" w:lineRule="auto" w:before="7"/>
        <w:rPr>
          <w:rFonts w:ascii="宋体" w:hAnsi="宋体" w:cs="宋体" w:eastAsia="宋体" w:hint="default"/>
          <w:sz w:val="19"/>
          <w:szCs w:val="19"/>
        </w:rPr>
      </w:pPr>
    </w:p>
    <w:p>
      <w:pPr>
        <w:pStyle w:val="Heading4"/>
        <w:spacing w:line="240" w:lineRule="auto"/>
        <w:ind w:right="0"/>
        <w:jc w:val="left"/>
        <w:rPr>
          <w:b w:val="0"/>
          <w:bCs w:val="0"/>
        </w:rPr>
      </w:pPr>
      <w:bookmarkStart w:name="3、委托他人进行现金资产管理情况" w:id="95"/>
      <w:bookmarkEnd w:id="95"/>
      <w:r>
        <w:rPr>
          <w:b w:val="0"/>
          <w:bCs w:val="0"/>
        </w:rPr>
      </w:r>
      <w:r>
        <w:rPr>
          <w:rFonts w:ascii="Times New Roman" w:hAnsi="Times New Roman" w:cs="Times New Roman" w:eastAsia="Times New Roman" w:hint="default"/>
        </w:rPr>
        <w:t>3</w:t>
      </w:r>
      <w:r>
        <w:rPr/>
        <w:t>、委托他人进行现金资产管理情况</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0"/>
        <w:jc w:val="left"/>
        <w:rPr>
          <w:b w:val="0"/>
          <w:bCs w:val="0"/>
        </w:rPr>
      </w:pPr>
      <w:bookmarkStart w:name="（1）委托理财情况" w:id="96"/>
      <w:bookmarkEnd w:id="96"/>
      <w:r>
        <w:rPr>
          <w:b w:val="0"/>
          <w:bCs w:val="0"/>
        </w:rPr>
      </w:r>
      <w:r>
        <w:rPr/>
        <w:t>（</w:t>
      </w:r>
      <w:r>
        <w:rPr>
          <w:rFonts w:ascii="Times New Roman" w:hAnsi="Times New Roman" w:cs="Times New Roman" w:eastAsia="Times New Roman" w:hint="default"/>
        </w:rPr>
        <w:t>1</w:t>
      </w:r>
      <w:r>
        <w:rPr/>
        <w:t>）委托理财情况</w:t>
      </w:r>
      <w:r>
        <w:rPr>
          <w:b w:val="0"/>
          <w:bCs w:val="0"/>
        </w:rPr>
      </w:r>
    </w:p>
    <w:p>
      <w:pPr>
        <w:spacing w:line="240" w:lineRule="auto" w:before="1"/>
        <w:rPr>
          <w:rFonts w:ascii="宋体" w:hAnsi="宋体" w:cs="宋体" w:eastAsia="宋体" w:hint="default"/>
          <w:b/>
          <w:bCs/>
          <w:sz w:val="27"/>
          <w:szCs w:val="27"/>
        </w:rPr>
      </w:pPr>
    </w:p>
    <w:p>
      <w:pPr>
        <w:pStyle w:val="BodyText"/>
        <w:spacing w:line="240" w:lineRule="auto" w:before="0"/>
        <w:ind w:right="0"/>
        <w:jc w:val="left"/>
      </w:pPr>
      <w:r>
        <w:rPr/>
        <w:t>√ </w:t>
      </w:r>
      <w:r>
        <w:rPr>
          <w:spacing w:val="-3"/>
        </w:rPr>
        <w:t>适用 </w:t>
      </w:r>
      <w:r>
        <w:rPr/>
        <w:t>□</w:t>
      </w:r>
      <w:r>
        <w:rPr>
          <w:spacing w:val="13"/>
        </w:rPr>
        <w:t> </w:t>
      </w:r>
      <w:r>
        <w:rPr/>
        <w:t>不适用</w:t>
      </w:r>
    </w:p>
    <w:p>
      <w:pPr>
        <w:spacing w:after="0" w:line="240" w:lineRule="auto"/>
        <w:jc w:val="left"/>
        <w:sectPr>
          <w:pgSz w:w="11910" w:h="16840"/>
          <w:pgMar w:header="784" w:footer="1022" w:top="1100" w:bottom="1220" w:left="980" w:right="0"/>
        </w:sectPr>
      </w:pPr>
    </w:p>
    <w:p>
      <w:pPr>
        <w:spacing w:line="240" w:lineRule="auto" w:before="2"/>
        <w:rPr>
          <w:rFonts w:ascii="宋体" w:hAnsi="宋体" w:cs="宋体" w:eastAsia="宋体" w:hint="default"/>
          <w:sz w:val="23"/>
          <w:szCs w:val="23"/>
        </w:rPr>
      </w:pPr>
    </w:p>
    <w:p>
      <w:pPr>
        <w:pStyle w:val="BodyText"/>
        <w:spacing w:line="240" w:lineRule="auto"/>
        <w:ind w:right="0"/>
        <w:jc w:val="left"/>
      </w:pPr>
      <w:r>
        <w:rPr/>
        <w:t>报告期内委托理财概况</w:t>
      </w:r>
    </w:p>
    <w:p>
      <w:pPr>
        <w:pStyle w:val="BodyText"/>
        <w:spacing w:line="240" w:lineRule="auto" w:before="115"/>
        <w:ind w:left="0" w:right="1122"/>
        <w:jc w:val="right"/>
      </w:pPr>
      <w:r>
        <w:rPr>
          <w:spacing w:val="-2"/>
        </w:rPr>
        <w:t>单位：万元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868"/>
        <w:gridCol w:w="1964"/>
        <w:gridCol w:w="1983"/>
        <w:gridCol w:w="1906"/>
        <w:gridCol w:w="1848"/>
      </w:tblGrid>
      <w:tr>
        <w:trPr>
          <w:trHeight w:val="399" w:hRule="exact"/>
        </w:trPr>
        <w:tc>
          <w:tcPr>
            <w:tcW w:w="18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71" w:right="0"/>
              <w:jc w:val="left"/>
              <w:rPr>
                <w:rFonts w:ascii="宋体" w:hAnsi="宋体" w:cs="宋体" w:eastAsia="宋体" w:hint="default"/>
                <w:sz w:val="18"/>
                <w:szCs w:val="18"/>
              </w:rPr>
            </w:pPr>
            <w:r>
              <w:rPr>
                <w:rFonts w:ascii="宋体" w:hAnsi="宋体" w:cs="宋体" w:eastAsia="宋体" w:hint="default"/>
                <w:sz w:val="18"/>
                <w:szCs w:val="18"/>
              </w:rPr>
              <w:t>具体类型</w:t>
            </w:r>
          </w:p>
        </w:tc>
        <w:tc>
          <w:tcPr>
            <w:tcW w:w="19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68" w:right="0"/>
              <w:jc w:val="left"/>
              <w:rPr>
                <w:rFonts w:ascii="宋体" w:hAnsi="宋体" w:cs="宋体" w:eastAsia="宋体" w:hint="default"/>
                <w:sz w:val="18"/>
                <w:szCs w:val="18"/>
              </w:rPr>
            </w:pPr>
            <w:r>
              <w:rPr>
                <w:rFonts w:ascii="宋体" w:hAnsi="宋体" w:cs="宋体" w:eastAsia="宋体" w:hint="default"/>
                <w:spacing w:val="-3"/>
                <w:sz w:val="18"/>
                <w:szCs w:val="18"/>
              </w:rPr>
              <w:t>委托理财的资金来源</w:t>
            </w:r>
          </w:p>
        </w:tc>
        <w:tc>
          <w:tcPr>
            <w:tcW w:w="19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60" w:right="0"/>
              <w:jc w:val="left"/>
              <w:rPr>
                <w:rFonts w:ascii="宋体" w:hAnsi="宋体" w:cs="宋体" w:eastAsia="宋体" w:hint="default"/>
                <w:sz w:val="18"/>
                <w:szCs w:val="18"/>
              </w:rPr>
            </w:pPr>
            <w:r>
              <w:rPr>
                <w:rFonts w:ascii="宋体" w:hAnsi="宋体" w:cs="宋体" w:eastAsia="宋体" w:hint="default"/>
                <w:spacing w:val="-3"/>
                <w:sz w:val="18"/>
                <w:szCs w:val="18"/>
              </w:rPr>
              <w:t>委托理财发生额</w:t>
            </w:r>
          </w:p>
        </w:tc>
        <w:tc>
          <w:tcPr>
            <w:tcW w:w="19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99" w:right="0"/>
              <w:jc w:val="left"/>
              <w:rPr>
                <w:rFonts w:ascii="宋体" w:hAnsi="宋体" w:cs="宋体" w:eastAsia="宋体" w:hint="default"/>
                <w:sz w:val="18"/>
                <w:szCs w:val="18"/>
              </w:rPr>
            </w:pPr>
            <w:r>
              <w:rPr>
                <w:rFonts w:ascii="宋体" w:hAnsi="宋体" w:cs="宋体" w:eastAsia="宋体" w:hint="default"/>
                <w:sz w:val="18"/>
                <w:szCs w:val="18"/>
              </w:rPr>
              <w:t>未到期余额</w:t>
            </w:r>
          </w:p>
        </w:tc>
        <w:tc>
          <w:tcPr>
            <w:tcW w:w="18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01" w:right="0"/>
              <w:jc w:val="left"/>
              <w:rPr>
                <w:rFonts w:ascii="宋体" w:hAnsi="宋体" w:cs="宋体" w:eastAsia="宋体" w:hint="default"/>
                <w:sz w:val="18"/>
                <w:szCs w:val="18"/>
              </w:rPr>
            </w:pPr>
            <w:r>
              <w:rPr>
                <w:rFonts w:ascii="宋体" w:hAnsi="宋体" w:cs="宋体" w:eastAsia="宋体" w:hint="default"/>
                <w:sz w:val="18"/>
                <w:szCs w:val="18"/>
              </w:rPr>
              <w:t>逾期未收回的金额</w:t>
            </w:r>
          </w:p>
        </w:tc>
      </w:tr>
      <w:tr>
        <w:trPr>
          <w:trHeight w:val="403" w:hRule="exact"/>
        </w:trPr>
        <w:tc>
          <w:tcPr>
            <w:tcW w:w="18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银行理财产品</w:t>
            </w:r>
          </w:p>
        </w:tc>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自有资金</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17,648.50</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3"/>
              <w:jc w:val="right"/>
              <w:rPr>
                <w:rFonts w:ascii="Times New Roman" w:hAnsi="Times New Roman" w:cs="Times New Roman" w:eastAsia="Times New Roman" w:hint="default"/>
                <w:sz w:val="18"/>
                <w:szCs w:val="18"/>
              </w:rPr>
            </w:pPr>
            <w:r>
              <w:rPr>
                <w:rFonts w:ascii="Times New Roman"/>
                <w:spacing w:val="-1"/>
                <w:sz w:val="18"/>
              </w:rPr>
              <w:t>6,000.00</w:t>
            </w: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z w:val="18"/>
              </w:rPr>
              <w:t>0.00</w:t>
            </w:r>
          </w:p>
        </w:tc>
      </w:tr>
      <w:tr>
        <w:trPr>
          <w:trHeight w:val="403" w:hRule="exact"/>
        </w:trPr>
        <w:tc>
          <w:tcPr>
            <w:tcW w:w="18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银行理财产品</w:t>
            </w:r>
          </w:p>
        </w:tc>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募集资金</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5,150.00</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3"/>
              <w:jc w:val="right"/>
              <w:rPr>
                <w:rFonts w:ascii="Times New Roman" w:hAnsi="Times New Roman" w:cs="Times New Roman" w:eastAsia="Times New Roman" w:hint="default"/>
                <w:sz w:val="18"/>
                <w:szCs w:val="18"/>
              </w:rPr>
            </w:pPr>
            <w:r>
              <w:rPr>
                <w:rFonts w:ascii="Times New Roman"/>
                <w:spacing w:val="-1"/>
                <w:sz w:val="18"/>
              </w:rPr>
              <w:t>556.00</w:t>
            </w: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z w:val="18"/>
              </w:rPr>
              <w:t>0.00</w:t>
            </w:r>
          </w:p>
        </w:tc>
      </w:tr>
      <w:tr>
        <w:trPr>
          <w:trHeight w:val="403" w:hRule="exact"/>
        </w:trPr>
        <w:tc>
          <w:tcPr>
            <w:tcW w:w="383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22,798.50</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3"/>
              <w:jc w:val="right"/>
              <w:rPr>
                <w:rFonts w:ascii="Times New Roman" w:hAnsi="Times New Roman" w:cs="Times New Roman" w:eastAsia="Times New Roman" w:hint="default"/>
                <w:sz w:val="18"/>
                <w:szCs w:val="18"/>
              </w:rPr>
            </w:pPr>
            <w:r>
              <w:rPr>
                <w:rFonts w:ascii="Times New Roman"/>
                <w:spacing w:val="-1"/>
                <w:sz w:val="18"/>
              </w:rPr>
              <w:t>6,556.00</w:t>
            </w: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z w:val="18"/>
              </w:rPr>
              <w:t>0.00</w:t>
            </w:r>
          </w:p>
        </w:tc>
      </w:tr>
    </w:tbl>
    <w:p>
      <w:pPr>
        <w:pStyle w:val="BodyText"/>
        <w:spacing w:line="240" w:lineRule="auto" w:before="53"/>
        <w:ind w:right="0"/>
        <w:jc w:val="left"/>
      </w:pPr>
      <w:r>
        <w:rPr>
          <w:spacing w:val="-3"/>
        </w:rPr>
        <w:t>单项金额重大或安全性较低、流动性较差、不保本的高风险委托理财具体情况</w:t>
      </w:r>
    </w:p>
    <w:p>
      <w:pPr>
        <w:pStyle w:val="BodyText"/>
        <w:spacing w:line="362" w:lineRule="auto" w:before="115"/>
        <w:ind w:right="4900"/>
        <w:jc w:val="left"/>
      </w:pPr>
      <w:r>
        <w:rPr/>
        <w:t>□ </w:t>
      </w:r>
      <w:r>
        <w:rPr>
          <w:spacing w:val="-3"/>
        </w:rPr>
        <w:t>适用 </w:t>
      </w:r>
      <w:r>
        <w:rPr/>
        <w:t>√ 不适用</w:t>
      </w:r>
      <w:r>
        <w:rPr>
          <w:spacing w:val="-77"/>
        </w:rPr>
        <w:t> </w:t>
      </w:r>
      <w:r>
        <w:rPr>
          <w:spacing w:val="-77"/>
        </w:rPr>
      </w:r>
      <w:r>
        <w:rPr>
          <w:spacing w:val="-3"/>
        </w:rPr>
        <w:t>委托理财出现预期无法收回本金或存在其他可能导致减值的情形</w:t>
      </w:r>
    </w:p>
    <w:p>
      <w:pPr>
        <w:pStyle w:val="BodyText"/>
        <w:spacing w:line="240" w:lineRule="auto" w:before="23"/>
        <w:ind w:right="0"/>
        <w:jc w:val="left"/>
      </w:pPr>
      <w:r>
        <w:rPr/>
        <w:t>□ </w:t>
      </w:r>
      <w:r>
        <w:rPr>
          <w:spacing w:val="-3"/>
        </w:rPr>
        <w:t>适用 </w:t>
      </w:r>
      <w:r>
        <w:rPr/>
        <w:t>√</w:t>
      </w:r>
      <w:r>
        <w:rPr>
          <w:spacing w:val="13"/>
        </w:rPr>
        <w:t> </w:t>
      </w:r>
      <w:r>
        <w:rPr/>
        <w:t>不适用</w:t>
      </w:r>
    </w:p>
    <w:p>
      <w:pPr>
        <w:spacing w:line="240" w:lineRule="auto" w:before="4"/>
        <w:rPr>
          <w:rFonts w:ascii="宋体" w:hAnsi="宋体" w:cs="宋体" w:eastAsia="宋体" w:hint="default"/>
          <w:sz w:val="26"/>
          <w:szCs w:val="26"/>
        </w:rPr>
      </w:pPr>
    </w:p>
    <w:p>
      <w:pPr>
        <w:pStyle w:val="Heading4"/>
        <w:spacing w:line="240" w:lineRule="auto"/>
        <w:ind w:right="0"/>
        <w:jc w:val="left"/>
        <w:rPr>
          <w:b w:val="0"/>
          <w:bCs w:val="0"/>
        </w:rPr>
      </w:pPr>
      <w:bookmarkStart w:name="（2）委托贷款情况" w:id="97"/>
      <w:bookmarkEnd w:id="97"/>
      <w:r>
        <w:rPr>
          <w:b w:val="0"/>
          <w:bCs w:val="0"/>
        </w:rPr>
      </w:r>
      <w:r>
        <w:rPr/>
        <w:t>（</w:t>
      </w:r>
      <w:r>
        <w:rPr>
          <w:rFonts w:ascii="Times New Roman" w:hAnsi="Times New Roman" w:cs="Times New Roman" w:eastAsia="Times New Roman" w:hint="default"/>
        </w:rPr>
        <w:t>2</w:t>
      </w:r>
      <w:r>
        <w:rPr/>
        <w:t>）委托贷款情况</w:t>
      </w:r>
      <w:r>
        <w:rPr>
          <w:b w:val="0"/>
          <w:bCs w:val="0"/>
        </w:rPr>
      </w:r>
    </w:p>
    <w:p>
      <w:pPr>
        <w:spacing w:line="240" w:lineRule="auto" w:before="1"/>
        <w:rPr>
          <w:rFonts w:ascii="宋体" w:hAnsi="宋体" w:cs="宋体" w:eastAsia="宋体" w:hint="default"/>
          <w:b/>
          <w:bCs/>
          <w:sz w:val="27"/>
          <w:szCs w:val="27"/>
        </w:rPr>
      </w:pPr>
    </w:p>
    <w:p>
      <w:pPr>
        <w:pStyle w:val="BodyText"/>
        <w:spacing w:line="362" w:lineRule="auto" w:before="0"/>
        <w:ind w:right="7667"/>
        <w:jc w:val="left"/>
      </w:pPr>
      <w:r>
        <w:rPr/>
        <w:t>□ </w:t>
      </w:r>
      <w:r>
        <w:rPr>
          <w:spacing w:val="-3"/>
        </w:rPr>
        <w:t>适用 </w:t>
      </w:r>
      <w:r>
        <w:rPr/>
        <w:t>√ 不适用</w:t>
      </w:r>
      <w:r>
        <w:rPr>
          <w:spacing w:val="-77"/>
        </w:rPr>
        <w:t> </w:t>
      </w:r>
      <w:r>
        <w:rPr>
          <w:spacing w:val="-77"/>
        </w:rPr>
      </w:r>
      <w:r>
        <w:rPr>
          <w:spacing w:val="-3"/>
        </w:rPr>
        <w:t>公司报告期不存在委托贷款。</w:t>
      </w:r>
    </w:p>
    <w:p>
      <w:pPr>
        <w:spacing w:line="240" w:lineRule="auto" w:before="3"/>
        <w:rPr>
          <w:rFonts w:ascii="宋体" w:hAnsi="宋体" w:cs="宋体" w:eastAsia="宋体" w:hint="default"/>
          <w:sz w:val="19"/>
          <w:szCs w:val="19"/>
        </w:rPr>
      </w:pPr>
    </w:p>
    <w:p>
      <w:pPr>
        <w:pStyle w:val="Heading4"/>
        <w:spacing w:line="240" w:lineRule="auto"/>
        <w:ind w:right="0"/>
        <w:jc w:val="left"/>
        <w:rPr>
          <w:b w:val="0"/>
          <w:bCs w:val="0"/>
        </w:rPr>
      </w:pPr>
      <w:bookmarkStart w:name="4、其他重大合同" w:id="98"/>
      <w:bookmarkEnd w:id="98"/>
      <w:r>
        <w:rPr>
          <w:b w:val="0"/>
          <w:bCs w:val="0"/>
        </w:rPr>
      </w:r>
      <w:r>
        <w:rPr>
          <w:rFonts w:ascii="Times New Roman" w:hAnsi="Times New Roman" w:cs="Times New Roman" w:eastAsia="Times New Roman" w:hint="default"/>
        </w:rPr>
        <w:t>4</w:t>
      </w:r>
      <w:r>
        <w:rPr/>
        <w:t>、其他重大合同</w:t>
      </w:r>
      <w:r>
        <w:rPr>
          <w:b w:val="0"/>
          <w:bCs w:val="0"/>
        </w:rPr>
      </w:r>
    </w:p>
    <w:p>
      <w:pPr>
        <w:spacing w:line="240" w:lineRule="auto" w:before="1"/>
        <w:rPr>
          <w:rFonts w:ascii="宋体" w:hAnsi="宋体" w:cs="宋体" w:eastAsia="宋体" w:hint="default"/>
          <w:b/>
          <w:bCs/>
          <w:sz w:val="27"/>
          <w:szCs w:val="27"/>
        </w:rPr>
      </w:pPr>
    </w:p>
    <w:p>
      <w:pPr>
        <w:pStyle w:val="BodyText"/>
        <w:spacing w:line="357" w:lineRule="auto" w:before="0"/>
        <w:ind w:right="7667"/>
        <w:jc w:val="left"/>
      </w:pPr>
      <w:r>
        <w:rPr/>
        <w:t>□ </w:t>
      </w:r>
      <w:r>
        <w:rPr>
          <w:spacing w:val="-3"/>
        </w:rPr>
        <w:t>适用 </w:t>
      </w:r>
      <w:r>
        <w:rPr/>
        <w:t>√ 不适用</w:t>
      </w:r>
      <w:r>
        <w:rPr>
          <w:spacing w:val="-77"/>
        </w:rPr>
        <w:t> </w:t>
      </w:r>
      <w:r>
        <w:rPr>
          <w:spacing w:val="-77"/>
        </w:rPr>
      </w:r>
      <w:r>
        <w:rPr>
          <w:spacing w:val="-3"/>
        </w:rPr>
        <w:t>公司报告期不存在其他重大合同。</w:t>
      </w:r>
    </w:p>
    <w:p>
      <w:pPr>
        <w:spacing w:line="240" w:lineRule="auto" w:before="8"/>
        <w:rPr>
          <w:rFonts w:ascii="宋体" w:hAnsi="宋体" w:cs="宋体" w:eastAsia="宋体" w:hint="default"/>
          <w:sz w:val="17"/>
          <w:szCs w:val="17"/>
        </w:rPr>
      </w:pPr>
    </w:p>
    <w:p>
      <w:pPr>
        <w:pStyle w:val="Heading2"/>
        <w:spacing w:line="240" w:lineRule="auto"/>
        <w:ind w:right="0"/>
        <w:jc w:val="left"/>
        <w:rPr>
          <w:b w:val="0"/>
          <w:bCs w:val="0"/>
        </w:rPr>
      </w:pPr>
      <w:bookmarkStart w:name="十八、社会责任情况" w:id="99"/>
      <w:bookmarkEnd w:id="99"/>
      <w:r>
        <w:rPr>
          <w:b w:val="0"/>
          <w:bCs w:val="0"/>
        </w:rPr>
      </w:r>
      <w:r>
        <w:rPr/>
        <w:t>十八、社会责任情况</w:t>
      </w:r>
      <w:r>
        <w:rPr>
          <w:b w:val="0"/>
          <w:bCs w:val="0"/>
        </w:rPr>
      </w:r>
    </w:p>
    <w:p>
      <w:pPr>
        <w:spacing w:line="240" w:lineRule="auto" w:before="4"/>
        <w:rPr>
          <w:rFonts w:ascii="宋体" w:hAnsi="宋体" w:cs="宋体" w:eastAsia="宋体" w:hint="default"/>
          <w:b/>
          <w:bCs/>
          <w:sz w:val="25"/>
          <w:szCs w:val="25"/>
        </w:rPr>
      </w:pPr>
    </w:p>
    <w:p>
      <w:pPr>
        <w:pStyle w:val="Heading4"/>
        <w:spacing w:line="240" w:lineRule="auto"/>
        <w:ind w:right="0"/>
        <w:jc w:val="left"/>
        <w:rPr>
          <w:b w:val="0"/>
          <w:bCs w:val="0"/>
        </w:rPr>
      </w:pPr>
      <w:bookmarkStart w:name="1、履行社会责任情况" w:id="100"/>
      <w:bookmarkEnd w:id="100"/>
      <w:r>
        <w:rPr>
          <w:b w:val="0"/>
          <w:bCs w:val="0"/>
        </w:rPr>
      </w:r>
      <w:r>
        <w:rPr>
          <w:rFonts w:ascii="Times New Roman" w:hAnsi="Times New Roman" w:cs="Times New Roman" w:eastAsia="Times New Roman" w:hint="default"/>
        </w:rPr>
        <w:t>1</w:t>
      </w:r>
      <w:r>
        <w:rPr/>
        <w:t>、履行社会责任情况</w:t>
      </w:r>
      <w:r>
        <w:rPr>
          <w:b w:val="0"/>
          <w:bCs w:val="0"/>
        </w:rPr>
      </w:r>
    </w:p>
    <w:p>
      <w:pPr>
        <w:spacing w:line="240" w:lineRule="auto" w:before="4"/>
        <w:rPr>
          <w:rFonts w:ascii="宋体" w:hAnsi="宋体" w:cs="宋体" w:eastAsia="宋体" w:hint="default"/>
          <w:b/>
          <w:bCs/>
          <w:sz w:val="26"/>
          <w:szCs w:val="26"/>
        </w:rPr>
      </w:pPr>
    </w:p>
    <w:p>
      <w:pPr>
        <w:pStyle w:val="BodyText"/>
        <w:spacing w:line="314" w:lineRule="auto" w:before="0"/>
        <w:ind w:right="1122" w:firstLine="360"/>
        <w:jc w:val="both"/>
      </w:pPr>
      <w:r>
        <w:rPr>
          <w:spacing w:val="-4"/>
        </w:rPr>
        <w:t>报告期内公司重视并积极履行社会责任，</w:t>
      </w:r>
      <w:r>
        <w:rPr>
          <w:rFonts w:ascii="宋体" w:hAnsi="宋体" w:cs="宋体" w:eastAsia="宋体" w:hint="default"/>
          <w:spacing w:val="-4"/>
        </w:rPr>
        <w:t>2020</w:t>
      </w:r>
      <w:r>
        <w:rPr>
          <w:spacing w:val="-4"/>
        </w:rPr>
        <w:t>年初以来，面对全国新型冠状病毒肺炎疫情的形势，公司积极投身疫情防</w:t>
      </w:r>
      <w:r>
        <w:rPr>
          <w:w w:val="101"/>
        </w:rPr>
        <w:t> </w:t>
      </w:r>
      <w:r>
        <w:rPr>
          <w:spacing w:val="-4"/>
        </w:rPr>
        <w:t>控工作，并在做好企业和员工防护、积极组织复工复产的同时，切实履行上市公司社会责任。公司向武汉市东湖新技术开发</w:t>
      </w:r>
      <w:r>
        <w:rPr>
          <w:spacing w:val="40"/>
        </w:rPr>
        <w:t> </w:t>
      </w:r>
      <w:r>
        <w:rPr>
          <w:spacing w:val="40"/>
        </w:rPr>
      </w:r>
      <w:r>
        <w:rPr>
          <w:spacing w:val="-4"/>
        </w:rPr>
        <w:t>区红十字会捐赠现金</w:t>
      </w:r>
      <w:r>
        <w:rPr>
          <w:rFonts w:ascii="宋体" w:hAnsi="宋体" w:cs="宋体" w:eastAsia="宋体" w:hint="default"/>
          <w:spacing w:val="-4"/>
        </w:rPr>
        <w:t>50</w:t>
      </w:r>
      <w:r>
        <w:rPr>
          <w:spacing w:val="-4"/>
        </w:rPr>
        <w:t>万元（含公司及各子公司员工自愿捐款）。同时，公司发起成立的“深圳市奥之爱公益基金会”向武</w:t>
      </w:r>
      <w:r>
        <w:rPr>
          <w:spacing w:val="39"/>
        </w:rPr>
        <w:t> </w:t>
      </w:r>
      <w:r>
        <w:rPr>
          <w:spacing w:val="39"/>
        </w:rPr>
      </w:r>
      <w:r>
        <w:rPr>
          <w:spacing w:val="-4"/>
        </w:rPr>
        <w:t>汉市东湖新技术开发区红十字会捐赠现金</w:t>
      </w:r>
      <w:r>
        <w:rPr>
          <w:rFonts w:ascii="宋体" w:hAnsi="宋体" w:cs="宋体" w:eastAsia="宋体" w:hint="default"/>
          <w:spacing w:val="-4"/>
        </w:rPr>
        <w:t>50</w:t>
      </w:r>
      <w:r>
        <w:rPr>
          <w:spacing w:val="-4"/>
        </w:rPr>
        <w:t>万元，向景德镇市红十字会捐款</w:t>
      </w:r>
      <w:r>
        <w:rPr>
          <w:rFonts w:ascii="Times New Roman" w:hAnsi="Times New Roman" w:cs="Times New Roman" w:eastAsia="Times New Roman" w:hint="default"/>
          <w:spacing w:val="-4"/>
        </w:rPr>
        <w:t>10</w:t>
      </w:r>
      <w:r>
        <w:rPr>
          <w:spacing w:val="-4"/>
        </w:rPr>
        <w:t>万。上述合计捐赠现金 </w:t>
      </w:r>
      <w:r>
        <w:rPr>
          <w:rFonts w:ascii="宋体" w:hAnsi="宋体" w:cs="宋体" w:eastAsia="宋体" w:hint="default"/>
          <w:spacing w:val="-5"/>
        </w:rPr>
        <w:t>110</w:t>
      </w:r>
      <w:r>
        <w:rPr>
          <w:spacing w:val="-5"/>
        </w:rPr>
        <w:t>万元人民币。除此</w:t>
      </w:r>
      <w:r>
        <w:rPr>
          <w:spacing w:val="-16"/>
        </w:rPr>
        <w:t> </w:t>
      </w:r>
      <w:r>
        <w:rPr>
          <w:spacing w:val="-16"/>
        </w:rPr>
      </w:r>
      <w:r>
        <w:rPr>
          <w:spacing w:val="-3"/>
        </w:rPr>
        <w:t>之外，公司基于</w:t>
      </w:r>
      <w:r>
        <w:rPr>
          <w:rFonts w:ascii="宋体" w:hAnsi="宋体" w:cs="宋体" w:eastAsia="宋体" w:hint="default"/>
          <w:spacing w:val="-3"/>
        </w:rPr>
        <w:t>ESG</w:t>
      </w:r>
      <w:r>
        <w:rPr>
          <w:spacing w:val="-3"/>
        </w:rPr>
        <w:t>投资理念，积极与投资者开展与公司长期价值密切相关的交流与沟通。同时，依据自身实际情况，在股</w:t>
      </w:r>
      <w:r>
        <w:rPr>
          <w:spacing w:val="74"/>
        </w:rPr>
        <w:t> </w:t>
      </w:r>
      <w:r>
        <w:rPr>
          <w:spacing w:val="74"/>
        </w:rPr>
      </w:r>
      <w:r>
        <w:rPr>
          <w:spacing w:val="-3"/>
        </w:rPr>
        <w:t>东、债权人权益保护、职工权益保护、环境保护等方面承担了相应的社会责任，促进了公司和区域经济和谐发展。</w:t>
      </w:r>
    </w:p>
    <w:p>
      <w:pPr>
        <w:pStyle w:val="BodyText"/>
        <w:spacing w:line="309" w:lineRule="auto" w:before="20"/>
        <w:ind w:right="1123" w:firstLine="360"/>
        <w:jc w:val="both"/>
      </w:pPr>
      <w:r>
        <w:rPr>
          <w:spacing w:val="-3"/>
        </w:rPr>
        <w:t>（</w:t>
      </w:r>
      <w:r>
        <w:rPr>
          <w:rFonts w:ascii="Times New Roman" w:hAnsi="Times New Roman" w:cs="Times New Roman" w:eastAsia="Times New Roman" w:hint="default"/>
          <w:spacing w:val="-3"/>
        </w:rPr>
        <w:t>1</w:t>
      </w:r>
      <w:r>
        <w:rPr>
          <w:spacing w:val="-3"/>
        </w:rPr>
        <w:t>）股东和债权人的权益保护。公司依据《公司法》、《证券法》等法律规定，不断完善公司治理，建立了以《公司</w:t>
      </w:r>
      <w:r>
        <w:rPr>
          <w:w w:val="101"/>
        </w:rPr>
        <w:t> </w:t>
      </w:r>
      <w:r>
        <w:rPr>
          <w:spacing w:val="-4"/>
        </w:rPr>
        <w:t>章程》为基础的内控体系，形成了以股东大会、董事会、监事会及管理层为主体结构的决策与经营体系，切实保障全体股东</w:t>
      </w:r>
      <w:r>
        <w:rPr>
          <w:spacing w:val="40"/>
        </w:rPr>
        <w:t> </w:t>
      </w:r>
      <w:r>
        <w:rPr>
          <w:spacing w:val="40"/>
        </w:rPr>
      </w:r>
      <w:r>
        <w:rPr/>
        <w:t>和债权人的合法权益。</w:t>
      </w:r>
    </w:p>
    <w:p>
      <w:pPr>
        <w:pStyle w:val="BodyText"/>
        <w:spacing w:line="312" w:lineRule="auto" w:before="24"/>
        <w:ind w:right="1120" w:firstLine="360"/>
        <w:jc w:val="left"/>
      </w:pPr>
      <w:r>
        <w:rPr>
          <w:spacing w:val="-3"/>
        </w:rPr>
        <w:t>（</w:t>
      </w:r>
      <w:r>
        <w:rPr>
          <w:rFonts w:ascii="Times New Roman" w:hAnsi="Times New Roman" w:cs="Times New Roman" w:eastAsia="Times New Roman" w:hint="default"/>
          <w:spacing w:val="-3"/>
        </w:rPr>
        <w:t>2</w:t>
      </w:r>
      <w:r>
        <w:rPr>
          <w:spacing w:val="-3"/>
        </w:rPr>
        <w:t>）职工的权益保护。员工是公司最核心的宝贵财产。公司以人为本，把人才战略作为企业发展的重点，公司严格遵</w:t>
      </w:r>
      <w:r>
        <w:rPr>
          <w:w w:val="101"/>
        </w:rPr>
        <w:t> </w:t>
      </w:r>
      <w:r>
        <w:rPr>
          <w:spacing w:val="-3"/>
        </w:rPr>
        <w:t>守《劳动法》、《劳动合同法》、《妇女权益保障法》等相关法律法规，尊重和维护员工的个人权益，切实关注员工健康，</w:t>
      </w:r>
      <w:r>
        <w:rPr>
          <w:spacing w:val="67"/>
        </w:rPr>
        <w:t> </w:t>
      </w:r>
      <w:r>
        <w:rPr>
          <w:spacing w:val="67"/>
        </w:rPr>
      </w:r>
      <w:r>
        <w:rPr>
          <w:spacing w:val="-4"/>
        </w:rPr>
        <w:t>安全和满意度，重视人才培养，实现员工与企业的共同成长，不断将企业的发展成果惠及全体员工，构建和谐稳定的劳资关</w:t>
      </w:r>
      <w:r>
        <w:rPr>
          <w:spacing w:val="40"/>
        </w:rPr>
        <w:t> </w:t>
      </w:r>
      <w:r>
        <w:rPr>
          <w:spacing w:val="40"/>
        </w:rPr>
      </w:r>
      <w:r>
        <w:rPr/>
        <w:t>系。</w:t>
      </w:r>
    </w:p>
    <w:p>
      <w:pPr>
        <w:pStyle w:val="BodyText"/>
        <w:spacing w:line="300" w:lineRule="auto" w:before="22"/>
        <w:ind w:right="1127" w:firstLine="360"/>
        <w:jc w:val="both"/>
      </w:pPr>
      <w:r>
        <w:rPr>
          <w:spacing w:val="-3"/>
        </w:rPr>
        <w:t>（</w:t>
      </w:r>
      <w:r>
        <w:rPr>
          <w:rFonts w:ascii="Times New Roman" w:hAnsi="Times New Roman" w:cs="Times New Roman" w:eastAsia="Times New Roman" w:hint="default"/>
          <w:spacing w:val="-3"/>
        </w:rPr>
        <w:t>3</w:t>
      </w:r>
      <w:r>
        <w:rPr>
          <w:spacing w:val="-3"/>
        </w:rPr>
        <w:t>）供应商、客户和消费者权益保护。公司按照诚实守信、互惠互利、合法合规的交易原则，与供应商和经销商保持</w:t>
      </w:r>
      <w:r>
        <w:rPr>
          <w:w w:val="101"/>
        </w:rPr>
        <w:t> </w:t>
      </w:r>
      <w:r>
        <w:rPr>
          <w:spacing w:val="-4"/>
        </w:rPr>
        <w:t>了良好的合作关系；秉承</w:t>
      </w:r>
      <w:r>
        <w:rPr>
          <w:rFonts w:ascii="Times New Roman" w:hAnsi="Times New Roman" w:cs="Times New Roman" w:eastAsia="Times New Roman" w:hint="default"/>
          <w:spacing w:val="-4"/>
        </w:rPr>
        <w:t>“</w:t>
      </w:r>
      <w:r>
        <w:rPr>
          <w:spacing w:val="-4"/>
        </w:rPr>
        <w:t>尽善尽美、创造精品、服务客户</w:t>
      </w:r>
      <w:r>
        <w:rPr>
          <w:rFonts w:ascii="Times New Roman" w:hAnsi="Times New Roman" w:cs="Times New Roman" w:eastAsia="Times New Roman" w:hint="default"/>
          <w:spacing w:val="-4"/>
        </w:rPr>
        <w:t>”</w:t>
      </w:r>
      <w:r>
        <w:rPr>
          <w:spacing w:val="-4"/>
        </w:rPr>
        <w:t>的经营理念，通过科学分析市场和专业技术服务为顾客提供最佳</w:t>
      </w:r>
      <w:r>
        <w:rPr>
          <w:spacing w:val="60"/>
        </w:rPr>
        <w:t> </w:t>
      </w:r>
      <w:r>
        <w:rPr>
          <w:spacing w:val="60"/>
        </w:rPr>
      </w:r>
      <w:r>
        <w:rPr>
          <w:spacing w:val="-3"/>
        </w:rPr>
        <w:t>的解决方案，真正为客户和消费者提供优质的产品和服务。</w:t>
      </w:r>
    </w:p>
    <w:p>
      <w:pPr>
        <w:pStyle w:val="BodyText"/>
        <w:spacing w:line="240" w:lineRule="auto" w:before="31"/>
        <w:ind w:left="513" w:right="0"/>
        <w:jc w:val="left"/>
      </w:pPr>
      <w:r>
        <w:rPr>
          <w:spacing w:val="-3"/>
        </w:rPr>
        <w:t>（</w:t>
      </w:r>
      <w:r>
        <w:rPr>
          <w:rFonts w:ascii="Times New Roman" w:hAnsi="Times New Roman" w:cs="Times New Roman" w:eastAsia="Times New Roman" w:hint="default"/>
          <w:spacing w:val="-3"/>
        </w:rPr>
        <w:t>4</w:t>
      </w:r>
      <w:r>
        <w:rPr>
          <w:spacing w:val="-3"/>
        </w:rPr>
        <w:t>）环境保护与可持续发展。多年来公司坚持推进节能减排，节能环保从个人、从日常做起。根据生产特点，公司建</w:t>
      </w:r>
    </w:p>
    <w:p>
      <w:pPr>
        <w:spacing w:after="0" w:line="240" w:lineRule="auto"/>
        <w:jc w:val="left"/>
        <w:sectPr>
          <w:pgSz w:w="11910" w:h="16840"/>
          <w:pgMar w:header="784" w:footer="1022" w:top="1100" w:bottom="1220" w:left="980" w:right="0"/>
        </w:sectPr>
      </w:pPr>
    </w:p>
    <w:p>
      <w:pPr>
        <w:spacing w:line="240" w:lineRule="auto" w:before="10"/>
        <w:rPr>
          <w:rFonts w:ascii="宋体" w:hAnsi="宋体" w:cs="宋体" w:eastAsia="宋体" w:hint="default"/>
          <w:sz w:val="22"/>
          <w:szCs w:val="22"/>
        </w:rPr>
      </w:pPr>
    </w:p>
    <w:p>
      <w:pPr>
        <w:pStyle w:val="BodyText"/>
        <w:spacing w:line="300" w:lineRule="auto"/>
        <w:ind w:right="0"/>
        <w:jc w:val="left"/>
      </w:pPr>
      <w:r>
        <w:rPr>
          <w:spacing w:val="-3"/>
        </w:rPr>
        <w:t>立了环境保护管理体系，委派专人负责。公司已获得</w:t>
      </w:r>
      <w:r>
        <w:rPr>
          <w:rFonts w:ascii="Times New Roman" w:hAnsi="Times New Roman" w:cs="Times New Roman" w:eastAsia="Times New Roman" w:hint="default"/>
          <w:spacing w:val="-3"/>
        </w:rPr>
        <w:t>ISO14001</w:t>
      </w:r>
      <w:r>
        <w:rPr>
          <w:spacing w:val="-3"/>
        </w:rPr>
        <w:t>环境管理体系认证。同时，将环保理念贯穿到员工的日常工</w:t>
      </w:r>
      <w:r>
        <w:rPr>
          <w:spacing w:val="81"/>
        </w:rPr>
        <w:t> </w:t>
      </w:r>
      <w:r>
        <w:rPr>
          <w:spacing w:val="81"/>
        </w:rPr>
      </w:r>
      <w:r>
        <w:rPr>
          <w:spacing w:val="-3"/>
        </w:rPr>
        <w:t>作和生活中，督促和培养员工树立节约用电、用水、减少纸张使用等节能低碳的意识生活方式。</w:t>
      </w:r>
    </w:p>
    <w:p>
      <w:pPr>
        <w:pStyle w:val="BodyText"/>
        <w:spacing w:line="300" w:lineRule="auto" w:before="31"/>
        <w:ind w:right="0" w:firstLine="360"/>
        <w:jc w:val="left"/>
      </w:pPr>
      <w:r>
        <w:rPr>
          <w:spacing w:val="-3"/>
        </w:rPr>
        <w:t>（</w:t>
      </w:r>
      <w:r>
        <w:rPr>
          <w:rFonts w:ascii="Times New Roman" w:hAnsi="Times New Roman" w:cs="Times New Roman" w:eastAsia="Times New Roman" w:hint="default"/>
          <w:spacing w:val="-3"/>
        </w:rPr>
        <w:t>5</w:t>
      </w:r>
      <w:r>
        <w:rPr>
          <w:spacing w:val="-3"/>
        </w:rPr>
        <w:t>）公共关系。公司在生产经营活动中遵循自愿、公平、诚实信用的原则，遵守社会公德、商业道德，主动接受政府</w:t>
      </w:r>
      <w:r>
        <w:rPr>
          <w:w w:val="101"/>
        </w:rPr>
        <w:t> </w:t>
      </w:r>
      <w:r>
        <w:rPr>
          <w:spacing w:val="-3"/>
        </w:rPr>
        <w:t>部门和监管机关的监督和检查，高度重视社会公众及新闻媒体对公司的评论。</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Heading4"/>
        <w:spacing w:line="240" w:lineRule="auto" w:before="149"/>
        <w:ind w:right="0"/>
        <w:jc w:val="left"/>
        <w:rPr>
          <w:b w:val="0"/>
          <w:bCs w:val="0"/>
        </w:rPr>
      </w:pPr>
      <w:bookmarkStart w:name="2、履行精准扶贫社会责任情况" w:id="101"/>
      <w:bookmarkEnd w:id="101"/>
      <w:r>
        <w:rPr>
          <w:b w:val="0"/>
          <w:bCs w:val="0"/>
        </w:rPr>
      </w:r>
      <w:r>
        <w:rPr>
          <w:rFonts w:ascii="Times New Roman" w:hAnsi="Times New Roman" w:cs="Times New Roman" w:eastAsia="Times New Roman" w:hint="default"/>
        </w:rPr>
        <w:t>2</w:t>
      </w:r>
      <w:r>
        <w:rPr/>
        <w:t>、履行精准扶贫社会责任情况</w:t>
      </w:r>
      <w:r>
        <w:rPr>
          <w:b w:val="0"/>
          <w:bCs w:val="0"/>
        </w:rPr>
      </w:r>
    </w:p>
    <w:p>
      <w:pPr>
        <w:spacing w:line="240" w:lineRule="auto" w:before="5"/>
        <w:rPr>
          <w:rFonts w:ascii="宋体" w:hAnsi="宋体" w:cs="宋体" w:eastAsia="宋体" w:hint="default"/>
          <w:b/>
          <w:bCs/>
          <w:sz w:val="24"/>
          <w:szCs w:val="24"/>
        </w:rPr>
      </w:pPr>
    </w:p>
    <w:p>
      <w:pPr>
        <w:pStyle w:val="Heading4"/>
        <w:spacing w:line="240" w:lineRule="auto"/>
        <w:ind w:right="0"/>
        <w:jc w:val="left"/>
        <w:rPr>
          <w:b w:val="0"/>
          <w:bCs w:val="0"/>
        </w:rPr>
      </w:pPr>
      <w:bookmarkStart w:name="（1）精准扶贫规划" w:id="102"/>
      <w:bookmarkEnd w:id="102"/>
      <w:r>
        <w:rPr>
          <w:b w:val="0"/>
          <w:bCs w:val="0"/>
        </w:rPr>
      </w:r>
      <w:r>
        <w:rPr/>
        <w:t>（</w:t>
      </w:r>
      <w:r>
        <w:rPr>
          <w:rFonts w:ascii="Times New Roman" w:hAnsi="Times New Roman" w:cs="Times New Roman" w:eastAsia="Times New Roman" w:hint="default"/>
        </w:rPr>
        <w:t>1</w:t>
      </w:r>
      <w:r>
        <w:rPr/>
        <w:t>）精准扶贫规划</w:t>
      </w:r>
      <w:r>
        <w:rPr>
          <w:b w:val="0"/>
          <w:bCs w:val="0"/>
        </w:rPr>
      </w:r>
    </w:p>
    <w:p>
      <w:pPr>
        <w:spacing w:line="240" w:lineRule="auto" w:before="9"/>
        <w:rPr>
          <w:rFonts w:ascii="宋体" w:hAnsi="宋体" w:cs="宋体" w:eastAsia="宋体" w:hint="default"/>
          <w:b/>
          <w:bCs/>
          <w:sz w:val="26"/>
          <w:szCs w:val="26"/>
        </w:rPr>
      </w:pPr>
    </w:p>
    <w:p>
      <w:pPr>
        <w:pStyle w:val="BodyText"/>
        <w:spacing w:line="309" w:lineRule="auto" w:before="0"/>
        <w:ind w:right="0" w:firstLine="360"/>
        <w:jc w:val="left"/>
      </w:pPr>
      <w:r>
        <w:rPr>
          <w:rFonts w:ascii="Times New Roman" w:hAnsi="Times New Roman" w:cs="Times New Roman" w:eastAsia="Times New Roman" w:hint="default"/>
          <w:spacing w:val="-7"/>
          <w:w w:val="101"/>
        </w:rPr>
        <w:t>2018</w:t>
      </w:r>
      <w:r>
        <w:rPr>
          <w:spacing w:val="-7"/>
          <w:w w:val="101"/>
        </w:rPr>
        <w:t>年</w:t>
      </w:r>
      <w:r>
        <w:rPr>
          <w:rFonts w:ascii="Times New Roman" w:hAnsi="Times New Roman" w:cs="Times New Roman" w:eastAsia="Times New Roman" w:hint="default"/>
          <w:spacing w:val="-7"/>
          <w:w w:val="101"/>
        </w:rPr>
        <w:t>9</w:t>
      </w:r>
      <w:r>
        <w:rPr>
          <w:spacing w:val="-7"/>
          <w:w w:val="101"/>
        </w:rPr>
        <w:t>月</w:t>
      </w:r>
      <w:r>
        <w:rPr>
          <w:rFonts w:ascii="Times New Roman" w:hAnsi="Times New Roman" w:cs="Times New Roman" w:eastAsia="Times New Roman" w:hint="default"/>
          <w:spacing w:val="-7"/>
          <w:w w:val="101"/>
        </w:rPr>
        <w:t>30</w:t>
      </w:r>
      <w:r>
        <w:rPr>
          <w:spacing w:val="-7"/>
          <w:w w:val="101"/>
        </w:rPr>
        <w:t>日，公司第三届董事会第三十次会议审议通过了《关于拟设立深圳市奥之爱公益基金会暨关联交易的议案》，</w:t>
      </w:r>
      <w:r>
        <w:rPr>
          <w:w w:val="101"/>
        </w:rPr>
        <w:t> </w:t>
      </w:r>
      <w:r>
        <w:rPr>
          <w:spacing w:val="-6"/>
          <w:w w:val="101"/>
        </w:rPr>
        <w:t>同意公司拟设立深圳市奥之爱公益基金会，用于关爱和扶持弱势群体，扶持和资助贫困地区弱势群体接受职业培训指导服务；</w:t>
      </w:r>
      <w:r>
        <w:rPr>
          <w:spacing w:val="-71"/>
          <w:w w:val="101"/>
        </w:rPr>
        <w:t> </w:t>
      </w:r>
      <w:r>
        <w:rPr>
          <w:spacing w:val="-71"/>
          <w:w w:val="101"/>
        </w:rPr>
      </w:r>
      <w:r>
        <w:rPr>
          <w:spacing w:val="-4"/>
        </w:rPr>
        <w:t>资助扶贫项目，致力于改善贫困地区人群的生活条件。帮助贫困地区的学校兴建改造篮球场、羽毛球场馆运动设施；对困难</w:t>
      </w:r>
      <w:r>
        <w:rPr>
          <w:spacing w:val="40"/>
        </w:rPr>
        <w:t> </w:t>
      </w:r>
      <w:r>
        <w:rPr>
          <w:spacing w:val="40"/>
        </w:rPr>
      </w:r>
      <w:r>
        <w:rPr>
          <w:spacing w:val="-3"/>
        </w:rPr>
        <w:t>的学生进行资助。</w:t>
      </w:r>
      <w:r>
        <w:rPr>
          <w:rFonts w:ascii="Times New Roman" w:hAnsi="Times New Roman" w:cs="Times New Roman" w:eastAsia="Times New Roman" w:hint="default"/>
          <w:spacing w:val="-3"/>
        </w:rPr>
        <w:t>2019</w:t>
      </w:r>
      <w:r>
        <w:rPr>
          <w:spacing w:val="-3"/>
        </w:rPr>
        <w:t>年</w:t>
      </w:r>
      <w:r>
        <w:rPr>
          <w:rFonts w:ascii="Times New Roman" w:hAnsi="Times New Roman" w:cs="Times New Roman" w:eastAsia="Times New Roman" w:hint="default"/>
          <w:spacing w:val="-3"/>
        </w:rPr>
        <w:t>10</w:t>
      </w:r>
      <w:r>
        <w:rPr>
          <w:spacing w:val="-3"/>
        </w:rPr>
        <w:t>月</w:t>
      </w:r>
      <w:r>
        <w:rPr>
          <w:rFonts w:ascii="Times New Roman" w:hAnsi="Times New Roman" w:cs="Times New Roman" w:eastAsia="Times New Roman" w:hint="default"/>
          <w:spacing w:val="-3"/>
        </w:rPr>
        <w:t>8</w:t>
      </w:r>
      <w:r>
        <w:rPr>
          <w:spacing w:val="-3"/>
        </w:rPr>
        <w:t>日，基金会取得了由深圳市民政局颁发的《基金会法人登记证书（慈善组织）》，公司奥之</w:t>
      </w:r>
      <w:r>
        <w:rPr>
          <w:spacing w:val="79"/>
        </w:rPr>
        <w:t> </w:t>
      </w:r>
      <w:r>
        <w:rPr>
          <w:spacing w:val="79"/>
        </w:rPr>
      </w:r>
      <w:r>
        <w:rPr>
          <w:spacing w:val="-3"/>
        </w:rPr>
        <w:t>爱公益基金会正式设立。</w:t>
      </w:r>
    </w:p>
    <w:p>
      <w:pPr>
        <w:spacing w:line="240" w:lineRule="auto" w:before="0"/>
        <w:rPr>
          <w:rFonts w:ascii="宋体" w:hAnsi="宋体" w:cs="宋体" w:eastAsia="宋体" w:hint="default"/>
          <w:sz w:val="23"/>
          <w:szCs w:val="23"/>
        </w:rPr>
      </w:pPr>
    </w:p>
    <w:p>
      <w:pPr>
        <w:pStyle w:val="Heading4"/>
        <w:spacing w:line="240" w:lineRule="auto"/>
        <w:ind w:right="0"/>
        <w:jc w:val="left"/>
        <w:rPr>
          <w:b w:val="0"/>
          <w:bCs w:val="0"/>
        </w:rPr>
      </w:pPr>
      <w:bookmarkStart w:name="（2）年度精准扶贫概要" w:id="103"/>
      <w:bookmarkEnd w:id="103"/>
      <w:r>
        <w:rPr>
          <w:b w:val="0"/>
          <w:bCs w:val="0"/>
        </w:rPr>
      </w:r>
      <w:r>
        <w:rPr/>
        <w:t>（</w:t>
      </w:r>
      <w:r>
        <w:rPr>
          <w:rFonts w:ascii="Times New Roman" w:hAnsi="Times New Roman" w:cs="Times New Roman" w:eastAsia="Times New Roman" w:hint="default"/>
        </w:rPr>
        <w:t>2</w:t>
      </w:r>
      <w:r>
        <w:rPr/>
        <w:t>）年度精准扶贫概要</w:t>
      </w:r>
      <w:r>
        <w:rPr>
          <w:b w:val="0"/>
          <w:bCs w:val="0"/>
        </w:rPr>
      </w:r>
    </w:p>
    <w:p>
      <w:pPr>
        <w:spacing w:line="240" w:lineRule="auto" w:before="4"/>
        <w:rPr>
          <w:rFonts w:ascii="宋体" w:hAnsi="宋体" w:cs="宋体" w:eastAsia="宋体" w:hint="default"/>
          <w:b/>
          <w:bCs/>
          <w:sz w:val="26"/>
          <w:szCs w:val="26"/>
        </w:rPr>
      </w:pPr>
    </w:p>
    <w:p>
      <w:pPr>
        <w:pStyle w:val="BodyText"/>
        <w:spacing w:line="300" w:lineRule="auto" w:before="0"/>
        <w:ind w:right="0" w:firstLine="360"/>
        <w:jc w:val="left"/>
      </w:pPr>
      <w:r>
        <w:rPr>
          <w:rFonts w:ascii="Times New Roman" w:hAnsi="Times New Roman" w:cs="Times New Roman" w:eastAsia="Times New Roman" w:hint="default"/>
          <w:spacing w:val="-4"/>
        </w:rPr>
        <w:t>2019</w:t>
      </w:r>
      <w:r>
        <w:rPr>
          <w:spacing w:val="-4"/>
        </w:rPr>
        <w:t>年</w:t>
      </w:r>
      <w:r>
        <w:rPr>
          <w:rFonts w:ascii="Times New Roman" w:hAnsi="Times New Roman" w:cs="Times New Roman" w:eastAsia="Times New Roman" w:hint="default"/>
          <w:spacing w:val="-4"/>
        </w:rPr>
        <w:t>12</w:t>
      </w:r>
      <w:r>
        <w:rPr>
          <w:spacing w:val="-4"/>
        </w:rPr>
        <w:t>月，在江西景德镇市浮梁县举办</w:t>
      </w:r>
      <w:r>
        <w:rPr>
          <w:rFonts w:ascii="Times New Roman" w:hAnsi="Times New Roman" w:cs="Times New Roman" w:eastAsia="Times New Roman" w:hint="default"/>
          <w:spacing w:val="-4"/>
        </w:rPr>
        <w:t>“</w:t>
      </w:r>
      <w:r>
        <w:rPr>
          <w:spacing w:val="-4"/>
        </w:rPr>
        <w:t>商会奉献、狮心大爱、奥拓尽善、情系瑶里</w:t>
      </w:r>
      <w:r>
        <w:rPr>
          <w:rFonts w:ascii="Times New Roman" w:hAnsi="Times New Roman" w:cs="Times New Roman" w:eastAsia="Times New Roman" w:hint="default"/>
          <w:spacing w:val="-4"/>
        </w:rPr>
        <w:t>”</w:t>
      </w:r>
      <w:r>
        <w:rPr>
          <w:spacing w:val="-4"/>
        </w:rPr>
        <w:t>为主题的助学活动，奥之爱公益</w:t>
      </w:r>
      <w:r>
        <w:rPr>
          <w:w w:val="101"/>
        </w:rPr>
        <w:t> </w:t>
      </w:r>
      <w:r>
        <w:rPr>
          <w:spacing w:val="-3"/>
        </w:rPr>
        <w:t>基金会向浮梁县瑶里中学捐建篮球场。</w:t>
      </w:r>
    </w:p>
    <w:p>
      <w:pPr>
        <w:spacing w:line="240" w:lineRule="auto" w:before="8"/>
        <w:rPr>
          <w:rFonts w:ascii="宋体" w:hAnsi="宋体" w:cs="宋体" w:eastAsia="宋体" w:hint="default"/>
          <w:sz w:val="23"/>
          <w:szCs w:val="23"/>
        </w:rPr>
      </w:pPr>
    </w:p>
    <w:p>
      <w:pPr>
        <w:pStyle w:val="Heading4"/>
        <w:spacing w:line="240" w:lineRule="auto"/>
        <w:ind w:right="0"/>
        <w:jc w:val="left"/>
        <w:rPr>
          <w:b w:val="0"/>
          <w:bCs w:val="0"/>
        </w:rPr>
      </w:pPr>
      <w:bookmarkStart w:name="3、环境保护相关的情况" w:id="104"/>
      <w:bookmarkEnd w:id="104"/>
      <w:r>
        <w:rPr>
          <w:b w:val="0"/>
          <w:bCs w:val="0"/>
        </w:rPr>
      </w:r>
      <w:r>
        <w:rPr>
          <w:rFonts w:ascii="Times New Roman" w:hAnsi="Times New Roman" w:cs="Times New Roman" w:eastAsia="Times New Roman" w:hint="default"/>
        </w:rPr>
        <w:t>3</w:t>
      </w:r>
      <w:r>
        <w:rPr/>
        <w:t>、环境保护相关的情况</w:t>
      </w:r>
      <w:r>
        <w:rPr>
          <w:b w:val="0"/>
          <w:bCs w:val="0"/>
        </w:rPr>
      </w:r>
    </w:p>
    <w:p>
      <w:pPr>
        <w:spacing w:line="240" w:lineRule="auto" w:before="1"/>
        <w:rPr>
          <w:rFonts w:ascii="宋体" w:hAnsi="宋体" w:cs="宋体" w:eastAsia="宋体" w:hint="default"/>
          <w:b/>
          <w:bCs/>
          <w:sz w:val="27"/>
          <w:szCs w:val="27"/>
        </w:rPr>
      </w:pPr>
    </w:p>
    <w:p>
      <w:pPr>
        <w:pStyle w:val="BodyText"/>
        <w:spacing w:line="240" w:lineRule="auto" w:before="0"/>
        <w:ind w:left="422" w:right="0"/>
        <w:jc w:val="left"/>
      </w:pPr>
      <w:r>
        <w:rPr>
          <w:spacing w:val="-3"/>
        </w:rPr>
        <w:t>上市公司及其子公司是否属于环境保护部门公布的重点排污单位</w:t>
      </w:r>
    </w:p>
    <w:p>
      <w:pPr>
        <w:spacing w:line="240" w:lineRule="auto" w:before="13"/>
        <w:rPr>
          <w:rFonts w:ascii="宋体" w:hAnsi="宋体" w:cs="宋体" w:eastAsia="宋体" w:hint="default"/>
          <w:sz w:val="23"/>
          <w:szCs w:val="23"/>
        </w:rPr>
      </w:pPr>
    </w:p>
    <w:p>
      <w:pPr>
        <w:pStyle w:val="Heading2"/>
        <w:spacing w:line="240" w:lineRule="auto"/>
        <w:ind w:right="0"/>
        <w:jc w:val="left"/>
        <w:rPr>
          <w:b w:val="0"/>
          <w:bCs w:val="0"/>
        </w:rPr>
      </w:pPr>
      <w:bookmarkStart w:name="十九、其他重大事项的说明" w:id="105"/>
      <w:bookmarkEnd w:id="105"/>
      <w:r>
        <w:rPr>
          <w:b w:val="0"/>
          <w:bCs w:val="0"/>
        </w:rPr>
      </w:r>
      <w:r>
        <w:rPr/>
        <w:t>十九、其他重大事项的说明</w:t>
      </w:r>
      <w:r>
        <w:rPr>
          <w:b w:val="0"/>
          <w:bCs w:val="0"/>
        </w:rPr>
      </w:r>
    </w:p>
    <w:p>
      <w:pPr>
        <w:spacing w:line="240" w:lineRule="auto" w:before="7"/>
        <w:rPr>
          <w:rFonts w:ascii="宋体" w:hAnsi="宋体" w:cs="宋体" w:eastAsia="宋体" w:hint="default"/>
          <w:b/>
          <w:bCs/>
          <w:sz w:val="27"/>
          <w:szCs w:val="27"/>
        </w:rPr>
      </w:pPr>
    </w:p>
    <w:p>
      <w:pPr>
        <w:pStyle w:val="BodyText"/>
        <w:spacing w:line="240" w:lineRule="auto" w:before="0"/>
        <w:ind w:right="0"/>
        <w:jc w:val="left"/>
      </w:pPr>
      <w:r>
        <w:rPr/>
        <w:t>√ </w:t>
      </w:r>
      <w:r>
        <w:rPr>
          <w:spacing w:val="-3"/>
        </w:rPr>
        <w:t>适用 </w:t>
      </w:r>
      <w:r>
        <w:rPr/>
        <w:t>□</w:t>
      </w:r>
      <w:r>
        <w:rPr>
          <w:spacing w:val="13"/>
        </w:rPr>
        <w:t> </w:t>
      </w:r>
      <w:r>
        <w:rPr/>
        <w:t>不适用</w:t>
      </w:r>
    </w:p>
    <w:p>
      <w:pPr>
        <w:pStyle w:val="BodyText"/>
        <w:spacing w:line="319" w:lineRule="auto" w:before="110"/>
        <w:ind w:right="1122" w:firstLine="360"/>
        <w:jc w:val="both"/>
      </w:pPr>
      <w:r>
        <w:rPr>
          <w:rFonts w:ascii="宋体" w:hAnsi="宋体" w:cs="宋体" w:eastAsia="宋体" w:hint="default"/>
          <w:spacing w:val="-3"/>
        </w:rPr>
        <w:t>2019</w:t>
      </w:r>
      <w:r>
        <w:rPr>
          <w:spacing w:val="-3"/>
        </w:rPr>
        <w:t>年</w:t>
      </w:r>
      <w:r>
        <w:rPr>
          <w:rFonts w:ascii="宋体" w:hAnsi="宋体" w:cs="宋体" w:eastAsia="宋体" w:hint="default"/>
          <w:spacing w:val="-3"/>
        </w:rPr>
        <w:t>10</w:t>
      </w:r>
      <w:r>
        <w:rPr>
          <w:spacing w:val="-3"/>
        </w:rPr>
        <w:t>月</w:t>
      </w:r>
      <w:r>
        <w:rPr>
          <w:rFonts w:ascii="宋体" w:hAnsi="宋体" w:cs="宋体" w:eastAsia="宋体" w:hint="default"/>
          <w:spacing w:val="-3"/>
        </w:rPr>
        <w:t>14</w:t>
      </w:r>
      <w:r>
        <w:rPr>
          <w:spacing w:val="-3"/>
        </w:rPr>
        <w:t>日，公司第四届董事会第八次会议审议通过了《关于公司符合非公开发行 </w:t>
      </w:r>
      <w:r>
        <w:rPr>
          <w:rFonts w:ascii="宋体" w:hAnsi="宋体" w:cs="宋体" w:eastAsia="宋体" w:hint="default"/>
        </w:rPr>
        <w:t>A</w:t>
      </w:r>
      <w:r>
        <w:rPr>
          <w:rFonts w:ascii="宋体" w:hAnsi="宋体" w:cs="宋体" w:eastAsia="宋体" w:hint="default"/>
          <w:spacing w:val="56"/>
        </w:rPr>
        <w:t> </w:t>
      </w:r>
      <w:r>
        <w:rPr>
          <w:spacing w:val="-3"/>
        </w:rPr>
        <w:t>股股票条件的议案》、《关</w:t>
      </w:r>
      <w:r>
        <w:rPr>
          <w:w w:val="101"/>
        </w:rPr>
        <w:t> </w:t>
      </w:r>
      <w:r>
        <w:rPr/>
        <w:t>于</w:t>
      </w:r>
      <w:r>
        <w:rPr>
          <w:rFonts w:ascii="宋体" w:hAnsi="宋体" w:cs="宋体" w:eastAsia="宋体" w:hint="default"/>
        </w:rPr>
        <w:t>&lt;</w:t>
      </w:r>
      <w:r>
        <w:rPr/>
        <w:t>公司</w:t>
      </w:r>
      <w:r>
        <w:rPr>
          <w:rFonts w:ascii="宋体" w:hAnsi="宋体" w:cs="宋体" w:eastAsia="宋体" w:hint="default"/>
        </w:rPr>
        <w:t>2019</w:t>
      </w:r>
      <w:r>
        <w:rPr>
          <w:rFonts w:ascii="宋体" w:hAnsi="宋体" w:cs="宋体" w:eastAsia="宋体" w:hint="default"/>
          <w:spacing w:val="14"/>
        </w:rPr>
        <w:t> </w:t>
      </w:r>
      <w:r>
        <w:rPr>
          <w:spacing w:val="-3"/>
        </w:rPr>
        <w:t>年度非公开发行</w:t>
      </w:r>
      <w:r>
        <w:rPr>
          <w:spacing w:val="21"/>
        </w:rPr>
        <w:t> </w:t>
      </w:r>
      <w:r>
        <w:rPr>
          <w:rFonts w:ascii="宋体" w:hAnsi="宋体" w:cs="宋体" w:eastAsia="宋体" w:hint="default"/>
        </w:rPr>
        <w:t>A</w:t>
      </w:r>
      <w:r>
        <w:rPr>
          <w:rFonts w:ascii="宋体" w:hAnsi="宋体" w:cs="宋体" w:eastAsia="宋体" w:hint="default"/>
          <w:spacing w:val="14"/>
        </w:rPr>
        <w:t> </w:t>
      </w:r>
      <w:r>
        <w:rPr>
          <w:spacing w:val="-3"/>
        </w:rPr>
        <w:t>股股票预案</w:t>
      </w:r>
      <w:r>
        <w:rPr>
          <w:rFonts w:ascii="宋体" w:hAnsi="宋体" w:cs="宋体" w:eastAsia="宋体" w:hint="default"/>
          <w:spacing w:val="-3"/>
        </w:rPr>
        <w:t>&gt;</w:t>
      </w:r>
      <w:r>
        <w:rPr>
          <w:spacing w:val="-3"/>
        </w:rPr>
        <w:t>》、《关于公司</w:t>
      </w:r>
      <w:r>
        <w:rPr>
          <w:spacing w:val="14"/>
        </w:rPr>
        <w:t> </w:t>
      </w:r>
      <w:r>
        <w:rPr>
          <w:rFonts w:ascii="宋体" w:hAnsi="宋体" w:cs="宋体" w:eastAsia="宋体" w:hint="default"/>
        </w:rPr>
        <w:t>2019</w:t>
      </w:r>
      <w:r>
        <w:rPr>
          <w:rFonts w:ascii="宋体" w:hAnsi="宋体" w:cs="宋体" w:eastAsia="宋体" w:hint="default"/>
          <w:spacing w:val="14"/>
        </w:rPr>
        <w:t> </w:t>
      </w:r>
      <w:r>
        <w:rPr>
          <w:spacing w:val="-3"/>
        </w:rPr>
        <w:t>年度非公开发行</w:t>
      </w:r>
      <w:r>
        <w:rPr>
          <w:spacing w:val="14"/>
        </w:rPr>
        <w:t> </w:t>
      </w:r>
      <w:r>
        <w:rPr>
          <w:rFonts w:ascii="宋体" w:hAnsi="宋体" w:cs="宋体" w:eastAsia="宋体" w:hint="default"/>
        </w:rPr>
        <w:t>A</w:t>
      </w:r>
      <w:r>
        <w:rPr>
          <w:rFonts w:ascii="宋体" w:hAnsi="宋体" w:cs="宋体" w:eastAsia="宋体" w:hint="default"/>
          <w:spacing w:val="21"/>
        </w:rPr>
        <w:t> </w:t>
      </w:r>
      <w:r>
        <w:rPr>
          <w:spacing w:val="-3"/>
        </w:rPr>
        <w:t>股股票方案的议案》等议案，本次</w:t>
      </w:r>
      <w:r>
        <w:rPr>
          <w:spacing w:val="-84"/>
        </w:rPr>
        <w:t> </w:t>
      </w:r>
      <w:r>
        <w:rPr>
          <w:spacing w:val="-84"/>
        </w:rPr>
      </w:r>
      <w:r>
        <w:rPr/>
        <w:t>非公开发行</w:t>
      </w:r>
      <w:r>
        <w:rPr>
          <w:spacing w:val="25"/>
        </w:rPr>
        <w:t> </w:t>
      </w:r>
      <w:r>
        <w:rPr>
          <w:rFonts w:ascii="宋体" w:hAnsi="宋体" w:cs="宋体" w:eastAsia="宋体" w:hint="default"/>
          <w:spacing w:val="-3"/>
        </w:rPr>
        <w:t>A</w:t>
      </w:r>
      <w:r>
        <w:rPr>
          <w:spacing w:val="-3"/>
        </w:rPr>
        <w:t>股股票募集资金总额不超过</w:t>
      </w:r>
      <w:r>
        <w:rPr>
          <w:spacing w:val="20"/>
        </w:rPr>
        <w:t> </w:t>
      </w:r>
      <w:r>
        <w:rPr>
          <w:rFonts w:ascii="宋体" w:hAnsi="宋体" w:cs="宋体" w:eastAsia="宋体" w:hint="default"/>
        </w:rPr>
        <w:t>2.90</w:t>
      </w:r>
      <w:r>
        <w:rPr>
          <w:rFonts w:ascii="宋体" w:hAnsi="宋体" w:cs="宋体" w:eastAsia="宋体" w:hint="default"/>
          <w:spacing w:val="19"/>
        </w:rPr>
        <w:t> </w:t>
      </w:r>
      <w:r>
        <w:rPr>
          <w:spacing w:val="-3"/>
        </w:rPr>
        <w:t>亿元，拟用于“智慧网点智能化集成能力提升项目”、“</w:t>
      </w:r>
      <w:r>
        <w:rPr>
          <w:rFonts w:ascii="宋体" w:hAnsi="宋体" w:cs="宋体" w:eastAsia="宋体" w:hint="default"/>
          <w:spacing w:val="-3"/>
        </w:rPr>
        <w:t>Mini</w:t>
      </w:r>
      <w:r>
        <w:rPr>
          <w:rFonts w:ascii="宋体" w:hAnsi="宋体" w:cs="宋体" w:eastAsia="宋体" w:hint="default"/>
          <w:spacing w:val="25"/>
        </w:rPr>
        <w:t> </w:t>
      </w:r>
      <w:r>
        <w:rPr>
          <w:rFonts w:ascii="宋体" w:hAnsi="宋体" w:cs="宋体" w:eastAsia="宋体" w:hint="default"/>
        </w:rPr>
        <w:t>LED</w:t>
      </w:r>
      <w:r>
        <w:rPr>
          <w:rFonts w:ascii="宋体" w:hAnsi="宋体" w:cs="宋体" w:eastAsia="宋体" w:hint="default"/>
          <w:spacing w:val="25"/>
        </w:rPr>
        <w:t> </w:t>
      </w:r>
      <w:r>
        <w:rPr/>
        <w:t>智能制</w:t>
      </w:r>
      <w:r>
        <w:rPr>
          <w:spacing w:val="-83"/>
        </w:rPr>
        <w:t> </w:t>
      </w:r>
      <w:r>
        <w:rPr>
          <w:spacing w:val="-83"/>
        </w:rPr>
      </w:r>
      <w:r>
        <w:rPr>
          <w:spacing w:val="-4"/>
        </w:rPr>
        <w:t>造基地建设项目”、“智慧灯杆系统研发项目”建设以及补充流动资金。</w:t>
      </w:r>
      <w:r>
        <w:rPr>
          <w:rFonts w:ascii="宋体" w:hAnsi="宋体" w:cs="宋体" w:eastAsia="宋体" w:hint="default"/>
          <w:spacing w:val="-4"/>
        </w:rPr>
        <w:t>2019</w:t>
      </w:r>
      <w:r>
        <w:rPr>
          <w:spacing w:val="-4"/>
        </w:rPr>
        <w:t>年</w:t>
      </w:r>
      <w:r>
        <w:rPr>
          <w:rFonts w:ascii="宋体" w:hAnsi="宋体" w:cs="宋体" w:eastAsia="宋体" w:hint="default"/>
          <w:spacing w:val="-4"/>
        </w:rPr>
        <w:t>10</w:t>
      </w:r>
      <w:r>
        <w:rPr>
          <w:spacing w:val="-4"/>
        </w:rPr>
        <w:t>月</w:t>
      </w:r>
      <w:r>
        <w:rPr>
          <w:rFonts w:ascii="宋体" w:hAnsi="宋体" w:cs="宋体" w:eastAsia="宋体" w:hint="default"/>
          <w:spacing w:val="-4"/>
        </w:rPr>
        <w:t>31</w:t>
      </w:r>
      <w:r>
        <w:rPr>
          <w:spacing w:val="-4"/>
        </w:rPr>
        <w:t>日，公司</w:t>
      </w:r>
      <w:r>
        <w:rPr>
          <w:rFonts w:ascii="宋体" w:hAnsi="宋体" w:cs="宋体" w:eastAsia="宋体" w:hint="default"/>
          <w:spacing w:val="-4"/>
        </w:rPr>
        <w:t>2019</w:t>
      </w:r>
      <w:r>
        <w:rPr>
          <w:spacing w:val="-4"/>
        </w:rPr>
        <w:t>年第二次临时股东大会</w:t>
      </w:r>
      <w:r>
        <w:rPr>
          <w:spacing w:val="66"/>
        </w:rPr>
        <w:t> </w:t>
      </w:r>
      <w:r>
        <w:rPr>
          <w:spacing w:val="66"/>
        </w:rPr>
      </w:r>
      <w:r>
        <w:rPr>
          <w:spacing w:val="-3"/>
        </w:rPr>
        <w:t>审议通过了上述相关议案。截至</w:t>
      </w:r>
      <w:r>
        <w:rPr>
          <w:rFonts w:ascii="宋体" w:hAnsi="宋体" w:cs="宋体" w:eastAsia="宋体" w:hint="default"/>
          <w:spacing w:val="-3"/>
        </w:rPr>
        <w:t>2019</w:t>
      </w:r>
      <w:r>
        <w:rPr>
          <w:spacing w:val="-3"/>
        </w:rPr>
        <w:t>年</w:t>
      </w:r>
      <w:r>
        <w:rPr>
          <w:rFonts w:ascii="宋体" w:hAnsi="宋体" w:cs="宋体" w:eastAsia="宋体" w:hint="default"/>
          <w:spacing w:val="-3"/>
        </w:rPr>
        <w:t>12</w:t>
      </w:r>
      <w:r>
        <w:rPr>
          <w:spacing w:val="-3"/>
        </w:rPr>
        <w:t>月</w:t>
      </w:r>
      <w:r>
        <w:rPr>
          <w:rFonts w:ascii="宋体" w:hAnsi="宋体" w:cs="宋体" w:eastAsia="宋体" w:hint="default"/>
          <w:spacing w:val="-3"/>
        </w:rPr>
        <w:t>31</w:t>
      </w:r>
      <w:r>
        <w:rPr>
          <w:spacing w:val="-3"/>
        </w:rPr>
        <w:t>日，证监会已受理本次非公开发行材料，本次非公开发行</w:t>
      </w:r>
      <w:r>
        <w:rPr>
          <w:spacing w:val="69"/>
        </w:rPr>
        <w:t> </w:t>
      </w:r>
      <w:r>
        <w:rPr>
          <w:rFonts w:ascii="宋体" w:hAnsi="宋体" w:cs="宋体" w:eastAsia="宋体" w:hint="default"/>
        </w:rPr>
        <w:t>A</w:t>
      </w:r>
      <w:r>
        <w:rPr>
          <w:rFonts w:ascii="宋体" w:hAnsi="宋体" w:cs="宋体" w:eastAsia="宋体" w:hint="default"/>
          <w:spacing w:val="76"/>
        </w:rPr>
        <w:t> </w:t>
      </w:r>
      <w:r>
        <w:rPr>
          <w:spacing w:val="-3"/>
        </w:rPr>
        <w:t>股股票方案尚需</w:t>
      </w:r>
      <w:r>
        <w:rPr>
          <w:spacing w:val="-69"/>
        </w:rPr>
        <w:t> </w:t>
      </w:r>
      <w:r>
        <w:rPr>
          <w:spacing w:val="-69"/>
        </w:rPr>
      </w:r>
      <w:r>
        <w:rPr>
          <w:spacing w:val="-3"/>
        </w:rPr>
        <w:t>中国证监会的核准。</w:t>
      </w:r>
    </w:p>
    <w:p>
      <w:pPr>
        <w:spacing w:line="240" w:lineRule="auto" w:before="2"/>
        <w:rPr>
          <w:rFonts w:ascii="宋体" w:hAnsi="宋体" w:cs="宋体" w:eastAsia="宋体" w:hint="default"/>
          <w:sz w:val="20"/>
          <w:szCs w:val="20"/>
        </w:rPr>
      </w:pPr>
    </w:p>
    <w:p>
      <w:pPr>
        <w:pStyle w:val="Heading2"/>
        <w:spacing w:line="240" w:lineRule="auto"/>
        <w:ind w:right="0"/>
        <w:jc w:val="left"/>
        <w:rPr>
          <w:b w:val="0"/>
          <w:bCs w:val="0"/>
        </w:rPr>
      </w:pPr>
      <w:bookmarkStart w:name="二十、公司子公司重大事项" w:id="106"/>
      <w:bookmarkEnd w:id="106"/>
      <w:r>
        <w:rPr>
          <w:b w:val="0"/>
          <w:bCs w:val="0"/>
        </w:rPr>
      </w:r>
      <w:r>
        <w:rPr/>
        <w:t>二十、公司子公司重大事项</w:t>
      </w:r>
      <w:r>
        <w:rPr>
          <w:b w:val="0"/>
          <w:bCs w:val="0"/>
        </w:rPr>
      </w:r>
    </w:p>
    <w:p>
      <w:pPr>
        <w:spacing w:line="240" w:lineRule="auto" w:before="3"/>
        <w:rPr>
          <w:rFonts w:ascii="宋体" w:hAnsi="宋体" w:cs="宋体" w:eastAsia="宋体" w:hint="default"/>
          <w:b/>
          <w:bCs/>
          <w:sz w:val="27"/>
          <w:szCs w:val="27"/>
        </w:rPr>
      </w:pPr>
    </w:p>
    <w:p>
      <w:pPr>
        <w:pStyle w:val="BodyText"/>
        <w:spacing w:line="240" w:lineRule="auto" w:before="0"/>
        <w:ind w:right="0"/>
        <w:jc w:val="left"/>
      </w:pPr>
      <w:r>
        <w:rPr/>
        <w:t>□ </w:t>
      </w:r>
      <w:r>
        <w:rPr>
          <w:spacing w:val="-3"/>
        </w:rPr>
        <w:t>适用 </w:t>
      </w:r>
      <w:r>
        <w:rPr/>
        <w:t>√</w:t>
      </w:r>
      <w:r>
        <w:rPr>
          <w:spacing w:val="13"/>
        </w:rPr>
        <w:t> </w:t>
      </w:r>
      <w:r>
        <w:rPr/>
        <w:t>不适用</w:t>
      </w:r>
    </w:p>
    <w:p>
      <w:pPr>
        <w:spacing w:after="0" w:line="240" w:lineRule="auto"/>
        <w:jc w:val="left"/>
        <w:sectPr>
          <w:pgSz w:w="11910" w:h="16840"/>
          <w:pgMar w:header="784" w:footer="1022" w:top="1100" w:bottom="122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7"/>
          <w:szCs w:val="17"/>
        </w:rPr>
      </w:pPr>
    </w:p>
    <w:p>
      <w:pPr>
        <w:pStyle w:val="Heading1"/>
        <w:spacing w:line="240" w:lineRule="auto"/>
        <w:ind w:left="3043" w:right="0"/>
        <w:jc w:val="left"/>
        <w:rPr>
          <w:b w:val="0"/>
          <w:bCs w:val="0"/>
        </w:rPr>
      </w:pPr>
      <w:bookmarkStart w:name="第六节股份变动及股东情况" w:id="107"/>
      <w:bookmarkEnd w:id="107"/>
      <w:r>
        <w:rPr>
          <w:b w:val="0"/>
          <w:bCs w:val="0"/>
        </w:rPr>
      </w:r>
      <w:bookmarkStart w:name="_bookmark5" w:id="108"/>
      <w:bookmarkEnd w:id="108"/>
      <w:r>
        <w:rPr>
          <w:b w:val="0"/>
          <w:bCs w:val="0"/>
        </w:rPr>
      </w:r>
      <w:r>
        <w:rPr/>
        <w:t>第六节股份变动及股东情况</w:t>
      </w:r>
      <w:r>
        <w:rPr>
          <w:b w:val="0"/>
          <w:bCs w:val="0"/>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6"/>
          <w:szCs w:val="16"/>
        </w:rPr>
      </w:pPr>
    </w:p>
    <w:p>
      <w:pPr>
        <w:pStyle w:val="Heading2"/>
        <w:spacing w:line="240" w:lineRule="auto" w:before="26"/>
        <w:ind w:right="0"/>
        <w:jc w:val="left"/>
        <w:rPr>
          <w:b w:val="0"/>
          <w:bCs w:val="0"/>
        </w:rPr>
      </w:pPr>
      <w:bookmarkStart w:name="一、股份变动情况" w:id="109"/>
      <w:bookmarkEnd w:id="109"/>
      <w:r>
        <w:rPr>
          <w:b w:val="0"/>
          <w:bCs w:val="0"/>
        </w:rPr>
      </w:r>
      <w:r>
        <w:rPr/>
        <w:t>一、股份变动情况</w:t>
      </w:r>
      <w:r>
        <w:rPr>
          <w:b w:val="0"/>
          <w:bCs w:val="0"/>
        </w:rPr>
      </w:r>
    </w:p>
    <w:p>
      <w:pPr>
        <w:spacing w:line="240" w:lineRule="auto" w:before="3"/>
        <w:rPr>
          <w:rFonts w:ascii="宋体" w:hAnsi="宋体" w:cs="宋体" w:eastAsia="宋体" w:hint="default"/>
          <w:b/>
          <w:bCs/>
          <w:sz w:val="25"/>
          <w:szCs w:val="25"/>
        </w:rPr>
      </w:pPr>
    </w:p>
    <w:p>
      <w:pPr>
        <w:pStyle w:val="Heading4"/>
        <w:spacing w:line="240" w:lineRule="auto"/>
        <w:ind w:right="0"/>
        <w:jc w:val="left"/>
        <w:rPr>
          <w:b w:val="0"/>
          <w:bCs w:val="0"/>
        </w:rPr>
      </w:pPr>
      <w:bookmarkStart w:name="1、股份变动情况" w:id="110"/>
      <w:bookmarkEnd w:id="110"/>
      <w:r>
        <w:rPr>
          <w:b w:val="0"/>
          <w:bCs w:val="0"/>
        </w:rPr>
      </w:r>
      <w:r>
        <w:rPr>
          <w:rFonts w:ascii="Times New Roman" w:hAnsi="Times New Roman" w:cs="Times New Roman" w:eastAsia="Times New Roman" w:hint="default"/>
        </w:rPr>
        <w:t>1</w:t>
      </w:r>
      <w:r>
        <w:rPr/>
        <w:t>、股份变动情况</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spacing w:val="-2"/>
        </w:rPr>
        <w:t>单位：股</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228"/>
        <w:gridCol w:w="821"/>
        <w:gridCol w:w="826"/>
        <w:gridCol w:w="821"/>
        <w:gridCol w:w="826"/>
        <w:gridCol w:w="821"/>
        <w:gridCol w:w="821"/>
        <w:gridCol w:w="821"/>
        <w:gridCol w:w="797"/>
        <w:gridCol w:w="792"/>
      </w:tblGrid>
      <w:tr>
        <w:trPr>
          <w:trHeight w:val="398" w:hRule="exact"/>
        </w:trPr>
        <w:tc>
          <w:tcPr>
            <w:tcW w:w="2228" w:type="dxa"/>
            <w:vMerge w:val="restart"/>
            <w:tcBorders>
              <w:top w:val="single" w:sz="4" w:space="0" w:color="000000"/>
              <w:left w:val="single" w:sz="4" w:space="0" w:color="000000"/>
              <w:right w:val="single" w:sz="4" w:space="0" w:color="000000"/>
            </w:tcBorders>
            <w:shd w:val="clear" w:color="auto" w:fill="D2D2D2"/>
          </w:tcPr>
          <w:p>
            <w:pPr/>
          </w:p>
        </w:tc>
        <w:tc>
          <w:tcPr>
            <w:tcW w:w="164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69"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4110"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61" w:right="0"/>
              <w:jc w:val="left"/>
              <w:rPr>
                <w:rFonts w:ascii="宋体" w:hAnsi="宋体" w:cs="宋体" w:eastAsia="宋体" w:hint="default"/>
                <w:sz w:val="18"/>
                <w:szCs w:val="18"/>
              </w:rPr>
            </w:pPr>
            <w:r>
              <w:rPr>
                <w:rFonts w:ascii="宋体" w:hAnsi="宋体" w:cs="宋体" w:eastAsia="宋体" w:hint="default"/>
                <w:spacing w:val="-3"/>
                <w:sz w:val="18"/>
                <w:szCs w:val="18"/>
              </w:rPr>
              <w:t>本次变动增减（＋，－）</w:t>
            </w:r>
          </w:p>
        </w:tc>
        <w:tc>
          <w:tcPr>
            <w:tcW w:w="158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41"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715" w:hRule="exact"/>
        </w:trPr>
        <w:tc>
          <w:tcPr>
            <w:tcW w:w="2228" w:type="dxa"/>
            <w:vMerge/>
            <w:tcBorders>
              <w:left w:val="single" w:sz="4" w:space="0" w:color="000000"/>
              <w:bottom w:val="single" w:sz="4" w:space="0" w:color="000000"/>
              <w:right w:val="single" w:sz="4" w:space="0" w:color="000000"/>
            </w:tcBorders>
            <w:shd w:val="clear" w:color="auto" w:fill="D2D2D2"/>
          </w:tcPr>
          <w:p>
            <w:pPr/>
          </w:p>
        </w:tc>
        <w:tc>
          <w:tcPr>
            <w:tcW w:w="8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225"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8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22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316" w:right="127" w:hanging="178"/>
              <w:jc w:val="left"/>
              <w:rPr>
                <w:rFonts w:ascii="宋体" w:hAnsi="宋体" w:cs="宋体" w:eastAsia="宋体" w:hint="default"/>
                <w:sz w:val="18"/>
                <w:szCs w:val="18"/>
              </w:rPr>
            </w:pPr>
            <w:r>
              <w:rPr>
                <w:rFonts w:ascii="宋体" w:hAnsi="宋体" w:cs="宋体" w:eastAsia="宋体" w:hint="default"/>
                <w:sz w:val="18"/>
                <w:szCs w:val="18"/>
              </w:rPr>
              <w:t>发行新</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股</w:t>
            </w:r>
          </w:p>
        </w:tc>
        <w:tc>
          <w:tcPr>
            <w:tcW w:w="8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225"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8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220" w:right="132" w:hanging="87"/>
              <w:jc w:val="left"/>
              <w:rPr>
                <w:rFonts w:ascii="宋体" w:hAnsi="宋体" w:cs="宋体" w:eastAsia="宋体" w:hint="default"/>
                <w:sz w:val="18"/>
                <w:szCs w:val="18"/>
              </w:rPr>
            </w:pPr>
            <w:r>
              <w:rPr>
                <w:rFonts w:ascii="宋体" w:hAnsi="宋体" w:cs="宋体" w:eastAsia="宋体" w:hint="default"/>
                <w:sz w:val="18"/>
                <w:szCs w:val="18"/>
              </w:rPr>
              <w:t>公积金</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转股</w:t>
            </w:r>
          </w:p>
        </w:tc>
        <w:tc>
          <w:tcPr>
            <w:tcW w:w="8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22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225"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211"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206" w:right="0"/>
              <w:jc w:val="left"/>
              <w:rPr>
                <w:rFonts w:ascii="宋体" w:hAnsi="宋体" w:cs="宋体" w:eastAsia="宋体" w:hint="default"/>
                <w:sz w:val="18"/>
                <w:szCs w:val="18"/>
              </w:rPr>
            </w:pPr>
            <w:r>
              <w:rPr>
                <w:rFonts w:ascii="宋体" w:hAnsi="宋体" w:cs="宋体" w:eastAsia="宋体" w:hint="default"/>
                <w:sz w:val="18"/>
                <w:szCs w:val="18"/>
              </w:rPr>
              <w:t>比例</w:t>
            </w:r>
          </w:p>
        </w:tc>
      </w:tr>
      <w:tr>
        <w:trPr>
          <w:trHeight w:val="716" w:hRule="exact"/>
        </w:trPr>
        <w:tc>
          <w:tcPr>
            <w:tcW w:w="22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pacing w:val="-3"/>
                <w:sz w:val="18"/>
                <w:szCs w:val="18"/>
              </w:rPr>
              <w:t>一、有限售条件股份</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24" w:right="0"/>
              <w:jc w:val="left"/>
              <w:rPr>
                <w:rFonts w:ascii="Times New Roman" w:hAnsi="Times New Roman" w:cs="Times New Roman" w:eastAsia="Times New Roman" w:hint="default"/>
                <w:sz w:val="18"/>
                <w:szCs w:val="18"/>
              </w:rPr>
            </w:pPr>
            <w:r>
              <w:rPr>
                <w:rFonts w:ascii="Times New Roman"/>
                <w:sz w:val="18"/>
              </w:rPr>
              <w:t>226,142</w:t>
            </w:r>
          </w:p>
          <w:p>
            <w:pPr>
              <w:pStyle w:val="TableParagraph"/>
              <w:spacing w:line="240" w:lineRule="auto" w:before="110"/>
              <w:ind w:left="393" w:right="0"/>
              <w:jc w:val="left"/>
              <w:rPr>
                <w:rFonts w:ascii="Times New Roman" w:hAnsi="Times New Roman" w:cs="Times New Roman" w:eastAsia="Times New Roman" w:hint="default"/>
                <w:sz w:val="18"/>
                <w:szCs w:val="18"/>
              </w:rPr>
            </w:pPr>
            <w:r>
              <w:rPr>
                <w:rFonts w:ascii="Times New Roman"/>
                <w:sz w:val="18"/>
              </w:rPr>
              <w:t>,748</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36.52%</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72"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10"/>
              <w:ind w:left="532" w:right="0"/>
              <w:jc w:val="left"/>
              <w:rPr>
                <w:rFonts w:ascii="Times New Roman" w:hAnsi="Times New Roman" w:cs="Times New Roman" w:eastAsia="Times New Roman" w:hint="default"/>
                <w:sz w:val="18"/>
                <w:szCs w:val="18"/>
              </w:rPr>
            </w:pPr>
            <w:r>
              <w:rPr>
                <w:rFonts w:ascii="Times New Roman"/>
                <w:sz w:val="18"/>
              </w:rPr>
              <w:t>00</w:t>
            </w:r>
          </w:p>
        </w:tc>
        <w:tc>
          <w:tcPr>
            <w:tcW w:w="826"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10" w:right="0"/>
              <w:jc w:val="left"/>
              <w:rPr>
                <w:rFonts w:ascii="Times New Roman" w:hAnsi="Times New Roman" w:cs="Times New Roman" w:eastAsia="Times New Roman" w:hint="default"/>
                <w:sz w:val="18"/>
                <w:szCs w:val="18"/>
              </w:rPr>
            </w:pPr>
            <w:r>
              <w:rPr>
                <w:rFonts w:ascii="Times New Roman"/>
                <w:sz w:val="18"/>
              </w:rPr>
              <w:t>-29,262,</w:t>
            </w:r>
          </w:p>
          <w:p>
            <w:pPr>
              <w:pStyle w:val="TableParagraph"/>
              <w:spacing w:line="240" w:lineRule="auto" w:before="110"/>
              <w:ind w:left="441" w:right="0"/>
              <w:jc w:val="left"/>
              <w:rPr>
                <w:rFonts w:ascii="Times New Roman" w:hAnsi="Times New Roman" w:cs="Times New Roman" w:eastAsia="Times New Roman" w:hint="default"/>
                <w:sz w:val="18"/>
                <w:szCs w:val="18"/>
              </w:rPr>
            </w:pPr>
            <w:r>
              <w:rPr>
                <w:rFonts w:ascii="Times New Roman"/>
                <w:sz w:val="18"/>
              </w:rPr>
              <w:t>328</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10" w:right="0"/>
              <w:jc w:val="left"/>
              <w:rPr>
                <w:rFonts w:ascii="Times New Roman" w:hAnsi="Times New Roman" w:cs="Times New Roman" w:eastAsia="Times New Roman" w:hint="default"/>
                <w:sz w:val="18"/>
                <w:szCs w:val="18"/>
              </w:rPr>
            </w:pPr>
            <w:r>
              <w:rPr>
                <w:rFonts w:ascii="Times New Roman"/>
                <w:sz w:val="18"/>
              </w:rPr>
              <w:t>-28,262,</w:t>
            </w:r>
          </w:p>
          <w:p>
            <w:pPr>
              <w:pStyle w:val="TableParagraph"/>
              <w:spacing w:line="240" w:lineRule="auto" w:before="110"/>
              <w:ind w:left="441" w:right="0"/>
              <w:jc w:val="left"/>
              <w:rPr>
                <w:rFonts w:ascii="Times New Roman" w:hAnsi="Times New Roman" w:cs="Times New Roman" w:eastAsia="Times New Roman" w:hint="default"/>
                <w:sz w:val="18"/>
                <w:szCs w:val="18"/>
              </w:rPr>
            </w:pPr>
            <w:r>
              <w:rPr>
                <w:rFonts w:ascii="Times New Roman"/>
                <w:sz w:val="18"/>
              </w:rPr>
              <w:t>328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87" w:right="0"/>
              <w:jc w:val="left"/>
              <w:rPr>
                <w:rFonts w:ascii="Times New Roman" w:hAnsi="Times New Roman" w:cs="Times New Roman" w:eastAsia="Times New Roman" w:hint="default"/>
                <w:sz w:val="18"/>
                <w:szCs w:val="18"/>
              </w:rPr>
            </w:pPr>
            <w:r>
              <w:rPr>
                <w:rFonts w:ascii="Times New Roman"/>
                <w:sz w:val="18"/>
              </w:rPr>
              <w:t>197,88</w:t>
            </w:r>
          </w:p>
          <w:p>
            <w:pPr>
              <w:pStyle w:val="TableParagraph"/>
              <w:spacing w:line="240" w:lineRule="auto" w:before="110"/>
              <w:ind w:left="278" w:right="0"/>
              <w:jc w:val="left"/>
              <w:rPr>
                <w:rFonts w:ascii="Times New Roman" w:hAnsi="Times New Roman" w:cs="Times New Roman" w:eastAsia="Times New Roman" w:hint="default"/>
                <w:sz w:val="18"/>
                <w:szCs w:val="18"/>
              </w:rPr>
            </w:pPr>
            <w:r>
              <w:rPr>
                <w:rFonts w:ascii="Times New Roman"/>
                <w:sz w:val="18"/>
              </w:rPr>
              <w:t>0,420</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31.91%</w:t>
            </w:r>
          </w:p>
        </w:tc>
      </w:tr>
      <w:tr>
        <w:trPr>
          <w:trHeight w:val="403" w:hRule="exact"/>
        </w:trPr>
        <w:tc>
          <w:tcPr>
            <w:tcW w:w="22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、国家持股</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pacing w:val="-1"/>
                <w:sz w:val="18"/>
              </w:rPr>
              <w:t>0.00%</w:t>
            </w:r>
          </w:p>
        </w:tc>
        <w:tc>
          <w:tcPr>
            <w:tcW w:w="82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pacing w:val="-1"/>
                <w:sz w:val="18"/>
              </w:rPr>
              <w:t>0.00%</w:t>
            </w:r>
          </w:p>
        </w:tc>
      </w:tr>
      <w:tr>
        <w:trPr>
          <w:trHeight w:val="398" w:hRule="exact"/>
        </w:trPr>
        <w:tc>
          <w:tcPr>
            <w:tcW w:w="22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、国有法人持股</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pacing w:val="-1"/>
                <w:sz w:val="18"/>
              </w:rPr>
              <w:t>0.00%</w:t>
            </w:r>
          </w:p>
        </w:tc>
        <w:tc>
          <w:tcPr>
            <w:tcW w:w="82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6" w:hRule="exact"/>
        </w:trPr>
        <w:tc>
          <w:tcPr>
            <w:tcW w:w="22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24" w:right="0"/>
              <w:jc w:val="left"/>
              <w:rPr>
                <w:rFonts w:ascii="Times New Roman" w:hAnsi="Times New Roman" w:cs="Times New Roman" w:eastAsia="Times New Roman" w:hint="default"/>
                <w:sz w:val="18"/>
                <w:szCs w:val="18"/>
              </w:rPr>
            </w:pPr>
            <w:r>
              <w:rPr>
                <w:rFonts w:ascii="Times New Roman"/>
                <w:sz w:val="18"/>
              </w:rPr>
              <w:t>225,842</w:t>
            </w:r>
          </w:p>
          <w:p>
            <w:pPr>
              <w:pStyle w:val="TableParagraph"/>
              <w:spacing w:line="240" w:lineRule="auto" w:before="110"/>
              <w:ind w:left="393" w:right="0"/>
              <w:jc w:val="left"/>
              <w:rPr>
                <w:rFonts w:ascii="Times New Roman" w:hAnsi="Times New Roman" w:cs="Times New Roman" w:eastAsia="Times New Roman" w:hint="default"/>
                <w:sz w:val="18"/>
                <w:szCs w:val="18"/>
              </w:rPr>
            </w:pPr>
            <w:r>
              <w:rPr>
                <w:rFonts w:ascii="Times New Roman"/>
                <w:sz w:val="18"/>
              </w:rPr>
              <w:t>,748</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36.52%</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72"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10"/>
              <w:ind w:left="532" w:right="0"/>
              <w:jc w:val="left"/>
              <w:rPr>
                <w:rFonts w:ascii="Times New Roman" w:hAnsi="Times New Roman" w:cs="Times New Roman" w:eastAsia="Times New Roman" w:hint="default"/>
                <w:sz w:val="18"/>
                <w:szCs w:val="18"/>
              </w:rPr>
            </w:pPr>
            <w:r>
              <w:rPr>
                <w:rFonts w:ascii="Times New Roman"/>
                <w:sz w:val="18"/>
              </w:rPr>
              <w:t>00</w:t>
            </w:r>
          </w:p>
        </w:tc>
        <w:tc>
          <w:tcPr>
            <w:tcW w:w="826"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10" w:right="0"/>
              <w:jc w:val="left"/>
              <w:rPr>
                <w:rFonts w:ascii="Times New Roman" w:hAnsi="Times New Roman" w:cs="Times New Roman" w:eastAsia="Times New Roman" w:hint="default"/>
                <w:sz w:val="18"/>
                <w:szCs w:val="18"/>
              </w:rPr>
            </w:pPr>
            <w:r>
              <w:rPr>
                <w:rFonts w:ascii="Times New Roman"/>
                <w:sz w:val="18"/>
              </w:rPr>
              <w:t>-29,262,</w:t>
            </w:r>
          </w:p>
          <w:p>
            <w:pPr>
              <w:pStyle w:val="TableParagraph"/>
              <w:spacing w:line="240" w:lineRule="auto" w:before="110"/>
              <w:ind w:left="441" w:right="0"/>
              <w:jc w:val="left"/>
              <w:rPr>
                <w:rFonts w:ascii="Times New Roman" w:hAnsi="Times New Roman" w:cs="Times New Roman" w:eastAsia="Times New Roman" w:hint="default"/>
                <w:sz w:val="18"/>
                <w:szCs w:val="18"/>
              </w:rPr>
            </w:pPr>
            <w:r>
              <w:rPr>
                <w:rFonts w:ascii="Times New Roman"/>
                <w:sz w:val="18"/>
              </w:rPr>
              <w:t>328</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10" w:right="0"/>
              <w:jc w:val="left"/>
              <w:rPr>
                <w:rFonts w:ascii="Times New Roman" w:hAnsi="Times New Roman" w:cs="Times New Roman" w:eastAsia="Times New Roman" w:hint="default"/>
                <w:sz w:val="18"/>
                <w:szCs w:val="18"/>
              </w:rPr>
            </w:pPr>
            <w:r>
              <w:rPr>
                <w:rFonts w:ascii="Times New Roman"/>
                <w:sz w:val="18"/>
              </w:rPr>
              <w:t>-28,262,</w:t>
            </w:r>
          </w:p>
          <w:p>
            <w:pPr>
              <w:pStyle w:val="TableParagraph"/>
              <w:spacing w:line="240" w:lineRule="auto" w:before="110"/>
              <w:ind w:left="441" w:right="0"/>
              <w:jc w:val="left"/>
              <w:rPr>
                <w:rFonts w:ascii="Times New Roman" w:hAnsi="Times New Roman" w:cs="Times New Roman" w:eastAsia="Times New Roman" w:hint="default"/>
                <w:sz w:val="18"/>
                <w:szCs w:val="18"/>
              </w:rPr>
            </w:pPr>
            <w:r>
              <w:rPr>
                <w:rFonts w:ascii="Times New Roman"/>
                <w:sz w:val="18"/>
              </w:rPr>
              <w:t>328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87" w:right="0"/>
              <w:jc w:val="left"/>
              <w:rPr>
                <w:rFonts w:ascii="Times New Roman" w:hAnsi="Times New Roman" w:cs="Times New Roman" w:eastAsia="Times New Roman" w:hint="default"/>
                <w:sz w:val="18"/>
                <w:szCs w:val="18"/>
              </w:rPr>
            </w:pPr>
            <w:r>
              <w:rPr>
                <w:rFonts w:ascii="Times New Roman"/>
                <w:sz w:val="18"/>
              </w:rPr>
              <w:t>197,58</w:t>
            </w:r>
          </w:p>
          <w:p>
            <w:pPr>
              <w:pStyle w:val="TableParagraph"/>
              <w:spacing w:line="240" w:lineRule="auto" w:before="110"/>
              <w:ind w:left="278" w:right="0"/>
              <w:jc w:val="left"/>
              <w:rPr>
                <w:rFonts w:ascii="Times New Roman" w:hAnsi="Times New Roman" w:cs="Times New Roman" w:eastAsia="Times New Roman" w:hint="default"/>
                <w:sz w:val="18"/>
                <w:szCs w:val="18"/>
              </w:rPr>
            </w:pPr>
            <w:r>
              <w:rPr>
                <w:rFonts w:ascii="Times New Roman"/>
                <w:sz w:val="18"/>
              </w:rPr>
              <w:t>0,420</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31.87%</w:t>
            </w:r>
          </w:p>
        </w:tc>
      </w:tr>
      <w:tr>
        <w:trPr>
          <w:trHeight w:val="715" w:hRule="exact"/>
        </w:trPr>
        <w:tc>
          <w:tcPr>
            <w:tcW w:w="22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pacing w:val="-3"/>
                <w:sz w:val="18"/>
                <w:szCs w:val="18"/>
              </w:rPr>
              <w:t>其中：境内法人持股</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72" w:right="0"/>
              <w:jc w:val="left"/>
              <w:rPr>
                <w:rFonts w:ascii="Times New Roman" w:hAnsi="Times New Roman" w:cs="Times New Roman" w:eastAsia="Times New Roman" w:hint="default"/>
                <w:sz w:val="18"/>
                <w:szCs w:val="18"/>
              </w:rPr>
            </w:pPr>
            <w:r>
              <w:rPr>
                <w:rFonts w:ascii="Times New Roman"/>
                <w:sz w:val="18"/>
              </w:rPr>
              <w:t>4,752,0</w:t>
            </w:r>
          </w:p>
          <w:p>
            <w:pPr>
              <w:pStyle w:val="TableParagraph"/>
              <w:spacing w:line="240" w:lineRule="auto" w:before="110"/>
              <w:ind w:left="532" w:right="0"/>
              <w:jc w:val="left"/>
              <w:rPr>
                <w:rFonts w:ascii="Times New Roman" w:hAnsi="Times New Roman" w:cs="Times New Roman" w:eastAsia="Times New Roman" w:hint="default"/>
                <w:sz w:val="18"/>
                <w:szCs w:val="18"/>
              </w:rPr>
            </w:pPr>
            <w:r>
              <w:rPr>
                <w:rFonts w:ascii="Times New Roman"/>
                <w:sz w:val="18"/>
              </w:rPr>
              <w:t>00</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0.77%</w:t>
            </w:r>
          </w:p>
        </w:tc>
        <w:tc>
          <w:tcPr>
            <w:tcW w:w="82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44" w:right="0"/>
              <w:jc w:val="left"/>
              <w:rPr>
                <w:rFonts w:ascii="Times New Roman" w:hAnsi="Times New Roman" w:cs="Times New Roman" w:eastAsia="Times New Roman" w:hint="default"/>
                <w:sz w:val="18"/>
                <w:szCs w:val="18"/>
              </w:rPr>
            </w:pPr>
            <w:r>
              <w:rPr>
                <w:rFonts w:ascii="Times New Roman"/>
                <w:sz w:val="18"/>
              </w:rPr>
              <w:t>4,752,0</w:t>
            </w:r>
          </w:p>
          <w:p>
            <w:pPr>
              <w:pStyle w:val="TableParagraph"/>
              <w:spacing w:line="240" w:lineRule="auto" w:before="110"/>
              <w:ind w:left="504" w:right="0"/>
              <w:jc w:val="left"/>
              <w:rPr>
                <w:rFonts w:ascii="Times New Roman" w:hAnsi="Times New Roman" w:cs="Times New Roman" w:eastAsia="Times New Roman" w:hint="default"/>
                <w:sz w:val="18"/>
                <w:szCs w:val="18"/>
              </w:rPr>
            </w:pPr>
            <w:r>
              <w:rPr>
                <w:rFonts w:ascii="Times New Roman"/>
                <w:sz w:val="18"/>
              </w:rPr>
              <w:t>00</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0.77%</w:t>
            </w:r>
          </w:p>
        </w:tc>
      </w:tr>
      <w:tr>
        <w:trPr>
          <w:trHeight w:val="715" w:hRule="exact"/>
        </w:trPr>
        <w:tc>
          <w:tcPr>
            <w:tcW w:w="22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305"/>
              <w:jc w:val="right"/>
              <w:rPr>
                <w:rFonts w:ascii="宋体" w:hAnsi="宋体" w:cs="宋体" w:eastAsia="宋体" w:hint="default"/>
                <w:sz w:val="18"/>
                <w:szCs w:val="18"/>
              </w:rPr>
            </w:pPr>
            <w:r>
              <w:rPr>
                <w:rFonts w:ascii="宋体" w:hAnsi="宋体" w:cs="宋体" w:eastAsia="宋体" w:hint="default"/>
                <w:spacing w:val="-3"/>
                <w:sz w:val="18"/>
                <w:szCs w:val="18"/>
              </w:rPr>
              <w:t>境内自然人持股</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24" w:right="0"/>
              <w:jc w:val="left"/>
              <w:rPr>
                <w:rFonts w:ascii="Times New Roman" w:hAnsi="Times New Roman" w:cs="Times New Roman" w:eastAsia="Times New Roman" w:hint="default"/>
                <w:sz w:val="18"/>
                <w:szCs w:val="18"/>
              </w:rPr>
            </w:pPr>
            <w:r>
              <w:rPr>
                <w:rFonts w:ascii="Times New Roman"/>
                <w:sz w:val="18"/>
              </w:rPr>
              <w:t>221,090</w:t>
            </w:r>
          </w:p>
          <w:p>
            <w:pPr>
              <w:pStyle w:val="TableParagraph"/>
              <w:spacing w:line="240" w:lineRule="auto" w:before="105"/>
              <w:ind w:left="393" w:right="0"/>
              <w:jc w:val="left"/>
              <w:rPr>
                <w:rFonts w:ascii="Times New Roman" w:hAnsi="Times New Roman" w:cs="Times New Roman" w:eastAsia="Times New Roman" w:hint="default"/>
                <w:sz w:val="18"/>
                <w:szCs w:val="18"/>
              </w:rPr>
            </w:pPr>
            <w:r>
              <w:rPr>
                <w:rFonts w:ascii="Times New Roman"/>
                <w:sz w:val="18"/>
              </w:rPr>
              <w:t>,748</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35.70%</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72"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left="532" w:right="0"/>
              <w:jc w:val="left"/>
              <w:rPr>
                <w:rFonts w:ascii="Times New Roman" w:hAnsi="Times New Roman" w:cs="Times New Roman" w:eastAsia="Times New Roman" w:hint="default"/>
                <w:sz w:val="18"/>
                <w:szCs w:val="18"/>
              </w:rPr>
            </w:pPr>
            <w:r>
              <w:rPr>
                <w:rFonts w:ascii="Times New Roman"/>
                <w:sz w:val="18"/>
              </w:rPr>
              <w:t>00</w:t>
            </w:r>
          </w:p>
        </w:tc>
        <w:tc>
          <w:tcPr>
            <w:tcW w:w="826"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10" w:right="0"/>
              <w:jc w:val="left"/>
              <w:rPr>
                <w:rFonts w:ascii="Times New Roman" w:hAnsi="Times New Roman" w:cs="Times New Roman" w:eastAsia="Times New Roman" w:hint="default"/>
                <w:sz w:val="18"/>
                <w:szCs w:val="18"/>
              </w:rPr>
            </w:pPr>
            <w:r>
              <w:rPr>
                <w:rFonts w:ascii="Times New Roman"/>
                <w:sz w:val="18"/>
              </w:rPr>
              <w:t>-29,262,</w:t>
            </w:r>
          </w:p>
          <w:p>
            <w:pPr>
              <w:pStyle w:val="TableParagraph"/>
              <w:spacing w:line="240" w:lineRule="auto" w:before="105"/>
              <w:ind w:left="441" w:right="0"/>
              <w:jc w:val="left"/>
              <w:rPr>
                <w:rFonts w:ascii="Times New Roman" w:hAnsi="Times New Roman" w:cs="Times New Roman" w:eastAsia="Times New Roman" w:hint="default"/>
                <w:sz w:val="18"/>
                <w:szCs w:val="18"/>
              </w:rPr>
            </w:pPr>
            <w:r>
              <w:rPr>
                <w:rFonts w:ascii="Times New Roman"/>
                <w:sz w:val="18"/>
              </w:rPr>
              <w:t>328</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10" w:right="0"/>
              <w:jc w:val="left"/>
              <w:rPr>
                <w:rFonts w:ascii="Times New Roman" w:hAnsi="Times New Roman" w:cs="Times New Roman" w:eastAsia="Times New Roman" w:hint="default"/>
                <w:sz w:val="18"/>
                <w:szCs w:val="18"/>
              </w:rPr>
            </w:pPr>
            <w:r>
              <w:rPr>
                <w:rFonts w:ascii="Times New Roman"/>
                <w:sz w:val="18"/>
              </w:rPr>
              <w:t>-28,262,</w:t>
            </w:r>
          </w:p>
          <w:p>
            <w:pPr>
              <w:pStyle w:val="TableParagraph"/>
              <w:spacing w:line="240" w:lineRule="auto" w:before="105"/>
              <w:ind w:left="441" w:right="0"/>
              <w:jc w:val="left"/>
              <w:rPr>
                <w:rFonts w:ascii="Times New Roman" w:hAnsi="Times New Roman" w:cs="Times New Roman" w:eastAsia="Times New Roman" w:hint="default"/>
                <w:sz w:val="18"/>
                <w:szCs w:val="18"/>
              </w:rPr>
            </w:pPr>
            <w:r>
              <w:rPr>
                <w:rFonts w:ascii="Times New Roman"/>
                <w:sz w:val="18"/>
              </w:rPr>
              <w:t>328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87" w:right="0"/>
              <w:jc w:val="left"/>
              <w:rPr>
                <w:rFonts w:ascii="Times New Roman" w:hAnsi="Times New Roman" w:cs="Times New Roman" w:eastAsia="Times New Roman" w:hint="default"/>
                <w:sz w:val="18"/>
                <w:szCs w:val="18"/>
              </w:rPr>
            </w:pPr>
            <w:r>
              <w:rPr>
                <w:rFonts w:ascii="Times New Roman"/>
                <w:sz w:val="18"/>
              </w:rPr>
              <w:t>192,82</w:t>
            </w:r>
          </w:p>
          <w:p>
            <w:pPr>
              <w:pStyle w:val="TableParagraph"/>
              <w:spacing w:line="240" w:lineRule="auto" w:before="105"/>
              <w:ind w:left="278" w:right="0"/>
              <w:jc w:val="left"/>
              <w:rPr>
                <w:rFonts w:ascii="Times New Roman" w:hAnsi="Times New Roman" w:cs="Times New Roman" w:eastAsia="Times New Roman" w:hint="default"/>
                <w:sz w:val="18"/>
                <w:szCs w:val="18"/>
              </w:rPr>
            </w:pPr>
            <w:r>
              <w:rPr>
                <w:rFonts w:ascii="Times New Roman"/>
                <w:sz w:val="18"/>
              </w:rPr>
              <w:t>8,420</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31.10%</w:t>
            </w:r>
          </w:p>
        </w:tc>
      </w:tr>
      <w:tr>
        <w:trPr>
          <w:trHeight w:val="711" w:hRule="exact"/>
        </w:trPr>
        <w:tc>
          <w:tcPr>
            <w:tcW w:w="22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、外资持股</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3"/>
              <w:jc w:val="right"/>
              <w:rPr>
                <w:rFonts w:ascii="Times New Roman" w:hAnsi="Times New Roman" w:cs="Times New Roman" w:eastAsia="Times New Roman" w:hint="default"/>
                <w:sz w:val="18"/>
                <w:szCs w:val="18"/>
              </w:rPr>
            </w:pPr>
            <w:r>
              <w:rPr>
                <w:rFonts w:ascii="Times New Roman"/>
                <w:spacing w:val="-1"/>
                <w:sz w:val="18"/>
              </w:rPr>
              <w:t>300,000</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0.05%</w:t>
            </w:r>
          </w:p>
        </w:tc>
        <w:tc>
          <w:tcPr>
            <w:tcW w:w="82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300,00</w:t>
            </w:r>
          </w:p>
          <w:p>
            <w:pPr>
              <w:pStyle w:val="TableParagraph"/>
              <w:spacing w:line="240" w:lineRule="auto" w:before="105"/>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0.04%</w:t>
            </w:r>
          </w:p>
        </w:tc>
      </w:tr>
      <w:tr>
        <w:trPr>
          <w:trHeight w:val="403" w:hRule="exact"/>
        </w:trPr>
        <w:tc>
          <w:tcPr>
            <w:tcW w:w="22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其中：境外法人持股</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pacing w:val="-1"/>
                <w:sz w:val="18"/>
              </w:rPr>
              <w:t>0.00%</w:t>
            </w:r>
          </w:p>
        </w:tc>
        <w:tc>
          <w:tcPr>
            <w:tcW w:w="82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6" w:hRule="exact"/>
        </w:trPr>
        <w:tc>
          <w:tcPr>
            <w:tcW w:w="22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305"/>
              <w:jc w:val="right"/>
              <w:rPr>
                <w:rFonts w:ascii="宋体" w:hAnsi="宋体" w:cs="宋体" w:eastAsia="宋体" w:hint="default"/>
                <w:sz w:val="18"/>
                <w:szCs w:val="18"/>
              </w:rPr>
            </w:pPr>
            <w:r>
              <w:rPr>
                <w:rFonts w:ascii="宋体" w:hAnsi="宋体" w:cs="宋体" w:eastAsia="宋体" w:hint="default"/>
                <w:spacing w:val="-3"/>
                <w:sz w:val="18"/>
                <w:szCs w:val="18"/>
              </w:rPr>
              <w:t>境外自然人持股</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3"/>
              <w:jc w:val="right"/>
              <w:rPr>
                <w:rFonts w:ascii="Times New Roman" w:hAnsi="Times New Roman" w:cs="Times New Roman" w:eastAsia="Times New Roman" w:hint="default"/>
                <w:sz w:val="18"/>
                <w:szCs w:val="18"/>
              </w:rPr>
            </w:pPr>
            <w:r>
              <w:rPr>
                <w:rFonts w:ascii="Times New Roman"/>
                <w:spacing w:val="-1"/>
                <w:sz w:val="18"/>
              </w:rPr>
              <w:t>300,000</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0.05%</w:t>
            </w:r>
          </w:p>
        </w:tc>
        <w:tc>
          <w:tcPr>
            <w:tcW w:w="82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300,00</w:t>
            </w:r>
          </w:p>
          <w:p>
            <w:pPr>
              <w:pStyle w:val="TableParagraph"/>
              <w:spacing w:line="240" w:lineRule="auto" w:before="110"/>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0.04%</w:t>
            </w:r>
          </w:p>
        </w:tc>
      </w:tr>
      <w:tr>
        <w:trPr>
          <w:trHeight w:val="715" w:hRule="exact"/>
        </w:trPr>
        <w:tc>
          <w:tcPr>
            <w:tcW w:w="22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pacing w:val="-3"/>
                <w:sz w:val="18"/>
                <w:szCs w:val="18"/>
              </w:rPr>
              <w:t>二、无限售条件股份</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24" w:right="0"/>
              <w:jc w:val="left"/>
              <w:rPr>
                <w:rFonts w:ascii="Times New Roman" w:hAnsi="Times New Roman" w:cs="Times New Roman" w:eastAsia="Times New Roman" w:hint="default"/>
                <w:sz w:val="18"/>
                <w:szCs w:val="18"/>
              </w:rPr>
            </w:pPr>
            <w:r>
              <w:rPr>
                <w:rFonts w:ascii="Times New Roman"/>
                <w:sz w:val="18"/>
              </w:rPr>
              <w:t>393,072</w:t>
            </w:r>
          </w:p>
          <w:p>
            <w:pPr>
              <w:pStyle w:val="TableParagraph"/>
              <w:spacing w:line="240" w:lineRule="auto" w:before="105"/>
              <w:ind w:left="393" w:right="0"/>
              <w:jc w:val="left"/>
              <w:rPr>
                <w:rFonts w:ascii="Times New Roman" w:hAnsi="Times New Roman" w:cs="Times New Roman" w:eastAsia="Times New Roman" w:hint="default"/>
                <w:sz w:val="18"/>
                <w:szCs w:val="18"/>
              </w:rPr>
            </w:pPr>
            <w:r>
              <w:rPr>
                <w:rFonts w:ascii="Times New Roman"/>
                <w:sz w:val="18"/>
              </w:rPr>
              <w:t>,086</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63.48%</w:t>
            </w:r>
          </w:p>
        </w:tc>
        <w:tc>
          <w:tcPr>
            <w:tcW w:w="82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72" w:right="0"/>
              <w:jc w:val="left"/>
              <w:rPr>
                <w:rFonts w:ascii="Times New Roman" w:hAnsi="Times New Roman" w:cs="Times New Roman" w:eastAsia="Times New Roman" w:hint="default"/>
                <w:sz w:val="18"/>
                <w:szCs w:val="18"/>
              </w:rPr>
            </w:pPr>
            <w:r>
              <w:rPr>
                <w:rFonts w:ascii="Times New Roman"/>
                <w:sz w:val="18"/>
              </w:rPr>
              <w:t>29,084,</w:t>
            </w:r>
          </w:p>
          <w:p>
            <w:pPr>
              <w:pStyle w:val="TableParagraph"/>
              <w:spacing w:line="240" w:lineRule="auto" w:before="105"/>
              <w:ind w:left="441" w:right="0"/>
              <w:jc w:val="left"/>
              <w:rPr>
                <w:rFonts w:ascii="Times New Roman" w:hAnsi="Times New Roman" w:cs="Times New Roman" w:eastAsia="Times New Roman" w:hint="default"/>
                <w:sz w:val="18"/>
                <w:szCs w:val="18"/>
              </w:rPr>
            </w:pPr>
            <w:r>
              <w:rPr>
                <w:rFonts w:ascii="Times New Roman"/>
                <w:sz w:val="18"/>
              </w:rPr>
              <w:t>578</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72" w:right="0"/>
              <w:jc w:val="left"/>
              <w:rPr>
                <w:rFonts w:ascii="Times New Roman" w:hAnsi="Times New Roman" w:cs="Times New Roman" w:eastAsia="Times New Roman" w:hint="default"/>
                <w:sz w:val="18"/>
                <w:szCs w:val="18"/>
              </w:rPr>
            </w:pPr>
            <w:r>
              <w:rPr>
                <w:rFonts w:ascii="Times New Roman"/>
                <w:sz w:val="18"/>
              </w:rPr>
              <w:t>29,084,</w:t>
            </w:r>
          </w:p>
          <w:p>
            <w:pPr>
              <w:pStyle w:val="TableParagraph"/>
              <w:spacing w:line="240" w:lineRule="auto" w:before="105"/>
              <w:ind w:left="441" w:right="0"/>
              <w:jc w:val="left"/>
              <w:rPr>
                <w:rFonts w:ascii="Times New Roman" w:hAnsi="Times New Roman" w:cs="Times New Roman" w:eastAsia="Times New Roman" w:hint="default"/>
                <w:sz w:val="18"/>
                <w:szCs w:val="18"/>
              </w:rPr>
            </w:pPr>
            <w:r>
              <w:rPr>
                <w:rFonts w:ascii="Times New Roman"/>
                <w:sz w:val="18"/>
              </w:rPr>
              <w:t>578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87" w:right="0"/>
              <w:jc w:val="left"/>
              <w:rPr>
                <w:rFonts w:ascii="Times New Roman" w:hAnsi="Times New Roman" w:cs="Times New Roman" w:eastAsia="Times New Roman" w:hint="default"/>
                <w:sz w:val="18"/>
                <w:szCs w:val="18"/>
              </w:rPr>
            </w:pPr>
            <w:r>
              <w:rPr>
                <w:rFonts w:ascii="Times New Roman"/>
                <w:sz w:val="18"/>
              </w:rPr>
              <w:t>422,15</w:t>
            </w:r>
          </w:p>
          <w:p>
            <w:pPr>
              <w:pStyle w:val="TableParagraph"/>
              <w:spacing w:line="240" w:lineRule="auto" w:before="105"/>
              <w:ind w:left="278" w:right="0"/>
              <w:jc w:val="left"/>
              <w:rPr>
                <w:rFonts w:ascii="Times New Roman" w:hAnsi="Times New Roman" w:cs="Times New Roman" w:eastAsia="Times New Roman" w:hint="default"/>
                <w:sz w:val="18"/>
                <w:szCs w:val="18"/>
              </w:rPr>
            </w:pPr>
            <w:r>
              <w:rPr>
                <w:rFonts w:ascii="Times New Roman"/>
                <w:sz w:val="18"/>
              </w:rPr>
              <w:t>6,664</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68.09%</w:t>
            </w:r>
          </w:p>
        </w:tc>
      </w:tr>
      <w:tr>
        <w:trPr>
          <w:trHeight w:val="710" w:hRule="exact"/>
        </w:trPr>
        <w:tc>
          <w:tcPr>
            <w:tcW w:w="22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24" w:right="0"/>
              <w:jc w:val="left"/>
              <w:rPr>
                <w:rFonts w:ascii="Times New Roman" w:hAnsi="Times New Roman" w:cs="Times New Roman" w:eastAsia="Times New Roman" w:hint="default"/>
                <w:sz w:val="18"/>
                <w:szCs w:val="18"/>
              </w:rPr>
            </w:pPr>
            <w:r>
              <w:rPr>
                <w:rFonts w:ascii="Times New Roman"/>
                <w:sz w:val="18"/>
              </w:rPr>
              <w:t>393,072</w:t>
            </w:r>
          </w:p>
          <w:p>
            <w:pPr>
              <w:pStyle w:val="TableParagraph"/>
              <w:spacing w:line="240" w:lineRule="auto" w:before="105"/>
              <w:ind w:left="393" w:right="0"/>
              <w:jc w:val="left"/>
              <w:rPr>
                <w:rFonts w:ascii="Times New Roman" w:hAnsi="Times New Roman" w:cs="Times New Roman" w:eastAsia="Times New Roman" w:hint="default"/>
                <w:sz w:val="18"/>
                <w:szCs w:val="18"/>
              </w:rPr>
            </w:pPr>
            <w:r>
              <w:rPr>
                <w:rFonts w:ascii="Times New Roman"/>
                <w:sz w:val="18"/>
              </w:rPr>
              <w:t>,086</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63.48%</w:t>
            </w:r>
          </w:p>
        </w:tc>
        <w:tc>
          <w:tcPr>
            <w:tcW w:w="82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72" w:right="0"/>
              <w:jc w:val="left"/>
              <w:rPr>
                <w:rFonts w:ascii="Times New Roman" w:hAnsi="Times New Roman" w:cs="Times New Roman" w:eastAsia="Times New Roman" w:hint="default"/>
                <w:sz w:val="18"/>
                <w:szCs w:val="18"/>
              </w:rPr>
            </w:pPr>
            <w:r>
              <w:rPr>
                <w:rFonts w:ascii="Times New Roman"/>
                <w:sz w:val="18"/>
              </w:rPr>
              <w:t>29,084,</w:t>
            </w:r>
          </w:p>
          <w:p>
            <w:pPr>
              <w:pStyle w:val="TableParagraph"/>
              <w:spacing w:line="240" w:lineRule="auto" w:before="105"/>
              <w:ind w:left="441" w:right="0"/>
              <w:jc w:val="left"/>
              <w:rPr>
                <w:rFonts w:ascii="Times New Roman" w:hAnsi="Times New Roman" w:cs="Times New Roman" w:eastAsia="Times New Roman" w:hint="default"/>
                <w:sz w:val="18"/>
                <w:szCs w:val="18"/>
              </w:rPr>
            </w:pPr>
            <w:r>
              <w:rPr>
                <w:rFonts w:ascii="Times New Roman"/>
                <w:sz w:val="18"/>
              </w:rPr>
              <w:t>578</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72" w:right="0"/>
              <w:jc w:val="left"/>
              <w:rPr>
                <w:rFonts w:ascii="Times New Roman" w:hAnsi="Times New Roman" w:cs="Times New Roman" w:eastAsia="Times New Roman" w:hint="default"/>
                <w:sz w:val="18"/>
                <w:szCs w:val="18"/>
              </w:rPr>
            </w:pPr>
            <w:r>
              <w:rPr>
                <w:rFonts w:ascii="Times New Roman"/>
                <w:sz w:val="18"/>
              </w:rPr>
              <w:t>29,084,</w:t>
            </w:r>
          </w:p>
          <w:p>
            <w:pPr>
              <w:pStyle w:val="TableParagraph"/>
              <w:spacing w:line="240" w:lineRule="auto" w:before="105"/>
              <w:ind w:left="441" w:right="0"/>
              <w:jc w:val="left"/>
              <w:rPr>
                <w:rFonts w:ascii="Times New Roman" w:hAnsi="Times New Roman" w:cs="Times New Roman" w:eastAsia="Times New Roman" w:hint="default"/>
                <w:sz w:val="18"/>
                <w:szCs w:val="18"/>
              </w:rPr>
            </w:pPr>
            <w:r>
              <w:rPr>
                <w:rFonts w:ascii="Times New Roman"/>
                <w:sz w:val="18"/>
              </w:rPr>
              <w:t>578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87" w:right="0"/>
              <w:jc w:val="left"/>
              <w:rPr>
                <w:rFonts w:ascii="Times New Roman" w:hAnsi="Times New Roman" w:cs="Times New Roman" w:eastAsia="Times New Roman" w:hint="default"/>
                <w:sz w:val="18"/>
                <w:szCs w:val="18"/>
              </w:rPr>
            </w:pPr>
            <w:r>
              <w:rPr>
                <w:rFonts w:ascii="Times New Roman"/>
                <w:sz w:val="18"/>
              </w:rPr>
              <w:t>422,15</w:t>
            </w:r>
          </w:p>
          <w:p>
            <w:pPr>
              <w:pStyle w:val="TableParagraph"/>
              <w:spacing w:line="240" w:lineRule="auto" w:before="105"/>
              <w:ind w:left="278" w:right="0"/>
              <w:jc w:val="left"/>
              <w:rPr>
                <w:rFonts w:ascii="Times New Roman" w:hAnsi="Times New Roman" w:cs="Times New Roman" w:eastAsia="Times New Roman" w:hint="default"/>
                <w:sz w:val="18"/>
                <w:szCs w:val="18"/>
              </w:rPr>
            </w:pPr>
            <w:r>
              <w:rPr>
                <w:rFonts w:ascii="Times New Roman"/>
                <w:sz w:val="18"/>
              </w:rPr>
              <w:t>6,664</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68.09%</w:t>
            </w:r>
          </w:p>
        </w:tc>
      </w:tr>
      <w:tr>
        <w:trPr>
          <w:trHeight w:val="404" w:hRule="exact"/>
        </w:trPr>
        <w:tc>
          <w:tcPr>
            <w:tcW w:w="22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、境内上市的外资股</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pacing w:val="-1"/>
                <w:sz w:val="18"/>
              </w:rPr>
              <w:t>0.00%</w:t>
            </w:r>
          </w:p>
        </w:tc>
        <w:tc>
          <w:tcPr>
            <w:tcW w:w="82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2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、境外上市的外资股</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pacing w:val="-1"/>
                <w:sz w:val="18"/>
              </w:rPr>
              <w:t>0.00%</w:t>
            </w:r>
          </w:p>
        </w:tc>
        <w:tc>
          <w:tcPr>
            <w:tcW w:w="82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2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pacing w:val="-1"/>
                <w:sz w:val="18"/>
              </w:rPr>
              <w:t>0.00%</w:t>
            </w:r>
          </w:p>
        </w:tc>
        <w:tc>
          <w:tcPr>
            <w:tcW w:w="82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1" w:hRule="exact"/>
        </w:trPr>
        <w:tc>
          <w:tcPr>
            <w:tcW w:w="22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24" w:right="0"/>
              <w:jc w:val="left"/>
              <w:rPr>
                <w:rFonts w:ascii="Times New Roman" w:hAnsi="Times New Roman" w:cs="Times New Roman" w:eastAsia="Times New Roman" w:hint="default"/>
                <w:sz w:val="18"/>
                <w:szCs w:val="18"/>
              </w:rPr>
            </w:pPr>
            <w:r>
              <w:rPr>
                <w:rFonts w:ascii="Times New Roman"/>
                <w:sz w:val="18"/>
              </w:rPr>
              <w:t>619,214</w:t>
            </w:r>
          </w:p>
          <w:p>
            <w:pPr>
              <w:pStyle w:val="TableParagraph"/>
              <w:spacing w:line="240" w:lineRule="auto" w:before="105"/>
              <w:ind w:left="393" w:right="0"/>
              <w:jc w:val="left"/>
              <w:rPr>
                <w:rFonts w:ascii="Times New Roman" w:hAnsi="Times New Roman" w:cs="Times New Roman" w:eastAsia="Times New Roman" w:hint="default"/>
                <w:sz w:val="18"/>
                <w:szCs w:val="18"/>
              </w:rPr>
            </w:pPr>
            <w:r>
              <w:rPr>
                <w:rFonts w:ascii="Times New Roman"/>
                <w:sz w:val="18"/>
              </w:rPr>
              <w:t>,834</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100.00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72"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left="532" w:right="0"/>
              <w:jc w:val="left"/>
              <w:rPr>
                <w:rFonts w:ascii="Times New Roman" w:hAnsi="Times New Roman" w:cs="Times New Roman" w:eastAsia="Times New Roman" w:hint="default"/>
                <w:sz w:val="18"/>
                <w:szCs w:val="18"/>
              </w:rPr>
            </w:pPr>
            <w:r>
              <w:rPr>
                <w:rFonts w:ascii="Times New Roman"/>
                <w:sz w:val="18"/>
              </w:rPr>
              <w:t>00</w:t>
            </w:r>
          </w:p>
        </w:tc>
        <w:tc>
          <w:tcPr>
            <w:tcW w:w="826"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-177,75</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3"/>
              <w:jc w:val="right"/>
              <w:rPr>
                <w:rFonts w:ascii="Times New Roman" w:hAnsi="Times New Roman" w:cs="Times New Roman" w:eastAsia="Times New Roman" w:hint="default"/>
                <w:sz w:val="18"/>
                <w:szCs w:val="18"/>
              </w:rPr>
            </w:pPr>
            <w:r>
              <w:rPr>
                <w:rFonts w:ascii="Times New Roman"/>
                <w:spacing w:val="-1"/>
                <w:sz w:val="18"/>
              </w:rPr>
              <w:t>822,250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87" w:right="0"/>
              <w:jc w:val="left"/>
              <w:rPr>
                <w:rFonts w:ascii="Times New Roman" w:hAnsi="Times New Roman" w:cs="Times New Roman" w:eastAsia="Times New Roman" w:hint="default"/>
                <w:sz w:val="18"/>
                <w:szCs w:val="18"/>
              </w:rPr>
            </w:pPr>
            <w:r>
              <w:rPr>
                <w:rFonts w:ascii="Times New Roman"/>
                <w:sz w:val="18"/>
              </w:rPr>
              <w:t>620,03</w:t>
            </w:r>
          </w:p>
          <w:p>
            <w:pPr>
              <w:pStyle w:val="TableParagraph"/>
              <w:spacing w:line="240" w:lineRule="auto" w:before="105"/>
              <w:ind w:left="278" w:right="0"/>
              <w:jc w:val="left"/>
              <w:rPr>
                <w:rFonts w:ascii="Times New Roman" w:hAnsi="Times New Roman" w:cs="Times New Roman" w:eastAsia="Times New Roman" w:hint="default"/>
                <w:sz w:val="18"/>
                <w:szCs w:val="18"/>
              </w:rPr>
            </w:pPr>
            <w:r>
              <w:rPr>
                <w:rFonts w:ascii="Times New Roman"/>
                <w:sz w:val="18"/>
              </w:rPr>
              <w:t>7,084</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pacing w:val="-1"/>
                <w:sz w:val="18"/>
              </w:rPr>
              <w:t>100.00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bl>
    <w:p>
      <w:pPr>
        <w:pStyle w:val="BodyText"/>
        <w:spacing w:line="240" w:lineRule="auto" w:before="53"/>
        <w:ind w:right="0"/>
        <w:jc w:val="left"/>
      </w:pPr>
      <w:r>
        <w:rPr>
          <w:spacing w:val="-3"/>
        </w:rPr>
        <w:t>股份变动的原因</w:t>
      </w:r>
    </w:p>
    <w:p>
      <w:pPr>
        <w:pStyle w:val="BodyText"/>
        <w:spacing w:line="240" w:lineRule="auto" w:before="119"/>
        <w:ind w:right="0"/>
        <w:jc w:val="left"/>
      </w:pPr>
      <w:r>
        <w:rPr/>
        <w:t>√ </w:t>
      </w:r>
      <w:r>
        <w:rPr>
          <w:spacing w:val="-3"/>
        </w:rPr>
        <w:t>适用 </w:t>
      </w:r>
      <w:r>
        <w:rPr/>
        <w:t>□</w:t>
      </w:r>
      <w:r>
        <w:rPr>
          <w:spacing w:val="13"/>
        </w:rPr>
        <w:t> </w:t>
      </w:r>
      <w:r>
        <w:rPr/>
        <w:t>不适用</w:t>
      </w:r>
    </w:p>
    <w:p>
      <w:pPr>
        <w:pStyle w:val="BodyText"/>
        <w:spacing w:line="240" w:lineRule="auto" w:before="110"/>
        <w:ind w:left="513" w:right="0"/>
        <w:jc w:val="left"/>
      </w:pPr>
      <w:r>
        <w:rPr>
          <w:spacing w:val="-3"/>
        </w:rPr>
        <w:t>（</w:t>
      </w:r>
      <w:r>
        <w:rPr>
          <w:rFonts w:ascii="Times New Roman" w:hAnsi="Times New Roman" w:cs="Times New Roman" w:eastAsia="Times New Roman" w:hint="default"/>
          <w:spacing w:val="-3"/>
        </w:rPr>
        <w:t>1</w:t>
      </w:r>
      <w:r>
        <w:rPr>
          <w:spacing w:val="-3"/>
        </w:rPr>
        <w:t>）实施</w:t>
      </w:r>
      <w:r>
        <w:rPr>
          <w:rFonts w:ascii="Times New Roman" w:hAnsi="Times New Roman" w:cs="Times New Roman" w:eastAsia="Times New Roman" w:hint="default"/>
          <w:spacing w:val="-3"/>
        </w:rPr>
        <w:t>2016</w:t>
      </w:r>
      <w:r>
        <w:rPr>
          <w:spacing w:val="-3"/>
        </w:rPr>
        <w:t>年重大资产重组所发行股份及支付现金购买资产新增股份的解锁。</w:t>
      </w:r>
    </w:p>
    <w:p>
      <w:pPr>
        <w:spacing w:after="0" w:line="240" w:lineRule="auto"/>
        <w:jc w:val="left"/>
        <w:sectPr>
          <w:pgSz w:w="11910" w:h="16840"/>
          <w:pgMar w:header="784" w:footer="1022" w:top="1100" w:bottom="1220" w:left="980" w:right="0"/>
        </w:sectPr>
      </w:pPr>
    </w:p>
    <w:p>
      <w:pPr>
        <w:spacing w:line="240" w:lineRule="auto" w:before="10"/>
        <w:rPr>
          <w:rFonts w:ascii="宋体" w:hAnsi="宋体" w:cs="宋体" w:eastAsia="宋体" w:hint="default"/>
          <w:sz w:val="22"/>
          <w:szCs w:val="22"/>
        </w:rPr>
      </w:pPr>
    </w:p>
    <w:p>
      <w:pPr>
        <w:pStyle w:val="BodyText"/>
        <w:spacing w:line="240" w:lineRule="auto"/>
        <w:ind w:left="513" w:right="0"/>
        <w:jc w:val="left"/>
      </w:pPr>
      <w:r>
        <w:rPr>
          <w:spacing w:val="-3"/>
        </w:rPr>
        <w:t>（</w:t>
      </w:r>
      <w:r>
        <w:rPr>
          <w:rFonts w:ascii="Times New Roman" w:hAnsi="Times New Roman" w:cs="Times New Roman" w:eastAsia="Times New Roman" w:hint="default"/>
          <w:spacing w:val="-3"/>
        </w:rPr>
        <w:t>2</w:t>
      </w:r>
      <w:r>
        <w:rPr>
          <w:spacing w:val="-3"/>
        </w:rPr>
        <w:t>）实施</w:t>
      </w:r>
      <w:r>
        <w:rPr>
          <w:rFonts w:ascii="Times New Roman" w:hAnsi="Times New Roman" w:cs="Times New Roman" w:eastAsia="Times New Roman" w:hint="default"/>
          <w:spacing w:val="-3"/>
        </w:rPr>
        <w:t>2016</w:t>
      </w:r>
      <w:r>
        <w:rPr>
          <w:spacing w:val="-3"/>
        </w:rPr>
        <w:t>年限制性股票激励计划相关限制性股票解锁、回购注销以及暂缓授予部分解锁。</w:t>
      </w:r>
    </w:p>
    <w:p>
      <w:pPr>
        <w:pStyle w:val="BodyText"/>
        <w:spacing w:line="240" w:lineRule="auto" w:before="63"/>
        <w:ind w:left="513" w:right="0"/>
        <w:jc w:val="left"/>
      </w:pPr>
      <w:r>
        <w:rPr>
          <w:spacing w:val="-3"/>
        </w:rPr>
        <w:t>（</w:t>
      </w:r>
      <w:r>
        <w:rPr>
          <w:rFonts w:ascii="Times New Roman" w:hAnsi="Times New Roman" w:cs="Times New Roman" w:eastAsia="Times New Roman" w:hint="default"/>
          <w:spacing w:val="-3"/>
        </w:rPr>
        <w:t>3</w:t>
      </w:r>
      <w:r>
        <w:rPr>
          <w:spacing w:val="-3"/>
        </w:rPr>
        <w:t>）董监高换届选举，部分董监高股份根据深交所相关规定进行锁定及解锁。</w:t>
      </w:r>
    </w:p>
    <w:p>
      <w:pPr>
        <w:pStyle w:val="BodyText"/>
        <w:spacing w:line="362" w:lineRule="auto" w:before="63"/>
        <w:ind w:right="4900" w:firstLine="360"/>
        <w:jc w:val="left"/>
      </w:pPr>
      <w:r>
        <w:rPr>
          <w:spacing w:val="-3"/>
        </w:rPr>
        <w:t>（</w:t>
      </w:r>
      <w:r>
        <w:rPr>
          <w:rFonts w:ascii="宋体" w:hAnsi="宋体" w:cs="宋体" w:eastAsia="宋体" w:hint="default"/>
          <w:spacing w:val="-3"/>
        </w:rPr>
        <w:t>4</w:t>
      </w:r>
      <w:r>
        <w:rPr>
          <w:spacing w:val="-3"/>
        </w:rPr>
        <w:t>）实施</w:t>
      </w:r>
      <w:r>
        <w:rPr>
          <w:rFonts w:ascii="宋体" w:hAnsi="宋体" w:cs="宋体" w:eastAsia="宋体" w:hint="default"/>
          <w:spacing w:val="-3"/>
        </w:rPr>
        <w:t>2018</w:t>
      </w:r>
      <w:r>
        <w:rPr>
          <w:spacing w:val="-3"/>
        </w:rPr>
        <w:t>年限制性股票激励计划预留部分的授予。</w:t>
      </w:r>
      <w:r>
        <w:rPr>
          <w:w w:val="101"/>
        </w:rPr>
        <w:t> </w:t>
      </w:r>
      <w:r>
        <w:rPr>
          <w:spacing w:val="-3"/>
        </w:rPr>
        <w:t>股份变动的批准情况</w:t>
      </w:r>
    </w:p>
    <w:p>
      <w:pPr>
        <w:pStyle w:val="BodyText"/>
        <w:spacing w:line="240" w:lineRule="auto" w:before="28"/>
        <w:ind w:right="0"/>
        <w:jc w:val="left"/>
      </w:pPr>
      <w:r>
        <w:rPr/>
        <w:t>√ </w:t>
      </w:r>
      <w:r>
        <w:rPr>
          <w:spacing w:val="-3"/>
        </w:rPr>
        <w:t>适用 </w:t>
      </w:r>
      <w:r>
        <w:rPr/>
        <w:t>□</w:t>
      </w:r>
      <w:r>
        <w:rPr>
          <w:spacing w:val="13"/>
        </w:rPr>
        <w:t> </w:t>
      </w:r>
      <w:r>
        <w:rPr/>
        <w:t>不适用</w:t>
      </w:r>
    </w:p>
    <w:p>
      <w:pPr>
        <w:pStyle w:val="BodyText"/>
        <w:spacing w:line="312" w:lineRule="auto" w:before="110"/>
        <w:ind w:right="0" w:firstLine="360"/>
        <w:jc w:val="left"/>
      </w:pPr>
      <w:r>
        <w:rPr>
          <w:rFonts w:ascii="Times New Roman" w:hAnsi="Times New Roman" w:cs="Times New Roman" w:eastAsia="Times New Roman" w:hint="default"/>
          <w:spacing w:val="-3"/>
        </w:rPr>
        <w:t>2019</w:t>
      </w:r>
      <w:r>
        <w:rPr>
          <w:spacing w:val="-3"/>
        </w:rPr>
        <w:t>年</w:t>
      </w:r>
      <w:r>
        <w:rPr>
          <w:rFonts w:ascii="Times New Roman" w:hAnsi="Times New Roman" w:cs="Times New Roman" w:eastAsia="Times New Roman" w:hint="default"/>
          <w:spacing w:val="-3"/>
        </w:rPr>
        <w:t>1</w:t>
      </w:r>
      <w:r>
        <w:rPr>
          <w:spacing w:val="-3"/>
        </w:rPr>
        <w:t>月</w:t>
      </w:r>
      <w:r>
        <w:rPr>
          <w:rFonts w:ascii="Times New Roman" w:hAnsi="Times New Roman" w:cs="Times New Roman" w:eastAsia="Times New Roman" w:hint="default"/>
          <w:spacing w:val="-3"/>
        </w:rPr>
        <w:t>29</w:t>
      </w:r>
      <w:r>
        <w:rPr>
          <w:spacing w:val="-3"/>
        </w:rPr>
        <w:t>日，公司召开第三届董事会第三十五次会议和第三届监事会第二十八次会议，审议通过了《关于董事会换</w:t>
      </w:r>
      <w:r>
        <w:rPr>
          <w:w w:val="101"/>
        </w:rPr>
        <w:t> </w:t>
      </w:r>
      <w:r>
        <w:rPr>
          <w:spacing w:val="-6"/>
        </w:rPr>
        <w:t>届选举的议案》、《关于监事会换届选举的议案》，提名吴涵渠先生、沈永健先生、杨四化先生、杨文超先生、刘钧厚先生、</w:t>
      </w:r>
      <w:r>
        <w:rPr>
          <w:spacing w:val="58"/>
        </w:rPr>
        <w:t> </w:t>
      </w:r>
      <w:r>
        <w:rPr>
          <w:spacing w:val="58"/>
        </w:rPr>
      </w:r>
      <w:r>
        <w:rPr>
          <w:spacing w:val="-4"/>
        </w:rPr>
        <w:t>杨建中先生为第四届董事会非独立董事候选人；贾广新先生、王丽娜女士、李华雄先生为第四届董事会独立董事候选人；提</w:t>
      </w:r>
      <w:r>
        <w:rPr>
          <w:spacing w:val="40"/>
        </w:rPr>
        <w:t> </w:t>
      </w:r>
      <w:r>
        <w:rPr>
          <w:spacing w:val="40"/>
        </w:rPr>
      </w:r>
      <w:r>
        <w:rPr>
          <w:spacing w:val="-4"/>
        </w:rPr>
        <w:t>名邱荣邦先生、黄永忠先生为第四届监事会股东代表监事候选人，与公司职工代表大会选举产生的职工代表监事（一名）共</w:t>
      </w:r>
      <w:r>
        <w:rPr>
          <w:spacing w:val="40"/>
        </w:rPr>
        <w:t> </w:t>
      </w:r>
      <w:r>
        <w:rPr>
          <w:spacing w:val="40"/>
        </w:rPr>
      </w:r>
      <w:r>
        <w:rPr>
          <w:spacing w:val="-3"/>
        </w:rPr>
        <w:t>同组成公司第四届监事会。</w:t>
      </w:r>
      <w:r>
        <w:rPr>
          <w:rFonts w:ascii="Times New Roman" w:hAnsi="Times New Roman" w:cs="Times New Roman" w:eastAsia="Times New Roman" w:hint="default"/>
          <w:spacing w:val="-3"/>
        </w:rPr>
        <w:t>2019</w:t>
      </w:r>
      <w:r>
        <w:rPr>
          <w:spacing w:val="-3"/>
        </w:rPr>
        <w:t>年</w:t>
      </w:r>
      <w:r>
        <w:rPr>
          <w:rFonts w:ascii="Times New Roman" w:hAnsi="Times New Roman" w:cs="Times New Roman" w:eastAsia="Times New Roman" w:hint="default"/>
          <w:spacing w:val="-3"/>
        </w:rPr>
        <w:t>1</w:t>
      </w:r>
      <w:r>
        <w:rPr>
          <w:spacing w:val="-3"/>
        </w:rPr>
        <w:t>月</w:t>
      </w:r>
      <w:r>
        <w:rPr>
          <w:rFonts w:ascii="Times New Roman" w:hAnsi="Times New Roman" w:cs="Times New Roman" w:eastAsia="Times New Roman" w:hint="default"/>
          <w:spacing w:val="-3"/>
        </w:rPr>
        <w:t>23</w:t>
      </w:r>
      <w:r>
        <w:rPr>
          <w:spacing w:val="-3"/>
        </w:rPr>
        <w:t>日召开</w:t>
      </w:r>
      <w:r>
        <w:rPr>
          <w:rFonts w:ascii="Times New Roman" w:hAnsi="Times New Roman" w:cs="Times New Roman" w:eastAsia="Times New Roman" w:hint="default"/>
          <w:spacing w:val="-3"/>
        </w:rPr>
        <w:t>2019</w:t>
      </w:r>
      <w:r>
        <w:rPr>
          <w:spacing w:val="-3"/>
        </w:rPr>
        <w:t>年度第一次临时股东大会，审议通过了《关于选举公司第四届董事会非</w:t>
      </w:r>
      <w:r>
        <w:rPr>
          <w:spacing w:val="-2"/>
        </w:rPr>
        <w:t> </w:t>
      </w:r>
      <w:r>
        <w:rPr>
          <w:spacing w:val="-2"/>
        </w:rPr>
      </w:r>
      <w:r>
        <w:rPr>
          <w:spacing w:val="-4"/>
        </w:rPr>
        <w:t>独立董事的议案》、《关于选举公司第四届董事会独立董事的议案》、《关于监事会换届选举的议案》。原公司第三届董事</w:t>
      </w:r>
      <w:r>
        <w:rPr>
          <w:spacing w:val="40"/>
        </w:rPr>
        <w:t> </w:t>
      </w:r>
      <w:r>
        <w:rPr>
          <w:spacing w:val="40"/>
        </w:rPr>
      </w:r>
      <w:r>
        <w:rPr>
          <w:spacing w:val="-3"/>
        </w:rPr>
        <w:t>会董事沈毅、监事会监事黄斌任期届满，不再担任公司董事、监事职务。</w:t>
      </w:r>
    </w:p>
    <w:p>
      <w:pPr>
        <w:pStyle w:val="BodyText"/>
        <w:spacing w:line="300" w:lineRule="auto" w:before="22"/>
        <w:ind w:right="1122" w:firstLine="360"/>
        <w:jc w:val="both"/>
      </w:pPr>
      <w:r>
        <w:rPr>
          <w:rFonts w:ascii="Times New Roman" w:hAnsi="Times New Roman" w:cs="Times New Roman" w:eastAsia="Times New Roman" w:hint="default"/>
          <w:spacing w:val="-3"/>
        </w:rPr>
        <w:t>2019</w:t>
      </w:r>
      <w:r>
        <w:rPr>
          <w:spacing w:val="-3"/>
        </w:rPr>
        <w:t>年</w:t>
      </w:r>
      <w:r>
        <w:rPr>
          <w:rFonts w:ascii="Times New Roman" w:hAnsi="Times New Roman" w:cs="Times New Roman" w:eastAsia="Times New Roman" w:hint="default"/>
          <w:spacing w:val="-3"/>
        </w:rPr>
        <w:t>3</w:t>
      </w:r>
      <w:r>
        <w:rPr>
          <w:spacing w:val="-3"/>
        </w:rPr>
        <w:t>月</w:t>
      </w:r>
      <w:r>
        <w:rPr>
          <w:rFonts w:ascii="Times New Roman" w:hAnsi="Times New Roman" w:cs="Times New Roman" w:eastAsia="Times New Roman" w:hint="default"/>
          <w:spacing w:val="-3"/>
        </w:rPr>
        <w:t>19</w:t>
      </w:r>
      <w:r>
        <w:rPr>
          <w:spacing w:val="-3"/>
        </w:rPr>
        <w:t>日，公司召开第四届董事会第二次会议和第四届监事会第二次会议，审议通过了《关于回购注销部分限制</w:t>
      </w:r>
      <w:r>
        <w:rPr>
          <w:w w:val="101"/>
        </w:rPr>
        <w:t> </w:t>
      </w:r>
      <w:r>
        <w:rPr>
          <w:spacing w:val="-4"/>
        </w:rPr>
        <w:t>性股票的议案》，根据本激励计划的相关规定及公司</w:t>
      </w:r>
      <w:r>
        <w:rPr>
          <w:rFonts w:ascii="Times New Roman" w:hAnsi="Times New Roman" w:cs="Times New Roman" w:eastAsia="Times New Roman" w:hint="default"/>
          <w:spacing w:val="-4"/>
        </w:rPr>
        <w:t>2016</w:t>
      </w:r>
      <w:r>
        <w:rPr>
          <w:spacing w:val="-4"/>
        </w:rPr>
        <w:t>年第二次临时股东大会对董事会的授权，公司董事会同意对</w:t>
      </w:r>
      <w:r>
        <w:rPr>
          <w:rFonts w:ascii="Times New Roman" w:hAnsi="Times New Roman" w:cs="Times New Roman" w:eastAsia="Times New Roman" w:hint="default"/>
          <w:spacing w:val="-4"/>
        </w:rPr>
        <w:t>11</w:t>
      </w:r>
      <w:r>
        <w:rPr>
          <w:spacing w:val="-4"/>
        </w:rPr>
        <w:t>名离</w:t>
      </w:r>
      <w:r>
        <w:rPr>
          <w:spacing w:val="56"/>
        </w:rPr>
        <w:t> </w:t>
      </w:r>
      <w:r>
        <w:rPr>
          <w:spacing w:val="-3"/>
        </w:rPr>
        <w:t>职的激励对象持有的已获授但尚未解除限售的</w:t>
      </w:r>
      <w:r>
        <w:rPr>
          <w:rFonts w:ascii="Times New Roman" w:hAnsi="Times New Roman" w:cs="Times New Roman" w:eastAsia="Times New Roman" w:hint="default"/>
          <w:spacing w:val="-3"/>
        </w:rPr>
        <w:t>8.775</w:t>
      </w:r>
      <w:r>
        <w:rPr>
          <w:spacing w:val="-3"/>
        </w:rPr>
        <w:t>万股（除权后）限制性股票进行回购注销处理。监事会对本次回购注销</w:t>
      </w:r>
      <w:r>
        <w:rPr>
          <w:spacing w:val="78"/>
        </w:rPr>
        <w:t> </w:t>
      </w:r>
      <w:r>
        <w:rPr>
          <w:spacing w:val="78"/>
        </w:rPr>
      </w:r>
      <w:r>
        <w:rPr>
          <w:spacing w:val="-3"/>
        </w:rPr>
        <w:t>部分限制性股票相关事项进行了核实并发表核查意见，公司独立董事、律师对该事项发表了意见。</w:t>
      </w:r>
    </w:p>
    <w:p>
      <w:pPr>
        <w:pStyle w:val="BodyText"/>
        <w:spacing w:line="300" w:lineRule="auto" w:before="31"/>
        <w:ind w:right="1127" w:firstLine="360"/>
        <w:jc w:val="both"/>
      </w:pPr>
      <w:r>
        <w:rPr>
          <w:rFonts w:ascii="Times New Roman" w:hAnsi="Times New Roman" w:cs="Times New Roman" w:eastAsia="Times New Roman" w:hint="default"/>
          <w:spacing w:val="-3"/>
        </w:rPr>
        <w:t>2019</w:t>
      </w:r>
      <w:r>
        <w:rPr>
          <w:spacing w:val="-3"/>
        </w:rPr>
        <w:t>年</w:t>
      </w:r>
      <w:r>
        <w:rPr>
          <w:rFonts w:ascii="Times New Roman" w:hAnsi="Times New Roman" w:cs="Times New Roman" w:eastAsia="Times New Roman" w:hint="default"/>
          <w:spacing w:val="-3"/>
        </w:rPr>
        <w:t>3</w:t>
      </w:r>
      <w:r>
        <w:rPr>
          <w:spacing w:val="-3"/>
        </w:rPr>
        <w:t>月</w:t>
      </w:r>
      <w:r>
        <w:rPr>
          <w:rFonts w:ascii="Times New Roman" w:hAnsi="Times New Roman" w:cs="Times New Roman" w:eastAsia="Times New Roman" w:hint="default"/>
          <w:spacing w:val="-3"/>
        </w:rPr>
        <w:t>19</w:t>
      </w:r>
      <w:r>
        <w:rPr>
          <w:spacing w:val="-3"/>
        </w:rPr>
        <w:t>日，公司召开第四届董事会第二次会议和第四届监事会第二次会议，审议通过了《关于公司限制性股票激</w:t>
      </w:r>
      <w:r>
        <w:rPr>
          <w:w w:val="101"/>
        </w:rPr>
        <w:t> </w:t>
      </w:r>
      <w:r>
        <w:rPr>
          <w:spacing w:val="-4"/>
        </w:rPr>
        <w:t>励计划暂缓授予部分第二个解锁期可解锁的议案》，监事会对公司</w:t>
      </w:r>
      <w:r>
        <w:rPr>
          <w:rFonts w:ascii="Times New Roman" w:hAnsi="Times New Roman" w:cs="Times New Roman" w:eastAsia="Times New Roman" w:hint="default"/>
          <w:spacing w:val="-4"/>
        </w:rPr>
        <w:t>2016</w:t>
      </w:r>
      <w:r>
        <w:rPr>
          <w:spacing w:val="-4"/>
        </w:rPr>
        <w:t>年股权激励计划暂缓授予部分第二个解锁期解锁条件</w:t>
      </w:r>
      <w:r>
        <w:rPr>
          <w:spacing w:val="46"/>
        </w:rPr>
        <w:t> </w:t>
      </w:r>
      <w:r>
        <w:rPr>
          <w:spacing w:val="46"/>
        </w:rPr>
      </w:r>
      <w:r>
        <w:rPr>
          <w:spacing w:val="-3"/>
        </w:rPr>
        <w:t>及激励对象名单进行了核实，公司独立董事对此发表了同意的独立意见。</w:t>
      </w:r>
    </w:p>
    <w:p>
      <w:pPr>
        <w:pStyle w:val="BodyText"/>
        <w:spacing w:line="240" w:lineRule="auto" w:before="32"/>
        <w:ind w:left="513" w:right="0"/>
        <w:jc w:val="left"/>
      </w:pPr>
      <w:r>
        <w:rPr>
          <w:rFonts w:ascii="Times New Roman" w:hAnsi="Times New Roman" w:cs="Times New Roman" w:eastAsia="Times New Roman" w:hint="default"/>
        </w:rPr>
        <w:t>2019</w:t>
      </w:r>
      <w:r>
        <w:rPr/>
        <w:t>年 </w:t>
      </w:r>
      <w:r>
        <w:rPr>
          <w:rFonts w:ascii="Times New Roman" w:hAnsi="Times New Roman" w:cs="Times New Roman" w:eastAsia="Times New Roman" w:hint="default"/>
        </w:rPr>
        <w:t>4  </w:t>
      </w:r>
      <w:r>
        <w:rPr/>
        <w:t>月 </w:t>
      </w:r>
      <w:r>
        <w:rPr>
          <w:rFonts w:ascii="Times New Roman" w:hAnsi="Times New Roman" w:cs="Times New Roman" w:eastAsia="Times New Roman" w:hint="default"/>
          <w:spacing w:val="-3"/>
        </w:rPr>
        <w:t>24  </w:t>
      </w:r>
      <w:r>
        <w:rPr>
          <w:spacing w:val="-5"/>
        </w:rPr>
        <w:t>日，公司召开第四届董事会第四次会议和第四届监事会第四次会议，审议通过了《关于公司 </w:t>
      </w:r>
      <w:r>
        <w:rPr>
          <w:rFonts w:ascii="Times New Roman" w:hAnsi="Times New Roman" w:cs="Times New Roman" w:eastAsia="Times New Roman" w:hint="default"/>
        </w:rPr>
        <w:t>2016 </w:t>
      </w:r>
      <w:r>
        <w:rPr>
          <w:rFonts w:ascii="Times New Roman" w:hAnsi="Times New Roman" w:cs="Times New Roman" w:eastAsia="Times New Roman" w:hint="default"/>
          <w:spacing w:val="44"/>
        </w:rPr>
        <w:t> </w:t>
      </w:r>
      <w:r>
        <w:rPr/>
        <w:t>年限</w:t>
      </w:r>
    </w:p>
    <w:p>
      <w:pPr>
        <w:pStyle w:val="BodyText"/>
        <w:spacing w:line="300" w:lineRule="auto" w:before="63"/>
        <w:ind w:right="0"/>
        <w:jc w:val="left"/>
      </w:pPr>
      <w:r>
        <w:rPr>
          <w:spacing w:val="-5"/>
        </w:rPr>
        <w:t>制性股票激励计划第三个解锁期可解锁的议案》，监事会对公司</w:t>
      </w:r>
      <w:r>
        <w:rPr>
          <w:spacing w:val="60"/>
        </w:rPr>
        <w:t> </w:t>
      </w:r>
      <w:r>
        <w:rPr>
          <w:rFonts w:ascii="Times New Roman" w:hAnsi="Times New Roman" w:cs="Times New Roman" w:eastAsia="Times New Roman" w:hint="default"/>
        </w:rPr>
        <w:t>2016</w:t>
      </w:r>
      <w:r>
        <w:rPr>
          <w:rFonts w:ascii="Times New Roman" w:hAnsi="Times New Roman" w:cs="Times New Roman" w:eastAsia="Times New Roman" w:hint="default"/>
          <w:spacing w:val="3"/>
        </w:rPr>
        <w:t> </w:t>
      </w:r>
      <w:r>
        <w:rPr>
          <w:spacing w:val="-3"/>
        </w:rPr>
        <w:t>年股权激励计划首次授予第三个解锁期解锁条件及激</w:t>
      </w:r>
      <w:r>
        <w:rPr>
          <w:spacing w:val="-73"/>
        </w:rPr>
        <w:t> </w:t>
      </w:r>
      <w:r>
        <w:rPr>
          <w:spacing w:val="-73"/>
        </w:rPr>
      </w:r>
      <w:r>
        <w:rPr>
          <w:spacing w:val="-3"/>
        </w:rPr>
        <w:t>励对象名单进行了核实，公司独立董事对此发表了同意的独立意见。</w:t>
      </w:r>
    </w:p>
    <w:p>
      <w:pPr>
        <w:pStyle w:val="BodyText"/>
        <w:spacing w:line="300" w:lineRule="auto" w:before="31"/>
        <w:ind w:right="1126" w:firstLine="360"/>
        <w:jc w:val="both"/>
      </w:pPr>
      <w:r>
        <w:rPr>
          <w:rFonts w:ascii="Times New Roman" w:hAnsi="Times New Roman" w:cs="Times New Roman" w:eastAsia="Times New Roman" w:hint="default"/>
          <w:spacing w:val="-4"/>
        </w:rPr>
        <w:t>2019</w:t>
      </w:r>
      <w:r>
        <w:rPr>
          <w:spacing w:val="-4"/>
        </w:rPr>
        <w:t>年</w:t>
      </w:r>
      <w:r>
        <w:rPr>
          <w:rFonts w:ascii="Times New Roman" w:hAnsi="Times New Roman" w:cs="Times New Roman" w:eastAsia="Times New Roman" w:hint="default"/>
          <w:spacing w:val="-4"/>
        </w:rPr>
        <w:t>5</w:t>
      </w:r>
      <w:r>
        <w:rPr>
          <w:spacing w:val="-4"/>
        </w:rPr>
        <w:t>月</w:t>
      </w:r>
      <w:r>
        <w:rPr>
          <w:rFonts w:ascii="Times New Roman" w:hAnsi="Times New Roman" w:cs="Times New Roman" w:eastAsia="Times New Roman" w:hint="default"/>
          <w:spacing w:val="-4"/>
        </w:rPr>
        <w:t>9</w:t>
      </w:r>
      <w:r>
        <w:rPr>
          <w:spacing w:val="-4"/>
        </w:rPr>
        <w:t>日，公司召开第四届董事会第五次会议和第四届监事会第五次会议，审议通过了《关于公司 </w:t>
      </w:r>
      <w:r>
        <w:rPr>
          <w:rFonts w:ascii="Times New Roman" w:hAnsi="Times New Roman" w:cs="Times New Roman" w:eastAsia="Times New Roman" w:hint="default"/>
        </w:rPr>
        <w:t>2016</w:t>
      </w:r>
      <w:r>
        <w:rPr>
          <w:rFonts w:ascii="Times New Roman" w:hAnsi="Times New Roman" w:cs="Times New Roman" w:eastAsia="Times New Roman" w:hint="default"/>
          <w:spacing w:val="15"/>
        </w:rPr>
        <w:t> </w:t>
      </w:r>
      <w:r>
        <w:rPr>
          <w:spacing w:val="-3"/>
        </w:rPr>
        <w:t>年限制性</w:t>
      </w:r>
      <w:r>
        <w:rPr>
          <w:w w:val="101"/>
        </w:rPr>
        <w:t> </w:t>
      </w:r>
      <w:r>
        <w:rPr>
          <w:spacing w:val="-3"/>
        </w:rPr>
        <w:t>股票激励计划第三个解锁期可解锁的议案（调整后）》，由于黄永忠先生于</w:t>
      </w:r>
      <w:r>
        <w:rPr>
          <w:rFonts w:ascii="Times New Roman" w:hAnsi="Times New Roman" w:cs="Times New Roman" w:eastAsia="Times New Roman" w:hint="default"/>
          <w:spacing w:val="-3"/>
        </w:rPr>
        <w:t>2019</w:t>
      </w:r>
      <w:r>
        <w:rPr>
          <w:spacing w:val="-3"/>
        </w:rPr>
        <w:t>年</w:t>
      </w:r>
      <w:r>
        <w:rPr>
          <w:rFonts w:ascii="Times New Roman" w:hAnsi="Times New Roman" w:cs="Times New Roman" w:eastAsia="Times New Roman" w:hint="default"/>
          <w:spacing w:val="-3"/>
        </w:rPr>
        <w:t>1</w:t>
      </w:r>
      <w:r>
        <w:rPr>
          <w:spacing w:val="-3"/>
        </w:rPr>
        <w:t>月</w:t>
      </w:r>
      <w:r>
        <w:rPr>
          <w:rFonts w:ascii="Times New Roman" w:hAnsi="Times New Roman" w:cs="Times New Roman" w:eastAsia="Times New Roman" w:hint="default"/>
          <w:spacing w:val="-3"/>
        </w:rPr>
        <w:t>23</w:t>
      </w:r>
      <w:r>
        <w:rPr>
          <w:spacing w:val="-3"/>
        </w:rPr>
        <w:t>日被选举为公司监事，根据《上市</w:t>
      </w:r>
      <w:r>
        <w:rPr>
          <w:spacing w:val="80"/>
        </w:rPr>
        <w:t> </w:t>
      </w:r>
      <w:r>
        <w:rPr>
          <w:spacing w:val="80"/>
        </w:rPr>
      </w:r>
      <w:r>
        <w:rPr>
          <w:spacing w:val="-3"/>
        </w:rPr>
        <w:t>公司股权激励管理办法》等法律法规的规定，黄永忠先生已获授的第三个解锁期的限制性股票需公司回购注销，</w:t>
      </w:r>
      <w:r>
        <w:rPr>
          <w:rFonts w:ascii="Times New Roman" w:hAnsi="Times New Roman" w:cs="Times New Roman" w:eastAsia="Times New Roman" w:hint="default"/>
          <w:spacing w:val="-3"/>
        </w:rPr>
        <w:t>2016 </w:t>
      </w:r>
      <w:r>
        <w:rPr/>
        <w:t>年股</w:t>
      </w:r>
      <w:r>
        <w:rPr>
          <w:spacing w:val="-29"/>
        </w:rPr>
        <w:t> </w:t>
      </w:r>
      <w:r>
        <w:rPr>
          <w:spacing w:val="-3"/>
        </w:rPr>
        <w:t>权激励计划首次授予第三个解锁期解锁人数由</w:t>
      </w:r>
      <w:r>
        <w:rPr>
          <w:rFonts w:ascii="Times New Roman" w:hAnsi="Times New Roman" w:cs="Times New Roman" w:eastAsia="Times New Roman" w:hint="default"/>
          <w:spacing w:val="-3"/>
        </w:rPr>
        <w:t>120</w:t>
      </w:r>
      <w:r>
        <w:rPr>
          <w:spacing w:val="-3"/>
        </w:rPr>
        <w:t>人调整为</w:t>
      </w:r>
      <w:r>
        <w:rPr>
          <w:rFonts w:ascii="Times New Roman" w:hAnsi="Times New Roman" w:cs="Times New Roman" w:eastAsia="Times New Roman" w:hint="default"/>
          <w:spacing w:val="-3"/>
        </w:rPr>
        <w:t>119</w:t>
      </w:r>
      <w:r>
        <w:rPr>
          <w:spacing w:val="-3"/>
        </w:rPr>
        <w:t>人，解锁股份由</w:t>
      </w:r>
      <w:r>
        <w:rPr>
          <w:rFonts w:ascii="Times New Roman" w:hAnsi="Times New Roman" w:cs="Times New Roman" w:eastAsia="Times New Roman" w:hint="default"/>
          <w:spacing w:val="-3"/>
        </w:rPr>
        <w:t>201.285</w:t>
      </w:r>
      <w:r>
        <w:rPr>
          <w:spacing w:val="-3"/>
        </w:rPr>
        <w:t>万股调整为</w:t>
      </w:r>
      <w:r>
        <w:rPr>
          <w:rFonts w:ascii="Times New Roman" w:hAnsi="Times New Roman" w:cs="Times New Roman" w:eastAsia="Times New Roman" w:hint="default"/>
          <w:spacing w:val="-3"/>
        </w:rPr>
        <w:t>192.285</w:t>
      </w:r>
      <w:r>
        <w:rPr>
          <w:spacing w:val="-3"/>
        </w:rPr>
        <w:t>万股。监事会对公</w:t>
      </w:r>
      <w:r>
        <w:rPr>
          <w:spacing w:val="7"/>
        </w:rPr>
        <w:t> </w:t>
      </w:r>
      <w:r>
        <w:rPr>
          <w:spacing w:val="7"/>
        </w:rPr>
      </w:r>
      <w:r>
        <w:rPr/>
        <w:t>司</w:t>
      </w:r>
      <w:r>
        <w:rPr>
          <w:rFonts w:ascii="Times New Roman" w:hAnsi="Times New Roman" w:cs="Times New Roman" w:eastAsia="Times New Roman" w:hint="default"/>
        </w:rPr>
        <w:t>2016 </w:t>
      </w:r>
      <w:r>
        <w:rPr>
          <w:spacing w:val="-3"/>
        </w:rPr>
        <w:t>年股权激励计划首次授予第三个解锁期解锁条件及激励对象名单（调整后）进行了核实，公司独立董事对此发表了</w:t>
      </w:r>
      <w:r>
        <w:rPr>
          <w:spacing w:val="-52"/>
        </w:rPr>
        <w:t> </w:t>
      </w:r>
      <w:r>
        <w:rPr>
          <w:spacing w:val="-52"/>
        </w:rPr>
      </w:r>
      <w:r>
        <w:rPr/>
        <w:t>同意的独立意见。</w:t>
      </w:r>
    </w:p>
    <w:p>
      <w:pPr>
        <w:pStyle w:val="BodyText"/>
        <w:spacing w:line="309" w:lineRule="auto" w:before="74"/>
        <w:ind w:right="1127" w:firstLine="508"/>
        <w:jc w:val="both"/>
      </w:pPr>
      <w:r>
        <w:rPr>
          <w:rFonts w:ascii="Times New Roman" w:hAnsi="Times New Roman" w:cs="Times New Roman" w:eastAsia="Times New Roman" w:hint="default"/>
          <w:spacing w:val="-4"/>
        </w:rPr>
        <w:t>2019</w:t>
      </w:r>
      <w:r>
        <w:rPr>
          <w:spacing w:val="-4"/>
        </w:rPr>
        <w:t>年</w:t>
      </w:r>
      <w:r>
        <w:rPr>
          <w:rFonts w:ascii="Times New Roman" w:hAnsi="Times New Roman" w:cs="Times New Roman" w:eastAsia="Times New Roman" w:hint="default"/>
          <w:spacing w:val="-4"/>
        </w:rPr>
        <w:t>6</w:t>
      </w:r>
      <w:r>
        <w:rPr>
          <w:spacing w:val="-4"/>
        </w:rPr>
        <w:t>月</w:t>
      </w:r>
      <w:r>
        <w:rPr>
          <w:rFonts w:ascii="Times New Roman" w:hAnsi="Times New Roman" w:cs="Times New Roman" w:eastAsia="Times New Roman" w:hint="default"/>
          <w:spacing w:val="-4"/>
        </w:rPr>
        <w:t>6</w:t>
      </w:r>
      <w:r>
        <w:rPr>
          <w:spacing w:val="-4"/>
        </w:rPr>
        <w:t>日，公司第四届董事会第六次会议和第四届监事会第六次会议审议通过了《关于向激励对象授予</w:t>
      </w:r>
      <w:r>
        <w:rPr>
          <w:rFonts w:ascii="Times New Roman" w:hAnsi="Times New Roman" w:cs="Times New Roman" w:eastAsia="Times New Roman" w:hint="default"/>
          <w:spacing w:val="-4"/>
        </w:rPr>
        <w:t>2018</w:t>
      </w:r>
      <w:r>
        <w:rPr>
          <w:spacing w:val="-4"/>
        </w:rPr>
        <w:t>年限</w:t>
      </w:r>
      <w:r>
        <w:rPr>
          <w:spacing w:val="-5"/>
          <w:w w:val="101"/>
        </w:rPr>
        <w:t> </w:t>
      </w:r>
      <w:r>
        <w:rPr>
          <w:spacing w:val="-4"/>
        </w:rPr>
        <w:t>制性股票激励计划预留限制性股票的议案》。公司监事会及独立董事分别对激励对象获授予益的条件是否成就发表了明确意</w:t>
      </w:r>
      <w:r>
        <w:rPr>
          <w:spacing w:val="39"/>
        </w:rPr>
        <w:t> </w:t>
      </w:r>
      <w:r>
        <w:rPr>
          <w:spacing w:val="39"/>
        </w:rPr>
      </w:r>
      <w:r>
        <w:rPr>
          <w:spacing w:val="-3"/>
        </w:rPr>
        <w:t>见，监事会对激励对象名单进行了核实并发表了核查意见，公司聘请的律师出具了相关法律意见书。</w:t>
      </w:r>
    </w:p>
    <w:p>
      <w:pPr>
        <w:pStyle w:val="BodyText"/>
        <w:spacing w:line="316" w:lineRule="auto" w:before="62"/>
        <w:ind w:right="1122" w:firstLine="360"/>
        <w:jc w:val="both"/>
      </w:pPr>
      <w:r>
        <w:rPr>
          <w:rFonts w:ascii="宋体" w:hAnsi="宋体" w:cs="宋体" w:eastAsia="宋体" w:hint="default"/>
          <w:spacing w:val="-4"/>
        </w:rPr>
        <w:t>2019</w:t>
      </w:r>
      <w:r>
        <w:rPr>
          <w:spacing w:val="-4"/>
        </w:rPr>
        <w:t>年</w:t>
      </w:r>
      <w:r>
        <w:rPr>
          <w:rFonts w:ascii="宋体" w:hAnsi="宋体" w:cs="宋体" w:eastAsia="宋体" w:hint="default"/>
          <w:spacing w:val="-4"/>
        </w:rPr>
        <w:t>8</w:t>
      </w:r>
      <w:r>
        <w:rPr>
          <w:spacing w:val="-4"/>
        </w:rPr>
        <w:t>月</w:t>
      </w:r>
      <w:r>
        <w:rPr>
          <w:rFonts w:ascii="宋体" w:hAnsi="宋体" w:cs="宋体" w:eastAsia="宋体" w:hint="default"/>
          <w:spacing w:val="-4"/>
        </w:rPr>
        <w:t>8</w:t>
      </w:r>
      <w:r>
        <w:rPr>
          <w:spacing w:val="-4"/>
        </w:rPr>
        <w:t>日，公司召开第四届董事会第七次会议和第四届监事会第七次会议，审议通过了《关于回购注销部分限制性</w:t>
      </w:r>
      <w:r>
        <w:rPr>
          <w:w w:val="101"/>
        </w:rPr>
        <w:t> </w:t>
      </w:r>
      <w:r>
        <w:rPr>
          <w:spacing w:val="-3"/>
        </w:rPr>
        <w:t>股票的议案》，由于黄永忠先生于</w:t>
      </w:r>
      <w:r>
        <w:rPr>
          <w:rFonts w:ascii="宋体" w:hAnsi="宋体" w:cs="宋体" w:eastAsia="宋体" w:hint="default"/>
          <w:spacing w:val="-3"/>
        </w:rPr>
        <w:t>2019</w:t>
      </w:r>
      <w:r>
        <w:rPr>
          <w:spacing w:val="-3"/>
        </w:rPr>
        <w:t>年</w:t>
      </w:r>
      <w:r>
        <w:rPr>
          <w:rFonts w:ascii="宋体" w:hAnsi="宋体" w:cs="宋体" w:eastAsia="宋体" w:hint="default"/>
          <w:spacing w:val="-3"/>
        </w:rPr>
        <w:t>1</w:t>
      </w:r>
      <w:r>
        <w:rPr>
          <w:spacing w:val="-3"/>
        </w:rPr>
        <w:t>月</w:t>
      </w:r>
      <w:r>
        <w:rPr>
          <w:rFonts w:ascii="宋体" w:hAnsi="宋体" w:cs="宋体" w:eastAsia="宋体" w:hint="default"/>
          <w:spacing w:val="-3"/>
        </w:rPr>
        <w:t>23</w:t>
      </w:r>
      <w:r>
        <w:rPr>
          <w:spacing w:val="-3"/>
        </w:rPr>
        <w:t>日被选举为公司监事，根据《上市公司股权激励管理办法》等法律法规的规</w:t>
      </w:r>
      <w:r>
        <w:rPr>
          <w:spacing w:val="78"/>
        </w:rPr>
        <w:t> </w:t>
      </w:r>
      <w:r>
        <w:rPr>
          <w:spacing w:val="78"/>
        </w:rPr>
      </w:r>
      <w:r>
        <w:rPr>
          <w:spacing w:val="-4"/>
        </w:rPr>
        <w:t>定，黄永忠先生已获授的第三个解锁期的限制性股票需公司回购注销。根据本激励计划的相关规定及公司</w:t>
      </w:r>
      <w:r>
        <w:rPr>
          <w:rFonts w:ascii="宋体" w:hAnsi="宋体" w:cs="宋体" w:eastAsia="宋体" w:hint="default"/>
          <w:spacing w:val="-4"/>
        </w:rPr>
        <w:t>2016</w:t>
      </w:r>
      <w:r>
        <w:rPr>
          <w:spacing w:val="-4"/>
        </w:rPr>
        <w:t>年第二次临时</w:t>
      </w:r>
      <w:r>
        <w:rPr>
          <w:spacing w:val="51"/>
        </w:rPr>
        <w:t> </w:t>
      </w:r>
      <w:r>
        <w:rPr>
          <w:spacing w:val="51"/>
        </w:rPr>
      </w:r>
      <w:r>
        <w:rPr>
          <w:spacing w:val="-3"/>
        </w:rPr>
        <w:t>股东大会对董事会的授权，公司董事会同意对黄永忠先生持有的已获授但尚未解除限售的</w:t>
      </w:r>
      <w:r>
        <w:rPr>
          <w:rFonts w:ascii="宋体" w:hAnsi="宋体" w:cs="宋体" w:eastAsia="宋体" w:hint="default"/>
          <w:spacing w:val="-3"/>
        </w:rPr>
        <w:t>9</w:t>
      </w:r>
      <w:r>
        <w:rPr>
          <w:spacing w:val="-3"/>
        </w:rPr>
        <w:t>万股（除权后）限制性股票进行</w:t>
      </w:r>
      <w:r>
        <w:rPr>
          <w:spacing w:val="70"/>
        </w:rPr>
        <w:t> </w:t>
      </w:r>
      <w:r>
        <w:rPr>
          <w:spacing w:val="70"/>
        </w:rPr>
      </w:r>
      <w:r>
        <w:rPr>
          <w:spacing w:val="-4"/>
        </w:rPr>
        <w:t>回购注销处理。监事会对本次回购注销部分限制性股票相关事项进行了核实并发表核查意见，公司独立董事、律师对该事项</w:t>
      </w:r>
      <w:r>
        <w:rPr>
          <w:spacing w:val="43"/>
        </w:rPr>
        <w:t> </w:t>
      </w:r>
      <w:r>
        <w:rPr>
          <w:spacing w:val="43"/>
        </w:rPr>
      </w:r>
      <w:r>
        <w:rPr/>
        <w:t>发表了意见。</w:t>
      </w:r>
    </w:p>
    <w:p>
      <w:pPr>
        <w:pStyle w:val="BodyText"/>
        <w:spacing w:line="240" w:lineRule="auto" w:before="62"/>
        <w:ind w:right="0"/>
        <w:jc w:val="left"/>
      </w:pPr>
      <w:r>
        <w:rPr>
          <w:spacing w:val="-3"/>
        </w:rPr>
        <w:t>股份变动的过户情况</w:t>
      </w:r>
    </w:p>
    <w:p>
      <w:pPr>
        <w:pStyle w:val="BodyText"/>
        <w:spacing w:line="240" w:lineRule="auto" w:before="115"/>
        <w:ind w:right="0"/>
        <w:jc w:val="left"/>
      </w:pPr>
      <w:r>
        <w:rPr/>
        <w:t>√ </w:t>
      </w:r>
      <w:r>
        <w:rPr>
          <w:spacing w:val="-3"/>
        </w:rPr>
        <w:t>适用 </w:t>
      </w:r>
      <w:r>
        <w:rPr/>
        <w:t>□</w:t>
      </w:r>
      <w:r>
        <w:rPr>
          <w:spacing w:val="13"/>
        </w:rPr>
        <w:t> </w:t>
      </w:r>
      <w:r>
        <w:rPr/>
        <w:t>不适用</w:t>
      </w:r>
    </w:p>
    <w:p>
      <w:pPr>
        <w:pStyle w:val="BodyText"/>
        <w:spacing w:line="300" w:lineRule="auto" w:before="115"/>
        <w:ind w:right="1032" w:firstLine="360"/>
        <w:jc w:val="both"/>
      </w:pPr>
      <w:r>
        <w:rPr>
          <w:rFonts w:ascii="Times New Roman" w:hAnsi="Times New Roman" w:cs="Times New Roman" w:eastAsia="Times New Roman" w:hint="default"/>
          <w:spacing w:val="-6"/>
        </w:rPr>
        <w:t>2019</w:t>
      </w:r>
      <w:r>
        <w:rPr>
          <w:spacing w:val="-6"/>
        </w:rPr>
        <w:t>年</w:t>
      </w:r>
      <w:r>
        <w:rPr>
          <w:rFonts w:ascii="Times New Roman" w:hAnsi="Times New Roman" w:cs="Times New Roman" w:eastAsia="Times New Roman" w:hint="default"/>
          <w:spacing w:val="-6"/>
        </w:rPr>
        <w:t>1</w:t>
      </w:r>
      <w:r>
        <w:rPr>
          <w:spacing w:val="-6"/>
        </w:rPr>
        <w:t>月</w:t>
      </w:r>
      <w:r>
        <w:rPr>
          <w:rFonts w:ascii="Times New Roman" w:hAnsi="Times New Roman" w:cs="Times New Roman" w:eastAsia="Times New Roman" w:hint="default"/>
          <w:spacing w:val="-6"/>
        </w:rPr>
        <w:t>3</w:t>
      </w:r>
      <w:r>
        <w:rPr>
          <w:spacing w:val="-6"/>
        </w:rPr>
        <w:t>日，公司披露了《关于限售股份解禁上市流通的提示性公告》，沈永健、周维君所持公司限售股承诺期届满，</w:t>
      </w:r>
      <w:r>
        <w:rPr>
          <w:w w:val="101"/>
        </w:rPr>
        <w:t> </w:t>
      </w:r>
      <w:r>
        <w:rPr>
          <w:spacing w:val="-3"/>
        </w:rPr>
        <w:t>公司申请为其进行第二期限售股解禁，解除限售股份</w:t>
      </w:r>
      <w:r>
        <w:rPr>
          <w:rFonts w:ascii="Times New Roman" w:hAnsi="Times New Roman" w:cs="Times New Roman" w:eastAsia="Times New Roman" w:hint="default"/>
          <w:spacing w:val="-3"/>
        </w:rPr>
        <w:t>6,149,999</w:t>
      </w:r>
      <w:r>
        <w:rPr>
          <w:spacing w:val="-3"/>
        </w:rPr>
        <w:t>股，上市流通日为</w:t>
      </w:r>
      <w:r>
        <w:rPr>
          <w:rFonts w:ascii="Times New Roman" w:hAnsi="Times New Roman" w:cs="Times New Roman" w:eastAsia="Times New Roman" w:hint="default"/>
          <w:spacing w:val="-3"/>
        </w:rPr>
        <w:t>2019</w:t>
      </w:r>
      <w:r>
        <w:rPr>
          <w:spacing w:val="-3"/>
        </w:rPr>
        <w:t>年</w:t>
      </w:r>
      <w:r>
        <w:rPr>
          <w:rFonts w:ascii="Times New Roman" w:hAnsi="Times New Roman" w:cs="Times New Roman" w:eastAsia="Times New Roman" w:hint="default"/>
          <w:spacing w:val="-3"/>
        </w:rPr>
        <w:t>1</w:t>
      </w:r>
      <w:r>
        <w:rPr>
          <w:spacing w:val="-3"/>
        </w:rPr>
        <w:t>月</w:t>
      </w:r>
      <w:r>
        <w:rPr>
          <w:rFonts w:ascii="Times New Roman" w:hAnsi="Times New Roman" w:cs="Times New Roman" w:eastAsia="Times New Roman" w:hint="default"/>
          <w:spacing w:val="-3"/>
        </w:rPr>
        <w:t>7</w:t>
      </w:r>
      <w:r>
        <w:rPr>
          <w:spacing w:val="-3"/>
        </w:rPr>
        <w:t>日。</w:t>
      </w:r>
      <w:r>
        <w:rPr/>
      </w:r>
    </w:p>
    <w:p>
      <w:pPr>
        <w:pStyle w:val="BodyText"/>
        <w:spacing w:line="300" w:lineRule="auto" w:before="13"/>
        <w:ind w:right="1131" w:firstLine="360"/>
        <w:jc w:val="both"/>
      </w:pPr>
      <w:r>
        <w:rPr>
          <w:rFonts w:ascii="Times New Roman" w:hAnsi="Times New Roman" w:cs="Times New Roman" w:eastAsia="Times New Roman" w:hint="default"/>
          <w:spacing w:val="-3"/>
        </w:rPr>
        <w:t>2019</w:t>
      </w:r>
      <w:r>
        <w:rPr>
          <w:spacing w:val="-3"/>
        </w:rPr>
        <w:t>年</w:t>
      </w:r>
      <w:r>
        <w:rPr>
          <w:rFonts w:ascii="Times New Roman" w:hAnsi="Times New Roman" w:cs="Times New Roman" w:eastAsia="Times New Roman" w:hint="default"/>
          <w:spacing w:val="-3"/>
        </w:rPr>
        <w:t>4</w:t>
      </w:r>
      <w:r>
        <w:rPr>
          <w:spacing w:val="-3"/>
        </w:rPr>
        <w:t>月</w:t>
      </w:r>
      <w:r>
        <w:rPr>
          <w:rFonts w:ascii="Times New Roman" w:hAnsi="Times New Roman" w:cs="Times New Roman" w:eastAsia="Times New Roman" w:hint="default"/>
          <w:spacing w:val="-3"/>
        </w:rPr>
        <w:t>19</w:t>
      </w:r>
      <w:r>
        <w:rPr>
          <w:spacing w:val="-3"/>
        </w:rPr>
        <w:t>日，公司披露了《关于公司限制性股票激励计划暂缓授予部分第二个解锁期限制性股票上市流通的提示性</w:t>
      </w:r>
      <w:r>
        <w:rPr>
          <w:w w:val="101"/>
        </w:rPr>
        <w:t> </w:t>
      </w:r>
      <w:r>
        <w:rPr/>
        <w:t>公告》，限制性股票解锁数量为</w:t>
      </w:r>
      <w:r>
        <w:rPr>
          <w:rFonts w:ascii="Times New Roman" w:hAnsi="Times New Roman" w:cs="Times New Roman" w:eastAsia="Times New Roman" w:hint="default"/>
        </w:rPr>
        <w:t>216,000</w:t>
      </w:r>
      <w:r>
        <w:rPr/>
        <w:t>股，上市流通日期为</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22</w:t>
      </w:r>
      <w:r>
        <w:rPr/>
        <w:t>日。</w:t>
      </w:r>
    </w:p>
    <w:p>
      <w:pPr>
        <w:spacing w:after="0" w:line="300" w:lineRule="auto"/>
        <w:jc w:val="both"/>
        <w:sectPr>
          <w:pgSz w:w="11910" w:h="16840"/>
          <w:pgMar w:header="784" w:footer="1022" w:top="1100" w:bottom="1220" w:left="980" w:right="0"/>
        </w:sectPr>
      </w:pPr>
    </w:p>
    <w:p>
      <w:pPr>
        <w:spacing w:line="240" w:lineRule="auto" w:before="10"/>
        <w:rPr>
          <w:rFonts w:ascii="宋体" w:hAnsi="宋体" w:cs="宋体" w:eastAsia="宋体" w:hint="default"/>
          <w:sz w:val="22"/>
          <w:szCs w:val="22"/>
        </w:rPr>
      </w:pPr>
    </w:p>
    <w:p>
      <w:pPr>
        <w:pStyle w:val="BodyText"/>
        <w:spacing w:line="300" w:lineRule="auto"/>
        <w:ind w:right="0" w:firstLine="360"/>
        <w:jc w:val="left"/>
      </w:pPr>
      <w:r>
        <w:rPr>
          <w:rFonts w:ascii="Times New Roman" w:hAnsi="Times New Roman" w:cs="Times New Roman" w:eastAsia="Times New Roman" w:hint="default"/>
          <w:spacing w:val="-4"/>
        </w:rPr>
        <w:t>2019</w:t>
      </w:r>
      <w:r>
        <w:rPr>
          <w:spacing w:val="-4"/>
        </w:rPr>
        <w:t>年</w:t>
      </w:r>
      <w:r>
        <w:rPr>
          <w:rFonts w:ascii="Times New Roman" w:hAnsi="Times New Roman" w:cs="Times New Roman" w:eastAsia="Times New Roman" w:hint="default"/>
          <w:spacing w:val="-4"/>
        </w:rPr>
        <w:t>5</w:t>
      </w:r>
      <w:r>
        <w:rPr>
          <w:spacing w:val="-4"/>
        </w:rPr>
        <w:t>月</w:t>
      </w:r>
      <w:r>
        <w:rPr>
          <w:rFonts w:ascii="Times New Roman" w:hAnsi="Times New Roman" w:cs="Times New Roman" w:eastAsia="Times New Roman" w:hint="default"/>
          <w:spacing w:val="-4"/>
        </w:rPr>
        <w:t>16</w:t>
      </w:r>
      <w:r>
        <w:rPr>
          <w:spacing w:val="-4"/>
        </w:rPr>
        <w:t>日，公司披露了《关于公司</w:t>
      </w:r>
      <w:r>
        <w:rPr>
          <w:rFonts w:ascii="Times New Roman" w:hAnsi="Times New Roman" w:cs="Times New Roman" w:eastAsia="Times New Roman" w:hint="default"/>
          <w:spacing w:val="-4"/>
        </w:rPr>
        <w:t>2016</w:t>
      </w:r>
      <w:r>
        <w:rPr>
          <w:spacing w:val="-4"/>
        </w:rPr>
        <w:t>年限制性股票激励计划第三个解锁期限制性股票上市流通的提示性公告》，</w:t>
      </w:r>
      <w:r>
        <w:rPr>
          <w:w w:val="101"/>
        </w:rPr>
        <w:t> </w:t>
      </w:r>
      <w:r>
        <w:rPr/>
        <w:t>限制性股票解锁数量为</w:t>
      </w:r>
      <w:r>
        <w:rPr>
          <w:rFonts w:ascii="Times New Roman" w:hAnsi="Times New Roman" w:cs="Times New Roman" w:eastAsia="Times New Roman" w:hint="default"/>
        </w:rPr>
        <w:t>1,922,850</w:t>
      </w:r>
      <w:r>
        <w:rPr/>
        <w:t>股，上市流通日期为</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17</w:t>
      </w:r>
      <w:r>
        <w:rPr/>
        <w:t>日。</w:t>
      </w:r>
    </w:p>
    <w:p>
      <w:pPr>
        <w:pStyle w:val="BodyText"/>
        <w:spacing w:line="300" w:lineRule="auto" w:before="13"/>
        <w:ind w:right="0" w:firstLine="360"/>
        <w:jc w:val="left"/>
      </w:pPr>
      <w:r>
        <w:rPr>
          <w:rFonts w:ascii="Times New Roman" w:hAnsi="Times New Roman" w:cs="Times New Roman" w:eastAsia="Times New Roman" w:hint="default"/>
          <w:spacing w:val="-3"/>
        </w:rPr>
        <w:t>2019</w:t>
      </w:r>
      <w:r>
        <w:rPr>
          <w:spacing w:val="-3"/>
        </w:rPr>
        <w:t>年</w:t>
      </w:r>
      <w:r>
        <w:rPr>
          <w:rFonts w:ascii="Times New Roman" w:hAnsi="Times New Roman" w:cs="Times New Roman" w:eastAsia="Times New Roman" w:hint="default"/>
          <w:spacing w:val="-3"/>
        </w:rPr>
        <w:t>5</w:t>
      </w:r>
      <w:r>
        <w:rPr>
          <w:spacing w:val="-3"/>
        </w:rPr>
        <w:t>月</w:t>
      </w:r>
      <w:r>
        <w:rPr>
          <w:rFonts w:ascii="Times New Roman" w:hAnsi="Times New Roman" w:cs="Times New Roman" w:eastAsia="Times New Roman" w:hint="default"/>
          <w:spacing w:val="-3"/>
        </w:rPr>
        <w:t>25</w:t>
      </w:r>
      <w:r>
        <w:rPr>
          <w:spacing w:val="-3"/>
        </w:rPr>
        <w:t>日，公司披露了《关于部分限制性股票回购注销完成的公告》，公司已完成</w:t>
      </w:r>
      <w:r>
        <w:rPr>
          <w:rFonts w:ascii="Times New Roman" w:hAnsi="Times New Roman" w:cs="Times New Roman" w:eastAsia="Times New Roman" w:hint="default"/>
          <w:spacing w:val="-3"/>
        </w:rPr>
        <w:t>11</w:t>
      </w:r>
      <w:r>
        <w:rPr>
          <w:spacing w:val="-3"/>
        </w:rPr>
        <w:t>名相关激励对象已获授但尚</w:t>
      </w:r>
      <w:r>
        <w:rPr>
          <w:w w:val="101"/>
        </w:rPr>
        <w:t> </w:t>
      </w:r>
      <w:r>
        <w:rPr>
          <w:spacing w:val="-3"/>
        </w:rPr>
        <w:t>未解除限售的</w:t>
      </w:r>
      <w:r>
        <w:rPr>
          <w:rFonts w:ascii="Times New Roman" w:hAnsi="Times New Roman" w:cs="Times New Roman" w:eastAsia="Times New Roman" w:hint="default"/>
          <w:spacing w:val="-3"/>
        </w:rPr>
        <w:t>8.775</w:t>
      </w:r>
      <w:r>
        <w:rPr>
          <w:spacing w:val="-3"/>
        </w:rPr>
        <w:t>万股（除权后）限制性股票的回购注销工作。</w:t>
      </w:r>
    </w:p>
    <w:p>
      <w:pPr>
        <w:pStyle w:val="BodyText"/>
        <w:spacing w:line="300" w:lineRule="auto" w:before="13"/>
        <w:ind w:right="0" w:firstLine="360"/>
        <w:jc w:val="left"/>
      </w:pPr>
      <w:r>
        <w:rPr>
          <w:rFonts w:ascii="Times New Roman" w:hAnsi="Times New Roman" w:cs="Times New Roman" w:eastAsia="Times New Roman" w:hint="default"/>
          <w:spacing w:val="-4"/>
        </w:rPr>
        <w:t>2019</w:t>
      </w:r>
      <w:r>
        <w:rPr>
          <w:spacing w:val="-4"/>
        </w:rPr>
        <w:t>年</w:t>
      </w:r>
      <w:r>
        <w:rPr>
          <w:rFonts w:ascii="宋体" w:hAnsi="宋体" w:cs="宋体" w:eastAsia="宋体" w:hint="default"/>
          <w:spacing w:val="-4"/>
        </w:rPr>
        <w:t>7</w:t>
      </w:r>
      <w:r>
        <w:rPr>
          <w:spacing w:val="-4"/>
        </w:rPr>
        <w:t>月</w:t>
      </w:r>
      <w:r>
        <w:rPr>
          <w:rFonts w:ascii="宋体" w:hAnsi="宋体" w:cs="宋体" w:eastAsia="宋体" w:hint="default"/>
          <w:spacing w:val="-4"/>
        </w:rPr>
        <w:t>4</w:t>
      </w:r>
      <w:r>
        <w:rPr>
          <w:spacing w:val="-4"/>
        </w:rPr>
        <w:t>日，公司披露了《关于向</w:t>
      </w:r>
      <w:r>
        <w:rPr>
          <w:rFonts w:ascii="宋体" w:hAnsi="宋体" w:cs="宋体" w:eastAsia="宋体" w:hint="default"/>
          <w:spacing w:val="-4"/>
        </w:rPr>
        <w:t>2018</w:t>
      </w:r>
      <w:r>
        <w:rPr>
          <w:spacing w:val="-4"/>
        </w:rPr>
        <w:t>年限制性股票激励计划激励对象授予预留限制性股票登记完成的公告》，公司</w:t>
      </w:r>
      <w:r>
        <w:rPr>
          <w:w w:val="101"/>
        </w:rPr>
        <w:t> </w:t>
      </w:r>
      <w:r>
        <w:rPr>
          <w:spacing w:val="-3"/>
        </w:rPr>
        <w:t>已完成</w:t>
      </w:r>
      <w:r>
        <w:rPr>
          <w:rFonts w:ascii="宋体" w:hAnsi="宋体" w:cs="宋体" w:eastAsia="宋体" w:hint="default"/>
          <w:spacing w:val="-3"/>
        </w:rPr>
        <w:t>2018</w:t>
      </w:r>
      <w:r>
        <w:rPr>
          <w:spacing w:val="-3"/>
        </w:rPr>
        <w:t>年限制性股票激励计划预留股份</w:t>
      </w:r>
      <w:r>
        <w:rPr>
          <w:rFonts w:ascii="宋体" w:hAnsi="宋体" w:cs="宋体" w:eastAsia="宋体" w:hint="default"/>
          <w:spacing w:val="-3"/>
        </w:rPr>
        <w:t>100</w:t>
      </w:r>
      <w:r>
        <w:rPr>
          <w:spacing w:val="-3"/>
        </w:rPr>
        <w:t>万股的授予工作。</w:t>
      </w:r>
    </w:p>
    <w:p>
      <w:pPr>
        <w:pStyle w:val="BodyText"/>
        <w:spacing w:line="300" w:lineRule="auto" w:before="31"/>
        <w:ind w:right="0" w:firstLine="360"/>
        <w:jc w:val="left"/>
      </w:pPr>
      <w:r>
        <w:rPr>
          <w:rFonts w:ascii="Times New Roman" w:hAnsi="Times New Roman" w:cs="Times New Roman" w:eastAsia="Times New Roman" w:hint="default"/>
          <w:spacing w:val="-3"/>
        </w:rPr>
        <w:t>2019</w:t>
      </w:r>
      <w:r>
        <w:rPr>
          <w:spacing w:val="-3"/>
        </w:rPr>
        <w:t>年</w:t>
      </w:r>
      <w:r>
        <w:rPr>
          <w:rFonts w:ascii="宋体" w:hAnsi="宋体" w:cs="宋体" w:eastAsia="宋体" w:hint="default"/>
          <w:spacing w:val="-3"/>
        </w:rPr>
        <w:t>12</w:t>
      </w:r>
      <w:r>
        <w:rPr>
          <w:spacing w:val="-3"/>
        </w:rPr>
        <w:t>月</w:t>
      </w:r>
      <w:r>
        <w:rPr>
          <w:rFonts w:ascii="宋体" w:hAnsi="宋体" w:cs="宋体" w:eastAsia="宋体" w:hint="default"/>
          <w:spacing w:val="-3"/>
        </w:rPr>
        <w:t>27</w:t>
      </w:r>
      <w:r>
        <w:rPr>
          <w:spacing w:val="-3"/>
        </w:rPr>
        <w:t>日，公司披露了《关于部分限制性股票回购注销完成的公告》，公司已完成</w:t>
      </w:r>
      <w:r>
        <w:rPr>
          <w:rFonts w:ascii="宋体" w:hAnsi="宋体" w:cs="宋体" w:eastAsia="宋体" w:hint="default"/>
          <w:spacing w:val="-3"/>
        </w:rPr>
        <w:t>1</w:t>
      </w:r>
      <w:r>
        <w:rPr>
          <w:spacing w:val="-3"/>
        </w:rPr>
        <w:t>名相关激励对象已获授但尚</w:t>
      </w:r>
      <w:r>
        <w:rPr>
          <w:w w:val="101"/>
        </w:rPr>
        <w:t> </w:t>
      </w:r>
      <w:r>
        <w:rPr>
          <w:spacing w:val="-3"/>
        </w:rPr>
        <w:t>未解除限售的</w:t>
      </w:r>
      <w:r>
        <w:rPr>
          <w:rFonts w:ascii="宋体" w:hAnsi="宋体" w:cs="宋体" w:eastAsia="宋体" w:hint="default"/>
          <w:spacing w:val="-3"/>
        </w:rPr>
        <w:t>9</w:t>
      </w:r>
      <w:r>
        <w:rPr>
          <w:spacing w:val="-3"/>
        </w:rPr>
        <w:t>万股（除权后）限制性股票的回购注销工作。</w:t>
      </w:r>
    </w:p>
    <w:p>
      <w:pPr>
        <w:spacing w:line="240" w:lineRule="auto" w:before="0"/>
        <w:rPr>
          <w:rFonts w:ascii="宋体" w:hAnsi="宋体" w:cs="宋体" w:eastAsia="宋体" w:hint="default"/>
          <w:sz w:val="18"/>
          <w:szCs w:val="18"/>
        </w:rPr>
      </w:pPr>
    </w:p>
    <w:p>
      <w:pPr>
        <w:pStyle w:val="BodyText"/>
        <w:spacing w:line="240" w:lineRule="auto" w:before="151"/>
        <w:ind w:right="0"/>
        <w:jc w:val="left"/>
      </w:pPr>
      <w:r>
        <w:rPr>
          <w:spacing w:val="-3"/>
        </w:rPr>
        <w:t>股份回购的实施进展情况</w:t>
      </w:r>
    </w:p>
    <w:p>
      <w:pPr>
        <w:pStyle w:val="BodyText"/>
        <w:spacing w:line="240" w:lineRule="auto" w:before="119"/>
        <w:ind w:right="0"/>
        <w:jc w:val="left"/>
      </w:pPr>
      <w:r>
        <w:rPr/>
        <w:t>√ </w:t>
      </w:r>
      <w:r>
        <w:rPr>
          <w:spacing w:val="-3"/>
        </w:rPr>
        <w:t>适用 </w:t>
      </w:r>
      <w:r>
        <w:rPr/>
        <w:t>□</w:t>
      </w:r>
      <w:r>
        <w:rPr>
          <w:spacing w:val="13"/>
        </w:rPr>
        <w:t> </w:t>
      </w:r>
      <w:r>
        <w:rPr/>
        <w:t>不适用</w:t>
      </w:r>
    </w:p>
    <w:p>
      <w:pPr>
        <w:pStyle w:val="BodyText"/>
        <w:spacing w:line="240" w:lineRule="auto" w:before="110"/>
        <w:ind w:left="604" w:right="0"/>
        <w:jc w:val="left"/>
      </w:pPr>
      <w:r>
        <w:rPr/>
        <w:t>公司于 </w:t>
      </w:r>
      <w:r>
        <w:rPr>
          <w:rFonts w:ascii="Times New Roman" w:hAnsi="Times New Roman" w:cs="Times New Roman" w:eastAsia="Times New Roman" w:hint="default"/>
        </w:rPr>
        <w:t>2018  </w:t>
      </w:r>
      <w:r>
        <w:rPr/>
        <w:t>年 </w:t>
      </w:r>
      <w:r>
        <w:rPr>
          <w:rFonts w:ascii="Times New Roman" w:hAnsi="Times New Roman" w:cs="Times New Roman" w:eastAsia="Times New Roman" w:hint="default"/>
        </w:rPr>
        <w:t>10  </w:t>
      </w:r>
      <w:r>
        <w:rPr/>
        <w:t>月</w:t>
      </w:r>
      <w:r>
        <w:rPr>
          <w:spacing w:val="21"/>
        </w:rPr>
        <w:t> </w:t>
      </w:r>
      <w:r>
        <w:rPr>
          <w:rFonts w:ascii="Times New Roman" w:hAnsi="Times New Roman" w:cs="Times New Roman" w:eastAsia="Times New Roman" w:hint="default"/>
          <w:spacing w:val="-3"/>
        </w:rPr>
        <w:t>19</w:t>
      </w:r>
      <w:r>
        <w:rPr>
          <w:spacing w:val="-3"/>
        </w:rPr>
        <w:t>日召开第三届董事会第三十一次会议审议通过了《关于</w:t>
      </w:r>
      <w:r>
        <w:rPr>
          <w:rFonts w:ascii="Times New Roman" w:hAnsi="Times New Roman" w:cs="Times New Roman" w:eastAsia="Times New Roman" w:hint="default"/>
          <w:spacing w:val="-3"/>
        </w:rPr>
        <w:t>&lt;</w:t>
      </w:r>
      <w:r>
        <w:rPr>
          <w:spacing w:val="-3"/>
        </w:rPr>
        <w:t>回购公司股份的预案</w:t>
      </w:r>
      <w:r>
        <w:rPr>
          <w:rFonts w:ascii="Times New Roman" w:hAnsi="Times New Roman" w:cs="Times New Roman" w:eastAsia="Times New Roman" w:hint="default"/>
          <w:spacing w:val="-3"/>
        </w:rPr>
        <w:t>&gt;</w:t>
      </w:r>
      <w:r>
        <w:rPr>
          <w:spacing w:val="-3"/>
        </w:rPr>
        <w:t>的议案》，并</w:t>
      </w:r>
    </w:p>
    <w:p>
      <w:pPr>
        <w:pStyle w:val="BodyText"/>
        <w:spacing w:line="240" w:lineRule="auto" w:before="63"/>
        <w:ind w:right="0"/>
        <w:jc w:val="left"/>
        <w:rPr>
          <w:rFonts w:ascii="Times New Roman" w:hAnsi="Times New Roman" w:cs="Times New Roman" w:eastAsia="Times New Roman" w:hint="default"/>
        </w:rPr>
      </w:pPr>
      <w:r>
        <w:rPr/>
        <w:t>于 </w:t>
      </w:r>
      <w:r>
        <w:rPr>
          <w:rFonts w:ascii="Times New Roman" w:hAnsi="Times New Roman" w:cs="Times New Roman" w:eastAsia="Times New Roman" w:hint="default"/>
        </w:rPr>
        <w:t>2018 </w:t>
      </w:r>
      <w:r>
        <w:rPr/>
        <w:t>年 </w:t>
      </w:r>
      <w:r>
        <w:rPr>
          <w:rFonts w:ascii="Times New Roman" w:hAnsi="Times New Roman" w:cs="Times New Roman" w:eastAsia="Times New Roman" w:hint="default"/>
        </w:rPr>
        <w:t>12 </w:t>
      </w:r>
      <w:r>
        <w:rPr/>
        <w:t>月 </w:t>
      </w:r>
      <w:r>
        <w:rPr>
          <w:rFonts w:ascii="Times New Roman" w:hAnsi="Times New Roman" w:cs="Times New Roman" w:eastAsia="Times New Roman" w:hint="default"/>
        </w:rPr>
        <w:t>5 </w:t>
      </w:r>
      <w:r>
        <w:rPr/>
        <w:t>日召开 </w:t>
      </w:r>
      <w:r>
        <w:rPr>
          <w:rFonts w:ascii="Times New Roman" w:hAnsi="Times New Roman" w:cs="Times New Roman" w:eastAsia="Times New Roman" w:hint="default"/>
        </w:rPr>
        <w:t>2018  </w:t>
      </w:r>
      <w:r>
        <w:rPr>
          <w:spacing w:val="-3"/>
        </w:rPr>
        <w:t>年度第三次临时股东大会审议通过了《关于</w:t>
      </w:r>
      <w:r>
        <w:rPr>
          <w:rFonts w:ascii="Times New Roman" w:hAnsi="Times New Roman" w:cs="Times New Roman" w:eastAsia="Times New Roman" w:hint="default"/>
          <w:spacing w:val="-3"/>
        </w:rPr>
        <w:t>&lt;</w:t>
      </w:r>
      <w:r>
        <w:rPr>
          <w:spacing w:val="-3"/>
        </w:rPr>
        <w:t>回购公司股份的预案</w:t>
      </w:r>
      <w:r>
        <w:rPr>
          <w:rFonts w:ascii="Times New Roman" w:hAnsi="Times New Roman" w:cs="Times New Roman" w:eastAsia="Times New Roman" w:hint="default"/>
          <w:spacing w:val="-3"/>
        </w:rPr>
        <w:t>&gt;</w:t>
      </w:r>
      <w:r>
        <w:rPr>
          <w:spacing w:val="-3"/>
        </w:rPr>
        <w:t>的议案》。</w:t>
      </w:r>
      <w:r>
        <w:rPr>
          <w:rFonts w:ascii="Times New Roman" w:hAnsi="Times New Roman" w:cs="Times New Roman" w:eastAsia="Times New Roman" w:hint="default"/>
          <w:spacing w:val="-3"/>
        </w:rPr>
        <w:t>2018  </w:t>
      </w:r>
      <w:r>
        <w:rPr/>
        <w:t>年</w:t>
      </w:r>
      <w:r>
        <w:rPr>
          <w:spacing w:val="54"/>
        </w:rPr>
        <w:t> </w:t>
      </w:r>
      <w:r>
        <w:rPr>
          <w:rFonts w:ascii="Times New Roman" w:hAnsi="Times New Roman" w:cs="Times New Roman" w:eastAsia="Times New Roman" w:hint="default"/>
        </w:rPr>
        <w:t>12</w:t>
      </w:r>
    </w:p>
    <w:p>
      <w:pPr>
        <w:pStyle w:val="BodyText"/>
        <w:spacing w:line="314" w:lineRule="auto" w:before="63"/>
        <w:ind w:right="1124"/>
        <w:jc w:val="both"/>
      </w:pPr>
      <w:r>
        <w:rPr/>
        <w:t>月</w:t>
      </w:r>
      <w:r>
        <w:rPr>
          <w:spacing w:val="45"/>
        </w:rPr>
        <w:t> </w:t>
      </w:r>
      <w:r>
        <w:rPr>
          <w:rFonts w:ascii="Times New Roman" w:hAnsi="Times New Roman" w:cs="Times New Roman" w:eastAsia="Times New Roman" w:hint="default"/>
        </w:rPr>
        <w:t>18 </w:t>
      </w:r>
      <w:r>
        <w:rPr>
          <w:spacing w:val="-3"/>
        </w:rPr>
        <w:t>日，公司在《证券时报》及巨潮资讯网刊登了《回购股份报告书》（公告编号：</w:t>
      </w:r>
      <w:r>
        <w:rPr>
          <w:rFonts w:ascii="Times New Roman" w:hAnsi="Times New Roman" w:cs="Times New Roman" w:eastAsia="Times New Roman" w:hint="default"/>
          <w:spacing w:val="-3"/>
        </w:rPr>
        <w:t>2018-105</w:t>
      </w:r>
      <w:r>
        <w:rPr>
          <w:spacing w:val="-3"/>
        </w:rPr>
        <w:t>），基于对公司未来发展前</w:t>
      </w:r>
      <w:r>
        <w:rPr>
          <w:spacing w:val="-73"/>
        </w:rPr>
        <w:t> </w:t>
      </w:r>
      <w:r>
        <w:rPr>
          <w:spacing w:val="-73"/>
        </w:rPr>
      </w:r>
      <w:r>
        <w:rPr>
          <w:spacing w:val="-4"/>
        </w:rPr>
        <w:t>景的信心和基本面的判断，公司管理层在综合考虑公司近期股票二级市场表现，结合公司经营情况、财务状况以及未来的盈</w:t>
      </w:r>
      <w:r>
        <w:rPr>
          <w:spacing w:val="43"/>
        </w:rPr>
        <w:t> </w:t>
      </w:r>
      <w:r>
        <w:rPr>
          <w:spacing w:val="43"/>
        </w:rPr>
      </w:r>
      <w:r>
        <w:rPr>
          <w:spacing w:val="-4"/>
        </w:rPr>
        <w:t>利能力和发展前景，为维护广大投资者的利益，增强投资者信心，公司根据《公司法》、《证券法》、《上市公司回购社会</w:t>
      </w:r>
      <w:r>
        <w:rPr>
          <w:spacing w:val="40"/>
        </w:rPr>
        <w:t> </w:t>
      </w:r>
      <w:r>
        <w:rPr>
          <w:spacing w:val="40"/>
        </w:rPr>
      </w:r>
      <w:r>
        <w:rPr>
          <w:spacing w:val="-5"/>
        </w:rPr>
        <w:t>公众股份管理办法（试行）》等法律法规及《公司章程》规定，拟回购部分公司股份，回购股份的方式为在二级市场以集中</w:t>
      </w:r>
      <w:r>
        <w:rPr>
          <w:spacing w:val="5"/>
        </w:rPr>
        <w:t> </w:t>
      </w:r>
      <w:r>
        <w:rPr>
          <w:spacing w:val="5"/>
        </w:rPr>
      </w:r>
      <w:r>
        <w:rPr>
          <w:spacing w:val="-3"/>
        </w:rPr>
        <w:t>竞价交易方式购买，回购价格为不超过人民币 </w:t>
      </w:r>
      <w:r>
        <w:rPr>
          <w:rFonts w:ascii="Times New Roman" w:hAnsi="Times New Roman" w:cs="Times New Roman" w:eastAsia="Times New Roman" w:hint="default"/>
        </w:rPr>
        <w:t>9  </w:t>
      </w:r>
      <w:r>
        <w:rPr>
          <w:spacing w:val="-3"/>
        </w:rPr>
        <w:t>元</w:t>
      </w:r>
      <w:r>
        <w:rPr>
          <w:rFonts w:ascii="Times New Roman" w:hAnsi="Times New Roman" w:cs="Times New Roman" w:eastAsia="Times New Roman" w:hint="default"/>
          <w:spacing w:val="-3"/>
        </w:rPr>
        <w:t>/</w:t>
      </w:r>
      <w:r>
        <w:rPr>
          <w:spacing w:val="-3"/>
        </w:rPr>
        <w:t>股，回购金额为不低于人民币 </w:t>
      </w:r>
      <w:r>
        <w:rPr>
          <w:rFonts w:ascii="Times New Roman" w:hAnsi="Times New Roman" w:cs="Times New Roman" w:eastAsia="Times New Roman" w:hint="default"/>
        </w:rPr>
        <w:t>4,000.00  </w:t>
      </w:r>
      <w:r>
        <w:rPr/>
        <w:t>万元（包含 </w:t>
      </w:r>
      <w:r>
        <w:rPr>
          <w:rFonts w:ascii="Times New Roman" w:hAnsi="Times New Roman" w:cs="Times New Roman" w:eastAsia="Times New Roman" w:hint="default"/>
        </w:rPr>
        <w:t>4,000.00 </w:t>
      </w:r>
      <w:r>
        <w:rPr>
          <w:rFonts w:ascii="Times New Roman" w:hAnsi="Times New Roman" w:cs="Times New Roman" w:eastAsia="Times New Roman" w:hint="default"/>
          <w:spacing w:val="12"/>
        </w:rPr>
        <w:t> </w:t>
      </w:r>
      <w:r>
        <w:rPr>
          <w:spacing w:val="-3"/>
        </w:rPr>
        <w:t>万元），</w:t>
      </w:r>
    </w:p>
    <w:p>
      <w:pPr>
        <w:pStyle w:val="BodyText"/>
        <w:spacing w:line="240" w:lineRule="auto" w:before="1"/>
        <w:ind w:right="0"/>
        <w:jc w:val="left"/>
      </w:pPr>
      <w:r>
        <w:rPr/>
        <w:t>不超过人民币 </w:t>
      </w:r>
      <w:r>
        <w:rPr>
          <w:rFonts w:ascii="Times New Roman" w:hAnsi="Times New Roman" w:cs="Times New Roman" w:eastAsia="Times New Roman" w:hint="default"/>
        </w:rPr>
        <w:t>8,000.00  </w:t>
      </w:r>
      <w:r>
        <w:rPr/>
        <w:t>万元（包含 </w:t>
      </w:r>
      <w:r>
        <w:rPr>
          <w:rFonts w:ascii="Times New Roman" w:hAnsi="Times New Roman" w:cs="Times New Roman" w:eastAsia="Times New Roman" w:hint="default"/>
        </w:rPr>
        <w:t>8,000.00  </w:t>
      </w:r>
      <w:r>
        <w:rPr>
          <w:spacing w:val="-3"/>
        </w:rPr>
        <w:t>万元），回购股份的期限为 </w:t>
      </w:r>
      <w:r>
        <w:rPr>
          <w:rFonts w:ascii="Times New Roman" w:hAnsi="Times New Roman" w:cs="Times New Roman" w:eastAsia="Times New Roman" w:hint="default"/>
        </w:rPr>
        <w:t>2018</w:t>
      </w:r>
      <w:r>
        <w:rPr>
          <w:rFonts w:ascii="Times New Roman" w:hAnsi="Times New Roman" w:cs="Times New Roman" w:eastAsia="Times New Roman" w:hint="default"/>
          <w:spacing w:val="27"/>
        </w:rPr>
        <w:t> </w:t>
      </w:r>
      <w:r>
        <w:rPr>
          <w:spacing w:val="-3"/>
        </w:rPr>
        <w:t>年度第三次临时股东大会审议通过回购股份</w:t>
      </w:r>
    </w:p>
    <w:p>
      <w:pPr>
        <w:pStyle w:val="BodyText"/>
        <w:spacing w:line="240" w:lineRule="auto" w:before="63"/>
        <w:ind w:right="0"/>
        <w:jc w:val="left"/>
      </w:pPr>
      <w:r>
        <w:rPr>
          <w:spacing w:val="-5"/>
        </w:rPr>
        <w:t>方案之日（</w:t>
      </w:r>
      <w:r>
        <w:rPr>
          <w:rFonts w:ascii="Times New Roman" w:hAnsi="Times New Roman" w:cs="Times New Roman" w:eastAsia="Times New Roman" w:hint="default"/>
          <w:spacing w:val="-5"/>
        </w:rPr>
        <w:t>2018  </w:t>
      </w:r>
      <w:r>
        <w:rPr/>
        <w:t>年 </w:t>
      </w:r>
      <w:r>
        <w:rPr>
          <w:rFonts w:ascii="Times New Roman" w:hAnsi="Times New Roman" w:cs="Times New Roman" w:eastAsia="Times New Roman" w:hint="default"/>
        </w:rPr>
        <w:t>12  </w:t>
      </w:r>
      <w:r>
        <w:rPr/>
        <w:t>月 </w:t>
      </w:r>
      <w:r>
        <w:rPr>
          <w:rFonts w:ascii="Times New Roman" w:hAnsi="Times New Roman" w:cs="Times New Roman" w:eastAsia="Times New Roman" w:hint="default"/>
          <w:spacing w:val="-10"/>
        </w:rPr>
        <w:t>5</w:t>
      </w:r>
      <w:r>
        <w:rPr>
          <w:spacing w:val="-10"/>
        </w:rPr>
        <w:t>日）起 </w:t>
      </w:r>
      <w:r>
        <w:rPr>
          <w:rFonts w:ascii="Times New Roman" w:hAnsi="Times New Roman" w:cs="Times New Roman" w:eastAsia="Times New Roman" w:hint="default"/>
        </w:rPr>
        <w:t>12  </w:t>
      </w:r>
      <w:r>
        <w:rPr>
          <w:spacing w:val="-6"/>
        </w:rPr>
        <w:t>个月之内。鉴于公司 </w:t>
      </w:r>
      <w:r>
        <w:rPr>
          <w:rFonts w:ascii="宋体" w:hAnsi="宋体" w:cs="宋体" w:eastAsia="宋体" w:hint="default"/>
        </w:rPr>
        <w:t>2018</w:t>
      </w:r>
      <w:r>
        <w:rPr>
          <w:rFonts w:ascii="宋体" w:hAnsi="宋体" w:cs="宋体" w:eastAsia="宋体" w:hint="default"/>
          <w:spacing w:val="26"/>
        </w:rPr>
        <w:t> </w:t>
      </w:r>
      <w:r>
        <w:rPr>
          <w:spacing w:val="-5"/>
        </w:rPr>
        <w:t>年年度权益分派实施，根据公司披露的《回购股份报告书》</w:t>
      </w:r>
    </w:p>
    <w:p>
      <w:pPr>
        <w:pStyle w:val="BodyText"/>
        <w:spacing w:line="307" w:lineRule="auto" w:before="63"/>
        <w:ind w:right="1120"/>
        <w:jc w:val="left"/>
      </w:pPr>
      <w:r>
        <w:rPr>
          <w:spacing w:val="-4"/>
        </w:rPr>
        <w:t>（公告编号：</w:t>
      </w:r>
      <w:r>
        <w:rPr>
          <w:rFonts w:ascii="宋体" w:hAnsi="宋体" w:cs="宋体" w:eastAsia="宋体" w:hint="default"/>
          <w:spacing w:val="-4"/>
        </w:rPr>
        <w:t>2018-105</w:t>
      </w:r>
      <w:r>
        <w:rPr>
          <w:spacing w:val="-4"/>
        </w:rPr>
        <w:t>），自本次权益分派除权除息之日起，相应调整公司回购股份价格上限。公司回购 </w:t>
      </w:r>
      <w:r>
        <w:rPr>
          <w:rFonts w:ascii="宋体" w:hAnsi="宋体" w:cs="宋体" w:eastAsia="宋体" w:hint="default"/>
        </w:rPr>
        <w:t>A</w:t>
      </w:r>
      <w:r>
        <w:rPr/>
        <w:t>股股份的价格由</w:t>
      </w:r>
      <w:r>
        <w:rPr>
          <w:spacing w:val="-55"/>
        </w:rPr>
        <w:t> </w:t>
      </w:r>
      <w:r>
        <w:rPr>
          <w:spacing w:val="-55"/>
        </w:rPr>
      </w:r>
      <w:r>
        <w:rPr/>
        <w:t>不超过人民币</w:t>
      </w:r>
      <w:r>
        <w:rPr>
          <w:spacing w:val="22"/>
        </w:rPr>
        <w:t> </w:t>
      </w:r>
      <w:r>
        <w:rPr>
          <w:rFonts w:ascii="宋体" w:hAnsi="宋体" w:cs="宋体" w:eastAsia="宋体" w:hint="default"/>
        </w:rPr>
        <w:t>9.00</w:t>
      </w:r>
      <w:r>
        <w:rPr>
          <w:rFonts w:ascii="宋体" w:hAnsi="宋体" w:cs="宋体" w:eastAsia="宋体" w:hint="default"/>
          <w:spacing w:val="22"/>
        </w:rPr>
        <w:t> </w:t>
      </w:r>
      <w:r>
        <w:rPr>
          <w:spacing w:val="-3"/>
        </w:rPr>
        <w:t>元</w:t>
      </w:r>
      <w:r>
        <w:rPr>
          <w:rFonts w:ascii="宋体" w:hAnsi="宋体" w:cs="宋体" w:eastAsia="宋体" w:hint="default"/>
          <w:spacing w:val="-3"/>
        </w:rPr>
        <w:t>/</w:t>
      </w:r>
      <w:r>
        <w:rPr>
          <w:spacing w:val="-3"/>
        </w:rPr>
        <w:t>股调整为不超过人民币</w:t>
      </w:r>
      <w:r>
        <w:rPr>
          <w:spacing w:val="23"/>
        </w:rPr>
        <w:t> </w:t>
      </w:r>
      <w:r>
        <w:rPr>
          <w:rFonts w:ascii="宋体" w:hAnsi="宋体" w:cs="宋体" w:eastAsia="宋体" w:hint="default"/>
        </w:rPr>
        <w:t>8.90</w:t>
      </w:r>
      <w:r>
        <w:rPr>
          <w:rFonts w:ascii="宋体" w:hAnsi="宋体" w:cs="宋体" w:eastAsia="宋体" w:hint="default"/>
          <w:spacing w:val="28"/>
        </w:rPr>
        <w:t> </w:t>
      </w:r>
      <w:r>
        <w:rPr>
          <w:spacing w:val="-5"/>
        </w:rPr>
        <w:t>元</w:t>
      </w:r>
      <w:r>
        <w:rPr>
          <w:rFonts w:ascii="宋体" w:hAnsi="宋体" w:cs="宋体" w:eastAsia="宋体" w:hint="default"/>
          <w:spacing w:val="-5"/>
        </w:rPr>
        <w:t>/</w:t>
      </w:r>
      <w:r>
        <w:rPr>
          <w:spacing w:val="-5"/>
        </w:rPr>
        <w:t>股。截至</w:t>
      </w:r>
      <w:r>
        <w:rPr>
          <w:rFonts w:ascii="Times New Roman" w:hAnsi="Times New Roman" w:cs="Times New Roman" w:eastAsia="Times New Roman" w:hint="default"/>
          <w:spacing w:val="-5"/>
        </w:rPr>
        <w:t>2019</w:t>
      </w:r>
      <w:r>
        <w:rPr>
          <w:spacing w:val="-5"/>
        </w:rPr>
        <w:t>年</w:t>
      </w:r>
      <w:r>
        <w:rPr>
          <w:rFonts w:ascii="宋体" w:hAnsi="宋体" w:cs="宋体" w:eastAsia="宋体" w:hint="default"/>
          <w:spacing w:val="-5"/>
        </w:rPr>
        <w:t>12</w:t>
      </w:r>
      <w:r>
        <w:rPr>
          <w:spacing w:val="-5"/>
        </w:rPr>
        <w:t>月</w:t>
      </w:r>
      <w:r>
        <w:rPr>
          <w:rFonts w:ascii="宋体" w:hAnsi="宋体" w:cs="宋体" w:eastAsia="宋体" w:hint="default"/>
          <w:spacing w:val="-5"/>
        </w:rPr>
        <w:t>31</w:t>
      </w:r>
      <w:r>
        <w:rPr>
          <w:spacing w:val="-5"/>
        </w:rPr>
        <w:t>日，公司已完成回购股份事项，通过股票回</w:t>
      </w:r>
      <w:r>
        <w:rPr>
          <w:spacing w:val="-58"/>
        </w:rPr>
        <w:t> </w:t>
      </w:r>
      <w:r>
        <w:rPr>
          <w:spacing w:val="-58"/>
        </w:rPr>
      </w:r>
      <w:r>
        <w:rPr>
          <w:spacing w:val="-3"/>
        </w:rPr>
        <w:t>购专用证券账户以集中竞价交易方式回购公司股份，回购股份数量为 </w:t>
      </w:r>
      <w:r>
        <w:rPr>
          <w:rFonts w:ascii="宋体" w:hAnsi="宋体" w:cs="宋体" w:eastAsia="宋体" w:hint="default"/>
          <w:spacing w:val="-3"/>
        </w:rPr>
        <w:t>7,067,352</w:t>
      </w:r>
      <w:r>
        <w:rPr>
          <w:spacing w:val="-3"/>
        </w:rPr>
        <w:t>股，占公司已发行总股本的比例为</w:t>
      </w:r>
      <w:r>
        <w:rPr>
          <w:rFonts w:ascii="宋体" w:hAnsi="宋体" w:cs="宋体" w:eastAsia="宋体" w:hint="default"/>
          <w:spacing w:val="-3"/>
        </w:rPr>
        <w:t>1.14</w:t>
      </w:r>
      <w:r>
        <w:rPr>
          <w:rFonts w:ascii="Times New Roman" w:hAnsi="Times New Roman" w:cs="Times New Roman" w:eastAsia="Times New Roman" w:hint="default"/>
          <w:spacing w:val="-3"/>
        </w:rPr>
        <w:t>%</w:t>
      </w:r>
      <w:r>
        <w:rPr>
          <w:spacing w:val="-3"/>
        </w:rPr>
        <w:t>，</w:t>
      </w:r>
      <w:r>
        <w:rPr>
          <w:spacing w:val="-44"/>
        </w:rPr>
        <w:t> </w:t>
      </w:r>
      <w:r>
        <w:rPr/>
        <w:t>其中最高成交价为 </w:t>
      </w:r>
      <w:r>
        <w:rPr>
          <w:rFonts w:ascii="Times New Roman" w:hAnsi="Times New Roman" w:cs="Times New Roman" w:eastAsia="Times New Roman" w:hint="default"/>
          <w:spacing w:val="-3"/>
        </w:rPr>
        <w:t>7.48</w:t>
      </w:r>
      <w:r>
        <w:rPr>
          <w:spacing w:val="-3"/>
        </w:rPr>
        <w:t>元</w:t>
      </w:r>
      <w:r>
        <w:rPr>
          <w:rFonts w:ascii="Times New Roman" w:hAnsi="Times New Roman" w:cs="Times New Roman" w:eastAsia="Times New Roman" w:hint="default"/>
          <w:spacing w:val="-3"/>
        </w:rPr>
        <w:t>/</w:t>
      </w:r>
      <w:r>
        <w:rPr>
          <w:spacing w:val="-3"/>
        </w:rPr>
        <w:t>股，最低成交价为 </w:t>
      </w:r>
      <w:r>
        <w:rPr>
          <w:rFonts w:ascii="Times New Roman" w:hAnsi="Times New Roman" w:cs="Times New Roman" w:eastAsia="Times New Roman" w:hint="default"/>
        </w:rPr>
        <w:t>4.76</w:t>
      </w:r>
      <w:r>
        <w:rPr/>
        <w:t>元</w:t>
      </w:r>
      <w:r>
        <w:rPr>
          <w:rFonts w:ascii="Times New Roman" w:hAnsi="Times New Roman" w:cs="Times New Roman" w:eastAsia="Times New Roman" w:hint="default"/>
        </w:rPr>
        <w:t>/</w:t>
      </w:r>
      <w:r>
        <w:rPr/>
        <w:t>股，合计支付的总金额为</w:t>
      </w:r>
      <w:r>
        <w:rPr>
          <w:rFonts w:ascii="宋体" w:hAnsi="宋体" w:cs="宋体" w:eastAsia="宋体" w:hint="default"/>
        </w:rPr>
        <w:t>40,090,905.14</w:t>
      </w:r>
      <w:r>
        <w:rPr>
          <w:rFonts w:ascii="宋体" w:hAnsi="宋体" w:cs="宋体" w:eastAsia="宋体" w:hint="default"/>
          <w:spacing w:val="5"/>
        </w:rPr>
        <w:t> </w:t>
      </w:r>
      <w:r>
        <w:rPr/>
        <w:t>元（不含交易费用）。</w:t>
      </w:r>
    </w:p>
    <w:p>
      <w:pPr>
        <w:spacing w:line="240" w:lineRule="auto" w:before="0"/>
        <w:rPr>
          <w:rFonts w:ascii="宋体" w:hAnsi="宋体" w:cs="宋体" w:eastAsia="宋体" w:hint="default"/>
          <w:sz w:val="18"/>
          <w:szCs w:val="18"/>
        </w:rPr>
      </w:pPr>
    </w:p>
    <w:p>
      <w:pPr>
        <w:pStyle w:val="BodyText"/>
        <w:spacing w:line="240" w:lineRule="auto" w:before="127"/>
        <w:ind w:right="0"/>
        <w:jc w:val="left"/>
      </w:pPr>
      <w:r>
        <w:rPr>
          <w:spacing w:val="-3"/>
        </w:rPr>
        <w:t>采用集中竞价方式减持回购股份的实施进展情况</w:t>
      </w:r>
    </w:p>
    <w:p>
      <w:pPr>
        <w:pStyle w:val="BodyText"/>
        <w:spacing w:line="357" w:lineRule="auto" w:before="119"/>
        <w:ind w:left="513" w:right="1120" w:hanging="360"/>
        <w:jc w:val="left"/>
      </w:pPr>
      <w:r>
        <w:rPr/>
        <w:t>□ </w:t>
      </w:r>
      <w:r>
        <w:rPr>
          <w:spacing w:val="-3"/>
        </w:rPr>
        <w:t>适用 </w:t>
      </w:r>
      <w:r>
        <w:rPr/>
        <w:t>√ 不适用</w:t>
      </w:r>
      <w:r>
        <w:rPr>
          <w:spacing w:val="-77"/>
        </w:rPr>
        <w:t> </w:t>
      </w:r>
      <w:r>
        <w:rPr>
          <w:spacing w:val="-77"/>
        </w:rPr>
      </w:r>
      <w:r>
        <w:rPr>
          <w:spacing w:val="-5"/>
          <w:w w:val="101"/>
        </w:rPr>
        <w:t>股份变动对最近一年和最近一期基本每股收益和稀释每股收益、归属于公司普通股股东的每股净资产等财务指标的影响</w:t>
      </w:r>
      <w:r>
        <w:rPr>
          <w:spacing w:val="-5"/>
        </w:rPr>
      </w:r>
    </w:p>
    <w:p>
      <w:pPr>
        <w:pStyle w:val="BodyText"/>
        <w:spacing w:line="357" w:lineRule="auto" w:before="26"/>
        <w:ind w:left="513" w:right="1317" w:hanging="360"/>
        <w:jc w:val="left"/>
      </w:pPr>
      <w:r>
        <w:rPr/>
        <w:t>√ </w:t>
      </w:r>
      <w:r>
        <w:rPr>
          <w:spacing w:val="-3"/>
        </w:rPr>
        <w:t>适用 </w:t>
      </w:r>
      <w:r>
        <w:rPr/>
        <w:t>□ 不适用</w:t>
      </w:r>
      <w:r>
        <w:rPr>
          <w:spacing w:val="-77"/>
        </w:rPr>
        <w:t> </w:t>
      </w:r>
      <w:r>
        <w:rPr>
          <w:spacing w:val="-77"/>
        </w:rPr>
      </w:r>
      <w:r>
        <w:rPr>
          <w:spacing w:val="-3"/>
        </w:rPr>
        <w:t>按股本</w:t>
      </w:r>
      <w:r>
        <w:rPr>
          <w:rFonts w:ascii="Times New Roman" w:hAnsi="Times New Roman" w:cs="Times New Roman" w:eastAsia="Times New Roman" w:hint="default"/>
          <w:spacing w:val="-3"/>
        </w:rPr>
        <w:t>620,037,084</w:t>
      </w:r>
      <w:r>
        <w:rPr>
          <w:spacing w:val="-3"/>
        </w:rPr>
        <w:t>股计算，公司</w:t>
      </w:r>
      <w:r>
        <w:rPr>
          <w:rFonts w:ascii="Times New Roman" w:hAnsi="Times New Roman" w:cs="Times New Roman" w:eastAsia="Times New Roman" w:hint="default"/>
          <w:spacing w:val="-3"/>
        </w:rPr>
        <w:t>2019</w:t>
      </w:r>
      <w:r>
        <w:rPr>
          <w:spacing w:val="-3"/>
        </w:rPr>
        <w:t>年度基本每股收益</w:t>
      </w:r>
      <w:r>
        <w:rPr>
          <w:rFonts w:ascii="Times New Roman" w:hAnsi="Times New Roman" w:cs="Times New Roman" w:eastAsia="Times New Roman" w:hint="default"/>
          <w:spacing w:val="-3"/>
        </w:rPr>
        <w:t>0.30</w:t>
      </w:r>
      <w:r>
        <w:rPr>
          <w:spacing w:val="-3"/>
        </w:rPr>
        <w:t>元</w:t>
      </w:r>
      <w:r>
        <w:rPr>
          <w:rFonts w:ascii="Times New Roman" w:hAnsi="Times New Roman" w:cs="Times New Roman" w:eastAsia="Times New Roman" w:hint="default"/>
          <w:spacing w:val="-3"/>
        </w:rPr>
        <w:t>/</w:t>
      </w:r>
      <w:r>
        <w:rPr>
          <w:spacing w:val="-3"/>
        </w:rPr>
        <w:t>股、稀释每股收益</w:t>
      </w:r>
      <w:r>
        <w:rPr>
          <w:rFonts w:ascii="Times New Roman" w:hAnsi="Times New Roman" w:cs="Times New Roman" w:eastAsia="Times New Roman" w:hint="default"/>
          <w:spacing w:val="-3"/>
        </w:rPr>
        <w:t>0.30</w:t>
      </w:r>
      <w:r>
        <w:rPr>
          <w:spacing w:val="-3"/>
        </w:rPr>
        <w:t>元</w:t>
      </w:r>
      <w:r>
        <w:rPr>
          <w:rFonts w:ascii="Times New Roman" w:hAnsi="Times New Roman" w:cs="Times New Roman" w:eastAsia="Times New Roman" w:hint="default"/>
          <w:spacing w:val="-3"/>
        </w:rPr>
        <w:t>/</w:t>
      </w:r>
      <w:r>
        <w:rPr>
          <w:spacing w:val="-3"/>
        </w:rPr>
        <w:t>股、归属于公司普通股股东的</w:t>
      </w:r>
    </w:p>
    <w:p>
      <w:pPr>
        <w:pStyle w:val="BodyText"/>
        <w:spacing w:line="214" w:lineRule="exact" w:before="0"/>
        <w:ind w:right="0"/>
        <w:jc w:val="left"/>
      </w:pPr>
      <w:r>
        <w:rPr>
          <w:spacing w:val="-3"/>
        </w:rPr>
        <w:t>每股净资产</w:t>
      </w:r>
      <w:r>
        <w:rPr>
          <w:rFonts w:ascii="Times New Roman" w:hAnsi="Times New Roman" w:cs="Times New Roman" w:eastAsia="Times New Roman" w:hint="default"/>
          <w:spacing w:val="-3"/>
        </w:rPr>
        <w:t>2.20</w:t>
      </w:r>
      <w:r>
        <w:rPr>
          <w:spacing w:val="-3"/>
        </w:rPr>
        <w:t>元。</w:t>
      </w:r>
      <w:r>
        <w:rPr/>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3"/>
          <w:szCs w:val="13"/>
        </w:rPr>
      </w:pPr>
    </w:p>
    <w:p>
      <w:pPr>
        <w:pStyle w:val="BodyText"/>
        <w:spacing w:line="240" w:lineRule="auto" w:before="0"/>
        <w:ind w:right="0"/>
        <w:jc w:val="left"/>
      </w:pPr>
      <w:r>
        <w:rPr>
          <w:spacing w:val="-3"/>
        </w:rPr>
        <w:t>公司认为必要或证券监管机构要求披露的其他内容</w:t>
      </w:r>
    </w:p>
    <w:p>
      <w:pPr>
        <w:pStyle w:val="BodyText"/>
        <w:spacing w:line="240" w:lineRule="auto" w:before="115"/>
        <w:ind w:right="0"/>
        <w:jc w:val="left"/>
      </w:pPr>
      <w:r>
        <w:rPr/>
        <w:t>□ </w:t>
      </w:r>
      <w:r>
        <w:rPr>
          <w:spacing w:val="-3"/>
        </w:rPr>
        <w:t>适用 </w:t>
      </w:r>
      <w:r>
        <w:rPr/>
        <w:t>√</w:t>
      </w:r>
      <w:r>
        <w:rPr>
          <w:spacing w:val="13"/>
        </w:rPr>
        <w:t> </w:t>
      </w:r>
      <w:r>
        <w:rPr/>
        <w:t>不适用</w:t>
      </w:r>
    </w:p>
    <w:p>
      <w:pPr>
        <w:spacing w:line="240" w:lineRule="auto" w:before="9"/>
        <w:rPr>
          <w:rFonts w:ascii="宋体" w:hAnsi="宋体" w:cs="宋体" w:eastAsia="宋体" w:hint="default"/>
          <w:sz w:val="26"/>
          <w:szCs w:val="26"/>
        </w:rPr>
      </w:pPr>
    </w:p>
    <w:p>
      <w:pPr>
        <w:pStyle w:val="Heading4"/>
        <w:spacing w:line="240" w:lineRule="auto"/>
        <w:ind w:right="0"/>
        <w:jc w:val="left"/>
        <w:rPr>
          <w:b w:val="0"/>
          <w:bCs w:val="0"/>
        </w:rPr>
      </w:pPr>
      <w:bookmarkStart w:name="2、限售股份变动情况" w:id="111"/>
      <w:bookmarkEnd w:id="111"/>
      <w:r>
        <w:rPr>
          <w:b w:val="0"/>
          <w:bCs w:val="0"/>
        </w:rPr>
      </w:r>
      <w:r>
        <w:rPr>
          <w:rFonts w:ascii="Times New Roman" w:hAnsi="Times New Roman" w:cs="Times New Roman" w:eastAsia="Times New Roman" w:hint="default"/>
        </w:rPr>
        <w:t>2</w:t>
      </w:r>
      <w:r>
        <w:rPr/>
        <w:t>、限售股份变动情况</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right="0"/>
        <w:jc w:val="left"/>
      </w:pPr>
      <w:r>
        <w:rPr/>
        <w:t>√ </w:t>
      </w:r>
      <w:r>
        <w:rPr>
          <w:spacing w:val="-3"/>
        </w:rPr>
        <w:t>适用 </w:t>
      </w:r>
      <w:r>
        <w:rPr/>
        <w:t>□</w:t>
      </w:r>
      <w:r>
        <w:rPr>
          <w:spacing w:val="13"/>
        </w:rPr>
        <w:t> </w:t>
      </w:r>
      <w:r>
        <w:rPr/>
        <w:t>不适用</w:t>
      </w:r>
    </w:p>
    <w:p>
      <w:pPr>
        <w:pStyle w:val="BodyText"/>
        <w:spacing w:line="240" w:lineRule="auto" w:before="115"/>
        <w:ind w:left="0" w:right="1122"/>
        <w:jc w:val="right"/>
      </w:pPr>
      <w:r>
        <w:rPr>
          <w:spacing w:val="-2"/>
        </w:rPr>
        <w:t>单位：股</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369"/>
        <w:gridCol w:w="1368"/>
        <w:gridCol w:w="1369"/>
        <w:gridCol w:w="1368"/>
        <w:gridCol w:w="1364"/>
        <w:gridCol w:w="1369"/>
        <w:gridCol w:w="1369"/>
      </w:tblGrid>
      <w:tr>
        <w:trPr>
          <w:trHeight w:val="716"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321"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32"/>
              <w:jc w:val="right"/>
              <w:rPr>
                <w:rFonts w:ascii="宋体" w:hAnsi="宋体" w:cs="宋体" w:eastAsia="宋体" w:hint="default"/>
                <w:sz w:val="18"/>
                <w:szCs w:val="18"/>
              </w:rPr>
            </w:pPr>
            <w:r>
              <w:rPr>
                <w:rFonts w:ascii="宋体" w:hAnsi="宋体" w:cs="宋体" w:eastAsia="宋体" w:hint="default"/>
                <w:spacing w:val="-2"/>
                <w:sz w:val="18"/>
                <w:szCs w:val="18"/>
              </w:rPr>
              <w:t>期初限售股数</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4"/>
              <w:ind w:left="499" w:right="132" w:hanging="360"/>
              <w:jc w:val="left"/>
              <w:rPr>
                <w:rFonts w:ascii="宋体" w:hAnsi="宋体" w:cs="宋体" w:eastAsia="宋体" w:hint="default"/>
                <w:sz w:val="18"/>
                <w:szCs w:val="18"/>
              </w:rPr>
            </w:pPr>
            <w:r>
              <w:rPr>
                <w:rFonts w:ascii="宋体" w:hAnsi="宋体" w:cs="宋体" w:eastAsia="宋体" w:hint="default"/>
                <w:spacing w:val="-2"/>
                <w:sz w:val="18"/>
                <w:szCs w:val="18"/>
              </w:rPr>
              <w:t>本期增加限售</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股数</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4"/>
              <w:ind w:left="499" w:right="132" w:hanging="361"/>
              <w:jc w:val="left"/>
              <w:rPr>
                <w:rFonts w:ascii="宋体" w:hAnsi="宋体" w:cs="宋体" w:eastAsia="宋体" w:hint="default"/>
                <w:sz w:val="18"/>
                <w:szCs w:val="18"/>
              </w:rPr>
            </w:pPr>
            <w:r>
              <w:rPr>
                <w:rFonts w:ascii="宋体" w:hAnsi="宋体" w:cs="宋体" w:eastAsia="宋体" w:hint="default"/>
                <w:spacing w:val="-2"/>
                <w:sz w:val="18"/>
                <w:szCs w:val="18"/>
              </w:rPr>
              <w:t>本期解除限售</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股数</w:t>
            </w:r>
          </w:p>
        </w:tc>
        <w:tc>
          <w:tcPr>
            <w:tcW w:w="13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32"/>
              <w:jc w:val="right"/>
              <w:rPr>
                <w:rFonts w:ascii="宋体" w:hAnsi="宋体" w:cs="宋体" w:eastAsia="宋体" w:hint="default"/>
                <w:sz w:val="18"/>
                <w:szCs w:val="18"/>
              </w:rPr>
            </w:pPr>
            <w:r>
              <w:rPr>
                <w:rFonts w:ascii="宋体" w:hAnsi="宋体" w:cs="宋体" w:eastAsia="宋体" w:hint="default"/>
                <w:spacing w:val="-2"/>
                <w:sz w:val="18"/>
                <w:szCs w:val="18"/>
              </w:rPr>
              <w:t>期末限售股数</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 w:right="0"/>
              <w:jc w:val="center"/>
              <w:rPr>
                <w:rFonts w:ascii="宋体" w:hAnsi="宋体" w:cs="宋体" w:eastAsia="宋体" w:hint="default"/>
                <w:sz w:val="18"/>
                <w:szCs w:val="18"/>
              </w:rPr>
            </w:pPr>
            <w:r>
              <w:rPr>
                <w:rFonts w:ascii="宋体" w:hAnsi="宋体" w:cs="宋体" w:eastAsia="宋体" w:hint="default"/>
                <w:sz w:val="18"/>
                <w:szCs w:val="18"/>
              </w:rPr>
              <w:t>限售原因</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39" w:right="0"/>
              <w:jc w:val="left"/>
              <w:rPr>
                <w:rFonts w:ascii="宋体" w:hAnsi="宋体" w:cs="宋体" w:eastAsia="宋体" w:hint="default"/>
                <w:sz w:val="18"/>
                <w:szCs w:val="18"/>
              </w:rPr>
            </w:pPr>
            <w:r>
              <w:rPr>
                <w:rFonts w:ascii="宋体" w:hAnsi="宋体" w:cs="宋体" w:eastAsia="宋体" w:hint="default"/>
                <w:sz w:val="18"/>
                <w:szCs w:val="18"/>
              </w:rPr>
              <w:t>解除限售日期</w:t>
            </w: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杨四化</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1,513,305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672" w:right="0"/>
              <w:jc w:val="left"/>
              <w:rPr>
                <w:rFonts w:ascii="Times New Roman" w:hAnsi="Times New Roman" w:cs="Times New Roman" w:eastAsia="Times New Roman" w:hint="default"/>
                <w:sz w:val="18"/>
                <w:szCs w:val="18"/>
              </w:rPr>
            </w:pPr>
            <w:r>
              <w:rPr>
                <w:rFonts w:ascii="Times New Roman"/>
                <w:sz w:val="18"/>
              </w:rPr>
              <w:t>135,000</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1,378,305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60"/>
              <w:jc w:val="center"/>
              <w:rPr>
                <w:rFonts w:ascii="宋体" w:hAnsi="宋体" w:cs="宋体" w:eastAsia="宋体" w:hint="default"/>
                <w:sz w:val="18"/>
                <w:szCs w:val="18"/>
              </w:rPr>
            </w:pPr>
            <w:r>
              <w:rPr>
                <w:rFonts w:ascii="宋体" w:hAnsi="宋体" w:cs="宋体" w:eastAsia="宋体" w:hint="default"/>
                <w:sz w:val="18"/>
                <w:szCs w:val="18"/>
              </w:rPr>
              <w:t>担任董监高锁</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left="105" w:right="0"/>
              <w:jc w:val="left"/>
              <w:rPr>
                <w:rFonts w:ascii="宋体" w:hAnsi="宋体" w:cs="宋体" w:eastAsia="宋体" w:hint="default"/>
                <w:sz w:val="18"/>
                <w:szCs w:val="18"/>
              </w:rPr>
            </w:pPr>
            <w:r>
              <w:rPr>
                <w:rFonts w:ascii="宋体" w:hAnsi="宋体" w:cs="宋体" w:eastAsia="宋体" w:hint="default"/>
                <w:sz w:val="18"/>
                <w:szCs w:val="18"/>
              </w:rPr>
              <w:t>任职期间每年</w:t>
            </w:r>
          </w:p>
        </w:tc>
      </w:tr>
    </w:tbl>
    <w:p>
      <w:pPr>
        <w:spacing w:after="0" w:line="240" w:lineRule="auto"/>
        <w:jc w:val="left"/>
        <w:rPr>
          <w:rFonts w:ascii="宋体" w:hAnsi="宋体" w:cs="宋体" w:eastAsia="宋体" w:hint="default"/>
          <w:sz w:val="18"/>
          <w:szCs w:val="18"/>
        </w:rPr>
        <w:sectPr>
          <w:pgSz w:w="11910" w:h="16840"/>
          <w:pgMar w:header="784" w:footer="1022" w:top="1100" w:bottom="1220" w:left="980" w:right="0"/>
        </w:sectPr>
      </w:pPr>
    </w:p>
    <w:p>
      <w:pPr>
        <w:spacing w:line="240" w:lineRule="auto" w:before="1"/>
        <w:rPr>
          <w:rFonts w:ascii="Times New Roman" w:hAnsi="Times New Roman" w:cs="Times New Roman" w:eastAsia="Times New Roman" w:hint="default"/>
          <w:sz w:val="29"/>
          <w:szCs w:val="29"/>
        </w:rPr>
      </w:pPr>
    </w:p>
    <w:tbl>
      <w:tblPr>
        <w:tblW w:w="0" w:type="auto"/>
        <w:jc w:val="left"/>
        <w:tblInd w:w="148" w:type="dxa"/>
        <w:tblLayout w:type="fixed"/>
        <w:tblCellMar>
          <w:top w:w="0" w:type="dxa"/>
          <w:left w:w="0" w:type="dxa"/>
          <w:bottom w:w="0" w:type="dxa"/>
          <w:right w:w="0" w:type="dxa"/>
        </w:tblCellMar>
        <w:tblLook w:val="01E0"/>
      </w:tblPr>
      <w:tblGrid>
        <w:gridCol w:w="1369"/>
        <w:gridCol w:w="1368"/>
        <w:gridCol w:w="1369"/>
        <w:gridCol w:w="1368"/>
        <w:gridCol w:w="1364"/>
        <w:gridCol w:w="1369"/>
        <w:gridCol w:w="1369"/>
      </w:tblGrid>
      <w:tr>
        <w:trPr>
          <w:trHeight w:val="2545" w:hRule="exact"/>
        </w:trPr>
        <w:tc>
          <w:tcPr>
            <w:tcW w:w="1369"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10"/>
              <w:ind w:left="105" w:right="127"/>
              <w:jc w:val="both"/>
              <w:rPr>
                <w:rFonts w:ascii="宋体" w:hAnsi="宋体" w:cs="宋体" w:eastAsia="宋体" w:hint="default"/>
                <w:sz w:val="18"/>
                <w:szCs w:val="18"/>
              </w:rPr>
            </w:pPr>
            <w:r>
              <w:rPr>
                <w:rFonts w:ascii="宋体" w:hAnsi="宋体" w:cs="宋体" w:eastAsia="宋体" w:hint="default"/>
                <w:sz w:val="18"/>
                <w:szCs w:val="18"/>
              </w:rPr>
              <w:t>定、</w:t>
            </w:r>
            <w:r>
              <w:rPr>
                <w:rFonts w:ascii="Times New Roman" w:hAnsi="Times New Roman" w:cs="Times New Roman" w:eastAsia="Times New Roman" w:hint="default"/>
                <w:sz w:val="18"/>
                <w:szCs w:val="18"/>
              </w:rPr>
              <w:t>2016 </w:t>
            </w:r>
            <w:r>
              <w:rPr>
                <w:rFonts w:ascii="宋体" w:hAnsi="宋体" w:cs="宋体" w:eastAsia="宋体" w:hint="default"/>
                <w:spacing w:val="-5"/>
                <w:sz w:val="18"/>
                <w:szCs w:val="18"/>
              </w:rPr>
              <w:t>年限</w:t>
            </w:r>
            <w:r>
              <w:rPr>
                <w:rFonts w:ascii="宋体" w:hAnsi="宋体" w:cs="宋体" w:eastAsia="宋体" w:hint="default"/>
                <w:spacing w:val="-83"/>
                <w:sz w:val="18"/>
                <w:szCs w:val="18"/>
              </w:rPr>
              <w:t> </w:t>
            </w:r>
            <w:r>
              <w:rPr>
                <w:rFonts w:ascii="宋体" w:hAnsi="宋体" w:cs="宋体" w:eastAsia="宋体" w:hint="default"/>
                <w:sz w:val="18"/>
                <w:szCs w:val="18"/>
              </w:rPr>
              <w:t>制性股票激励</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计划限售股</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10"/>
              <w:ind w:left="105" w:right="95"/>
              <w:jc w:val="both"/>
              <w:rPr>
                <w:rFonts w:ascii="宋体" w:hAnsi="宋体" w:cs="宋体" w:eastAsia="宋体" w:hint="default"/>
                <w:sz w:val="18"/>
                <w:szCs w:val="18"/>
              </w:rPr>
            </w:pPr>
            <w:r>
              <w:rPr>
                <w:rFonts w:ascii="宋体" w:hAnsi="宋体" w:cs="宋体" w:eastAsia="宋体" w:hint="default"/>
                <w:sz w:val="18"/>
                <w:szCs w:val="18"/>
              </w:rPr>
              <w:t>按其上年末持</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股数的</w:t>
            </w:r>
            <w:r>
              <w:rPr>
                <w:rFonts w:ascii="宋体" w:hAnsi="宋体" w:cs="宋体" w:eastAsia="宋体" w:hint="default"/>
                <w:spacing w:val="-41"/>
                <w:sz w:val="18"/>
                <w:szCs w:val="18"/>
              </w:rPr>
              <w:t> </w:t>
            </w:r>
            <w:r>
              <w:rPr>
                <w:rFonts w:ascii="Times New Roman" w:hAnsi="Times New Roman" w:cs="Times New Roman" w:eastAsia="Times New Roman" w:hint="default"/>
                <w:spacing w:val="-3"/>
                <w:sz w:val="18"/>
                <w:szCs w:val="18"/>
              </w:rPr>
              <w:t>25%</w:t>
            </w:r>
            <w:r>
              <w:rPr>
                <w:rFonts w:ascii="宋体" w:hAnsi="宋体" w:cs="宋体" w:eastAsia="宋体" w:hint="default"/>
                <w:spacing w:val="-3"/>
                <w:sz w:val="18"/>
                <w:szCs w:val="18"/>
              </w:rPr>
              <w:t>解</w:t>
            </w:r>
            <w:r>
              <w:rPr>
                <w:rFonts w:ascii="宋体" w:hAnsi="宋体" w:cs="宋体" w:eastAsia="宋体" w:hint="default"/>
                <w:spacing w:val="-80"/>
                <w:sz w:val="18"/>
                <w:szCs w:val="18"/>
              </w:rPr>
              <w:t> </w:t>
            </w:r>
            <w:r>
              <w:rPr>
                <w:rFonts w:ascii="宋体" w:hAnsi="宋体" w:cs="宋体" w:eastAsia="宋体" w:hint="default"/>
                <w:sz w:val="18"/>
                <w:szCs w:val="18"/>
              </w:rPr>
              <w:t>除限售、</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42"/>
                <w:sz w:val="18"/>
                <w:szCs w:val="18"/>
              </w:rPr>
              <w:t> </w:t>
            </w:r>
            <w:r>
              <w:rPr>
                <w:rFonts w:ascii="Times New Roman" w:hAnsi="Times New Roman" w:cs="Times New Roman" w:eastAsia="Times New Roman" w:hint="default"/>
                <w:spacing w:val="-42"/>
                <w:sz w:val="18"/>
                <w:szCs w:val="18"/>
              </w:rPr>
            </w:r>
            <w:r>
              <w:rPr>
                <w:rFonts w:ascii="宋体" w:hAnsi="宋体" w:cs="宋体" w:eastAsia="宋体" w:hint="default"/>
                <w:sz w:val="18"/>
                <w:szCs w:val="18"/>
              </w:rPr>
              <w:t>年限制性股票</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第三期限制性</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股票解锁日期</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为</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0" w:lineRule="auto" w:before="8"/>
              <w:ind w:left="105"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r>
      <w:tr>
        <w:trPr>
          <w:trHeight w:val="321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9"/>
                <w:szCs w:val="19"/>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沈永健</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16,800,000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4,937,498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4,599,999</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17,137,499</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18"/>
                <w:szCs w:val="18"/>
              </w:rPr>
            </w:pPr>
          </w:p>
          <w:p>
            <w:pPr>
              <w:pStyle w:val="TableParagraph"/>
              <w:spacing w:line="314" w:lineRule="auto"/>
              <w:ind w:left="105" w:right="122"/>
              <w:jc w:val="both"/>
              <w:rPr>
                <w:rFonts w:ascii="宋体" w:hAnsi="宋体" w:cs="宋体" w:eastAsia="宋体" w:hint="default"/>
                <w:sz w:val="18"/>
                <w:szCs w:val="18"/>
              </w:rPr>
            </w:pPr>
            <w:r>
              <w:rPr>
                <w:rFonts w:ascii="宋体" w:hAnsi="宋体" w:cs="宋体" w:eastAsia="宋体" w:hint="default"/>
                <w:sz w:val="18"/>
                <w:szCs w:val="18"/>
              </w:rPr>
              <w:t>担任董监高锁</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定、首发后限</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售股、</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88"/>
                <w:sz w:val="18"/>
                <w:szCs w:val="18"/>
              </w:rPr>
              <w:t> </w:t>
            </w:r>
            <w:r>
              <w:rPr>
                <w:rFonts w:ascii="宋体" w:hAnsi="宋体" w:cs="宋体" w:eastAsia="宋体" w:hint="default"/>
                <w:sz w:val="18"/>
                <w:szCs w:val="18"/>
              </w:rPr>
              <w:t>限制性股票激</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励计划限售股</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4"/>
              <w:ind w:left="105" w:right="2"/>
              <w:jc w:val="left"/>
              <w:rPr>
                <w:rFonts w:ascii="宋体" w:hAnsi="宋体" w:cs="宋体" w:eastAsia="宋体" w:hint="default"/>
                <w:sz w:val="18"/>
                <w:szCs w:val="18"/>
              </w:rPr>
            </w:pPr>
            <w:r>
              <w:rPr>
                <w:rFonts w:ascii="宋体" w:hAnsi="宋体" w:cs="宋体" w:eastAsia="宋体" w:hint="default"/>
                <w:sz w:val="18"/>
                <w:szCs w:val="18"/>
              </w:rPr>
              <w:t>任职期间每年</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按其上年末持</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股数的</w:t>
            </w:r>
            <w:r>
              <w:rPr>
                <w:rFonts w:ascii="宋体" w:hAnsi="宋体" w:cs="宋体" w:eastAsia="宋体" w:hint="default"/>
                <w:spacing w:val="-44"/>
                <w:sz w:val="18"/>
                <w:szCs w:val="18"/>
              </w:rPr>
              <w:t> </w:t>
            </w:r>
            <w:r>
              <w:rPr>
                <w:rFonts w:ascii="Times New Roman" w:hAnsi="Times New Roman" w:cs="Times New Roman" w:eastAsia="Times New Roman" w:hint="default"/>
                <w:spacing w:val="-3"/>
                <w:sz w:val="18"/>
                <w:szCs w:val="18"/>
              </w:rPr>
              <w:t>25%</w:t>
            </w:r>
            <w:r>
              <w:rPr>
                <w:rFonts w:ascii="宋体" w:hAnsi="宋体" w:cs="宋体" w:eastAsia="宋体" w:hint="default"/>
                <w:spacing w:val="-3"/>
                <w:sz w:val="18"/>
                <w:szCs w:val="18"/>
              </w:rPr>
              <w:t>解</w:t>
            </w:r>
            <w:r>
              <w:rPr>
                <w:rFonts w:ascii="宋体" w:hAnsi="宋体" w:cs="宋体" w:eastAsia="宋体" w:hint="default"/>
                <w:spacing w:val="-77"/>
                <w:sz w:val="18"/>
                <w:szCs w:val="18"/>
              </w:rPr>
              <w:t> </w:t>
            </w:r>
            <w:r>
              <w:rPr>
                <w:rFonts w:ascii="宋体" w:hAnsi="宋体" w:cs="宋体" w:eastAsia="宋体" w:hint="default"/>
                <w:sz w:val="18"/>
                <w:szCs w:val="18"/>
              </w:rPr>
              <w:t>除限售、</w:t>
            </w: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42"/>
                <w:sz w:val="18"/>
                <w:szCs w:val="18"/>
              </w:rPr>
              <w:t> </w:t>
            </w:r>
            <w:r>
              <w:rPr>
                <w:rFonts w:ascii="Times New Roman" w:hAnsi="Times New Roman" w:cs="Times New Roman" w:eastAsia="Times New Roman" w:hint="default"/>
                <w:spacing w:val="-42"/>
                <w:sz w:val="18"/>
                <w:szCs w:val="18"/>
              </w:rPr>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r>
              <w:rPr>
                <w:rFonts w:ascii="宋体" w:hAnsi="宋体" w:cs="宋体" w:eastAsia="宋体" w:hint="default"/>
                <w:w w:val="101"/>
                <w:sz w:val="18"/>
                <w:szCs w:val="18"/>
              </w:rPr>
              <w:t> </w:t>
            </w:r>
            <w:r>
              <w:rPr>
                <w:rFonts w:ascii="宋体" w:hAnsi="宋体" w:cs="宋体" w:eastAsia="宋体" w:hint="default"/>
                <w:sz w:val="18"/>
                <w:szCs w:val="18"/>
              </w:rPr>
              <w:t>自授予日起满</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个月后分</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40"/>
                <w:sz w:val="18"/>
                <w:szCs w:val="18"/>
              </w:rPr>
              <w:t> </w:t>
            </w:r>
            <w:r>
              <w:rPr>
                <w:rFonts w:ascii="宋体" w:hAnsi="宋体" w:cs="宋体" w:eastAsia="宋体" w:hint="default"/>
                <w:sz w:val="18"/>
                <w:szCs w:val="18"/>
              </w:rPr>
              <w:t>期根据每期的</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解锁条件达成</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情况解锁</w:t>
            </w:r>
          </w:p>
        </w:tc>
      </w:tr>
      <w:tr>
        <w:trPr>
          <w:trHeight w:val="165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2"/>
                <w:szCs w:val="22"/>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沈毅</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5,007,325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1,939,109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6,946,434</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3"/>
              <w:ind w:left="105" w:right="127"/>
              <w:jc w:val="both"/>
              <w:rPr>
                <w:rFonts w:ascii="宋体" w:hAnsi="宋体" w:cs="宋体" w:eastAsia="宋体" w:hint="default"/>
                <w:sz w:val="18"/>
                <w:szCs w:val="18"/>
              </w:rPr>
            </w:pPr>
            <w:r>
              <w:rPr>
                <w:rFonts w:ascii="宋体" w:hAnsi="宋体" w:cs="宋体" w:eastAsia="宋体" w:hint="default"/>
                <w:sz w:val="18"/>
                <w:szCs w:val="18"/>
              </w:rPr>
              <w:t>担任董监高锁</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定、</w:t>
            </w:r>
            <w:r>
              <w:rPr>
                <w:rFonts w:ascii="Times New Roman" w:hAnsi="Times New Roman" w:cs="Times New Roman" w:eastAsia="Times New Roman" w:hint="default"/>
                <w:sz w:val="18"/>
                <w:szCs w:val="18"/>
              </w:rPr>
              <w:t>2016 </w:t>
            </w:r>
            <w:r>
              <w:rPr>
                <w:rFonts w:ascii="宋体" w:hAnsi="宋体" w:cs="宋体" w:eastAsia="宋体" w:hint="default"/>
                <w:spacing w:val="-5"/>
                <w:sz w:val="18"/>
                <w:szCs w:val="18"/>
              </w:rPr>
              <w:t>年限</w:t>
            </w:r>
            <w:r>
              <w:rPr>
                <w:rFonts w:ascii="宋体" w:hAnsi="宋体" w:cs="宋体" w:eastAsia="宋体" w:hint="default"/>
                <w:spacing w:val="-83"/>
                <w:sz w:val="18"/>
                <w:szCs w:val="18"/>
              </w:rPr>
              <w:t> </w:t>
            </w:r>
            <w:r>
              <w:rPr>
                <w:rFonts w:ascii="宋体" w:hAnsi="宋体" w:cs="宋体" w:eastAsia="宋体" w:hint="default"/>
                <w:sz w:val="18"/>
                <w:szCs w:val="18"/>
              </w:rPr>
              <w:t>制性股票激励</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计划限售股、</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离任</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5" w:right="0"/>
              <w:jc w:val="left"/>
              <w:rPr>
                <w:rFonts w:ascii="宋体" w:hAnsi="宋体" w:cs="宋体" w:eastAsia="宋体" w:hint="default"/>
                <w:sz w:val="18"/>
                <w:szCs w:val="18"/>
              </w:rPr>
            </w:pPr>
            <w:r>
              <w:rPr>
                <w:rFonts w:ascii="宋体" w:hAnsi="宋体" w:cs="宋体" w:eastAsia="宋体" w:hint="default"/>
                <w:sz w:val="18"/>
                <w:szCs w:val="18"/>
              </w:rPr>
              <w:t>于</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304" w:lineRule="auto" w:before="63"/>
              <w:ind w:left="105" w:right="30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日全部解</w:t>
            </w:r>
            <w:r>
              <w:rPr>
                <w:rFonts w:ascii="宋体" w:hAnsi="宋体" w:cs="宋体" w:eastAsia="宋体" w:hint="default"/>
                <w:w w:val="101"/>
                <w:sz w:val="18"/>
                <w:szCs w:val="18"/>
              </w:rPr>
              <w:t> </w:t>
            </w:r>
            <w:r>
              <w:rPr>
                <w:rFonts w:ascii="宋体" w:hAnsi="宋体" w:cs="宋体" w:eastAsia="宋体" w:hint="default"/>
                <w:sz w:val="18"/>
                <w:szCs w:val="18"/>
              </w:rPr>
              <w:t>锁。</w:t>
            </w:r>
          </w:p>
        </w:tc>
      </w:tr>
      <w:tr>
        <w:trPr>
          <w:trHeight w:val="1028"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5" w:right="0"/>
              <w:jc w:val="left"/>
              <w:rPr>
                <w:rFonts w:ascii="宋体" w:hAnsi="宋体" w:cs="宋体" w:eastAsia="宋体" w:hint="default"/>
                <w:sz w:val="18"/>
                <w:szCs w:val="18"/>
              </w:rPr>
            </w:pPr>
            <w:r>
              <w:rPr>
                <w:rFonts w:ascii="宋体" w:hAnsi="宋体" w:cs="宋体" w:eastAsia="宋体" w:hint="default"/>
                <w:sz w:val="18"/>
                <w:szCs w:val="18"/>
              </w:rPr>
              <w:t>黄斌</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7"/>
                <w:szCs w:val="17"/>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21,678,857</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7"/>
                <w:szCs w:val="17"/>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7,226,287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7"/>
                <w:szCs w:val="17"/>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28,905,144</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321" w:lineRule="auto"/>
              <w:ind w:left="105" w:right="166"/>
              <w:jc w:val="left"/>
              <w:rPr>
                <w:rFonts w:ascii="宋体" w:hAnsi="宋体" w:cs="宋体" w:eastAsia="宋体" w:hint="default"/>
                <w:sz w:val="18"/>
                <w:szCs w:val="18"/>
              </w:rPr>
            </w:pPr>
            <w:r>
              <w:rPr>
                <w:rFonts w:ascii="宋体" w:hAnsi="宋体" w:cs="宋体" w:eastAsia="宋体" w:hint="default"/>
                <w:spacing w:val="-2"/>
                <w:sz w:val="18"/>
                <w:szCs w:val="18"/>
              </w:rPr>
              <w:t>担任董监高锁</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定、离任</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于</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304" w:lineRule="auto" w:before="58"/>
              <w:ind w:left="105" w:right="30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日全部解</w:t>
            </w:r>
            <w:r>
              <w:rPr>
                <w:rFonts w:ascii="宋体" w:hAnsi="宋体" w:cs="宋体" w:eastAsia="宋体" w:hint="default"/>
                <w:w w:val="101"/>
                <w:sz w:val="18"/>
                <w:szCs w:val="18"/>
              </w:rPr>
              <w:t> </w:t>
            </w:r>
            <w:r>
              <w:rPr>
                <w:rFonts w:ascii="宋体" w:hAnsi="宋体" w:cs="宋体" w:eastAsia="宋体" w:hint="default"/>
                <w:sz w:val="18"/>
                <w:szCs w:val="18"/>
              </w:rPr>
              <w:t>锁。</w:t>
            </w:r>
          </w:p>
        </w:tc>
      </w:tr>
      <w:tr>
        <w:trPr>
          <w:trHeight w:val="1335"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105" w:right="0"/>
              <w:jc w:val="left"/>
              <w:rPr>
                <w:rFonts w:ascii="宋体" w:hAnsi="宋体" w:cs="宋体" w:eastAsia="宋体" w:hint="default"/>
                <w:sz w:val="18"/>
                <w:szCs w:val="18"/>
              </w:rPr>
            </w:pPr>
            <w:r>
              <w:rPr>
                <w:rFonts w:ascii="宋体" w:hAnsi="宋体" w:cs="宋体" w:eastAsia="宋体" w:hint="default"/>
                <w:sz w:val="18"/>
                <w:szCs w:val="18"/>
              </w:rPr>
              <w:t>黄永忠</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94"/>
              <w:jc w:val="right"/>
              <w:rPr>
                <w:rFonts w:ascii="Times New Roman" w:hAnsi="Times New Roman" w:cs="Times New Roman" w:eastAsia="Times New Roman" w:hint="default"/>
                <w:sz w:val="18"/>
                <w:szCs w:val="18"/>
              </w:rPr>
            </w:pPr>
            <w:r>
              <w:rPr>
                <w:rFonts w:ascii="Times New Roman"/>
                <w:spacing w:val="-1"/>
                <w:sz w:val="18"/>
              </w:rPr>
              <w:t>90,000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93"/>
              <w:jc w:val="right"/>
              <w:rPr>
                <w:rFonts w:ascii="Times New Roman" w:hAnsi="Times New Roman" w:cs="Times New Roman" w:eastAsia="Times New Roman" w:hint="default"/>
                <w:sz w:val="18"/>
                <w:szCs w:val="18"/>
              </w:rPr>
            </w:pPr>
            <w:r>
              <w:rPr>
                <w:rFonts w:ascii="Times New Roman"/>
                <w:spacing w:val="-1"/>
                <w:sz w:val="18"/>
              </w:rPr>
              <w:t>219,455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94"/>
              <w:jc w:val="right"/>
              <w:rPr>
                <w:rFonts w:ascii="Times New Roman" w:hAnsi="Times New Roman" w:cs="Times New Roman" w:eastAsia="Times New Roman" w:hint="default"/>
                <w:sz w:val="18"/>
                <w:szCs w:val="18"/>
              </w:rPr>
            </w:pPr>
            <w:r>
              <w:rPr>
                <w:rFonts w:ascii="Times New Roman"/>
                <w:spacing w:val="-1"/>
                <w:sz w:val="18"/>
              </w:rPr>
              <w:t>90,000</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93"/>
              <w:jc w:val="right"/>
              <w:rPr>
                <w:rFonts w:ascii="Times New Roman" w:hAnsi="Times New Roman" w:cs="Times New Roman" w:eastAsia="Times New Roman" w:hint="default"/>
                <w:sz w:val="18"/>
                <w:szCs w:val="18"/>
              </w:rPr>
            </w:pPr>
            <w:r>
              <w:rPr>
                <w:rFonts w:ascii="Times New Roman"/>
                <w:spacing w:val="-1"/>
                <w:sz w:val="18"/>
              </w:rPr>
              <w:t>219,455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3"/>
              <w:ind w:left="105" w:right="127"/>
              <w:jc w:val="both"/>
              <w:rPr>
                <w:rFonts w:ascii="宋体" w:hAnsi="宋体" w:cs="宋体" w:eastAsia="宋体" w:hint="default"/>
                <w:sz w:val="18"/>
                <w:szCs w:val="18"/>
              </w:rPr>
            </w:pPr>
            <w:r>
              <w:rPr>
                <w:rFonts w:ascii="宋体" w:hAnsi="宋体" w:cs="宋体" w:eastAsia="宋体" w:hint="default"/>
                <w:sz w:val="18"/>
                <w:szCs w:val="18"/>
              </w:rPr>
              <w:t>担任董监高锁</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定、</w:t>
            </w:r>
            <w:r>
              <w:rPr>
                <w:rFonts w:ascii="Times New Roman" w:hAnsi="Times New Roman" w:cs="Times New Roman" w:eastAsia="Times New Roman" w:hint="default"/>
                <w:sz w:val="18"/>
                <w:szCs w:val="18"/>
              </w:rPr>
              <w:t>2016 </w:t>
            </w:r>
            <w:r>
              <w:rPr>
                <w:rFonts w:ascii="宋体" w:hAnsi="宋体" w:cs="宋体" w:eastAsia="宋体" w:hint="default"/>
                <w:spacing w:val="-5"/>
                <w:sz w:val="18"/>
                <w:szCs w:val="18"/>
              </w:rPr>
              <w:t>年限</w:t>
            </w:r>
            <w:r>
              <w:rPr>
                <w:rFonts w:ascii="宋体" w:hAnsi="宋体" w:cs="宋体" w:eastAsia="宋体" w:hint="default"/>
                <w:spacing w:val="-83"/>
                <w:sz w:val="18"/>
                <w:szCs w:val="18"/>
              </w:rPr>
              <w:t> </w:t>
            </w:r>
            <w:r>
              <w:rPr>
                <w:rFonts w:ascii="宋体" w:hAnsi="宋体" w:cs="宋体" w:eastAsia="宋体" w:hint="default"/>
                <w:sz w:val="18"/>
                <w:szCs w:val="18"/>
              </w:rPr>
              <w:t>制性股票激励</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计划限售股</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于</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12</w:t>
            </w:r>
          </w:p>
          <w:p>
            <w:pPr>
              <w:pStyle w:val="TableParagraph"/>
              <w:spacing w:line="304" w:lineRule="auto" w:before="63"/>
              <w:ind w:left="105" w:right="93"/>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日回购注</w:t>
            </w:r>
            <w:r>
              <w:rPr>
                <w:rFonts w:ascii="宋体" w:hAnsi="宋体" w:cs="宋体" w:eastAsia="宋体" w:hint="default"/>
                <w:w w:val="101"/>
                <w:sz w:val="18"/>
                <w:szCs w:val="18"/>
              </w:rPr>
              <w:t> </w:t>
            </w:r>
            <w:r>
              <w:rPr>
                <w:rFonts w:ascii="宋体" w:hAnsi="宋体" w:cs="宋体" w:eastAsia="宋体" w:hint="default"/>
                <w:sz w:val="18"/>
                <w:szCs w:val="18"/>
              </w:rPr>
              <w:t>销。</w:t>
            </w:r>
          </w:p>
        </w:tc>
      </w:tr>
      <w:tr>
        <w:trPr>
          <w:trHeight w:val="2276"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2"/>
              <w:ind w:left="105" w:right="0"/>
              <w:jc w:val="left"/>
              <w:rPr>
                <w:rFonts w:ascii="宋体" w:hAnsi="宋体" w:cs="宋体" w:eastAsia="宋体" w:hint="default"/>
                <w:sz w:val="18"/>
                <w:szCs w:val="18"/>
              </w:rPr>
            </w:pPr>
            <w:r>
              <w:rPr>
                <w:rFonts w:ascii="宋体" w:hAnsi="宋体" w:cs="宋体" w:eastAsia="宋体" w:hint="default"/>
                <w:sz w:val="18"/>
                <w:szCs w:val="18"/>
              </w:rPr>
              <w:t>周维君</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5,240,000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1,550,000</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3,690,000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2" w:lineRule="auto" w:before="110"/>
              <w:ind w:left="105" w:right="127"/>
              <w:jc w:val="left"/>
              <w:rPr>
                <w:rFonts w:ascii="宋体" w:hAnsi="宋体" w:cs="宋体" w:eastAsia="宋体" w:hint="default"/>
                <w:sz w:val="18"/>
                <w:szCs w:val="18"/>
              </w:rPr>
            </w:pPr>
            <w:r>
              <w:rPr>
                <w:rFonts w:ascii="宋体" w:hAnsi="宋体" w:cs="宋体" w:eastAsia="宋体" w:hint="default"/>
                <w:sz w:val="18"/>
                <w:szCs w:val="18"/>
              </w:rPr>
              <w:t>首发后限售</w:t>
            </w:r>
            <w:r>
              <w:rPr>
                <w:rFonts w:ascii="宋体" w:hAnsi="宋体" w:cs="宋体" w:eastAsia="宋体" w:hint="default"/>
                <w:w w:val="101"/>
                <w:sz w:val="18"/>
                <w:szCs w:val="18"/>
              </w:rPr>
              <w:t> </w:t>
            </w:r>
            <w:r>
              <w:rPr>
                <w:rFonts w:ascii="宋体" w:hAnsi="宋体" w:cs="宋体" w:eastAsia="宋体" w:hint="default"/>
                <w:sz w:val="18"/>
                <w:szCs w:val="18"/>
              </w:rPr>
              <w:t>股、</w:t>
            </w:r>
            <w:r>
              <w:rPr>
                <w:rFonts w:ascii="Times New Roman" w:hAnsi="Times New Roman" w:cs="Times New Roman" w:eastAsia="Times New Roman" w:hint="default"/>
                <w:sz w:val="18"/>
                <w:szCs w:val="18"/>
              </w:rPr>
              <w:t>2018 </w:t>
            </w:r>
            <w:r>
              <w:rPr>
                <w:rFonts w:ascii="宋体" w:hAnsi="宋体" w:cs="宋体" w:eastAsia="宋体" w:hint="default"/>
                <w:spacing w:val="-5"/>
                <w:sz w:val="18"/>
                <w:szCs w:val="18"/>
              </w:rPr>
              <w:t>年限</w:t>
            </w:r>
            <w:r>
              <w:rPr>
                <w:rFonts w:ascii="宋体" w:hAnsi="宋体" w:cs="宋体" w:eastAsia="宋体" w:hint="default"/>
                <w:spacing w:val="-83"/>
                <w:sz w:val="18"/>
                <w:szCs w:val="18"/>
              </w:rPr>
              <w:t> </w:t>
            </w:r>
            <w:r>
              <w:rPr>
                <w:rFonts w:ascii="宋体" w:hAnsi="宋体" w:cs="宋体" w:eastAsia="宋体" w:hint="default"/>
                <w:sz w:val="18"/>
                <w:szCs w:val="18"/>
              </w:rPr>
              <w:t>制性股票激励</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计划限售股</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3"/>
              <w:ind w:left="105"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日、自授予</w:t>
            </w:r>
          </w:p>
          <w:p>
            <w:pPr>
              <w:pStyle w:val="TableParagraph"/>
              <w:spacing w:line="240" w:lineRule="auto" w:before="63"/>
              <w:ind w:left="105" w:right="0"/>
              <w:jc w:val="both"/>
              <w:rPr>
                <w:rFonts w:ascii="宋体" w:hAnsi="宋体" w:cs="宋体" w:eastAsia="宋体" w:hint="default"/>
                <w:sz w:val="18"/>
                <w:szCs w:val="18"/>
              </w:rPr>
            </w:pPr>
            <w:r>
              <w:rPr>
                <w:rFonts w:ascii="宋体" w:hAnsi="宋体" w:cs="宋体" w:eastAsia="宋体" w:hint="default"/>
                <w:sz w:val="18"/>
                <w:szCs w:val="18"/>
              </w:rPr>
              <w:t>日起满</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个月</w:t>
            </w:r>
          </w:p>
          <w:p>
            <w:pPr>
              <w:pStyle w:val="TableParagraph"/>
              <w:spacing w:line="314" w:lineRule="auto" w:before="63"/>
              <w:ind w:left="105" w:right="165"/>
              <w:jc w:val="both"/>
              <w:rPr>
                <w:rFonts w:ascii="宋体" w:hAnsi="宋体" w:cs="宋体" w:eastAsia="宋体" w:hint="default"/>
                <w:sz w:val="18"/>
                <w:szCs w:val="18"/>
              </w:rPr>
            </w:pPr>
            <w:r>
              <w:rPr>
                <w:rFonts w:ascii="宋体" w:hAnsi="宋体" w:cs="宋体" w:eastAsia="宋体" w:hint="default"/>
                <w:sz w:val="18"/>
                <w:szCs w:val="18"/>
              </w:rPr>
              <w:t>后分</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期根据</w:t>
            </w:r>
            <w:r>
              <w:rPr>
                <w:rFonts w:ascii="宋体" w:hAnsi="宋体" w:cs="宋体" w:eastAsia="宋体" w:hint="default"/>
                <w:w w:val="101"/>
                <w:sz w:val="18"/>
                <w:szCs w:val="18"/>
              </w:rPr>
              <w:t> </w:t>
            </w:r>
            <w:r>
              <w:rPr>
                <w:rFonts w:ascii="宋体" w:hAnsi="宋体" w:cs="宋体" w:eastAsia="宋体" w:hint="default"/>
                <w:spacing w:val="-2"/>
                <w:sz w:val="18"/>
                <w:szCs w:val="18"/>
              </w:rPr>
              <w:t>每期的解锁条</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件达成情况解</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锁</w:t>
            </w:r>
          </w:p>
        </w:tc>
      </w:tr>
      <w:tr>
        <w:trPr>
          <w:trHeight w:val="165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10"/>
              <w:ind w:left="105" w:right="166"/>
              <w:jc w:val="left"/>
              <w:rPr>
                <w:rFonts w:ascii="宋体" w:hAnsi="宋体" w:cs="宋体" w:eastAsia="宋体" w:hint="default"/>
                <w:sz w:val="18"/>
                <w:szCs w:val="18"/>
              </w:rPr>
            </w:pPr>
            <w:r>
              <w:rPr>
                <w:rFonts w:ascii="宋体" w:hAnsi="宋体" w:cs="宋体" w:eastAsia="宋体" w:hint="default"/>
                <w:spacing w:val="-2"/>
                <w:sz w:val="18"/>
                <w:szCs w:val="18"/>
              </w:rPr>
              <w:t>其他股权激励</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限售股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6"/>
                <w:szCs w:val="26"/>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5,570,100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6"/>
                <w:szCs w:val="26"/>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1,000,000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6"/>
                <w:szCs w:val="26"/>
              </w:rPr>
            </w:pPr>
          </w:p>
          <w:p>
            <w:pPr>
              <w:pStyle w:val="TableParagraph"/>
              <w:spacing w:line="240" w:lineRule="auto"/>
              <w:ind w:right="93"/>
              <w:jc w:val="right"/>
              <w:rPr>
                <w:rFonts w:ascii="Times New Roman" w:hAnsi="Times New Roman" w:cs="Times New Roman" w:eastAsia="Times New Roman" w:hint="default"/>
                <w:sz w:val="18"/>
                <w:szCs w:val="18"/>
              </w:rPr>
            </w:pPr>
            <w:r>
              <w:rPr>
                <w:rFonts w:ascii="Times New Roman"/>
                <w:spacing w:val="-1"/>
                <w:sz w:val="18"/>
              </w:rPr>
              <w:t>944,100</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6"/>
                <w:szCs w:val="26"/>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5,626,000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73"/>
              <w:ind w:left="105" w:right="122"/>
              <w:jc w:val="both"/>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0"/>
                <w:sz w:val="18"/>
                <w:szCs w:val="18"/>
              </w:rPr>
              <w:t> </w:t>
            </w:r>
            <w:r>
              <w:rPr>
                <w:rFonts w:ascii="宋体" w:hAnsi="宋体" w:cs="宋体" w:eastAsia="宋体" w:hint="default"/>
                <w:spacing w:val="-3"/>
                <w:sz w:val="18"/>
                <w:szCs w:val="18"/>
              </w:rPr>
              <w:t>年限制性</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股票激励计划</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限售股、</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41"/>
                <w:sz w:val="18"/>
                <w:szCs w:val="18"/>
              </w:rPr>
              <w:t> </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年限制性股票</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激励计划限售</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3"/>
              <w:ind w:left="105" w:right="165"/>
              <w:jc w:val="both"/>
              <w:rPr>
                <w:rFonts w:ascii="宋体" w:hAnsi="宋体" w:cs="宋体" w:eastAsia="宋体" w:hint="default"/>
                <w:sz w:val="18"/>
                <w:szCs w:val="18"/>
              </w:rPr>
            </w:pPr>
            <w:r>
              <w:rPr>
                <w:rFonts w:ascii="宋体" w:hAnsi="宋体" w:cs="宋体" w:eastAsia="宋体" w:hint="default"/>
                <w:spacing w:val="-2"/>
                <w:sz w:val="18"/>
                <w:szCs w:val="18"/>
              </w:rPr>
              <w:t>自授予日起满</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Times New Roman" w:hAnsi="Times New Roman" w:cs="Times New Roman" w:eastAsia="Times New Roman" w:hint="default"/>
                <w:sz w:val="18"/>
                <w:szCs w:val="18"/>
              </w:rPr>
              <w:t>12 </w:t>
            </w:r>
            <w:r>
              <w:rPr>
                <w:rFonts w:ascii="宋体" w:hAnsi="宋体" w:cs="宋体" w:eastAsia="宋体" w:hint="default"/>
                <w:sz w:val="18"/>
                <w:szCs w:val="18"/>
              </w:rPr>
              <w:t>个月后分</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w w:val="101"/>
                <w:sz w:val="18"/>
                <w:szCs w:val="18"/>
              </w:rPr>
              <w:t> </w:t>
            </w:r>
            <w:r>
              <w:rPr>
                <w:rFonts w:ascii="宋体" w:hAnsi="宋体" w:cs="宋体" w:eastAsia="宋体" w:hint="default"/>
                <w:spacing w:val="-2"/>
                <w:sz w:val="18"/>
                <w:szCs w:val="18"/>
              </w:rPr>
              <w:t>期根据每期的</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解锁条件达成</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情况解锁</w:t>
            </w:r>
          </w:p>
        </w:tc>
      </w:tr>
    </w:tbl>
    <w:p>
      <w:pPr>
        <w:spacing w:after="0" w:line="314" w:lineRule="auto"/>
        <w:jc w:val="both"/>
        <w:rPr>
          <w:rFonts w:ascii="宋体" w:hAnsi="宋体" w:cs="宋体" w:eastAsia="宋体" w:hint="default"/>
          <w:sz w:val="18"/>
          <w:szCs w:val="18"/>
        </w:rPr>
        <w:sectPr>
          <w:pgSz w:w="11910" w:h="16840"/>
          <w:pgMar w:header="784" w:footer="1022" w:top="1100" w:bottom="1220" w:left="980" w:right="0"/>
        </w:sectPr>
      </w:pPr>
    </w:p>
    <w:p>
      <w:pPr>
        <w:spacing w:line="240" w:lineRule="auto" w:before="1"/>
        <w:rPr>
          <w:rFonts w:ascii="Times New Roman" w:hAnsi="Times New Roman" w:cs="Times New Roman" w:eastAsia="Times New Roman" w:hint="default"/>
          <w:sz w:val="29"/>
          <w:szCs w:val="29"/>
        </w:rPr>
      </w:pPr>
    </w:p>
    <w:tbl>
      <w:tblPr>
        <w:tblW w:w="0" w:type="auto"/>
        <w:jc w:val="left"/>
        <w:tblInd w:w="148" w:type="dxa"/>
        <w:tblLayout w:type="fixed"/>
        <w:tblCellMar>
          <w:top w:w="0" w:type="dxa"/>
          <w:left w:w="0" w:type="dxa"/>
          <w:bottom w:w="0" w:type="dxa"/>
          <w:right w:w="0" w:type="dxa"/>
        </w:tblCellMar>
        <w:tblLook w:val="01E0"/>
      </w:tblPr>
      <w:tblGrid>
        <w:gridCol w:w="1369"/>
        <w:gridCol w:w="1368"/>
        <w:gridCol w:w="1369"/>
        <w:gridCol w:w="1368"/>
        <w:gridCol w:w="1364"/>
        <w:gridCol w:w="1369"/>
        <w:gridCol w:w="1369"/>
      </w:tblGrid>
      <w:tr>
        <w:trPr>
          <w:trHeight w:val="360" w:hRule="exact"/>
        </w:trPr>
        <w:tc>
          <w:tcPr>
            <w:tcW w:w="1369"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5" w:right="0"/>
              <w:jc w:val="left"/>
              <w:rPr>
                <w:rFonts w:ascii="宋体" w:hAnsi="宋体" w:cs="宋体" w:eastAsia="宋体" w:hint="default"/>
                <w:sz w:val="18"/>
                <w:szCs w:val="18"/>
              </w:rPr>
            </w:pPr>
            <w:r>
              <w:rPr>
                <w:rFonts w:ascii="宋体" w:hAnsi="宋体" w:cs="宋体" w:eastAsia="宋体" w:hint="default"/>
                <w:w w:val="101"/>
                <w:sz w:val="18"/>
                <w:szCs w:val="18"/>
              </w:rPr>
              <w:t>股</w:t>
            </w:r>
            <w:r>
              <w:rPr>
                <w:rFonts w:ascii="宋体" w:hAnsi="宋体" w:cs="宋体" w:eastAsia="宋体" w:hint="default"/>
                <w:sz w:val="18"/>
                <w:szCs w:val="18"/>
              </w:rPr>
            </w:r>
          </w:p>
        </w:tc>
        <w:tc>
          <w:tcPr>
            <w:tcW w:w="136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446" w:right="0"/>
              <w:jc w:val="left"/>
              <w:rPr>
                <w:rFonts w:ascii="Times New Roman" w:hAnsi="Times New Roman" w:cs="Times New Roman" w:eastAsia="Times New Roman" w:hint="default"/>
                <w:sz w:val="18"/>
                <w:szCs w:val="18"/>
              </w:rPr>
            </w:pPr>
            <w:r>
              <w:rPr>
                <w:rFonts w:ascii="Times New Roman"/>
                <w:sz w:val="18"/>
              </w:rPr>
              <w:t>55,899,587</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446" w:right="0"/>
              <w:jc w:val="left"/>
              <w:rPr>
                <w:rFonts w:ascii="Times New Roman" w:hAnsi="Times New Roman" w:cs="Times New Roman" w:eastAsia="Times New Roman" w:hint="default"/>
                <w:sz w:val="18"/>
                <w:szCs w:val="18"/>
              </w:rPr>
            </w:pPr>
            <w:r>
              <w:rPr>
                <w:rFonts w:ascii="Times New Roman"/>
                <w:sz w:val="18"/>
              </w:rPr>
              <w:t>15,322,349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446" w:right="0"/>
              <w:jc w:val="left"/>
              <w:rPr>
                <w:rFonts w:ascii="Times New Roman" w:hAnsi="Times New Roman" w:cs="Times New Roman" w:eastAsia="Times New Roman" w:hint="default"/>
                <w:sz w:val="18"/>
                <w:szCs w:val="18"/>
              </w:rPr>
            </w:pPr>
            <w:r>
              <w:rPr>
                <w:rFonts w:ascii="Times New Roman"/>
                <w:sz w:val="18"/>
              </w:rPr>
              <w:t>43,170,677</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441" w:right="0"/>
              <w:jc w:val="left"/>
              <w:rPr>
                <w:rFonts w:ascii="Times New Roman" w:hAnsi="Times New Roman" w:cs="Times New Roman" w:eastAsia="Times New Roman" w:hint="default"/>
                <w:sz w:val="18"/>
                <w:szCs w:val="18"/>
              </w:rPr>
            </w:pPr>
            <w:r>
              <w:rPr>
                <w:rFonts w:ascii="Times New Roman"/>
                <w:sz w:val="18"/>
              </w:rPr>
              <w:t>28,051,259</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2"/>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2"/>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bl>
    <w:p>
      <w:pPr>
        <w:spacing w:line="240" w:lineRule="auto" w:before="2"/>
        <w:rPr>
          <w:rFonts w:ascii="Times New Roman" w:hAnsi="Times New Roman" w:cs="Times New Roman" w:eastAsia="Times New Roman" w:hint="default"/>
          <w:sz w:val="20"/>
          <w:szCs w:val="20"/>
        </w:rPr>
      </w:pPr>
    </w:p>
    <w:p>
      <w:pPr>
        <w:pStyle w:val="Heading2"/>
        <w:spacing w:line="240" w:lineRule="auto" w:before="26"/>
        <w:ind w:right="0"/>
        <w:jc w:val="left"/>
        <w:rPr>
          <w:b w:val="0"/>
          <w:bCs w:val="0"/>
        </w:rPr>
      </w:pPr>
      <w:bookmarkStart w:name="二、证券发行与上市情况" w:id="112"/>
      <w:bookmarkEnd w:id="112"/>
      <w:r>
        <w:rPr>
          <w:b w:val="0"/>
          <w:bCs w:val="0"/>
        </w:rPr>
      </w:r>
      <w:r>
        <w:rPr/>
        <w:t>二、证券发行与上市情况</w:t>
      </w:r>
      <w:r>
        <w:rPr>
          <w:b w:val="0"/>
          <w:bCs w:val="0"/>
        </w:rPr>
      </w:r>
    </w:p>
    <w:p>
      <w:pPr>
        <w:spacing w:line="240" w:lineRule="auto" w:before="3"/>
        <w:rPr>
          <w:rFonts w:ascii="宋体" w:hAnsi="宋体" w:cs="宋体" w:eastAsia="宋体" w:hint="default"/>
          <w:b/>
          <w:bCs/>
          <w:sz w:val="25"/>
          <w:szCs w:val="25"/>
        </w:rPr>
      </w:pPr>
    </w:p>
    <w:p>
      <w:pPr>
        <w:pStyle w:val="Heading4"/>
        <w:spacing w:line="240" w:lineRule="auto"/>
        <w:ind w:right="0"/>
        <w:jc w:val="left"/>
        <w:rPr>
          <w:b w:val="0"/>
          <w:bCs w:val="0"/>
        </w:rPr>
      </w:pPr>
      <w:bookmarkStart w:name="1、报告期内证券发行（不含优先股）情况" w:id="113"/>
      <w:bookmarkEnd w:id="113"/>
      <w:r>
        <w:rPr>
          <w:b w:val="0"/>
          <w:bCs w:val="0"/>
        </w:rPr>
      </w:r>
      <w:r>
        <w:rPr>
          <w:rFonts w:ascii="Times New Roman" w:hAnsi="Times New Roman" w:cs="Times New Roman" w:eastAsia="Times New Roman" w:hint="default"/>
        </w:rPr>
        <w:t>1</w:t>
      </w:r>
      <w:r>
        <w:rPr/>
        <w:t>、报告期内证券发行（不含优先股）情况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before="0"/>
        <w:ind w:right="0"/>
        <w:jc w:val="left"/>
      </w:pPr>
      <w:r>
        <w:rPr/>
        <w:t>□ </w:t>
      </w:r>
      <w:r>
        <w:rPr>
          <w:spacing w:val="-3"/>
        </w:rPr>
        <w:t>适用 </w:t>
      </w:r>
      <w:r>
        <w:rPr/>
        <w:t>√</w:t>
      </w:r>
      <w:r>
        <w:rPr>
          <w:spacing w:val="13"/>
        </w:rPr>
        <w:t> </w:t>
      </w:r>
      <w:r>
        <w:rPr/>
        <w:t>不适用</w:t>
      </w:r>
    </w:p>
    <w:p>
      <w:pPr>
        <w:spacing w:line="240" w:lineRule="auto" w:before="9"/>
        <w:rPr>
          <w:rFonts w:ascii="宋体" w:hAnsi="宋体" w:cs="宋体" w:eastAsia="宋体" w:hint="default"/>
          <w:sz w:val="26"/>
          <w:szCs w:val="26"/>
        </w:rPr>
      </w:pPr>
    </w:p>
    <w:p>
      <w:pPr>
        <w:pStyle w:val="Heading4"/>
        <w:spacing w:line="240" w:lineRule="auto"/>
        <w:ind w:right="0"/>
        <w:jc w:val="left"/>
        <w:rPr>
          <w:b w:val="0"/>
          <w:bCs w:val="0"/>
        </w:rPr>
      </w:pPr>
      <w:bookmarkStart w:name="2、公司股份总数及股东结构的变动、公司资产和负债结构的变动情况说明" w:id="114"/>
      <w:bookmarkEnd w:id="114"/>
      <w:r>
        <w:rPr>
          <w:b w:val="0"/>
          <w:bCs w:val="0"/>
        </w:rPr>
      </w:r>
      <w:r>
        <w:rPr>
          <w:rFonts w:ascii="Times New Roman" w:hAnsi="Times New Roman" w:cs="Times New Roman" w:eastAsia="Times New Roman" w:hint="default"/>
        </w:rPr>
        <w:t>2</w:t>
      </w:r>
      <w:r>
        <w:rPr/>
        <w:t>、公司股份总数及股东结构的变动、公司资产和负债结构的变动情况说明</w:t>
      </w:r>
      <w:r>
        <w:rPr>
          <w:b w:val="0"/>
          <w:bCs w:val="0"/>
        </w:rPr>
      </w:r>
    </w:p>
    <w:p>
      <w:pPr>
        <w:spacing w:line="240" w:lineRule="auto" w:before="1"/>
        <w:rPr>
          <w:rFonts w:ascii="宋体" w:hAnsi="宋体" w:cs="宋体" w:eastAsia="宋体" w:hint="default"/>
          <w:b/>
          <w:bCs/>
          <w:sz w:val="27"/>
          <w:szCs w:val="27"/>
        </w:rPr>
      </w:pPr>
    </w:p>
    <w:p>
      <w:pPr>
        <w:pStyle w:val="BodyText"/>
        <w:spacing w:line="352" w:lineRule="auto" w:before="0"/>
        <w:ind w:left="513" w:right="1120" w:hanging="360"/>
        <w:jc w:val="left"/>
      </w:pPr>
      <w:r>
        <w:rPr/>
        <w:t>√ </w:t>
      </w:r>
      <w:r>
        <w:rPr>
          <w:spacing w:val="-3"/>
        </w:rPr>
        <w:t>适用 </w:t>
      </w:r>
      <w:r>
        <w:rPr/>
        <w:t>□ 不适用</w:t>
      </w:r>
      <w:r>
        <w:rPr>
          <w:spacing w:val="-77"/>
        </w:rPr>
        <w:t> </w:t>
      </w:r>
      <w:r>
        <w:rPr>
          <w:spacing w:val="-77"/>
        </w:rPr>
      </w:r>
      <w:r>
        <w:rPr>
          <w:spacing w:val="-3"/>
        </w:rPr>
        <w:t>报告期内，公司完成</w:t>
      </w:r>
      <w:r>
        <w:rPr>
          <w:rFonts w:ascii="Times New Roman" w:hAnsi="Times New Roman" w:cs="Times New Roman" w:eastAsia="Times New Roman" w:hint="default"/>
          <w:spacing w:val="-3"/>
        </w:rPr>
        <w:t>2016</w:t>
      </w:r>
      <w:r>
        <w:rPr>
          <w:spacing w:val="-3"/>
        </w:rPr>
        <w:t>年限制性股票激励计划相关离职的股权激励对象的</w:t>
      </w:r>
      <w:r>
        <w:rPr>
          <w:rFonts w:ascii="宋体" w:hAnsi="宋体" w:cs="宋体" w:eastAsia="宋体" w:hint="default"/>
          <w:spacing w:val="-3"/>
        </w:rPr>
        <w:t>177,750</w:t>
      </w:r>
      <w:r>
        <w:rPr>
          <w:spacing w:val="-3"/>
        </w:rPr>
        <w:t>股的注销，完成</w:t>
      </w:r>
      <w:r>
        <w:rPr>
          <w:rFonts w:ascii="Times New Roman" w:hAnsi="Times New Roman" w:cs="Times New Roman" w:eastAsia="Times New Roman" w:hint="default"/>
          <w:spacing w:val="-3"/>
        </w:rPr>
        <w:t>2018</w:t>
      </w:r>
      <w:r>
        <w:rPr>
          <w:spacing w:val="-3"/>
        </w:rPr>
        <w:t>年限制性股票</w:t>
      </w:r>
    </w:p>
    <w:p>
      <w:pPr>
        <w:pStyle w:val="BodyText"/>
        <w:spacing w:line="218" w:lineRule="exact" w:before="0"/>
        <w:ind w:right="0"/>
        <w:jc w:val="left"/>
      </w:pPr>
      <w:r>
        <w:rPr/>
        <w:t>激励计划激励对象</w:t>
      </w:r>
      <w:r>
        <w:rPr>
          <w:rFonts w:ascii="宋体" w:hAnsi="宋体" w:cs="宋体" w:eastAsia="宋体" w:hint="default"/>
        </w:rPr>
        <w:t>1</w:t>
      </w:r>
      <w:r>
        <w:rPr>
          <w:rFonts w:ascii="Times New Roman" w:hAnsi="Times New Roman" w:cs="Times New Roman" w:eastAsia="Times New Roman" w:hint="default"/>
        </w:rPr>
        <w:t>,000,000</w:t>
      </w:r>
      <w:r>
        <w:rPr/>
        <w:t>股预留授予登记。</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3"/>
          <w:szCs w:val="13"/>
        </w:rPr>
      </w:pPr>
    </w:p>
    <w:p>
      <w:pPr>
        <w:pStyle w:val="Heading4"/>
        <w:spacing w:line="240" w:lineRule="auto"/>
        <w:ind w:right="0"/>
        <w:jc w:val="left"/>
        <w:rPr>
          <w:b w:val="0"/>
          <w:bCs w:val="0"/>
        </w:rPr>
      </w:pPr>
      <w:bookmarkStart w:name="3、现存的内部职工股情况" w:id="115"/>
      <w:bookmarkEnd w:id="115"/>
      <w:r>
        <w:rPr>
          <w:b w:val="0"/>
          <w:bCs w:val="0"/>
        </w:rPr>
      </w:r>
      <w:r>
        <w:rPr>
          <w:rFonts w:ascii="Times New Roman" w:hAnsi="Times New Roman" w:cs="Times New Roman" w:eastAsia="Times New Roman" w:hint="default"/>
        </w:rPr>
        <w:t>3</w:t>
      </w:r>
      <w:r>
        <w:rPr/>
        <w:t>、现存的内部职工股情况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before="0"/>
        <w:ind w:right="0"/>
        <w:jc w:val="left"/>
      </w:pPr>
      <w:r>
        <w:rPr/>
        <w:t>□ </w:t>
      </w:r>
      <w:r>
        <w:rPr>
          <w:spacing w:val="-3"/>
        </w:rPr>
        <w:t>适用 </w:t>
      </w:r>
      <w:r>
        <w:rPr/>
        <w:t>√</w:t>
      </w:r>
      <w:r>
        <w:rPr>
          <w:spacing w:val="13"/>
        </w:rPr>
        <w:t> </w:t>
      </w:r>
      <w:r>
        <w:rPr/>
        <w:t>不适用</w:t>
      </w:r>
    </w:p>
    <w:p>
      <w:pPr>
        <w:spacing w:line="240" w:lineRule="auto" w:before="13"/>
        <w:rPr>
          <w:rFonts w:ascii="宋体" w:hAnsi="宋体" w:cs="宋体" w:eastAsia="宋体" w:hint="default"/>
          <w:sz w:val="23"/>
          <w:szCs w:val="23"/>
        </w:rPr>
      </w:pPr>
    </w:p>
    <w:p>
      <w:pPr>
        <w:pStyle w:val="Heading2"/>
        <w:spacing w:line="240" w:lineRule="auto"/>
        <w:ind w:right="0"/>
        <w:jc w:val="left"/>
        <w:rPr>
          <w:b w:val="0"/>
          <w:bCs w:val="0"/>
        </w:rPr>
      </w:pPr>
      <w:bookmarkStart w:name="三、股东和实际控制人情况" w:id="116"/>
      <w:bookmarkEnd w:id="116"/>
      <w:r>
        <w:rPr>
          <w:b w:val="0"/>
          <w:bCs w:val="0"/>
        </w:rPr>
      </w:r>
      <w:r>
        <w:rPr/>
        <w:t>三、股东和实际控制人情况</w:t>
      </w:r>
      <w:r>
        <w:rPr>
          <w:b w:val="0"/>
          <w:bCs w:val="0"/>
        </w:rPr>
      </w:r>
    </w:p>
    <w:p>
      <w:pPr>
        <w:spacing w:line="240" w:lineRule="auto" w:before="3"/>
        <w:rPr>
          <w:rFonts w:ascii="宋体" w:hAnsi="宋体" w:cs="宋体" w:eastAsia="宋体" w:hint="default"/>
          <w:b/>
          <w:bCs/>
          <w:sz w:val="25"/>
          <w:szCs w:val="25"/>
        </w:rPr>
      </w:pPr>
    </w:p>
    <w:p>
      <w:pPr>
        <w:pStyle w:val="Heading4"/>
        <w:spacing w:line="240" w:lineRule="auto"/>
        <w:ind w:right="0"/>
        <w:jc w:val="left"/>
        <w:rPr>
          <w:b w:val="0"/>
          <w:bCs w:val="0"/>
        </w:rPr>
      </w:pPr>
      <w:bookmarkStart w:name="1、公司股东数量及持股情况" w:id="117"/>
      <w:bookmarkEnd w:id="117"/>
      <w:r>
        <w:rPr>
          <w:b w:val="0"/>
          <w:bCs w:val="0"/>
        </w:rPr>
      </w:r>
      <w:r>
        <w:rPr>
          <w:rFonts w:ascii="Times New Roman" w:hAnsi="Times New Roman" w:cs="Times New Roman" w:eastAsia="Times New Roman" w:hint="default"/>
        </w:rPr>
        <w:t>1</w:t>
      </w:r>
      <w:r>
        <w:rPr/>
        <w:t>、公司股东数量及持股情况</w:t>
      </w:r>
      <w:r>
        <w:rPr>
          <w:b w:val="0"/>
          <w:bCs w:val="0"/>
        </w:rPr>
      </w:r>
    </w:p>
    <w:p>
      <w:pPr>
        <w:spacing w:line="240" w:lineRule="auto" w:before="1"/>
        <w:rPr>
          <w:rFonts w:ascii="宋体" w:hAnsi="宋体" w:cs="宋体" w:eastAsia="宋体" w:hint="default"/>
          <w:b/>
          <w:bCs/>
          <w:sz w:val="27"/>
          <w:szCs w:val="27"/>
        </w:rPr>
      </w:pPr>
    </w:p>
    <w:p>
      <w:pPr>
        <w:pStyle w:val="BodyText"/>
        <w:spacing w:line="240" w:lineRule="auto" w:before="0"/>
        <w:ind w:left="0" w:right="1122"/>
        <w:jc w:val="right"/>
      </w:pPr>
      <w:r>
        <w:rPr>
          <w:spacing w:val="-2"/>
        </w:rPr>
        <w:t>单位：股</w:t>
      </w:r>
    </w:p>
    <w:p>
      <w:pPr>
        <w:spacing w:line="240" w:lineRule="auto" w:before="0"/>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196"/>
        <w:gridCol w:w="274"/>
        <w:gridCol w:w="922"/>
        <w:gridCol w:w="490"/>
        <w:gridCol w:w="749"/>
        <w:gridCol w:w="826"/>
        <w:gridCol w:w="329"/>
        <w:gridCol w:w="463"/>
        <w:gridCol w:w="759"/>
        <w:gridCol w:w="864"/>
        <w:gridCol w:w="308"/>
        <w:gridCol w:w="1046"/>
        <w:gridCol w:w="149"/>
        <w:gridCol w:w="1195"/>
      </w:tblGrid>
      <w:tr>
        <w:trPr>
          <w:trHeight w:val="2276" w:hRule="exact"/>
        </w:trPr>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105" w:right="176"/>
              <w:jc w:val="both"/>
              <w:rPr>
                <w:rFonts w:ascii="宋体" w:hAnsi="宋体" w:cs="宋体" w:eastAsia="宋体" w:hint="default"/>
                <w:sz w:val="18"/>
                <w:szCs w:val="18"/>
              </w:rPr>
            </w:pPr>
            <w:r>
              <w:rPr>
                <w:rFonts w:ascii="宋体" w:hAnsi="宋体" w:cs="宋体" w:eastAsia="宋体" w:hint="default"/>
                <w:spacing w:val="-2"/>
                <w:sz w:val="18"/>
                <w:szCs w:val="18"/>
              </w:rPr>
              <w:t>报告期末普</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2"/>
                <w:sz w:val="18"/>
                <w:szCs w:val="18"/>
              </w:rPr>
              <w:t>通股股东总</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数</w:t>
            </w:r>
          </w:p>
        </w:tc>
        <w:tc>
          <w:tcPr>
            <w:tcW w:w="119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590" w:right="0"/>
              <w:jc w:val="left"/>
              <w:rPr>
                <w:rFonts w:ascii="Times New Roman" w:hAnsi="Times New Roman" w:cs="Times New Roman" w:eastAsia="Times New Roman" w:hint="default"/>
                <w:sz w:val="18"/>
                <w:szCs w:val="18"/>
              </w:rPr>
            </w:pPr>
            <w:r>
              <w:rPr>
                <w:rFonts w:ascii="Times New Roman"/>
                <w:sz w:val="18"/>
              </w:rPr>
              <w:t>36,356</w:t>
            </w:r>
          </w:p>
        </w:tc>
        <w:tc>
          <w:tcPr>
            <w:tcW w:w="123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9" w:lineRule="auto"/>
              <w:ind w:left="105" w:right="219"/>
              <w:jc w:val="both"/>
              <w:rPr>
                <w:rFonts w:ascii="宋体" w:hAnsi="宋体" w:cs="宋体" w:eastAsia="宋体" w:hint="default"/>
                <w:sz w:val="18"/>
                <w:szCs w:val="18"/>
              </w:rPr>
            </w:pPr>
            <w:r>
              <w:rPr>
                <w:rFonts w:ascii="宋体" w:hAnsi="宋体" w:cs="宋体" w:eastAsia="宋体" w:hint="default"/>
                <w:spacing w:val="-2"/>
                <w:sz w:val="18"/>
                <w:szCs w:val="18"/>
              </w:rPr>
              <w:t>年度报告披</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2"/>
                <w:sz w:val="18"/>
                <w:szCs w:val="18"/>
              </w:rPr>
              <w:t>露日前上一</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4"/>
                <w:sz w:val="18"/>
                <w:szCs w:val="18"/>
              </w:rPr>
              <w:t>月末普通股</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股东总数</w:t>
            </w:r>
          </w:p>
        </w:tc>
        <w:tc>
          <w:tcPr>
            <w:tcW w:w="115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547" w:right="0"/>
              <w:jc w:val="left"/>
              <w:rPr>
                <w:rFonts w:ascii="Times New Roman" w:hAnsi="Times New Roman" w:cs="Times New Roman" w:eastAsia="Times New Roman" w:hint="default"/>
                <w:sz w:val="18"/>
                <w:szCs w:val="18"/>
              </w:rPr>
            </w:pPr>
            <w:r>
              <w:rPr>
                <w:rFonts w:ascii="Times New Roman"/>
                <w:sz w:val="18"/>
              </w:rPr>
              <w:t>33,897</w:t>
            </w:r>
          </w:p>
        </w:tc>
        <w:tc>
          <w:tcPr>
            <w:tcW w:w="122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30"/>
              <w:ind w:left="103" w:right="31"/>
              <w:jc w:val="left"/>
              <w:rPr>
                <w:rFonts w:ascii="宋体" w:hAnsi="宋体" w:cs="宋体" w:eastAsia="宋体" w:hint="default"/>
                <w:sz w:val="18"/>
                <w:szCs w:val="18"/>
              </w:rPr>
            </w:pPr>
            <w:r>
              <w:rPr>
                <w:rFonts w:ascii="宋体" w:hAnsi="宋体" w:cs="宋体" w:eastAsia="宋体" w:hint="default"/>
                <w:sz w:val="18"/>
                <w:szCs w:val="18"/>
              </w:rPr>
              <w:t>报告期末表</w:t>
            </w:r>
            <w:r>
              <w:rPr>
                <w:rFonts w:ascii="宋体" w:hAnsi="宋体" w:cs="宋体" w:eastAsia="宋体" w:hint="default"/>
                <w:w w:val="101"/>
                <w:sz w:val="18"/>
                <w:szCs w:val="18"/>
              </w:rPr>
              <w:t> </w:t>
            </w:r>
            <w:r>
              <w:rPr>
                <w:rFonts w:ascii="宋体" w:hAnsi="宋体" w:cs="宋体" w:eastAsia="宋体" w:hint="default"/>
                <w:sz w:val="18"/>
                <w:szCs w:val="18"/>
              </w:rPr>
              <w:t>决权恢复的</w:t>
            </w:r>
            <w:r>
              <w:rPr>
                <w:rFonts w:ascii="宋体" w:hAnsi="宋体" w:cs="宋体" w:eastAsia="宋体" w:hint="default"/>
                <w:w w:val="101"/>
                <w:sz w:val="18"/>
                <w:szCs w:val="18"/>
              </w:rPr>
              <w:t> </w:t>
            </w:r>
            <w:r>
              <w:rPr>
                <w:rFonts w:ascii="宋体" w:hAnsi="宋体" w:cs="宋体" w:eastAsia="宋体" w:hint="default"/>
                <w:sz w:val="18"/>
                <w:szCs w:val="18"/>
              </w:rPr>
              <w:t>优先股股东</w:t>
            </w:r>
            <w:r>
              <w:rPr>
                <w:rFonts w:ascii="宋体" w:hAnsi="宋体" w:cs="宋体" w:eastAsia="宋体" w:hint="default"/>
                <w:w w:val="101"/>
                <w:sz w:val="18"/>
                <w:szCs w:val="18"/>
              </w:rPr>
              <w:t> </w:t>
            </w:r>
            <w:r>
              <w:rPr>
                <w:rFonts w:ascii="宋体" w:hAnsi="宋体" w:cs="宋体" w:eastAsia="宋体" w:hint="default"/>
                <w:spacing w:val="-4"/>
                <w:sz w:val="18"/>
                <w:szCs w:val="18"/>
              </w:rPr>
              <w:t>总数（如有）</w:t>
            </w:r>
          </w:p>
          <w:p>
            <w:pPr>
              <w:pStyle w:val="TableParagraph"/>
              <w:spacing w:line="240" w:lineRule="auto" w:before="24"/>
              <w:ind w:left="103" w:right="0"/>
              <w:jc w:val="left"/>
              <w:rPr>
                <w:rFonts w:ascii="宋体" w:hAnsi="宋体" w:cs="宋体" w:eastAsia="宋体" w:hint="default"/>
                <w:sz w:val="18"/>
                <w:szCs w:val="18"/>
              </w:rPr>
            </w:pPr>
            <w:r>
              <w:rPr>
                <w:rFonts w:ascii="宋体" w:hAnsi="宋体" w:cs="宋体" w:eastAsia="宋体" w:hint="default"/>
                <w:sz w:val="18"/>
                <w:szCs w:val="18"/>
              </w:rPr>
              <w:t>（参见注</w:t>
            </w:r>
            <w:r>
              <w:rPr>
                <w:rFonts w:ascii="宋体" w:hAnsi="宋体" w:cs="宋体" w:eastAsia="宋体" w:hint="default"/>
                <w:spacing w:val="-38"/>
                <w:sz w:val="18"/>
                <w:szCs w:val="18"/>
              </w:rPr>
              <w:t> </w:t>
            </w:r>
            <w:r>
              <w:rPr>
                <w:rFonts w:ascii="Times New Roman" w:hAnsi="Times New Roman" w:cs="Times New Roman" w:eastAsia="Times New Roman" w:hint="default"/>
                <w:spacing w:val="-3"/>
                <w:sz w:val="18"/>
                <w:szCs w:val="18"/>
              </w:rPr>
              <w:t>8</w:t>
            </w:r>
            <w:r>
              <w:rPr>
                <w:rFonts w:ascii="宋体" w:hAnsi="宋体" w:cs="宋体" w:eastAsia="宋体" w:hint="default"/>
                <w:spacing w:val="-3"/>
                <w:sz w:val="18"/>
                <w:szCs w:val="18"/>
              </w:rPr>
              <w:t>）</w:t>
            </w:r>
          </w:p>
        </w:tc>
        <w:tc>
          <w:tcPr>
            <w:tcW w:w="117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9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05" w:right="175"/>
              <w:jc w:val="both"/>
              <w:rPr>
                <w:rFonts w:ascii="宋体" w:hAnsi="宋体" w:cs="宋体" w:eastAsia="宋体" w:hint="default"/>
                <w:sz w:val="18"/>
                <w:szCs w:val="18"/>
              </w:rPr>
            </w:pPr>
            <w:r>
              <w:rPr>
                <w:rFonts w:ascii="宋体" w:hAnsi="宋体" w:cs="宋体" w:eastAsia="宋体" w:hint="default"/>
                <w:spacing w:val="-2"/>
                <w:sz w:val="18"/>
                <w:szCs w:val="18"/>
              </w:rPr>
              <w:t>年度报告披</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2"/>
                <w:sz w:val="18"/>
                <w:szCs w:val="18"/>
              </w:rPr>
              <w:t>露日前上一</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2"/>
                <w:sz w:val="18"/>
                <w:szCs w:val="18"/>
              </w:rPr>
              <w:t>月末表决权</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2"/>
                <w:sz w:val="18"/>
                <w:szCs w:val="18"/>
              </w:rPr>
              <w:t>恢复的优先</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2"/>
                <w:sz w:val="18"/>
                <w:szCs w:val="18"/>
              </w:rPr>
              <w:t>股股东总数</w:t>
            </w:r>
          </w:p>
          <w:p>
            <w:pPr>
              <w:pStyle w:val="TableParagraph"/>
              <w:spacing w:line="321" w:lineRule="auto" w:before="19"/>
              <w:ind w:left="105" w:right="94"/>
              <w:jc w:val="both"/>
              <w:rPr>
                <w:rFonts w:ascii="宋体" w:hAnsi="宋体" w:cs="宋体" w:eastAsia="宋体" w:hint="default"/>
                <w:sz w:val="18"/>
                <w:szCs w:val="18"/>
              </w:rPr>
            </w:pPr>
            <w:r>
              <w:rPr>
                <w:rFonts w:ascii="宋体" w:hAnsi="宋体" w:cs="宋体" w:eastAsia="宋体" w:hint="default"/>
                <w:spacing w:val="-19"/>
                <w:w w:val="101"/>
                <w:sz w:val="18"/>
                <w:szCs w:val="18"/>
              </w:rPr>
              <w:t>（如有）（参</w:t>
            </w:r>
            <w:r>
              <w:rPr>
                <w:rFonts w:ascii="宋体" w:hAnsi="宋体" w:cs="宋体" w:eastAsia="宋体" w:hint="default"/>
                <w:spacing w:val="-89"/>
                <w:w w:val="101"/>
                <w:sz w:val="18"/>
                <w:szCs w:val="18"/>
              </w:rPr>
              <w:t> </w:t>
            </w:r>
            <w:r>
              <w:rPr>
                <w:rFonts w:ascii="宋体" w:hAnsi="宋体" w:cs="宋体" w:eastAsia="宋体" w:hint="default"/>
                <w:spacing w:val="-89"/>
                <w:w w:val="101"/>
                <w:sz w:val="18"/>
                <w:szCs w:val="18"/>
              </w:rPr>
            </w:r>
            <w:r>
              <w:rPr>
                <w:rFonts w:ascii="宋体" w:hAnsi="宋体" w:cs="宋体" w:eastAsia="宋体" w:hint="default"/>
                <w:sz w:val="18"/>
                <w:szCs w:val="18"/>
              </w:rPr>
              <w:t>见注</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8</w:t>
            </w:r>
            <w:r>
              <w:rPr>
                <w:rFonts w:ascii="宋体" w:hAnsi="宋体" w:cs="宋体" w:eastAsia="宋体" w:hint="default"/>
                <w:sz w:val="18"/>
                <w:szCs w:val="18"/>
              </w:rPr>
              <w:t>）</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398" w:hRule="exact"/>
        </w:trPr>
        <w:tc>
          <w:tcPr>
            <w:tcW w:w="9570" w:type="dxa"/>
            <w:gridSpan w:val="1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063" w:right="0"/>
              <w:jc w:val="left"/>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spacing w:val="-28"/>
                <w:sz w:val="18"/>
                <w:szCs w:val="18"/>
              </w:rPr>
              <w:t> </w:t>
            </w:r>
            <w:r>
              <w:rPr>
                <w:rFonts w:ascii="Times New Roman" w:hAnsi="Times New Roman" w:cs="Times New Roman" w:eastAsia="Times New Roman" w:hint="default"/>
                <w:spacing w:val="-3"/>
                <w:sz w:val="18"/>
                <w:szCs w:val="18"/>
              </w:rPr>
              <w:t>5%</w:t>
            </w:r>
            <w:r>
              <w:rPr>
                <w:rFonts w:ascii="宋体" w:hAnsi="宋体" w:cs="宋体" w:eastAsia="宋体" w:hint="default"/>
                <w:spacing w:val="-3"/>
                <w:sz w:val="18"/>
                <w:szCs w:val="18"/>
              </w:rPr>
              <w:t>以上的股东或前</w:t>
            </w:r>
            <w:r>
              <w:rPr>
                <w:rFonts w:ascii="宋体" w:hAnsi="宋体" w:cs="宋体" w:eastAsia="宋体" w:hint="default"/>
                <w:spacing w:val="-28"/>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7"/>
                <w:sz w:val="18"/>
                <w:szCs w:val="18"/>
              </w:rPr>
              <w:t> </w:t>
            </w:r>
            <w:r>
              <w:rPr>
                <w:rFonts w:ascii="宋体" w:hAnsi="宋体" w:cs="宋体" w:eastAsia="宋体" w:hint="default"/>
                <w:spacing w:val="-3"/>
                <w:sz w:val="18"/>
                <w:szCs w:val="18"/>
              </w:rPr>
              <w:t>名股东持股情况</w:t>
            </w:r>
          </w:p>
        </w:tc>
      </w:tr>
      <w:tr>
        <w:trPr>
          <w:trHeight w:val="403" w:hRule="exact"/>
        </w:trPr>
        <w:tc>
          <w:tcPr>
            <w:tcW w:w="146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369"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412"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340" w:right="0"/>
              <w:jc w:val="left"/>
              <w:rPr>
                <w:rFonts w:ascii="宋体" w:hAnsi="宋体" w:cs="宋体" w:eastAsia="宋体" w:hint="default"/>
                <w:sz w:val="18"/>
                <w:szCs w:val="18"/>
              </w:rPr>
            </w:pPr>
            <w:r>
              <w:rPr>
                <w:rFonts w:ascii="宋体" w:hAnsi="宋体" w:cs="宋体" w:eastAsia="宋体" w:hint="default"/>
                <w:sz w:val="18"/>
                <w:szCs w:val="18"/>
              </w:rPr>
              <w:t>股东性质</w:t>
            </w:r>
          </w:p>
        </w:tc>
        <w:tc>
          <w:tcPr>
            <w:tcW w:w="74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30"/>
              <w:ind w:left="302" w:right="75" w:hanging="183"/>
              <w:jc w:val="left"/>
              <w:rPr>
                <w:rFonts w:ascii="宋体" w:hAnsi="宋体" w:cs="宋体" w:eastAsia="宋体" w:hint="default"/>
                <w:sz w:val="18"/>
                <w:szCs w:val="18"/>
              </w:rPr>
            </w:pPr>
            <w:r>
              <w:rPr>
                <w:rFonts w:ascii="宋体" w:hAnsi="宋体" w:cs="宋体" w:eastAsia="宋体" w:hint="default"/>
                <w:sz w:val="18"/>
                <w:szCs w:val="18"/>
              </w:rPr>
              <w:t>持股比</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例</w:t>
            </w:r>
          </w:p>
        </w:tc>
        <w:tc>
          <w:tcPr>
            <w:tcW w:w="82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19" w:lineRule="auto"/>
              <w:ind w:left="158" w:right="113"/>
              <w:jc w:val="both"/>
              <w:rPr>
                <w:rFonts w:ascii="宋体" w:hAnsi="宋体" w:cs="宋体" w:eastAsia="宋体" w:hint="default"/>
                <w:sz w:val="18"/>
                <w:szCs w:val="18"/>
              </w:rPr>
            </w:pPr>
            <w:r>
              <w:rPr>
                <w:rFonts w:ascii="宋体" w:hAnsi="宋体" w:cs="宋体" w:eastAsia="宋体" w:hint="default"/>
                <w:sz w:val="18"/>
                <w:szCs w:val="18"/>
              </w:rPr>
              <w:t>报告期</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末持股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数量</w:t>
            </w:r>
          </w:p>
        </w:tc>
        <w:tc>
          <w:tcPr>
            <w:tcW w:w="792"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3"/>
              <w:ind w:left="120" w:right="117"/>
              <w:jc w:val="center"/>
              <w:rPr>
                <w:rFonts w:ascii="宋体" w:hAnsi="宋体" w:cs="宋体" w:eastAsia="宋体" w:hint="default"/>
                <w:sz w:val="18"/>
                <w:szCs w:val="18"/>
              </w:rPr>
            </w:pPr>
            <w:r>
              <w:rPr>
                <w:rFonts w:ascii="宋体" w:hAnsi="宋体" w:cs="宋体" w:eastAsia="宋体" w:hint="default"/>
                <w:spacing w:val="-2"/>
                <w:sz w:val="18"/>
                <w:szCs w:val="18"/>
              </w:rPr>
              <w:t>报告期</w:t>
            </w:r>
            <w:r>
              <w:rPr>
                <w:rFonts w:ascii="宋体" w:hAnsi="宋体" w:cs="宋体" w:eastAsia="宋体" w:hint="default"/>
                <w:w w:val="101"/>
                <w:sz w:val="18"/>
                <w:szCs w:val="18"/>
              </w:rPr>
              <w:t> </w:t>
            </w:r>
            <w:r>
              <w:rPr>
                <w:rFonts w:ascii="宋体" w:hAnsi="宋体" w:cs="宋体" w:eastAsia="宋体" w:hint="default"/>
                <w:spacing w:val="-2"/>
                <w:sz w:val="18"/>
                <w:szCs w:val="18"/>
              </w:rPr>
              <w:t>内增减</w:t>
            </w:r>
            <w:r>
              <w:rPr>
                <w:rFonts w:ascii="宋体" w:hAnsi="宋体" w:cs="宋体" w:eastAsia="宋体" w:hint="default"/>
                <w:w w:val="101"/>
                <w:sz w:val="18"/>
                <w:szCs w:val="18"/>
              </w:rPr>
              <w:t> </w:t>
            </w:r>
            <w:r>
              <w:rPr>
                <w:rFonts w:ascii="宋体" w:hAnsi="宋体" w:cs="宋体" w:eastAsia="宋体" w:hint="default"/>
                <w:spacing w:val="-2"/>
                <w:sz w:val="18"/>
                <w:szCs w:val="18"/>
              </w:rPr>
              <w:t>变动情</w:t>
            </w:r>
            <w:r>
              <w:rPr>
                <w:rFonts w:ascii="宋体" w:hAnsi="宋体" w:cs="宋体" w:eastAsia="宋体" w:hint="default"/>
                <w:w w:val="101"/>
                <w:sz w:val="18"/>
                <w:szCs w:val="18"/>
              </w:rPr>
              <w:t> </w:t>
            </w:r>
            <w:r>
              <w:rPr>
                <w:rFonts w:ascii="宋体" w:hAnsi="宋体" w:cs="宋体" w:eastAsia="宋体" w:hint="default"/>
                <w:sz w:val="18"/>
                <w:szCs w:val="18"/>
              </w:rPr>
              <w:t>况</w:t>
            </w:r>
          </w:p>
        </w:tc>
        <w:tc>
          <w:tcPr>
            <w:tcW w:w="759"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3"/>
              <w:ind w:left="115" w:right="89"/>
              <w:jc w:val="both"/>
              <w:rPr>
                <w:rFonts w:ascii="宋体" w:hAnsi="宋体" w:cs="宋体" w:eastAsia="宋体" w:hint="default"/>
                <w:sz w:val="18"/>
                <w:szCs w:val="18"/>
              </w:rPr>
            </w:pPr>
            <w:r>
              <w:rPr>
                <w:rFonts w:ascii="宋体" w:hAnsi="宋体" w:cs="宋体" w:eastAsia="宋体" w:hint="default"/>
                <w:sz w:val="18"/>
                <w:szCs w:val="18"/>
              </w:rPr>
              <w:t>持有有</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限售条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件的股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份数量</w:t>
            </w:r>
          </w:p>
        </w:tc>
        <w:tc>
          <w:tcPr>
            <w:tcW w:w="864"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3"/>
              <w:ind w:left="172" w:right="137"/>
              <w:jc w:val="both"/>
              <w:rPr>
                <w:rFonts w:ascii="宋体" w:hAnsi="宋体" w:cs="宋体" w:eastAsia="宋体" w:hint="default"/>
                <w:sz w:val="18"/>
                <w:szCs w:val="18"/>
              </w:rPr>
            </w:pPr>
            <w:r>
              <w:rPr>
                <w:rFonts w:ascii="宋体" w:hAnsi="宋体" w:cs="宋体" w:eastAsia="宋体" w:hint="default"/>
                <w:sz w:val="18"/>
                <w:szCs w:val="18"/>
              </w:rPr>
              <w:t>持有无</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限售条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件的股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份数量</w:t>
            </w:r>
          </w:p>
        </w:tc>
        <w:tc>
          <w:tcPr>
            <w:tcW w:w="269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15" w:right="0"/>
              <w:jc w:val="left"/>
              <w:rPr>
                <w:rFonts w:ascii="宋体" w:hAnsi="宋体" w:cs="宋体" w:eastAsia="宋体" w:hint="default"/>
                <w:sz w:val="18"/>
                <w:szCs w:val="18"/>
              </w:rPr>
            </w:pPr>
            <w:r>
              <w:rPr>
                <w:rFonts w:ascii="宋体" w:hAnsi="宋体" w:cs="宋体" w:eastAsia="宋体" w:hint="default"/>
                <w:spacing w:val="-3"/>
                <w:sz w:val="18"/>
                <w:szCs w:val="18"/>
              </w:rPr>
              <w:t>质押或冻结情况</w:t>
            </w:r>
          </w:p>
        </w:tc>
      </w:tr>
      <w:tr>
        <w:trPr>
          <w:trHeight w:val="936" w:hRule="exact"/>
        </w:trPr>
        <w:tc>
          <w:tcPr>
            <w:tcW w:w="1469" w:type="dxa"/>
            <w:gridSpan w:val="2"/>
            <w:vMerge/>
            <w:tcBorders>
              <w:left w:val="single" w:sz="4" w:space="0" w:color="000000"/>
              <w:bottom w:val="single" w:sz="4" w:space="0" w:color="000000"/>
              <w:right w:val="single" w:sz="4" w:space="0" w:color="000000"/>
            </w:tcBorders>
            <w:shd w:val="clear" w:color="auto" w:fill="D2D2D2"/>
          </w:tcPr>
          <w:p>
            <w:pPr/>
          </w:p>
        </w:tc>
        <w:tc>
          <w:tcPr>
            <w:tcW w:w="1412" w:type="dxa"/>
            <w:gridSpan w:val="2"/>
            <w:vMerge/>
            <w:tcBorders>
              <w:left w:val="single" w:sz="4" w:space="0" w:color="000000"/>
              <w:bottom w:val="single" w:sz="4" w:space="0" w:color="000000"/>
              <w:right w:val="single" w:sz="4" w:space="0" w:color="000000"/>
            </w:tcBorders>
            <w:shd w:val="clear" w:color="auto" w:fill="D2D2D2"/>
          </w:tcPr>
          <w:p>
            <w:pPr/>
          </w:p>
        </w:tc>
        <w:tc>
          <w:tcPr>
            <w:tcW w:w="749" w:type="dxa"/>
            <w:vMerge/>
            <w:tcBorders>
              <w:left w:val="single" w:sz="4" w:space="0" w:color="000000"/>
              <w:bottom w:val="single" w:sz="4" w:space="0" w:color="000000"/>
              <w:right w:val="single" w:sz="4" w:space="0" w:color="000000"/>
            </w:tcBorders>
            <w:shd w:val="clear" w:color="auto" w:fill="D2D2D2"/>
          </w:tcPr>
          <w:p>
            <w:pPr/>
          </w:p>
        </w:tc>
        <w:tc>
          <w:tcPr>
            <w:tcW w:w="826" w:type="dxa"/>
            <w:vMerge/>
            <w:tcBorders>
              <w:left w:val="single" w:sz="4" w:space="0" w:color="000000"/>
              <w:bottom w:val="single" w:sz="4" w:space="0" w:color="000000"/>
              <w:right w:val="single" w:sz="4" w:space="0" w:color="000000"/>
            </w:tcBorders>
            <w:shd w:val="clear" w:color="auto" w:fill="D2D2D2"/>
          </w:tcPr>
          <w:p>
            <w:pPr/>
          </w:p>
        </w:tc>
        <w:tc>
          <w:tcPr>
            <w:tcW w:w="792" w:type="dxa"/>
            <w:gridSpan w:val="2"/>
            <w:vMerge/>
            <w:tcBorders>
              <w:left w:val="single" w:sz="4" w:space="0" w:color="000000"/>
              <w:bottom w:val="single" w:sz="4" w:space="0" w:color="000000"/>
              <w:right w:val="single" w:sz="4" w:space="0" w:color="000000"/>
            </w:tcBorders>
            <w:shd w:val="clear" w:color="auto" w:fill="D2D2D2"/>
          </w:tcPr>
          <w:p>
            <w:pPr/>
          </w:p>
        </w:tc>
        <w:tc>
          <w:tcPr>
            <w:tcW w:w="759" w:type="dxa"/>
            <w:vMerge/>
            <w:tcBorders>
              <w:left w:val="single" w:sz="4" w:space="0" w:color="000000"/>
              <w:bottom w:val="single" w:sz="4" w:space="0" w:color="000000"/>
              <w:right w:val="single" w:sz="4" w:space="0" w:color="000000"/>
            </w:tcBorders>
            <w:shd w:val="clear" w:color="auto" w:fill="D2D2D2"/>
          </w:tcPr>
          <w:p>
            <w:pPr/>
          </w:p>
        </w:tc>
        <w:tc>
          <w:tcPr>
            <w:tcW w:w="864" w:type="dxa"/>
            <w:vMerge/>
            <w:tcBorders>
              <w:left w:val="single" w:sz="4" w:space="0" w:color="000000"/>
              <w:bottom w:val="single" w:sz="4" w:space="0" w:color="000000"/>
              <w:right w:val="single" w:sz="4" w:space="0" w:color="000000"/>
            </w:tcBorders>
            <w:shd w:val="clear" w:color="auto" w:fill="D2D2D2"/>
          </w:tcPr>
          <w:p>
            <w:pPr/>
          </w:p>
        </w:tc>
        <w:tc>
          <w:tcPr>
            <w:tcW w:w="135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24"/>
                <w:szCs w:val="24"/>
              </w:rPr>
            </w:pPr>
          </w:p>
          <w:p>
            <w:pPr>
              <w:pStyle w:val="TableParagraph"/>
              <w:spacing w:line="240" w:lineRule="auto"/>
              <w:ind w:left="312" w:right="0"/>
              <w:jc w:val="left"/>
              <w:rPr>
                <w:rFonts w:ascii="宋体" w:hAnsi="宋体" w:cs="宋体" w:eastAsia="宋体" w:hint="default"/>
                <w:sz w:val="18"/>
                <w:szCs w:val="18"/>
              </w:rPr>
            </w:pPr>
            <w:r>
              <w:rPr>
                <w:rFonts w:ascii="宋体" w:hAnsi="宋体" w:cs="宋体" w:eastAsia="宋体" w:hint="default"/>
                <w:sz w:val="18"/>
                <w:szCs w:val="18"/>
              </w:rPr>
              <w:t>股份状态</w:t>
            </w:r>
          </w:p>
        </w:tc>
        <w:tc>
          <w:tcPr>
            <w:tcW w:w="134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数量</w:t>
            </w:r>
          </w:p>
        </w:tc>
      </w:tr>
      <w:tr>
        <w:trPr>
          <w:trHeight w:val="715"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吴涵渠</w:t>
            </w:r>
          </w:p>
        </w:tc>
        <w:tc>
          <w:tcPr>
            <w:tcW w:w="14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58"/>
              <w:jc w:val="right"/>
              <w:rPr>
                <w:rFonts w:ascii="Times New Roman" w:hAnsi="Times New Roman" w:cs="Times New Roman" w:eastAsia="Times New Roman" w:hint="default"/>
                <w:sz w:val="18"/>
                <w:szCs w:val="18"/>
              </w:rPr>
            </w:pPr>
            <w:r>
              <w:rPr>
                <w:rFonts w:ascii="Times New Roman"/>
                <w:spacing w:val="-1"/>
                <w:sz w:val="18"/>
              </w:rPr>
              <w:t>27.60%</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20" w:right="0"/>
              <w:jc w:val="left"/>
              <w:rPr>
                <w:rFonts w:ascii="Times New Roman" w:hAnsi="Times New Roman" w:cs="Times New Roman" w:eastAsia="Times New Roman" w:hint="default"/>
                <w:sz w:val="18"/>
                <w:szCs w:val="18"/>
              </w:rPr>
            </w:pPr>
            <w:r>
              <w:rPr>
                <w:rFonts w:ascii="Times New Roman"/>
                <w:sz w:val="18"/>
              </w:rPr>
              <w:t>171,15</w:t>
            </w:r>
          </w:p>
          <w:p>
            <w:pPr>
              <w:pStyle w:val="TableParagraph"/>
              <w:spacing w:line="240" w:lineRule="auto" w:before="105"/>
              <w:ind w:left="311" w:right="0"/>
              <w:jc w:val="left"/>
              <w:rPr>
                <w:rFonts w:ascii="Times New Roman" w:hAnsi="Times New Roman" w:cs="Times New Roman" w:eastAsia="Times New Roman" w:hint="default"/>
                <w:sz w:val="18"/>
                <w:szCs w:val="18"/>
              </w:rPr>
            </w:pPr>
            <w:r>
              <w:rPr>
                <w:rFonts w:ascii="Times New Roman"/>
                <w:sz w:val="18"/>
              </w:rPr>
              <w:t>6,663</w:t>
            </w:r>
          </w:p>
        </w:tc>
        <w:tc>
          <w:tcPr>
            <w:tcW w:w="7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05" w:right="0"/>
              <w:jc w:val="lef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77" w:right="0"/>
              <w:jc w:val="left"/>
              <w:rPr>
                <w:rFonts w:ascii="Times New Roman" w:hAnsi="Times New Roman" w:cs="Times New Roman" w:eastAsia="Times New Roman" w:hint="default"/>
                <w:sz w:val="18"/>
                <w:szCs w:val="18"/>
              </w:rPr>
            </w:pPr>
            <w:r>
              <w:rPr>
                <w:rFonts w:ascii="Times New Roman"/>
                <w:sz w:val="18"/>
              </w:rPr>
              <w:t>128,36</w:t>
            </w:r>
          </w:p>
          <w:p>
            <w:pPr>
              <w:pStyle w:val="TableParagraph"/>
              <w:spacing w:line="240" w:lineRule="auto" w:before="105"/>
              <w:ind w:left="268" w:right="0"/>
              <w:jc w:val="left"/>
              <w:rPr>
                <w:rFonts w:ascii="Times New Roman" w:hAnsi="Times New Roman" w:cs="Times New Roman" w:eastAsia="Times New Roman" w:hint="default"/>
                <w:sz w:val="18"/>
                <w:szCs w:val="18"/>
              </w:rPr>
            </w:pPr>
            <w:r>
              <w:rPr>
                <w:rFonts w:ascii="Times New Roman"/>
                <w:sz w:val="18"/>
              </w:rPr>
              <w:t>7,497</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16" w:right="0"/>
              <w:jc w:val="left"/>
              <w:rPr>
                <w:rFonts w:ascii="Times New Roman" w:hAnsi="Times New Roman" w:cs="Times New Roman" w:eastAsia="Times New Roman" w:hint="default"/>
                <w:sz w:val="18"/>
                <w:szCs w:val="18"/>
              </w:rPr>
            </w:pPr>
            <w:r>
              <w:rPr>
                <w:rFonts w:ascii="Times New Roman"/>
                <w:sz w:val="18"/>
              </w:rPr>
              <w:t>42,789,</w:t>
            </w:r>
          </w:p>
          <w:p>
            <w:pPr>
              <w:pStyle w:val="TableParagraph"/>
              <w:spacing w:line="240" w:lineRule="auto" w:before="105"/>
              <w:ind w:left="484" w:right="0"/>
              <w:jc w:val="left"/>
              <w:rPr>
                <w:rFonts w:ascii="Times New Roman" w:hAnsi="Times New Roman" w:cs="Times New Roman" w:eastAsia="Times New Roman" w:hint="default"/>
                <w:sz w:val="18"/>
                <w:szCs w:val="18"/>
              </w:rPr>
            </w:pPr>
            <w:r>
              <w:rPr>
                <w:rFonts w:ascii="Times New Roman"/>
                <w:sz w:val="18"/>
              </w:rPr>
              <w:t>166</w:t>
            </w:r>
          </w:p>
        </w:tc>
        <w:tc>
          <w:tcPr>
            <w:tcW w:w="135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34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422" w:right="0"/>
              <w:jc w:val="left"/>
              <w:rPr>
                <w:rFonts w:ascii="Times New Roman" w:hAnsi="Times New Roman" w:cs="Times New Roman" w:eastAsia="Times New Roman" w:hint="default"/>
                <w:sz w:val="18"/>
                <w:szCs w:val="18"/>
              </w:rPr>
            </w:pPr>
            <w:r>
              <w:rPr>
                <w:rFonts w:ascii="Times New Roman"/>
                <w:sz w:val="18"/>
              </w:rPr>
              <w:t>18,886,000</w:t>
            </w:r>
          </w:p>
        </w:tc>
      </w:tr>
      <w:tr>
        <w:trPr>
          <w:trHeight w:val="711"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黄斌</w:t>
            </w:r>
          </w:p>
        </w:tc>
        <w:tc>
          <w:tcPr>
            <w:tcW w:w="14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58"/>
              <w:jc w:val="right"/>
              <w:rPr>
                <w:rFonts w:ascii="Times New Roman" w:hAnsi="Times New Roman" w:cs="Times New Roman" w:eastAsia="Times New Roman" w:hint="default"/>
                <w:sz w:val="18"/>
                <w:szCs w:val="18"/>
              </w:rPr>
            </w:pPr>
            <w:r>
              <w:rPr>
                <w:rFonts w:ascii="Times New Roman"/>
                <w:spacing w:val="-1"/>
                <w:sz w:val="18"/>
              </w:rPr>
              <w:t>4.60%</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77" w:right="0"/>
              <w:jc w:val="left"/>
              <w:rPr>
                <w:rFonts w:ascii="Times New Roman" w:hAnsi="Times New Roman" w:cs="Times New Roman" w:eastAsia="Times New Roman" w:hint="default"/>
                <w:sz w:val="18"/>
                <w:szCs w:val="18"/>
              </w:rPr>
            </w:pPr>
            <w:r>
              <w:rPr>
                <w:rFonts w:ascii="Times New Roman"/>
                <w:sz w:val="18"/>
              </w:rPr>
              <w:t>28,540,</w:t>
            </w:r>
          </w:p>
          <w:p>
            <w:pPr>
              <w:pStyle w:val="TableParagraph"/>
              <w:spacing w:line="240" w:lineRule="auto" w:before="105"/>
              <w:ind w:left="446" w:right="0"/>
              <w:jc w:val="left"/>
              <w:rPr>
                <w:rFonts w:ascii="Times New Roman" w:hAnsi="Times New Roman" w:cs="Times New Roman" w:eastAsia="Times New Roman" w:hint="default"/>
                <w:sz w:val="18"/>
                <w:szCs w:val="18"/>
              </w:rPr>
            </w:pPr>
            <w:r>
              <w:rPr>
                <w:rFonts w:ascii="Times New Roman"/>
                <w:sz w:val="18"/>
              </w:rPr>
              <w:t>794</w:t>
            </w:r>
          </w:p>
        </w:tc>
        <w:tc>
          <w:tcPr>
            <w:tcW w:w="7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5" w:right="0"/>
              <w:jc w:val="left"/>
              <w:rPr>
                <w:rFonts w:ascii="Times New Roman" w:hAnsi="Times New Roman" w:cs="Times New Roman" w:eastAsia="Times New Roman" w:hint="default"/>
                <w:sz w:val="18"/>
                <w:szCs w:val="18"/>
              </w:rPr>
            </w:pPr>
            <w:r>
              <w:rPr>
                <w:rFonts w:ascii="Times New Roman"/>
                <w:sz w:val="18"/>
              </w:rPr>
              <w:t>-364,35</w:t>
            </w:r>
          </w:p>
          <w:p>
            <w:pPr>
              <w:pStyle w:val="TableParagraph"/>
              <w:spacing w:line="240" w:lineRule="auto" w:before="105"/>
              <w:ind w:left="105" w:right="0"/>
              <w:jc w:val="lef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74"/>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16" w:right="0"/>
              <w:jc w:val="left"/>
              <w:rPr>
                <w:rFonts w:ascii="Times New Roman" w:hAnsi="Times New Roman" w:cs="Times New Roman" w:eastAsia="Times New Roman" w:hint="default"/>
                <w:sz w:val="18"/>
                <w:szCs w:val="18"/>
              </w:rPr>
            </w:pPr>
            <w:r>
              <w:rPr>
                <w:rFonts w:ascii="Times New Roman"/>
                <w:sz w:val="18"/>
              </w:rPr>
              <w:t>28,540,</w:t>
            </w:r>
          </w:p>
          <w:p>
            <w:pPr>
              <w:pStyle w:val="TableParagraph"/>
              <w:spacing w:line="240" w:lineRule="auto" w:before="105"/>
              <w:ind w:left="484" w:right="0"/>
              <w:jc w:val="left"/>
              <w:rPr>
                <w:rFonts w:ascii="Times New Roman" w:hAnsi="Times New Roman" w:cs="Times New Roman" w:eastAsia="Times New Roman" w:hint="default"/>
                <w:sz w:val="18"/>
                <w:szCs w:val="18"/>
              </w:rPr>
            </w:pPr>
            <w:r>
              <w:rPr>
                <w:rFonts w:ascii="Times New Roman"/>
                <w:sz w:val="18"/>
              </w:rPr>
              <w:t>794</w:t>
            </w:r>
          </w:p>
        </w:tc>
        <w:tc>
          <w:tcPr>
            <w:tcW w:w="1354" w:type="dxa"/>
            <w:gridSpan w:val="2"/>
            <w:tcBorders>
              <w:top w:val="single" w:sz="4" w:space="0" w:color="000000"/>
              <w:left w:val="single" w:sz="4" w:space="0" w:color="000000"/>
              <w:bottom w:val="single" w:sz="4" w:space="0" w:color="000000"/>
              <w:right w:val="single" w:sz="4" w:space="0" w:color="000000"/>
            </w:tcBorders>
          </w:tcPr>
          <w:p>
            <w:pPr/>
          </w:p>
        </w:tc>
        <w:tc>
          <w:tcPr>
            <w:tcW w:w="1344" w:type="dxa"/>
            <w:gridSpan w:val="2"/>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105" w:right="0"/>
              <w:jc w:val="left"/>
              <w:rPr>
                <w:rFonts w:ascii="宋体" w:hAnsi="宋体" w:cs="宋体" w:eastAsia="宋体" w:hint="default"/>
                <w:sz w:val="18"/>
                <w:szCs w:val="18"/>
              </w:rPr>
            </w:pPr>
            <w:r>
              <w:rPr>
                <w:rFonts w:ascii="宋体" w:hAnsi="宋体" w:cs="宋体" w:eastAsia="宋体" w:hint="default"/>
                <w:sz w:val="18"/>
                <w:szCs w:val="18"/>
              </w:rPr>
              <w:t>山东省国有资</w:t>
            </w:r>
          </w:p>
        </w:tc>
        <w:tc>
          <w:tcPr>
            <w:tcW w:w="14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国有法人</w:t>
            </w: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58"/>
              <w:jc w:val="right"/>
              <w:rPr>
                <w:rFonts w:ascii="Times New Roman" w:hAnsi="Times New Roman" w:cs="Times New Roman" w:eastAsia="Times New Roman" w:hint="default"/>
                <w:sz w:val="18"/>
                <w:szCs w:val="18"/>
              </w:rPr>
            </w:pPr>
            <w:r>
              <w:rPr>
                <w:rFonts w:ascii="Times New Roman"/>
                <w:spacing w:val="-1"/>
                <w:sz w:val="18"/>
              </w:rPr>
              <w:t>4.51%</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left="177" w:right="0"/>
              <w:jc w:val="left"/>
              <w:rPr>
                <w:rFonts w:ascii="Times New Roman" w:hAnsi="Times New Roman" w:cs="Times New Roman" w:eastAsia="Times New Roman" w:hint="default"/>
                <w:sz w:val="18"/>
                <w:szCs w:val="18"/>
              </w:rPr>
            </w:pPr>
            <w:r>
              <w:rPr>
                <w:rFonts w:ascii="Times New Roman"/>
                <w:sz w:val="18"/>
              </w:rPr>
              <w:t>27,945,</w:t>
            </w:r>
          </w:p>
        </w:tc>
        <w:tc>
          <w:tcPr>
            <w:tcW w:w="7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5" w:right="0"/>
              <w:jc w:val="lef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74"/>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left="216" w:right="0"/>
              <w:jc w:val="left"/>
              <w:rPr>
                <w:rFonts w:ascii="Times New Roman" w:hAnsi="Times New Roman" w:cs="Times New Roman" w:eastAsia="Times New Roman" w:hint="default"/>
                <w:sz w:val="18"/>
                <w:szCs w:val="18"/>
              </w:rPr>
            </w:pPr>
            <w:r>
              <w:rPr>
                <w:rFonts w:ascii="Times New Roman"/>
                <w:sz w:val="18"/>
              </w:rPr>
              <w:t>27,945,</w:t>
            </w:r>
          </w:p>
        </w:tc>
        <w:tc>
          <w:tcPr>
            <w:tcW w:w="1354" w:type="dxa"/>
            <w:gridSpan w:val="2"/>
            <w:tcBorders>
              <w:top w:val="single" w:sz="4" w:space="0" w:color="000000"/>
              <w:left w:val="single" w:sz="4" w:space="0" w:color="000000"/>
              <w:bottom w:val="single" w:sz="4" w:space="0" w:color="000000"/>
              <w:right w:val="single" w:sz="4" w:space="0" w:color="000000"/>
            </w:tcBorders>
          </w:tcPr>
          <w:p>
            <w:pPr/>
          </w:p>
        </w:tc>
        <w:tc>
          <w:tcPr>
            <w:tcW w:w="1344" w:type="dxa"/>
            <w:gridSpan w:val="2"/>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84" w:footer="1022" w:top="1100" w:bottom="1220" w:left="980" w:right="0"/>
        </w:sectPr>
      </w:pPr>
    </w:p>
    <w:p>
      <w:pPr>
        <w:spacing w:line="240" w:lineRule="auto" w:before="1"/>
        <w:rPr>
          <w:rFonts w:ascii="Times New Roman" w:hAnsi="Times New Roman" w:cs="Times New Roman" w:eastAsia="Times New Roman" w:hint="default"/>
          <w:sz w:val="29"/>
          <w:szCs w:val="29"/>
        </w:rPr>
      </w:pPr>
    </w:p>
    <w:tbl>
      <w:tblPr>
        <w:tblW w:w="0" w:type="auto"/>
        <w:jc w:val="left"/>
        <w:tblInd w:w="148" w:type="dxa"/>
        <w:tblLayout w:type="fixed"/>
        <w:tblCellMar>
          <w:top w:w="0" w:type="dxa"/>
          <w:left w:w="0" w:type="dxa"/>
          <w:bottom w:w="0" w:type="dxa"/>
          <w:right w:w="0" w:type="dxa"/>
        </w:tblCellMar>
        <w:tblLook w:val="01E0"/>
      </w:tblPr>
      <w:tblGrid>
        <w:gridCol w:w="1469"/>
        <w:gridCol w:w="1412"/>
        <w:gridCol w:w="788"/>
        <w:gridCol w:w="787"/>
        <w:gridCol w:w="792"/>
        <w:gridCol w:w="783"/>
        <w:gridCol w:w="840"/>
        <w:gridCol w:w="1354"/>
        <w:gridCol w:w="1344"/>
      </w:tblGrid>
      <w:tr>
        <w:trPr>
          <w:trHeight w:val="672"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321" w:lineRule="auto" w:before="10"/>
              <w:ind w:left="105" w:right="267"/>
              <w:jc w:val="left"/>
              <w:rPr>
                <w:rFonts w:ascii="宋体" w:hAnsi="宋体" w:cs="宋体" w:eastAsia="宋体" w:hint="default"/>
                <w:sz w:val="18"/>
                <w:szCs w:val="18"/>
              </w:rPr>
            </w:pPr>
            <w:r>
              <w:rPr>
                <w:rFonts w:ascii="宋体" w:hAnsi="宋体" w:cs="宋体" w:eastAsia="宋体" w:hint="default"/>
                <w:spacing w:val="-2"/>
                <w:sz w:val="18"/>
                <w:szCs w:val="18"/>
              </w:rPr>
              <w:t>产投资控股有</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限公司</w:t>
            </w:r>
          </w:p>
        </w:tc>
        <w:tc>
          <w:tcPr>
            <w:tcW w:w="1412" w:type="dxa"/>
            <w:tcBorders>
              <w:top w:val="single" w:sz="4" w:space="0" w:color="000000"/>
              <w:left w:val="single" w:sz="4" w:space="0" w:color="000000"/>
              <w:bottom w:val="single" w:sz="4" w:space="0" w:color="000000"/>
              <w:right w:val="single" w:sz="4" w:space="0" w:color="000000"/>
            </w:tcBorders>
          </w:tcPr>
          <w:p>
            <w:pPr/>
          </w:p>
        </w:tc>
        <w:tc>
          <w:tcPr>
            <w:tcW w:w="788" w:type="dxa"/>
            <w:tcBorders>
              <w:top w:val="single" w:sz="4" w:space="0" w:color="000000"/>
              <w:left w:val="single" w:sz="4" w:space="0" w:color="000000"/>
              <w:bottom w:val="single" w:sz="4" w:space="0" w:color="000000"/>
              <w:right w:val="single" w:sz="4" w:space="0" w:color="000000"/>
            </w:tcBorders>
          </w:tcPr>
          <w:p>
            <w:pP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407" w:right="0"/>
              <w:jc w:val="left"/>
              <w:rPr>
                <w:rFonts w:ascii="Times New Roman" w:hAnsi="Times New Roman" w:cs="Times New Roman" w:eastAsia="Times New Roman" w:hint="default"/>
                <w:sz w:val="18"/>
                <w:szCs w:val="18"/>
              </w:rPr>
            </w:pPr>
            <w:r>
              <w:rPr>
                <w:rFonts w:ascii="Times New Roman"/>
                <w:sz w:val="18"/>
              </w:rPr>
              <w:t>470</w:t>
            </w:r>
          </w:p>
        </w:tc>
        <w:tc>
          <w:tcPr>
            <w:tcW w:w="792" w:type="dxa"/>
            <w:tcBorders>
              <w:top w:val="single" w:sz="4" w:space="0" w:color="000000"/>
              <w:left w:val="single" w:sz="4" w:space="0" w:color="000000"/>
              <w:bottom w:val="single" w:sz="4" w:space="0" w:color="000000"/>
              <w:right w:val="single" w:sz="4" w:space="0" w:color="000000"/>
            </w:tcBorders>
          </w:tcPr>
          <w:p>
            <w:pPr/>
          </w:p>
        </w:tc>
        <w:tc>
          <w:tcPr>
            <w:tcW w:w="783"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95"/>
              <w:jc w:val="right"/>
              <w:rPr>
                <w:rFonts w:ascii="Times New Roman" w:hAnsi="Times New Roman" w:cs="Times New Roman" w:eastAsia="Times New Roman" w:hint="default"/>
                <w:sz w:val="18"/>
                <w:szCs w:val="18"/>
              </w:rPr>
            </w:pPr>
            <w:r>
              <w:rPr>
                <w:rFonts w:ascii="Times New Roman"/>
                <w:sz w:val="18"/>
              </w:rPr>
              <w:t>470</w:t>
            </w:r>
          </w:p>
        </w:tc>
        <w:tc>
          <w:tcPr>
            <w:tcW w:w="135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沈永健</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3.52%</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9" w:right="0"/>
              <w:jc w:val="left"/>
              <w:rPr>
                <w:rFonts w:ascii="Times New Roman" w:hAnsi="Times New Roman" w:cs="Times New Roman" w:eastAsia="Times New Roman" w:hint="default"/>
                <w:sz w:val="18"/>
                <w:szCs w:val="18"/>
              </w:rPr>
            </w:pPr>
            <w:r>
              <w:rPr>
                <w:rFonts w:ascii="Times New Roman"/>
                <w:sz w:val="18"/>
              </w:rPr>
              <w:t>21,849,</w:t>
            </w:r>
          </w:p>
          <w:p>
            <w:pPr>
              <w:pStyle w:val="TableParagraph"/>
              <w:spacing w:line="240" w:lineRule="auto" w:before="110"/>
              <w:ind w:left="407" w:right="0"/>
              <w:jc w:val="left"/>
              <w:rPr>
                <w:rFonts w:ascii="Times New Roman" w:hAnsi="Times New Roman" w:cs="Times New Roman" w:eastAsia="Times New Roman" w:hint="default"/>
                <w:sz w:val="18"/>
                <w:szCs w:val="18"/>
              </w:rPr>
            </w:pPr>
            <w:r>
              <w:rPr>
                <w:rFonts w:ascii="Times New Roman"/>
                <w:sz w:val="18"/>
              </w:rPr>
              <w:t>999</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left="105" w:right="0"/>
              <w:jc w:val="lef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4" w:right="0"/>
              <w:jc w:val="left"/>
              <w:rPr>
                <w:rFonts w:ascii="Times New Roman" w:hAnsi="Times New Roman" w:cs="Times New Roman" w:eastAsia="Times New Roman" w:hint="default"/>
                <w:sz w:val="18"/>
                <w:szCs w:val="18"/>
              </w:rPr>
            </w:pPr>
            <w:r>
              <w:rPr>
                <w:rFonts w:ascii="Times New Roman"/>
                <w:sz w:val="18"/>
              </w:rPr>
              <w:t>17,137,</w:t>
            </w:r>
          </w:p>
          <w:p>
            <w:pPr>
              <w:pStyle w:val="TableParagraph"/>
              <w:spacing w:line="240" w:lineRule="auto" w:before="110"/>
              <w:ind w:left="403" w:right="0"/>
              <w:jc w:val="left"/>
              <w:rPr>
                <w:rFonts w:ascii="Times New Roman" w:hAnsi="Times New Roman" w:cs="Times New Roman" w:eastAsia="Times New Roman" w:hint="default"/>
                <w:sz w:val="18"/>
                <w:szCs w:val="18"/>
              </w:rPr>
            </w:pPr>
            <w:r>
              <w:rPr>
                <w:rFonts w:ascii="Times New Roman"/>
                <w:sz w:val="18"/>
              </w:rPr>
              <w:t>499</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92" w:right="0"/>
              <w:jc w:val="left"/>
              <w:rPr>
                <w:rFonts w:ascii="Times New Roman" w:hAnsi="Times New Roman" w:cs="Times New Roman" w:eastAsia="Times New Roman" w:hint="default"/>
                <w:sz w:val="18"/>
                <w:szCs w:val="18"/>
              </w:rPr>
            </w:pPr>
            <w:r>
              <w:rPr>
                <w:rFonts w:ascii="Times New Roman"/>
                <w:sz w:val="18"/>
              </w:rPr>
              <w:t>6,676,4</w:t>
            </w:r>
          </w:p>
          <w:p>
            <w:pPr>
              <w:pStyle w:val="TableParagraph"/>
              <w:spacing w:line="240" w:lineRule="auto" w:before="110"/>
              <w:ind w:left="552" w:right="0"/>
              <w:jc w:val="left"/>
              <w:rPr>
                <w:rFonts w:ascii="Times New Roman" w:hAnsi="Times New Roman" w:cs="Times New Roman" w:eastAsia="Times New Roman" w:hint="default"/>
                <w:sz w:val="18"/>
                <w:szCs w:val="18"/>
              </w:rPr>
            </w:pPr>
            <w:r>
              <w:rPr>
                <w:rFonts w:ascii="Times New Roman"/>
                <w:sz w:val="18"/>
              </w:rPr>
              <w:t>34</w:t>
            </w:r>
          </w:p>
        </w:tc>
        <w:tc>
          <w:tcPr>
            <w:tcW w:w="135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赵旭峰</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3.33%</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9" w:right="0"/>
              <w:jc w:val="left"/>
              <w:rPr>
                <w:rFonts w:ascii="Times New Roman" w:hAnsi="Times New Roman" w:cs="Times New Roman" w:eastAsia="Times New Roman" w:hint="default"/>
                <w:sz w:val="18"/>
                <w:szCs w:val="18"/>
              </w:rPr>
            </w:pPr>
            <w:r>
              <w:rPr>
                <w:rFonts w:ascii="Times New Roman"/>
                <w:sz w:val="18"/>
              </w:rPr>
              <w:t>20,658,</w:t>
            </w:r>
          </w:p>
          <w:p>
            <w:pPr>
              <w:pStyle w:val="TableParagraph"/>
              <w:spacing w:line="240" w:lineRule="auto" w:before="110"/>
              <w:ind w:left="407" w:right="0"/>
              <w:jc w:val="left"/>
              <w:rPr>
                <w:rFonts w:ascii="Times New Roman" w:hAnsi="Times New Roman" w:cs="Times New Roman" w:eastAsia="Times New Roman" w:hint="default"/>
                <w:sz w:val="18"/>
                <w:szCs w:val="18"/>
              </w:rPr>
            </w:pPr>
            <w:r>
              <w:rPr>
                <w:rFonts w:ascii="Times New Roman"/>
                <w:sz w:val="18"/>
              </w:rPr>
              <w:t>837</w:t>
            </w:r>
          </w:p>
        </w:tc>
        <w:tc>
          <w:tcPr>
            <w:tcW w:w="792" w:type="dxa"/>
            <w:tcBorders>
              <w:top w:val="single" w:sz="4" w:space="0" w:color="000000"/>
              <w:left w:val="single" w:sz="4" w:space="0" w:color="000000"/>
              <w:bottom w:val="single" w:sz="4" w:space="0" w:color="000000"/>
              <w:right w:val="single" w:sz="4" w:space="0" w:color="000000"/>
            </w:tcBorders>
          </w:tcPr>
          <w:p>
            <w:pP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4" w:right="0"/>
              <w:jc w:val="left"/>
              <w:rPr>
                <w:rFonts w:ascii="Times New Roman" w:hAnsi="Times New Roman" w:cs="Times New Roman" w:eastAsia="Times New Roman" w:hint="default"/>
                <w:sz w:val="18"/>
                <w:szCs w:val="18"/>
              </w:rPr>
            </w:pPr>
            <w:r>
              <w:rPr>
                <w:rFonts w:ascii="Times New Roman"/>
                <w:sz w:val="18"/>
              </w:rPr>
              <w:t>15,494,</w:t>
            </w:r>
          </w:p>
          <w:p>
            <w:pPr>
              <w:pStyle w:val="TableParagraph"/>
              <w:spacing w:line="240" w:lineRule="auto" w:before="110"/>
              <w:ind w:left="403" w:right="0"/>
              <w:jc w:val="left"/>
              <w:rPr>
                <w:rFonts w:ascii="Times New Roman" w:hAnsi="Times New Roman" w:cs="Times New Roman" w:eastAsia="Times New Roman" w:hint="default"/>
                <w:sz w:val="18"/>
                <w:szCs w:val="18"/>
              </w:rPr>
            </w:pPr>
            <w:r>
              <w:rPr>
                <w:rFonts w:ascii="Times New Roman"/>
                <w:sz w:val="18"/>
              </w:rPr>
              <w:t>128</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92" w:right="0"/>
              <w:jc w:val="left"/>
              <w:rPr>
                <w:rFonts w:ascii="Times New Roman" w:hAnsi="Times New Roman" w:cs="Times New Roman" w:eastAsia="Times New Roman" w:hint="default"/>
                <w:sz w:val="18"/>
                <w:szCs w:val="18"/>
              </w:rPr>
            </w:pPr>
            <w:r>
              <w:rPr>
                <w:rFonts w:ascii="Times New Roman"/>
                <w:sz w:val="18"/>
              </w:rPr>
              <w:t>5,164,7</w:t>
            </w:r>
          </w:p>
          <w:p>
            <w:pPr>
              <w:pStyle w:val="TableParagraph"/>
              <w:spacing w:line="240" w:lineRule="auto" w:before="110"/>
              <w:ind w:left="552" w:right="0"/>
              <w:jc w:val="left"/>
              <w:rPr>
                <w:rFonts w:ascii="Times New Roman" w:hAnsi="Times New Roman" w:cs="Times New Roman" w:eastAsia="Times New Roman" w:hint="default"/>
                <w:sz w:val="18"/>
                <w:szCs w:val="18"/>
              </w:rPr>
            </w:pPr>
            <w:r>
              <w:rPr>
                <w:rFonts w:ascii="Times New Roman"/>
                <w:sz w:val="18"/>
              </w:rPr>
              <w:t>09</w:t>
            </w:r>
          </w:p>
        </w:tc>
        <w:tc>
          <w:tcPr>
            <w:tcW w:w="135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邱荣邦</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2.61%</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9" w:right="0"/>
              <w:jc w:val="left"/>
              <w:rPr>
                <w:rFonts w:ascii="Times New Roman" w:hAnsi="Times New Roman" w:cs="Times New Roman" w:eastAsia="Times New Roman" w:hint="default"/>
                <w:sz w:val="18"/>
                <w:szCs w:val="18"/>
              </w:rPr>
            </w:pPr>
            <w:r>
              <w:rPr>
                <w:rFonts w:ascii="Times New Roman"/>
                <w:sz w:val="18"/>
              </w:rPr>
              <w:t>16,177,</w:t>
            </w:r>
          </w:p>
          <w:p>
            <w:pPr>
              <w:pStyle w:val="TableParagraph"/>
              <w:spacing w:line="240" w:lineRule="auto" w:before="105"/>
              <w:ind w:left="407" w:right="0"/>
              <w:jc w:val="left"/>
              <w:rPr>
                <w:rFonts w:ascii="Times New Roman" w:hAnsi="Times New Roman" w:cs="Times New Roman" w:eastAsia="Times New Roman" w:hint="default"/>
                <w:sz w:val="18"/>
                <w:szCs w:val="18"/>
              </w:rPr>
            </w:pPr>
            <w:r>
              <w:rPr>
                <w:rFonts w:ascii="Times New Roman"/>
                <w:sz w:val="18"/>
              </w:rPr>
              <w:t>580</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5" w:right="0"/>
              <w:jc w:val="left"/>
              <w:rPr>
                <w:rFonts w:ascii="Times New Roman" w:hAnsi="Times New Roman" w:cs="Times New Roman" w:eastAsia="Times New Roman" w:hint="default"/>
                <w:sz w:val="18"/>
                <w:szCs w:val="18"/>
              </w:rPr>
            </w:pPr>
            <w:r>
              <w:rPr>
                <w:rFonts w:ascii="Times New Roman"/>
                <w:sz w:val="18"/>
              </w:rPr>
              <w:t>-1,994,</w:t>
            </w:r>
          </w:p>
          <w:p>
            <w:pPr>
              <w:pStyle w:val="TableParagraph"/>
              <w:spacing w:line="240" w:lineRule="auto" w:before="105"/>
              <w:ind w:left="105" w:right="0"/>
              <w:jc w:val="left"/>
              <w:rPr>
                <w:rFonts w:ascii="Times New Roman" w:hAnsi="Times New Roman" w:cs="Times New Roman" w:eastAsia="Times New Roman" w:hint="default"/>
                <w:sz w:val="18"/>
                <w:szCs w:val="18"/>
              </w:rPr>
            </w:pPr>
            <w:r>
              <w:rPr>
                <w:rFonts w:ascii="Times New Roman"/>
                <w:sz w:val="18"/>
              </w:rPr>
              <w:t>250</w:t>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4" w:right="0"/>
              <w:jc w:val="left"/>
              <w:rPr>
                <w:rFonts w:ascii="Times New Roman" w:hAnsi="Times New Roman" w:cs="Times New Roman" w:eastAsia="Times New Roman" w:hint="default"/>
                <w:sz w:val="18"/>
                <w:szCs w:val="18"/>
              </w:rPr>
            </w:pPr>
            <w:r>
              <w:rPr>
                <w:rFonts w:ascii="Times New Roman"/>
                <w:sz w:val="18"/>
              </w:rPr>
              <w:t>13,628,</w:t>
            </w:r>
          </w:p>
          <w:p>
            <w:pPr>
              <w:pStyle w:val="TableParagraph"/>
              <w:spacing w:line="240" w:lineRule="auto" w:before="105"/>
              <w:ind w:left="403" w:right="0"/>
              <w:jc w:val="left"/>
              <w:rPr>
                <w:rFonts w:ascii="Times New Roman" w:hAnsi="Times New Roman" w:cs="Times New Roman" w:eastAsia="Times New Roman" w:hint="default"/>
                <w:sz w:val="18"/>
                <w:szCs w:val="18"/>
              </w:rPr>
            </w:pPr>
            <w:r>
              <w:rPr>
                <w:rFonts w:ascii="Times New Roman"/>
                <w:sz w:val="18"/>
              </w:rPr>
              <w:t>872</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92" w:right="0"/>
              <w:jc w:val="left"/>
              <w:rPr>
                <w:rFonts w:ascii="Times New Roman" w:hAnsi="Times New Roman" w:cs="Times New Roman" w:eastAsia="Times New Roman" w:hint="default"/>
                <w:sz w:val="18"/>
                <w:szCs w:val="18"/>
              </w:rPr>
            </w:pPr>
            <w:r>
              <w:rPr>
                <w:rFonts w:ascii="Times New Roman"/>
                <w:sz w:val="18"/>
              </w:rPr>
              <w:t>2,548,7</w:t>
            </w:r>
          </w:p>
          <w:p>
            <w:pPr>
              <w:pStyle w:val="TableParagraph"/>
              <w:spacing w:line="240" w:lineRule="auto" w:before="105"/>
              <w:ind w:left="552" w:right="0"/>
              <w:jc w:val="left"/>
              <w:rPr>
                <w:rFonts w:ascii="Times New Roman" w:hAnsi="Times New Roman" w:cs="Times New Roman" w:eastAsia="Times New Roman" w:hint="default"/>
                <w:sz w:val="18"/>
                <w:szCs w:val="18"/>
              </w:rPr>
            </w:pPr>
            <w:r>
              <w:rPr>
                <w:rFonts w:ascii="Times New Roman"/>
                <w:sz w:val="18"/>
              </w:rPr>
              <w:t>08</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7,200,000</w:t>
            </w:r>
          </w:p>
        </w:tc>
      </w:tr>
      <w:tr>
        <w:trPr>
          <w:trHeight w:val="710"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周维君</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1.56%</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9" w:right="0"/>
              <w:jc w:val="left"/>
              <w:rPr>
                <w:rFonts w:ascii="Times New Roman" w:hAnsi="Times New Roman" w:cs="Times New Roman" w:eastAsia="Times New Roman" w:hint="default"/>
                <w:sz w:val="18"/>
                <w:szCs w:val="18"/>
              </w:rPr>
            </w:pPr>
            <w:r>
              <w:rPr>
                <w:rFonts w:ascii="Times New Roman"/>
                <w:sz w:val="18"/>
              </w:rPr>
              <w:t>9,685,0</w:t>
            </w:r>
          </w:p>
          <w:p>
            <w:pPr>
              <w:pStyle w:val="TableParagraph"/>
              <w:spacing w:line="240" w:lineRule="auto" w:before="105"/>
              <w:ind w:left="499" w:right="0"/>
              <w:jc w:val="left"/>
              <w:rPr>
                <w:rFonts w:ascii="Times New Roman" w:hAnsi="Times New Roman" w:cs="Times New Roman" w:eastAsia="Times New Roman" w:hint="default"/>
                <w:sz w:val="18"/>
                <w:szCs w:val="18"/>
              </w:rPr>
            </w:pPr>
            <w:r>
              <w:rPr>
                <w:rFonts w:ascii="Times New Roman"/>
                <w:sz w:val="18"/>
              </w:rPr>
              <w:t>39</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05" w:right="0"/>
              <w:jc w:val="lef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4" w:right="0"/>
              <w:jc w:val="left"/>
              <w:rPr>
                <w:rFonts w:ascii="Times New Roman" w:hAnsi="Times New Roman" w:cs="Times New Roman" w:eastAsia="Times New Roman" w:hint="default"/>
                <w:sz w:val="18"/>
                <w:szCs w:val="18"/>
              </w:rPr>
            </w:pPr>
            <w:r>
              <w:rPr>
                <w:rFonts w:ascii="Times New Roman"/>
                <w:sz w:val="18"/>
              </w:rPr>
              <w:t>3,690,0</w:t>
            </w:r>
          </w:p>
          <w:p>
            <w:pPr>
              <w:pStyle w:val="TableParagraph"/>
              <w:spacing w:line="240" w:lineRule="auto" w:before="105"/>
              <w:ind w:left="494" w:right="0"/>
              <w:jc w:val="left"/>
              <w:rPr>
                <w:rFonts w:ascii="Times New Roman" w:hAnsi="Times New Roman" w:cs="Times New Roman" w:eastAsia="Times New Roman" w:hint="default"/>
                <w:sz w:val="18"/>
                <w:szCs w:val="18"/>
              </w:rPr>
            </w:pPr>
            <w:r>
              <w:rPr>
                <w:rFonts w:ascii="Times New Roman"/>
                <w:sz w:val="18"/>
              </w:rPr>
              <w:t>00</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92" w:right="0"/>
              <w:jc w:val="left"/>
              <w:rPr>
                <w:rFonts w:ascii="Times New Roman" w:hAnsi="Times New Roman" w:cs="Times New Roman" w:eastAsia="Times New Roman" w:hint="default"/>
                <w:sz w:val="18"/>
                <w:szCs w:val="18"/>
              </w:rPr>
            </w:pPr>
            <w:r>
              <w:rPr>
                <w:rFonts w:ascii="Times New Roman"/>
                <w:sz w:val="18"/>
              </w:rPr>
              <w:t>5,995,0</w:t>
            </w:r>
          </w:p>
          <w:p>
            <w:pPr>
              <w:pStyle w:val="TableParagraph"/>
              <w:spacing w:line="240" w:lineRule="auto" w:before="105"/>
              <w:ind w:left="552" w:right="0"/>
              <w:jc w:val="left"/>
              <w:rPr>
                <w:rFonts w:ascii="Times New Roman" w:hAnsi="Times New Roman" w:cs="Times New Roman" w:eastAsia="Times New Roman" w:hint="default"/>
                <w:sz w:val="18"/>
                <w:szCs w:val="18"/>
              </w:rPr>
            </w:pPr>
            <w:r>
              <w:rPr>
                <w:rFonts w:ascii="Times New Roman"/>
                <w:sz w:val="18"/>
              </w:rPr>
              <w:t>39</w:t>
            </w:r>
          </w:p>
        </w:tc>
        <w:tc>
          <w:tcPr>
            <w:tcW w:w="135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沈毅</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1.08%</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9" w:right="0"/>
              <w:jc w:val="left"/>
              <w:rPr>
                <w:rFonts w:ascii="Times New Roman" w:hAnsi="Times New Roman" w:cs="Times New Roman" w:eastAsia="Times New Roman" w:hint="default"/>
                <w:sz w:val="18"/>
                <w:szCs w:val="18"/>
              </w:rPr>
            </w:pPr>
            <w:r>
              <w:rPr>
                <w:rFonts w:ascii="Times New Roman"/>
                <w:sz w:val="18"/>
              </w:rPr>
              <w:t>6,676,4</w:t>
            </w:r>
          </w:p>
          <w:p>
            <w:pPr>
              <w:pStyle w:val="TableParagraph"/>
              <w:spacing w:line="240" w:lineRule="auto" w:before="110"/>
              <w:ind w:left="499" w:right="0"/>
              <w:jc w:val="left"/>
              <w:rPr>
                <w:rFonts w:ascii="Times New Roman" w:hAnsi="Times New Roman" w:cs="Times New Roman" w:eastAsia="Times New Roman" w:hint="default"/>
                <w:sz w:val="18"/>
                <w:szCs w:val="18"/>
              </w:rPr>
            </w:pPr>
            <w:r>
              <w:rPr>
                <w:rFonts w:ascii="Times New Roman"/>
                <w:sz w:val="18"/>
              </w:rPr>
              <w:t>34</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105" w:right="0"/>
              <w:jc w:val="lef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92" w:right="0"/>
              <w:jc w:val="left"/>
              <w:rPr>
                <w:rFonts w:ascii="Times New Roman" w:hAnsi="Times New Roman" w:cs="Times New Roman" w:eastAsia="Times New Roman" w:hint="default"/>
                <w:sz w:val="18"/>
                <w:szCs w:val="18"/>
              </w:rPr>
            </w:pPr>
            <w:r>
              <w:rPr>
                <w:rFonts w:ascii="Times New Roman"/>
                <w:sz w:val="18"/>
              </w:rPr>
              <w:t>6,676,4</w:t>
            </w:r>
          </w:p>
          <w:p>
            <w:pPr>
              <w:pStyle w:val="TableParagraph"/>
              <w:spacing w:line="240" w:lineRule="auto" w:before="110"/>
              <w:ind w:left="552" w:right="0"/>
              <w:jc w:val="left"/>
              <w:rPr>
                <w:rFonts w:ascii="Times New Roman" w:hAnsi="Times New Roman" w:cs="Times New Roman" w:eastAsia="Times New Roman" w:hint="default"/>
                <w:sz w:val="18"/>
                <w:szCs w:val="18"/>
              </w:rPr>
            </w:pPr>
            <w:r>
              <w:rPr>
                <w:rFonts w:ascii="Times New Roman"/>
                <w:sz w:val="18"/>
              </w:rPr>
              <w:t>34</w:t>
            </w:r>
          </w:p>
        </w:tc>
        <w:tc>
          <w:tcPr>
            <w:tcW w:w="135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彭世新</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1.02%</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9" w:right="0"/>
              <w:jc w:val="left"/>
              <w:rPr>
                <w:rFonts w:ascii="Times New Roman" w:hAnsi="Times New Roman" w:cs="Times New Roman" w:eastAsia="Times New Roman" w:hint="default"/>
                <w:sz w:val="18"/>
                <w:szCs w:val="18"/>
              </w:rPr>
            </w:pPr>
            <w:r>
              <w:rPr>
                <w:rFonts w:ascii="Times New Roman"/>
                <w:sz w:val="18"/>
              </w:rPr>
              <w:t>6,297,0</w:t>
            </w:r>
          </w:p>
          <w:p>
            <w:pPr>
              <w:pStyle w:val="TableParagraph"/>
              <w:spacing w:line="240" w:lineRule="auto" w:before="110"/>
              <w:ind w:left="499" w:right="0"/>
              <w:jc w:val="left"/>
              <w:rPr>
                <w:rFonts w:ascii="Times New Roman" w:hAnsi="Times New Roman" w:cs="Times New Roman" w:eastAsia="Times New Roman" w:hint="default"/>
                <w:sz w:val="18"/>
                <w:szCs w:val="18"/>
              </w:rPr>
            </w:pPr>
            <w:r>
              <w:rPr>
                <w:rFonts w:ascii="Times New Roman"/>
                <w:sz w:val="18"/>
              </w:rPr>
              <w:t>87</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5" w:right="0"/>
              <w:jc w:val="left"/>
              <w:rPr>
                <w:rFonts w:ascii="Times New Roman" w:hAnsi="Times New Roman" w:cs="Times New Roman" w:eastAsia="Times New Roman" w:hint="default"/>
                <w:sz w:val="18"/>
                <w:szCs w:val="18"/>
              </w:rPr>
            </w:pPr>
            <w:r>
              <w:rPr>
                <w:rFonts w:ascii="Times New Roman"/>
                <w:sz w:val="18"/>
              </w:rPr>
              <w:t>-1,000,</w:t>
            </w:r>
          </w:p>
          <w:p>
            <w:pPr>
              <w:pStyle w:val="TableParagraph"/>
              <w:spacing w:line="240" w:lineRule="auto" w:before="110"/>
              <w:ind w:left="105" w:right="0"/>
              <w:jc w:val="left"/>
              <w:rPr>
                <w:rFonts w:ascii="Times New Roman" w:hAnsi="Times New Roman" w:cs="Times New Roman" w:eastAsia="Times New Roman" w:hint="default"/>
                <w:sz w:val="18"/>
                <w:szCs w:val="18"/>
              </w:rPr>
            </w:pPr>
            <w:r>
              <w:rPr>
                <w:rFonts w:ascii="Times New Roman"/>
                <w:sz w:val="18"/>
              </w:rPr>
              <w:t>000</w:t>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4" w:right="0"/>
              <w:jc w:val="left"/>
              <w:rPr>
                <w:rFonts w:ascii="Times New Roman" w:hAnsi="Times New Roman" w:cs="Times New Roman" w:eastAsia="Times New Roman" w:hint="default"/>
                <w:sz w:val="18"/>
                <w:szCs w:val="18"/>
              </w:rPr>
            </w:pPr>
            <w:r>
              <w:rPr>
                <w:rFonts w:ascii="Times New Roman"/>
                <w:sz w:val="18"/>
              </w:rPr>
              <w:t>5,472,8</w:t>
            </w:r>
          </w:p>
          <w:p>
            <w:pPr>
              <w:pStyle w:val="TableParagraph"/>
              <w:spacing w:line="240" w:lineRule="auto" w:before="110"/>
              <w:ind w:left="494" w:right="0"/>
              <w:jc w:val="left"/>
              <w:rPr>
                <w:rFonts w:ascii="Times New Roman" w:hAnsi="Times New Roman" w:cs="Times New Roman" w:eastAsia="Times New Roman" w:hint="default"/>
                <w:sz w:val="18"/>
                <w:szCs w:val="18"/>
              </w:rPr>
            </w:pPr>
            <w:r>
              <w:rPr>
                <w:rFonts w:ascii="Times New Roman"/>
                <w:sz w:val="18"/>
              </w:rPr>
              <w:t>15</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right="93"/>
              <w:jc w:val="right"/>
              <w:rPr>
                <w:rFonts w:ascii="Times New Roman" w:hAnsi="Times New Roman" w:cs="Times New Roman" w:eastAsia="Times New Roman" w:hint="default"/>
                <w:sz w:val="18"/>
                <w:szCs w:val="18"/>
              </w:rPr>
            </w:pPr>
            <w:r>
              <w:rPr>
                <w:rFonts w:ascii="Times New Roman"/>
                <w:spacing w:val="-1"/>
                <w:sz w:val="18"/>
              </w:rPr>
              <w:t>824,272</w:t>
            </w:r>
          </w:p>
        </w:tc>
        <w:tc>
          <w:tcPr>
            <w:tcW w:w="135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郭卫华</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0.83%</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9" w:right="0"/>
              <w:jc w:val="left"/>
              <w:rPr>
                <w:rFonts w:ascii="Times New Roman" w:hAnsi="Times New Roman" w:cs="Times New Roman" w:eastAsia="Times New Roman" w:hint="default"/>
                <w:sz w:val="18"/>
                <w:szCs w:val="18"/>
              </w:rPr>
            </w:pPr>
            <w:r>
              <w:rPr>
                <w:rFonts w:ascii="Times New Roman"/>
                <w:sz w:val="18"/>
              </w:rPr>
              <w:t>5,120,5</w:t>
            </w:r>
          </w:p>
          <w:p>
            <w:pPr>
              <w:pStyle w:val="TableParagraph"/>
              <w:spacing w:line="240" w:lineRule="auto" w:before="105"/>
              <w:ind w:left="499" w:right="0"/>
              <w:jc w:val="left"/>
              <w:rPr>
                <w:rFonts w:ascii="Times New Roman" w:hAnsi="Times New Roman" w:cs="Times New Roman" w:eastAsia="Times New Roman" w:hint="default"/>
                <w:sz w:val="18"/>
                <w:szCs w:val="18"/>
              </w:rPr>
            </w:pPr>
            <w:r>
              <w:rPr>
                <w:rFonts w:ascii="Times New Roman"/>
                <w:sz w:val="18"/>
              </w:rPr>
              <w:t>14</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5" w:right="0"/>
              <w:jc w:val="left"/>
              <w:rPr>
                <w:rFonts w:ascii="Times New Roman" w:hAnsi="Times New Roman" w:cs="Times New Roman" w:eastAsia="Times New Roman" w:hint="default"/>
                <w:sz w:val="18"/>
                <w:szCs w:val="18"/>
              </w:rPr>
            </w:pPr>
            <w:r>
              <w:rPr>
                <w:rFonts w:ascii="Times New Roman"/>
                <w:sz w:val="18"/>
              </w:rPr>
              <w:t>-4,100,</w:t>
            </w:r>
          </w:p>
          <w:p>
            <w:pPr>
              <w:pStyle w:val="TableParagraph"/>
              <w:spacing w:line="240" w:lineRule="auto" w:before="105"/>
              <w:ind w:left="105" w:right="0"/>
              <w:jc w:val="left"/>
              <w:rPr>
                <w:rFonts w:ascii="Times New Roman" w:hAnsi="Times New Roman" w:cs="Times New Roman" w:eastAsia="Times New Roman" w:hint="default"/>
                <w:sz w:val="18"/>
                <w:szCs w:val="18"/>
              </w:rPr>
            </w:pPr>
            <w:r>
              <w:rPr>
                <w:rFonts w:ascii="Times New Roman"/>
                <w:sz w:val="18"/>
              </w:rPr>
              <w:t>704</w:t>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92" w:right="0"/>
              <w:jc w:val="left"/>
              <w:rPr>
                <w:rFonts w:ascii="Times New Roman" w:hAnsi="Times New Roman" w:cs="Times New Roman" w:eastAsia="Times New Roman" w:hint="default"/>
                <w:sz w:val="18"/>
                <w:szCs w:val="18"/>
              </w:rPr>
            </w:pPr>
            <w:r>
              <w:rPr>
                <w:rFonts w:ascii="Times New Roman"/>
                <w:sz w:val="18"/>
              </w:rPr>
              <w:t>5,120,5</w:t>
            </w:r>
          </w:p>
          <w:p>
            <w:pPr>
              <w:pStyle w:val="TableParagraph"/>
              <w:spacing w:line="240" w:lineRule="auto" w:before="105"/>
              <w:ind w:left="552" w:right="0"/>
              <w:jc w:val="left"/>
              <w:rPr>
                <w:rFonts w:ascii="Times New Roman" w:hAnsi="Times New Roman" w:cs="Times New Roman" w:eastAsia="Times New Roman" w:hint="default"/>
                <w:sz w:val="18"/>
                <w:szCs w:val="18"/>
              </w:rPr>
            </w:pPr>
            <w:r>
              <w:rPr>
                <w:rFonts w:ascii="Times New Roman"/>
                <w:sz w:val="18"/>
              </w:rPr>
              <w:t>14</w:t>
            </w:r>
          </w:p>
        </w:tc>
        <w:tc>
          <w:tcPr>
            <w:tcW w:w="135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1023" w:hRule="exact"/>
        </w:trPr>
        <w:tc>
          <w:tcPr>
            <w:tcW w:w="288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3"/>
              <w:ind w:left="105" w:right="3"/>
              <w:jc w:val="left"/>
              <w:rPr>
                <w:rFonts w:ascii="宋体" w:hAnsi="宋体" w:cs="宋体" w:eastAsia="宋体" w:hint="default"/>
                <w:sz w:val="18"/>
                <w:szCs w:val="18"/>
              </w:rPr>
            </w:pPr>
            <w:r>
              <w:rPr>
                <w:rFonts w:ascii="宋体" w:hAnsi="宋体" w:cs="宋体" w:eastAsia="宋体" w:hint="default"/>
                <w:spacing w:val="-3"/>
                <w:sz w:val="18"/>
                <w:szCs w:val="18"/>
              </w:rPr>
              <w:t>战略投资者或一般法人因配售新</w:t>
            </w:r>
            <w:r>
              <w:rPr>
                <w:rFonts w:ascii="宋体" w:hAnsi="宋体" w:cs="宋体" w:eastAsia="宋体" w:hint="default"/>
                <w:spacing w:val="-45"/>
                <w:sz w:val="18"/>
                <w:szCs w:val="18"/>
              </w:rPr>
              <w:t> </w:t>
            </w:r>
            <w:r>
              <w:rPr>
                <w:rFonts w:ascii="宋体" w:hAnsi="宋体" w:cs="宋体" w:eastAsia="宋体" w:hint="default"/>
                <w:spacing w:val="-45"/>
                <w:sz w:val="18"/>
                <w:szCs w:val="18"/>
              </w:rPr>
            </w:r>
            <w:r>
              <w:rPr>
                <w:rFonts w:ascii="宋体" w:hAnsi="宋体" w:cs="宋体" w:eastAsia="宋体" w:hint="default"/>
                <w:sz w:val="18"/>
                <w:szCs w:val="18"/>
              </w:rPr>
              <w:t>股成为前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7"/>
                <w:sz w:val="18"/>
                <w:szCs w:val="18"/>
              </w:rPr>
              <w:t> </w:t>
            </w:r>
            <w:r>
              <w:rPr>
                <w:rFonts w:ascii="宋体" w:hAnsi="宋体" w:cs="宋体" w:eastAsia="宋体" w:hint="default"/>
                <w:spacing w:val="-6"/>
                <w:sz w:val="18"/>
                <w:szCs w:val="18"/>
              </w:rPr>
              <w:t>名股东的情况（如有）</w:t>
            </w:r>
          </w:p>
          <w:p>
            <w:pPr>
              <w:pStyle w:val="TableParagraph"/>
              <w:spacing w:line="240" w:lineRule="auto" w:before="6"/>
              <w:ind w:left="105" w:right="0"/>
              <w:jc w:val="left"/>
              <w:rPr>
                <w:rFonts w:ascii="宋体" w:hAnsi="宋体" w:cs="宋体" w:eastAsia="宋体" w:hint="default"/>
                <w:sz w:val="18"/>
                <w:szCs w:val="18"/>
              </w:rPr>
            </w:pPr>
            <w:r>
              <w:rPr>
                <w:rFonts w:ascii="宋体" w:hAnsi="宋体" w:cs="宋体" w:eastAsia="宋体" w:hint="default"/>
                <w:sz w:val="18"/>
                <w:szCs w:val="18"/>
              </w:rPr>
              <w:t>（参见注</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w:t>
            </w:r>
          </w:p>
        </w:tc>
        <w:tc>
          <w:tcPr>
            <w:tcW w:w="6689"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5"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715" w:hRule="exact"/>
        </w:trPr>
        <w:tc>
          <w:tcPr>
            <w:tcW w:w="288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05" w:right="238"/>
              <w:jc w:val="left"/>
              <w:rPr>
                <w:rFonts w:ascii="宋体" w:hAnsi="宋体" w:cs="宋体" w:eastAsia="宋体" w:hint="default"/>
                <w:sz w:val="18"/>
                <w:szCs w:val="18"/>
              </w:rPr>
            </w:pPr>
            <w:r>
              <w:rPr>
                <w:rFonts w:ascii="宋体" w:hAnsi="宋体" w:cs="宋体" w:eastAsia="宋体" w:hint="default"/>
                <w:spacing w:val="-3"/>
                <w:sz w:val="18"/>
                <w:szCs w:val="18"/>
              </w:rPr>
              <w:t>上述股东关联关系或一致行动的</w:t>
            </w:r>
            <w:r>
              <w:rPr>
                <w:rFonts w:ascii="宋体" w:hAnsi="宋体" w:cs="宋体" w:eastAsia="宋体" w:hint="default"/>
                <w:spacing w:val="-45"/>
                <w:sz w:val="18"/>
                <w:szCs w:val="18"/>
              </w:rPr>
              <w:t> </w:t>
            </w:r>
            <w:r>
              <w:rPr>
                <w:rFonts w:ascii="宋体" w:hAnsi="宋体" w:cs="宋体" w:eastAsia="宋体" w:hint="default"/>
                <w:spacing w:val="-45"/>
                <w:sz w:val="18"/>
                <w:szCs w:val="18"/>
              </w:rPr>
            </w:r>
            <w:r>
              <w:rPr>
                <w:rFonts w:ascii="宋体" w:hAnsi="宋体" w:cs="宋体" w:eastAsia="宋体" w:hint="default"/>
                <w:sz w:val="18"/>
                <w:szCs w:val="18"/>
              </w:rPr>
              <w:t>说明</w:t>
            </w:r>
          </w:p>
        </w:tc>
        <w:tc>
          <w:tcPr>
            <w:tcW w:w="6689"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pacing w:val="-6"/>
                <w:sz w:val="18"/>
                <w:szCs w:val="18"/>
              </w:rPr>
              <w:t>前十名股东中，股东赵旭峰系股东吴涵渠的妻弟；股东沈永健和周维君系夫妻关系。</w:t>
            </w:r>
          </w:p>
        </w:tc>
      </w:tr>
      <w:tr>
        <w:trPr>
          <w:trHeight w:val="403" w:hRule="exact"/>
        </w:trPr>
        <w:tc>
          <w:tcPr>
            <w:tcW w:w="9570"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前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5"/>
                <w:sz w:val="18"/>
                <w:szCs w:val="18"/>
              </w:rPr>
              <w:t> </w:t>
            </w:r>
            <w:r>
              <w:rPr>
                <w:rFonts w:ascii="宋体" w:hAnsi="宋体" w:cs="宋体" w:eastAsia="宋体" w:hint="default"/>
                <w:spacing w:val="-3"/>
                <w:sz w:val="18"/>
                <w:szCs w:val="18"/>
              </w:rPr>
              <w:t>名无限售条件股东持股情况</w:t>
            </w:r>
          </w:p>
        </w:tc>
      </w:tr>
      <w:tr>
        <w:trPr>
          <w:trHeight w:val="403" w:hRule="exact"/>
        </w:trPr>
        <w:tc>
          <w:tcPr>
            <w:tcW w:w="288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3990" w:type="dxa"/>
            <w:gridSpan w:val="5"/>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left="643" w:right="0"/>
              <w:jc w:val="left"/>
              <w:rPr>
                <w:rFonts w:ascii="宋体" w:hAnsi="宋体" w:cs="宋体" w:eastAsia="宋体" w:hint="default"/>
                <w:sz w:val="18"/>
                <w:szCs w:val="18"/>
              </w:rPr>
            </w:pPr>
            <w:r>
              <w:rPr>
                <w:rFonts w:ascii="宋体" w:hAnsi="宋体" w:cs="宋体" w:eastAsia="宋体" w:hint="default"/>
                <w:spacing w:val="-3"/>
                <w:sz w:val="18"/>
                <w:szCs w:val="18"/>
              </w:rPr>
              <w:t>报告期末持有无限售条件股份数量</w:t>
            </w:r>
          </w:p>
        </w:tc>
        <w:tc>
          <w:tcPr>
            <w:tcW w:w="269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股份种类</w:t>
            </w:r>
          </w:p>
        </w:tc>
      </w:tr>
      <w:tr>
        <w:trPr>
          <w:trHeight w:val="398" w:hRule="exact"/>
        </w:trPr>
        <w:tc>
          <w:tcPr>
            <w:tcW w:w="2881" w:type="dxa"/>
            <w:gridSpan w:val="2"/>
            <w:vMerge/>
            <w:tcBorders>
              <w:left w:val="single" w:sz="4" w:space="0" w:color="000000"/>
              <w:bottom w:val="single" w:sz="4" w:space="0" w:color="000000"/>
              <w:right w:val="single" w:sz="4" w:space="0" w:color="000000"/>
            </w:tcBorders>
            <w:shd w:val="clear" w:color="auto" w:fill="D2D2D2"/>
          </w:tcPr>
          <w:p>
            <w:pPr/>
          </w:p>
        </w:tc>
        <w:tc>
          <w:tcPr>
            <w:tcW w:w="3990" w:type="dxa"/>
            <w:gridSpan w:val="5"/>
            <w:vMerge/>
            <w:tcBorders>
              <w:left w:val="single" w:sz="4" w:space="0" w:color="000000"/>
              <w:bottom w:val="single" w:sz="4" w:space="0" w:color="000000"/>
              <w:right w:val="single" w:sz="4" w:space="0" w:color="000000"/>
            </w:tcBorders>
            <w:shd w:val="clear" w:color="auto" w:fill="D2D2D2"/>
          </w:tcPr>
          <w:p>
            <w:pPr/>
          </w:p>
        </w:tc>
        <w:tc>
          <w:tcPr>
            <w:tcW w:w="13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12" w:right="0"/>
              <w:jc w:val="left"/>
              <w:rPr>
                <w:rFonts w:ascii="宋体" w:hAnsi="宋体" w:cs="宋体" w:eastAsia="宋体" w:hint="default"/>
                <w:sz w:val="18"/>
                <w:szCs w:val="18"/>
              </w:rPr>
            </w:pPr>
            <w:r>
              <w:rPr>
                <w:rFonts w:ascii="宋体" w:hAnsi="宋体" w:cs="宋体" w:eastAsia="宋体" w:hint="default"/>
                <w:sz w:val="18"/>
                <w:szCs w:val="18"/>
              </w:rPr>
              <w:t>股份种类</w:t>
            </w:r>
          </w:p>
        </w:tc>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数量</w:t>
            </w:r>
          </w:p>
        </w:tc>
      </w:tr>
      <w:tr>
        <w:trPr>
          <w:trHeight w:val="403" w:hRule="exact"/>
        </w:trPr>
        <w:tc>
          <w:tcPr>
            <w:tcW w:w="28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吴涵渠</w:t>
            </w:r>
          </w:p>
        </w:tc>
        <w:tc>
          <w:tcPr>
            <w:tcW w:w="399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42,789,166</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42,789,166</w:t>
            </w:r>
          </w:p>
        </w:tc>
      </w:tr>
      <w:tr>
        <w:trPr>
          <w:trHeight w:val="403" w:hRule="exact"/>
        </w:trPr>
        <w:tc>
          <w:tcPr>
            <w:tcW w:w="28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黄斌</w:t>
            </w:r>
          </w:p>
        </w:tc>
        <w:tc>
          <w:tcPr>
            <w:tcW w:w="399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28,540,794</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28,540,794</w:t>
            </w:r>
          </w:p>
        </w:tc>
      </w:tr>
      <w:tr>
        <w:trPr>
          <w:trHeight w:val="716" w:hRule="exact"/>
        </w:trPr>
        <w:tc>
          <w:tcPr>
            <w:tcW w:w="2881"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54"/>
              <w:ind w:left="105" w:right="238"/>
              <w:jc w:val="left"/>
              <w:rPr>
                <w:rFonts w:ascii="宋体" w:hAnsi="宋体" w:cs="宋体" w:eastAsia="宋体" w:hint="default"/>
                <w:sz w:val="18"/>
                <w:szCs w:val="18"/>
              </w:rPr>
            </w:pPr>
            <w:r>
              <w:rPr>
                <w:rFonts w:ascii="宋体" w:hAnsi="宋体" w:cs="宋体" w:eastAsia="宋体" w:hint="default"/>
                <w:spacing w:val="-3"/>
                <w:sz w:val="18"/>
                <w:szCs w:val="18"/>
              </w:rPr>
              <w:t>山东省国有资产投资控股有限公</w:t>
            </w:r>
            <w:r>
              <w:rPr>
                <w:rFonts w:ascii="宋体" w:hAnsi="宋体" w:cs="宋体" w:eastAsia="宋体" w:hint="default"/>
                <w:spacing w:val="-45"/>
                <w:sz w:val="18"/>
                <w:szCs w:val="18"/>
              </w:rPr>
              <w:t> </w:t>
            </w:r>
            <w:r>
              <w:rPr>
                <w:rFonts w:ascii="宋体" w:hAnsi="宋体" w:cs="宋体" w:eastAsia="宋体" w:hint="default"/>
                <w:spacing w:val="-45"/>
                <w:sz w:val="18"/>
                <w:szCs w:val="18"/>
              </w:rPr>
            </w:r>
            <w:r>
              <w:rPr>
                <w:rFonts w:ascii="宋体" w:hAnsi="宋体" w:cs="宋体" w:eastAsia="宋体" w:hint="default"/>
                <w:sz w:val="18"/>
                <w:szCs w:val="18"/>
              </w:rPr>
              <w:t>司</w:t>
            </w:r>
          </w:p>
        </w:tc>
        <w:tc>
          <w:tcPr>
            <w:tcW w:w="399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27,945,470</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27,945,470</w:t>
            </w:r>
          </w:p>
        </w:tc>
      </w:tr>
      <w:tr>
        <w:trPr>
          <w:trHeight w:val="398" w:hRule="exact"/>
        </w:trPr>
        <w:tc>
          <w:tcPr>
            <w:tcW w:w="28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沈毅</w:t>
            </w:r>
          </w:p>
        </w:tc>
        <w:tc>
          <w:tcPr>
            <w:tcW w:w="399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6,676,434</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6,676,434</w:t>
            </w:r>
          </w:p>
        </w:tc>
      </w:tr>
      <w:tr>
        <w:trPr>
          <w:trHeight w:val="403" w:hRule="exact"/>
        </w:trPr>
        <w:tc>
          <w:tcPr>
            <w:tcW w:w="28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周维君</w:t>
            </w:r>
          </w:p>
        </w:tc>
        <w:tc>
          <w:tcPr>
            <w:tcW w:w="399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5,995,039</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5,995,039</w:t>
            </w:r>
          </w:p>
        </w:tc>
      </w:tr>
      <w:tr>
        <w:trPr>
          <w:trHeight w:val="404" w:hRule="exact"/>
        </w:trPr>
        <w:tc>
          <w:tcPr>
            <w:tcW w:w="28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赵旭峰</w:t>
            </w:r>
          </w:p>
        </w:tc>
        <w:tc>
          <w:tcPr>
            <w:tcW w:w="399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5,164,709</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5,164,709</w:t>
            </w:r>
          </w:p>
        </w:tc>
      </w:tr>
      <w:tr>
        <w:trPr>
          <w:trHeight w:val="403" w:hRule="exact"/>
        </w:trPr>
        <w:tc>
          <w:tcPr>
            <w:tcW w:w="28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郭卫华</w:t>
            </w:r>
          </w:p>
        </w:tc>
        <w:tc>
          <w:tcPr>
            <w:tcW w:w="399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5,120,514</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5,120,514</w:t>
            </w:r>
          </w:p>
        </w:tc>
      </w:tr>
      <w:tr>
        <w:trPr>
          <w:trHeight w:val="398" w:hRule="exact"/>
        </w:trPr>
        <w:tc>
          <w:tcPr>
            <w:tcW w:w="28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陈国雄</w:t>
            </w:r>
          </w:p>
        </w:tc>
        <w:tc>
          <w:tcPr>
            <w:tcW w:w="399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4,794,059</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4,794,059</w:t>
            </w:r>
          </w:p>
        </w:tc>
      </w:tr>
      <w:tr>
        <w:trPr>
          <w:trHeight w:val="403" w:hRule="exact"/>
        </w:trPr>
        <w:tc>
          <w:tcPr>
            <w:tcW w:w="28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沈永健</w:t>
            </w:r>
          </w:p>
        </w:tc>
        <w:tc>
          <w:tcPr>
            <w:tcW w:w="399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4,712,500</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4,712,500</w:t>
            </w:r>
          </w:p>
        </w:tc>
      </w:tr>
      <w:tr>
        <w:trPr>
          <w:trHeight w:val="404" w:hRule="exact"/>
        </w:trPr>
        <w:tc>
          <w:tcPr>
            <w:tcW w:w="28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韩红卫</w:t>
            </w:r>
          </w:p>
        </w:tc>
        <w:tc>
          <w:tcPr>
            <w:tcW w:w="399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4,669,800</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4,669,800</w:t>
            </w:r>
          </w:p>
        </w:tc>
      </w:tr>
      <w:tr>
        <w:trPr>
          <w:trHeight w:val="984" w:hRule="exact"/>
        </w:trPr>
        <w:tc>
          <w:tcPr>
            <w:tcW w:w="288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前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5"/>
                <w:sz w:val="18"/>
                <w:szCs w:val="18"/>
              </w:rPr>
              <w:t> </w:t>
            </w:r>
            <w:r>
              <w:rPr>
                <w:rFonts w:ascii="宋体" w:hAnsi="宋体" w:cs="宋体" w:eastAsia="宋体" w:hint="default"/>
                <w:spacing w:val="-3"/>
                <w:sz w:val="18"/>
                <w:szCs w:val="18"/>
              </w:rPr>
              <w:t>名无限售流通股股东之间，</w:t>
            </w:r>
          </w:p>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z w:val="18"/>
                <w:szCs w:val="18"/>
              </w:rPr>
              <w:t>以及前</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名无限售流通股股东和</w:t>
            </w:r>
          </w:p>
          <w:p>
            <w:pPr>
              <w:pStyle w:val="TableParagraph"/>
              <w:spacing w:line="240" w:lineRule="auto" w:before="63"/>
              <w:ind w:left="105" w:right="0"/>
              <w:jc w:val="left"/>
              <w:rPr>
                <w:rFonts w:ascii="宋体" w:hAnsi="宋体" w:cs="宋体" w:eastAsia="宋体" w:hint="default"/>
                <w:sz w:val="18"/>
                <w:szCs w:val="18"/>
              </w:rPr>
            </w:pPr>
            <w:r>
              <w:rPr>
                <w:rFonts w:ascii="宋体" w:hAnsi="宋体" w:cs="宋体" w:eastAsia="宋体" w:hint="default"/>
                <w:sz w:val="18"/>
                <w:szCs w:val="18"/>
              </w:rPr>
              <w:t>前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5"/>
                <w:sz w:val="18"/>
                <w:szCs w:val="18"/>
              </w:rPr>
              <w:t> </w:t>
            </w:r>
            <w:r>
              <w:rPr>
                <w:rFonts w:ascii="宋体" w:hAnsi="宋体" w:cs="宋体" w:eastAsia="宋体" w:hint="default"/>
                <w:spacing w:val="-3"/>
                <w:sz w:val="18"/>
                <w:szCs w:val="18"/>
              </w:rPr>
              <w:t>名股东之间关联关系或一致</w:t>
            </w:r>
          </w:p>
        </w:tc>
        <w:tc>
          <w:tcPr>
            <w:tcW w:w="6689"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9"/>
              <w:ind w:left="105" w:right="0"/>
              <w:jc w:val="left"/>
              <w:rPr>
                <w:rFonts w:ascii="宋体" w:hAnsi="宋体" w:cs="宋体" w:eastAsia="宋体" w:hint="default"/>
                <w:sz w:val="18"/>
                <w:szCs w:val="18"/>
              </w:rPr>
            </w:pPr>
            <w:r>
              <w:rPr>
                <w:rFonts w:ascii="宋体" w:hAnsi="宋体" w:cs="宋体" w:eastAsia="宋体" w:hint="default"/>
                <w:spacing w:val="-3"/>
                <w:sz w:val="18"/>
                <w:szCs w:val="18"/>
              </w:rPr>
              <w:t>前十名股东中，股东赵旭峰系股东吴涵渠的妻弟；股东沈永健和周维君系夫妻关系</w:t>
            </w:r>
          </w:p>
        </w:tc>
      </w:tr>
    </w:tbl>
    <w:p>
      <w:pPr>
        <w:spacing w:after="0" w:line="240" w:lineRule="auto"/>
        <w:jc w:val="left"/>
        <w:rPr>
          <w:rFonts w:ascii="宋体" w:hAnsi="宋体" w:cs="宋体" w:eastAsia="宋体" w:hint="default"/>
          <w:sz w:val="18"/>
          <w:szCs w:val="18"/>
        </w:rPr>
        <w:sectPr>
          <w:pgSz w:w="11910" w:h="16840"/>
          <w:pgMar w:header="784" w:footer="1022" w:top="1100" w:bottom="1220" w:left="980" w:right="0"/>
        </w:sectPr>
      </w:pPr>
    </w:p>
    <w:p>
      <w:pPr>
        <w:spacing w:line="240" w:lineRule="auto" w:before="1"/>
        <w:rPr>
          <w:rFonts w:ascii="Times New Roman" w:hAnsi="Times New Roman" w:cs="Times New Roman" w:eastAsia="Times New Roman" w:hint="default"/>
          <w:sz w:val="29"/>
          <w:szCs w:val="29"/>
        </w:rPr>
      </w:pPr>
    </w:p>
    <w:tbl>
      <w:tblPr>
        <w:tblW w:w="0" w:type="auto"/>
        <w:jc w:val="left"/>
        <w:tblInd w:w="148" w:type="dxa"/>
        <w:tblLayout w:type="fixed"/>
        <w:tblCellMar>
          <w:top w:w="0" w:type="dxa"/>
          <w:left w:w="0" w:type="dxa"/>
          <w:bottom w:w="0" w:type="dxa"/>
          <w:right w:w="0" w:type="dxa"/>
        </w:tblCellMar>
        <w:tblLook w:val="01E0"/>
      </w:tblPr>
      <w:tblGrid>
        <w:gridCol w:w="2881"/>
        <w:gridCol w:w="6689"/>
      </w:tblGrid>
      <w:tr>
        <w:trPr>
          <w:trHeight w:val="360" w:hRule="exact"/>
        </w:trPr>
        <w:tc>
          <w:tcPr>
            <w:tcW w:w="28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105" w:right="0"/>
              <w:jc w:val="left"/>
              <w:rPr>
                <w:rFonts w:ascii="宋体" w:hAnsi="宋体" w:cs="宋体" w:eastAsia="宋体" w:hint="default"/>
                <w:sz w:val="18"/>
                <w:szCs w:val="18"/>
              </w:rPr>
            </w:pPr>
            <w:r>
              <w:rPr>
                <w:rFonts w:ascii="宋体" w:hAnsi="宋体" w:cs="宋体" w:eastAsia="宋体" w:hint="default"/>
                <w:sz w:val="18"/>
                <w:szCs w:val="18"/>
              </w:rPr>
              <w:t>行动的说明</w:t>
            </w:r>
          </w:p>
        </w:tc>
        <w:tc>
          <w:tcPr>
            <w:tcW w:w="6689"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28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4" w:lineRule="auto" w:before="53"/>
              <w:ind w:left="105" w:right="2"/>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5"/>
                <w:sz w:val="18"/>
                <w:szCs w:val="18"/>
              </w:rPr>
              <w:t> </w:t>
            </w:r>
            <w:r>
              <w:rPr>
                <w:rFonts w:ascii="宋体" w:hAnsi="宋体" w:cs="宋体" w:eastAsia="宋体" w:hint="default"/>
                <w:spacing w:val="-3"/>
                <w:sz w:val="18"/>
                <w:szCs w:val="18"/>
              </w:rPr>
              <w:t>名普通股股东参与融资融券</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pacing w:val="-8"/>
                <w:sz w:val="18"/>
                <w:szCs w:val="18"/>
              </w:rPr>
              <w:t>业务情况说明（如有）（参见注</w:t>
            </w:r>
            <w:r>
              <w:rPr>
                <w:rFonts w:ascii="宋体" w:hAnsi="宋体" w:cs="宋体" w:eastAsia="宋体" w:hint="default"/>
                <w:spacing w:val="-9"/>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w:t>
            </w:r>
          </w:p>
        </w:tc>
        <w:tc>
          <w:tcPr>
            <w:tcW w:w="6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pStyle w:val="BodyText"/>
        <w:spacing w:line="240" w:lineRule="auto" w:before="53"/>
        <w:ind w:right="0"/>
        <w:jc w:val="left"/>
      </w:pPr>
      <w:r>
        <w:rPr/>
        <w:t>公司前 </w:t>
      </w:r>
      <w:r>
        <w:rPr>
          <w:rFonts w:ascii="Times New Roman" w:hAnsi="Times New Roman" w:cs="Times New Roman" w:eastAsia="Times New Roman" w:hint="default"/>
        </w:rPr>
        <w:t>10 </w:t>
      </w:r>
      <w:r>
        <w:rPr/>
        <w:t>名普通股股东、前 </w:t>
      </w:r>
      <w:r>
        <w:rPr>
          <w:rFonts w:ascii="Times New Roman" w:hAnsi="Times New Roman" w:cs="Times New Roman" w:eastAsia="Times New Roman" w:hint="default"/>
        </w:rPr>
        <w:t>10</w:t>
      </w:r>
      <w:r>
        <w:rPr>
          <w:rFonts w:ascii="Times New Roman" w:hAnsi="Times New Roman" w:cs="Times New Roman" w:eastAsia="Times New Roman" w:hint="default"/>
          <w:spacing w:val="-17"/>
        </w:rPr>
        <w:t> </w:t>
      </w:r>
      <w:r>
        <w:rPr>
          <w:spacing w:val="-3"/>
        </w:rPr>
        <w:t>名无限售条件普通股股东在报告期内是否进行约定购回交易</w:t>
      </w:r>
    </w:p>
    <w:p>
      <w:pPr>
        <w:pStyle w:val="BodyText"/>
        <w:spacing w:line="240" w:lineRule="auto" w:before="106"/>
        <w:ind w:right="0"/>
        <w:jc w:val="left"/>
      </w:pPr>
      <w:r>
        <w:rPr/>
        <w:t>□ 是 √</w:t>
      </w:r>
      <w:r>
        <w:rPr>
          <w:spacing w:val="2"/>
        </w:rPr>
        <w:t> </w:t>
      </w:r>
      <w:r>
        <w:rPr/>
        <w:t>否</w:t>
      </w:r>
    </w:p>
    <w:p>
      <w:pPr>
        <w:pStyle w:val="BodyText"/>
        <w:spacing w:line="240" w:lineRule="auto" w:before="115"/>
        <w:ind w:right="0"/>
        <w:jc w:val="left"/>
      </w:pPr>
      <w:r>
        <w:rPr/>
        <w:t>公司前 </w:t>
      </w:r>
      <w:r>
        <w:rPr>
          <w:rFonts w:ascii="Times New Roman" w:hAnsi="Times New Roman" w:cs="Times New Roman" w:eastAsia="Times New Roman" w:hint="default"/>
        </w:rPr>
        <w:t>10 </w:t>
      </w:r>
      <w:r>
        <w:rPr/>
        <w:t>名普通股股东、前 </w:t>
      </w:r>
      <w:r>
        <w:rPr>
          <w:rFonts w:ascii="Times New Roman" w:hAnsi="Times New Roman" w:cs="Times New Roman" w:eastAsia="Times New Roman" w:hint="default"/>
        </w:rPr>
        <w:t>10</w:t>
      </w:r>
      <w:r>
        <w:rPr>
          <w:rFonts w:ascii="Times New Roman" w:hAnsi="Times New Roman" w:cs="Times New Roman" w:eastAsia="Times New Roman" w:hint="default"/>
          <w:spacing w:val="-17"/>
        </w:rPr>
        <w:t> </w:t>
      </w:r>
      <w:r>
        <w:rPr>
          <w:spacing w:val="-3"/>
        </w:rPr>
        <w:t>名无限售条件普通股股东在报告期内未进行约定购回交易。</w:t>
      </w:r>
    </w:p>
    <w:p>
      <w:pPr>
        <w:spacing w:line="240" w:lineRule="auto" w:before="8"/>
        <w:rPr>
          <w:rFonts w:ascii="宋体" w:hAnsi="宋体" w:cs="宋体" w:eastAsia="宋体" w:hint="default"/>
          <w:sz w:val="25"/>
          <w:szCs w:val="25"/>
        </w:rPr>
      </w:pPr>
    </w:p>
    <w:p>
      <w:pPr>
        <w:pStyle w:val="Heading4"/>
        <w:spacing w:line="240" w:lineRule="auto"/>
        <w:ind w:right="0"/>
        <w:jc w:val="left"/>
        <w:rPr>
          <w:b w:val="0"/>
          <w:bCs w:val="0"/>
        </w:rPr>
      </w:pPr>
      <w:bookmarkStart w:name="2、公司控股股东情况" w:id="118"/>
      <w:bookmarkEnd w:id="118"/>
      <w:r>
        <w:rPr>
          <w:b w:val="0"/>
          <w:bCs w:val="0"/>
        </w:rPr>
      </w:r>
      <w:r>
        <w:rPr>
          <w:rFonts w:ascii="Times New Roman" w:hAnsi="Times New Roman" w:cs="Times New Roman" w:eastAsia="Times New Roman" w:hint="default"/>
        </w:rPr>
        <w:t>2</w:t>
      </w:r>
      <w:r>
        <w:rPr/>
        <w:t>、公司控股股东情况</w:t>
      </w:r>
      <w:r>
        <w:rPr>
          <w:b w:val="0"/>
          <w:bCs w:val="0"/>
        </w:rPr>
      </w:r>
    </w:p>
    <w:p>
      <w:pPr>
        <w:spacing w:line="240" w:lineRule="auto" w:before="1"/>
        <w:rPr>
          <w:rFonts w:ascii="宋体" w:hAnsi="宋体" w:cs="宋体" w:eastAsia="宋体" w:hint="default"/>
          <w:b/>
          <w:bCs/>
          <w:sz w:val="27"/>
          <w:szCs w:val="27"/>
        </w:rPr>
      </w:pPr>
    </w:p>
    <w:p>
      <w:pPr>
        <w:pStyle w:val="BodyText"/>
        <w:spacing w:line="357" w:lineRule="auto" w:before="0"/>
        <w:ind w:right="7667"/>
        <w:jc w:val="left"/>
      </w:pPr>
      <w:r>
        <w:rPr>
          <w:spacing w:val="-3"/>
        </w:rPr>
        <w:t>控股股东性质：自然人控股</w:t>
      </w:r>
      <w:r>
        <w:rPr>
          <w:spacing w:val="-51"/>
        </w:rPr>
        <w:t> </w:t>
      </w:r>
      <w:r>
        <w:rPr>
          <w:spacing w:val="-51"/>
        </w:rPr>
      </w:r>
      <w:r>
        <w:rPr/>
        <w:t>控股股东类型：自然人</w:t>
      </w:r>
    </w:p>
    <w:tbl>
      <w:tblPr>
        <w:tblW w:w="0" w:type="auto"/>
        <w:jc w:val="left"/>
        <w:tblInd w:w="148" w:type="dxa"/>
        <w:tblLayout w:type="fixed"/>
        <w:tblCellMar>
          <w:top w:w="0" w:type="dxa"/>
          <w:left w:w="0" w:type="dxa"/>
          <w:bottom w:w="0" w:type="dxa"/>
          <w:right w:w="0" w:type="dxa"/>
        </w:tblCellMar>
        <w:tblLook w:val="01E0"/>
      </w:tblPr>
      <w:tblGrid>
        <w:gridCol w:w="3419"/>
        <w:gridCol w:w="2304"/>
        <w:gridCol w:w="3846"/>
      </w:tblGrid>
      <w:tr>
        <w:trPr>
          <w:trHeight w:val="403" w:hRule="exact"/>
        </w:trPr>
        <w:tc>
          <w:tcPr>
            <w:tcW w:w="34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控股股东姓名</w:t>
            </w:r>
          </w:p>
        </w:tc>
        <w:tc>
          <w:tcPr>
            <w:tcW w:w="23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国籍</w:t>
            </w:r>
          </w:p>
        </w:tc>
        <w:tc>
          <w:tcPr>
            <w:tcW w:w="38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57" w:right="0"/>
              <w:jc w:val="left"/>
              <w:rPr>
                <w:rFonts w:ascii="宋体" w:hAnsi="宋体" w:cs="宋体" w:eastAsia="宋体" w:hint="default"/>
                <w:sz w:val="18"/>
                <w:szCs w:val="18"/>
              </w:rPr>
            </w:pPr>
            <w:r>
              <w:rPr>
                <w:rFonts w:ascii="宋体" w:hAnsi="宋体" w:cs="宋体" w:eastAsia="宋体" w:hint="default"/>
                <w:spacing w:val="-3"/>
                <w:sz w:val="18"/>
                <w:szCs w:val="18"/>
              </w:rPr>
              <w:t>是否取得其他国家或地区居留权</w:t>
            </w:r>
          </w:p>
        </w:tc>
      </w:tr>
      <w:tr>
        <w:trPr>
          <w:trHeight w:val="404" w:hRule="exact"/>
        </w:trPr>
        <w:tc>
          <w:tcPr>
            <w:tcW w:w="3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吴涵渠</w:t>
            </w:r>
          </w:p>
        </w:tc>
        <w:tc>
          <w:tcPr>
            <w:tcW w:w="2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3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1"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398" w:hRule="exact"/>
        </w:trPr>
        <w:tc>
          <w:tcPr>
            <w:tcW w:w="34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主要职业及职务</w:t>
            </w:r>
          </w:p>
        </w:tc>
        <w:tc>
          <w:tcPr>
            <w:tcW w:w="615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3"/>
              <w:jc w:val="right"/>
              <w:rPr>
                <w:rFonts w:ascii="宋体" w:hAnsi="宋体" w:cs="宋体" w:eastAsia="宋体" w:hint="default"/>
                <w:sz w:val="18"/>
                <w:szCs w:val="18"/>
              </w:rPr>
            </w:pPr>
            <w:r>
              <w:rPr>
                <w:rFonts w:ascii="宋体" w:hAnsi="宋体" w:cs="宋体" w:eastAsia="宋体" w:hint="default"/>
                <w:spacing w:val="-2"/>
                <w:sz w:val="18"/>
                <w:szCs w:val="18"/>
              </w:rPr>
              <w:t>董事长、总裁</w:t>
            </w:r>
          </w:p>
        </w:tc>
      </w:tr>
      <w:tr>
        <w:trPr>
          <w:trHeight w:val="715" w:hRule="exact"/>
        </w:trPr>
        <w:tc>
          <w:tcPr>
            <w:tcW w:w="34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8"/>
              <w:ind w:left="105" w:right="239"/>
              <w:jc w:val="left"/>
              <w:rPr>
                <w:rFonts w:ascii="宋体" w:hAnsi="宋体" w:cs="宋体" w:eastAsia="宋体" w:hint="default"/>
                <w:sz w:val="18"/>
                <w:szCs w:val="18"/>
              </w:rPr>
            </w:pPr>
            <w:r>
              <w:rPr>
                <w:rFonts w:ascii="宋体" w:hAnsi="宋体" w:cs="宋体" w:eastAsia="宋体" w:hint="default"/>
                <w:spacing w:val="-3"/>
                <w:sz w:val="18"/>
                <w:szCs w:val="18"/>
              </w:rPr>
              <w:t>报告期内控股和参股的其他境内外上市</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公司的股权情况</w:t>
            </w:r>
          </w:p>
        </w:tc>
        <w:tc>
          <w:tcPr>
            <w:tcW w:w="615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无</w:t>
            </w:r>
            <w:r>
              <w:rPr>
                <w:rFonts w:ascii="宋体" w:hAnsi="宋体" w:cs="宋体" w:eastAsia="宋体" w:hint="default"/>
                <w:sz w:val="18"/>
                <w:szCs w:val="18"/>
              </w:rPr>
            </w:r>
          </w:p>
        </w:tc>
      </w:tr>
    </w:tbl>
    <w:p>
      <w:pPr>
        <w:pStyle w:val="BodyText"/>
        <w:spacing w:line="240" w:lineRule="auto" w:before="65"/>
        <w:ind w:right="0"/>
        <w:jc w:val="left"/>
      </w:pPr>
      <w:r>
        <w:rPr/>
        <w:t>控股股东报告期内变更</w:t>
      </w:r>
    </w:p>
    <w:p>
      <w:pPr>
        <w:pStyle w:val="BodyText"/>
        <w:spacing w:line="357" w:lineRule="auto" w:before="120"/>
        <w:ind w:right="7667"/>
        <w:jc w:val="left"/>
      </w:pPr>
      <w:r>
        <w:rPr/>
        <w:t>□ </w:t>
      </w:r>
      <w:r>
        <w:rPr>
          <w:spacing w:val="-3"/>
        </w:rPr>
        <w:t>适用 </w:t>
      </w:r>
      <w:r>
        <w:rPr/>
        <w:t>√ 不适用</w:t>
      </w:r>
      <w:r>
        <w:rPr>
          <w:spacing w:val="-77"/>
        </w:rPr>
        <w:t> </w:t>
      </w:r>
      <w:r>
        <w:rPr>
          <w:spacing w:val="-77"/>
        </w:rPr>
      </w:r>
      <w:r>
        <w:rPr>
          <w:spacing w:val="-3"/>
        </w:rPr>
        <w:t>公司报告期控股股东未发生变更。</w:t>
      </w:r>
    </w:p>
    <w:p>
      <w:pPr>
        <w:spacing w:line="240" w:lineRule="auto" w:before="12"/>
        <w:rPr>
          <w:rFonts w:ascii="宋体" w:hAnsi="宋体" w:cs="宋体" w:eastAsia="宋体" w:hint="default"/>
          <w:sz w:val="19"/>
          <w:szCs w:val="19"/>
        </w:rPr>
      </w:pPr>
    </w:p>
    <w:p>
      <w:pPr>
        <w:pStyle w:val="Heading4"/>
        <w:spacing w:line="240" w:lineRule="auto"/>
        <w:ind w:right="0"/>
        <w:jc w:val="left"/>
        <w:rPr>
          <w:b w:val="0"/>
          <w:bCs w:val="0"/>
        </w:rPr>
      </w:pPr>
      <w:bookmarkStart w:name="3、公司实际控制人及其一致行动人" w:id="119"/>
      <w:bookmarkEnd w:id="119"/>
      <w:r>
        <w:rPr>
          <w:b w:val="0"/>
          <w:bCs w:val="0"/>
        </w:rPr>
      </w:r>
      <w:r>
        <w:rPr>
          <w:rFonts w:ascii="Times New Roman" w:hAnsi="Times New Roman" w:cs="Times New Roman" w:eastAsia="Times New Roman" w:hint="default"/>
        </w:rPr>
        <w:t>3</w:t>
      </w:r>
      <w:r>
        <w:rPr/>
        <w:t>、公司实际控制人及其一致行动人</w:t>
      </w:r>
      <w:r>
        <w:rPr>
          <w:b w:val="0"/>
          <w:bCs w:val="0"/>
        </w:rPr>
      </w:r>
    </w:p>
    <w:p>
      <w:pPr>
        <w:spacing w:line="240" w:lineRule="auto" w:before="1"/>
        <w:rPr>
          <w:rFonts w:ascii="宋体" w:hAnsi="宋体" w:cs="宋体" w:eastAsia="宋体" w:hint="default"/>
          <w:b/>
          <w:bCs/>
          <w:sz w:val="27"/>
          <w:szCs w:val="27"/>
        </w:rPr>
      </w:pPr>
    </w:p>
    <w:p>
      <w:pPr>
        <w:pStyle w:val="BodyText"/>
        <w:spacing w:line="357" w:lineRule="auto" w:before="0"/>
        <w:ind w:right="7667"/>
        <w:jc w:val="left"/>
      </w:pPr>
      <w:r>
        <w:rPr>
          <w:spacing w:val="-3"/>
        </w:rPr>
        <w:t>实际控制人性质：境内自然人</w:t>
      </w:r>
      <w:r>
        <w:rPr>
          <w:spacing w:val="-50"/>
        </w:rPr>
        <w:t> </w:t>
      </w:r>
      <w:r>
        <w:rPr>
          <w:spacing w:val="-50"/>
        </w:rPr>
      </w:r>
      <w:r>
        <w:rPr>
          <w:spacing w:val="-3"/>
        </w:rPr>
        <w:t>实际控制人类型：自然人</w:t>
      </w:r>
    </w:p>
    <w:tbl>
      <w:tblPr>
        <w:tblW w:w="0" w:type="auto"/>
        <w:jc w:val="left"/>
        <w:tblInd w:w="148" w:type="dxa"/>
        <w:tblLayout w:type="fixed"/>
        <w:tblCellMar>
          <w:top w:w="0" w:type="dxa"/>
          <w:left w:w="0" w:type="dxa"/>
          <w:bottom w:w="0" w:type="dxa"/>
          <w:right w:w="0" w:type="dxa"/>
        </w:tblCellMar>
        <w:tblLook w:val="01E0"/>
      </w:tblPr>
      <w:tblGrid>
        <w:gridCol w:w="2391"/>
        <w:gridCol w:w="2396"/>
        <w:gridCol w:w="2391"/>
        <w:gridCol w:w="2391"/>
      </w:tblGrid>
      <w:tr>
        <w:trPr>
          <w:trHeight w:val="715"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561" w:right="0"/>
              <w:jc w:val="left"/>
              <w:rPr>
                <w:rFonts w:ascii="宋体" w:hAnsi="宋体" w:cs="宋体" w:eastAsia="宋体" w:hint="default"/>
                <w:sz w:val="18"/>
                <w:szCs w:val="18"/>
              </w:rPr>
            </w:pPr>
            <w:r>
              <w:rPr>
                <w:rFonts w:ascii="宋体" w:hAnsi="宋体" w:cs="宋体" w:eastAsia="宋体" w:hint="default"/>
                <w:spacing w:val="-3"/>
                <w:sz w:val="18"/>
                <w:szCs w:val="18"/>
              </w:rPr>
              <w:t>实际控制人姓名</w:t>
            </w: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470" w:right="0"/>
              <w:jc w:val="left"/>
              <w:rPr>
                <w:rFonts w:ascii="宋体" w:hAnsi="宋体" w:cs="宋体" w:eastAsia="宋体" w:hint="default"/>
                <w:sz w:val="18"/>
                <w:szCs w:val="18"/>
              </w:rPr>
            </w:pPr>
            <w:r>
              <w:rPr>
                <w:rFonts w:ascii="宋体" w:hAnsi="宋体" w:cs="宋体" w:eastAsia="宋体" w:hint="default"/>
                <w:sz w:val="18"/>
                <w:szCs w:val="18"/>
              </w:rPr>
              <w:t>与实际控制人关系</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国籍</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012" w:right="103" w:hanging="903"/>
              <w:jc w:val="left"/>
              <w:rPr>
                <w:rFonts w:ascii="宋体" w:hAnsi="宋体" w:cs="宋体" w:eastAsia="宋体" w:hint="default"/>
                <w:sz w:val="18"/>
                <w:szCs w:val="18"/>
              </w:rPr>
            </w:pPr>
            <w:r>
              <w:rPr>
                <w:rFonts w:ascii="宋体" w:hAnsi="宋体" w:cs="宋体" w:eastAsia="宋体" w:hint="default"/>
                <w:spacing w:val="-3"/>
                <w:sz w:val="18"/>
                <w:szCs w:val="18"/>
              </w:rPr>
              <w:t>是否取得其他国家或地区居</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留权</w:t>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吴涵渠</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本人</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399"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pacing w:val="-3"/>
                <w:sz w:val="18"/>
                <w:szCs w:val="18"/>
              </w:rPr>
              <w:t>主要职业及职务</w:t>
            </w:r>
          </w:p>
        </w:tc>
        <w:tc>
          <w:tcPr>
            <w:tcW w:w="717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董事长、总裁</w:t>
            </w:r>
          </w:p>
        </w:tc>
      </w:tr>
      <w:tr>
        <w:trPr>
          <w:trHeight w:val="715"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8"/>
              <w:ind w:left="105" w:right="200"/>
              <w:jc w:val="left"/>
              <w:rPr>
                <w:rFonts w:ascii="宋体" w:hAnsi="宋体" w:cs="宋体" w:eastAsia="宋体" w:hint="default"/>
                <w:sz w:val="18"/>
                <w:szCs w:val="18"/>
              </w:rPr>
            </w:pPr>
            <w:r>
              <w:rPr>
                <w:rFonts w:ascii="宋体" w:hAnsi="宋体" w:cs="宋体" w:eastAsia="宋体" w:hint="default"/>
                <w:sz w:val="18"/>
                <w:szCs w:val="18"/>
              </w:rPr>
              <w:t>过去</w:t>
            </w:r>
            <w:r>
              <w:rPr>
                <w:rFonts w:ascii="宋体" w:hAnsi="宋体" w:cs="宋体" w:eastAsia="宋体" w:hint="default"/>
                <w:spacing w:val="-34"/>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1"/>
                <w:sz w:val="18"/>
                <w:szCs w:val="18"/>
              </w:rPr>
              <w:t> </w:t>
            </w:r>
            <w:r>
              <w:rPr>
                <w:rFonts w:ascii="宋体" w:hAnsi="宋体" w:cs="宋体" w:eastAsia="宋体" w:hint="default"/>
                <w:spacing w:val="-3"/>
                <w:sz w:val="18"/>
                <w:szCs w:val="18"/>
              </w:rPr>
              <w:t>年曾控股的境内外</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上市公司情况</w:t>
            </w:r>
          </w:p>
        </w:tc>
        <w:tc>
          <w:tcPr>
            <w:tcW w:w="717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无</w:t>
            </w:r>
            <w:r>
              <w:rPr>
                <w:rFonts w:ascii="宋体" w:hAnsi="宋体" w:cs="宋体" w:eastAsia="宋体" w:hint="default"/>
                <w:sz w:val="18"/>
                <w:szCs w:val="18"/>
              </w:rPr>
            </w:r>
          </w:p>
        </w:tc>
      </w:tr>
    </w:tbl>
    <w:p>
      <w:pPr>
        <w:pStyle w:val="BodyText"/>
        <w:spacing w:line="240" w:lineRule="auto" w:before="65"/>
        <w:ind w:right="0"/>
        <w:jc w:val="left"/>
      </w:pPr>
      <w:r>
        <w:rPr>
          <w:spacing w:val="-3"/>
        </w:rPr>
        <w:t>实际控制人报告期内变更</w:t>
      </w:r>
    </w:p>
    <w:p>
      <w:pPr>
        <w:pStyle w:val="BodyText"/>
        <w:spacing w:line="360" w:lineRule="auto" w:before="120"/>
        <w:ind w:right="6445"/>
        <w:jc w:val="left"/>
      </w:pPr>
      <w:r>
        <w:rPr/>
        <w:t>□ </w:t>
      </w:r>
      <w:r>
        <w:rPr>
          <w:spacing w:val="-3"/>
        </w:rPr>
        <w:t>适用 </w:t>
      </w:r>
      <w:r>
        <w:rPr/>
        <w:t>√ 不适用</w:t>
      </w:r>
      <w:r>
        <w:rPr>
          <w:spacing w:val="-77"/>
        </w:rPr>
        <w:t> </w:t>
      </w:r>
      <w:r>
        <w:rPr>
          <w:spacing w:val="-77"/>
        </w:rPr>
      </w:r>
      <w:r>
        <w:rPr>
          <w:spacing w:val="-3"/>
        </w:rPr>
        <w:t>公司报告期实际控制人未发生变更。</w:t>
      </w:r>
      <w:r>
        <w:rPr>
          <w:spacing w:val="-39"/>
        </w:rPr>
        <w:t> </w:t>
      </w:r>
      <w:r>
        <w:rPr>
          <w:spacing w:val="-39"/>
        </w:rPr>
      </w:r>
      <w:r>
        <w:rPr>
          <w:spacing w:val="-3"/>
        </w:rPr>
        <w:t>公司与实际控制人之间的产权及控制关系的方框图</w:t>
      </w:r>
    </w:p>
    <w:p>
      <w:pPr>
        <w:spacing w:after="0" w:line="360" w:lineRule="auto"/>
        <w:jc w:val="left"/>
        <w:sectPr>
          <w:pgSz w:w="11910" w:h="16840"/>
          <w:pgMar w:header="784" w:footer="1022" w:top="1100" w:bottom="1220" w:left="980" w:right="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1"/>
          <w:szCs w:val="11"/>
        </w:rPr>
      </w:pPr>
    </w:p>
    <w:p>
      <w:pPr>
        <w:spacing w:line="3585" w:lineRule="exact"/>
        <w:ind w:left="1358" w:right="0" w:firstLine="0"/>
        <w:rPr>
          <w:rFonts w:ascii="宋体" w:hAnsi="宋体" w:cs="宋体" w:eastAsia="宋体" w:hint="default"/>
          <w:sz w:val="20"/>
          <w:szCs w:val="20"/>
        </w:rPr>
      </w:pPr>
      <w:r>
        <w:rPr>
          <w:rFonts w:ascii="宋体" w:hAnsi="宋体" w:cs="宋体" w:eastAsia="宋体" w:hint="default"/>
          <w:position w:val="-71"/>
          <w:sz w:val="20"/>
          <w:szCs w:val="20"/>
        </w:rPr>
        <w:drawing>
          <wp:inline distT="0" distB="0" distL="0" distR="0">
            <wp:extent cx="4589780" cy="2276475"/>
            <wp:effectExtent l="0" t="0" r="0" b="0"/>
            <wp:docPr id="63" name="image35.jpeg" descr=""/>
            <wp:cNvGraphicFramePr>
              <a:graphicFrameLocks noChangeAspect="1"/>
            </wp:cNvGraphicFramePr>
            <a:graphic>
              <a:graphicData uri="http://schemas.openxmlformats.org/drawingml/2006/picture">
                <pic:pic>
                  <pic:nvPicPr>
                    <pic:cNvPr id="64" name="image35.jpeg"/>
                    <pic:cNvPicPr/>
                  </pic:nvPicPr>
                  <pic:blipFill>
                    <a:blip r:embed="rId45" cstate="print"/>
                    <a:stretch>
                      <a:fillRect/>
                    </a:stretch>
                  </pic:blipFill>
                  <pic:spPr>
                    <a:xfrm>
                      <a:off x="0" y="0"/>
                      <a:ext cx="4589780" cy="2276475"/>
                    </a:xfrm>
                    <a:prstGeom prst="rect">
                      <a:avLst/>
                    </a:prstGeom>
                  </pic:spPr>
                </pic:pic>
              </a:graphicData>
            </a:graphic>
          </wp:inline>
        </w:drawing>
      </w:r>
      <w:r>
        <w:rPr>
          <w:rFonts w:ascii="宋体" w:hAnsi="宋体" w:cs="宋体" w:eastAsia="宋体" w:hint="default"/>
          <w:position w:val="-71"/>
          <w:sz w:val="20"/>
          <w:szCs w:val="20"/>
        </w:rPr>
      </w:r>
    </w:p>
    <w:p>
      <w:pPr>
        <w:spacing w:line="240" w:lineRule="auto" w:before="9"/>
        <w:rPr>
          <w:rFonts w:ascii="宋体" w:hAnsi="宋体" w:cs="宋体" w:eastAsia="宋体" w:hint="default"/>
          <w:sz w:val="16"/>
          <w:szCs w:val="16"/>
        </w:rPr>
      </w:pPr>
    </w:p>
    <w:p>
      <w:pPr>
        <w:pStyle w:val="Heading3"/>
        <w:spacing w:line="240" w:lineRule="auto" w:before="26"/>
        <w:ind w:right="0"/>
        <w:jc w:val="left"/>
      </w:pPr>
      <w:r>
        <w:rPr/>
        <w:t>实际控制人通过信托或其他资产管理方式控制公司</w:t>
      </w:r>
    </w:p>
    <w:p>
      <w:pPr>
        <w:spacing w:line="240" w:lineRule="auto" w:before="2"/>
        <w:rPr>
          <w:rFonts w:ascii="宋体" w:hAnsi="宋体" w:cs="宋体" w:eastAsia="宋体" w:hint="default"/>
          <w:sz w:val="19"/>
          <w:szCs w:val="19"/>
        </w:rPr>
      </w:pPr>
    </w:p>
    <w:p>
      <w:pPr>
        <w:pStyle w:val="BodyText"/>
        <w:spacing w:line="240" w:lineRule="auto" w:before="0"/>
        <w:ind w:right="0"/>
        <w:jc w:val="left"/>
      </w:pPr>
      <w:r>
        <w:rPr/>
        <w:t>□ </w:t>
      </w:r>
      <w:r>
        <w:rPr>
          <w:spacing w:val="-3"/>
        </w:rPr>
        <w:t>适用 </w:t>
      </w:r>
      <w:r>
        <w:rPr/>
        <w:t>√</w:t>
      </w:r>
      <w:r>
        <w:rPr>
          <w:spacing w:val="13"/>
        </w:rPr>
        <w:t> </w:t>
      </w:r>
      <w:r>
        <w:rPr/>
        <w:t>不适用</w:t>
      </w:r>
    </w:p>
    <w:p>
      <w:pPr>
        <w:spacing w:line="240" w:lineRule="auto" w:before="8"/>
        <w:rPr>
          <w:rFonts w:ascii="宋体" w:hAnsi="宋体" w:cs="宋体" w:eastAsia="宋体" w:hint="default"/>
          <w:sz w:val="26"/>
          <w:szCs w:val="26"/>
        </w:rPr>
      </w:pPr>
    </w:p>
    <w:p>
      <w:pPr>
        <w:pStyle w:val="Heading4"/>
        <w:spacing w:line="240" w:lineRule="auto"/>
        <w:ind w:right="0"/>
        <w:jc w:val="left"/>
        <w:rPr>
          <w:b w:val="0"/>
          <w:bCs w:val="0"/>
        </w:rPr>
      </w:pPr>
      <w:bookmarkStart w:name="4、其他持股在10%以上的法人股东" w:id="120"/>
      <w:bookmarkEnd w:id="120"/>
      <w:r>
        <w:rPr>
          <w:b w:val="0"/>
          <w:bCs w:val="0"/>
        </w:rPr>
      </w:r>
      <w:r>
        <w:rPr>
          <w:rFonts w:ascii="Times New Roman" w:hAnsi="Times New Roman" w:cs="Times New Roman" w:eastAsia="Times New Roman" w:hint="default"/>
        </w:rPr>
        <w:t>4</w:t>
      </w:r>
      <w:r>
        <w:rPr/>
        <w:t>、其他持股在</w:t>
      </w:r>
      <w:r>
        <w:rPr>
          <w:spacing w:val="-51"/>
        </w:rPr>
        <w:t> </w:t>
      </w:r>
      <w:r>
        <w:rPr>
          <w:rFonts w:ascii="Times New Roman" w:hAnsi="Times New Roman" w:cs="Times New Roman" w:eastAsia="Times New Roman" w:hint="default"/>
        </w:rPr>
        <w:t>10%</w:t>
      </w:r>
      <w:r>
        <w:rPr/>
        <w:t>以上的法人股东</w:t>
      </w:r>
      <w:r>
        <w:rPr>
          <w:b w:val="0"/>
          <w:bCs w:val="0"/>
        </w:rPr>
      </w:r>
    </w:p>
    <w:p>
      <w:pPr>
        <w:spacing w:line="240" w:lineRule="auto" w:before="1"/>
        <w:rPr>
          <w:rFonts w:ascii="宋体" w:hAnsi="宋体" w:cs="宋体" w:eastAsia="宋体" w:hint="default"/>
          <w:b/>
          <w:bCs/>
          <w:sz w:val="27"/>
          <w:szCs w:val="27"/>
        </w:rPr>
      </w:pPr>
    </w:p>
    <w:p>
      <w:pPr>
        <w:pStyle w:val="BodyText"/>
        <w:spacing w:line="240" w:lineRule="auto" w:before="0"/>
        <w:ind w:right="0"/>
        <w:jc w:val="left"/>
      </w:pPr>
      <w:r>
        <w:rPr/>
        <w:t>□ </w:t>
      </w:r>
      <w:r>
        <w:rPr>
          <w:spacing w:val="-3"/>
        </w:rPr>
        <w:t>适用 </w:t>
      </w:r>
      <w:r>
        <w:rPr/>
        <w:t>√</w:t>
      </w:r>
      <w:r>
        <w:rPr>
          <w:spacing w:val="13"/>
        </w:rPr>
        <w:t> </w:t>
      </w:r>
      <w:r>
        <w:rPr/>
        <w:t>不适用</w:t>
      </w:r>
    </w:p>
    <w:p>
      <w:pPr>
        <w:spacing w:line="240" w:lineRule="auto" w:before="4"/>
        <w:rPr>
          <w:rFonts w:ascii="宋体" w:hAnsi="宋体" w:cs="宋体" w:eastAsia="宋体" w:hint="default"/>
          <w:sz w:val="26"/>
          <w:szCs w:val="26"/>
        </w:rPr>
      </w:pPr>
    </w:p>
    <w:p>
      <w:pPr>
        <w:pStyle w:val="Heading4"/>
        <w:spacing w:line="240" w:lineRule="auto"/>
        <w:ind w:right="0"/>
        <w:jc w:val="left"/>
        <w:rPr>
          <w:b w:val="0"/>
          <w:bCs w:val="0"/>
        </w:rPr>
      </w:pPr>
      <w:bookmarkStart w:name="5、控股股东、实际控制人、重组方及其他承诺主体股份限制减持情况" w:id="121"/>
      <w:bookmarkEnd w:id="121"/>
      <w:r>
        <w:rPr>
          <w:b w:val="0"/>
          <w:bCs w:val="0"/>
        </w:rPr>
      </w:r>
      <w:r>
        <w:rPr>
          <w:rFonts w:ascii="Times New Roman" w:hAnsi="Times New Roman" w:cs="Times New Roman" w:eastAsia="Times New Roman" w:hint="default"/>
        </w:rPr>
        <w:t>5</w:t>
      </w:r>
      <w:r>
        <w:rPr/>
        <w:t>、控股股东、实际控制人、重组方及其他承诺主体股份限制减持情况</w:t>
      </w:r>
      <w:r>
        <w:rPr>
          <w:b w:val="0"/>
          <w:bCs w:val="0"/>
        </w:rPr>
      </w:r>
    </w:p>
    <w:p>
      <w:pPr>
        <w:spacing w:line="240" w:lineRule="auto" w:before="1"/>
        <w:rPr>
          <w:rFonts w:ascii="宋体" w:hAnsi="宋体" w:cs="宋体" w:eastAsia="宋体" w:hint="default"/>
          <w:b/>
          <w:bCs/>
          <w:sz w:val="27"/>
          <w:szCs w:val="27"/>
        </w:rPr>
      </w:pPr>
    </w:p>
    <w:p>
      <w:pPr>
        <w:pStyle w:val="BodyText"/>
        <w:spacing w:line="240" w:lineRule="auto" w:before="0"/>
        <w:ind w:right="0"/>
        <w:jc w:val="left"/>
      </w:pPr>
      <w:r>
        <w:rPr/>
        <w:t>□ </w:t>
      </w:r>
      <w:r>
        <w:rPr>
          <w:spacing w:val="-3"/>
        </w:rPr>
        <w:t>适用 </w:t>
      </w:r>
      <w:r>
        <w:rPr/>
        <w:t>√</w:t>
      </w:r>
      <w:r>
        <w:rPr>
          <w:spacing w:val="13"/>
        </w:rPr>
        <w:t> </w:t>
      </w:r>
      <w:r>
        <w:rPr/>
        <w:t>不适用</w:t>
      </w:r>
    </w:p>
    <w:p>
      <w:pPr>
        <w:spacing w:after="0" w:line="240" w:lineRule="auto"/>
        <w:jc w:val="left"/>
        <w:sectPr>
          <w:pgSz w:w="11910" w:h="16840"/>
          <w:pgMar w:header="784" w:footer="1022" w:top="1100" w:bottom="122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7"/>
          <w:szCs w:val="17"/>
        </w:rPr>
      </w:pPr>
    </w:p>
    <w:p>
      <w:pPr>
        <w:pStyle w:val="Heading1"/>
        <w:spacing w:line="240" w:lineRule="auto"/>
        <w:ind w:left="3365" w:right="0"/>
        <w:jc w:val="left"/>
        <w:rPr>
          <w:b w:val="0"/>
          <w:bCs w:val="0"/>
        </w:rPr>
      </w:pPr>
      <w:bookmarkStart w:name="第七节优先股相关情况" w:id="122"/>
      <w:bookmarkEnd w:id="122"/>
      <w:r>
        <w:rPr>
          <w:b w:val="0"/>
          <w:bCs w:val="0"/>
        </w:rPr>
      </w:r>
      <w:bookmarkStart w:name="_bookmark6" w:id="123"/>
      <w:bookmarkEnd w:id="123"/>
      <w:r>
        <w:rPr>
          <w:b w:val="0"/>
          <w:bCs w:val="0"/>
        </w:rPr>
      </w:r>
      <w:r>
        <w:rPr/>
        <w:t>第七节优先股相关情况</w:t>
      </w:r>
      <w:r>
        <w:rPr>
          <w:b w:val="0"/>
          <w:bCs w:val="0"/>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9"/>
          <w:szCs w:val="19"/>
        </w:rPr>
      </w:pPr>
    </w:p>
    <w:p>
      <w:pPr>
        <w:pStyle w:val="BodyText"/>
        <w:spacing w:line="357" w:lineRule="auto"/>
        <w:ind w:right="7667"/>
        <w:jc w:val="left"/>
      </w:pPr>
      <w:r>
        <w:rPr/>
        <w:t>□ </w:t>
      </w:r>
      <w:r>
        <w:rPr>
          <w:spacing w:val="-3"/>
        </w:rPr>
        <w:t>适用 </w:t>
      </w:r>
      <w:r>
        <w:rPr/>
        <w:t>√ 不适用</w:t>
      </w:r>
      <w:r>
        <w:rPr>
          <w:spacing w:val="-77"/>
        </w:rPr>
        <w:t> </w:t>
      </w:r>
      <w:r>
        <w:rPr>
          <w:spacing w:val="-77"/>
        </w:rPr>
      </w:r>
      <w:r>
        <w:rPr>
          <w:spacing w:val="-3"/>
        </w:rPr>
        <w:t>报告期公司不存在优先股。</w:t>
      </w:r>
    </w:p>
    <w:p>
      <w:pPr>
        <w:spacing w:after="0" w:line="357" w:lineRule="auto"/>
        <w:jc w:val="left"/>
        <w:sectPr>
          <w:pgSz w:w="11910" w:h="16840"/>
          <w:pgMar w:header="784" w:footer="1022" w:top="1100" w:bottom="122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7"/>
          <w:szCs w:val="17"/>
        </w:rPr>
      </w:pPr>
    </w:p>
    <w:p>
      <w:pPr>
        <w:pStyle w:val="Heading1"/>
        <w:spacing w:line="240" w:lineRule="auto"/>
        <w:ind w:left="2722" w:right="0"/>
        <w:jc w:val="left"/>
        <w:rPr>
          <w:b w:val="0"/>
          <w:bCs w:val="0"/>
        </w:rPr>
      </w:pPr>
      <w:bookmarkStart w:name="第八节可转换公司债券相关情况" w:id="124"/>
      <w:bookmarkEnd w:id="124"/>
      <w:r>
        <w:rPr>
          <w:b w:val="0"/>
          <w:bCs w:val="0"/>
        </w:rPr>
      </w:r>
      <w:bookmarkStart w:name="_bookmark7" w:id="125"/>
      <w:bookmarkEnd w:id="125"/>
      <w:r>
        <w:rPr>
          <w:b w:val="0"/>
          <w:bCs w:val="0"/>
        </w:rPr>
      </w:r>
      <w:r>
        <w:rPr/>
        <w:t>第八节可转换公司债券相关情况</w:t>
      </w:r>
      <w:r>
        <w:rPr>
          <w:b w:val="0"/>
          <w:bCs w:val="0"/>
        </w:rPr>
      </w:r>
    </w:p>
    <w:p>
      <w:pPr>
        <w:spacing w:line="240" w:lineRule="auto" w:before="12"/>
        <w:rPr>
          <w:rFonts w:ascii="宋体" w:hAnsi="宋体" w:cs="宋体" w:eastAsia="宋体" w:hint="default"/>
          <w:b/>
          <w:bCs/>
          <w:sz w:val="42"/>
          <w:szCs w:val="42"/>
        </w:rPr>
      </w:pPr>
    </w:p>
    <w:p>
      <w:pPr>
        <w:pStyle w:val="BodyText"/>
        <w:spacing w:line="357" w:lineRule="auto" w:before="0"/>
        <w:ind w:right="6445"/>
        <w:jc w:val="left"/>
      </w:pPr>
      <w:r>
        <w:rPr/>
        <w:t>□ </w:t>
      </w:r>
      <w:r>
        <w:rPr>
          <w:spacing w:val="-3"/>
        </w:rPr>
        <w:t>适用 </w:t>
      </w:r>
      <w:r>
        <w:rPr/>
        <w:t>√ 不适用</w:t>
      </w:r>
      <w:r>
        <w:rPr>
          <w:spacing w:val="-77"/>
        </w:rPr>
        <w:t> </w:t>
      </w:r>
      <w:r>
        <w:rPr>
          <w:spacing w:val="-77"/>
        </w:rPr>
      </w:r>
      <w:r>
        <w:rPr>
          <w:spacing w:val="-3"/>
        </w:rPr>
        <w:t>报告期公司不存在可转换公司债券。</w:t>
      </w:r>
    </w:p>
    <w:p>
      <w:pPr>
        <w:spacing w:after="0" w:line="357" w:lineRule="auto"/>
        <w:jc w:val="left"/>
        <w:sectPr>
          <w:pgSz w:w="11910" w:h="16840"/>
          <w:pgMar w:header="784" w:footer="1022" w:top="1100" w:bottom="122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7"/>
          <w:szCs w:val="17"/>
        </w:rPr>
      </w:pPr>
    </w:p>
    <w:p>
      <w:pPr>
        <w:pStyle w:val="Heading1"/>
        <w:spacing w:line="240" w:lineRule="auto"/>
        <w:ind w:left="1757" w:right="0"/>
        <w:jc w:val="left"/>
        <w:rPr>
          <w:b w:val="0"/>
          <w:bCs w:val="0"/>
        </w:rPr>
      </w:pPr>
      <w:bookmarkStart w:name="第九节董事、监事、高级管理人员和员工情况" w:id="126"/>
      <w:bookmarkEnd w:id="126"/>
      <w:r>
        <w:rPr>
          <w:b w:val="0"/>
          <w:bCs w:val="0"/>
        </w:rPr>
      </w:r>
      <w:bookmarkStart w:name="_bookmark8" w:id="127"/>
      <w:bookmarkEnd w:id="127"/>
      <w:r>
        <w:rPr>
          <w:b w:val="0"/>
          <w:bCs w:val="0"/>
        </w:rPr>
      </w:r>
      <w:r>
        <w:rPr/>
        <w:t>第九节董事、监事、高级管理人员和员工情况</w:t>
      </w:r>
      <w:r>
        <w:rPr>
          <w:b w:val="0"/>
          <w:bCs w:val="0"/>
        </w:rPr>
      </w:r>
    </w:p>
    <w:p>
      <w:pPr>
        <w:spacing w:line="240" w:lineRule="auto" w:before="4"/>
        <w:rPr>
          <w:rFonts w:ascii="宋体" w:hAnsi="宋体" w:cs="宋体" w:eastAsia="宋体" w:hint="default"/>
          <w:b/>
          <w:bCs/>
          <w:sz w:val="38"/>
          <w:szCs w:val="38"/>
        </w:rPr>
      </w:pPr>
    </w:p>
    <w:p>
      <w:pPr>
        <w:pStyle w:val="Heading2"/>
        <w:spacing w:line="240" w:lineRule="auto"/>
        <w:ind w:right="0"/>
        <w:jc w:val="left"/>
        <w:rPr>
          <w:b w:val="0"/>
          <w:bCs w:val="0"/>
        </w:rPr>
      </w:pPr>
      <w:bookmarkStart w:name="一、董事、监事和高级管理人员持股变动" w:id="128"/>
      <w:bookmarkEnd w:id="128"/>
      <w:r>
        <w:rPr>
          <w:b w:val="0"/>
          <w:bCs w:val="0"/>
        </w:rPr>
      </w:r>
      <w:r>
        <w:rPr/>
        <w:t>一、董事、监事和高级管理人员持股变动</w:t>
      </w:r>
      <w:r>
        <w:rPr>
          <w:b w:val="0"/>
          <w:bCs w:val="0"/>
        </w:rPr>
      </w:r>
    </w:p>
    <w:p>
      <w:pPr>
        <w:spacing w:line="240" w:lineRule="auto" w:before="5"/>
        <w:rPr>
          <w:rFonts w:ascii="宋体" w:hAnsi="宋体" w:cs="宋体" w:eastAsia="宋体" w:hint="default"/>
          <w:b/>
          <w:bCs/>
          <w:sz w:val="26"/>
          <w:szCs w:val="26"/>
        </w:rPr>
      </w:pPr>
    </w:p>
    <w:tbl>
      <w:tblPr>
        <w:tblW w:w="0" w:type="auto"/>
        <w:jc w:val="left"/>
        <w:tblInd w:w="148" w:type="dxa"/>
        <w:tblLayout w:type="fixed"/>
        <w:tblCellMar>
          <w:top w:w="0" w:type="dxa"/>
          <w:left w:w="0" w:type="dxa"/>
          <w:bottom w:w="0" w:type="dxa"/>
          <w:right w:w="0" w:type="dxa"/>
        </w:tblCellMar>
        <w:tblLook w:val="01E0"/>
      </w:tblPr>
      <w:tblGrid>
        <w:gridCol w:w="797"/>
        <w:gridCol w:w="797"/>
        <w:gridCol w:w="797"/>
        <w:gridCol w:w="797"/>
        <w:gridCol w:w="802"/>
        <w:gridCol w:w="797"/>
        <w:gridCol w:w="797"/>
        <w:gridCol w:w="797"/>
        <w:gridCol w:w="797"/>
        <w:gridCol w:w="802"/>
        <w:gridCol w:w="797"/>
        <w:gridCol w:w="797"/>
      </w:tblGrid>
      <w:tr>
        <w:trPr>
          <w:trHeight w:val="1335" w:hRule="exact"/>
        </w:trPr>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left="216" w:right="0"/>
              <w:jc w:val="left"/>
              <w:rPr>
                <w:rFonts w:ascii="宋体" w:hAnsi="宋体" w:cs="宋体" w:eastAsia="宋体" w:hint="default"/>
                <w:sz w:val="18"/>
                <w:szCs w:val="18"/>
              </w:rPr>
            </w:pPr>
            <w:r>
              <w:rPr>
                <w:rFonts w:ascii="宋体" w:hAnsi="宋体" w:cs="宋体" w:eastAsia="宋体" w:hint="default"/>
                <w:sz w:val="18"/>
                <w:szCs w:val="18"/>
              </w:rPr>
              <w:t>职务</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319" w:lineRule="auto" w:before="130"/>
              <w:ind w:left="307" w:right="118" w:hanging="183"/>
              <w:jc w:val="left"/>
              <w:rPr>
                <w:rFonts w:ascii="宋体" w:hAnsi="宋体" w:cs="宋体" w:eastAsia="宋体" w:hint="default"/>
                <w:sz w:val="18"/>
                <w:szCs w:val="18"/>
              </w:rPr>
            </w:pPr>
            <w:r>
              <w:rPr>
                <w:rFonts w:ascii="宋体" w:hAnsi="宋体" w:cs="宋体" w:eastAsia="宋体" w:hint="default"/>
                <w:sz w:val="18"/>
                <w:szCs w:val="18"/>
              </w:rPr>
              <w:t>任职状</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态</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left="215" w:right="0"/>
              <w:jc w:val="left"/>
              <w:rPr>
                <w:rFonts w:ascii="宋体" w:hAnsi="宋体" w:cs="宋体" w:eastAsia="宋体" w:hint="default"/>
                <w:sz w:val="18"/>
                <w:szCs w:val="18"/>
              </w:rPr>
            </w:pPr>
            <w:r>
              <w:rPr>
                <w:rFonts w:ascii="宋体" w:hAnsi="宋体" w:cs="宋体" w:eastAsia="宋体" w:hint="default"/>
                <w:sz w:val="18"/>
                <w:szCs w:val="18"/>
              </w:rPr>
              <w:t>性别</w:t>
            </w:r>
          </w:p>
        </w:tc>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left="216" w:right="0"/>
              <w:jc w:val="left"/>
              <w:rPr>
                <w:rFonts w:ascii="宋体" w:hAnsi="宋体" w:cs="宋体" w:eastAsia="宋体" w:hint="default"/>
                <w:sz w:val="18"/>
                <w:szCs w:val="18"/>
              </w:rPr>
            </w:pPr>
            <w:r>
              <w:rPr>
                <w:rFonts w:ascii="宋体" w:hAnsi="宋体" w:cs="宋体" w:eastAsia="宋体" w:hint="default"/>
                <w:sz w:val="18"/>
                <w:szCs w:val="18"/>
              </w:rPr>
              <w:t>年龄</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319" w:lineRule="auto" w:before="130"/>
              <w:ind w:left="119" w:right="123"/>
              <w:jc w:val="left"/>
              <w:rPr>
                <w:rFonts w:ascii="宋体" w:hAnsi="宋体" w:cs="宋体" w:eastAsia="宋体" w:hint="default"/>
                <w:sz w:val="18"/>
                <w:szCs w:val="18"/>
              </w:rPr>
            </w:pPr>
            <w:r>
              <w:rPr>
                <w:rFonts w:ascii="宋体" w:hAnsi="宋体" w:cs="宋体" w:eastAsia="宋体" w:hint="default"/>
                <w:sz w:val="18"/>
                <w:szCs w:val="18"/>
              </w:rPr>
              <w:t>任期起</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始日期</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319" w:lineRule="auto" w:before="130"/>
              <w:ind w:left="119" w:right="122"/>
              <w:jc w:val="left"/>
              <w:rPr>
                <w:rFonts w:ascii="宋体" w:hAnsi="宋体" w:cs="宋体" w:eastAsia="宋体" w:hint="default"/>
                <w:sz w:val="18"/>
                <w:szCs w:val="18"/>
              </w:rPr>
            </w:pPr>
            <w:r>
              <w:rPr>
                <w:rFonts w:ascii="宋体" w:hAnsi="宋体" w:cs="宋体" w:eastAsia="宋体" w:hint="default"/>
                <w:sz w:val="18"/>
                <w:szCs w:val="18"/>
              </w:rPr>
              <w:t>任期终</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止日期</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2" w:lineRule="auto"/>
              <w:ind w:left="216" w:right="118" w:hanging="92"/>
              <w:jc w:val="left"/>
              <w:rPr>
                <w:rFonts w:ascii="宋体" w:hAnsi="宋体" w:cs="宋体" w:eastAsia="宋体" w:hint="default"/>
                <w:sz w:val="18"/>
                <w:szCs w:val="18"/>
              </w:rPr>
            </w:pPr>
            <w:r>
              <w:rPr>
                <w:rFonts w:ascii="宋体" w:hAnsi="宋体" w:cs="宋体" w:eastAsia="宋体" w:hint="default"/>
                <w:sz w:val="18"/>
                <w:szCs w:val="18"/>
              </w:rPr>
              <w:t>期初持</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股数</w:t>
            </w:r>
          </w:p>
          <w:p>
            <w:pPr>
              <w:pStyle w:val="TableParagraph"/>
              <w:spacing w:line="240" w:lineRule="auto" w:before="27"/>
              <w:ind w:left="124" w:right="0"/>
              <w:jc w:val="left"/>
              <w:rPr>
                <w:rFonts w:ascii="宋体" w:hAnsi="宋体" w:cs="宋体" w:eastAsia="宋体" w:hint="default"/>
                <w:sz w:val="18"/>
                <w:szCs w:val="18"/>
              </w:rPr>
            </w:pPr>
            <w:r>
              <w:rPr>
                <w:rFonts w:ascii="宋体" w:hAnsi="宋体" w:cs="宋体" w:eastAsia="宋体" w:hint="default"/>
                <w:sz w:val="18"/>
                <w:szCs w:val="18"/>
              </w:rPr>
              <w:t>（股）</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24" w:right="118"/>
              <w:jc w:val="both"/>
              <w:rPr>
                <w:rFonts w:ascii="宋体" w:hAnsi="宋体" w:cs="宋体" w:eastAsia="宋体" w:hint="default"/>
                <w:sz w:val="18"/>
                <w:szCs w:val="18"/>
              </w:rPr>
            </w:pPr>
            <w:r>
              <w:rPr>
                <w:rFonts w:ascii="宋体" w:hAnsi="宋体" w:cs="宋体" w:eastAsia="宋体" w:hint="default"/>
                <w:sz w:val="18"/>
                <w:szCs w:val="18"/>
              </w:rPr>
              <w:t>本期增</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持股份</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数量</w:t>
            </w:r>
          </w:p>
          <w:p>
            <w:pPr>
              <w:pStyle w:val="TableParagraph"/>
              <w:spacing w:line="240" w:lineRule="auto" w:before="23"/>
              <w:ind w:left="124" w:right="0"/>
              <w:jc w:val="both"/>
              <w:rPr>
                <w:rFonts w:ascii="宋体" w:hAnsi="宋体" w:cs="宋体" w:eastAsia="宋体" w:hint="default"/>
                <w:sz w:val="18"/>
                <w:szCs w:val="18"/>
              </w:rPr>
            </w:pPr>
            <w:r>
              <w:rPr>
                <w:rFonts w:ascii="宋体" w:hAnsi="宋体" w:cs="宋体" w:eastAsia="宋体" w:hint="default"/>
                <w:sz w:val="18"/>
                <w:szCs w:val="18"/>
              </w:rPr>
              <w:t>（股）</w:t>
            </w:r>
          </w:p>
        </w:tc>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24" w:right="122"/>
              <w:jc w:val="both"/>
              <w:rPr>
                <w:rFonts w:ascii="宋体" w:hAnsi="宋体" w:cs="宋体" w:eastAsia="宋体" w:hint="default"/>
                <w:sz w:val="18"/>
                <w:szCs w:val="18"/>
              </w:rPr>
            </w:pPr>
            <w:r>
              <w:rPr>
                <w:rFonts w:ascii="宋体" w:hAnsi="宋体" w:cs="宋体" w:eastAsia="宋体" w:hint="default"/>
                <w:sz w:val="18"/>
                <w:szCs w:val="18"/>
              </w:rPr>
              <w:t>本期减</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持股份</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数量</w:t>
            </w:r>
          </w:p>
          <w:p>
            <w:pPr>
              <w:pStyle w:val="TableParagraph"/>
              <w:spacing w:line="240" w:lineRule="auto" w:before="23"/>
              <w:ind w:left="124" w:right="0"/>
              <w:jc w:val="both"/>
              <w:rPr>
                <w:rFonts w:ascii="宋体" w:hAnsi="宋体" w:cs="宋体" w:eastAsia="宋体" w:hint="default"/>
                <w:sz w:val="18"/>
                <w:szCs w:val="18"/>
              </w:rPr>
            </w:pPr>
            <w:r>
              <w:rPr>
                <w:rFonts w:ascii="宋体" w:hAnsi="宋体" w:cs="宋体" w:eastAsia="宋体" w:hint="default"/>
                <w:sz w:val="18"/>
                <w:szCs w:val="18"/>
              </w:rPr>
              <w:t>（股）</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2" w:lineRule="auto"/>
              <w:ind w:left="119" w:right="123"/>
              <w:jc w:val="left"/>
              <w:rPr>
                <w:rFonts w:ascii="宋体" w:hAnsi="宋体" w:cs="宋体" w:eastAsia="宋体" w:hint="default"/>
                <w:sz w:val="18"/>
                <w:szCs w:val="18"/>
              </w:rPr>
            </w:pPr>
            <w:r>
              <w:rPr>
                <w:rFonts w:ascii="宋体" w:hAnsi="宋体" w:cs="宋体" w:eastAsia="宋体" w:hint="default"/>
                <w:sz w:val="18"/>
                <w:szCs w:val="18"/>
              </w:rPr>
              <w:t>其他增</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减变动</w:t>
            </w:r>
          </w:p>
          <w:p>
            <w:pPr>
              <w:pStyle w:val="TableParagraph"/>
              <w:spacing w:line="240" w:lineRule="auto" w:before="27"/>
              <w:ind w:left="119" w:right="0"/>
              <w:jc w:val="left"/>
              <w:rPr>
                <w:rFonts w:ascii="宋体" w:hAnsi="宋体" w:cs="宋体" w:eastAsia="宋体" w:hint="default"/>
                <w:sz w:val="18"/>
                <w:szCs w:val="18"/>
              </w:rPr>
            </w:pPr>
            <w:r>
              <w:rPr>
                <w:rFonts w:ascii="宋体" w:hAnsi="宋体" w:cs="宋体" w:eastAsia="宋体" w:hint="default"/>
                <w:sz w:val="18"/>
                <w:szCs w:val="18"/>
              </w:rPr>
              <w:t>（股）</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2" w:lineRule="auto"/>
              <w:ind w:left="216" w:right="117" w:hanging="92"/>
              <w:jc w:val="left"/>
              <w:rPr>
                <w:rFonts w:ascii="宋体" w:hAnsi="宋体" w:cs="宋体" w:eastAsia="宋体" w:hint="default"/>
                <w:sz w:val="18"/>
                <w:szCs w:val="18"/>
              </w:rPr>
            </w:pPr>
            <w:r>
              <w:rPr>
                <w:rFonts w:ascii="宋体" w:hAnsi="宋体" w:cs="宋体" w:eastAsia="宋体" w:hint="default"/>
                <w:sz w:val="18"/>
                <w:szCs w:val="18"/>
              </w:rPr>
              <w:t>期末持</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股数</w:t>
            </w:r>
          </w:p>
          <w:p>
            <w:pPr>
              <w:pStyle w:val="TableParagraph"/>
              <w:spacing w:line="240" w:lineRule="auto" w:before="27"/>
              <w:ind w:left="124" w:right="0"/>
              <w:jc w:val="left"/>
              <w:rPr>
                <w:rFonts w:ascii="宋体" w:hAnsi="宋体" w:cs="宋体" w:eastAsia="宋体" w:hint="default"/>
                <w:sz w:val="18"/>
                <w:szCs w:val="18"/>
              </w:rPr>
            </w:pPr>
            <w:r>
              <w:rPr>
                <w:rFonts w:ascii="宋体" w:hAnsi="宋体" w:cs="宋体" w:eastAsia="宋体" w:hint="default"/>
                <w:sz w:val="18"/>
                <w:szCs w:val="18"/>
              </w:rPr>
              <w:t>（股）</w:t>
            </w:r>
          </w:p>
        </w:tc>
      </w:tr>
      <w:tr>
        <w:trPr>
          <w:trHeight w:val="1027"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right="32"/>
              <w:jc w:val="center"/>
              <w:rPr>
                <w:rFonts w:ascii="宋体" w:hAnsi="宋体" w:cs="宋体" w:eastAsia="宋体" w:hint="default"/>
                <w:sz w:val="18"/>
                <w:szCs w:val="18"/>
              </w:rPr>
            </w:pPr>
            <w:r>
              <w:rPr>
                <w:rFonts w:ascii="宋体" w:hAnsi="宋体" w:cs="宋体" w:eastAsia="宋体" w:hint="default"/>
                <w:sz w:val="18"/>
                <w:szCs w:val="18"/>
              </w:rPr>
              <w:t>吴涵渠</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3"/>
              <w:ind w:left="105" w:right="137"/>
              <w:jc w:val="left"/>
              <w:rPr>
                <w:rFonts w:ascii="宋体" w:hAnsi="宋体" w:cs="宋体" w:eastAsia="宋体" w:hint="default"/>
                <w:sz w:val="18"/>
                <w:szCs w:val="18"/>
              </w:rPr>
            </w:pPr>
            <w:r>
              <w:rPr>
                <w:rFonts w:ascii="宋体" w:hAnsi="宋体" w:cs="宋体" w:eastAsia="宋体" w:hint="default"/>
                <w:sz w:val="18"/>
                <w:szCs w:val="18"/>
              </w:rPr>
              <w:t>董事</w:t>
            </w:r>
            <w:r>
              <w:rPr>
                <w:rFonts w:ascii="宋体" w:hAnsi="宋体" w:cs="宋体" w:eastAsia="宋体" w:hint="default"/>
                <w:spacing w:val="-86"/>
                <w:sz w:val="18"/>
                <w:szCs w:val="18"/>
              </w:rPr>
              <w:t> </w:t>
            </w:r>
            <w:r>
              <w:rPr>
                <w:rFonts w:ascii="宋体" w:hAnsi="宋体" w:cs="宋体" w:eastAsia="宋体" w:hint="default"/>
                <w:sz w:val="18"/>
                <w:szCs w:val="18"/>
              </w:rPr>
              <w:t>长、总</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裁</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58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p>
          <w:p>
            <w:pPr>
              <w:pStyle w:val="TableParagraph"/>
              <w:spacing w:line="240" w:lineRule="auto" w:before="63"/>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7"/>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 </w:t>
            </w:r>
            <w:r>
              <w:rPr>
                <w:rFonts w:ascii="宋体" w:hAnsi="宋体" w:cs="宋体" w:eastAsia="宋体" w:hint="default"/>
                <w:sz w:val="18"/>
                <w:szCs w:val="18"/>
              </w:rPr>
              <w:t>年</w:t>
            </w:r>
          </w:p>
          <w:p>
            <w:pPr>
              <w:pStyle w:val="TableParagraph"/>
              <w:spacing w:line="240" w:lineRule="auto" w:before="63"/>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7"/>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left="192" w:right="0"/>
              <w:jc w:val="left"/>
              <w:rPr>
                <w:rFonts w:ascii="Times New Roman" w:hAnsi="Times New Roman" w:cs="Times New Roman" w:eastAsia="Times New Roman" w:hint="default"/>
                <w:sz w:val="18"/>
                <w:szCs w:val="18"/>
              </w:rPr>
            </w:pPr>
            <w:r>
              <w:rPr>
                <w:rFonts w:ascii="Times New Roman"/>
                <w:sz w:val="18"/>
              </w:rPr>
              <w:t>171,15</w:t>
            </w:r>
          </w:p>
          <w:p>
            <w:pPr>
              <w:pStyle w:val="TableParagraph"/>
              <w:spacing w:line="240" w:lineRule="auto" w:before="105"/>
              <w:ind w:left="283" w:right="0"/>
              <w:jc w:val="left"/>
              <w:rPr>
                <w:rFonts w:ascii="Times New Roman" w:hAnsi="Times New Roman" w:cs="Times New Roman" w:eastAsia="Times New Roman" w:hint="default"/>
                <w:sz w:val="18"/>
                <w:szCs w:val="18"/>
              </w:rPr>
            </w:pPr>
            <w:r>
              <w:rPr>
                <w:rFonts w:ascii="Times New Roman"/>
                <w:sz w:val="18"/>
              </w:rPr>
              <w:t>6,663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left="192" w:right="0"/>
              <w:jc w:val="left"/>
              <w:rPr>
                <w:rFonts w:ascii="Times New Roman" w:hAnsi="Times New Roman" w:cs="Times New Roman" w:eastAsia="Times New Roman" w:hint="default"/>
                <w:sz w:val="18"/>
                <w:szCs w:val="18"/>
              </w:rPr>
            </w:pPr>
            <w:r>
              <w:rPr>
                <w:rFonts w:ascii="Times New Roman"/>
                <w:sz w:val="18"/>
              </w:rPr>
              <w:t>171,15</w:t>
            </w:r>
          </w:p>
          <w:p>
            <w:pPr>
              <w:pStyle w:val="TableParagraph"/>
              <w:spacing w:line="240" w:lineRule="auto" w:before="105"/>
              <w:ind w:left="283" w:right="0"/>
              <w:jc w:val="left"/>
              <w:rPr>
                <w:rFonts w:ascii="Times New Roman" w:hAnsi="Times New Roman" w:cs="Times New Roman" w:eastAsia="Times New Roman" w:hint="default"/>
                <w:sz w:val="18"/>
                <w:szCs w:val="18"/>
              </w:rPr>
            </w:pPr>
            <w:r>
              <w:rPr>
                <w:rFonts w:ascii="Times New Roman"/>
                <w:sz w:val="18"/>
              </w:rPr>
              <w:t>6,663</w:t>
            </w:r>
          </w:p>
        </w:tc>
      </w:tr>
      <w:tr>
        <w:trPr>
          <w:trHeight w:val="1028"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right="32"/>
              <w:jc w:val="center"/>
              <w:rPr>
                <w:rFonts w:ascii="宋体" w:hAnsi="宋体" w:cs="宋体" w:eastAsia="宋体" w:hint="default"/>
                <w:sz w:val="18"/>
                <w:szCs w:val="18"/>
              </w:rPr>
            </w:pPr>
            <w:r>
              <w:rPr>
                <w:rFonts w:ascii="宋体" w:hAnsi="宋体" w:cs="宋体" w:eastAsia="宋体" w:hint="default"/>
                <w:sz w:val="18"/>
                <w:szCs w:val="18"/>
              </w:rPr>
              <w:t>沈永健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4"/>
              <w:ind w:left="105" w:right="137"/>
              <w:jc w:val="both"/>
              <w:rPr>
                <w:rFonts w:ascii="宋体" w:hAnsi="宋体" w:cs="宋体" w:eastAsia="宋体" w:hint="default"/>
                <w:sz w:val="18"/>
                <w:szCs w:val="18"/>
              </w:rPr>
            </w:pPr>
            <w:r>
              <w:rPr>
                <w:rFonts w:ascii="宋体" w:hAnsi="宋体" w:cs="宋体" w:eastAsia="宋体" w:hint="default"/>
                <w:sz w:val="18"/>
                <w:szCs w:val="18"/>
              </w:rPr>
              <w:t>副董事</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长、副</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总裁</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left="105"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left="105"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57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p>
          <w:p>
            <w:pPr>
              <w:pStyle w:val="TableParagraph"/>
              <w:spacing w:line="240" w:lineRule="auto" w:before="58"/>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7"/>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 </w:t>
            </w:r>
            <w:r>
              <w:rPr>
                <w:rFonts w:ascii="宋体" w:hAnsi="宋体" w:cs="宋体" w:eastAsia="宋体" w:hint="default"/>
                <w:sz w:val="18"/>
                <w:szCs w:val="18"/>
              </w:rPr>
              <w:t>年</w:t>
            </w:r>
          </w:p>
          <w:p>
            <w:pPr>
              <w:pStyle w:val="TableParagraph"/>
              <w:spacing w:line="240" w:lineRule="auto" w:before="58"/>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7"/>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21,849,</w:t>
            </w:r>
          </w:p>
          <w:p>
            <w:pPr>
              <w:pStyle w:val="TableParagraph"/>
              <w:spacing w:line="240" w:lineRule="auto" w:before="105"/>
              <w:ind w:left="418" w:right="0"/>
              <w:jc w:val="left"/>
              <w:rPr>
                <w:rFonts w:ascii="Times New Roman" w:hAnsi="Times New Roman" w:cs="Times New Roman" w:eastAsia="Times New Roman" w:hint="default"/>
                <w:sz w:val="18"/>
                <w:szCs w:val="18"/>
              </w:rPr>
            </w:pPr>
            <w:r>
              <w:rPr>
                <w:rFonts w:ascii="Times New Roman"/>
                <w:sz w:val="18"/>
              </w:rPr>
              <w:t>999</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21,849,</w:t>
            </w:r>
          </w:p>
          <w:p>
            <w:pPr>
              <w:pStyle w:val="TableParagraph"/>
              <w:spacing w:line="240" w:lineRule="auto" w:before="105"/>
              <w:ind w:left="417" w:right="0"/>
              <w:jc w:val="left"/>
              <w:rPr>
                <w:rFonts w:ascii="Times New Roman" w:hAnsi="Times New Roman" w:cs="Times New Roman" w:eastAsia="Times New Roman" w:hint="default"/>
                <w:sz w:val="18"/>
                <w:szCs w:val="18"/>
              </w:rPr>
            </w:pPr>
            <w:r>
              <w:rPr>
                <w:rFonts w:ascii="Times New Roman"/>
                <w:sz w:val="18"/>
              </w:rPr>
              <w:t>999</w:t>
            </w:r>
          </w:p>
        </w:tc>
      </w:tr>
      <w:tr>
        <w:trPr>
          <w:trHeight w:val="1028"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right="32"/>
              <w:jc w:val="center"/>
              <w:rPr>
                <w:rFonts w:ascii="宋体" w:hAnsi="宋体" w:cs="宋体" w:eastAsia="宋体" w:hint="default"/>
                <w:sz w:val="18"/>
                <w:szCs w:val="18"/>
              </w:rPr>
            </w:pPr>
            <w:r>
              <w:rPr>
                <w:rFonts w:ascii="宋体" w:hAnsi="宋体" w:cs="宋体" w:eastAsia="宋体" w:hint="default"/>
                <w:sz w:val="18"/>
                <w:szCs w:val="18"/>
              </w:rPr>
              <w:t>杨四化</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3"/>
              <w:ind w:left="105" w:right="137"/>
              <w:jc w:val="both"/>
              <w:rPr>
                <w:rFonts w:ascii="宋体" w:hAnsi="宋体" w:cs="宋体" w:eastAsia="宋体" w:hint="default"/>
                <w:sz w:val="18"/>
                <w:szCs w:val="18"/>
              </w:rPr>
            </w:pPr>
            <w:r>
              <w:rPr>
                <w:rFonts w:ascii="宋体" w:hAnsi="宋体" w:cs="宋体" w:eastAsia="宋体" w:hint="default"/>
                <w:sz w:val="18"/>
                <w:szCs w:val="18"/>
              </w:rPr>
              <w:t>董事、</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常务副</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总裁</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42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p>
          <w:p>
            <w:pPr>
              <w:pStyle w:val="TableParagraph"/>
              <w:spacing w:line="240" w:lineRule="auto" w:before="58"/>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8"/>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 </w:t>
            </w:r>
            <w:r>
              <w:rPr>
                <w:rFonts w:ascii="宋体" w:hAnsi="宋体" w:cs="宋体" w:eastAsia="宋体" w:hint="default"/>
                <w:sz w:val="18"/>
                <w:szCs w:val="18"/>
              </w:rPr>
              <w:t>年</w:t>
            </w:r>
          </w:p>
          <w:p>
            <w:pPr>
              <w:pStyle w:val="TableParagraph"/>
              <w:spacing w:line="240" w:lineRule="auto" w:before="58"/>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8"/>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9"/>
                <w:szCs w:val="19"/>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1,837,7</w:t>
            </w:r>
          </w:p>
          <w:p>
            <w:pPr>
              <w:pStyle w:val="TableParagraph"/>
              <w:spacing w:line="240" w:lineRule="auto" w:before="110"/>
              <w:ind w:left="509" w:right="0"/>
              <w:jc w:val="left"/>
              <w:rPr>
                <w:rFonts w:ascii="Times New Roman" w:hAnsi="Times New Roman" w:cs="Times New Roman" w:eastAsia="Times New Roman" w:hint="default"/>
                <w:sz w:val="18"/>
                <w:szCs w:val="18"/>
              </w:rPr>
            </w:pPr>
            <w:r>
              <w:rPr>
                <w:rFonts w:ascii="Times New Roman"/>
                <w:sz w:val="18"/>
              </w:rPr>
              <w:t>40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9"/>
                <w:szCs w:val="19"/>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1,837,7</w:t>
            </w:r>
          </w:p>
          <w:p>
            <w:pPr>
              <w:pStyle w:val="TableParagraph"/>
              <w:spacing w:line="240" w:lineRule="auto" w:before="110"/>
              <w:ind w:left="508" w:right="0"/>
              <w:jc w:val="left"/>
              <w:rPr>
                <w:rFonts w:ascii="Times New Roman" w:hAnsi="Times New Roman" w:cs="Times New Roman" w:eastAsia="Times New Roman" w:hint="default"/>
                <w:sz w:val="18"/>
                <w:szCs w:val="18"/>
              </w:rPr>
            </w:pPr>
            <w:r>
              <w:rPr>
                <w:rFonts w:ascii="Times New Roman"/>
                <w:sz w:val="18"/>
              </w:rPr>
              <w:t>40</w:t>
            </w:r>
          </w:p>
        </w:tc>
      </w:tr>
      <w:tr>
        <w:trPr>
          <w:trHeight w:val="1022"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right="32"/>
              <w:jc w:val="center"/>
              <w:rPr>
                <w:rFonts w:ascii="宋体" w:hAnsi="宋体" w:cs="宋体" w:eastAsia="宋体" w:hint="default"/>
                <w:sz w:val="18"/>
                <w:szCs w:val="18"/>
              </w:rPr>
            </w:pPr>
            <w:r>
              <w:rPr>
                <w:rFonts w:ascii="宋体" w:hAnsi="宋体" w:cs="宋体" w:eastAsia="宋体" w:hint="default"/>
                <w:sz w:val="18"/>
                <w:szCs w:val="18"/>
              </w:rPr>
              <w:t>杨文超</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54</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p>
          <w:p>
            <w:pPr>
              <w:pStyle w:val="TableParagraph"/>
              <w:spacing w:line="240" w:lineRule="auto" w:before="58"/>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7"/>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 </w:t>
            </w:r>
            <w:r>
              <w:rPr>
                <w:rFonts w:ascii="宋体" w:hAnsi="宋体" w:cs="宋体" w:eastAsia="宋体" w:hint="default"/>
                <w:sz w:val="18"/>
                <w:szCs w:val="18"/>
              </w:rPr>
              <w:t>年</w:t>
            </w:r>
          </w:p>
          <w:p>
            <w:pPr>
              <w:pStyle w:val="TableParagraph"/>
              <w:spacing w:line="240" w:lineRule="auto" w:before="58"/>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7"/>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300,00</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9"/>
                <w:szCs w:val="19"/>
              </w:rPr>
            </w:pPr>
          </w:p>
          <w:p>
            <w:pPr>
              <w:pStyle w:val="TableParagraph"/>
              <w:spacing w:line="240" w:lineRule="auto"/>
              <w:ind w:right="93"/>
              <w:jc w:val="right"/>
              <w:rPr>
                <w:rFonts w:ascii="Times New Roman" w:hAnsi="Times New Roman" w:cs="Times New Roman" w:eastAsia="Times New Roman" w:hint="default"/>
                <w:sz w:val="18"/>
                <w:szCs w:val="18"/>
              </w:rPr>
            </w:pPr>
            <w:r>
              <w:rPr>
                <w:rFonts w:ascii="Times New Roman"/>
                <w:spacing w:val="-1"/>
                <w:sz w:val="18"/>
              </w:rPr>
              <w:t>300,00</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1028"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right="32"/>
              <w:jc w:val="center"/>
              <w:rPr>
                <w:rFonts w:ascii="宋体" w:hAnsi="宋体" w:cs="宋体" w:eastAsia="宋体" w:hint="default"/>
                <w:sz w:val="18"/>
                <w:szCs w:val="18"/>
              </w:rPr>
            </w:pPr>
            <w:r>
              <w:rPr>
                <w:rFonts w:ascii="宋体" w:hAnsi="宋体" w:cs="宋体" w:eastAsia="宋体" w:hint="default"/>
                <w:sz w:val="18"/>
                <w:szCs w:val="18"/>
              </w:rPr>
              <w:t>刘钧厚</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62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p>
          <w:p>
            <w:pPr>
              <w:pStyle w:val="TableParagraph"/>
              <w:spacing w:line="240" w:lineRule="auto" w:before="63"/>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7"/>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 </w:t>
            </w:r>
            <w:r>
              <w:rPr>
                <w:rFonts w:ascii="宋体" w:hAnsi="宋体" w:cs="宋体" w:eastAsia="宋体" w:hint="default"/>
                <w:sz w:val="18"/>
                <w:szCs w:val="18"/>
              </w:rPr>
              <w:t>年</w:t>
            </w:r>
          </w:p>
          <w:p>
            <w:pPr>
              <w:pStyle w:val="TableParagraph"/>
              <w:spacing w:line="240" w:lineRule="auto" w:before="63"/>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7"/>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1027"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right="32"/>
              <w:jc w:val="center"/>
              <w:rPr>
                <w:rFonts w:ascii="宋体" w:hAnsi="宋体" w:cs="宋体" w:eastAsia="宋体" w:hint="default"/>
                <w:sz w:val="18"/>
                <w:szCs w:val="18"/>
              </w:rPr>
            </w:pPr>
            <w:r>
              <w:rPr>
                <w:rFonts w:ascii="宋体" w:hAnsi="宋体" w:cs="宋体" w:eastAsia="宋体" w:hint="default"/>
                <w:sz w:val="18"/>
                <w:szCs w:val="18"/>
              </w:rPr>
              <w:t>杨建中</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61</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p>
          <w:p>
            <w:pPr>
              <w:pStyle w:val="TableParagraph"/>
              <w:spacing w:line="240" w:lineRule="auto" w:before="58"/>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7"/>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 </w:t>
            </w:r>
            <w:r>
              <w:rPr>
                <w:rFonts w:ascii="宋体" w:hAnsi="宋体" w:cs="宋体" w:eastAsia="宋体" w:hint="default"/>
                <w:sz w:val="18"/>
                <w:szCs w:val="18"/>
              </w:rPr>
              <w:t>年</w:t>
            </w:r>
          </w:p>
          <w:p>
            <w:pPr>
              <w:pStyle w:val="TableParagraph"/>
              <w:spacing w:line="240" w:lineRule="auto" w:before="58"/>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7"/>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1028"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right="32"/>
              <w:jc w:val="center"/>
              <w:rPr>
                <w:rFonts w:ascii="宋体" w:hAnsi="宋体" w:cs="宋体" w:eastAsia="宋体" w:hint="default"/>
                <w:sz w:val="18"/>
                <w:szCs w:val="18"/>
              </w:rPr>
            </w:pPr>
            <w:r>
              <w:rPr>
                <w:rFonts w:ascii="宋体" w:hAnsi="宋体" w:cs="宋体" w:eastAsia="宋体" w:hint="default"/>
                <w:sz w:val="18"/>
                <w:szCs w:val="18"/>
              </w:rPr>
              <w:t>贾广新</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21" w:lineRule="auto"/>
              <w:ind w:left="105" w:right="137"/>
              <w:jc w:val="left"/>
              <w:rPr>
                <w:rFonts w:ascii="宋体" w:hAnsi="宋体" w:cs="宋体" w:eastAsia="宋体" w:hint="default"/>
                <w:sz w:val="18"/>
                <w:szCs w:val="18"/>
              </w:rPr>
            </w:pPr>
            <w:r>
              <w:rPr>
                <w:rFonts w:ascii="宋体" w:hAnsi="宋体" w:cs="宋体" w:eastAsia="宋体" w:hint="default"/>
                <w:sz w:val="18"/>
                <w:szCs w:val="18"/>
              </w:rPr>
              <w:t>独立董</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left="105"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left="105"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60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p>
          <w:p>
            <w:pPr>
              <w:pStyle w:val="TableParagraph"/>
              <w:spacing w:line="240" w:lineRule="auto" w:before="58"/>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7"/>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 </w:t>
            </w:r>
            <w:r>
              <w:rPr>
                <w:rFonts w:ascii="宋体" w:hAnsi="宋体" w:cs="宋体" w:eastAsia="宋体" w:hint="default"/>
                <w:sz w:val="18"/>
                <w:szCs w:val="18"/>
              </w:rPr>
              <w:t>年</w:t>
            </w:r>
          </w:p>
          <w:p>
            <w:pPr>
              <w:pStyle w:val="TableParagraph"/>
              <w:spacing w:line="240" w:lineRule="auto" w:before="58"/>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7"/>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1023"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right="32"/>
              <w:jc w:val="center"/>
              <w:rPr>
                <w:rFonts w:ascii="宋体" w:hAnsi="宋体" w:cs="宋体" w:eastAsia="宋体" w:hint="default"/>
                <w:sz w:val="18"/>
                <w:szCs w:val="18"/>
              </w:rPr>
            </w:pPr>
            <w:r>
              <w:rPr>
                <w:rFonts w:ascii="宋体" w:hAnsi="宋体" w:cs="宋体" w:eastAsia="宋体" w:hint="default"/>
                <w:sz w:val="18"/>
                <w:szCs w:val="18"/>
              </w:rPr>
              <w:t>王丽娜</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9" w:lineRule="auto"/>
              <w:ind w:left="105" w:right="137"/>
              <w:jc w:val="left"/>
              <w:rPr>
                <w:rFonts w:ascii="宋体" w:hAnsi="宋体" w:cs="宋体" w:eastAsia="宋体" w:hint="default"/>
                <w:sz w:val="18"/>
                <w:szCs w:val="18"/>
              </w:rPr>
            </w:pPr>
            <w:r>
              <w:rPr>
                <w:rFonts w:ascii="宋体" w:hAnsi="宋体" w:cs="宋体" w:eastAsia="宋体" w:hint="default"/>
                <w:sz w:val="18"/>
                <w:szCs w:val="18"/>
              </w:rPr>
              <w:t>独立董</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宋体" w:hAnsi="宋体" w:cs="宋体" w:eastAsia="宋体" w:hint="default"/>
                <w:w w:val="101"/>
                <w:sz w:val="18"/>
                <w:szCs w:val="18"/>
              </w:rPr>
              <w:t>女</w:t>
            </w:r>
            <w:r>
              <w:rPr>
                <w:rFonts w:ascii="宋体" w:hAnsi="宋体" w:cs="宋体" w:eastAsia="宋体" w:hint="default"/>
                <w:sz w:val="18"/>
                <w:szCs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53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p>
          <w:p>
            <w:pPr>
              <w:pStyle w:val="TableParagraph"/>
              <w:spacing w:line="240" w:lineRule="auto" w:before="58"/>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8"/>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 </w:t>
            </w:r>
            <w:r>
              <w:rPr>
                <w:rFonts w:ascii="宋体" w:hAnsi="宋体" w:cs="宋体" w:eastAsia="宋体" w:hint="default"/>
                <w:sz w:val="18"/>
                <w:szCs w:val="18"/>
              </w:rPr>
              <w:t>年</w:t>
            </w:r>
          </w:p>
          <w:p>
            <w:pPr>
              <w:pStyle w:val="TableParagraph"/>
              <w:spacing w:line="240" w:lineRule="auto" w:before="58"/>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8"/>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1027"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right="32"/>
              <w:jc w:val="center"/>
              <w:rPr>
                <w:rFonts w:ascii="宋体" w:hAnsi="宋体" w:cs="宋体" w:eastAsia="宋体" w:hint="default"/>
                <w:sz w:val="18"/>
                <w:szCs w:val="18"/>
              </w:rPr>
            </w:pPr>
            <w:r>
              <w:rPr>
                <w:rFonts w:ascii="宋体" w:hAnsi="宋体" w:cs="宋体" w:eastAsia="宋体" w:hint="default"/>
                <w:sz w:val="18"/>
                <w:szCs w:val="18"/>
              </w:rPr>
              <w:t>李华雄</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316" w:lineRule="auto"/>
              <w:ind w:left="105" w:right="137"/>
              <w:jc w:val="left"/>
              <w:rPr>
                <w:rFonts w:ascii="宋体" w:hAnsi="宋体" w:cs="宋体" w:eastAsia="宋体" w:hint="default"/>
                <w:sz w:val="18"/>
                <w:szCs w:val="18"/>
              </w:rPr>
            </w:pPr>
            <w:r>
              <w:rPr>
                <w:rFonts w:ascii="宋体" w:hAnsi="宋体" w:cs="宋体" w:eastAsia="宋体" w:hint="default"/>
                <w:sz w:val="18"/>
                <w:szCs w:val="18"/>
              </w:rPr>
              <w:t>独立董</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57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p>
          <w:p>
            <w:pPr>
              <w:pStyle w:val="TableParagraph"/>
              <w:spacing w:line="240" w:lineRule="auto" w:before="63"/>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7"/>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 </w:t>
            </w:r>
            <w:r>
              <w:rPr>
                <w:rFonts w:ascii="宋体" w:hAnsi="宋体" w:cs="宋体" w:eastAsia="宋体" w:hint="default"/>
                <w:sz w:val="18"/>
                <w:szCs w:val="18"/>
              </w:rPr>
              <w:t>年</w:t>
            </w:r>
          </w:p>
          <w:p>
            <w:pPr>
              <w:pStyle w:val="TableParagraph"/>
              <w:spacing w:line="240" w:lineRule="auto" w:before="63"/>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7"/>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1028"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right="32"/>
              <w:jc w:val="center"/>
              <w:rPr>
                <w:rFonts w:ascii="宋体" w:hAnsi="宋体" w:cs="宋体" w:eastAsia="宋体" w:hint="default"/>
                <w:sz w:val="18"/>
                <w:szCs w:val="18"/>
              </w:rPr>
            </w:pPr>
            <w:r>
              <w:rPr>
                <w:rFonts w:ascii="宋体" w:hAnsi="宋体" w:cs="宋体" w:eastAsia="宋体" w:hint="default"/>
                <w:sz w:val="18"/>
                <w:szCs w:val="18"/>
              </w:rPr>
              <w:t>邱荣邦</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316" w:lineRule="auto"/>
              <w:ind w:left="105" w:right="137"/>
              <w:jc w:val="left"/>
              <w:rPr>
                <w:rFonts w:ascii="宋体" w:hAnsi="宋体" w:cs="宋体" w:eastAsia="宋体" w:hint="default"/>
                <w:sz w:val="18"/>
                <w:szCs w:val="18"/>
              </w:rPr>
            </w:pPr>
            <w:r>
              <w:rPr>
                <w:rFonts w:ascii="宋体" w:hAnsi="宋体" w:cs="宋体" w:eastAsia="宋体" w:hint="default"/>
                <w:sz w:val="18"/>
                <w:szCs w:val="18"/>
              </w:rPr>
              <w:t>监事会</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主席</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left="105"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left="105"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56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p>
          <w:p>
            <w:pPr>
              <w:pStyle w:val="TableParagraph"/>
              <w:spacing w:line="240" w:lineRule="auto" w:before="58"/>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7"/>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 </w:t>
            </w:r>
            <w:r>
              <w:rPr>
                <w:rFonts w:ascii="宋体" w:hAnsi="宋体" w:cs="宋体" w:eastAsia="宋体" w:hint="default"/>
                <w:sz w:val="18"/>
                <w:szCs w:val="18"/>
              </w:rPr>
              <w:t>年</w:t>
            </w:r>
          </w:p>
          <w:p>
            <w:pPr>
              <w:pStyle w:val="TableParagraph"/>
              <w:spacing w:line="240" w:lineRule="auto" w:before="58"/>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7"/>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18,171,</w:t>
            </w:r>
          </w:p>
          <w:p>
            <w:pPr>
              <w:pStyle w:val="TableParagraph"/>
              <w:spacing w:line="240" w:lineRule="auto" w:before="105"/>
              <w:ind w:left="418" w:right="0"/>
              <w:jc w:val="left"/>
              <w:rPr>
                <w:rFonts w:ascii="Times New Roman" w:hAnsi="Times New Roman" w:cs="Times New Roman" w:eastAsia="Times New Roman" w:hint="default"/>
                <w:sz w:val="18"/>
                <w:szCs w:val="18"/>
              </w:rPr>
            </w:pPr>
            <w:r>
              <w:rPr>
                <w:rFonts w:ascii="Times New Roman"/>
                <w:sz w:val="18"/>
              </w:rPr>
              <w:t>830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1,994,2</w:t>
            </w:r>
          </w:p>
          <w:p>
            <w:pPr>
              <w:pStyle w:val="TableParagraph"/>
              <w:spacing w:line="240" w:lineRule="auto" w:before="105"/>
              <w:ind w:left="508" w:right="0"/>
              <w:jc w:val="left"/>
              <w:rPr>
                <w:rFonts w:ascii="Times New Roman" w:hAnsi="Times New Roman" w:cs="Times New Roman" w:eastAsia="Times New Roman" w:hint="default"/>
                <w:sz w:val="18"/>
                <w:szCs w:val="18"/>
              </w:rPr>
            </w:pPr>
            <w:r>
              <w:rPr>
                <w:rFonts w:ascii="Times New Roman"/>
                <w:sz w:val="18"/>
              </w:rPr>
              <w:t>50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16,177,</w:t>
            </w:r>
          </w:p>
          <w:p>
            <w:pPr>
              <w:pStyle w:val="TableParagraph"/>
              <w:spacing w:line="240" w:lineRule="auto" w:before="105"/>
              <w:ind w:left="417" w:right="0"/>
              <w:jc w:val="left"/>
              <w:rPr>
                <w:rFonts w:ascii="Times New Roman" w:hAnsi="Times New Roman" w:cs="Times New Roman" w:eastAsia="Times New Roman" w:hint="default"/>
                <w:sz w:val="18"/>
                <w:szCs w:val="18"/>
              </w:rPr>
            </w:pPr>
            <w:r>
              <w:rPr>
                <w:rFonts w:ascii="Times New Roman"/>
                <w:sz w:val="18"/>
              </w:rPr>
              <w:t>580</w:t>
            </w:r>
          </w:p>
        </w:tc>
      </w:tr>
    </w:tbl>
    <w:p>
      <w:pPr>
        <w:spacing w:after="0" w:line="240" w:lineRule="auto"/>
        <w:jc w:val="left"/>
        <w:rPr>
          <w:rFonts w:ascii="Times New Roman" w:hAnsi="Times New Roman" w:cs="Times New Roman" w:eastAsia="Times New Roman" w:hint="default"/>
          <w:sz w:val="18"/>
          <w:szCs w:val="18"/>
        </w:rPr>
        <w:sectPr>
          <w:pgSz w:w="11910" w:h="16840"/>
          <w:pgMar w:header="784" w:footer="1022" w:top="1100" w:bottom="1220" w:left="980" w:right="0"/>
        </w:sectPr>
      </w:pPr>
    </w:p>
    <w:p>
      <w:pPr>
        <w:spacing w:line="240" w:lineRule="auto" w:before="1"/>
        <w:rPr>
          <w:rFonts w:ascii="Times New Roman" w:hAnsi="Times New Roman" w:cs="Times New Roman" w:eastAsia="Times New Roman" w:hint="default"/>
          <w:sz w:val="29"/>
          <w:szCs w:val="29"/>
        </w:rPr>
      </w:pPr>
    </w:p>
    <w:tbl>
      <w:tblPr>
        <w:tblW w:w="0" w:type="auto"/>
        <w:jc w:val="left"/>
        <w:tblInd w:w="148" w:type="dxa"/>
        <w:tblLayout w:type="fixed"/>
        <w:tblCellMar>
          <w:top w:w="0" w:type="dxa"/>
          <w:left w:w="0" w:type="dxa"/>
          <w:bottom w:w="0" w:type="dxa"/>
          <w:right w:w="0" w:type="dxa"/>
        </w:tblCellMar>
        <w:tblLook w:val="01E0"/>
      </w:tblPr>
      <w:tblGrid>
        <w:gridCol w:w="797"/>
        <w:gridCol w:w="797"/>
        <w:gridCol w:w="797"/>
        <w:gridCol w:w="797"/>
        <w:gridCol w:w="802"/>
        <w:gridCol w:w="797"/>
        <w:gridCol w:w="797"/>
        <w:gridCol w:w="797"/>
        <w:gridCol w:w="797"/>
        <w:gridCol w:w="802"/>
        <w:gridCol w:w="797"/>
        <w:gridCol w:w="797"/>
      </w:tblGrid>
      <w:tr>
        <w:trPr>
          <w:trHeight w:val="1027"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8"/>
              <w:ind w:left="105" w:right="0"/>
              <w:jc w:val="left"/>
              <w:rPr>
                <w:rFonts w:ascii="宋体" w:hAnsi="宋体" w:cs="宋体" w:eastAsia="宋体" w:hint="default"/>
                <w:sz w:val="18"/>
                <w:szCs w:val="18"/>
              </w:rPr>
            </w:pPr>
            <w:r>
              <w:rPr>
                <w:rFonts w:ascii="宋体" w:hAnsi="宋体" w:cs="宋体" w:eastAsia="宋体" w:hint="default"/>
                <w:sz w:val="18"/>
                <w:szCs w:val="18"/>
              </w:rPr>
              <w:t>颜春晓</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8"/>
              <w:ind w:left="105"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8"/>
              <w:ind w:right="315"/>
              <w:jc w:val="righ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8"/>
              <w:ind w:left="105" w:right="0"/>
              <w:jc w:val="left"/>
              <w:rPr>
                <w:rFonts w:ascii="宋体" w:hAnsi="宋体" w:cs="宋体" w:eastAsia="宋体" w:hint="default"/>
                <w:sz w:val="18"/>
                <w:szCs w:val="18"/>
              </w:rPr>
            </w:pPr>
            <w:r>
              <w:rPr>
                <w:rFonts w:ascii="宋体" w:hAnsi="宋体" w:cs="宋体" w:eastAsia="宋体" w:hint="default"/>
                <w:w w:val="101"/>
                <w:sz w:val="18"/>
                <w:szCs w:val="18"/>
              </w:rPr>
              <w:t>女</w:t>
            </w:r>
            <w:r>
              <w:rPr>
                <w:rFonts w:ascii="宋体" w:hAnsi="宋体" w:cs="宋体" w:eastAsia="宋体" w:hint="default"/>
                <w:sz w:val="18"/>
                <w:szCs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38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p>
          <w:p>
            <w:pPr>
              <w:pStyle w:val="TableParagraph"/>
              <w:spacing w:line="240" w:lineRule="auto" w:before="58"/>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7"/>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 </w:t>
            </w:r>
            <w:r>
              <w:rPr>
                <w:rFonts w:ascii="宋体" w:hAnsi="宋体" w:cs="宋体" w:eastAsia="宋体" w:hint="default"/>
                <w:sz w:val="18"/>
                <w:szCs w:val="18"/>
              </w:rPr>
              <w:t>年</w:t>
            </w:r>
          </w:p>
          <w:p>
            <w:pPr>
              <w:pStyle w:val="TableParagraph"/>
              <w:spacing w:line="240" w:lineRule="auto" w:before="58"/>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7"/>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1023"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5" w:right="0"/>
              <w:jc w:val="left"/>
              <w:rPr>
                <w:rFonts w:ascii="宋体" w:hAnsi="宋体" w:cs="宋体" w:eastAsia="宋体" w:hint="default"/>
                <w:sz w:val="18"/>
                <w:szCs w:val="18"/>
              </w:rPr>
            </w:pPr>
            <w:r>
              <w:rPr>
                <w:rFonts w:ascii="宋体" w:hAnsi="宋体" w:cs="宋体" w:eastAsia="宋体" w:hint="default"/>
                <w:sz w:val="18"/>
                <w:szCs w:val="18"/>
              </w:rPr>
              <w:t>黄永忠</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5"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right="315"/>
              <w:jc w:val="righ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5"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52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p>
          <w:p>
            <w:pPr>
              <w:pStyle w:val="TableParagraph"/>
              <w:spacing w:line="240" w:lineRule="auto" w:before="58"/>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7"/>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 </w:t>
            </w:r>
            <w:r>
              <w:rPr>
                <w:rFonts w:ascii="宋体" w:hAnsi="宋体" w:cs="宋体" w:eastAsia="宋体" w:hint="default"/>
                <w:sz w:val="18"/>
                <w:szCs w:val="18"/>
              </w:rPr>
              <w:t>年</w:t>
            </w:r>
          </w:p>
          <w:p>
            <w:pPr>
              <w:pStyle w:val="TableParagraph"/>
              <w:spacing w:line="240" w:lineRule="auto" w:before="58"/>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7"/>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412,60</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7</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7"/>
                <w:szCs w:val="17"/>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-90,000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93"/>
              <w:jc w:val="right"/>
              <w:rPr>
                <w:rFonts w:ascii="Times New Roman" w:hAnsi="Times New Roman" w:cs="Times New Roman" w:eastAsia="Times New Roman" w:hint="default"/>
                <w:sz w:val="18"/>
                <w:szCs w:val="18"/>
              </w:rPr>
            </w:pPr>
            <w:r>
              <w:rPr>
                <w:rFonts w:ascii="Times New Roman"/>
                <w:spacing w:val="-1"/>
                <w:sz w:val="18"/>
              </w:rPr>
              <w:t>322,60</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7</w:t>
            </w:r>
            <w:r>
              <w:rPr>
                <w:rFonts w:ascii="Times New Roman"/>
                <w:sz w:val="18"/>
              </w:rPr>
            </w:r>
          </w:p>
        </w:tc>
      </w:tr>
      <w:tr>
        <w:trPr>
          <w:trHeight w:val="1028"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彭世新</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8"/>
              <w:ind w:left="105" w:right="137"/>
              <w:jc w:val="left"/>
              <w:rPr>
                <w:rFonts w:ascii="宋体" w:hAnsi="宋体" w:cs="宋体" w:eastAsia="宋体" w:hint="default"/>
                <w:sz w:val="18"/>
                <w:szCs w:val="18"/>
              </w:rPr>
            </w:pPr>
            <w:r>
              <w:rPr>
                <w:rFonts w:ascii="宋体" w:hAnsi="宋体" w:cs="宋体" w:eastAsia="宋体" w:hint="default"/>
                <w:sz w:val="18"/>
                <w:szCs w:val="18"/>
              </w:rPr>
              <w:t>副总</w:t>
            </w:r>
            <w:r>
              <w:rPr>
                <w:rFonts w:ascii="宋体" w:hAnsi="宋体" w:cs="宋体" w:eastAsia="宋体" w:hint="default"/>
                <w:spacing w:val="-86"/>
                <w:sz w:val="18"/>
                <w:szCs w:val="18"/>
              </w:rPr>
              <w:t> </w:t>
            </w:r>
            <w:r>
              <w:rPr>
                <w:rFonts w:ascii="宋体" w:hAnsi="宋体" w:cs="宋体" w:eastAsia="宋体" w:hint="default"/>
                <w:sz w:val="18"/>
                <w:szCs w:val="18"/>
              </w:rPr>
              <w:t>裁、财</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务总监</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315"/>
              <w:jc w:val="righ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女</w:t>
            </w:r>
            <w:r>
              <w:rPr>
                <w:rFonts w:ascii="宋体" w:hAnsi="宋体" w:cs="宋体" w:eastAsia="宋体" w:hint="default"/>
                <w:sz w:val="18"/>
                <w:szCs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53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p>
          <w:p>
            <w:pPr>
              <w:pStyle w:val="TableParagraph"/>
              <w:spacing w:line="240" w:lineRule="auto" w:before="58"/>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8"/>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 </w:t>
            </w:r>
            <w:r>
              <w:rPr>
                <w:rFonts w:ascii="宋体" w:hAnsi="宋体" w:cs="宋体" w:eastAsia="宋体" w:hint="default"/>
                <w:sz w:val="18"/>
                <w:szCs w:val="18"/>
              </w:rPr>
              <w:t>年</w:t>
            </w:r>
          </w:p>
          <w:p>
            <w:pPr>
              <w:pStyle w:val="TableParagraph"/>
              <w:spacing w:line="240" w:lineRule="auto" w:before="58"/>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8"/>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7,297,0</w:t>
            </w:r>
          </w:p>
          <w:p>
            <w:pPr>
              <w:pStyle w:val="TableParagraph"/>
              <w:spacing w:line="240" w:lineRule="auto" w:before="105"/>
              <w:ind w:left="509" w:right="0"/>
              <w:jc w:val="left"/>
              <w:rPr>
                <w:rFonts w:ascii="Times New Roman" w:hAnsi="Times New Roman" w:cs="Times New Roman" w:eastAsia="Times New Roman" w:hint="default"/>
                <w:sz w:val="18"/>
                <w:szCs w:val="18"/>
              </w:rPr>
            </w:pPr>
            <w:r>
              <w:rPr>
                <w:rFonts w:ascii="Times New Roman"/>
                <w:sz w:val="18"/>
              </w:rPr>
              <w:t>87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left="508" w:right="0"/>
              <w:jc w:val="left"/>
              <w:rPr>
                <w:rFonts w:ascii="Times New Roman" w:hAnsi="Times New Roman" w:cs="Times New Roman" w:eastAsia="Times New Roman" w:hint="default"/>
                <w:sz w:val="18"/>
                <w:szCs w:val="18"/>
              </w:rPr>
            </w:pPr>
            <w:r>
              <w:rPr>
                <w:rFonts w:ascii="Times New Roman"/>
                <w:sz w:val="18"/>
              </w:rPr>
              <w:t>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6,297,0</w:t>
            </w:r>
          </w:p>
          <w:p>
            <w:pPr>
              <w:pStyle w:val="TableParagraph"/>
              <w:spacing w:line="240" w:lineRule="auto" w:before="105"/>
              <w:ind w:left="508" w:right="0"/>
              <w:jc w:val="left"/>
              <w:rPr>
                <w:rFonts w:ascii="Times New Roman" w:hAnsi="Times New Roman" w:cs="Times New Roman" w:eastAsia="Times New Roman" w:hint="default"/>
                <w:sz w:val="18"/>
                <w:szCs w:val="18"/>
              </w:rPr>
            </w:pPr>
            <w:r>
              <w:rPr>
                <w:rFonts w:ascii="Times New Roman"/>
                <w:sz w:val="18"/>
              </w:rPr>
              <w:t>87</w:t>
            </w:r>
          </w:p>
        </w:tc>
      </w:tr>
      <w:tr>
        <w:trPr>
          <w:trHeight w:val="1027"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8"/>
              <w:ind w:left="105" w:right="0"/>
              <w:jc w:val="left"/>
              <w:rPr>
                <w:rFonts w:ascii="宋体" w:hAnsi="宋体" w:cs="宋体" w:eastAsia="宋体" w:hint="default"/>
                <w:sz w:val="18"/>
                <w:szCs w:val="18"/>
              </w:rPr>
            </w:pPr>
            <w:r>
              <w:rPr>
                <w:rFonts w:ascii="宋体" w:hAnsi="宋体" w:cs="宋体" w:eastAsia="宋体" w:hint="default"/>
                <w:sz w:val="18"/>
                <w:szCs w:val="18"/>
              </w:rPr>
              <w:t>赵旭峰</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3"/>
              <w:ind w:left="105" w:right="137"/>
              <w:jc w:val="left"/>
              <w:rPr>
                <w:rFonts w:ascii="宋体" w:hAnsi="宋体" w:cs="宋体" w:eastAsia="宋体" w:hint="default"/>
                <w:sz w:val="18"/>
                <w:szCs w:val="18"/>
              </w:rPr>
            </w:pPr>
            <w:r>
              <w:rPr>
                <w:rFonts w:ascii="宋体" w:hAnsi="宋体" w:cs="宋体" w:eastAsia="宋体" w:hint="default"/>
                <w:sz w:val="18"/>
                <w:szCs w:val="18"/>
              </w:rPr>
              <w:t>副总</w:t>
            </w:r>
            <w:r>
              <w:rPr>
                <w:rFonts w:ascii="宋体" w:hAnsi="宋体" w:cs="宋体" w:eastAsia="宋体" w:hint="default"/>
                <w:spacing w:val="-86"/>
                <w:sz w:val="18"/>
                <w:szCs w:val="18"/>
              </w:rPr>
              <w:t> </w:t>
            </w:r>
            <w:r>
              <w:rPr>
                <w:rFonts w:ascii="宋体" w:hAnsi="宋体" w:cs="宋体" w:eastAsia="宋体" w:hint="default"/>
                <w:sz w:val="18"/>
                <w:szCs w:val="18"/>
              </w:rPr>
              <w:t>裁、原</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8"/>
              <w:ind w:right="315"/>
              <w:jc w:val="righ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8"/>
              <w:ind w:left="105"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52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p>
          <w:p>
            <w:pPr>
              <w:pStyle w:val="TableParagraph"/>
              <w:spacing w:line="240" w:lineRule="auto" w:before="63"/>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7"/>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 </w:t>
            </w:r>
            <w:r>
              <w:rPr>
                <w:rFonts w:ascii="宋体" w:hAnsi="宋体" w:cs="宋体" w:eastAsia="宋体" w:hint="default"/>
                <w:sz w:val="18"/>
                <w:szCs w:val="18"/>
              </w:rPr>
              <w:t>年</w:t>
            </w:r>
          </w:p>
          <w:p>
            <w:pPr>
              <w:pStyle w:val="TableParagraph"/>
              <w:spacing w:line="240" w:lineRule="auto" w:before="63"/>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7"/>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20,658,</w:t>
            </w:r>
          </w:p>
          <w:p>
            <w:pPr>
              <w:pStyle w:val="TableParagraph"/>
              <w:spacing w:line="240" w:lineRule="auto" w:before="105"/>
              <w:ind w:left="418" w:right="0"/>
              <w:jc w:val="left"/>
              <w:rPr>
                <w:rFonts w:ascii="Times New Roman" w:hAnsi="Times New Roman" w:cs="Times New Roman" w:eastAsia="Times New Roman" w:hint="default"/>
                <w:sz w:val="18"/>
                <w:szCs w:val="18"/>
              </w:rPr>
            </w:pPr>
            <w:r>
              <w:rPr>
                <w:rFonts w:ascii="Times New Roman"/>
                <w:sz w:val="18"/>
              </w:rPr>
              <w:t>837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20,658,</w:t>
            </w:r>
          </w:p>
          <w:p>
            <w:pPr>
              <w:pStyle w:val="TableParagraph"/>
              <w:spacing w:line="240" w:lineRule="auto" w:before="105"/>
              <w:ind w:left="417" w:right="0"/>
              <w:jc w:val="left"/>
              <w:rPr>
                <w:rFonts w:ascii="Times New Roman" w:hAnsi="Times New Roman" w:cs="Times New Roman" w:eastAsia="Times New Roman" w:hint="default"/>
                <w:sz w:val="18"/>
                <w:szCs w:val="18"/>
              </w:rPr>
            </w:pPr>
            <w:r>
              <w:rPr>
                <w:rFonts w:ascii="Times New Roman"/>
                <w:sz w:val="18"/>
              </w:rPr>
              <w:t>837</w:t>
            </w:r>
          </w:p>
        </w:tc>
      </w:tr>
      <w:tr>
        <w:trPr>
          <w:trHeight w:val="1028"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5" w:right="0"/>
              <w:jc w:val="left"/>
              <w:rPr>
                <w:rFonts w:ascii="宋体" w:hAnsi="宋体" w:cs="宋体" w:eastAsia="宋体" w:hint="default"/>
                <w:sz w:val="18"/>
                <w:szCs w:val="18"/>
              </w:rPr>
            </w:pPr>
            <w:r>
              <w:rPr>
                <w:rFonts w:ascii="宋体" w:hAnsi="宋体" w:cs="宋体" w:eastAsia="宋体" w:hint="default"/>
                <w:sz w:val="18"/>
                <w:szCs w:val="18"/>
              </w:rPr>
              <w:t>矫人全</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5"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right="315"/>
              <w:jc w:val="righ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5"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47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p>
          <w:p>
            <w:pPr>
              <w:pStyle w:val="TableParagraph"/>
              <w:spacing w:line="240" w:lineRule="auto" w:before="58"/>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7"/>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 </w:t>
            </w:r>
            <w:r>
              <w:rPr>
                <w:rFonts w:ascii="宋体" w:hAnsi="宋体" w:cs="宋体" w:eastAsia="宋体" w:hint="default"/>
                <w:sz w:val="18"/>
                <w:szCs w:val="18"/>
              </w:rPr>
              <w:t>年</w:t>
            </w:r>
          </w:p>
          <w:p>
            <w:pPr>
              <w:pStyle w:val="TableParagraph"/>
              <w:spacing w:line="240" w:lineRule="auto" w:before="58"/>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7"/>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1,125,5</w:t>
            </w:r>
          </w:p>
          <w:p>
            <w:pPr>
              <w:pStyle w:val="TableParagraph"/>
              <w:spacing w:line="240" w:lineRule="auto" w:before="105"/>
              <w:ind w:left="509" w:right="0"/>
              <w:jc w:val="left"/>
              <w:rPr>
                <w:rFonts w:ascii="Times New Roman" w:hAnsi="Times New Roman" w:cs="Times New Roman" w:eastAsia="Times New Roman" w:hint="default"/>
                <w:sz w:val="18"/>
                <w:szCs w:val="18"/>
              </w:rPr>
            </w:pPr>
            <w:r>
              <w:rPr>
                <w:rFonts w:ascii="Times New Roman"/>
                <w:sz w:val="18"/>
              </w:rPr>
              <w:t>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7"/>
                <w:szCs w:val="17"/>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7"/>
                <w:szCs w:val="17"/>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1,125,5</w:t>
            </w:r>
          </w:p>
          <w:p>
            <w:pPr>
              <w:pStyle w:val="TableParagraph"/>
              <w:spacing w:line="240" w:lineRule="auto" w:before="105"/>
              <w:ind w:left="508" w:right="0"/>
              <w:jc w:val="left"/>
              <w:rPr>
                <w:rFonts w:ascii="Times New Roman" w:hAnsi="Times New Roman" w:cs="Times New Roman" w:eastAsia="Times New Roman" w:hint="default"/>
                <w:sz w:val="18"/>
                <w:szCs w:val="18"/>
              </w:rPr>
            </w:pPr>
            <w:r>
              <w:rPr>
                <w:rFonts w:ascii="Times New Roman"/>
                <w:sz w:val="18"/>
              </w:rPr>
              <w:t>00</w:t>
            </w:r>
          </w:p>
        </w:tc>
      </w:tr>
      <w:tr>
        <w:trPr>
          <w:trHeight w:val="1023"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8"/>
              <w:ind w:left="105" w:right="0"/>
              <w:jc w:val="left"/>
              <w:rPr>
                <w:rFonts w:ascii="宋体" w:hAnsi="宋体" w:cs="宋体" w:eastAsia="宋体" w:hint="default"/>
                <w:sz w:val="18"/>
                <w:szCs w:val="18"/>
              </w:rPr>
            </w:pPr>
            <w:r>
              <w:rPr>
                <w:rFonts w:ascii="宋体" w:hAnsi="宋体" w:cs="宋体" w:eastAsia="宋体" w:hint="default"/>
                <w:sz w:val="18"/>
                <w:szCs w:val="18"/>
              </w:rPr>
              <w:t>吴振志</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8"/>
              <w:ind w:left="105"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8"/>
              <w:ind w:right="315"/>
              <w:jc w:val="righ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8"/>
              <w:ind w:left="105"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44</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 </w:t>
            </w:r>
            <w:r>
              <w:rPr>
                <w:rFonts w:ascii="宋体" w:hAnsi="宋体" w:cs="宋体" w:eastAsia="宋体" w:hint="default"/>
                <w:sz w:val="18"/>
                <w:szCs w:val="18"/>
              </w:rPr>
              <w:t>年</w:t>
            </w:r>
          </w:p>
          <w:p>
            <w:pPr>
              <w:pStyle w:val="TableParagraph"/>
              <w:spacing w:line="240" w:lineRule="auto" w:before="58"/>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7"/>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 </w:t>
            </w:r>
            <w:r>
              <w:rPr>
                <w:rFonts w:ascii="宋体" w:hAnsi="宋体" w:cs="宋体" w:eastAsia="宋体" w:hint="default"/>
                <w:sz w:val="18"/>
                <w:szCs w:val="18"/>
              </w:rPr>
              <w:t>年</w:t>
            </w:r>
          </w:p>
          <w:p>
            <w:pPr>
              <w:pStyle w:val="TableParagraph"/>
              <w:spacing w:line="240" w:lineRule="auto" w:before="58"/>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7"/>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966,96</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6</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3"/>
              <w:jc w:val="right"/>
              <w:rPr>
                <w:rFonts w:ascii="Times New Roman" w:hAnsi="Times New Roman" w:cs="Times New Roman" w:eastAsia="Times New Roman" w:hint="default"/>
                <w:sz w:val="18"/>
                <w:szCs w:val="18"/>
              </w:rPr>
            </w:pPr>
            <w:r>
              <w:rPr>
                <w:rFonts w:ascii="Times New Roman"/>
                <w:spacing w:val="-1"/>
                <w:sz w:val="18"/>
              </w:rPr>
              <w:t>966,96</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6</w:t>
            </w:r>
            <w:r>
              <w:rPr>
                <w:rFonts w:ascii="Times New Roman"/>
                <w:sz w:val="18"/>
              </w:rPr>
            </w:r>
          </w:p>
        </w:tc>
      </w:tr>
      <w:tr>
        <w:trPr>
          <w:trHeight w:val="1027"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孔德建</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316" w:lineRule="auto"/>
              <w:ind w:left="105" w:right="137"/>
              <w:jc w:val="left"/>
              <w:rPr>
                <w:rFonts w:ascii="宋体" w:hAnsi="宋体" w:cs="宋体" w:eastAsia="宋体" w:hint="default"/>
                <w:sz w:val="18"/>
                <w:szCs w:val="18"/>
              </w:rPr>
            </w:pPr>
            <w:r>
              <w:rPr>
                <w:rFonts w:ascii="宋体" w:hAnsi="宋体" w:cs="宋体" w:eastAsia="宋体" w:hint="default"/>
                <w:sz w:val="18"/>
                <w:szCs w:val="18"/>
              </w:rPr>
              <w:t>董事会</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秘书</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315"/>
              <w:jc w:val="righ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35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p>
          <w:p>
            <w:pPr>
              <w:pStyle w:val="TableParagraph"/>
              <w:spacing w:line="240" w:lineRule="auto" w:before="58"/>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7"/>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 </w:t>
            </w:r>
            <w:r>
              <w:rPr>
                <w:rFonts w:ascii="宋体" w:hAnsi="宋体" w:cs="宋体" w:eastAsia="宋体" w:hint="default"/>
                <w:sz w:val="18"/>
                <w:szCs w:val="18"/>
              </w:rPr>
              <w:t>年</w:t>
            </w:r>
          </w:p>
          <w:p>
            <w:pPr>
              <w:pStyle w:val="TableParagraph"/>
              <w:spacing w:line="240" w:lineRule="auto" w:before="58"/>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7"/>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150,00</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93"/>
              <w:jc w:val="right"/>
              <w:rPr>
                <w:rFonts w:ascii="Times New Roman" w:hAnsi="Times New Roman" w:cs="Times New Roman" w:eastAsia="Times New Roman" w:hint="default"/>
                <w:sz w:val="18"/>
                <w:szCs w:val="18"/>
              </w:rPr>
            </w:pPr>
            <w:r>
              <w:rPr>
                <w:rFonts w:ascii="Times New Roman"/>
                <w:spacing w:val="-1"/>
                <w:sz w:val="18"/>
              </w:rPr>
              <w:t>150,00</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1028"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8"/>
              <w:ind w:left="105" w:right="0"/>
              <w:jc w:val="left"/>
              <w:rPr>
                <w:rFonts w:ascii="宋体" w:hAnsi="宋体" w:cs="宋体" w:eastAsia="宋体" w:hint="default"/>
                <w:sz w:val="18"/>
                <w:szCs w:val="18"/>
              </w:rPr>
            </w:pPr>
            <w:r>
              <w:rPr>
                <w:rFonts w:ascii="宋体" w:hAnsi="宋体" w:cs="宋体" w:eastAsia="宋体" w:hint="default"/>
                <w:sz w:val="18"/>
                <w:szCs w:val="18"/>
              </w:rPr>
              <w:t>沈毅</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21" w:lineRule="auto" w:before="53"/>
              <w:ind w:left="105" w:right="137"/>
              <w:jc w:val="both"/>
              <w:rPr>
                <w:rFonts w:ascii="宋体" w:hAnsi="宋体" w:cs="宋体" w:eastAsia="宋体" w:hint="default"/>
                <w:sz w:val="18"/>
                <w:szCs w:val="18"/>
              </w:rPr>
            </w:pPr>
            <w:r>
              <w:rPr>
                <w:rFonts w:ascii="宋体" w:hAnsi="宋体" w:cs="宋体" w:eastAsia="宋体" w:hint="default"/>
                <w:sz w:val="18"/>
                <w:szCs w:val="18"/>
              </w:rPr>
              <w:t>公司原</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董事、</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总经理</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8"/>
              <w:ind w:right="315"/>
              <w:jc w:val="right"/>
              <w:rPr>
                <w:rFonts w:ascii="宋体" w:hAnsi="宋体" w:cs="宋体" w:eastAsia="宋体" w:hint="default"/>
                <w:sz w:val="18"/>
                <w:szCs w:val="18"/>
              </w:rPr>
            </w:pPr>
            <w:r>
              <w:rPr>
                <w:rFonts w:ascii="宋体" w:hAnsi="宋体" w:cs="宋体" w:eastAsia="宋体" w:hint="default"/>
                <w:sz w:val="18"/>
                <w:szCs w:val="18"/>
              </w:rPr>
              <w:t>离任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8"/>
              <w:ind w:left="105"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45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p>
          <w:p>
            <w:pPr>
              <w:pStyle w:val="TableParagraph"/>
              <w:spacing w:line="240" w:lineRule="auto" w:before="63"/>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8"/>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p>
          <w:p>
            <w:pPr>
              <w:pStyle w:val="TableParagraph"/>
              <w:spacing w:line="240" w:lineRule="auto" w:before="63"/>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8"/>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6,676,4</w:t>
            </w:r>
          </w:p>
          <w:p>
            <w:pPr>
              <w:pStyle w:val="TableParagraph"/>
              <w:spacing w:line="240" w:lineRule="auto" w:before="105"/>
              <w:ind w:left="509" w:right="0"/>
              <w:jc w:val="left"/>
              <w:rPr>
                <w:rFonts w:ascii="Times New Roman" w:hAnsi="Times New Roman" w:cs="Times New Roman" w:eastAsia="Times New Roman" w:hint="default"/>
                <w:sz w:val="18"/>
                <w:szCs w:val="18"/>
              </w:rPr>
            </w:pPr>
            <w:r>
              <w:rPr>
                <w:rFonts w:ascii="Times New Roman"/>
                <w:sz w:val="18"/>
              </w:rPr>
              <w:t>34</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6,676,4</w:t>
            </w:r>
          </w:p>
          <w:p>
            <w:pPr>
              <w:pStyle w:val="TableParagraph"/>
              <w:spacing w:line="240" w:lineRule="auto" w:before="105"/>
              <w:ind w:left="508" w:right="0"/>
              <w:jc w:val="left"/>
              <w:rPr>
                <w:rFonts w:ascii="Times New Roman" w:hAnsi="Times New Roman" w:cs="Times New Roman" w:eastAsia="Times New Roman" w:hint="default"/>
                <w:sz w:val="18"/>
                <w:szCs w:val="18"/>
              </w:rPr>
            </w:pPr>
            <w:r>
              <w:rPr>
                <w:rFonts w:ascii="Times New Roman"/>
                <w:sz w:val="18"/>
              </w:rPr>
              <w:t>34</w:t>
            </w:r>
          </w:p>
        </w:tc>
      </w:tr>
      <w:tr>
        <w:trPr>
          <w:trHeight w:val="1027"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8"/>
              <w:ind w:left="105" w:right="0"/>
              <w:jc w:val="left"/>
              <w:rPr>
                <w:rFonts w:ascii="宋体" w:hAnsi="宋体" w:cs="宋体" w:eastAsia="宋体" w:hint="default"/>
                <w:sz w:val="18"/>
                <w:szCs w:val="18"/>
              </w:rPr>
            </w:pPr>
            <w:r>
              <w:rPr>
                <w:rFonts w:ascii="宋体" w:hAnsi="宋体" w:cs="宋体" w:eastAsia="宋体" w:hint="default"/>
                <w:sz w:val="18"/>
                <w:szCs w:val="18"/>
              </w:rPr>
              <w:t>蔡凡</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316" w:lineRule="auto"/>
              <w:ind w:left="105" w:right="137"/>
              <w:jc w:val="left"/>
              <w:rPr>
                <w:rFonts w:ascii="宋体" w:hAnsi="宋体" w:cs="宋体" w:eastAsia="宋体" w:hint="default"/>
                <w:sz w:val="18"/>
                <w:szCs w:val="18"/>
              </w:rPr>
            </w:pPr>
            <w:r>
              <w:rPr>
                <w:rFonts w:ascii="宋体" w:hAnsi="宋体" w:cs="宋体" w:eastAsia="宋体" w:hint="default"/>
                <w:sz w:val="18"/>
                <w:szCs w:val="18"/>
              </w:rPr>
              <w:t>公司原</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8"/>
              <w:ind w:right="315"/>
              <w:jc w:val="right"/>
              <w:rPr>
                <w:rFonts w:ascii="宋体" w:hAnsi="宋体" w:cs="宋体" w:eastAsia="宋体" w:hint="default"/>
                <w:sz w:val="18"/>
                <w:szCs w:val="18"/>
              </w:rPr>
            </w:pPr>
            <w:r>
              <w:rPr>
                <w:rFonts w:ascii="宋体" w:hAnsi="宋体" w:cs="宋体" w:eastAsia="宋体" w:hint="default"/>
                <w:sz w:val="18"/>
                <w:szCs w:val="18"/>
              </w:rPr>
              <w:t>离任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8"/>
              <w:ind w:left="105"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67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 </w:t>
            </w:r>
            <w:r>
              <w:rPr>
                <w:rFonts w:ascii="宋体" w:hAnsi="宋体" w:cs="宋体" w:eastAsia="宋体" w:hint="default"/>
                <w:sz w:val="18"/>
                <w:szCs w:val="18"/>
              </w:rPr>
              <w:t>年</w:t>
            </w:r>
          </w:p>
          <w:p>
            <w:pPr>
              <w:pStyle w:val="TableParagraph"/>
              <w:spacing w:line="240" w:lineRule="auto" w:before="58"/>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7"/>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p>
          <w:p>
            <w:pPr>
              <w:pStyle w:val="TableParagraph"/>
              <w:spacing w:line="240" w:lineRule="auto" w:before="58"/>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7"/>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1023"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5" w:right="0"/>
              <w:jc w:val="left"/>
              <w:rPr>
                <w:rFonts w:ascii="宋体" w:hAnsi="宋体" w:cs="宋体" w:eastAsia="宋体" w:hint="default"/>
                <w:sz w:val="18"/>
                <w:szCs w:val="18"/>
              </w:rPr>
            </w:pPr>
            <w:r>
              <w:rPr>
                <w:rFonts w:ascii="宋体" w:hAnsi="宋体" w:cs="宋体" w:eastAsia="宋体" w:hint="default"/>
                <w:sz w:val="18"/>
                <w:szCs w:val="18"/>
              </w:rPr>
              <w:t>段忠</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321" w:lineRule="auto"/>
              <w:ind w:left="105" w:right="137"/>
              <w:jc w:val="left"/>
              <w:rPr>
                <w:rFonts w:ascii="宋体" w:hAnsi="宋体" w:cs="宋体" w:eastAsia="宋体" w:hint="default"/>
                <w:sz w:val="18"/>
                <w:szCs w:val="18"/>
              </w:rPr>
            </w:pPr>
            <w:r>
              <w:rPr>
                <w:rFonts w:ascii="宋体" w:hAnsi="宋体" w:cs="宋体" w:eastAsia="宋体" w:hint="default"/>
                <w:sz w:val="18"/>
                <w:szCs w:val="18"/>
              </w:rPr>
              <w:t>公司原</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right="315"/>
              <w:jc w:val="right"/>
              <w:rPr>
                <w:rFonts w:ascii="宋体" w:hAnsi="宋体" w:cs="宋体" w:eastAsia="宋体" w:hint="default"/>
                <w:sz w:val="18"/>
                <w:szCs w:val="18"/>
              </w:rPr>
            </w:pPr>
            <w:r>
              <w:rPr>
                <w:rFonts w:ascii="宋体" w:hAnsi="宋体" w:cs="宋体" w:eastAsia="宋体" w:hint="default"/>
                <w:sz w:val="18"/>
                <w:szCs w:val="18"/>
              </w:rPr>
              <w:t>离任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5"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69</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 </w:t>
            </w:r>
            <w:r>
              <w:rPr>
                <w:rFonts w:ascii="宋体" w:hAnsi="宋体" w:cs="宋体" w:eastAsia="宋体" w:hint="default"/>
                <w:sz w:val="18"/>
                <w:szCs w:val="18"/>
              </w:rPr>
              <w:t>年</w:t>
            </w:r>
          </w:p>
          <w:p>
            <w:pPr>
              <w:pStyle w:val="TableParagraph"/>
              <w:spacing w:line="240" w:lineRule="auto" w:before="58"/>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7"/>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p>
          <w:p>
            <w:pPr>
              <w:pStyle w:val="TableParagraph"/>
              <w:spacing w:line="240" w:lineRule="auto" w:before="58"/>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7"/>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7"/>
                <w:szCs w:val="17"/>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7"/>
                <w:szCs w:val="17"/>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1028"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马秀敏</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8"/>
              <w:ind w:left="105" w:right="137"/>
              <w:jc w:val="both"/>
              <w:rPr>
                <w:rFonts w:ascii="宋体" w:hAnsi="宋体" w:cs="宋体" w:eastAsia="宋体" w:hint="default"/>
                <w:sz w:val="18"/>
                <w:szCs w:val="18"/>
              </w:rPr>
            </w:pPr>
            <w:r>
              <w:rPr>
                <w:rFonts w:ascii="宋体" w:hAnsi="宋体" w:cs="宋体" w:eastAsia="宋体" w:hint="default"/>
                <w:sz w:val="18"/>
                <w:szCs w:val="18"/>
              </w:rPr>
              <w:t>公司原</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独立董</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315"/>
              <w:jc w:val="right"/>
              <w:rPr>
                <w:rFonts w:ascii="宋体" w:hAnsi="宋体" w:cs="宋体" w:eastAsia="宋体" w:hint="default"/>
                <w:sz w:val="18"/>
                <w:szCs w:val="18"/>
              </w:rPr>
            </w:pPr>
            <w:r>
              <w:rPr>
                <w:rFonts w:ascii="宋体" w:hAnsi="宋体" w:cs="宋体" w:eastAsia="宋体" w:hint="default"/>
                <w:sz w:val="18"/>
                <w:szCs w:val="18"/>
              </w:rPr>
              <w:t>离任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女</w:t>
            </w:r>
            <w:r>
              <w:rPr>
                <w:rFonts w:ascii="宋体" w:hAnsi="宋体" w:cs="宋体" w:eastAsia="宋体" w:hint="default"/>
                <w:sz w:val="18"/>
                <w:szCs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48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p>
          <w:p>
            <w:pPr>
              <w:pStyle w:val="TableParagraph"/>
              <w:spacing w:line="240" w:lineRule="auto" w:before="58"/>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7"/>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p>
          <w:p>
            <w:pPr>
              <w:pStyle w:val="TableParagraph"/>
              <w:spacing w:line="240" w:lineRule="auto" w:before="58"/>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7"/>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1027"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8"/>
              <w:ind w:left="105" w:right="0"/>
              <w:jc w:val="left"/>
              <w:rPr>
                <w:rFonts w:ascii="宋体" w:hAnsi="宋体" w:cs="宋体" w:eastAsia="宋体" w:hint="default"/>
                <w:sz w:val="18"/>
                <w:szCs w:val="18"/>
              </w:rPr>
            </w:pPr>
            <w:r>
              <w:rPr>
                <w:rFonts w:ascii="宋体" w:hAnsi="宋体" w:cs="宋体" w:eastAsia="宋体" w:hint="default"/>
                <w:sz w:val="18"/>
                <w:szCs w:val="18"/>
              </w:rPr>
              <w:t>黄斌</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316" w:lineRule="auto"/>
              <w:ind w:left="105" w:right="137"/>
              <w:jc w:val="left"/>
              <w:rPr>
                <w:rFonts w:ascii="宋体" w:hAnsi="宋体" w:cs="宋体" w:eastAsia="宋体" w:hint="default"/>
                <w:sz w:val="18"/>
                <w:szCs w:val="18"/>
              </w:rPr>
            </w:pPr>
            <w:r>
              <w:rPr>
                <w:rFonts w:ascii="宋体" w:hAnsi="宋体" w:cs="宋体" w:eastAsia="宋体" w:hint="default"/>
                <w:sz w:val="18"/>
                <w:szCs w:val="18"/>
              </w:rPr>
              <w:t>公司原</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监事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8"/>
              <w:ind w:right="315"/>
              <w:jc w:val="right"/>
              <w:rPr>
                <w:rFonts w:ascii="宋体" w:hAnsi="宋体" w:cs="宋体" w:eastAsia="宋体" w:hint="default"/>
                <w:sz w:val="18"/>
                <w:szCs w:val="18"/>
              </w:rPr>
            </w:pPr>
            <w:r>
              <w:rPr>
                <w:rFonts w:ascii="宋体" w:hAnsi="宋体" w:cs="宋体" w:eastAsia="宋体" w:hint="default"/>
                <w:sz w:val="18"/>
                <w:szCs w:val="18"/>
              </w:rPr>
              <w:t>离任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8"/>
              <w:ind w:left="105"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56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p>
          <w:p>
            <w:pPr>
              <w:pStyle w:val="TableParagraph"/>
              <w:spacing w:line="240" w:lineRule="auto" w:before="63"/>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7"/>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p>
          <w:p>
            <w:pPr>
              <w:pStyle w:val="TableParagraph"/>
              <w:spacing w:line="240" w:lineRule="auto" w:before="63"/>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7"/>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28,905,</w:t>
            </w:r>
          </w:p>
          <w:p>
            <w:pPr>
              <w:pStyle w:val="TableParagraph"/>
              <w:spacing w:line="240" w:lineRule="auto" w:before="105"/>
              <w:ind w:left="418" w:right="0"/>
              <w:jc w:val="left"/>
              <w:rPr>
                <w:rFonts w:ascii="Times New Roman" w:hAnsi="Times New Roman" w:cs="Times New Roman" w:eastAsia="Times New Roman" w:hint="default"/>
                <w:sz w:val="18"/>
                <w:szCs w:val="18"/>
              </w:rPr>
            </w:pPr>
            <w:r>
              <w:rPr>
                <w:rFonts w:ascii="Times New Roman"/>
                <w:sz w:val="18"/>
              </w:rPr>
              <w:t>144</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364,35</w:t>
            </w:r>
          </w:p>
          <w:p>
            <w:pPr>
              <w:pStyle w:val="TableParagraph"/>
              <w:spacing w:line="240" w:lineRule="auto" w:before="105"/>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28,540,</w:t>
            </w:r>
          </w:p>
          <w:p>
            <w:pPr>
              <w:pStyle w:val="TableParagraph"/>
              <w:spacing w:line="240" w:lineRule="auto" w:before="105"/>
              <w:ind w:left="417" w:right="0"/>
              <w:jc w:val="left"/>
              <w:rPr>
                <w:rFonts w:ascii="Times New Roman" w:hAnsi="Times New Roman" w:cs="Times New Roman" w:eastAsia="Times New Roman" w:hint="default"/>
                <w:sz w:val="18"/>
                <w:szCs w:val="18"/>
              </w:rPr>
            </w:pPr>
            <w:r>
              <w:rPr>
                <w:rFonts w:ascii="Times New Roman"/>
                <w:sz w:val="18"/>
              </w:rPr>
              <w:t>794</w:t>
            </w:r>
          </w:p>
        </w:tc>
      </w:tr>
      <w:tr>
        <w:trPr>
          <w:trHeight w:val="716" w:hRule="exact"/>
        </w:trPr>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334"/>
              <w:jc w:val="right"/>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2"/>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8"/>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7"/>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92" w:right="0"/>
              <w:jc w:val="left"/>
              <w:rPr>
                <w:rFonts w:ascii="Times New Roman" w:hAnsi="Times New Roman" w:cs="Times New Roman" w:eastAsia="Times New Roman" w:hint="default"/>
                <w:sz w:val="18"/>
                <w:szCs w:val="18"/>
              </w:rPr>
            </w:pPr>
            <w:r>
              <w:rPr>
                <w:rFonts w:ascii="Times New Roman"/>
                <w:sz w:val="18"/>
              </w:rPr>
              <w:t>279,50</w:t>
            </w:r>
          </w:p>
          <w:p>
            <w:pPr>
              <w:pStyle w:val="TableParagraph"/>
              <w:spacing w:line="240" w:lineRule="auto" w:before="105"/>
              <w:ind w:left="283" w:right="0"/>
              <w:jc w:val="left"/>
              <w:rPr>
                <w:rFonts w:ascii="Times New Roman" w:hAnsi="Times New Roman" w:cs="Times New Roman" w:eastAsia="Times New Roman" w:hint="default"/>
                <w:sz w:val="18"/>
                <w:szCs w:val="18"/>
              </w:rPr>
            </w:pPr>
            <w:r>
              <w:rPr>
                <w:rFonts w:ascii="Times New Roman"/>
                <w:sz w:val="18"/>
              </w:rPr>
              <w:t>8,807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48" w:right="0"/>
              <w:jc w:val="left"/>
              <w:rPr>
                <w:rFonts w:ascii="Times New Roman" w:hAnsi="Times New Roman" w:cs="Times New Roman" w:eastAsia="Times New Roman" w:hint="default"/>
                <w:sz w:val="18"/>
                <w:szCs w:val="18"/>
              </w:rPr>
            </w:pPr>
            <w:r>
              <w:rPr>
                <w:rFonts w:ascii="Times New Roman"/>
                <w:sz w:val="18"/>
              </w:rPr>
              <w:t>3,358,6</w:t>
            </w:r>
          </w:p>
          <w:p>
            <w:pPr>
              <w:pStyle w:val="TableParagraph"/>
              <w:spacing w:line="240" w:lineRule="auto" w:before="105"/>
              <w:ind w:left="508" w:right="0"/>
              <w:jc w:val="left"/>
              <w:rPr>
                <w:rFonts w:ascii="Times New Roman" w:hAnsi="Times New Roman" w:cs="Times New Roman" w:eastAsia="Times New Roman" w:hint="default"/>
                <w:sz w:val="18"/>
                <w:szCs w:val="18"/>
              </w:rPr>
            </w:pPr>
            <w:r>
              <w:rPr>
                <w:rFonts w:ascii="Times New Roman"/>
                <w:sz w:val="18"/>
              </w:rPr>
              <w:t>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-90,000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92" w:right="0"/>
              <w:jc w:val="left"/>
              <w:rPr>
                <w:rFonts w:ascii="Times New Roman" w:hAnsi="Times New Roman" w:cs="Times New Roman" w:eastAsia="Times New Roman" w:hint="default"/>
                <w:sz w:val="18"/>
                <w:szCs w:val="18"/>
              </w:rPr>
            </w:pPr>
            <w:r>
              <w:rPr>
                <w:rFonts w:ascii="Times New Roman"/>
                <w:sz w:val="18"/>
              </w:rPr>
              <w:t>276,06</w:t>
            </w:r>
          </w:p>
          <w:p>
            <w:pPr>
              <w:pStyle w:val="TableParagraph"/>
              <w:spacing w:line="240" w:lineRule="auto" w:before="105"/>
              <w:ind w:left="283" w:right="0"/>
              <w:jc w:val="left"/>
              <w:rPr>
                <w:rFonts w:ascii="Times New Roman" w:hAnsi="Times New Roman" w:cs="Times New Roman" w:eastAsia="Times New Roman" w:hint="default"/>
                <w:sz w:val="18"/>
                <w:szCs w:val="18"/>
              </w:rPr>
            </w:pPr>
            <w:r>
              <w:rPr>
                <w:rFonts w:ascii="Times New Roman"/>
                <w:sz w:val="18"/>
              </w:rPr>
              <w:t>0,207</w:t>
            </w:r>
          </w:p>
        </w:tc>
      </w:tr>
    </w:tbl>
    <w:p>
      <w:pPr>
        <w:spacing w:after="0" w:line="240" w:lineRule="auto"/>
        <w:jc w:val="left"/>
        <w:rPr>
          <w:rFonts w:ascii="Times New Roman" w:hAnsi="Times New Roman" w:cs="Times New Roman" w:eastAsia="Times New Roman" w:hint="default"/>
          <w:sz w:val="18"/>
          <w:szCs w:val="18"/>
        </w:rPr>
        <w:sectPr>
          <w:pgSz w:w="11910" w:h="16840"/>
          <w:pgMar w:header="784" w:footer="1022" w:top="1100" w:bottom="1220" w:left="980" w:right="0"/>
        </w:sectPr>
      </w:pPr>
    </w:p>
    <w:p>
      <w:pPr>
        <w:spacing w:line="240" w:lineRule="auto" w:before="3"/>
        <w:rPr>
          <w:rFonts w:ascii="Times New Roman" w:hAnsi="Times New Roman" w:cs="Times New Roman" w:eastAsia="Times New Roman" w:hint="default"/>
          <w:sz w:val="23"/>
          <w:szCs w:val="23"/>
        </w:rPr>
      </w:pPr>
    </w:p>
    <w:p>
      <w:pPr>
        <w:pStyle w:val="Heading2"/>
        <w:spacing w:line="240" w:lineRule="auto" w:before="26"/>
        <w:ind w:right="0"/>
        <w:jc w:val="left"/>
        <w:rPr>
          <w:b w:val="0"/>
          <w:bCs w:val="0"/>
        </w:rPr>
      </w:pPr>
      <w:bookmarkStart w:name="二、公司董事、监事、高级管理人员变动情况" w:id="129"/>
      <w:bookmarkEnd w:id="129"/>
      <w:r>
        <w:rPr>
          <w:b w:val="0"/>
          <w:bCs w:val="0"/>
        </w:rPr>
      </w:r>
      <w:r>
        <w:rPr/>
        <w:t>二、公司董事、监事、高级管理人员变动情况</w:t>
      </w:r>
      <w:r>
        <w:rPr>
          <w:b w:val="0"/>
          <w:bCs w:val="0"/>
        </w:rPr>
      </w:r>
    </w:p>
    <w:p>
      <w:pPr>
        <w:spacing w:line="240" w:lineRule="auto" w:before="3"/>
        <w:rPr>
          <w:rFonts w:ascii="宋体" w:hAnsi="宋体" w:cs="宋体" w:eastAsia="宋体" w:hint="default"/>
          <w:b/>
          <w:bCs/>
          <w:sz w:val="27"/>
          <w:szCs w:val="27"/>
        </w:rPr>
      </w:pPr>
    </w:p>
    <w:p>
      <w:pPr>
        <w:pStyle w:val="BodyText"/>
        <w:spacing w:line="240" w:lineRule="auto" w:before="0"/>
        <w:ind w:right="0"/>
        <w:jc w:val="left"/>
      </w:pPr>
      <w:r>
        <w:rPr/>
        <w:t>√ </w:t>
      </w:r>
      <w:r>
        <w:rPr>
          <w:spacing w:val="-3"/>
        </w:rPr>
        <w:t>适用 </w:t>
      </w:r>
      <w:r>
        <w:rPr/>
        <w:t>□</w:t>
      </w:r>
      <w:r>
        <w:rPr>
          <w:spacing w:val="13"/>
        </w:rPr>
        <w:t> </w:t>
      </w:r>
      <w:r>
        <w:rPr/>
        <w:t>不适用</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330"/>
        <w:gridCol w:w="1330"/>
        <w:gridCol w:w="1330"/>
        <w:gridCol w:w="1330"/>
        <w:gridCol w:w="4249"/>
      </w:tblGrid>
      <w:tr>
        <w:trPr>
          <w:trHeight w:val="404" w:hRule="exact"/>
        </w:trPr>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211" w:right="0"/>
              <w:jc w:val="left"/>
              <w:rPr>
                <w:rFonts w:ascii="宋体" w:hAnsi="宋体" w:cs="宋体" w:eastAsia="宋体" w:hint="default"/>
                <w:sz w:val="18"/>
                <w:szCs w:val="18"/>
              </w:rPr>
            </w:pPr>
            <w:r>
              <w:rPr>
                <w:rFonts w:ascii="宋体" w:hAnsi="宋体" w:cs="宋体" w:eastAsia="宋体" w:hint="default"/>
                <w:sz w:val="18"/>
                <w:szCs w:val="18"/>
              </w:rPr>
              <w:t>担任的职务</w:t>
            </w:r>
          </w:p>
        </w:tc>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z w:val="18"/>
                <w:szCs w:val="18"/>
              </w:rPr>
              <w:t>类型</w:t>
            </w:r>
          </w:p>
        </w:tc>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z w:val="18"/>
                <w:szCs w:val="18"/>
              </w:rPr>
              <w:t>日期</w:t>
            </w:r>
          </w:p>
        </w:tc>
        <w:tc>
          <w:tcPr>
            <w:tcW w:w="42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5" w:right="0"/>
              <w:jc w:val="center"/>
              <w:rPr>
                <w:rFonts w:ascii="宋体" w:hAnsi="宋体" w:cs="宋体" w:eastAsia="宋体" w:hint="default"/>
                <w:sz w:val="18"/>
                <w:szCs w:val="18"/>
              </w:rPr>
            </w:pPr>
            <w:r>
              <w:rPr>
                <w:rFonts w:ascii="宋体" w:hAnsi="宋体" w:cs="宋体" w:eastAsia="宋体" w:hint="default"/>
                <w:sz w:val="18"/>
                <w:szCs w:val="18"/>
              </w:rPr>
              <w:t>原因</w:t>
            </w:r>
          </w:p>
        </w:tc>
      </w:tr>
      <w:tr>
        <w:trPr>
          <w:trHeight w:val="715"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沈永健</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330" w:type="dxa"/>
            <w:tcBorders>
              <w:top w:val="single" w:sz="4" w:space="0" w:color="000000"/>
              <w:left w:val="single" w:sz="4" w:space="0" w:color="000000"/>
              <w:bottom w:val="single" w:sz="4" w:space="0" w:color="000000"/>
              <w:right w:val="single" w:sz="4" w:space="0" w:color="000000"/>
            </w:tcBorders>
          </w:tcPr>
          <w:p>
            <w:pP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42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 w:right="0"/>
              <w:jc w:val="center"/>
              <w:rPr>
                <w:rFonts w:ascii="宋体" w:hAnsi="宋体" w:cs="宋体" w:eastAsia="宋体" w:hint="default"/>
                <w:sz w:val="18"/>
                <w:szCs w:val="18"/>
              </w:rPr>
            </w:pPr>
            <w:r>
              <w:rPr>
                <w:rFonts w:ascii="宋体" w:hAnsi="宋体" w:cs="宋体" w:eastAsia="宋体" w:hint="default"/>
                <w:sz w:val="18"/>
                <w:szCs w:val="18"/>
              </w:rPr>
              <w:t>换届选举</w:t>
            </w:r>
          </w:p>
        </w:tc>
      </w:tr>
      <w:tr>
        <w:trPr>
          <w:trHeight w:val="711"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杨文超</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330" w:type="dxa"/>
            <w:tcBorders>
              <w:top w:val="single" w:sz="4" w:space="0" w:color="000000"/>
              <w:left w:val="single" w:sz="4" w:space="0" w:color="000000"/>
              <w:bottom w:val="single" w:sz="4" w:space="0" w:color="000000"/>
              <w:right w:val="single" w:sz="4" w:space="0" w:color="000000"/>
            </w:tcBorders>
          </w:tcPr>
          <w:p>
            <w:pP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42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 w:right="0"/>
              <w:jc w:val="center"/>
              <w:rPr>
                <w:rFonts w:ascii="宋体" w:hAnsi="宋体" w:cs="宋体" w:eastAsia="宋体" w:hint="default"/>
                <w:sz w:val="18"/>
                <w:szCs w:val="18"/>
              </w:rPr>
            </w:pPr>
            <w:r>
              <w:rPr>
                <w:rFonts w:ascii="宋体" w:hAnsi="宋体" w:cs="宋体" w:eastAsia="宋体" w:hint="default"/>
                <w:sz w:val="18"/>
                <w:szCs w:val="18"/>
              </w:rPr>
              <w:t>换届选举</w:t>
            </w:r>
          </w:p>
        </w:tc>
      </w:tr>
      <w:tr>
        <w:trPr>
          <w:trHeight w:val="715"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刘钧厚</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330" w:type="dxa"/>
            <w:tcBorders>
              <w:top w:val="single" w:sz="4" w:space="0" w:color="000000"/>
              <w:left w:val="single" w:sz="4" w:space="0" w:color="000000"/>
              <w:bottom w:val="single" w:sz="4" w:space="0" w:color="000000"/>
              <w:right w:val="single" w:sz="4" w:space="0" w:color="000000"/>
            </w:tcBorders>
          </w:tcPr>
          <w:p>
            <w:pP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7"/>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42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 w:right="0"/>
              <w:jc w:val="center"/>
              <w:rPr>
                <w:rFonts w:ascii="宋体" w:hAnsi="宋体" w:cs="宋体" w:eastAsia="宋体" w:hint="default"/>
                <w:sz w:val="18"/>
                <w:szCs w:val="18"/>
              </w:rPr>
            </w:pPr>
            <w:r>
              <w:rPr>
                <w:rFonts w:ascii="宋体" w:hAnsi="宋体" w:cs="宋体" w:eastAsia="宋体" w:hint="default"/>
                <w:sz w:val="18"/>
                <w:szCs w:val="18"/>
              </w:rPr>
              <w:t>换届选举</w:t>
            </w:r>
          </w:p>
        </w:tc>
      </w:tr>
      <w:tr>
        <w:trPr>
          <w:trHeight w:val="715"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杨建中</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330" w:type="dxa"/>
            <w:tcBorders>
              <w:top w:val="single" w:sz="4" w:space="0" w:color="000000"/>
              <w:left w:val="single" w:sz="4" w:space="0" w:color="000000"/>
              <w:bottom w:val="single" w:sz="4" w:space="0" w:color="000000"/>
              <w:right w:val="single" w:sz="4" w:space="0" w:color="000000"/>
            </w:tcBorders>
          </w:tcPr>
          <w:p>
            <w:pP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7"/>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42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 w:right="0"/>
              <w:jc w:val="center"/>
              <w:rPr>
                <w:rFonts w:ascii="宋体" w:hAnsi="宋体" w:cs="宋体" w:eastAsia="宋体" w:hint="default"/>
                <w:sz w:val="18"/>
                <w:szCs w:val="18"/>
              </w:rPr>
            </w:pPr>
            <w:r>
              <w:rPr>
                <w:rFonts w:ascii="宋体" w:hAnsi="宋体" w:cs="宋体" w:eastAsia="宋体" w:hint="default"/>
                <w:sz w:val="18"/>
                <w:szCs w:val="18"/>
              </w:rPr>
              <w:t>换届选举</w:t>
            </w:r>
          </w:p>
        </w:tc>
      </w:tr>
      <w:tr>
        <w:trPr>
          <w:trHeight w:val="716"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李华雄</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30" w:type="dxa"/>
            <w:tcBorders>
              <w:top w:val="single" w:sz="4" w:space="0" w:color="000000"/>
              <w:left w:val="single" w:sz="4" w:space="0" w:color="000000"/>
              <w:bottom w:val="single" w:sz="4" w:space="0" w:color="000000"/>
              <w:right w:val="single" w:sz="4" w:space="0" w:color="000000"/>
            </w:tcBorders>
          </w:tcPr>
          <w:p>
            <w:pP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42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 w:right="0"/>
              <w:jc w:val="center"/>
              <w:rPr>
                <w:rFonts w:ascii="宋体" w:hAnsi="宋体" w:cs="宋体" w:eastAsia="宋体" w:hint="default"/>
                <w:sz w:val="18"/>
                <w:szCs w:val="18"/>
              </w:rPr>
            </w:pPr>
            <w:r>
              <w:rPr>
                <w:rFonts w:ascii="宋体" w:hAnsi="宋体" w:cs="宋体" w:eastAsia="宋体" w:hint="default"/>
                <w:sz w:val="18"/>
                <w:szCs w:val="18"/>
              </w:rPr>
              <w:t>换届选举</w:t>
            </w:r>
          </w:p>
        </w:tc>
      </w:tr>
      <w:tr>
        <w:trPr>
          <w:trHeight w:val="710"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黄永忠</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330" w:type="dxa"/>
            <w:tcBorders>
              <w:top w:val="single" w:sz="4" w:space="0" w:color="000000"/>
              <w:left w:val="single" w:sz="4" w:space="0" w:color="000000"/>
              <w:bottom w:val="single" w:sz="4" w:space="0" w:color="000000"/>
              <w:right w:val="single" w:sz="4" w:space="0" w:color="000000"/>
            </w:tcBorders>
          </w:tcPr>
          <w:p>
            <w:pP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42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 w:right="0"/>
              <w:jc w:val="center"/>
              <w:rPr>
                <w:rFonts w:ascii="宋体" w:hAnsi="宋体" w:cs="宋体" w:eastAsia="宋体" w:hint="default"/>
                <w:sz w:val="18"/>
                <w:szCs w:val="18"/>
              </w:rPr>
            </w:pPr>
            <w:r>
              <w:rPr>
                <w:rFonts w:ascii="宋体" w:hAnsi="宋体" w:cs="宋体" w:eastAsia="宋体" w:hint="default"/>
                <w:sz w:val="18"/>
                <w:szCs w:val="18"/>
              </w:rPr>
              <w:t>换届选举</w:t>
            </w:r>
          </w:p>
        </w:tc>
      </w:tr>
      <w:tr>
        <w:trPr>
          <w:trHeight w:val="716"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吴涵渠</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总裁</w:t>
            </w:r>
          </w:p>
        </w:tc>
        <w:tc>
          <w:tcPr>
            <w:tcW w:w="1330" w:type="dxa"/>
            <w:tcBorders>
              <w:top w:val="single" w:sz="4" w:space="0" w:color="000000"/>
              <w:left w:val="single" w:sz="4" w:space="0" w:color="000000"/>
              <w:bottom w:val="single" w:sz="4" w:space="0" w:color="000000"/>
              <w:right w:val="single" w:sz="4" w:space="0" w:color="000000"/>
            </w:tcBorders>
          </w:tcPr>
          <w:p>
            <w:pP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8"/>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42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 w:right="0"/>
              <w:jc w:val="center"/>
              <w:rPr>
                <w:rFonts w:ascii="宋体" w:hAnsi="宋体" w:cs="宋体" w:eastAsia="宋体" w:hint="default"/>
                <w:sz w:val="18"/>
                <w:szCs w:val="18"/>
              </w:rPr>
            </w:pPr>
            <w:r>
              <w:rPr>
                <w:rFonts w:ascii="宋体" w:hAnsi="宋体" w:cs="宋体" w:eastAsia="宋体" w:hint="default"/>
                <w:sz w:val="18"/>
                <w:szCs w:val="18"/>
              </w:rPr>
              <w:t>换届选举</w:t>
            </w:r>
          </w:p>
        </w:tc>
      </w:tr>
      <w:tr>
        <w:trPr>
          <w:trHeight w:val="715"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沈毅</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321" w:lineRule="auto" w:before="53"/>
              <w:ind w:left="105" w:right="127"/>
              <w:jc w:val="left"/>
              <w:rPr>
                <w:rFonts w:ascii="宋体" w:hAnsi="宋体" w:cs="宋体" w:eastAsia="宋体" w:hint="default"/>
                <w:sz w:val="18"/>
                <w:szCs w:val="18"/>
              </w:rPr>
            </w:pPr>
            <w:r>
              <w:rPr>
                <w:rFonts w:ascii="宋体" w:hAnsi="宋体" w:cs="宋体" w:eastAsia="宋体" w:hint="default"/>
                <w:spacing w:val="-2"/>
                <w:sz w:val="18"/>
                <w:szCs w:val="18"/>
              </w:rPr>
              <w:t>公司原董事、</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总经理</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任期满离任</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7"/>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42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任期届满离任</w:t>
            </w:r>
          </w:p>
        </w:tc>
      </w:tr>
      <w:tr>
        <w:trPr>
          <w:trHeight w:val="715"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蔡凡</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公司原董事</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任期满离任</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42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任期届满离任</w:t>
            </w:r>
          </w:p>
        </w:tc>
      </w:tr>
      <w:tr>
        <w:trPr>
          <w:trHeight w:val="711"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段忠</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公司原董事</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任期满离任</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42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任期届满离任</w:t>
            </w:r>
          </w:p>
        </w:tc>
      </w:tr>
      <w:tr>
        <w:trPr>
          <w:trHeight w:val="715"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马秀敏</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321" w:lineRule="auto" w:before="53"/>
              <w:ind w:left="105" w:right="127"/>
              <w:jc w:val="left"/>
              <w:rPr>
                <w:rFonts w:ascii="宋体" w:hAnsi="宋体" w:cs="宋体" w:eastAsia="宋体" w:hint="default"/>
                <w:sz w:val="18"/>
                <w:szCs w:val="18"/>
              </w:rPr>
            </w:pPr>
            <w:r>
              <w:rPr>
                <w:rFonts w:ascii="宋体" w:hAnsi="宋体" w:cs="宋体" w:eastAsia="宋体" w:hint="default"/>
                <w:spacing w:val="-2"/>
                <w:sz w:val="18"/>
                <w:szCs w:val="18"/>
              </w:rPr>
              <w:t>公司原独立董</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事</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任期满离任</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7"/>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42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任期届满离任</w:t>
            </w:r>
          </w:p>
        </w:tc>
      </w:tr>
      <w:tr>
        <w:trPr>
          <w:trHeight w:val="716"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黄斌</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公司原监事</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任期满离任</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8"/>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42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任期届满离任</w:t>
            </w:r>
          </w:p>
        </w:tc>
      </w:tr>
    </w:tbl>
    <w:p>
      <w:pPr>
        <w:spacing w:line="240" w:lineRule="auto" w:before="9"/>
        <w:rPr>
          <w:rFonts w:ascii="宋体" w:hAnsi="宋体" w:cs="宋体" w:eastAsia="宋体" w:hint="default"/>
          <w:sz w:val="17"/>
          <w:szCs w:val="17"/>
        </w:rPr>
      </w:pPr>
    </w:p>
    <w:p>
      <w:pPr>
        <w:pStyle w:val="Heading2"/>
        <w:spacing w:line="240" w:lineRule="auto" w:before="26"/>
        <w:ind w:right="0"/>
        <w:jc w:val="left"/>
        <w:rPr>
          <w:b w:val="0"/>
          <w:bCs w:val="0"/>
        </w:rPr>
      </w:pPr>
      <w:bookmarkStart w:name="三、任职情况" w:id="130"/>
      <w:bookmarkEnd w:id="130"/>
      <w:r>
        <w:rPr>
          <w:b w:val="0"/>
          <w:bCs w:val="0"/>
        </w:rPr>
      </w:r>
      <w:r>
        <w:rPr/>
        <w:t>三、任职情况</w:t>
      </w:r>
      <w:r>
        <w:rPr>
          <w:b w:val="0"/>
          <w:bCs w:val="0"/>
        </w:rPr>
      </w:r>
    </w:p>
    <w:p>
      <w:pPr>
        <w:spacing w:line="240" w:lineRule="auto" w:before="3"/>
        <w:rPr>
          <w:rFonts w:ascii="宋体" w:hAnsi="宋体" w:cs="宋体" w:eastAsia="宋体" w:hint="default"/>
          <w:b/>
          <w:bCs/>
          <w:sz w:val="27"/>
          <w:szCs w:val="27"/>
        </w:rPr>
      </w:pPr>
    </w:p>
    <w:p>
      <w:pPr>
        <w:pStyle w:val="BodyText"/>
        <w:spacing w:line="357" w:lineRule="auto" w:before="0"/>
        <w:ind w:left="513" w:right="0" w:hanging="360"/>
        <w:jc w:val="left"/>
      </w:pPr>
      <w:r>
        <w:rPr>
          <w:spacing w:val="-3"/>
        </w:rPr>
        <w:t>公司现任董事、监事、高级管理人员专业背景、主要工作经历以及目前在公司的主要职责</w:t>
      </w:r>
      <w:r>
        <w:rPr>
          <w:spacing w:val="25"/>
        </w:rPr>
        <w:t> </w:t>
      </w:r>
      <w:r>
        <w:rPr>
          <w:spacing w:val="25"/>
        </w:rPr>
      </w:r>
      <w:r>
        <w:rPr>
          <w:spacing w:val="-4"/>
        </w:rPr>
        <w:t>吴涵渠，男，</w:t>
      </w:r>
      <w:r>
        <w:rPr>
          <w:rFonts w:ascii="Times New Roman" w:hAnsi="Times New Roman" w:cs="Times New Roman" w:eastAsia="Times New Roman" w:hint="default"/>
          <w:spacing w:val="-4"/>
        </w:rPr>
        <w:t>1962</w:t>
      </w:r>
      <w:r>
        <w:rPr>
          <w:spacing w:val="-4"/>
        </w:rPr>
        <w:t>年</w:t>
      </w:r>
      <w:r>
        <w:rPr>
          <w:rFonts w:ascii="Times New Roman" w:hAnsi="Times New Roman" w:cs="Times New Roman" w:eastAsia="Times New Roman" w:hint="default"/>
          <w:spacing w:val="-4"/>
        </w:rPr>
        <w:t>11</w:t>
      </w:r>
      <w:r>
        <w:rPr>
          <w:spacing w:val="-4"/>
        </w:rPr>
        <w:t>月出生，中国国籍，无境外永久居留权，硕士研究生学历，高级工程师。曾在九江船舶工业学校</w:t>
      </w:r>
    </w:p>
    <w:p>
      <w:pPr>
        <w:pStyle w:val="BodyText"/>
        <w:spacing w:line="214" w:lineRule="exact" w:before="0"/>
        <w:ind w:right="0"/>
        <w:jc w:val="left"/>
        <w:rPr>
          <w:rFonts w:ascii="Times New Roman" w:hAnsi="Times New Roman" w:cs="Times New Roman" w:eastAsia="Times New Roman" w:hint="default"/>
        </w:rPr>
      </w:pPr>
      <w:r>
        <w:rPr>
          <w:spacing w:val="-4"/>
        </w:rPr>
        <w:t>任教。</w:t>
      </w:r>
      <w:r>
        <w:rPr>
          <w:rFonts w:ascii="Times New Roman" w:hAnsi="Times New Roman" w:cs="Times New Roman" w:eastAsia="Times New Roman" w:hint="default"/>
          <w:spacing w:val="-4"/>
        </w:rPr>
        <w:t>1989</w:t>
      </w:r>
      <w:r>
        <w:rPr>
          <w:spacing w:val="-4"/>
        </w:rPr>
        <w:t>年至</w:t>
      </w:r>
      <w:r>
        <w:rPr>
          <w:rFonts w:ascii="Times New Roman" w:hAnsi="Times New Roman" w:cs="Times New Roman" w:eastAsia="Times New Roman" w:hint="default"/>
          <w:spacing w:val="-4"/>
        </w:rPr>
        <w:t>1993</w:t>
      </w:r>
      <w:r>
        <w:rPr>
          <w:spacing w:val="-4"/>
        </w:rPr>
        <w:t>年在深圳电子产品质量检测中心任技术部副经理，从事电子产品质量检测和产品技术标准的研究。</w:t>
      </w:r>
      <w:r>
        <w:rPr>
          <w:rFonts w:ascii="Times New Roman" w:hAnsi="Times New Roman" w:cs="Times New Roman" w:eastAsia="Times New Roman" w:hint="default"/>
          <w:spacing w:val="-4"/>
        </w:rPr>
        <w:t>1993</w:t>
      </w:r>
    </w:p>
    <w:p>
      <w:pPr>
        <w:pStyle w:val="BodyText"/>
        <w:spacing w:line="316" w:lineRule="auto" w:before="63"/>
        <w:ind w:left="513" w:right="0" w:hanging="360"/>
        <w:jc w:val="left"/>
      </w:pPr>
      <w:r>
        <w:rPr>
          <w:spacing w:val="-3"/>
        </w:rPr>
        <w:t>年组建公司，历任公司董事长、总经理、深圳市第五届政协委员。现为公司董事长、总裁、深圳市第六届政协委员。</w:t>
      </w:r>
      <w:r>
        <w:rPr>
          <w:spacing w:val="60"/>
        </w:rPr>
        <w:t> </w:t>
      </w:r>
      <w:r>
        <w:rPr>
          <w:spacing w:val="60"/>
        </w:rPr>
      </w:r>
      <w:r>
        <w:rPr>
          <w:spacing w:val="-3"/>
        </w:rPr>
        <w:t>沈永健，男，</w:t>
      </w:r>
      <w:r>
        <w:rPr>
          <w:rFonts w:ascii="Times New Roman" w:hAnsi="Times New Roman" w:cs="Times New Roman" w:eastAsia="Times New Roman" w:hint="default"/>
          <w:spacing w:val="-3"/>
        </w:rPr>
        <w:t>1963</w:t>
      </w:r>
      <w:r>
        <w:rPr>
          <w:spacing w:val="-3"/>
        </w:rPr>
        <w:t>年</w:t>
      </w:r>
      <w:r>
        <w:rPr>
          <w:rFonts w:ascii="Times New Roman" w:hAnsi="Times New Roman" w:cs="Times New Roman" w:eastAsia="Times New Roman" w:hint="default"/>
          <w:spacing w:val="-3"/>
        </w:rPr>
        <w:t>2</w:t>
      </w:r>
      <w:r>
        <w:rPr>
          <w:spacing w:val="-3"/>
        </w:rPr>
        <w:t>月出生，中国国籍，无境外居留权，本科学历，一级项目管理师，高级能源审计师，国家一级注</w:t>
      </w:r>
    </w:p>
    <w:p>
      <w:pPr>
        <w:pStyle w:val="BodyText"/>
        <w:spacing w:line="319" w:lineRule="auto" w:before="0"/>
        <w:ind w:right="0"/>
        <w:jc w:val="left"/>
      </w:pPr>
      <w:r>
        <w:rPr>
          <w:spacing w:val="-4"/>
        </w:rPr>
        <w:t>册建造师，深圳市福田英才，深圳市照明学会副理事长，深圳市城市照明学会副理事长，深港工程师联合会副会长，中国照</w:t>
      </w:r>
      <w:r>
        <w:rPr>
          <w:spacing w:val="40"/>
        </w:rPr>
        <w:t> </w:t>
      </w:r>
      <w:r>
        <w:rPr>
          <w:spacing w:val="40"/>
        </w:rPr>
      </w:r>
      <w:r>
        <w:rPr>
          <w:spacing w:val="-3"/>
        </w:rPr>
        <w:t>明学会照明系统建设运营委员会副主任，中国照明学会室外照明专业委员会副主任，大连工业大学光子学研究所特聘专家。</w:t>
      </w:r>
      <w:r>
        <w:rPr>
          <w:spacing w:val="67"/>
        </w:rPr>
        <w:t> </w:t>
      </w:r>
      <w:r>
        <w:rPr>
          <w:spacing w:val="67"/>
        </w:rPr>
      </w:r>
      <w:r>
        <w:rPr>
          <w:spacing w:val="-4"/>
        </w:rPr>
        <w:t>曾任江苏省建湖县建设银行建经科副科长，深圳黄金灯饰有限公司副总裁，深圳市千百辉照明工程有限公司董事长，现任公</w:t>
      </w:r>
      <w:r>
        <w:rPr>
          <w:spacing w:val="43"/>
        </w:rPr>
        <w:t> </w:t>
      </w:r>
      <w:r>
        <w:rPr>
          <w:spacing w:val="43"/>
        </w:rPr>
      </w:r>
      <w:r>
        <w:rPr>
          <w:spacing w:val="-3"/>
        </w:rPr>
        <w:t>司副董事长、副总裁，深圳市千百辉照明工程有限公司董事。</w:t>
      </w:r>
    </w:p>
    <w:p>
      <w:pPr>
        <w:spacing w:after="0" w:line="319" w:lineRule="auto"/>
        <w:jc w:val="left"/>
        <w:sectPr>
          <w:pgSz w:w="11910" w:h="16840"/>
          <w:pgMar w:header="784" w:footer="1022" w:top="1100" w:bottom="1220" w:left="980" w:right="0"/>
        </w:sectPr>
      </w:pPr>
    </w:p>
    <w:p>
      <w:pPr>
        <w:spacing w:line="240" w:lineRule="auto" w:before="10"/>
        <w:rPr>
          <w:rFonts w:ascii="宋体" w:hAnsi="宋体" w:cs="宋体" w:eastAsia="宋体" w:hint="default"/>
          <w:sz w:val="22"/>
          <w:szCs w:val="22"/>
        </w:rPr>
      </w:pPr>
    </w:p>
    <w:p>
      <w:pPr>
        <w:pStyle w:val="BodyText"/>
        <w:spacing w:line="300" w:lineRule="auto"/>
        <w:ind w:right="1122" w:firstLine="360"/>
        <w:jc w:val="both"/>
      </w:pPr>
      <w:r>
        <w:rPr/>
        <w:t>杨四化，男，</w:t>
      </w:r>
      <w:r>
        <w:rPr>
          <w:rFonts w:ascii="Times New Roman" w:hAnsi="Times New Roman" w:cs="Times New Roman" w:eastAsia="Times New Roman" w:hint="default"/>
        </w:rPr>
        <w:t>1978</w:t>
      </w:r>
      <w:r>
        <w:rPr/>
        <w:t>年</w:t>
      </w:r>
      <w:r>
        <w:rPr>
          <w:rFonts w:ascii="Times New Roman" w:hAnsi="Times New Roman" w:cs="Times New Roman" w:eastAsia="Times New Roman" w:hint="default"/>
        </w:rPr>
        <w:t>7</w:t>
      </w:r>
      <w:r>
        <w:rPr/>
        <w:t>月出生，中国国籍，无境外永久居留权，北京大学</w:t>
      </w:r>
      <w:r>
        <w:rPr>
          <w:rFonts w:ascii="Times New Roman" w:hAnsi="Times New Roman" w:cs="Times New Roman" w:eastAsia="Times New Roman" w:hint="default"/>
        </w:rPr>
        <w:t>MBA</w:t>
      </w:r>
      <w:r>
        <w:rPr/>
        <w:t>。</w:t>
      </w:r>
      <w:r>
        <w:rPr>
          <w:spacing w:val="39"/>
        </w:rPr>
        <w:t> </w:t>
      </w:r>
      <w:r>
        <w:rPr>
          <w:rFonts w:ascii="Times New Roman" w:hAnsi="Times New Roman" w:cs="Times New Roman" w:eastAsia="Times New Roman" w:hint="default"/>
        </w:rPr>
        <w:t>1999</w:t>
      </w:r>
      <w:r>
        <w:rPr/>
        <w:t>年进入公司，历任财务部主管、</w:t>
      </w:r>
      <w:r>
        <w:rPr>
          <w:w w:val="101"/>
        </w:rPr>
        <w:t> </w:t>
      </w:r>
      <w:r>
        <w:rPr>
          <w:spacing w:val="-3"/>
        </w:rPr>
        <w:t>采购部经理、总经理办公室主任、监事、董事会秘书、副总经理。现任公司董事、常务副总裁。</w:t>
      </w:r>
    </w:p>
    <w:p>
      <w:pPr>
        <w:pStyle w:val="BodyText"/>
        <w:spacing w:line="309" w:lineRule="auto" w:before="31"/>
        <w:ind w:right="0" w:firstLine="360"/>
        <w:jc w:val="left"/>
      </w:pPr>
      <w:r>
        <w:rPr>
          <w:spacing w:val="-3"/>
        </w:rPr>
        <w:t>杨文超，男，</w:t>
      </w:r>
      <w:r>
        <w:rPr>
          <w:rFonts w:ascii="Times New Roman" w:hAnsi="Times New Roman" w:cs="Times New Roman" w:eastAsia="Times New Roman" w:hint="default"/>
          <w:spacing w:val="-3"/>
        </w:rPr>
        <w:t>1966</w:t>
      </w:r>
      <w:r>
        <w:rPr>
          <w:spacing w:val="-3"/>
        </w:rPr>
        <w:t>年</w:t>
      </w:r>
      <w:r>
        <w:rPr>
          <w:rFonts w:ascii="Times New Roman" w:hAnsi="Times New Roman" w:cs="Times New Roman" w:eastAsia="Times New Roman" w:hint="default"/>
          <w:spacing w:val="-3"/>
        </w:rPr>
        <w:t>9</w:t>
      </w:r>
      <w:r>
        <w:rPr>
          <w:spacing w:val="-3"/>
        </w:rPr>
        <w:t>月出生，中国国籍，无境外居留权，硕士研究生学历，高级工程师。曾任中国民生银行科技部副</w:t>
      </w:r>
      <w:r>
        <w:rPr>
          <w:w w:val="101"/>
        </w:rPr>
        <w:t> </w:t>
      </w:r>
      <w:r>
        <w:rPr>
          <w:spacing w:val="-6"/>
        </w:rPr>
        <w:t>总经理，交通银行广东省分行行长助理，交通银行海南省分行副行长，现任公司董事，南京奥拓电子科技有限公司执行董事，</w:t>
      </w:r>
      <w:r>
        <w:rPr>
          <w:spacing w:val="63"/>
        </w:rPr>
        <w:t> </w:t>
      </w:r>
      <w:r>
        <w:rPr>
          <w:spacing w:val="63"/>
        </w:rPr>
      </w:r>
      <w:r>
        <w:rPr>
          <w:spacing w:val="-3"/>
        </w:rPr>
        <w:t>上海奥拓翰明计算机科技有限公司执行董事。</w:t>
      </w:r>
    </w:p>
    <w:p>
      <w:pPr>
        <w:pStyle w:val="BodyText"/>
        <w:spacing w:line="300" w:lineRule="auto" w:before="24"/>
        <w:ind w:right="1128" w:firstLine="360"/>
        <w:jc w:val="both"/>
      </w:pPr>
      <w:r>
        <w:rPr>
          <w:spacing w:val="-3"/>
        </w:rPr>
        <w:t>刘钧厚，男，</w:t>
      </w:r>
      <w:r>
        <w:rPr>
          <w:rFonts w:ascii="Times New Roman" w:hAnsi="Times New Roman" w:cs="Times New Roman" w:eastAsia="Times New Roman" w:hint="default"/>
          <w:spacing w:val="-3"/>
        </w:rPr>
        <w:t>1958</w:t>
      </w:r>
      <w:r>
        <w:rPr>
          <w:spacing w:val="-3"/>
        </w:rPr>
        <w:t>年</w:t>
      </w:r>
      <w:r>
        <w:rPr>
          <w:rFonts w:ascii="Times New Roman" w:hAnsi="Times New Roman" w:cs="Times New Roman" w:eastAsia="Times New Roman" w:hint="default"/>
          <w:spacing w:val="-3"/>
        </w:rPr>
        <w:t>5</w:t>
      </w:r>
      <w:r>
        <w:rPr>
          <w:spacing w:val="-3"/>
        </w:rPr>
        <w:t>月出生，中国国籍，无境外永久居留权，硕士研究生学历。曾任青岛大学教师，深圳纺织集团副</w:t>
      </w:r>
      <w:r>
        <w:rPr>
          <w:w w:val="101"/>
        </w:rPr>
        <w:t> </w:t>
      </w:r>
      <w:r>
        <w:rPr>
          <w:spacing w:val="-3"/>
        </w:rPr>
        <w:t>总、董事总经理，深圳免税集团董事、总经理、董事长，深圳市投资控股有限公司董事。现任公司董事。</w:t>
      </w:r>
    </w:p>
    <w:p>
      <w:pPr>
        <w:pStyle w:val="BodyText"/>
        <w:spacing w:line="309" w:lineRule="auto" w:before="31"/>
        <w:ind w:right="0" w:firstLine="360"/>
        <w:jc w:val="left"/>
      </w:pPr>
      <w:r>
        <w:rPr>
          <w:spacing w:val="-3"/>
        </w:rPr>
        <w:t>杨建中，男，</w:t>
      </w:r>
      <w:r>
        <w:rPr>
          <w:rFonts w:ascii="Times New Roman" w:hAnsi="Times New Roman" w:cs="Times New Roman" w:eastAsia="Times New Roman" w:hint="default"/>
          <w:spacing w:val="-3"/>
        </w:rPr>
        <w:t>1959</w:t>
      </w:r>
      <w:r>
        <w:rPr>
          <w:spacing w:val="-3"/>
        </w:rPr>
        <w:t>年</w:t>
      </w:r>
      <w:r>
        <w:rPr>
          <w:rFonts w:ascii="Times New Roman" w:hAnsi="Times New Roman" w:cs="Times New Roman" w:eastAsia="Times New Roman" w:hint="default"/>
          <w:spacing w:val="-3"/>
        </w:rPr>
        <w:t>7</w:t>
      </w:r>
      <w:r>
        <w:rPr>
          <w:spacing w:val="-3"/>
        </w:rPr>
        <w:t>月出生，中国国籍，无境外永久居留权，北京大学光华管理学院工商管理硕士，高级经济师，华</w:t>
      </w:r>
      <w:r>
        <w:rPr>
          <w:w w:val="101"/>
        </w:rPr>
        <w:t> </w:t>
      </w:r>
      <w:r>
        <w:rPr>
          <w:spacing w:val="-3"/>
        </w:rPr>
        <w:t>南国际经贸仲裁委员会仲裁员。曾任招商银行深圳上埗支行行长，深圳罗湖支行行长，总行信贷部总经理，成都分行行长，</w:t>
      </w:r>
      <w:r>
        <w:rPr>
          <w:spacing w:val="66"/>
        </w:rPr>
        <w:t> </w:t>
      </w:r>
      <w:r>
        <w:rPr>
          <w:spacing w:val="66"/>
        </w:rPr>
      </w:r>
      <w:r>
        <w:rPr>
          <w:spacing w:val="-3"/>
        </w:rPr>
        <w:t>深圳分行副行长，招商银行深圳分行资深专员。现任公司董事。</w:t>
      </w:r>
    </w:p>
    <w:p>
      <w:pPr>
        <w:pStyle w:val="BodyText"/>
        <w:spacing w:line="312" w:lineRule="auto" w:before="24"/>
        <w:ind w:right="0" w:firstLine="360"/>
        <w:jc w:val="left"/>
      </w:pPr>
      <w:r>
        <w:rPr>
          <w:spacing w:val="-4"/>
        </w:rPr>
        <w:t>贾广新，男，</w:t>
      </w:r>
      <w:r>
        <w:rPr>
          <w:rFonts w:ascii="Times New Roman" w:hAnsi="Times New Roman" w:cs="Times New Roman" w:eastAsia="Times New Roman" w:hint="default"/>
          <w:spacing w:val="-4"/>
        </w:rPr>
        <w:t>1960</w:t>
      </w:r>
      <w:r>
        <w:rPr>
          <w:spacing w:val="-4"/>
        </w:rPr>
        <w:t>年</w:t>
      </w:r>
      <w:r>
        <w:rPr>
          <w:rFonts w:ascii="Times New Roman" w:hAnsi="Times New Roman" w:cs="Times New Roman" w:eastAsia="Times New Roman" w:hint="default"/>
          <w:spacing w:val="-4"/>
        </w:rPr>
        <w:t>4</w:t>
      </w:r>
      <w:r>
        <w:rPr>
          <w:spacing w:val="-4"/>
        </w:rPr>
        <w:t>月出生，中国国籍，无境外永久居住权，本科学历，高级工程师。历任原电子工业部</w:t>
      </w:r>
      <w:r>
        <w:rPr>
          <w:rFonts w:ascii="Times New Roman" w:hAnsi="Times New Roman" w:cs="Times New Roman" w:eastAsia="Times New Roman" w:hint="default"/>
          <w:spacing w:val="-4"/>
        </w:rPr>
        <w:t>713</w:t>
      </w:r>
      <w:r>
        <w:rPr>
          <w:spacing w:val="-4"/>
        </w:rPr>
        <w:t>厂设计所</w:t>
      </w:r>
      <w:r>
        <w:rPr>
          <w:w w:val="101"/>
        </w:rPr>
        <w:t> </w:t>
      </w:r>
      <w:r>
        <w:rPr>
          <w:spacing w:val="-4"/>
        </w:rPr>
        <w:t>副所长，深圳市赛格宝华电子股份有限公司副总经理兼总工程师，深圳市赛格达声股份有限公司副总经理兼总工程师，深圳</w:t>
      </w:r>
      <w:r>
        <w:rPr>
          <w:spacing w:val="43"/>
        </w:rPr>
        <w:t> </w:t>
      </w:r>
      <w:r>
        <w:rPr>
          <w:spacing w:val="43"/>
        </w:rPr>
      </w:r>
      <w:r>
        <w:rPr>
          <w:spacing w:val="-6"/>
        </w:rPr>
        <w:t>市赛格集团公司技术中心执行副主任，深圳市华发电子有限公司总经理助理，深圳市三维自动化工程有限公司董事、总经理。</w:t>
      </w:r>
      <w:r>
        <w:rPr>
          <w:spacing w:val="63"/>
        </w:rPr>
        <w:t> </w:t>
      </w:r>
      <w:r>
        <w:rPr>
          <w:spacing w:val="63"/>
        </w:rPr>
      </w:r>
      <w:r>
        <w:rPr>
          <w:spacing w:val="-3"/>
        </w:rPr>
        <w:t>现任深圳市三维自动化工程有限公司总工程师，公司独立董事。</w:t>
      </w:r>
    </w:p>
    <w:p>
      <w:pPr>
        <w:pStyle w:val="BodyText"/>
        <w:spacing w:line="312" w:lineRule="auto" w:before="143"/>
        <w:ind w:right="1123" w:firstLine="360"/>
        <w:jc w:val="both"/>
      </w:pPr>
      <w:r>
        <w:rPr/>
        <w:t>王丽娜，女，</w:t>
      </w:r>
      <w:r>
        <w:rPr>
          <w:rFonts w:ascii="Times New Roman" w:hAnsi="Times New Roman" w:cs="Times New Roman" w:eastAsia="Times New Roman" w:hint="default"/>
        </w:rPr>
        <w:t>1967</w:t>
      </w:r>
      <w:r>
        <w:rPr/>
        <w:t>年</w:t>
      </w:r>
      <w:r>
        <w:rPr>
          <w:rFonts w:ascii="Times New Roman" w:hAnsi="Times New Roman" w:cs="Times New Roman" w:eastAsia="Times New Roman" w:hint="default"/>
        </w:rPr>
        <w:t>7</w:t>
      </w:r>
      <w:r>
        <w:rPr/>
        <w:t>月出生，中国国籍，无境外永久居住权</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研究生学历，资深律师。曾任中华全国律师协会理事和</w:t>
      </w:r>
      <w:r>
        <w:rPr>
          <w:w w:val="101"/>
        </w:rPr>
        <w:t> </w:t>
      </w:r>
      <w:r>
        <w:rPr>
          <w:spacing w:val="-4"/>
        </w:rPr>
        <w:t>深圳市律师协会副会长。现任广东省律师协会常务理事，深圳市政协委员，深圳市新的社会阶层人士联合会副会长，广东省</w:t>
      </w:r>
      <w:r>
        <w:rPr>
          <w:spacing w:val="40"/>
        </w:rPr>
        <w:t> </w:t>
      </w:r>
      <w:r>
        <w:rPr>
          <w:spacing w:val="40"/>
        </w:rPr>
      </w:r>
      <w:r>
        <w:rPr>
          <w:spacing w:val="-4"/>
        </w:rPr>
        <w:t>检察机关规范司法行为监督员，深圳市三八红旗手协会法定代表人，深圳市瑞升华科技股份有限公司独立董事，深圳市农产</w:t>
      </w:r>
      <w:r>
        <w:rPr>
          <w:spacing w:val="43"/>
        </w:rPr>
        <w:t> </w:t>
      </w:r>
      <w:r>
        <w:rPr>
          <w:spacing w:val="43"/>
        </w:rPr>
      </w:r>
      <w:r>
        <w:rPr>
          <w:spacing w:val="-3"/>
        </w:rPr>
        <w:t>品集团股份有限公司独立董事，公司独立董事。</w:t>
      </w:r>
    </w:p>
    <w:p>
      <w:pPr>
        <w:pStyle w:val="BodyText"/>
        <w:spacing w:line="307" w:lineRule="auto" w:before="142"/>
        <w:ind w:right="1124" w:firstLine="360"/>
        <w:jc w:val="both"/>
      </w:pPr>
      <w:r>
        <w:rPr>
          <w:spacing w:val="-3"/>
        </w:rPr>
        <w:t>李华雄，男，</w:t>
      </w:r>
      <w:r>
        <w:rPr>
          <w:rFonts w:ascii="Times New Roman" w:hAnsi="Times New Roman" w:cs="Times New Roman" w:eastAsia="Times New Roman" w:hint="default"/>
          <w:spacing w:val="-3"/>
        </w:rPr>
        <w:t>1963</w:t>
      </w:r>
      <w:r>
        <w:rPr>
          <w:spacing w:val="-3"/>
        </w:rPr>
        <w:t>年</w:t>
      </w:r>
      <w:r>
        <w:rPr>
          <w:rFonts w:ascii="Times New Roman" w:hAnsi="Times New Roman" w:cs="Times New Roman" w:eastAsia="Times New Roman" w:hint="default"/>
          <w:spacing w:val="-3"/>
        </w:rPr>
        <w:t>7</w:t>
      </w:r>
      <w:r>
        <w:rPr>
          <w:spacing w:val="-3"/>
        </w:rPr>
        <w:t>月出生，中国国籍，无境外永久居留权，博士研究生学历，注册会计师，中国注册会计师协会非</w:t>
      </w:r>
      <w:r>
        <w:rPr>
          <w:w w:val="101"/>
        </w:rPr>
        <w:t> </w:t>
      </w:r>
      <w:r>
        <w:rPr>
          <w:spacing w:val="-4"/>
        </w:rPr>
        <w:t>执业会员。自</w:t>
      </w:r>
      <w:r>
        <w:rPr>
          <w:rFonts w:ascii="Times New Roman" w:hAnsi="Times New Roman" w:cs="Times New Roman" w:eastAsia="Times New Roman" w:hint="default"/>
          <w:spacing w:val="-4"/>
        </w:rPr>
        <w:t>1988</w:t>
      </w:r>
      <w:r>
        <w:rPr>
          <w:spacing w:val="-4"/>
        </w:rPr>
        <w:t>年起，曾先后在中南财经大学会计系，海南港澳实业股份有限公司，粤华电股份有限公司，湘财证券有限</w:t>
      </w:r>
      <w:r>
        <w:rPr>
          <w:spacing w:val="48"/>
        </w:rPr>
        <w:t> </w:t>
      </w:r>
      <w:r>
        <w:rPr>
          <w:spacing w:val="48"/>
        </w:rPr>
      </w:r>
      <w:r>
        <w:rPr>
          <w:spacing w:val="-4"/>
        </w:rPr>
        <w:t>公司，德隆集团，深圳市中科智资本投资管理有限公司等公司工作。曾任公司独立董事。现任深圳市国富黄金股份有限公司</w:t>
      </w:r>
      <w:r>
        <w:rPr>
          <w:spacing w:val="40"/>
        </w:rPr>
        <w:t> </w:t>
      </w:r>
      <w:r>
        <w:rPr>
          <w:spacing w:val="40"/>
        </w:rPr>
      </w:r>
      <w:r>
        <w:rPr>
          <w:spacing w:val="-3"/>
        </w:rPr>
        <w:t>独立董事，公司独立董事。</w:t>
      </w:r>
    </w:p>
    <w:p>
      <w:pPr>
        <w:pStyle w:val="BodyText"/>
        <w:spacing w:line="300" w:lineRule="auto" w:before="146"/>
        <w:ind w:right="1128" w:firstLine="360"/>
        <w:jc w:val="both"/>
      </w:pPr>
      <w:r>
        <w:rPr>
          <w:spacing w:val="-3"/>
        </w:rPr>
        <w:t>邱荣邦，男，</w:t>
      </w:r>
      <w:r>
        <w:rPr>
          <w:rFonts w:ascii="Times New Roman" w:hAnsi="Times New Roman" w:cs="Times New Roman" w:eastAsia="Times New Roman" w:hint="default"/>
          <w:spacing w:val="-3"/>
        </w:rPr>
        <w:t>1964</w:t>
      </w:r>
      <w:r>
        <w:rPr>
          <w:spacing w:val="-3"/>
        </w:rPr>
        <w:t>年</w:t>
      </w:r>
      <w:r>
        <w:rPr>
          <w:rFonts w:ascii="Times New Roman" w:hAnsi="Times New Roman" w:cs="Times New Roman" w:eastAsia="Times New Roman" w:hint="default"/>
          <w:spacing w:val="-3"/>
        </w:rPr>
        <w:t>7</w:t>
      </w:r>
      <w:r>
        <w:rPr>
          <w:spacing w:val="-3"/>
        </w:rPr>
        <w:t>月出生，中国国籍，无境外永久居留权，硕士研究生学历，高级工程师。曾在珠海华声集团有限</w:t>
      </w:r>
      <w:r>
        <w:rPr>
          <w:w w:val="101"/>
        </w:rPr>
        <w:t> </w:t>
      </w:r>
      <w:r>
        <w:rPr>
          <w:spacing w:val="-3"/>
        </w:rPr>
        <w:t>公司工作。</w:t>
      </w:r>
      <w:r>
        <w:rPr>
          <w:rFonts w:ascii="Times New Roman" w:hAnsi="Times New Roman" w:cs="Times New Roman" w:eastAsia="Times New Roman" w:hint="default"/>
          <w:spacing w:val="-3"/>
        </w:rPr>
        <w:t>1993</w:t>
      </w:r>
      <w:r>
        <w:rPr>
          <w:spacing w:val="-3"/>
        </w:rPr>
        <w:t>年进入公司，历任研发部经理、质量技术部经理、副总工程师。现任公司监事会主席。</w:t>
      </w:r>
    </w:p>
    <w:p>
      <w:pPr>
        <w:pStyle w:val="BodyText"/>
        <w:spacing w:line="309" w:lineRule="auto" w:before="133"/>
        <w:ind w:right="1122" w:firstLine="360"/>
        <w:jc w:val="both"/>
      </w:pPr>
      <w:r>
        <w:rPr>
          <w:spacing w:val="-4"/>
        </w:rPr>
        <w:t>黄永忠，男，</w:t>
      </w:r>
      <w:r>
        <w:rPr>
          <w:rFonts w:ascii="Times New Roman" w:hAnsi="Times New Roman" w:cs="Times New Roman" w:eastAsia="Times New Roman" w:hint="default"/>
          <w:spacing w:val="-4"/>
        </w:rPr>
        <w:t>1968</w:t>
      </w:r>
      <w:r>
        <w:rPr>
          <w:spacing w:val="-4"/>
        </w:rPr>
        <w:t>年</w:t>
      </w:r>
      <w:r>
        <w:rPr>
          <w:rFonts w:ascii="Times New Roman" w:hAnsi="Times New Roman" w:cs="Times New Roman" w:eastAsia="Times New Roman" w:hint="default"/>
          <w:spacing w:val="-4"/>
        </w:rPr>
        <w:t>11</w:t>
      </w:r>
      <w:r>
        <w:rPr>
          <w:spacing w:val="-4"/>
        </w:rPr>
        <w:t>月出生，中国国籍，无境外永久居留权，本科学历，曾在江苏省常州纺织仪器厂工作。</w:t>
      </w:r>
      <w:r>
        <w:rPr>
          <w:rFonts w:ascii="Times New Roman" w:hAnsi="Times New Roman" w:cs="Times New Roman" w:eastAsia="Times New Roman" w:hint="default"/>
          <w:spacing w:val="-4"/>
        </w:rPr>
        <w:t>1997</w:t>
      </w:r>
      <w:r>
        <w:rPr>
          <w:spacing w:val="-4"/>
        </w:rPr>
        <w:t>年进</w:t>
      </w:r>
      <w:r>
        <w:rPr>
          <w:w w:val="101"/>
        </w:rPr>
        <w:t> </w:t>
      </w:r>
      <w:r>
        <w:rPr>
          <w:spacing w:val="-4"/>
        </w:rPr>
        <w:t>入公司，历任研发部经理、质量技术部经理、工程技术部经理、制造总监。现任惠州市奥拓电子科技有限公司副总经理，公</w:t>
      </w:r>
      <w:r>
        <w:rPr>
          <w:spacing w:val="40"/>
        </w:rPr>
        <w:t> </w:t>
      </w:r>
      <w:r>
        <w:rPr>
          <w:spacing w:val="40"/>
        </w:rPr>
      </w:r>
      <w:r>
        <w:rPr/>
        <w:t>司监事。</w:t>
      </w:r>
    </w:p>
    <w:p>
      <w:pPr>
        <w:pStyle w:val="BodyText"/>
        <w:spacing w:line="319" w:lineRule="auto" w:before="144"/>
        <w:ind w:right="1122" w:firstLine="360"/>
        <w:jc w:val="both"/>
      </w:pPr>
      <w:r>
        <w:rPr>
          <w:spacing w:val="-4"/>
        </w:rPr>
        <w:t>颜春晓，女，</w:t>
      </w:r>
      <w:r>
        <w:rPr>
          <w:rFonts w:ascii="宋体" w:hAnsi="宋体" w:cs="宋体" w:eastAsia="宋体" w:hint="default"/>
          <w:spacing w:val="-4"/>
        </w:rPr>
        <w:t>1982</w:t>
      </w:r>
      <w:r>
        <w:rPr>
          <w:spacing w:val="-4"/>
        </w:rPr>
        <w:t>年</w:t>
      </w:r>
      <w:r>
        <w:rPr>
          <w:rFonts w:ascii="宋体" w:hAnsi="宋体" w:cs="宋体" w:eastAsia="宋体" w:hint="default"/>
          <w:spacing w:val="-4"/>
        </w:rPr>
        <w:t>3</w:t>
      </w:r>
      <w:r>
        <w:rPr>
          <w:spacing w:val="-4"/>
        </w:rPr>
        <w:t>月出生。中国国籍，无境外居留权。本科学历。</w:t>
      </w:r>
      <w:r>
        <w:rPr>
          <w:rFonts w:ascii="宋体" w:hAnsi="宋体" w:cs="宋体" w:eastAsia="宋体" w:hint="default"/>
          <w:spacing w:val="-4"/>
        </w:rPr>
        <w:t>2003</w:t>
      </w:r>
      <w:r>
        <w:rPr>
          <w:spacing w:val="-4"/>
        </w:rPr>
        <w:t>年</w:t>
      </w:r>
      <w:r>
        <w:rPr>
          <w:rFonts w:ascii="宋体" w:hAnsi="宋体" w:cs="宋体" w:eastAsia="宋体" w:hint="default"/>
          <w:spacing w:val="-4"/>
        </w:rPr>
        <w:t>7</w:t>
      </w:r>
      <w:r>
        <w:rPr>
          <w:spacing w:val="-4"/>
        </w:rPr>
        <w:t>月至今，在深圳市奥拓电子股份有限公司</w:t>
      </w:r>
      <w:r>
        <w:rPr>
          <w:w w:val="101"/>
        </w:rPr>
        <w:t> </w:t>
      </w:r>
      <w:r>
        <w:rPr>
          <w:spacing w:val="-3"/>
        </w:rPr>
        <w:t>研发部门工作。现任公司监事，公司智能视讯技术研究院软件工程师。</w:t>
      </w:r>
    </w:p>
    <w:p>
      <w:pPr>
        <w:pStyle w:val="BodyText"/>
        <w:spacing w:line="300" w:lineRule="auto" w:before="137"/>
        <w:ind w:right="1122" w:firstLine="360"/>
        <w:jc w:val="both"/>
      </w:pPr>
      <w:r>
        <w:rPr>
          <w:spacing w:val="-4"/>
        </w:rPr>
        <w:t>彭世新，女，</w:t>
      </w:r>
      <w:r>
        <w:rPr>
          <w:rFonts w:ascii="Times New Roman" w:hAnsi="Times New Roman" w:cs="Times New Roman" w:eastAsia="Times New Roman" w:hint="default"/>
          <w:spacing w:val="-4"/>
        </w:rPr>
        <w:t>1967</w:t>
      </w:r>
      <w:r>
        <w:rPr>
          <w:spacing w:val="-4"/>
        </w:rPr>
        <w:t>年</w:t>
      </w:r>
      <w:r>
        <w:rPr>
          <w:rFonts w:ascii="Times New Roman" w:hAnsi="Times New Roman" w:cs="Times New Roman" w:eastAsia="Times New Roman" w:hint="default"/>
          <w:spacing w:val="-4"/>
        </w:rPr>
        <w:t>12</w:t>
      </w:r>
      <w:r>
        <w:rPr>
          <w:spacing w:val="-4"/>
        </w:rPr>
        <w:t>月出生，中国国籍，无境外永久居留权，本科学历，中级会计师，高级国际财务管理师。曾在贵</w:t>
      </w:r>
      <w:r>
        <w:rPr>
          <w:w w:val="101"/>
        </w:rPr>
        <w:t> </w:t>
      </w:r>
      <w:r>
        <w:rPr>
          <w:spacing w:val="-4"/>
        </w:rPr>
        <w:t>州省石油公司、深圳南油集团商服公司工作。</w:t>
      </w:r>
      <w:r>
        <w:rPr>
          <w:rFonts w:ascii="Times New Roman" w:hAnsi="Times New Roman" w:cs="Times New Roman" w:eastAsia="Times New Roman" w:hint="default"/>
          <w:spacing w:val="-4"/>
        </w:rPr>
        <w:t>1998</w:t>
      </w:r>
      <w:r>
        <w:rPr>
          <w:spacing w:val="-4"/>
        </w:rPr>
        <w:t>年进入公司，历任计划财务部经理、财务总监。现任公司副总裁、财务总</w:t>
      </w:r>
      <w:r>
        <w:rPr>
          <w:spacing w:val="49"/>
        </w:rPr>
        <w:t> </w:t>
      </w:r>
      <w:r>
        <w:rPr>
          <w:spacing w:val="49"/>
        </w:rPr>
      </w:r>
      <w:r>
        <w:rPr/>
        <w:t>监。</w:t>
      </w:r>
    </w:p>
    <w:p>
      <w:pPr>
        <w:pStyle w:val="BodyText"/>
        <w:spacing w:line="300" w:lineRule="auto" w:before="151"/>
        <w:ind w:right="1030" w:firstLine="360"/>
        <w:jc w:val="both"/>
      </w:pPr>
      <w:r>
        <w:rPr>
          <w:spacing w:val="-6"/>
        </w:rPr>
        <w:t>赵旭峰，男，</w:t>
      </w:r>
      <w:r>
        <w:rPr>
          <w:rFonts w:ascii="Times New Roman" w:hAnsi="Times New Roman" w:cs="Times New Roman" w:eastAsia="Times New Roman" w:hint="default"/>
          <w:spacing w:val="-6"/>
        </w:rPr>
        <w:t>1968</w:t>
      </w:r>
      <w:r>
        <w:rPr>
          <w:spacing w:val="-6"/>
        </w:rPr>
        <w:t>年</w:t>
      </w:r>
      <w:r>
        <w:rPr>
          <w:rFonts w:ascii="Times New Roman" w:hAnsi="Times New Roman" w:cs="Times New Roman" w:eastAsia="Times New Roman" w:hint="default"/>
          <w:spacing w:val="-6"/>
        </w:rPr>
        <w:t>12</w:t>
      </w:r>
      <w:r>
        <w:rPr>
          <w:spacing w:val="-6"/>
        </w:rPr>
        <w:t>月出生，中国国籍，无境外永久居留权，本科学历。曾在福州市建材公司工作。</w:t>
      </w:r>
      <w:r>
        <w:rPr>
          <w:rFonts w:ascii="Times New Roman" w:hAnsi="Times New Roman" w:cs="Times New Roman" w:eastAsia="Times New Roman" w:hint="default"/>
          <w:spacing w:val="-6"/>
        </w:rPr>
        <w:t>1993</w:t>
      </w:r>
      <w:r>
        <w:rPr>
          <w:spacing w:val="-6"/>
        </w:rPr>
        <w:t>年进入公司，</w:t>
      </w:r>
      <w:r>
        <w:rPr>
          <w:w w:val="101"/>
        </w:rPr>
        <w:t> </w:t>
      </w:r>
      <w:r>
        <w:rPr>
          <w:spacing w:val="-3"/>
        </w:rPr>
        <w:t>历任销售部经理、广州办事处经理、自助设备事业部副总经理、渠道总监、采购总监、董事、副总经理。现任公司副总裁。</w:t>
      </w:r>
    </w:p>
    <w:p>
      <w:pPr>
        <w:pStyle w:val="BodyText"/>
        <w:spacing w:line="309" w:lineRule="auto" w:before="151"/>
        <w:ind w:right="1124" w:firstLine="360"/>
        <w:jc w:val="both"/>
      </w:pPr>
      <w:r>
        <w:rPr>
          <w:spacing w:val="-3"/>
        </w:rPr>
        <w:t>矫人全，男，</w:t>
      </w:r>
      <w:r>
        <w:rPr>
          <w:rFonts w:ascii="Times New Roman" w:hAnsi="Times New Roman" w:cs="Times New Roman" w:eastAsia="Times New Roman" w:hint="default"/>
          <w:spacing w:val="-3"/>
        </w:rPr>
        <w:t>1973</w:t>
      </w:r>
      <w:r>
        <w:rPr>
          <w:spacing w:val="-3"/>
        </w:rPr>
        <w:t>年</w:t>
      </w:r>
      <w:r>
        <w:rPr>
          <w:rFonts w:ascii="Times New Roman" w:hAnsi="Times New Roman" w:cs="Times New Roman" w:eastAsia="Times New Roman" w:hint="default"/>
          <w:spacing w:val="-3"/>
        </w:rPr>
        <w:t>3</w:t>
      </w:r>
      <w:r>
        <w:rPr>
          <w:spacing w:val="-3"/>
        </w:rPr>
        <w:t>月出生，中国国籍，无境外永久居留权，硕士。曾在烟台市万维电脑有限公司工作。</w:t>
      </w:r>
      <w:r>
        <w:rPr>
          <w:rFonts w:ascii="Times New Roman" w:hAnsi="Times New Roman" w:cs="Times New Roman" w:eastAsia="Times New Roman" w:hint="default"/>
          <w:spacing w:val="-3"/>
        </w:rPr>
        <w:t>1999</w:t>
      </w:r>
      <w:r>
        <w:rPr>
          <w:spacing w:val="-3"/>
        </w:rPr>
        <w:t>年进入</w:t>
      </w:r>
      <w:r>
        <w:rPr>
          <w:w w:val="101"/>
        </w:rPr>
        <w:t> </w:t>
      </w:r>
      <w:r>
        <w:rPr>
          <w:spacing w:val="-4"/>
        </w:rPr>
        <w:t>公司，历任研发部经理、客服中心经理、客服中心总监、副总工程师、监事。现任公司副总裁、南京奥拓电子科技有限公司</w:t>
      </w:r>
      <w:r>
        <w:rPr>
          <w:spacing w:val="40"/>
        </w:rPr>
        <w:t> </w:t>
      </w:r>
      <w:r>
        <w:rPr>
          <w:spacing w:val="40"/>
        </w:rPr>
      </w:r>
      <w:r>
        <w:rPr/>
        <w:t>总经理。</w:t>
      </w:r>
    </w:p>
    <w:p>
      <w:pPr>
        <w:pStyle w:val="BodyText"/>
        <w:spacing w:line="300" w:lineRule="auto" w:before="144"/>
        <w:ind w:right="1123" w:firstLine="360"/>
        <w:jc w:val="both"/>
      </w:pPr>
      <w:r>
        <w:rPr>
          <w:spacing w:val="-3"/>
        </w:rPr>
        <w:t>吴振志，男，</w:t>
      </w:r>
      <w:r>
        <w:rPr>
          <w:rFonts w:ascii="Times New Roman" w:hAnsi="Times New Roman" w:cs="Times New Roman" w:eastAsia="Times New Roman" w:hint="default"/>
          <w:spacing w:val="-3"/>
        </w:rPr>
        <w:t>1976</w:t>
      </w:r>
      <w:r>
        <w:rPr>
          <w:spacing w:val="-3"/>
        </w:rPr>
        <w:t>年</w:t>
      </w:r>
      <w:r>
        <w:rPr>
          <w:rFonts w:ascii="Times New Roman" w:hAnsi="Times New Roman" w:cs="Times New Roman" w:eastAsia="Times New Roman" w:hint="default"/>
          <w:spacing w:val="-3"/>
        </w:rPr>
        <w:t>5</w:t>
      </w:r>
      <w:r>
        <w:rPr>
          <w:spacing w:val="-3"/>
        </w:rPr>
        <w:t>月出生，中国国籍，无境外居留权，硕士，高级工程师。曾在深圳市瑞士亿博钟表厂工作。</w:t>
      </w:r>
      <w:r>
        <w:rPr>
          <w:rFonts w:ascii="Times New Roman" w:hAnsi="Times New Roman" w:cs="Times New Roman" w:eastAsia="Times New Roman" w:hint="default"/>
          <w:spacing w:val="-3"/>
        </w:rPr>
        <w:t>2000</w:t>
      </w:r>
      <w:r>
        <w:rPr>
          <w:rFonts w:ascii="Times New Roman" w:hAnsi="Times New Roman" w:cs="Times New Roman" w:eastAsia="Times New Roman" w:hint="default"/>
          <w:w w:val="101"/>
        </w:rPr>
        <w:t> </w:t>
      </w:r>
      <w:r>
        <w:rPr>
          <w:spacing w:val="-4"/>
        </w:rPr>
        <w:t>年进入公司，历任公司</w:t>
      </w:r>
      <w:r>
        <w:rPr>
          <w:rFonts w:ascii="Times New Roman" w:hAnsi="Times New Roman" w:cs="Times New Roman" w:eastAsia="Times New Roman" w:hint="default"/>
          <w:spacing w:val="-4"/>
        </w:rPr>
        <w:t>LED</w:t>
      </w:r>
      <w:r>
        <w:rPr>
          <w:spacing w:val="-4"/>
        </w:rPr>
        <w:t>显示技术研发中心主任、副总工程师、监事、技术总监，副总经理。现任公司副总裁、智能视讯</w:t>
      </w:r>
      <w:r>
        <w:rPr>
          <w:spacing w:val="54"/>
        </w:rPr>
        <w:t> </w:t>
      </w:r>
      <w:r>
        <w:rPr>
          <w:spacing w:val="54"/>
        </w:rPr>
      </w:r>
      <w:r>
        <w:rPr/>
        <w:t>技术研究院院长。</w:t>
      </w:r>
    </w:p>
    <w:p>
      <w:pPr>
        <w:pStyle w:val="BodyText"/>
        <w:spacing w:line="240" w:lineRule="auto" w:before="151"/>
        <w:ind w:left="513" w:right="0"/>
        <w:jc w:val="left"/>
      </w:pPr>
      <w:r>
        <w:rPr>
          <w:spacing w:val="-3"/>
        </w:rPr>
        <w:t>孔德建，男，</w:t>
      </w:r>
      <w:r>
        <w:rPr>
          <w:rFonts w:ascii="Times New Roman" w:hAnsi="Times New Roman" w:cs="Times New Roman" w:eastAsia="Times New Roman" w:hint="default"/>
          <w:spacing w:val="-3"/>
        </w:rPr>
        <w:t>1985</w:t>
      </w:r>
      <w:r>
        <w:rPr>
          <w:spacing w:val="-3"/>
        </w:rPr>
        <w:t>年</w:t>
      </w:r>
      <w:r>
        <w:rPr>
          <w:rFonts w:ascii="Times New Roman" w:hAnsi="Times New Roman" w:cs="Times New Roman" w:eastAsia="Times New Roman" w:hint="default"/>
          <w:spacing w:val="-3"/>
        </w:rPr>
        <w:t>1</w:t>
      </w:r>
      <w:r>
        <w:rPr>
          <w:spacing w:val="-3"/>
        </w:rPr>
        <w:t>月出生，中国国籍，无境外永久居留权，上海交通大学</w:t>
      </w:r>
      <w:r>
        <w:rPr>
          <w:rFonts w:ascii="Times New Roman" w:hAnsi="Times New Roman" w:cs="Times New Roman" w:eastAsia="Times New Roman" w:hint="default"/>
          <w:spacing w:val="-3"/>
        </w:rPr>
        <w:t>MBA</w:t>
      </w:r>
      <w:r>
        <w:rPr>
          <w:spacing w:val="-3"/>
        </w:rPr>
        <w:t>。自</w:t>
      </w:r>
      <w:r>
        <w:rPr>
          <w:rFonts w:ascii="Times New Roman" w:hAnsi="Times New Roman" w:cs="Times New Roman" w:eastAsia="Times New Roman" w:hint="default"/>
          <w:spacing w:val="-3"/>
        </w:rPr>
        <w:t>2008</w:t>
      </w:r>
      <w:r>
        <w:rPr>
          <w:spacing w:val="-3"/>
        </w:rPr>
        <w:t>年</w:t>
      </w:r>
      <w:r>
        <w:rPr>
          <w:rFonts w:ascii="Times New Roman" w:hAnsi="Times New Roman" w:cs="Times New Roman" w:eastAsia="Times New Roman" w:hint="default"/>
          <w:spacing w:val="-3"/>
        </w:rPr>
        <w:t>7</w:t>
      </w:r>
      <w:r>
        <w:rPr>
          <w:spacing w:val="-3"/>
        </w:rPr>
        <w:t>月至今一直在公司工作，</w:t>
      </w:r>
    </w:p>
    <w:p>
      <w:pPr>
        <w:spacing w:after="0" w:line="240" w:lineRule="auto"/>
        <w:jc w:val="left"/>
        <w:sectPr>
          <w:pgSz w:w="11910" w:h="16840"/>
          <w:pgMar w:header="784" w:footer="1022" w:top="1100" w:bottom="1220" w:left="980" w:right="0"/>
        </w:sectPr>
      </w:pPr>
    </w:p>
    <w:p>
      <w:pPr>
        <w:spacing w:line="240" w:lineRule="auto" w:before="10"/>
        <w:rPr>
          <w:rFonts w:ascii="宋体" w:hAnsi="宋体" w:cs="宋体" w:eastAsia="宋体" w:hint="default"/>
          <w:sz w:val="22"/>
          <w:szCs w:val="22"/>
        </w:rPr>
      </w:pPr>
    </w:p>
    <w:p>
      <w:pPr>
        <w:pStyle w:val="BodyText"/>
        <w:spacing w:line="444" w:lineRule="auto"/>
        <w:ind w:right="0"/>
        <w:jc w:val="left"/>
      </w:pPr>
      <w:r>
        <w:rPr>
          <w:spacing w:val="-3"/>
        </w:rPr>
        <w:t>历任总经理办公室主管、证券事务部副经理、证券事务代表、证券事务部经理。现任公司董事会秘书、董事长办公室主任。</w:t>
      </w:r>
      <w:r>
        <w:rPr>
          <w:spacing w:val="66"/>
        </w:rPr>
        <w:t> </w:t>
      </w:r>
      <w:r>
        <w:rPr>
          <w:spacing w:val="66"/>
        </w:rPr>
      </w:r>
      <w:r>
        <w:rPr>
          <w:spacing w:val="-3"/>
        </w:rPr>
        <w:t>在股东单位任职情况</w:t>
      </w:r>
    </w:p>
    <w:p>
      <w:pPr>
        <w:pStyle w:val="BodyText"/>
        <w:spacing w:line="197" w:lineRule="exact" w:before="0"/>
        <w:ind w:right="0"/>
        <w:jc w:val="left"/>
      </w:pPr>
      <w:r>
        <w:rPr/>
        <w:t>□ </w:t>
      </w:r>
      <w:r>
        <w:rPr>
          <w:spacing w:val="-3"/>
        </w:rPr>
        <w:t>适用 </w:t>
      </w:r>
      <w:r>
        <w:rPr/>
        <w:t>√</w:t>
      </w:r>
      <w:r>
        <w:rPr>
          <w:spacing w:val="13"/>
        </w:rPr>
        <w:t> </w:t>
      </w:r>
      <w:r>
        <w:rPr/>
        <w:t>不适用</w:t>
      </w:r>
    </w:p>
    <w:p>
      <w:pPr>
        <w:pStyle w:val="BodyText"/>
        <w:spacing w:line="240" w:lineRule="auto" w:before="120"/>
        <w:ind w:right="0"/>
        <w:jc w:val="left"/>
      </w:pPr>
      <w:r>
        <w:rPr>
          <w:spacing w:val="-3"/>
        </w:rPr>
        <w:t>在其他单位任职情况</w:t>
      </w:r>
    </w:p>
    <w:p>
      <w:pPr>
        <w:pStyle w:val="BodyText"/>
        <w:spacing w:line="240" w:lineRule="auto" w:before="115"/>
        <w:ind w:right="0"/>
        <w:jc w:val="left"/>
      </w:pPr>
      <w:r>
        <w:rPr/>
        <w:t>√ </w:t>
      </w:r>
      <w:r>
        <w:rPr>
          <w:spacing w:val="-3"/>
        </w:rPr>
        <w:t>适用 </w:t>
      </w:r>
      <w:r>
        <w:rPr/>
        <w:t>□</w:t>
      </w:r>
      <w:r>
        <w:rPr>
          <w:spacing w:val="13"/>
        </w:rPr>
        <w:t> </w:t>
      </w:r>
      <w:r>
        <w:rPr/>
        <w:t>不适用</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234"/>
        <w:gridCol w:w="3279"/>
        <w:gridCol w:w="1090"/>
        <w:gridCol w:w="1229"/>
        <w:gridCol w:w="1359"/>
        <w:gridCol w:w="1378"/>
      </w:tblGrid>
      <w:tr>
        <w:trPr>
          <w:trHeight w:val="1028" w:hRule="exact"/>
        </w:trPr>
        <w:tc>
          <w:tcPr>
            <w:tcW w:w="12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16" w:lineRule="auto"/>
              <w:ind w:left="523" w:right="156" w:hanging="360"/>
              <w:jc w:val="left"/>
              <w:rPr>
                <w:rFonts w:ascii="宋体" w:hAnsi="宋体" w:cs="宋体" w:eastAsia="宋体" w:hint="default"/>
                <w:sz w:val="18"/>
                <w:szCs w:val="18"/>
              </w:rPr>
            </w:pPr>
            <w:r>
              <w:rPr>
                <w:rFonts w:ascii="宋体" w:hAnsi="宋体" w:cs="宋体" w:eastAsia="宋体" w:hint="default"/>
                <w:spacing w:val="-2"/>
                <w:sz w:val="18"/>
                <w:szCs w:val="18"/>
              </w:rPr>
              <w:t>任职人员姓</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名</w:t>
            </w:r>
          </w:p>
        </w:tc>
        <w:tc>
          <w:tcPr>
            <w:tcW w:w="32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4" w:right="0"/>
              <w:jc w:val="center"/>
              <w:rPr>
                <w:rFonts w:ascii="宋体" w:hAnsi="宋体" w:cs="宋体" w:eastAsia="宋体" w:hint="default"/>
                <w:sz w:val="18"/>
                <w:szCs w:val="18"/>
              </w:rPr>
            </w:pPr>
            <w:r>
              <w:rPr>
                <w:rFonts w:ascii="宋体" w:hAnsi="宋体" w:cs="宋体" w:eastAsia="宋体" w:hint="default"/>
                <w:sz w:val="18"/>
                <w:szCs w:val="18"/>
              </w:rPr>
              <w:t>其他单位名称</w:t>
            </w:r>
          </w:p>
        </w:tc>
        <w:tc>
          <w:tcPr>
            <w:tcW w:w="10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178" w:right="175"/>
              <w:jc w:val="center"/>
              <w:rPr>
                <w:rFonts w:ascii="宋体" w:hAnsi="宋体" w:cs="宋体" w:eastAsia="宋体" w:hint="default"/>
                <w:sz w:val="18"/>
                <w:szCs w:val="18"/>
              </w:rPr>
            </w:pPr>
            <w:r>
              <w:rPr>
                <w:rFonts w:ascii="宋体" w:hAnsi="宋体" w:cs="宋体" w:eastAsia="宋体" w:hint="default"/>
                <w:spacing w:val="-2"/>
                <w:sz w:val="18"/>
                <w:szCs w:val="18"/>
              </w:rPr>
              <w:t>在其他单</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2"/>
                <w:sz w:val="18"/>
                <w:szCs w:val="18"/>
              </w:rPr>
              <w:t>位担任的</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职务</w:t>
            </w:r>
          </w:p>
        </w:tc>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16" w:lineRule="auto"/>
              <w:ind w:left="523" w:right="151" w:hanging="361"/>
              <w:jc w:val="left"/>
              <w:rPr>
                <w:rFonts w:ascii="宋体" w:hAnsi="宋体" w:cs="宋体" w:eastAsia="宋体" w:hint="default"/>
                <w:sz w:val="18"/>
                <w:szCs w:val="18"/>
              </w:rPr>
            </w:pPr>
            <w:r>
              <w:rPr>
                <w:rFonts w:ascii="宋体" w:hAnsi="宋体" w:cs="宋体" w:eastAsia="宋体" w:hint="default"/>
                <w:spacing w:val="-2"/>
                <w:sz w:val="18"/>
                <w:szCs w:val="18"/>
              </w:rPr>
              <w:t>任期起始日</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期</w:t>
            </w:r>
          </w:p>
        </w:tc>
        <w:tc>
          <w:tcPr>
            <w:tcW w:w="13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134" w:right="0"/>
              <w:jc w:val="left"/>
              <w:rPr>
                <w:rFonts w:ascii="宋体" w:hAnsi="宋体" w:cs="宋体" w:eastAsia="宋体" w:hint="default"/>
                <w:sz w:val="18"/>
                <w:szCs w:val="18"/>
              </w:rPr>
            </w:pPr>
            <w:r>
              <w:rPr>
                <w:rFonts w:ascii="宋体" w:hAnsi="宋体" w:cs="宋体" w:eastAsia="宋体" w:hint="default"/>
                <w:sz w:val="18"/>
                <w:szCs w:val="18"/>
              </w:rPr>
              <w:t>任期终止日期</w:t>
            </w:r>
          </w:p>
        </w:tc>
        <w:tc>
          <w:tcPr>
            <w:tcW w:w="13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144" w:right="137"/>
              <w:jc w:val="center"/>
              <w:rPr>
                <w:rFonts w:ascii="宋体" w:hAnsi="宋体" w:cs="宋体" w:eastAsia="宋体" w:hint="default"/>
                <w:sz w:val="18"/>
                <w:szCs w:val="18"/>
              </w:rPr>
            </w:pPr>
            <w:r>
              <w:rPr>
                <w:rFonts w:ascii="宋体" w:hAnsi="宋体" w:cs="宋体" w:eastAsia="宋体" w:hint="default"/>
                <w:spacing w:val="-2"/>
                <w:sz w:val="18"/>
                <w:szCs w:val="18"/>
              </w:rPr>
              <w:t>在其他单位是</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2"/>
                <w:sz w:val="18"/>
                <w:szCs w:val="18"/>
              </w:rPr>
              <w:t>否领取报酬津</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贴</w:t>
            </w:r>
          </w:p>
        </w:tc>
      </w:tr>
      <w:tr>
        <w:trPr>
          <w:trHeight w:val="715"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吴涵渠</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pacing w:val="-3"/>
                <w:sz w:val="18"/>
                <w:szCs w:val="18"/>
              </w:rPr>
              <w:t>深圳市奥拓软件技术有限公司</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2005</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p>
          <w:p>
            <w:pPr>
              <w:pStyle w:val="TableParagraph"/>
              <w:spacing w:line="240" w:lineRule="auto" w:before="6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359"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715"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吴涵渠</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pacing w:val="-3"/>
                <w:sz w:val="18"/>
                <w:szCs w:val="18"/>
              </w:rPr>
              <w:t>深圳市奥拓光电科技有限公司</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p>
          <w:p>
            <w:pPr>
              <w:pStyle w:val="TableParagraph"/>
              <w:spacing w:line="240" w:lineRule="auto" w:before="6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359"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711"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吴涵渠</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pacing w:val="-3"/>
                <w:sz w:val="18"/>
                <w:szCs w:val="18"/>
              </w:rPr>
              <w:t>奥拓电子（香港）有限公司</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p>
          <w:p>
            <w:pPr>
              <w:pStyle w:val="TableParagraph"/>
              <w:spacing w:line="240" w:lineRule="auto" w:before="6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359"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715"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吴涵渠</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pacing w:val="-3"/>
                <w:sz w:val="18"/>
                <w:szCs w:val="18"/>
              </w:rPr>
              <w:t>深圳前海奥拓投资有限公司</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321" w:lineRule="auto" w:before="53"/>
              <w:ind w:left="101" w:right="74"/>
              <w:jc w:val="left"/>
              <w:rPr>
                <w:rFonts w:ascii="宋体" w:hAnsi="宋体" w:cs="宋体" w:eastAsia="宋体" w:hint="default"/>
                <w:sz w:val="18"/>
                <w:szCs w:val="18"/>
              </w:rPr>
            </w:pPr>
            <w:r>
              <w:rPr>
                <w:rFonts w:ascii="宋体" w:hAnsi="宋体" w:cs="宋体" w:eastAsia="宋体" w:hint="default"/>
                <w:spacing w:val="-2"/>
                <w:sz w:val="18"/>
                <w:szCs w:val="18"/>
              </w:rPr>
              <w:t>执行董事、</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总经理</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p>
          <w:p>
            <w:pPr>
              <w:pStyle w:val="TableParagraph"/>
              <w:spacing w:line="240" w:lineRule="auto" w:before="67"/>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359"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716"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吴涵渠</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pacing w:val="-3"/>
                <w:sz w:val="18"/>
                <w:szCs w:val="18"/>
              </w:rPr>
              <w:t>深圳市奥拓体育文化发展有限公司</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p>
          <w:p>
            <w:pPr>
              <w:pStyle w:val="TableParagraph"/>
              <w:spacing w:line="240" w:lineRule="auto" w:before="6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359"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715"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pacing w:val="-4"/>
                <w:sz w:val="18"/>
                <w:szCs w:val="18"/>
              </w:rPr>
              <w:t>吴涵渠</w:t>
            </w:r>
            <w:r>
              <w:rPr>
                <w:rFonts w:ascii="宋体" w:hAnsi="宋体" w:cs="宋体" w:eastAsia="宋体" w:hint="default"/>
                <w:sz w:val="18"/>
                <w:szCs w:val="18"/>
              </w:rPr>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pacing w:val="-3"/>
                <w:sz w:val="18"/>
                <w:szCs w:val="18"/>
              </w:rPr>
              <w:t>武汉市奥拓智能科技有限公司</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54"/>
                <w:sz w:val="18"/>
                <w:szCs w:val="18"/>
              </w:rPr>
              <w:t> </w:t>
            </w:r>
            <w:r>
              <w:rPr>
                <w:rFonts w:ascii="Times New Roman" w:hAnsi="Times New Roman" w:cs="Times New Roman" w:eastAsia="Times New Roman" w:hint="default"/>
                <w:spacing w:val="-3"/>
                <w:sz w:val="18"/>
                <w:szCs w:val="18"/>
              </w:rPr>
              <w:t>11 </w:t>
            </w:r>
            <w:r>
              <w:rPr>
                <w:rFonts w:ascii="宋体" w:hAnsi="宋体" w:cs="宋体" w:eastAsia="宋体" w:hint="default"/>
                <w:sz w:val="18"/>
                <w:szCs w:val="18"/>
              </w:rPr>
              <w:t>月</w:t>
            </w:r>
          </w:p>
          <w:p>
            <w:pPr>
              <w:pStyle w:val="TableParagraph"/>
              <w:spacing w:line="240" w:lineRule="auto" w:before="6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359"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711"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吴涵渠</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pacing w:val="-3"/>
                <w:sz w:val="18"/>
                <w:szCs w:val="18"/>
              </w:rPr>
              <w:t>深圳市千百辉照明工程有限公司</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p>
          <w:p>
            <w:pPr>
              <w:pStyle w:val="TableParagraph"/>
              <w:spacing w:line="240" w:lineRule="auto" w:before="6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359"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715"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杨四化</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pacing w:val="-3"/>
                <w:sz w:val="18"/>
                <w:szCs w:val="18"/>
              </w:rPr>
              <w:t>奥拓电子（美国）有限责任公司</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p>
          <w:p>
            <w:pPr>
              <w:pStyle w:val="TableParagraph"/>
              <w:spacing w:line="240" w:lineRule="auto" w:before="67"/>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359"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715"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杨四化</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奥拓電子日本株式会社</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p>
          <w:p>
            <w:pPr>
              <w:pStyle w:val="TableParagraph"/>
              <w:spacing w:line="240" w:lineRule="auto" w:before="6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359"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716"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杨四化</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pacing w:val="-3"/>
                <w:sz w:val="18"/>
                <w:szCs w:val="18"/>
              </w:rPr>
              <w:t>奥拓电子（英国）有限公司</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p>
          <w:p>
            <w:pPr>
              <w:pStyle w:val="TableParagraph"/>
              <w:spacing w:line="240" w:lineRule="auto" w:before="6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359"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710"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杨四化</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pacing w:val="-3"/>
                <w:sz w:val="18"/>
                <w:szCs w:val="18"/>
              </w:rPr>
              <w:t>深圳前海奥拓体育文化投资有限公司</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101" w:right="74"/>
              <w:jc w:val="left"/>
              <w:rPr>
                <w:rFonts w:ascii="宋体" w:hAnsi="宋体" w:cs="宋体" w:eastAsia="宋体" w:hint="default"/>
                <w:sz w:val="18"/>
                <w:szCs w:val="18"/>
              </w:rPr>
            </w:pPr>
            <w:r>
              <w:rPr>
                <w:rFonts w:ascii="宋体" w:hAnsi="宋体" w:cs="宋体" w:eastAsia="宋体" w:hint="default"/>
                <w:spacing w:val="-2"/>
                <w:sz w:val="18"/>
                <w:szCs w:val="18"/>
              </w:rPr>
              <w:t>执行董事、</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总经理</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p>
          <w:p>
            <w:pPr>
              <w:pStyle w:val="TableParagraph"/>
              <w:spacing w:line="240" w:lineRule="auto" w:before="6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359"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716"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杨四化</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pacing w:val="-3"/>
                <w:sz w:val="18"/>
                <w:szCs w:val="18"/>
              </w:rPr>
              <w:t>深圳市千百辉照明工程有限公司</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p>
          <w:p>
            <w:pPr>
              <w:pStyle w:val="TableParagraph"/>
              <w:spacing w:line="240" w:lineRule="auto" w:before="68"/>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359"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715"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杨四化</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pacing w:val="-3"/>
                <w:sz w:val="18"/>
                <w:szCs w:val="18"/>
              </w:rPr>
              <w:t>深圳前海水星投资企业（有限合伙）</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101" w:right="252"/>
              <w:jc w:val="left"/>
              <w:rPr>
                <w:rFonts w:ascii="宋体" w:hAnsi="宋体" w:cs="宋体" w:eastAsia="宋体" w:hint="default"/>
                <w:sz w:val="18"/>
                <w:szCs w:val="18"/>
              </w:rPr>
            </w:pPr>
            <w:r>
              <w:rPr>
                <w:rFonts w:ascii="宋体" w:hAnsi="宋体" w:cs="宋体" w:eastAsia="宋体" w:hint="default"/>
                <w:sz w:val="18"/>
                <w:szCs w:val="18"/>
              </w:rPr>
              <w:t>执行合伙</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人</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p>
          <w:p>
            <w:pPr>
              <w:pStyle w:val="TableParagraph"/>
              <w:spacing w:line="240" w:lineRule="auto" w:before="6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359"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716"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杨四化</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pacing w:val="-3"/>
                <w:sz w:val="18"/>
                <w:szCs w:val="18"/>
              </w:rPr>
              <w:t>深圳市奥拓体育文化发展有限公司</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总经理</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p>
          <w:p>
            <w:pPr>
              <w:pStyle w:val="TableParagraph"/>
              <w:spacing w:line="240" w:lineRule="auto" w:before="6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359"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711"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彭世新</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pacing w:val="-3"/>
                <w:sz w:val="18"/>
                <w:szCs w:val="18"/>
              </w:rPr>
              <w:t>深圳市千百辉照明工程有限公司</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101" w:right="98"/>
              <w:jc w:val="left"/>
              <w:rPr>
                <w:rFonts w:ascii="宋体" w:hAnsi="宋体" w:cs="宋体" w:eastAsia="宋体" w:hint="default"/>
                <w:sz w:val="18"/>
                <w:szCs w:val="18"/>
              </w:rPr>
            </w:pPr>
            <w:r>
              <w:rPr>
                <w:rFonts w:ascii="宋体" w:hAnsi="宋体" w:cs="宋体" w:eastAsia="宋体" w:hint="default"/>
                <w:spacing w:val="-7"/>
                <w:sz w:val="18"/>
                <w:szCs w:val="18"/>
              </w:rPr>
              <w:t>董事、财务</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总监</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p>
          <w:p>
            <w:pPr>
              <w:pStyle w:val="TableParagraph"/>
              <w:spacing w:line="240" w:lineRule="auto" w:before="62"/>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359"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bl>
    <w:p>
      <w:pPr>
        <w:spacing w:after="0" w:line="240" w:lineRule="auto"/>
        <w:jc w:val="left"/>
        <w:rPr>
          <w:rFonts w:ascii="宋体" w:hAnsi="宋体" w:cs="宋体" w:eastAsia="宋体" w:hint="default"/>
          <w:sz w:val="18"/>
          <w:szCs w:val="18"/>
        </w:rPr>
        <w:sectPr>
          <w:pgSz w:w="11910" w:h="16840"/>
          <w:pgMar w:header="784" w:footer="1022" w:top="1100" w:bottom="1220" w:left="980" w:right="0"/>
        </w:sectPr>
      </w:pPr>
    </w:p>
    <w:p>
      <w:pPr>
        <w:spacing w:line="240" w:lineRule="auto" w:before="1"/>
        <w:rPr>
          <w:rFonts w:ascii="Times New Roman" w:hAnsi="Times New Roman" w:cs="Times New Roman" w:eastAsia="Times New Roman" w:hint="default"/>
          <w:sz w:val="29"/>
          <w:szCs w:val="29"/>
        </w:rPr>
      </w:pPr>
    </w:p>
    <w:tbl>
      <w:tblPr>
        <w:tblW w:w="0" w:type="auto"/>
        <w:jc w:val="left"/>
        <w:tblInd w:w="148" w:type="dxa"/>
        <w:tblLayout w:type="fixed"/>
        <w:tblCellMar>
          <w:top w:w="0" w:type="dxa"/>
          <w:left w:w="0" w:type="dxa"/>
          <w:bottom w:w="0" w:type="dxa"/>
          <w:right w:w="0" w:type="dxa"/>
        </w:tblCellMar>
        <w:tblLook w:val="01E0"/>
      </w:tblPr>
      <w:tblGrid>
        <w:gridCol w:w="1234"/>
        <w:gridCol w:w="3279"/>
        <w:gridCol w:w="1090"/>
        <w:gridCol w:w="1229"/>
        <w:gridCol w:w="1359"/>
        <w:gridCol w:w="1378"/>
      </w:tblGrid>
      <w:tr>
        <w:trPr>
          <w:trHeight w:val="715"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王丽娜</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pacing w:val="-3"/>
                <w:sz w:val="18"/>
                <w:szCs w:val="18"/>
              </w:rPr>
              <w:t>深圳市瑞升华科技股份有限公司</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p>
          <w:p>
            <w:pPr>
              <w:pStyle w:val="TableParagraph"/>
              <w:spacing w:line="240" w:lineRule="auto" w:before="6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359"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711"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王丽娜</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pacing w:val="-3"/>
                <w:sz w:val="18"/>
                <w:szCs w:val="18"/>
              </w:rPr>
              <w:t>深圳市农产品集团股份有限公司</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p>
          <w:p>
            <w:pPr>
              <w:pStyle w:val="TableParagraph"/>
              <w:spacing w:line="240" w:lineRule="auto" w:before="6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359"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715"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贾广新</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pacing w:val="-3"/>
                <w:sz w:val="18"/>
                <w:szCs w:val="18"/>
              </w:rPr>
              <w:t>深圳市三维自动化工程有限公司</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总工程师</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p>
          <w:p>
            <w:pPr>
              <w:pStyle w:val="TableParagraph"/>
              <w:spacing w:line="240" w:lineRule="auto" w:before="6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359"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716"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李华雄</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pacing w:val="-3"/>
                <w:sz w:val="18"/>
                <w:szCs w:val="18"/>
              </w:rPr>
              <w:t>深圳市国富黄金股份有限公司</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p>
          <w:p>
            <w:pPr>
              <w:pStyle w:val="TableParagraph"/>
              <w:spacing w:line="240" w:lineRule="auto" w:before="67"/>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359"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715"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杨文超</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pacing w:val="-3"/>
                <w:sz w:val="18"/>
                <w:szCs w:val="18"/>
              </w:rPr>
              <w:t>南京奥拓电子科技有限公司</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p>
          <w:p>
            <w:pPr>
              <w:pStyle w:val="TableParagraph"/>
              <w:spacing w:line="240" w:lineRule="auto" w:before="6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359"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710"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杨文超</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pacing w:val="-3"/>
                <w:sz w:val="18"/>
                <w:szCs w:val="18"/>
              </w:rPr>
              <w:t>北京市奥拓电子科技有限公司</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p>
          <w:p>
            <w:pPr>
              <w:pStyle w:val="TableParagraph"/>
              <w:spacing w:line="240" w:lineRule="auto" w:before="6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359"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716"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杨文超</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pacing w:val="-3"/>
                <w:sz w:val="18"/>
                <w:szCs w:val="18"/>
              </w:rPr>
              <w:t>上海奥拓翰明计算机科技有限公司</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p>
          <w:p>
            <w:pPr>
              <w:pStyle w:val="TableParagraph"/>
              <w:spacing w:line="240" w:lineRule="auto" w:before="6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359"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715"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邱荣邦</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pacing w:val="-3"/>
                <w:sz w:val="18"/>
                <w:szCs w:val="18"/>
              </w:rPr>
              <w:t>深圳市奥拓软件技术有限公司</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2005</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p>
          <w:p>
            <w:pPr>
              <w:pStyle w:val="TableParagraph"/>
              <w:spacing w:line="240" w:lineRule="auto" w:before="67"/>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359"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716"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邱荣邦</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pacing w:val="-3"/>
                <w:sz w:val="18"/>
                <w:szCs w:val="18"/>
              </w:rPr>
              <w:t>深圳市奥拓光电科技有限公司</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p>
          <w:p>
            <w:pPr>
              <w:pStyle w:val="TableParagraph"/>
              <w:spacing w:line="240" w:lineRule="auto" w:before="6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359"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710"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邱荣邦</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pacing w:val="-3"/>
                <w:sz w:val="18"/>
                <w:szCs w:val="18"/>
              </w:rPr>
              <w:t>南京奥拓电子科技有限公司</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p>
          <w:p>
            <w:pPr>
              <w:pStyle w:val="TableParagraph"/>
              <w:spacing w:line="240" w:lineRule="auto" w:before="6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359"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716"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邱荣邦</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pacing w:val="-3"/>
                <w:sz w:val="18"/>
                <w:szCs w:val="18"/>
              </w:rPr>
              <w:t>惠州市奥拓电子科技有限公司</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p>
          <w:p>
            <w:pPr>
              <w:pStyle w:val="TableParagraph"/>
              <w:spacing w:line="240" w:lineRule="auto" w:before="6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359"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715"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邱荣邦</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pacing w:val="-3"/>
                <w:sz w:val="18"/>
                <w:szCs w:val="18"/>
              </w:rPr>
              <w:t>北京市奥拓电子科技有限公司</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p>
          <w:p>
            <w:pPr>
              <w:pStyle w:val="TableParagraph"/>
              <w:spacing w:line="240" w:lineRule="auto" w:before="67"/>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359"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715"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邱荣邦</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pacing w:val="-3"/>
                <w:sz w:val="18"/>
                <w:szCs w:val="18"/>
              </w:rPr>
              <w:t>深圳前海奥拓投资有限公司</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p>
          <w:p>
            <w:pPr>
              <w:pStyle w:val="TableParagraph"/>
              <w:spacing w:line="240" w:lineRule="auto" w:before="6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359"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711"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邱荣邦</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pacing w:val="-3"/>
                <w:sz w:val="18"/>
                <w:szCs w:val="18"/>
              </w:rPr>
              <w:t>深圳市奥拓体育文化发展有限公司</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p>
          <w:p>
            <w:pPr>
              <w:pStyle w:val="TableParagraph"/>
              <w:spacing w:line="240" w:lineRule="auto" w:before="6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359"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715"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邱荣邦</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pacing w:val="-3"/>
                <w:sz w:val="18"/>
                <w:szCs w:val="18"/>
              </w:rPr>
              <w:t>深圳市千百辉照明工程有限公司</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p>
          <w:p>
            <w:pPr>
              <w:pStyle w:val="TableParagraph"/>
              <w:spacing w:line="240" w:lineRule="auto" w:before="6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359"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716"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赵旭峰</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pacing w:val="-3"/>
                <w:sz w:val="18"/>
                <w:szCs w:val="18"/>
              </w:rPr>
              <w:t>惠州市奥拓电子科技有限公司</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p>
          <w:p>
            <w:pPr>
              <w:pStyle w:val="TableParagraph"/>
              <w:spacing w:line="240" w:lineRule="auto" w:before="68"/>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359"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715"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矫人全</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pacing w:val="-3"/>
                <w:sz w:val="18"/>
                <w:szCs w:val="18"/>
              </w:rPr>
              <w:t>南京奥拓软件技术有限公司</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54"/>
                <w:sz w:val="18"/>
                <w:szCs w:val="18"/>
              </w:rPr>
              <w:t> </w:t>
            </w:r>
            <w:r>
              <w:rPr>
                <w:rFonts w:ascii="Times New Roman" w:hAnsi="Times New Roman" w:cs="Times New Roman" w:eastAsia="Times New Roman" w:hint="default"/>
                <w:spacing w:val="-3"/>
                <w:sz w:val="18"/>
                <w:szCs w:val="18"/>
              </w:rPr>
              <w:t>11 </w:t>
            </w:r>
            <w:r>
              <w:rPr>
                <w:rFonts w:ascii="宋体" w:hAnsi="宋体" w:cs="宋体" w:eastAsia="宋体" w:hint="default"/>
                <w:sz w:val="18"/>
                <w:szCs w:val="18"/>
              </w:rPr>
              <w:t>月</w:t>
            </w:r>
          </w:p>
          <w:p>
            <w:pPr>
              <w:pStyle w:val="TableParagraph"/>
              <w:spacing w:line="240" w:lineRule="auto" w:before="6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359"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710"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矫人全</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pacing w:val="-3"/>
                <w:sz w:val="18"/>
                <w:szCs w:val="18"/>
              </w:rPr>
              <w:t>南京奥拓电子科技有限公司</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总经理</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p>
          <w:p>
            <w:pPr>
              <w:pStyle w:val="TableParagraph"/>
              <w:spacing w:line="240" w:lineRule="auto" w:before="6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359"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716"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孔德建</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pacing w:val="-3"/>
                <w:sz w:val="18"/>
                <w:szCs w:val="18"/>
              </w:rPr>
              <w:t>上海奥拓翰明计算机科技有限公司</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p>
          <w:p>
            <w:pPr>
              <w:pStyle w:val="TableParagraph"/>
              <w:spacing w:line="240" w:lineRule="auto" w:before="62"/>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359"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bl>
    <w:p>
      <w:pPr>
        <w:spacing w:after="0" w:line="240" w:lineRule="auto"/>
        <w:jc w:val="left"/>
        <w:rPr>
          <w:rFonts w:ascii="宋体" w:hAnsi="宋体" w:cs="宋体" w:eastAsia="宋体" w:hint="default"/>
          <w:sz w:val="18"/>
          <w:szCs w:val="18"/>
        </w:rPr>
        <w:sectPr>
          <w:pgSz w:w="11910" w:h="16840"/>
          <w:pgMar w:header="784" w:footer="1022" w:top="1100" w:bottom="1220" w:left="980" w:right="0"/>
        </w:sectPr>
      </w:pPr>
    </w:p>
    <w:p>
      <w:pPr>
        <w:spacing w:line="240" w:lineRule="auto" w:before="1"/>
        <w:rPr>
          <w:rFonts w:ascii="Times New Roman" w:hAnsi="Times New Roman" w:cs="Times New Roman" w:eastAsia="Times New Roman" w:hint="default"/>
          <w:sz w:val="29"/>
          <w:szCs w:val="29"/>
        </w:rPr>
      </w:pPr>
    </w:p>
    <w:tbl>
      <w:tblPr>
        <w:tblW w:w="0" w:type="auto"/>
        <w:jc w:val="left"/>
        <w:tblInd w:w="148" w:type="dxa"/>
        <w:tblLayout w:type="fixed"/>
        <w:tblCellMar>
          <w:top w:w="0" w:type="dxa"/>
          <w:left w:w="0" w:type="dxa"/>
          <w:bottom w:w="0" w:type="dxa"/>
          <w:right w:w="0" w:type="dxa"/>
        </w:tblCellMar>
        <w:tblLook w:val="01E0"/>
      </w:tblPr>
      <w:tblGrid>
        <w:gridCol w:w="1234"/>
        <w:gridCol w:w="3279"/>
        <w:gridCol w:w="1090"/>
        <w:gridCol w:w="1229"/>
        <w:gridCol w:w="1359"/>
        <w:gridCol w:w="1378"/>
      </w:tblGrid>
      <w:tr>
        <w:trPr>
          <w:trHeight w:val="715"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孔德建</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pacing w:val="-3"/>
                <w:sz w:val="18"/>
                <w:szCs w:val="18"/>
              </w:rPr>
              <w:t>武汉市奥拓智能科技有限公司</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54"/>
                <w:sz w:val="18"/>
                <w:szCs w:val="18"/>
              </w:rPr>
              <w:t> </w:t>
            </w:r>
            <w:r>
              <w:rPr>
                <w:rFonts w:ascii="Times New Roman" w:hAnsi="Times New Roman" w:cs="Times New Roman" w:eastAsia="Times New Roman" w:hint="default"/>
                <w:spacing w:val="-3"/>
                <w:sz w:val="18"/>
                <w:szCs w:val="18"/>
              </w:rPr>
              <w:t>11 </w:t>
            </w:r>
            <w:r>
              <w:rPr>
                <w:rFonts w:ascii="宋体" w:hAnsi="宋体" w:cs="宋体" w:eastAsia="宋体" w:hint="default"/>
                <w:sz w:val="18"/>
                <w:szCs w:val="18"/>
              </w:rPr>
              <w:t>月</w:t>
            </w:r>
          </w:p>
          <w:p>
            <w:pPr>
              <w:pStyle w:val="TableParagraph"/>
              <w:spacing w:line="240" w:lineRule="auto" w:before="6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359"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711"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孔德建</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pacing w:val="-3"/>
                <w:sz w:val="18"/>
                <w:szCs w:val="18"/>
              </w:rPr>
              <w:t>深圳前海奥拓体育文化投资有限公司</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p>
          <w:p>
            <w:pPr>
              <w:pStyle w:val="TableParagraph"/>
              <w:spacing w:line="240" w:lineRule="auto" w:before="6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359"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1027" w:hRule="exact"/>
        </w:trPr>
        <w:tc>
          <w:tcPr>
            <w:tcW w:w="12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8"/>
              <w:ind w:left="105" w:right="214"/>
              <w:jc w:val="both"/>
              <w:rPr>
                <w:rFonts w:ascii="宋体" w:hAnsi="宋体" w:cs="宋体" w:eastAsia="宋体" w:hint="default"/>
                <w:sz w:val="18"/>
                <w:szCs w:val="18"/>
              </w:rPr>
            </w:pPr>
            <w:r>
              <w:rPr>
                <w:rFonts w:ascii="宋体" w:hAnsi="宋体" w:cs="宋体" w:eastAsia="宋体" w:hint="default"/>
                <w:spacing w:val="-2"/>
                <w:sz w:val="18"/>
                <w:szCs w:val="18"/>
              </w:rPr>
              <w:t>在其他单位</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2"/>
                <w:sz w:val="18"/>
                <w:szCs w:val="18"/>
              </w:rPr>
              <w:t>任职情况的</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说明</w:t>
            </w:r>
          </w:p>
        </w:tc>
        <w:tc>
          <w:tcPr>
            <w:tcW w:w="8336"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无</w:t>
            </w:r>
            <w:r>
              <w:rPr>
                <w:rFonts w:ascii="宋体" w:hAnsi="宋体" w:cs="宋体" w:eastAsia="宋体" w:hint="default"/>
                <w:sz w:val="18"/>
                <w:szCs w:val="18"/>
              </w:rPr>
            </w:r>
          </w:p>
        </w:tc>
      </w:tr>
    </w:tbl>
    <w:p>
      <w:pPr>
        <w:pStyle w:val="BodyText"/>
        <w:spacing w:line="240" w:lineRule="auto" w:before="53"/>
        <w:ind w:right="0"/>
        <w:jc w:val="left"/>
      </w:pPr>
      <w:r>
        <w:rPr>
          <w:spacing w:val="-3"/>
        </w:rPr>
        <w:t>公司现任及报告期内离任董事、监事和高级管理人员近三年证券监管机构处罚的情况</w:t>
      </w:r>
    </w:p>
    <w:p>
      <w:pPr>
        <w:pStyle w:val="BodyText"/>
        <w:spacing w:line="240" w:lineRule="auto" w:before="120"/>
        <w:ind w:right="0"/>
        <w:jc w:val="left"/>
      </w:pPr>
      <w:r>
        <w:rPr/>
        <w:t>□ </w:t>
      </w:r>
      <w:r>
        <w:rPr>
          <w:spacing w:val="-3"/>
        </w:rPr>
        <w:t>适用 </w:t>
      </w:r>
      <w:r>
        <w:rPr/>
        <w:t>√</w:t>
      </w:r>
      <w:r>
        <w:rPr>
          <w:spacing w:val="13"/>
        </w:rPr>
        <w:t> </w:t>
      </w:r>
      <w:r>
        <w:rPr/>
        <w:t>不适用</w:t>
      </w:r>
    </w:p>
    <w:p>
      <w:pPr>
        <w:spacing w:line="240" w:lineRule="auto" w:before="13"/>
        <w:rPr>
          <w:rFonts w:ascii="宋体" w:hAnsi="宋体" w:cs="宋体" w:eastAsia="宋体" w:hint="default"/>
          <w:sz w:val="23"/>
          <w:szCs w:val="23"/>
        </w:rPr>
      </w:pPr>
    </w:p>
    <w:p>
      <w:pPr>
        <w:pStyle w:val="Heading2"/>
        <w:spacing w:line="240" w:lineRule="auto"/>
        <w:ind w:right="0"/>
        <w:jc w:val="left"/>
        <w:rPr>
          <w:b w:val="0"/>
          <w:bCs w:val="0"/>
        </w:rPr>
      </w:pPr>
      <w:bookmarkStart w:name="四、董事、监事、高级管理人员报酬情况" w:id="131"/>
      <w:bookmarkEnd w:id="131"/>
      <w:r>
        <w:rPr>
          <w:b w:val="0"/>
          <w:bCs w:val="0"/>
        </w:rPr>
      </w:r>
      <w:r>
        <w:rPr/>
        <w:t>四、董事、监事、高级管理人员报酬情况</w:t>
      </w:r>
      <w:r>
        <w:rPr>
          <w:b w:val="0"/>
          <w:bCs w:val="0"/>
        </w:rPr>
      </w:r>
    </w:p>
    <w:p>
      <w:pPr>
        <w:spacing w:line="240" w:lineRule="auto" w:before="7"/>
        <w:rPr>
          <w:rFonts w:ascii="宋体" w:hAnsi="宋体" w:cs="宋体" w:eastAsia="宋体" w:hint="default"/>
          <w:b/>
          <w:bCs/>
          <w:sz w:val="27"/>
          <w:szCs w:val="27"/>
        </w:rPr>
      </w:pPr>
    </w:p>
    <w:p>
      <w:pPr>
        <w:pStyle w:val="BodyText"/>
        <w:spacing w:line="240" w:lineRule="auto" w:before="0"/>
        <w:ind w:right="0"/>
        <w:jc w:val="left"/>
      </w:pPr>
      <w:r>
        <w:rPr>
          <w:spacing w:val="-3"/>
        </w:rPr>
        <w:t>董事、监事、高级管理人员报酬的决策程序、确定依据、实际支付情况</w:t>
      </w:r>
    </w:p>
    <w:p>
      <w:pPr>
        <w:pStyle w:val="BodyText"/>
        <w:spacing w:line="300" w:lineRule="auto" w:before="115"/>
        <w:ind w:right="1120" w:firstLine="360"/>
        <w:jc w:val="left"/>
      </w:pPr>
      <w:r>
        <w:rPr>
          <w:rFonts w:ascii="Times New Roman" w:hAnsi="Times New Roman" w:cs="Times New Roman" w:eastAsia="Times New Roman" w:hint="default"/>
          <w:spacing w:val="-3"/>
        </w:rPr>
        <w:t>1</w:t>
      </w:r>
      <w:r>
        <w:rPr>
          <w:spacing w:val="-3"/>
        </w:rPr>
        <w:t>、报告期内，对在公司任职的董事、监事和高级管理人员按其岗位职责，根据公司现行的薪酬制度和业绩考核规定获</w:t>
      </w:r>
      <w:r>
        <w:rPr>
          <w:w w:val="101"/>
        </w:rPr>
        <w:t> </w:t>
      </w:r>
      <w:r>
        <w:rPr/>
        <w:t>取薪酬。</w:t>
      </w:r>
    </w:p>
    <w:p>
      <w:pPr>
        <w:pStyle w:val="BodyText"/>
        <w:spacing w:line="240" w:lineRule="auto" w:before="31"/>
        <w:ind w:left="465" w:right="0"/>
        <w:jc w:val="left"/>
      </w:pPr>
      <w:r>
        <w:rPr>
          <w:rFonts w:ascii="Times New Roman" w:hAnsi="Times New Roman" w:cs="Times New Roman" w:eastAsia="Times New Roman" w:hint="default"/>
          <w:spacing w:val="-3"/>
        </w:rPr>
        <w:t>2</w:t>
      </w:r>
      <w:r>
        <w:rPr>
          <w:spacing w:val="-3"/>
        </w:rPr>
        <w:t>、外部董事津贴为</w:t>
      </w:r>
      <w:r>
        <w:rPr>
          <w:rFonts w:ascii="宋体" w:hAnsi="宋体" w:cs="宋体" w:eastAsia="宋体" w:hint="default"/>
          <w:spacing w:val="-3"/>
        </w:rPr>
        <w:t>7</w:t>
      </w:r>
      <w:r>
        <w:rPr>
          <w:spacing w:val="-3"/>
        </w:rPr>
        <w:t>万元</w:t>
      </w:r>
      <w:r>
        <w:rPr>
          <w:rFonts w:ascii="Times New Roman" w:hAnsi="Times New Roman" w:cs="Times New Roman" w:eastAsia="Times New Roman" w:hint="default"/>
          <w:spacing w:val="-3"/>
        </w:rPr>
        <w:t>/</w:t>
      </w:r>
      <w:r>
        <w:rPr>
          <w:spacing w:val="-3"/>
        </w:rPr>
        <w:t>年，独立董事津贴为</w:t>
      </w:r>
      <w:r>
        <w:rPr>
          <w:rFonts w:ascii="宋体" w:hAnsi="宋体" w:cs="宋体" w:eastAsia="宋体" w:hint="default"/>
          <w:spacing w:val="-3"/>
        </w:rPr>
        <w:t>7</w:t>
      </w:r>
      <w:r>
        <w:rPr>
          <w:spacing w:val="-3"/>
        </w:rPr>
        <w:t>万元</w:t>
      </w:r>
      <w:r>
        <w:rPr>
          <w:rFonts w:ascii="Times New Roman" w:hAnsi="Times New Roman" w:cs="Times New Roman" w:eastAsia="Times New Roman" w:hint="default"/>
          <w:spacing w:val="-3"/>
        </w:rPr>
        <w:t>/</w:t>
      </w:r>
      <w:r>
        <w:rPr>
          <w:spacing w:val="-3"/>
        </w:rPr>
        <w:t>年，其履行职务发生的差旅费、办公费等费用由公司承担。</w:t>
      </w:r>
    </w:p>
    <w:p>
      <w:pPr>
        <w:pStyle w:val="BodyText"/>
        <w:spacing w:line="240" w:lineRule="auto" w:before="63"/>
        <w:ind w:left="513" w:right="0"/>
        <w:jc w:val="left"/>
      </w:pPr>
      <w:r>
        <w:rPr>
          <w:rFonts w:ascii="Times New Roman" w:hAnsi="Times New Roman" w:cs="Times New Roman" w:eastAsia="Times New Roman" w:hint="default"/>
          <w:spacing w:val="-3"/>
        </w:rPr>
        <w:t>3</w:t>
      </w:r>
      <w:r>
        <w:rPr>
          <w:spacing w:val="-3"/>
        </w:rPr>
        <w:t>、公司董事、监事、高级管理人员报告期内获得报酬情况详见下表。</w:t>
      </w:r>
    </w:p>
    <w:p>
      <w:pPr>
        <w:spacing w:line="240" w:lineRule="auto" w:before="6"/>
        <w:rPr>
          <w:rFonts w:ascii="宋体" w:hAnsi="宋体" w:cs="宋体" w:eastAsia="宋体" w:hint="default"/>
          <w:sz w:val="28"/>
          <w:szCs w:val="28"/>
        </w:rPr>
      </w:pPr>
    </w:p>
    <w:p>
      <w:pPr>
        <w:pStyle w:val="BodyText"/>
        <w:spacing w:line="240" w:lineRule="auto"/>
        <w:ind w:right="0"/>
        <w:jc w:val="left"/>
      </w:pPr>
      <w:r>
        <w:rPr>
          <w:spacing w:val="-3"/>
        </w:rPr>
        <w:t>公司报告期内董事、监事和高级管理人员报酬情况</w:t>
      </w:r>
    </w:p>
    <w:p>
      <w:pPr>
        <w:pStyle w:val="BodyText"/>
        <w:spacing w:line="240" w:lineRule="auto" w:before="115"/>
        <w:ind w:left="0" w:right="1122"/>
        <w:jc w:val="right"/>
      </w:pPr>
      <w:r>
        <w:rPr>
          <w:spacing w:val="-2"/>
        </w:rPr>
        <w:t>单位：万元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369"/>
        <w:gridCol w:w="1608"/>
        <w:gridCol w:w="1129"/>
        <w:gridCol w:w="1368"/>
        <w:gridCol w:w="1364"/>
        <w:gridCol w:w="1369"/>
        <w:gridCol w:w="1369"/>
      </w:tblGrid>
      <w:tr>
        <w:trPr>
          <w:trHeight w:val="710"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6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职务</w:t>
            </w:r>
          </w:p>
        </w:tc>
        <w:tc>
          <w:tcPr>
            <w:tcW w:w="11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性别</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年龄</w:t>
            </w:r>
          </w:p>
        </w:tc>
        <w:tc>
          <w:tcPr>
            <w:tcW w:w="13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16" w:right="0"/>
              <w:jc w:val="left"/>
              <w:rPr>
                <w:rFonts w:ascii="宋体" w:hAnsi="宋体" w:cs="宋体" w:eastAsia="宋体" w:hint="default"/>
                <w:sz w:val="18"/>
                <w:szCs w:val="18"/>
              </w:rPr>
            </w:pPr>
            <w:r>
              <w:rPr>
                <w:rFonts w:ascii="宋体" w:hAnsi="宋体" w:cs="宋体" w:eastAsia="宋体" w:hint="default"/>
                <w:sz w:val="18"/>
                <w:szCs w:val="18"/>
              </w:rPr>
              <w:t>任职状态</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39" w:right="132"/>
              <w:jc w:val="left"/>
              <w:rPr>
                <w:rFonts w:ascii="宋体" w:hAnsi="宋体" w:cs="宋体" w:eastAsia="宋体" w:hint="default"/>
                <w:sz w:val="18"/>
                <w:szCs w:val="18"/>
              </w:rPr>
            </w:pPr>
            <w:r>
              <w:rPr>
                <w:rFonts w:ascii="宋体" w:hAnsi="宋体" w:cs="宋体" w:eastAsia="宋体" w:hint="default"/>
                <w:spacing w:val="-2"/>
                <w:sz w:val="18"/>
                <w:szCs w:val="18"/>
              </w:rPr>
              <w:t>从公司获得的</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税前报酬总额</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39" w:right="132"/>
              <w:jc w:val="left"/>
              <w:rPr>
                <w:rFonts w:ascii="宋体" w:hAnsi="宋体" w:cs="宋体" w:eastAsia="宋体" w:hint="default"/>
                <w:sz w:val="18"/>
                <w:szCs w:val="18"/>
              </w:rPr>
            </w:pPr>
            <w:r>
              <w:rPr>
                <w:rFonts w:ascii="宋体" w:hAnsi="宋体" w:cs="宋体" w:eastAsia="宋体" w:hint="default"/>
                <w:spacing w:val="-2"/>
                <w:sz w:val="18"/>
                <w:szCs w:val="18"/>
              </w:rPr>
              <w:t>是否在公司关</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联方获取报酬</w:t>
            </w:r>
          </w:p>
        </w:tc>
      </w:tr>
      <w:tr>
        <w:trPr>
          <w:trHeight w:val="404"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吴涵渠</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董事长、总裁</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z w:val="18"/>
              </w:rPr>
              <w:t>58</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35.15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沈永健</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董事、副总裁</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z w:val="18"/>
              </w:rPr>
              <w:t>57</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87.26</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杨四化</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8"/>
                <w:sz w:val="18"/>
                <w:szCs w:val="18"/>
              </w:rPr>
              <w:t>董事、常务副总裁</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z w:val="18"/>
              </w:rPr>
              <w:t>42</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73.90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398"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杨文超</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z w:val="18"/>
              </w:rPr>
              <w:t>54</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86.79</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刘钧厚</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z w:val="18"/>
              </w:rPr>
              <w:t>62</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z w:val="18"/>
              </w:rPr>
              <w:t>7.00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4"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杨建中</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z w:val="18"/>
              </w:rPr>
              <w:t>61</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z w:val="18"/>
              </w:rPr>
              <w:t>7.00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贾广新</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z w:val="18"/>
              </w:rPr>
              <w:t>60</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z w:val="18"/>
              </w:rPr>
              <w:t>7.00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398"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王丽娜</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w w:val="101"/>
                <w:sz w:val="18"/>
                <w:szCs w:val="18"/>
              </w:rPr>
              <w:t>女</w:t>
            </w:r>
            <w:r>
              <w:rPr>
                <w:rFonts w:ascii="宋体" w:hAnsi="宋体" w:cs="宋体" w:eastAsia="宋体" w:hint="default"/>
                <w:sz w:val="18"/>
                <w:szCs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z w:val="18"/>
              </w:rPr>
              <w:t>53</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z w:val="18"/>
              </w:rPr>
              <w:t>7.00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李华雄</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z w:val="18"/>
              </w:rPr>
              <w:t>57</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z w:val="18"/>
              </w:rPr>
              <w:t>7.00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4"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邱荣邦</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监事会主席</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z w:val="18"/>
              </w:rPr>
              <w:t>56</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34.40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颜春晓</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w w:val="101"/>
                <w:sz w:val="18"/>
                <w:szCs w:val="18"/>
              </w:rPr>
              <w:t>女</w:t>
            </w:r>
            <w:r>
              <w:rPr>
                <w:rFonts w:ascii="宋体" w:hAnsi="宋体" w:cs="宋体" w:eastAsia="宋体" w:hint="default"/>
                <w:sz w:val="18"/>
                <w:szCs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z w:val="18"/>
              </w:rPr>
              <w:t>38</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24.26</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398"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黄永忠</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z w:val="18"/>
              </w:rPr>
              <w:t>52</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66.41</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彭世新</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8"/>
                <w:sz w:val="18"/>
                <w:szCs w:val="18"/>
              </w:rPr>
              <w:t>财务总监、副总裁</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w w:val="101"/>
                <w:sz w:val="18"/>
                <w:szCs w:val="18"/>
              </w:rPr>
              <w:t>女</w:t>
            </w:r>
            <w:r>
              <w:rPr>
                <w:rFonts w:ascii="宋体" w:hAnsi="宋体" w:cs="宋体" w:eastAsia="宋体" w:hint="default"/>
                <w:sz w:val="18"/>
                <w:szCs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z w:val="18"/>
              </w:rPr>
              <w:t>53</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60.09</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4"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赵旭峰</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z w:val="18"/>
              </w:rPr>
              <w:t>52</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37.44</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矫人全</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z w:val="18"/>
              </w:rPr>
              <w:t>47</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77.50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398"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吴振志</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z w:val="18"/>
              </w:rPr>
              <w:t>44</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52.95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bl>
    <w:p>
      <w:pPr>
        <w:spacing w:after="0" w:line="240" w:lineRule="auto"/>
        <w:jc w:val="left"/>
        <w:rPr>
          <w:rFonts w:ascii="宋体" w:hAnsi="宋体" w:cs="宋体" w:eastAsia="宋体" w:hint="default"/>
          <w:sz w:val="18"/>
          <w:szCs w:val="18"/>
        </w:rPr>
        <w:sectPr>
          <w:pgSz w:w="11910" w:h="16840"/>
          <w:pgMar w:header="784" w:footer="1022" w:top="1100" w:bottom="1220" w:left="980" w:right="0"/>
        </w:sectPr>
      </w:pPr>
    </w:p>
    <w:p>
      <w:pPr>
        <w:spacing w:line="240" w:lineRule="auto" w:before="7"/>
        <w:rPr>
          <w:rFonts w:ascii="宋体" w:hAnsi="宋体" w:cs="宋体" w:eastAsia="宋体" w:hint="default"/>
          <w:sz w:val="25"/>
          <w:szCs w:val="25"/>
        </w:rPr>
      </w:pPr>
    </w:p>
    <w:tbl>
      <w:tblPr>
        <w:tblW w:w="0" w:type="auto"/>
        <w:jc w:val="left"/>
        <w:tblInd w:w="148" w:type="dxa"/>
        <w:tblLayout w:type="fixed"/>
        <w:tblCellMar>
          <w:top w:w="0" w:type="dxa"/>
          <w:left w:w="0" w:type="dxa"/>
          <w:bottom w:w="0" w:type="dxa"/>
          <w:right w:w="0" w:type="dxa"/>
        </w:tblCellMar>
        <w:tblLook w:val="01E0"/>
      </w:tblPr>
      <w:tblGrid>
        <w:gridCol w:w="1369"/>
        <w:gridCol w:w="1608"/>
        <w:gridCol w:w="1129"/>
        <w:gridCol w:w="1368"/>
        <w:gridCol w:w="1364"/>
        <w:gridCol w:w="1369"/>
        <w:gridCol w:w="1369"/>
      </w:tblGrid>
      <w:tr>
        <w:trPr>
          <w:trHeight w:val="403"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孔德建</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董事会秘书</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z w:val="18"/>
              </w:rPr>
              <w:t>35</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36.98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1"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6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2"/>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11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2"/>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2"/>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13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7"/>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3"/>
              <w:jc w:val="right"/>
              <w:rPr>
                <w:rFonts w:ascii="Times New Roman" w:hAnsi="Times New Roman" w:cs="Times New Roman" w:eastAsia="Times New Roman" w:hint="default"/>
                <w:sz w:val="18"/>
                <w:szCs w:val="18"/>
              </w:rPr>
            </w:pPr>
            <w:r>
              <w:rPr>
                <w:rFonts w:ascii="Times New Roman"/>
                <w:spacing w:val="-1"/>
                <w:sz w:val="18"/>
              </w:rPr>
              <w:t>708.13</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2"/>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bl>
    <w:p>
      <w:pPr>
        <w:spacing w:after="0" w:line="240" w:lineRule="auto"/>
        <w:jc w:val="center"/>
        <w:rPr>
          <w:rFonts w:ascii="Times New Roman" w:hAnsi="Times New Roman" w:cs="Times New Roman" w:eastAsia="Times New Roman" w:hint="default"/>
          <w:sz w:val="18"/>
          <w:szCs w:val="18"/>
        </w:rPr>
        <w:sectPr>
          <w:pgSz w:w="11910" w:h="16840"/>
          <w:pgMar w:header="784" w:footer="1022" w:top="1100" w:bottom="1220" w:left="980" w:right="0"/>
        </w:sectPr>
      </w:pPr>
    </w:p>
    <w:p>
      <w:pPr>
        <w:pStyle w:val="BodyText"/>
        <w:spacing w:line="240" w:lineRule="auto" w:before="56"/>
        <w:ind w:right="0"/>
        <w:jc w:val="left"/>
      </w:pPr>
      <w:r>
        <w:rPr>
          <w:spacing w:val="-3"/>
        </w:rPr>
        <w:t>公司董事、高级管理人员报告期内被授予的股权激励情况</w:t>
      </w:r>
    </w:p>
    <w:p>
      <w:pPr>
        <w:pStyle w:val="BodyText"/>
        <w:spacing w:line="240" w:lineRule="auto" w:before="115"/>
        <w:ind w:right="0"/>
        <w:jc w:val="left"/>
      </w:pPr>
      <w:r>
        <w:rPr/>
        <w:t>√ </w:t>
      </w:r>
      <w:r>
        <w:rPr>
          <w:spacing w:val="-3"/>
        </w:rPr>
        <w:t>适用 </w:t>
      </w:r>
      <w:r>
        <w:rPr/>
        <w:t>□</w:t>
      </w:r>
      <w:r>
        <w:rPr>
          <w:spacing w:val="13"/>
        </w:rPr>
        <w:t> </w:t>
      </w:r>
      <w:r>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2"/>
          <w:szCs w:val="22"/>
        </w:rPr>
      </w:pPr>
    </w:p>
    <w:p>
      <w:pPr>
        <w:pStyle w:val="BodyText"/>
        <w:spacing w:line="240" w:lineRule="auto" w:before="0"/>
        <w:ind w:right="0"/>
        <w:jc w:val="left"/>
      </w:pPr>
      <w:r>
        <w:rPr/>
        <w:t>单位：股</w:t>
      </w:r>
    </w:p>
    <w:p>
      <w:pPr>
        <w:spacing w:after="0" w:line="240" w:lineRule="auto"/>
        <w:jc w:val="left"/>
        <w:sectPr>
          <w:type w:val="continuous"/>
          <w:pgSz w:w="11910" w:h="16840"/>
          <w:pgMar w:top="1100" w:bottom="1220" w:left="980" w:right="0"/>
          <w:cols w:num="2" w:equalWidth="0">
            <w:col w:w="4657" w:space="4265"/>
            <w:col w:w="2008"/>
          </w:cols>
        </w:sectPr>
      </w:pP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864"/>
        <w:gridCol w:w="869"/>
        <w:gridCol w:w="874"/>
        <w:gridCol w:w="869"/>
        <w:gridCol w:w="869"/>
        <w:gridCol w:w="869"/>
        <w:gridCol w:w="869"/>
        <w:gridCol w:w="874"/>
        <w:gridCol w:w="869"/>
        <w:gridCol w:w="869"/>
        <w:gridCol w:w="869"/>
      </w:tblGrid>
      <w:tr>
        <w:trPr>
          <w:trHeight w:val="1964" w:hRule="exact"/>
        </w:trPr>
        <w:tc>
          <w:tcPr>
            <w:tcW w:w="8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9"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242"/>
              <w:jc w:val="right"/>
              <w:rPr>
                <w:rFonts w:ascii="宋体" w:hAnsi="宋体" w:cs="宋体" w:eastAsia="宋体" w:hint="default"/>
                <w:sz w:val="18"/>
                <w:szCs w:val="18"/>
              </w:rPr>
            </w:pPr>
            <w:r>
              <w:rPr>
                <w:rFonts w:ascii="宋体" w:hAnsi="宋体" w:cs="宋体" w:eastAsia="宋体" w:hint="default"/>
                <w:sz w:val="18"/>
                <w:szCs w:val="18"/>
              </w:rPr>
              <w:t>职务</w:t>
            </w:r>
          </w:p>
        </w:tc>
        <w:tc>
          <w:tcPr>
            <w:tcW w:w="8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21" w:lineRule="auto"/>
              <w:ind w:left="163" w:right="156"/>
              <w:jc w:val="both"/>
              <w:rPr>
                <w:rFonts w:ascii="宋体" w:hAnsi="宋体" w:cs="宋体" w:eastAsia="宋体" w:hint="default"/>
                <w:sz w:val="18"/>
                <w:szCs w:val="18"/>
              </w:rPr>
            </w:pPr>
            <w:r>
              <w:rPr>
                <w:rFonts w:ascii="宋体" w:hAnsi="宋体" w:cs="宋体" w:eastAsia="宋体" w:hint="default"/>
                <w:sz w:val="18"/>
                <w:szCs w:val="18"/>
              </w:rPr>
              <w:t>报告期</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内可行</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权股数</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21" w:lineRule="auto"/>
              <w:ind w:left="158" w:right="156"/>
              <w:jc w:val="both"/>
              <w:rPr>
                <w:rFonts w:ascii="宋体" w:hAnsi="宋体" w:cs="宋体" w:eastAsia="宋体" w:hint="default"/>
                <w:sz w:val="18"/>
                <w:szCs w:val="18"/>
              </w:rPr>
            </w:pPr>
            <w:r>
              <w:rPr>
                <w:rFonts w:ascii="宋体" w:hAnsi="宋体" w:cs="宋体" w:eastAsia="宋体" w:hint="default"/>
                <w:sz w:val="18"/>
                <w:szCs w:val="18"/>
              </w:rPr>
              <w:t>报告期</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内已行</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权股数</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3"/>
              <w:ind w:left="129" w:right="134" w:firstLine="28"/>
              <w:jc w:val="both"/>
              <w:rPr>
                <w:rFonts w:ascii="宋体" w:hAnsi="宋体" w:cs="宋体" w:eastAsia="宋体" w:hint="default"/>
                <w:sz w:val="18"/>
                <w:szCs w:val="18"/>
              </w:rPr>
            </w:pPr>
            <w:r>
              <w:rPr>
                <w:rFonts w:ascii="宋体" w:hAnsi="宋体" w:cs="宋体" w:eastAsia="宋体" w:hint="default"/>
                <w:sz w:val="18"/>
                <w:szCs w:val="18"/>
              </w:rPr>
              <w:t>报告期</w:t>
            </w:r>
            <w:r>
              <w:rPr>
                <w:rFonts w:ascii="宋体" w:hAnsi="宋体" w:cs="宋体" w:eastAsia="宋体" w:hint="default"/>
                <w:w w:val="101"/>
                <w:sz w:val="18"/>
                <w:szCs w:val="18"/>
              </w:rPr>
              <w:t> </w:t>
            </w:r>
            <w:r>
              <w:rPr>
                <w:rFonts w:ascii="宋体" w:hAnsi="宋体" w:cs="宋体" w:eastAsia="宋体" w:hint="default"/>
                <w:sz w:val="18"/>
                <w:szCs w:val="18"/>
              </w:rPr>
              <w:t>内已行</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权股数</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行权价</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格（元</w:t>
            </w:r>
            <w:r>
              <w:rPr>
                <w:rFonts w:ascii="Times New Roman" w:hAnsi="Times New Roman" w:cs="Times New Roman" w:eastAsia="Times New Roman" w:hint="default"/>
                <w:sz w:val="18"/>
                <w:szCs w:val="18"/>
              </w:rPr>
              <w:t>/</w:t>
            </w:r>
            <w:r>
              <w:rPr>
                <w:rFonts w:ascii="Times New Roman" w:hAnsi="Times New Roman" w:cs="Times New Roman" w:eastAsia="Times New Roman" w:hint="default"/>
                <w:w w:val="101"/>
                <w:sz w:val="18"/>
                <w:szCs w:val="18"/>
              </w:rPr>
              <w:t> </w:t>
            </w:r>
            <w:r>
              <w:rPr>
                <w:rFonts w:ascii="宋体" w:hAnsi="宋体" w:cs="宋体" w:eastAsia="宋体" w:hint="default"/>
                <w:sz w:val="18"/>
                <w:szCs w:val="18"/>
              </w:rPr>
              <w:t>股）</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4" w:lineRule="auto" w:before="130"/>
              <w:ind w:left="163" w:right="151"/>
              <w:jc w:val="left"/>
              <w:rPr>
                <w:rFonts w:ascii="宋体" w:hAnsi="宋体" w:cs="宋体" w:eastAsia="宋体" w:hint="default"/>
                <w:sz w:val="18"/>
                <w:szCs w:val="18"/>
              </w:rPr>
            </w:pPr>
            <w:r>
              <w:rPr>
                <w:rFonts w:ascii="宋体" w:hAnsi="宋体" w:cs="宋体" w:eastAsia="宋体" w:hint="default"/>
                <w:sz w:val="18"/>
                <w:szCs w:val="18"/>
              </w:rPr>
              <w:t>报告期</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末市价</w:t>
            </w:r>
          </w:p>
          <w:p>
            <w:pPr>
              <w:pStyle w:val="TableParagraph"/>
              <w:spacing w:line="304" w:lineRule="auto" w:before="20"/>
              <w:ind w:left="250" w:right="220" w:hanging="24"/>
              <w:jc w:val="left"/>
              <w:rPr>
                <w:rFonts w:ascii="宋体" w:hAnsi="宋体" w:cs="宋体" w:eastAsia="宋体" w:hint="default"/>
                <w:sz w:val="18"/>
                <w:szCs w:val="18"/>
              </w:rPr>
            </w:pP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Times New Roman" w:hAnsi="Times New Roman" w:cs="Times New Roman" w:eastAsia="Times New Roman" w:hint="default"/>
                <w:w w:val="101"/>
                <w:sz w:val="18"/>
                <w:szCs w:val="18"/>
              </w:rPr>
              <w:t> </w:t>
            </w:r>
            <w:r>
              <w:rPr>
                <w:rFonts w:ascii="宋体" w:hAnsi="宋体" w:cs="宋体" w:eastAsia="宋体" w:hint="default"/>
                <w:sz w:val="18"/>
                <w:szCs w:val="18"/>
              </w:rPr>
              <w:t>股）</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30"/>
              <w:ind w:left="163" w:right="151"/>
              <w:jc w:val="both"/>
              <w:rPr>
                <w:rFonts w:ascii="宋体" w:hAnsi="宋体" w:cs="宋体" w:eastAsia="宋体" w:hint="default"/>
                <w:sz w:val="18"/>
                <w:szCs w:val="18"/>
              </w:rPr>
            </w:pPr>
            <w:r>
              <w:rPr>
                <w:rFonts w:ascii="宋体" w:hAnsi="宋体" w:cs="宋体" w:eastAsia="宋体" w:hint="default"/>
                <w:sz w:val="18"/>
                <w:szCs w:val="18"/>
              </w:rPr>
              <w:t>期初持</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有限制</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性股票</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数量</w:t>
            </w:r>
          </w:p>
        </w:tc>
        <w:tc>
          <w:tcPr>
            <w:tcW w:w="8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21" w:lineRule="auto"/>
              <w:ind w:left="163" w:right="156"/>
              <w:jc w:val="both"/>
              <w:rPr>
                <w:rFonts w:ascii="宋体" w:hAnsi="宋体" w:cs="宋体" w:eastAsia="宋体" w:hint="default"/>
                <w:sz w:val="18"/>
                <w:szCs w:val="18"/>
              </w:rPr>
            </w:pPr>
            <w:r>
              <w:rPr>
                <w:rFonts w:ascii="宋体" w:hAnsi="宋体" w:cs="宋体" w:eastAsia="宋体" w:hint="default"/>
                <w:sz w:val="18"/>
                <w:szCs w:val="18"/>
              </w:rPr>
              <w:t>本期已</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解锁股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份数量</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59" w:right="156"/>
              <w:jc w:val="center"/>
              <w:rPr>
                <w:rFonts w:ascii="宋体" w:hAnsi="宋体" w:cs="宋体" w:eastAsia="宋体" w:hint="default"/>
                <w:sz w:val="18"/>
                <w:szCs w:val="18"/>
              </w:rPr>
            </w:pPr>
            <w:r>
              <w:rPr>
                <w:rFonts w:ascii="宋体" w:hAnsi="宋体" w:cs="宋体" w:eastAsia="宋体" w:hint="default"/>
                <w:spacing w:val="-2"/>
                <w:sz w:val="18"/>
                <w:szCs w:val="18"/>
              </w:rPr>
              <w:t>报告期</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2"/>
                <w:sz w:val="18"/>
                <w:szCs w:val="18"/>
              </w:rPr>
              <w:t>新授予</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2"/>
                <w:sz w:val="18"/>
                <w:szCs w:val="18"/>
              </w:rPr>
              <w:t>限制性</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2"/>
                <w:sz w:val="18"/>
                <w:szCs w:val="18"/>
              </w:rPr>
              <w:t>股票数</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量</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4" w:lineRule="auto"/>
              <w:ind w:left="134" w:right="129" w:firstLine="28"/>
              <w:jc w:val="both"/>
              <w:rPr>
                <w:rFonts w:ascii="宋体" w:hAnsi="宋体" w:cs="宋体" w:eastAsia="宋体" w:hint="default"/>
                <w:sz w:val="18"/>
                <w:szCs w:val="18"/>
              </w:rPr>
            </w:pPr>
            <w:r>
              <w:rPr>
                <w:rFonts w:ascii="宋体" w:hAnsi="宋体" w:cs="宋体" w:eastAsia="宋体" w:hint="default"/>
                <w:sz w:val="18"/>
                <w:szCs w:val="18"/>
              </w:rPr>
              <w:t>限制性</w:t>
            </w:r>
            <w:r>
              <w:rPr>
                <w:rFonts w:ascii="宋体" w:hAnsi="宋体" w:cs="宋体" w:eastAsia="宋体" w:hint="default"/>
                <w:w w:val="101"/>
                <w:sz w:val="18"/>
                <w:szCs w:val="18"/>
              </w:rPr>
              <w:t> </w:t>
            </w:r>
            <w:r>
              <w:rPr>
                <w:rFonts w:ascii="宋体" w:hAnsi="宋体" w:cs="宋体" w:eastAsia="宋体" w:hint="default"/>
                <w:sz w:val="18"/>
                <w:szCs w:val="18"/>
              </w:rPr>
              <w:t>股票的</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授予价</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格（元</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股）</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30"/>
              <w:ind w:left="163" w:right="151"/>
              <w:jc w:val="both"/>
              <w:rPr>
                <w:rFonts w:ascii="宋体" w:hAnsi="宋体" w:cs="宋体" w:eastAsia="宋体" w:hint="default"/>
                <w:sz w:val="18"/>
                <w:szCs w:val="18"/>
              </w:rPr>
            </w:pPr>
            <w:r>
              <w:rPr>
                <w:rFonts w:ascii="宋体" w:hAnsi="宋体" w:cs="宋体" w:eastAsia="宋体" w:hint="default"/>
                <w:sz w:val="18"/>
                <w:szCs w:val="18"/>
              </w:rPr>
              <w:t>期末持</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有限制</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性股票</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数量</w:t>
            </w:r>
          </w:p>
        </w:tc>
      </w:tr>
      <w:tr>
        <w:trPr>
          <w:trHeight w:val="1023"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1"/>
              <w:ind w:left="105" w:right="0"/>
              <w:jc w:val="left"/>
              <w:rPr>
                <w:rFonts w:ascii="宋体" w:hAnsi="宋体" w:cs="宋体" w:eastAsia="宋体" w:hint="default"/>
                <w:sz w:val="18"/>
                <w:szCs w:val="18"/>
              </w:rPr>
            </w:pPr>
            <w:r>
              <w:rPr>
                <w:rFonts w:ascii="宋体" w:hAnsi="宋体" w:cs="宋体" w:eastAsia="宋体" w:hint="default"/>
                <w:sz w:val="18"/>
                <w:szCs w:val="18"/>
              </w:rPr>
              <w:t>杨四化</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3"/>
              <w:ind w:left="105" w:right="94"/>
              <w:jc w:val="left"/>
              <w:rPr>
                <w:rFonts w:ascii="宋体" w:hAnsi="宋体" w:cs="宋体" w:eastAsia="宋体" w:hint="default"/>
                <w:sz w:val="18"/>
                <w:szCs w:val="18"/>
              </w:rPr>
            </w:pPr>
            <w:r>
              <w:rPr>
                <w:rFonts w:ascii="宋体" w:hAnsi="宋体" w:cs="宋体" w:eastAsia="宋体" w:hint="default"/>
                <w:spacing w:val="-18"/>
                <w:w w:val="101"/>
                <w:sz w:val="18"/>
                <w:szCs w:val="18"/>
              </w:rPr>
              <w:t>董事、常</w:t>
            </w:r>
            <w:r>
              <w:rPr>
                <w:rFonts w:ascii="宋体" w:hAnsi="宋体" w:cs="宋体" w:eastAsia="宋体" w:hint="default"/>
                <w:w w:val="101"/>
                <w:sz w:val="18"/>
                <w:szCs w:val="18"/>
              </w:rPr>
              <w:t> </w:t>
            </w:r>
            <w:r>
              <w:rPr>
                <w:rFonts w:ascii="宋体" w:hAnsi="宋体" w:cs="宋体" w:eastAsia="宋体" w:hint="default"/>
                <w:sz w:val="18"/>
                <w:szCs w:val="18"/>
              </w:rPr>
              <w:t>务副总</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裁</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135,000</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135,000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1027"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宋体" w:hAnsi="宋体" w:cs="宋体" w:eastAsia="宋体" w:hint="default"/>
                <w:sz w:val="18"/>
                <w:szCs w:val="18"/>
              </w:rPr>
              <w:t>彭世新</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3"/>
              <w:ind w:left="105" w:right="93"/>
              <w:jc w:val="left"/>
              <w:rPr>
                <w:rFonts w:ascii="宋体" w:hAnsi="宋体" w:cs="宋体" w:eastAsia="宋体" w:hint="default"/>
                <w:sz w:val="18"/>
                <w:szCs w:val="18"/>
              </w:rPr>
            </w:pPr>
            <w:r>
              <w:rPr>
                <w:rFonts w:ascii="宋体" w:hAnsi="宋体" w:cs="宋体" w:eastAsia="宋体" w:hint="default"/>
                <w:sz w:val="18"/>
                <w:szCs w:val="18"/>
              </w:rPr>
              <w:t>财务总</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19"/>
                <w:sz w:val="18"/>
                <w:szCs w:val="18"/>
              </w:rPr>
              <w:t>监、副总</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裁</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2"/>
                <w:sz w:val="18"/>
              </w:rPr>
              <w:t>112,500</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2"/>
                <w:sz w:val="18"/>
              </w:rPr>
              <w:t>112,500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404"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矫人全</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09"/>
              <w:jc w:val="right"/>
              <w:rPr>
                <w:rFonts w:ascii="宋体" w:hAnsi="宋体" w:cs="宋体" w:eastAsia="宋体" w:hint="default"/>
                <w:sz w:val="18"/>
                <w:szCs w:val="18"/>
              </w:rPr>
            </w:pPr>
            <w:r>
              <w:rPr>
                <w:rFonts w:ascii="宋体" w:hAnsi="宋体" w:cs="宋体" w:eastAsia="宋体" w:hint="default"/>
                <w:spacing w:val="-2"/>
                <w:sz w:val="18"/>
                <w:szCs w:val="18"/>
              </w:rPr>
              <w:t>副总裁</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4"/>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432,000</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pacing w:val="-1"/>
                <w:sz w:val="18"/>
              </w:rPr>
              <w:t>216,000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3"/>
              <w:jc w:val="right"/>
              <w:rPr>
                <w:rFonts w:ascii="Times New Roman" w:hAnsi="Times New Roman" w:cs="Times New Roman" w:eastAsia="Times New Roman" w:hint="default"/>
                <w:sz w:val="18"/>
                <w:szCs w:val="18"/>
              </w:rPr>
            </w:pPr>
            <w:r>
              <w:rPr>
                <w:rFonts w:ascii="Times New Roman"/>
                <w:spacing w:val="-1"/>
                <w:sz w:val="18"/>
              </w:rPr>
              <w:t>216,000</w:t>
            </w:r>
          </w:p>
        </w:tc>
      </w:tr>
      <w:tr>
        <w:trPr>
          <w:trHeight w:val="403"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吴振志</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9"/>
              <w:jc w:val="right"/>
              <w:rPr>
                <w:rFonts w:ascii="宋体" w:hAnsi="宋体" w:cs="宋体" w:eastAsia="宋体" w:hint="default"/>
                <w:sz w:val="18"/>
                <w:szCs w:val="18"/>
              </w:rPr>
            </w:pPr>
            <w:r>
              <w:rPr>
                <w:rFonts w:ascii="宋体" w:hAnsi="宋体" w:cs="宋体" w:eastAsia="宋体" w:hint="default"/>
                <w:spacing w:val="-2"/>
                <w:sz w:val="18"/>
                <w:szCs w:val="18"/>
              </w:rPr>
              <w:t>副总裁</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4"/>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90,000</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pacing w:val="-1"/>
                <w:sz w:val="18"/>
              </w:rPr>
              <w:t>90,000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710"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孔德建</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105" w:right="209"/>
              <w:jc w:val="left"/>
              <w:rPr>
                <w:rFonts w:ascii="宋体" w:hAnsi="宋体" w:cs="宋体" w:eastAsia="宋体" w:hint="default"/>
                <w:sz w:val="18"/>
                <w:szCs w:val="18"/>
              </w:rPr>
            </w:pPr>
            <w:r>
              <w:rPr>
                <w:rFonts w:ascii="宋体" w:hAnsi="宋体" w:cs="宋体" w:eastAsia="宋体" w:hint="default"/>
                <w:sz w:val="18"/>
                <w:szCs w:val="18"/>
              </w:rPr>
              <w:t>董事会</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秘书</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45,000</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45,000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404" w:hRule="exact"/>
        </w:trPr>
        <w:tc>
          <w:tcPr>
            <w:tcW w:w="8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2"/>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4"/>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12"/>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2"/>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814,500</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pacing w:val="-1"/>
                <w:sz w:val="18"/>
              </w:rPr>
              <w:t>598,500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3"/>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3"/>
              <w:jc w:val="right"/>
              <w:rPr>
                <w:rFonts w:ascii="Times New Roman" w:hAnsi="Times New Roman" w:cs="Times New Roman" w:eastAsia="Times New Roman" w:hint="default"/>
                <w:sz w:val="18"/>
                <w:szCs w:val="18"/>
              </w:rPr>
            </w:pPr>
            <w:r>
              <w:rPr>
                <w:rFonts w:ascii="Times New Roman"/>
                <w:spacing w:val="-1"/>
                <w:sz w:val="18"/>
              </w:rPr>
              <w:t>216,000</w:t>
            </w:r>
          </w:p>
        </w:tc>
      </w:tr>
    </w:tbl>
    <w:p>
      <w:pPr>
        <w:spacing w:line="240" w:lineRule="auto" w:before="9"/>
        <w:rPr>
          <w:rFonts w:ascii="宋体" w:hAnsi="宋体" w:cs="宋体" w:eastAsia="宋体" w:hint="default"/>
          <w:sz w:val="17"/>
          <w:szCs w:val="17"/>
        </w:rPr>
      </w:pPr>
    </w:p>
    <w:p>
      <w:pPr>
        <w:pStyle w:val="Heading2"/>
        <w:spacing w:line="240" w:lineRule="auto" w:before="26"/>
        <w:ind w:right="0"/>
        <w:jc w:val="left"/>
        <w:rPr>
          <w:b w:val="0"/>
          <w:bCs w:val="0"/>
        </w:rPr>
      </w:pPr>
      <w:bookmarkStart w:name="五、公司员工情况" w:id="132"/>
      <w:bookmarkEnd w:id="132"/>
      <w:r>
        <w:rPr>
          <w:b w:val="0"/>
          <w:bCs w:val="0"/>
        </w:rPr>
      </w:r>
      <w:r>
        <w:rPr/>
        <w:t>五、公司员工情况</w:t>
      </w:r>
      <w:r>
        <w:rPr>
          <w:b w:val="0"/>
          <w:bCs w:val="0"/>
        </w:rPr>
      </w:r>
    </w:p>
    <w:p>
      <w:pPr>
        <w:spacing w:line="240" w:lineRule="auto" w:before="3"/>
        <w:rPr>
          <w:rFonts w:ascii="宋体" w:hAnsi="宋体" w:cs="宋体" w:eastAsia="宋体" w:hint="default"/>
          <w:b/>
          <w:bCs/>
          <w:sz w:val="25"/>
          <w:szCs w:val="25"/>
        </w:rPr>
      </w:pPr>
    </w:p>
    <w:p>
      <w:pPr>
        <w:pStyle w:val="Heading4"/>
        <w:spacing w:line="240" w:lineRule="auto"/>
        <w:ind w:right="0"/>
        <w:jc w:val="left"/>
        <w:rPr>
          <w:b w:val="0"/>
          <w:bCs w:val="0"/>
        </w:rPr>
      </w:pPr>
      <w:bookmarkStart w:name="1、员工数量、专业构成及教育程度" w:id="133"/>
      <w:bookmarkEnd w:id="133"/>
      <w:r>
        <w:rPr>
          <w:b w:val="0"/>
          <w:bCs w:val="0"/>
        </w:rPr>
      </w:r>
      <w:r>
        <w:rPr>
          <w:rFonts w:ascii="Times New Roman" w:hAnsi="Times New Roman" w:cs="Times New Roman" w:eastAsia="Times New Roman" w:hint="default"/>
        </w:rPr>
        <w:t>1</w:t>
      </w:r>
      <w:r>
        <w:rPr/>
        <w:t>、员工数量、专业构成及教育程度</w:t>
      </w:r>
      <w:r>
        <w:rPr>
          <w:b w:val="0"/>
          <w:bCs w:val="0"/>
        </w:rPr>
      </w:r>
    </w:p>
    <w:p>
      <w:pPr>
        <w:spacing w:line="240" w:lineRule="auto" w:before="7"/>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4788"/>
        <w:gridCol w:w="4782"/>
      </w:tblGrid>
      <w:tr>
        <w:trPr>
          <w:trHeight w:val="404"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pacing w:val="-3"/>
                <w:sz w:val="18"/>
                <w:szCs w:val="18"/>
              </w:rPr>
              <w:t>母公司在职员工的数量（人）</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z w:val="18"/>
              </w:rPr>
              <w:t>227</w:t>
            </w:r>
          </w:p>
        </w:tc>
      </w:tr>
      <w:tr>
        <w:trPr>
          <w:trHeight w:val="403"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主要子公司在职员工的数量（人）</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1,224</w:t>
            </w:r>
          </w:p>
        </w:tc>
      </w:tr>
      <w:tr>
        <w:trPr>
          <w:trHeight w:val="403"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在职员工的数量合计（人）</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1,451</w:t>
            </w:r>
          </w:p>
        </w:tc>
      </w:tr>
      <w:tr>
        <w:trPr>
          <w:trHeight w:val="398"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当期领取薪酬员工总人数（人）</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1,451</w:t>
            </w:r>
          </w:p>
        </w:tc>
      </w:tr>
      <w:tr>
        <w:trPr>
          <w:trHeight w:val="408"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pacing w:val="-3"/>
                <w:sz w:val="18"/>
                <w:szCs w:val="18"/>
              </w:rPr>
              <w:t>母公司及主要子公司需承担费用的离退休职工人数（人）</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398" w:hRule="exact"/>
        </w:trPr>
        <w:tc>
          <w:tcPr>
            <w:tcW w:w="957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 w:right="0"/>
              <w:jc w:val="center"/>
              <w:rPr>
                <w:rFonts w:ascii="宋体" w:hAnsi="宋体" w:cs="宋体" w:eastAsia="宋体" w:hint="default"/>
                <w:sz w:val="18"/>
                <w:szCs w:val="18"/>
              </w:rPr>
            </w:pPr>
            <w:r>
              <w:rPr>
                <w:rFonts w:ascii="宋体" w:hAnsi="宋体" w:cs="宋体" w:eastAsia="宋体" w:hint="default"/>
                <w:sz w:val="18"/>
                <w:szCs w:val="18"/>
              </w:rPr>
              <w:t>专业构成</w:t>
            </w:r>
          </w:p>
        </w:tc>
      </w:tr>
      <w:tr>
        <w:trPr>
          <w:trHeight w:val="398"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专业构成类别</w:t>
            </w:r>
          </w:p>
        </w:tc>
        <w:tc>
          <w:tcPr>
            <w:tcW w:w="47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574" w:right="0"/>
              <w:jc w:val="left"/>
              <w:rPr>
                <w:rFonts w:ascii="宋体" w:hAnsi="宋体" w:cs="宋体" w:eastAsia="宋体" w:hint="default"/>
                <w:sz w:val="18"/>
                <w:szCs w:val="18"/>
              </w:rPr>
            </w:pPr>
            <w:r>
              <w:rPr>
                <w:rFonts w:ascii="宋体" w:hAnsi="宋体" w:cs="宋体" w:eastAsia="宋体" w:hint="default"/>
                <w:spacing w:val="-3"/>
                <w:sz w:val="18"/>
                <w:szCs w:val="18"/>
              </w:rPr>
              <w:t>专业构成人数（人）</w:t>
            </w:r>
          </w:p>
        </w:tc>
      </w:tr>
      <w:tr>
        <w:trPr>
          <w:trHeight w:val="403"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z w:val="18"/>
                <w:szCs w:val="18"/>
              </w:rPr>
              <w:t>生产人员</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5"/>
              <w:jc w:val="right"/>
              <w:rPr>
                <w:rFonts w:ascii="Times New Roman" w:hAnsi="Times New Roman" w:cs="Times New Roman" w:eastAsia="Times New Roman" w:hint="default"/>
                <w:sz w:val="18"/>
                <w:szCs w:val="18"/>
              </w:rPr>
            </w:pPr>
            <w:r>
              <w:rPr>
                <w:rFonts w:ascii="Times New Roman"/>
                <w:sz w:val="18"/>
              </w:rPr>
              <w:t>359</w:t>
            </w:r>
          </w:p>
        </w:tc>
      </w:tr>
      <w:tr>
        <w:trPr>
          <w:trHeight w:val="404"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销售人员</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z w:val="18"/>
              </w:rPr>
              <w:t>249</w:t>
            </w:r>
          </w:p>
        </w:tc>
      </w:tr>
      <w:tr>
        <w:trPr>
          <w:trHeight w:val="403"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技术人员</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z w:val="18"/>
              </w:rPr>
              <w:t>644</w:t>
            </w:r>
          </w:p>
        </w:tc>
      </w:tr>
      <w:tr>
        <w:trPr>
          <w:trHeight w:val="403"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财务人员</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z w:val="18"/>
              </w:rPr>
              <w:t>35</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100" w:bottom="1220" w:left="980" w:right="0"/>
        </w:sectPr>
      </w:pPr>
    </w:p>
    <w:p>
      <w:pPr>
        <w:spacing w:line="240" w:lineRule="auto" w:before="7"/>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4788"/>
        <w:gridCol w:w="4782"/>
      </w:tblGrid>
      <w:tr>
        <w:trPr>
          <w:trHeight w:val="403"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行政人员</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z w:val="18"/>
              </w:rPr>
              <w:t>164</w:t>
            </w:r>
          </w:p>
        </w:tc>
      </w:tr>
      <w:tr>
        <w:trPr>
          <w:trHeight w:val="408"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1,451</w:t>
            </w:r>
          </w:p>
        </w:tc>
      </w:tr>
      <w:tr>
        <w:trPr>
          <w:trHeight w:val="394" w:hRule="exact"/>
        </w:trPr>
        <w:tc>
          <w:tcPr>
            <w:tcW w:w="957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 w:right="0"/>
              <w:jc w:val="center"/>
              <w:rPr>
                <w:rFonts w:ascii="宋体" w:hAnsi="宋体" w:cs="宋体" w:eastAsia="宋体" w:hint="default"/>
                <w:sz w:val="18"/>
                <w:szCs w:val="18"/>
              </w:rPr>
            </w:pPr>
            <w:r>
              <w:rPr>
                <w:rFonts w:ascii="宋体" w:hAnsi="宋体" w:cs="宋体" w:eastAsia="宋体" w:hint="default"/>
                <w:sz w:val="18"/>
                <w:szCs w:val="18"/>
              </w:rPr>
              <w:t>教育程度</w:t>
            </w:r>
          </w:p>
        </w:tc>
      </w:tr>
      <w:tr>
        <w:trPr>
          <w:trHeight w:val="403"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教育程度类别</w:t>
            </w:r>
          </w:p>
        </w:tc>
        <w:tc>
          <w:tcPr>
            <w:tcW w:w="47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z w:val="18"/>
                <w:szCs w:val="18"/>
              </w:rPr>
              <w:t>数量（人）</w:t>
            </w:r>
          </w:p>
        </w:tc>
      </w:tr>
      <w:tr>
        <w:trPr>
          <w:trHeight w:val="403" w:hRule="exact"/>
        </w:trPr>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硕士以上</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z w:val="18"/>
              </w:rPr>
              <w:t>91</w:t>
            </w:r>
          </w:p>
        </w:tc>
      </w:tr>
      <w:tr>
        <w:trPr>
          <w:trHeight w:val="398" w:hRule="exact"/>
        </w:trPr>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本科学历</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z w:val="18"/>
              </w:rPr>
              <w:t>548</w:t>
            </w:r>
          </w:p>
        </w:tc>
      </w:tr>
      <w:tr>
        <w:trPr>
          <w:trHeight w:val="404" w:hRule="exact"/>
        </w:trPr>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z w:val="18"/>
                <w:szCs w:val="18"/>
              </w:rPr>
              <w:t>大专学历</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5"/>
              <w:jc w:val="right"/>
              <w:rPr>
                <w:rFonts w:ascii="Times New Roman" w:hAnsi="Times New Roman" w:cs="Times New Roman" w:eastAsia="Times New Roman" w:hint="default"/>
                <w:sz w:val="18"/>
                <w:szCs w:val="18"/>
              </w:rPr>
            </w:pPr>
            <w:r>
              <w:rPr>
                <w:rFonts w:ascii="Times New Roman"/>
                <w:sz w:val="18"/>
              </w:rPr>
              <w:t>475</w:t>
            </w:r>
          </w:p>
        </w:tc>
      </w:tr>
      <w:tr>
        <w:trPr>
          <w:trHeight w:val="403" w:hRule="exact"/>
        </w:trPr>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大专以下</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z w:val="18"/>
              </w:rPr>
              <w:t>337</w:t>
            </w:r>
          </w:p>
        </w:tc>
      </w:tr>
      <w:tr>
        <w:trPr>
          <w:trHeight w:val="403"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1,451</w:t>
            </w:r>
          </w:p>
        </w:tc>
      </w:tr>
    </w:tbl>
    <w:p>
      <w:pPr>
        <w:spacing w:line="240" w:lineRule="auto" w:before="3"/>
        <w:rPr>
          <w:rFonts w:ascii="宋体" w:hAnsi="宋体" w:cs="宋体" w:eastAsia="宋体" w:hint="default"/>
          <w:b/>
          <w:bCs/>
          <w:sz w:val="19"/>
          <w:szCs w:val="19"/>
        </w:rPr>
      </w:pPr>
    </w:p>
    <w:p>
      <w:pPr>
        <w:pStyle w:val="Heading4"/>
        <w:spacing w:line="240" w:lineRule="auto" w:before="36"/>
        <w:ind w:right="0"/>
        <w:jc w:val="left"/>
        <w:rPr>
          <w:b w:val="0"/>
          <w:bCs w:val="0"/>
        </w:rPr>
      </w:pPr>
      <w:bookmarkStart w:name="2、薪酬政策" w:id="134"/>
      <w:bookmarkEnd w:id="134"/>
      <w:r>
        <w:rPr>
          <w:b w:val="0"/>
          <w:bCs w:val="0"/>
        </w:rPr>
      </w:r>
      <w:r>
        <w:rPr>
          <w:rFonts w:ascii="Times New Roman" w:hAnsi="Times New Roman" w:cs="Times New Roman" w:eastAsia="Times New Roman" w:hint="default"/>
        </w:rPr>
        <w:t>2</w:t>
      </w:r>
      <w:r>
        <w:rPr/>
        <w:t>、薪酬政策</w:t>
      </w:r>
      <w:r>
        <w:rPr>
          <w:b w:val="0"/>
          <w:bCs w:val="0"/>
        </w:rPr>
      </w:r>
    </w:p>
    <w:p>
      <w:pPr>
        <w:spacing w:line="240" w:lineRule="auto" w:before="5"/>
        <w:rPr>
          <w:rFonts w:ascii="宋体" w:hAnsi="宋体" w:cs="宋体" w:eastAsia="宋体" w:hint="default"/>
          <w:b/>
          <w:bCs/>
          <w:sz w:val="26"/>
          <w:szCs w:val="26"/>
        </w:rPr>
      </w:pPr>
    </w:p>
    <w:p>
      <w:pPr>
        <w:pStyle w:val="BodyText"/>
        <w:spacing w:line="316" w:lineRule="auto" w:before="0"/>
        <w:ind w:right="1124" w:firstLine="360"/>
        <w:jc w:val="both"/>
      </w:pPr>
      <w:r>
        <w:rPr>
          <w:spacing w:val="-4"/>
        </w:rPr>
        <w:t>公司建立与绩效联动的报酬体系，倡导企业与个人共同持续发展的理念，组织实施了股权激励计划，采用分层分类的奖</w:t>
      </w:r>
      <w:r>
        <w:rPr>
          <w:w w:val="101"/>
        </w:rPr>
        <w:t> </w:t>
      </w:r>
      <w:r>
        <w:rPr>
          <w:spacing w:val="-3"/>
        </w:rPr>
        <w:t>励办法，保证了各层各类人员均得到相应的激励，以充分调动员工的积极性和创造性。</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Heading4"/>
        <w:spacing w:line="240" w:lineRule="auto" w:before="136"/>
        <w:ind w:right="0"/>
        <w:jc w:val="left"/>
        <w:rPr>
          <w:b w:val="0"/>
          <w:bCs w:val="0"/>
        </w:rPr>
      </w:pPr>
      <w:bookmarkStart w:name="3、培训计划" w:id="135"/>
      <w:bookmarkEnd w:id="135"/>
      <w:r>
        <w:rPr>
          <w:b w:val="0"/>
          <w:bCs w:val="0"/>
        </w:rPr>
      </w:r>
      <w:r>
        <w:rPr>
          <w:rFonts w:ascii="Times New Roman" w:hAnsi="Times New Roman" w:cs="Times New Roman" w:eastAsia="Times New Roman" w:hint="default"/>
        </w:rPr>
        <w:t>3</w:t>
      </w:r>
      <w:r>
        <w:rPr/>
        <w:t>、培训计划</w:t>
      </w:r>
      <w:r>
        <w:rPr>
          <w:b w:val="0"/>
          <w:bCs w:val="0"/>
        </w:rPr>
      </w:r>
    </w:p>
    <w:p>
      <w:pPr>
        <w:spacing w:line="240" w:lineRule="auto" w:before="5"/>
        <w:rPr>
          <w:rFonts w:ascii="宋体" w:hAnsi="宋体" w:cs="宋体" w:eastAsia="宋体" w:hint="default"/>
          <w:b/>
          <w:bCs/>
          <w:sz w:val="26"/>
          <w:szCs w:val="26"/>
        </w:rPr>
      </w:pPr>
    </w:p>
    <w:p>
      <w:pPr>
        <w:pStyle w:val="BodyText"/>
        <w:spacing w:line="316" w:lineRule="auto" w:before="0"/>
        <w:ind w:right="1123" w:firstLine="360"/>
        <w:jc w:val="both"/>
      </w:pPr>
      <w:r>
        <w:rPr>
          <w:spacing w:val="-5"/>
        </w:rPr>
        <w:t>公司对员工培训专门制定了《员工培训制度》，通过奥拓学院，对培训工作的计划、实施考核、培训评估、培训档案做</w:t>
      </w:r>
      <w:r>
        <w:rPr>
          <w:w w:val="101"/>
        </w:rPr>
        <w:t> </w:t>
      </w:r>
      <w:r>
        <w:rPr>
          <w:spacing w:val="-4"/>
        </w:rPr>
        <w:t>了详细规定，使员工能充分施展自己的特长又符合公司发展的需要。同时，为强化公司的知识管理，制定了部门层面的《年</w:t>
      </w:r>
      <w:r>
        <w:rPr>
          <w:spacing w:val="40"/>
        </w:rPr>
        <w:t> </w:t>
      </w:r>
      <w:r>
        <w:rPr>
          <w:spacing w:val="40"/>
        </w:rPr>
      </w:r>
      <w:r>
        <w:rPr>
          <w:spacing w:val="-3"/>
        </w:rPr>
        <w:t>度培训规划》，由负责培训的人员专门跟进规划的执行情况。</w:t>
      </w:r>
    </w:p>
    <w:p>
      <w:pPr>
        <w:spacing w:line="240" w:lineRule="auto" w:before="8"/>
        <w:rPr>
          <w:rFonts w:ascii="宋体" w:hAnsi="宋体" w:cs="宋体" w:eastAsia="宋体" w:hint="default"/>
          <w:sz w:val="22"/>
          <w:szCs w:val="22"/>
        </w:rPr>
      </w:pPr>
    </w:p>
    <w:p>
      <w:pPr>
        <w:pStyle w:val="Heading4"/>
        <w:spacing w:line="240" w:lineRule="auto"/>
        <w:ind w:right="0"/>
        <w:jc w:val="left"/>
        <w:rPr>
          <w:b w:val="0"/>
          <w:bCs w:val="0"/>
        </w:rPr>
      </w:pPr>
      <w:bookmarkStart w:name="4、劳务外包情况" w:id="136"/>
      <w:bookmarkEnd w:id="136"/>
      <w:r>
        <w:rPr>
          <w:b w:val="0"/>
          <w:bCs w:val="0"/>
        </w:rPr>
      </w:r>
      <w:r>
        <w:rPr>
          <w:rFonts w:ascii="Times New Roman" w:hAnsi="Times New Roman" w:cs="Times New Roman" w:eastAsia="Times New Roman" w:hint="default"/>
        </w:rPr>
        <w:t>4</w:t>
      </w:r>
      <w:r>
        <w:rPr/>
        <w:t>、劳务外包情况</w:t>
      </w:r>
      <w:r>
        <w:rPr>
          <w:b w:val="0"/>
          <w:bCs w:val="0"/>
        </w:rPr>
      </w:r>
    </w:p>
    <w:p>
      <w:pPr>
        <w:spacing w:line="240" w:lineRule="auto" w:before="1"/>
        <w:rPr>
          <w:rFonts w:ascii="宋体" w:hAnsi="宋体" w:cs="宋体" w:eastAsia="宋体" w:hint="default"/>
          <w:b/>
          <w:bCs/>
          <w:sz w:val="27"/>
          <w:szCs w:val="27"/>
        </w:rPr>
      </w:pPr>
    </w:p>
    <w:p>
      <w:pPr>
        <w:pStyle w:val="BodyText"/>
        <w:spacing w:line="240" w:lineRule="auto" w:before="0"/>
        <w:ind w:right="0"/>
        <w:jc w:val="left"/>
      </w:pPr>
      <w:r>
        <w:rPr/>
        <w:t>□ </w:t>
      </w:r>
      <w:r>
        <w:rPr>
          <w:spacing w:val="-3"/>
        </w:rPr>
        <w:t>适用 </w:t>
      </w:r>
      <w:r>
        <w:rPr/>
        <w:t>√</w:t>
      </w:r>
      <w:r>
        <w:rPr>
          <w:spacing w:val="13"/>
        </w:rPr>
        <w:t> </w:t>
      </w:r>
      <w:r>
        <w:rPr/>
        <w:t>不适用</w:t>
      </w:r>
    </w:p>
    <w:p>
      <w:pPr>
        <w:spacing w:after="0" w:line="240" w:lineRule="auto"/>
        <w:jc w:val="left"/>
        <w:sectPr>
          <w:pgSz w:w="11910" w:h="16840"/>
          <w:pgMar w:header="784" w:footer="1022" w:top="1100" w:bottom="122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7"/>
          <w:szCs w:val="17"/>
        </w:rPr>
      </w:pPr>
    </w:p>
    <w:p>
      <w:pPr>
        <w:pStyle w:val="Heading1"/>
        <w:spacing w:line="240" w:lineRule="auto"/>
        <w:ind w:right="1106"/>
        <w:jc w:val="center"/>
        <w:rPr>
          <w:b w:val="0"/>
          <w:bCs w:val="0"/>
        </w:rPr>
      </w:pPr>
      <w:bookmarkStart w:name="第十节公司治理" w:id="137"/>
      <w:bookmarkEnd w:id="137"/>
      <w:r>
        <w:rPr>
          <w:b w:val="0"/>
          <w:bCs w:val="0"/>
        </w:rPr>
      </w:r>
      <w:bookmarkStart w:name="_bookmark9" w:id="138"/>
      <w:bookmarkEnd w:id="138"/>
      <w:r>
        <w:rPr>
          <w:b w:val="0"/>
          <w:bCs w:val="0"/>
        </w:rPr>
      </w:r>
      <w:r>
        <w:rPr/>
        <w:t>第十节公司治理</w:t>
      </w:r>
      <w:r>
        <w:rPr>
          <w:b w:val="0"/>
          <w:bCs w:val="0"/>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6"/>
          <w:szCs w:val="16"/>
        </w:rPr>
      </w:pPr>
    </w:p>
    <w:p>
      <w:pPr>
        <w:pStyle w:val="Heading2"/>
        <w:spacing w:line="240" w:lineRule="auto" w:before="26"/>
        <w:ind w:right="0"/>
        <w:jc w:val="both"/>
        <w:rPr>
          <w:b w:val="0"/>
          <w:bCs w:val="0"/>
        </w:rPr>
      </w:pPr>
      <w:bookmarkStart w:name="一、公司治理的基本状况" w:id="139"/>
      <w:bookmarkEnd w:id="139"/>
      <w:r>
        <w:rPr>
          <w:b w:val="0"/>
          <w:bCs w:val="0"/>
        </w:rPr>
      </w:r>
      <w:r>
        <w:rPr/>
        <w:t>一、公司治理的基本状况</w:t>
      </w:r>
      <w:r>
        <w:rPr>
          <w:b w:val="0"/>
          <w:bCs w:val="0"/>
        </w:rPr>
      </w:r>
    </w:p>
    <w:p>
      <w:pPr>
        <w:spacing w:line="240" w:lineRule="auto" w:before="3"/>
        <w:rPr>
          <w:rFonts w:ascii="宋体" w:hAnsi="宋体" w:cs="宋体" w:eastAsia="宋体" w:hint="default"/>
          <w:b/>
          <w:bCs/>
          <w:sz w:val="27"/>
          <w:szCs w:val="27"/>
        </w:rPr>
      </w:pPr>
    </w:p>
    <w:p>
      <w:pPr>
        <w:pStyle w:val="BodyText"/>
        <w:spacing w:line="319" w:lineRule="auto" w:before="0"/>
        <w:ind w:right="1122" w:firstLine="360"/>
        <w:jc w:val="both"/>
      </w:pPr>
      <w:r>
        <w:rPr>
          <w:spacing w:val="-5"/>
        </w:rPr>
        <w:t>报告期内，公司严格按照《公司法》、《证券法》、《上市公司治理准则》、《深圳证券交易所股票上市规则》、《深</w:t>
      </w:r>
      <w:r>
        <w:rPr>
          <w:w w:val="101"/>
        </w:rPr>
        <w:t> </w:t>
      </w:r>
      <w:r>
        <w:rPr>
          <w:spacing w:val="-4"/>
        </w:rPr>
        <w:t>圳证券交易所中小企业板上市公司规范运作指引》和中国证监会、深圳证券交易所颁布的规范性文件等要求，不断改善公司</w:t>
      </w:r>
      <w:r>
        <w:rPr>
          <w:spacing w:val="44"/>
        </w:rPr>
        <w:t> </w:t>
      </w:r>
      <w:r>
        <w:rPr>
          <w:spacing w:val="44"/>
        </w:rPr>
      </w:r>
      <w:r>
        <w:rPr>
          <w:spacing w:val="-4"/>
        </w:rPr>
        <w:t>法人治理结构，建立和健全内部管理和控制制度，规范公司运作。公司股东大会、董事会、监事会均能严格按照相关规章制</w:t>
      </w:r>
      <w:r>
        <w:rPr>
          <w:spacing w:val="40"/>
        </w:rPr>
        <w:t> </w:t>
      </w:r>
      <w:r>
        <w:rPr>
          <w:spacing w:val="40"/>
        </w:rPr>
      </w:r>
      <w:r>
        <w:rPr>
          <w:spacing w:val="-4"/>
        </w:rPr>
        <w:t>度规范地召开，各位董事、监事均能勤勉认真地履行自己的职责。截至报告期末，公司治理的实际状况符合中国证监会、深</w:t>
      </w:r>
      <w:r>
        <w:rPr>
          <w:spacing w:val="40"/>
        </w:rPr>
        <w:t> </w:t>
      </w:r>
      <w:r>
        <w:rPr>
          <w:spacing w:val="40"/>
        </w:rPr>
      </w:r>
      <w:r>
        <w:rPr>
          <w:spacing w:val="-3"/>
        </w:rPr>
        <w:t>圳证券交易所发布的关于上市公司治理的规范性文件的要求。</w:t>
      </w:r>
    </w:p>
    <w:p>
      <w:pPr>
        <w:pStyle w:val="BodyText"/>
        <w:spacing w:line="300" w:lineRule="auto" w:before="17"/>
        <w:ind w:left="513" w:right="0"/>
        <w:jc w:val="left"/>
      </w:pPr>
      <w:r>
        <w:rPr>
          <w:rFonts w:ascii="Times New Roman" w:hAnsi="Times New Roman" w:cs="Times New Roman" w:eastAsia="Times New Roman" w:hint="default"/>
        </w:rPr>
        <w:t>1</w:t>
      </w:r>
      <w:r>
        <w:rPr/>
        <w:t>、股东与股东大会</w:t>
      </w:r>
      <w:r>
        <w:rPr>
          <w:spacing w:val="-85"/>
        </w:rPr>
        <w:t> </w:t>
      </w:r>
      <w:r>
        <w:rPr>
          <w:spacing w:val="-85"/>
        </w:rPr>
      </w:r>
      <w:r>
        <w:rPr>
          <w:spacing w:val="-6"/>
        </w:rPr>
        <w:t>公司严格按照《公司法》、《证券法》等法律、法规和《公司章程》、《股东大会议事规则》的规定召集召开股东大会，</w:t>
      </w:r>
    </w:p>
    <w:p>
      <w:pPr>
        <w:pStyle w:val="BodyText"/>
        <w:spacing w:line="319" w:lineRule="auto" w:before="31"/>
        <w:ind w:right="0"/>
        <w:jc w:val="left"/>
      </w:pPr>
      <w:r>
        <w:rPr>
          <w:spacing w:val="-3"/>
        </w:rPr>
        <w:t>在股东大会召开前的规定时间发出会议通知，并且聘请律师现场见证，对会议的召集、召开和决议的有效性发表法律意见。</w:t>
      </w:r>
      <w:r>
        <w:rPr>
          <w:spacing w:val="67"/>
        </w:rPr>
        <w:t> </w:t>
      </w:r>
      <w:r>
        <w:rPr>
          <w:spacing w:val="67"/>
        </w:rPr>
      </w:r>
      <w:r>
        <w:rPr>
          <w:spacing w:val="-3"/>
        </w:rPr>
        <w:t>确保全体股东特别是中小股东享有平等地位，充分行使自己的权利。报告期内共召开股东大会</w:t>
      </w:r>
      <w:r>
        <w:rPr>
          <w:rFonts w:ascii="Times New Roman" w:hAnsi="Times New Roman" w:cs="Times New Roman" w:eastAsia="Times New Roman" w:hint="default"/>
          <w:spacing w:val="-3"/>
        </w:rPr>
        <w:t>4</w:t>
      </w:r>
      <w:r>
        <w:rPr>
          <w:spacing w:val="-3"/>
        </w:rPr>
        <w:t>次，审议议案</w:t>
      </w:r>
      <w:r>
        <w:rPr>
          <w:rFonts w:ascii="宋体" w:hAnsi="宋体" w:cs="宋体" w:eastAsia="宋体" w:hint="default"/>
          <w:spacing w:val="-3"/>
        </w:rPr>
        <w:t>35</w:t>
      </w:r>
      <w:r>
        <w:rPr>
          <w:spacing w:val="-3"/>
        </w:rPr>
        <w:t>项。</w:t>
      </w:r>
      <w:r>
        <w:rPr/>
      </w:r>
    </w:p>
    <w:p>
      <w:pPr>
        <w:pStyle w:val="BodyText"/>
        <w:spacing w:line="300" w:lineRule="auto" w:before="0"/>
        <w:ind w:left="513" w:right="4900"/>
        <w:jc w:val="left"/>
      </w:pPr>
      <w:r>
        <w:rPr>
          <w:rFonts w:ascii="Times New Roman" w:hAnsi="Times New Roman" w:cs="Times New Roman" w:eastAsia="Times New Roman" w:hint="default"/>
        </w:rPr>
        <w:t>2</w:t>
      </w:r>
      <w:r>
        <w:rPr/>
        <w:t>、控股股东与上市公司</w:t>
      </w:r>
      <w:r>
        <w:rPr>
          <w:spacing w:val="-85"/>
        </w:rPr>
        <w:t> </w:t>
      </w:r>
      <w:r>
        <w:rPr>
          <w:spacing w:val="-85"/>
        </w:rPr>
      </w:r>
      <w:r>
        <w:rPr>
          <w:spacing w:val="-3"/>
        </w:rPr>
        <w:t>公司控股股东行为规范，能依法行使其权利，并承担相应义务。</w:t>
      </w:r>
    </w:p>
    <w:p>
      <w:pPr>
        <w:pStyle w:val="BodyText"/>
        <w:spacing w:line="316" w:lineRule="auto" w:before="31"/>
        <w:ind w:right="1037" w:firstLine="360"/>
        <w:jc w:val="both"/>
      </w:pPr>
      <w:r>
        <w:rPr>
          <w:spacing w:val="-6"/>
        </w:rPr>
        <w:t>公司在资产、人员、财务、机构、业务等方面均独立于控股股东，拥有独立完整的研发、供应、生产、销售等业务体系，</w:t>
      </w:r>
      <w:r>
        <w:rPr>
          <w:w w:val="101"/>
        </w:rPr>
        <w:t> </w:t>
      </w:r>
      <w:r>
        <w:rPr>
          <w:spacing w:val="-3"/>
        </w:rPr>
        <w:t>具备面向市场独立经营的能力。公司董事会、监事会和内部机构能够独立运作。</w:t>
      </w:r>
    </w:p>
    <w:p>
      <w:pPr>
        <w:pStyle w:val="BodyText"/>
        <w:spacing w:line="300" w:lineRule="auto" w:before="19"/>
        <w:ind w:left="513" w:right="0"/>
        <w:jc w:val="left"/>
      </w:pPr>
      <w:r>
        <w:rPr>
          <w:rFonts w:ascii="Times New Roman" w:hAnsi="Times New Roman" w:cs="Times New Roman" w:eastAsia="Times New Roman" w:hint="default"/>
        </w:rPr>
        <w:t>3</w:t>
      </w:r>
      <w:r>
        <w:rPr/>
        <w:t>、董事与董事会</w:t>
      </w:r>
      <w:r>
        <w:rPr>
          <w:spacing w:val="-87"/>
        </w:rPr>
        <w:t> </w:t>
      </w:r>
      <w:r>
        <w:rPr>
          <w:spacing w:val="-87"/>
        </w:rPr>
      </w:r>
      <w:r>
        <w:rPr>
          <w:spacing w:val="-4"/>
        </w:rPr>
        <w:t>公司董事会有</w:t>
      </w:r>
      <w:r>
        <w:rPr>
          <w:rFonts w:ascii="Times New Roman" w:hAnsi="Times New Roman" w:cs="Times New Roman" w:eastAsia="Times New Roman" w:hint="default"/>
          <w:spacing w:val="-4"/>
        </w:rPr>
        <w:t>9</w:t>
      </w:r>
      <w:r>
        <w:rPr>
          <w:spacing w:val="-4"/>
        </w:rPr>
        <w:t>名董事。其中有</w:t>
      </w:r>
      <w:r>
        <w:rPr>
          <w:rFonts w:ascii="Times New Roman" w:hAnsi="Times New Roman" w:cs="Times New Roman" w:eastAsia="Times New Roman" w:hint="default"/>
          <w:spacing w:val="-4"/>
        </w:rPr>
        <w:t>3</w:t>
      </w:r>
      <w:r>
        <w:rPr>
          <w:spacing w:val="-4"/>
        </w:rPr>
        <w:t>名独立董事，他们是管理、财务、法律等方面的专家，在各自领域都具有多年的从业经</w:t>
      </w:r>
    </w:p>
    <w:p>
      <w:pPr>
        <w:pStyle w:val="BodyText"/>
        <w:spacing w:line="312" w:lineRule="auto" w:before="13"/>
        <w:ind w:right="1123"/>
        <w:jc w:val="both"/>
      </w:pPr>
      <w:r>
        <w:rPr>
          <w:spacing w:val="-3"/>
        </w:rPr>
        <w:t>验和丰富的专业知识；另外</w:t>
      </w:r>
      <w:r>
        <w:rPr>
          <w:rFonts w:ascii="Times New Roman" w:hAnsi="Times New Roman" w:cs="Times New Roman" w:eastAsia="Times New Roman" w:hint="default"/>
          <w:spacing w:val="-3"/>
        </w:rPr>
        <w:t>6</w:t>
      </w:r>
      <w:r>
        <w:rPr>
          <w:spacing w:val="-3"/>
        </w:rPr>
        <w:t>名董事在经营、管理等方面均具有较高的专业理论水平和丰富的管理实践经验。董事会设立了</w:t>
      </w:r>
      <w:r>
        <w:rPr>
          <w:spacing w:val="70"/>
        </w:rPr>
        <w:t> </w:t>
      </w:r>
      <w:r>
        <w:rPr>
          <w:spacing w:val="70"/>
        </w:rPr>
      </w:r>
      <w:r>
        <w:rPr>
          <w:spacing w:val="-4"/>
        </w:rPr>
        <w:t>战略、提名、审计、薪酬与考核四个专门委员会，制订了相应的议事规则。公司董事积极参加相关知识培训，熟悉有关法律</w:t>
      </w:r>
      <w:r>
        <w:rPr>
          <w:spacing w:val="40"/>
        </w:rPr>
        <w:t> </w:t>
      </w:r>
      <w:r>
        <w:rPr>
          <w:spacing w:val="40"/>
        </w:rPr>
      </w:r>
      <w:r>
        <w:rPr>
          <w:spacing w:val="-4"/>
        </w:rPr>
        <w:t>法规；公司董事严格按照《董事会议事规则》等制度开展工作，正确行使权利和勤勉尽责履行义务，确保董事会的有效运作</w:t>
      </w:r>
      <w:r>
        <w:rPr>
          <w:spacing w:val="40"/>
        </w:rPr>
        <w:t> </w:t>
      </w:r>
      <w:r>
        <w:rPr>
          <w:spacing w:val="40"/>
        </w:rPr>
      </w:r>
      <w:r>
        <w:rPr>
          <w:spacing w:val="-3"/>
        </w:rPr>
        <w:t>和科学决策。报告期内，董事会共召开会议</w:t>
      </w:r>
      <w:r>
        <w:rPr>
          <w:rFonts w:ascii="宋体" w:hAnsi="宋体" w:cs="宋体" w:eastAsia="宋体" w:hint="default"/>
          <w:spacing w:val="-3"/>
        </w:rPr>
        <w:t>13</w:t>
      </w:r>
      <w:r>
        <w:rPr>
          <w:spacing w:val="-3"/>
        </w:rPr>
        <w:t>次，审议议案</w:t>
      </w:r>
      <w:r>
        <w:rPr>
          <w:rFonts w:ascii="宋体" w:hAnsi="宋体" w:cs="宋体" w:eastAsia="宋体" w:hint="default"/>
          <w:spacing w:val="-3"/>
        </w:rPr>
        <w:t>64</w:t>
      </w:r>
      <w:r>
        <w:rPr>
          <w:spacing w:val="-3"/>
        </w:rPr>
        <w:t>项。</w:t>
      </w:r>
    </w:p>
    <w:p>
      <w:pPr>
        <w:pStyle w:val="BodyText"/>
        <w:spacing w:line="300" w:lineRule="auto" w:before="22"/>
        <w:ind w:left="513" w:right="0"/>
        <w:jc w:val="left"/>
      </w:pPr>
      <w:r>
        <w:rPr>
          <w:rFonts w:ascii="Times New Roman" w:hAnsi="Times New Roman" w:cs="Times New Roman" w:eastAsia="Times New Roman" w:hint="default"/>
        </w:rPr>
        <w:t>4</w:t>
      </w:r>
      <w:r>
        <w:rPr/>
        <w:t>、监事与监事会</w:t>
      </w:r>
      <w:r>
        <w:rPr>
          <w:spacing w:val="-87"/>
        </w:rPr>
        <w:t> </w:t>
      </w:r>
      <w:r>
        <w:rPr>
          <w:spacing w:val="-87"/>
        </w:rPr>
      </w:r>
      <w:r>
        <w:rPr>
          <w:spacing w:val="-3"/>
        </w:rPr>
        <w:t>公司监事会由</w:t>
      </w:r>
      <w:r>
        <w:rPr>
          <w:rFonts w:ascii="Times New Roman" w:hAnsi="Times New Roman" w:cs="Times New Roman" w:eastAsia="Times New Roman" w:hint="default"/>
          <w:spacing w:val="-3"/>
        </w:rPr>
        <w:t>3</w:t>
      </w:r>
      <w:r>
        <w:rPr>
          <w:spacing w:val="-3"/>
        </w:rPr>
        <w:t>名监事组成，其中</w:t>
      </w:r>
      <w:r>
        <w:rPr>
          <w:rFonts w:ascii="Times New Roman" w:hAnsi="Times New Roman" w:cs="Times New Roman" w:eastAsia="Times New Roman" w:hint="default"/>
          <w:spacing w:val="-3"/>
        </w:rPr>
        <w:t>2</w:t>
      </w:r>
      <w:r>
        <w:rPr>
          <w:spacing w:val="-3"/>
        </w:rPr>
        <w:t>名监事由股东大会选举产生，</w:t>
      </w:r>
      <w:r>
        <w:rPr>
          <w:rFonts w:ascii="Times New Roman" w:hAnsi="Times New Roman" w:cs="Times New Roman" w:eastAsia="Times New Roman" w:hint="default"/>
          <w:spacing w:val="-3"/>
        </w:rPr>
        <w:t>1</w:t>
      </w:r>
      <w:r>
        <w:rPr>
          <w:spacing w:val="-3"/>
        </w:rPr>
        <w:t>名监事由职工代表大会选举产生。在日常工作中，监</w:t>
      </w:r>
    </w:p>
    <w:p>
      <w:pPr>
        <w:pStyle w:val="BodyText"/>
        <w:spacing w:line="316" w:lineRule="auto" w:before="13"/>
        <w:ind w:right="0"/>
        <w:jc w:val="left"/>
      </w:pPr>
      <w:r>
        <w:rPr>
          <w:spacing w:val="-4"/>
        </w:rPr>
        <w:t>事会能够勤勉尽责，严格按照《监事会议事规则》等制度的规定，切实维护公司利益和广大中小股东权益，认真履行监督职</w:t>
      </w:r>
      <w:r>
        <w:rPr>
          <w:spacing w:val="40"/>
        </w:rPr>
        <w:t> </w:t>
      </w:r>
      <w:r>
        <w:rPr>
          <w:spacing w:val="40"/>
        </w:rPr>
      </w:r>
      <w:r>
        <w:rPr>
          <w:spacing w:val="-3"/>
        </w:rPr>
        <w:t>责，听取公司各项重要提案并发表意见，履行了监事会的监督职能。报告期内，监事会共召开会议</w:t>
      </w:r>
      <w:r>
        <w:rPr>
          <w:rFonts w:ascii="Times New Roman" w:hAnsi="Times New Roman" w:cs="Times New Roman" w:eastAsia="Times New Roman" w:hint="default"/>
          <w:spacing w:val="-3"/>
        </w:rPr>
        <w:t>11</w:t>
      </w:r>
      <w:r>
        <w:rPr>
          <w:spacing w:val="-3"/>
        </w:rPr>
        <w:t>次，审议议案</w:t>
      </w:r>
      <w:r>
        <w:rPr>
          <w:rFonts w:ascii="宋体" w:hAnsi="宋体" w:cs="宋体" w:eastAsia="宋体" w:hint="default"/>
          <w:spacing w:val="-3"/>
        </w:rPr>
        <w:t>39</w:t>
      </w:r>
      <w:r>
        <w:rPr>
          <w:spacing w:val="-3"/>
        </w:rPr>
        <w:t>项。</w:t>
      </w:r>
      <w:r>
        <w:rPr/>
      </w:r>
    </w:p>
    <w:p>
      <w:pPr>
        <w:pStyle w:val="BodyText"/>
        <w:spacing w:line="300" w:lineRule="auto" w:before="0"/>
        <w:ind w:left="513" w:right="0"/>
        <w:jc w:val="left"/>
      </w:pPr>
      <w:r>
        <w:rPr>
          <w:rFonts w:ascii="Times New Roman" w:hAnsi="Times New Roman" w:cs="Times New Roman" w:eastAsia="Times New Roman" w:hint="default"/>
        </w:rPr>
        <w:t>5</w:t>
      </w:r>
      <w:r>
        <w:rPr/>
        <w:t>、绩效评价与激励约束机制</w:t>
      </w:r>
      <w:r>
        <w:rPr>
          <w:spacing w:val="-85"/>
        </w:rPr>
        <w:t> </w:t>
      </w:r>
      <w:r>
        <w:rPr>
          <w:spacing w:val="-85"/>
        </w:rPr>
      </w:r>
      <w:r>
        <w:rPr>
          <w:spacing w:val="-4"/>
        </w:rPr>
        <w:t>公司逐步建立和完善公正、透明的董事、监事和高级管理人员的绩效评价标准和激励约束机制，公司高级管理人员的聘</w:t>
      </w:r>
    </w:p>
    <w:p>
      <w:pPr>
        <w:pStyle w:val="BodyText"/>
        <w:spacing w:line="240" w:lineRule="auto" w:before="31"/>
        <w:ind w:right="0"/>
        <w:jc w:val="both"/>
      </w:pPr>
      <w:r>
        <w:rPr>
          <w:spacing w:val="-3"/>
        </w:rPr>
        <w:t>任公开、透明，符合法律法规的规定。</w:t>
      </w:r>
    </w:p>
    <w:p>
      <w:pPr>
        <w:pStyle w:val="BodyText"/>
        <w:spacing w:line="300" w:lineRule="auto" w:before="76"/>
        <w:ind w:left="513" w:right="1120"/>
        <w:jc w:val="left"/>
      </w:pPr>
      <w:r>
        <w:rPr>
          <w:rFonts w:ascii="Times New Roman" w:hAnsi="Times New Roman" w:cs="Times New Roman" w:eastAsia="Times New Roman" w:hint="default"/>
        </w:rPr>
        <w:t>6</w:t>
      </w:r>
      <w:r>
        <w:rPr/>
        <w:t>、利益相关者</w:t>
      </w:r>
      <w:r>
        <w:rPr>
          <w:spacing w:val="-85"/>
        </w:rPr>
        <w:t> </w:t>
      </w:r>
      <w:r>
        <w:rPr>
          <w:spacing w:val="-85"/>
        </w:rPr>
      </w:r>
      <w:r>
        <w:rPr>
          <w:spacing w:val="-4"/>
        </w:rPr>
        <w:t>公司尊重员工、客户、供应商等利益相关者的合法权利，实现各方利益的和谐发展，共同推动公司和行业持续、健康地</w:t>
      </w:r>
    </w:p>
    <w:p>
      <w:pPr>
        <w:pStyle w:val="BodyText"/>
        <w:spacing w:line="240" w:lineRule="auto" w:before="31"/>
        <w:ind w:right="0"/>
        <w:jc w:val="both"/>
      </w:pPr>
      <w:r>
        <w:rPr/>
        <w:t>发展。</w:t>
      </w:r>
    </w:p>
    <w:p>
      <w:pPr>
        <w:pStyle w:val="BodyText"/>
        <w:spacing w:line="300" w:lineRule="auto" w:before="77"/>
        <w:ind w:left="513" w:right="0"/>
        <w:jc w:val="left"/>
      </w:pPr>
      <w:r>
        <w:rPr>
          <w:rFonts w:ascii="Times New Roman" w:hAnsi="Times New Roman" w:cs="Times New Roman" w:eastAsia="Times New Roman" w:hint="default"/>
        </w:rPr>
        <w:t>7</w:t>
      </w:r>
      <w:r>
        <w:rPr/>
        <w:t>、信息披露与透明度</w:t>
      </w:r>
      <w:r>
        <w:rPr>
          <w:spacing w:val="-88"/>
        </w:rPr>
        <w:t> </w:t>
      </w:r>
      <w:r>
        <w:rPr>
          <w:spacing w:val="-88"/>
        </w:rPr>
      </w:r>
      <w:r>
        <w:rPr>
          <w:spacing w:val="-4"/>
        </w:rPr>
        <w:t>公司指定董事会秘书为公司的投资者关系管理负责人，负责公司的信息披露与投资者关系的管理，接待投资者和调研机</w:t>
      </w:r>
    </w:p>
    <w:p>
      <w:pPr>
        <w:pStyle w:val="BodyText"/>
        <w:spacing w:line="316" w:lineRule="auto" w:before="31"/>
        <w:ind w:right="0"/>
        <w:jc w:val="left"/>
      </w:pPr>
      <w:r>
        <w:rPr>
          <w:spacing w:val="-4"/>
        </w:rPr>
        <w:t>构的来访。指定《证券时报》和巨潮资讯网为公司信息披露的报纸和网站，严格按照有关法律法规的规定和公司《投资者关</w:t>
      </w:r>
      <w:r>
        <w:rPr>
          <w:spacing w:val="40"/>
        </w:rPr>
        <w:t> </w:t>
      </w:r>
      <w:r>
        <w:rPr>
          <w:spacing w:val="40"/>
        </w:rPr>
      </w:r>
      <w:r>
        <w:rPr>
          <w:spacing w:val="-3"/>
        </w:rPr>
        <w:t>系管理制度》《信息披露管理制度》，真实、准确、及时地披露信息，并确保所有股东有公平的机会获得信息。</w:t>
      </w:r>
    </w:p>
    <w:p>
      <w:pPr>
        <w:pStyle w:val="BodyText"/>
        <w:spacing w:line="300" w:lineRule="auto" w:before="19"/>
        <w:ind w:left="513" w:right="1317"/>
        <w:jc w:val="left"/>
      </w:pPr>
      <w:r>
        <w:rPr>
          <w:rFonts w:ascii="Times New Roman" w:hAnsi="Times New Roman" w:cs="Times New Roman" w:eastAsia="Times New Roman" w:hint="default"/>
          <w:spacing w:val="-3"/>
        </w:rPr>
        <w:t>8</w:t>
      </w:r>
      <w:r>
        <w:rPr>
          <w:spacing w:val="-3"/>
        </w:rPr>
        <w:t>、报告期内，公司已建立或修订的各项基本制度情况</w:t>
      </w:r>
      <w:r>
        <w:rPr>
          <w:spacing w:val="-17"/>
        </w:rPr>
        <w:t> </w:t>
      </w:r>
      <w:r>
        <w:rPr>
          <w:spacing w:val="-17"/>
        </w:rPr>
      </w:r>
      <w:r>
        <w:rPr>
          <w:spacing w:val="-3"/>
        </w:rPr>
        <w:t>报告期内，修订《董事、监事薪酬管理制度》、《公司章程》。</w:t>
      </w:r>
    </w:p>
    <w:p>
      <w:pPr>
        <w:spacing w:line="240" w:lineRule="auto" w:before="0"/>
        <w:rPr>
          <w:rFonts w:ascii="宋体" w:hAnsi="宋体" w:cs="宋体" w:eastAsia="宋体" w:hint="default"/>
          <w:sz w:val="18"/>
          <w:szCs w:val="18"/>
        </w:rPr>
      </w:pPr>
    </w:p>
    <w:p>
      <w:pPr>
        <w:pStyle w:val="BodyText"/>
        <w:spacing w:line="240" w:lineRule="auto" w:before="151"/>
        <w:ind w:right="0"/>
        <w:jc w:val="both"/>
      </w:pPr>
      <w:r>
        <w:rPr>
          <w:spacing w:val="-3"/>
        </w:rPr>
        <w:t>公司治理的实际状况与中国证监会发布的有关上市公司治理的规范性文件是否存在重大差异</w:t>
      </w:r>
    </w:p>
    <w:p>
      <w:pPr>
        <w:pStyle w:val="BodyText"/>
        <w:spacing w:line="240" w:lineRule="auto" w:before="115"/>
        <w:ind w:right="0"/>
        <w:jc w:val="both"/>
      </w:pPr>
      <w:r>
        <w:rPr/>
        <w:t>□ 是 √</w:t>
      </w:r>
      <w:r>
        <w:rPr>
          <w:spacing w:val="2"/>
        </w:rPr>
        <w:t> </w:t>
      </w:r>
      <w:r>
        <w:rPr/>
        <w:t>否</w:t>
      </w:r>
    </w:p>
    <w:p>
      <w:pPr>
        <w:spacing w:after="0" w:line="240" w:lineRule="auto"/>
        <w:jc w:val="both"/>
        <w:sectPr>
          <w:pgSz w:w="11910" w:h="16840"/>
          <w:pgMar w:header="784" w:footer="1022" w:top="1100" w:bottom="1220" w:left="980" w:right="0"/>
        </w:sectPr>
      </w:pPr>
    </w:p>
    <w:p>
      <w:pPr>
        <w:spacing w:line="240" w:lineRule="auto" w:before="2"/>
        <w:rPr>
          <w:rFonts w:ascii="宋体" w:hAnsi="宋体" w:cs="宋体" w:eastAsia="宋体" w:hint="default"/>
          <w:sz w:val="23"/>
          <w:szCs w:val="23"/>
        </w:rPr>
      </w:pPr>
    </w:p>
    <w:p>
      <w:pPr>
        <w:pStyle w:val="BodyText"/>
        <w:spacing w:line="240" w:lineRule="auto"/>
        <w:ind w:right="0"/>
        <w:jc w:val="left"/>
      </w:pPr>
      <w:r>
        <w:rPr>
          <w:spacing w:val="-3"/>
        </w:rPr>
        <w:t>公司治理的实际状况与中国证监会发布的有关上市公司治理的规范性文件不存在重大差异。</w:t>
      </w:r>
    </w:p>
    <w:p>
      <w:pPr>
        <w:spacing w:line="240" w:lineRule="auto" w:before="13"/>
        <w:rPr>
          <w:rFonts w:ascii="宋体" w:hAnsi="宋体" w:cs="宋体" w:eastAsia="宋体" w:hint="default"/>
          <w:sz w:val="23"/>
          <w:szCs w:val="23"/>
        </w:rPr>
      </w:pPr>
    </w:p>
    <w:p>
      <w:pPr>
        <w:pStyle w:val="Heading2"/>
        <w:spacing w:line="240" w:lineRule="auto"/>
        <w:ind w:right="0"/>
        <w:jc w:val="left"/>
        <w:rPr>
          <w:b w:val="0"/>
          <w:bCs w:val="0"/>
        </w:rPr>
      </w:pPr>
      <w:bookmarkStart w:name="二、公司相对于控股股东在业务、人员、资产、机构、财务等方面的独立情况" w:id="140"/>
      <w:bookmarkEnd w:id="140"/>
      <w:r>
        <w:rPr>
          <w:b w:val="0"/>
          <w:bCs w:val="0"/>
        </w:rPr>
      </w:r>
      <w:r>
        <w:rPr/>
        <w:t>二、公司相对于控股股东在业务、人员、资产、机构、财务等方面的独立情况</w:t>
      </w:r>
      <w:r>
        <w:rPr>
          <w:b w:val="0"/>
          <w:bCs w:val="0"/>
        </w:rPr>
      </w:r>
    </w:p>
    <w:p>
      <w:pPr>
        <w:spacing w:line="240" w:lineRule="auto" w:before="3"/>
        <w:rPr>
          <w:rFonts w:ascii="宋体" w:hAnsi="宋体" w:cs="宋体" w:eastAsia="宋体" w:hint="default"/>
          <w:b/>
          <w:bCs/>
          <w:sz w:val="27"/>
          <w:szCs w:val="27"/>
        </w:rPr>
      </w:pPr>
    </w:p>
    <w:p>
      <w:pPr>
        <w:pStyle w:val="BodyText"/>
        <w:spacing w:line="316" w:lineRule="auto" w:before="0"/>
        <w:ind w:right="1047" w:firstLine="360"/>
        <w:jc w:val="both"/>
      </w:pPr>
      <w:r>
        <w:rPr>
          <w:spacing w:val="-3"/>
        </w:rPr>
        <w:t>公司严格按照《公司法》、《证券法》等有关法律法规和《公司章程》的要求规范运作，在业务、人员、资产、机构、</w:t>
      </w:r>
      <w:r>
        <w:rPr>
          <w:w w:val="101"/>
        </w:rPr>
        <w:t> </w:t>
      </w:r>
      <w:r>
        <w:rPr>
          <w:spacing w:val="-3"/>
        </w:rPr>
        <w:t>财务等方面均与控股股东完全分开，具有独立完整的业务及自主经营能力。</w:t>
      </w:r>
    </w:p>
    <w:p>
      <w:pPr>
        <w:pStyle w:val="BodyText"/>
        <w:spacing w:line="309" w:lineRule="auto" w:before="19"/>
        <w:ind w:right="1123" w:firstLine="360"/>
        <w:jc w:val="both"/>
      </w:pPr>
      <w:r>
        <w:rPr>
          <w:rFonts w:ascii="Times New Roman" w:hAnsi="Times New Roman" w:cs="Times New Roman" w:eastAsia="Times New Roman" w:hint="default"/>
          <w:spacing w:val="-3"/>
        </w:rPr>
        <w:t>1</w:t>
      </w:r>
      <w:r>
        <w:rPr>
          <w:spacing w:val="-3"/>
        </w:rPr>
        <w:t>、业务独立性：公司拥有独立完整的采购体系、生产体系、销售体系和研发设计体系，具有直接面向市场独立经营的</w:t>
      </w:r>
      <w:r>
        <w:rPr>
          <w:w w:val="101"/>
        </w:rPr>
        <w:t> </w:t>
      </w:r>
      <w:r>
        <w:rPr>
          <w:spacing w:val="-4"/>
        </w:rPr>
        <w:t>能力，不存在其它需要依赖控股股东进行生产经营活动的情况。公司与控股股东之间无同业竞争，控股股东不存在直接或间</w:t>
      </w:r>
      <w:r>
        <w:rPr>
          <w:spacing w:val="43"/>
        </w:rPr>
        <w:t> </w:t>
      </w:r>
      <w:r>
        <w:rPr>
          <w:spacing w:val="43"/>
        </w:rPr>
      </w:r>
      <w:r>
        <w:rPr>
          <w:spacing w:val="-3"/>
        </w:rPr>
        <w:t>接干预公司经营运作的情形。</w:t>
      </w:r>
    </w:p>
    <w:p>
      <w:pPr>
        <w:pStyle w:val="BodyText"/>
        <w:spacing w:line="309" w:lineRule="auto" w:before="24"/>
        <w:ind w:right="1124" w:firstLine="360"/>
        <w:jc w:val="both"/>
      </w:pPr>
      <w:r>
        <w:rPr>
          <w:rFonts w:ascii="Times New Roman" w:hAnsi="Times New Roman" w:cs="Times New Roman" w:eastAsia="Times New Roman" w:hint="default"/>
          <w:spacing w:val="-3"/>
        </w:rPr>
        <w:t>2</w:t>
      </w:r>
      <w:r>
        <w:rPr>
          <w:spacing w:val="-3"/>
        </w:rPr>
        <w:t>、人员独立性：公司在劳动、人事、工资管理等方面完全独立。公司的董事、监事、总经理、副总经理、财务负责人</w:t>
      </w:r>
      <w:r>
        <w:rPr>
          <w:w w:val="101"/>
        </w:rPr>
        <w:t> </w:t>
      </w:r>
      <w:r>
        <w:rPr>
          <w:spacing w:val="-4"/>
        </w:rPr>
        <w:t>和董事会秘书等高级管理人员的任职，均按照《公司法》及其他法律、法规、规范性文件、公司章程规定的程序进行。公司</w:t>
      </w:r>
      <w:r>
        <w:rPr>
          <w:spacing w:val="40"/>
        </w:rPr>
        <w:t> </w:t>
      </w:r>
      <w:r>
        <w:rPr>
          <w:spacing w:val="40"/>
        </w:rPr>
      </w:r>
      <w:r>
        <w:rPr>
          <w:spacing w:val="-3"/>
        </w:rPr>
        <w:t>总经理、副总经理、财务总监、董事会秘书等高级管理人员专职在公司工作并领取报酬。</w:t>
      </w:r>
    </w:p>
    <w:p>
      <w:pPr>
        <w:pStyle w:val="BodyText"/>
        <w:spacing w:line="300" w:lineRule="auto" w:before="24"/>
        <w:ind w:right="1133" w:firstLine="360"/>
        <w:jc w:val="both"/>
      </w:pPr>
      <w:r>
        <w:rPr>
          <w:rFonts w:ascii="Times New Roman" w:hAnsi="Times New Roman" w:cs="Times New Roman" w:eastAsia="Times New Roman" w:hint="default"/>
          <w:spacing w:val="-3"/>
        </w:rPr>
        <w:t>3</w:t>
      </w:r>
      <w:r>
        <w:rPr>
          <w:spacing w:val="-3"/>
        </w:rPr>
        <w:t>、资产独立性：公司与控股股东产权关系明晰，拥有独立的生产经营场所，拥有独立的研发、采购、生产、销售系统</w:t>
      </w:r>
      <w:r>
        <w:rPr>
          <w:w w:val="101"/>
        </w:rPr>
        <w:t> </w:t>
      </w:r>
      <w:r>
        <w:rPr>
          <w:spacing w:val="-3"/>
        </w:rPr>
        <w:t>及配套设施、商标使用权、土地使用权等资产，不存在控股股东占有公司资金、资产或其它资源的情况。</w:t>
      </w:r>
    </w:p>
    <w:p>
      <w:pPr>
        <w:pStyle w:val="BodyText"/>
        <w:spacing w:line="300" w:lineRule="auto" w:before="32"/>
        <w:ind w:right="1133" w:firstLine="360"/>
        <w:jc w:val="both"/>
      </w:pPr>
      <w:r>
        <w:rPr>
          <w:rFonts w:ascii="Times New Roman" w:hAnsi="Times New Roman" w:cs="Times New Roman" w:eastAsia="Times New Roman" w:hint="default"/>
          <w:spacing w:val="-3"/>
        </w:rPr>
        <w:t>4</w:t>
      </w:r>
      <w:r>
        <w:rPr>
          <w:spacing w:val="-3"/>
        </w:rPr>
        <w:t>、机构独立性：公司通过股东大会、董事会及其专门委员会、监事会、独立董事制度，强化权力制衡机制，形成了有</w:t>
      </w:r>
      <w:r>
        <w:rPr>
          <w:w w:val="101"/>
        </w:rPr>
        <w:t> </w:t>
      </w:r>
      <w:r>
        <w:rPr>
          <w:spacing w:val="-3"/>
        </w:rPr>
        <w:t>效的法人治理结构。公司销售、人事、行政、财务等所有机构与控股股东完全分开。</w:t>
      </w:r>
    </w:p>
    <w:p>
      <w:pPr>
        <w:pStyle w:val="BodyText"/>
        <w:spacing w:line="312" w:lineRule="auto" w:before="31"/>
        <w:ind w:right="1123" w:firstLine="360"/>
        <w:jc w:val="both"/>
      </w:pPr>
      <w:r>
        <w:rPr>
          <w:rFonts w:ascii="Times New Roman" w:hAnsi="Times New Roman" w:cs="Times New Roman" w:eastAsia="Times New Roman" w:hint="default"/>
          <w:spacing w:val="-3"/>
        </w:rPr>
        <w:t>5</w:t>
      </w:r>
      <w:r>
        <w:rPr>
          <w:spacing w:val="-3"/>
        </w:rPr>
        <w:t>、财务独立性：公司设立了独立的财务部门，配备了独立的财务人员，建立了独立的财务核算体系和规范的财务管理</w:t>
      </w:r>
      <w:r>
        <w:rPr>
          <w:w w:val="101"/>
        </w:rPr>
        <w:t> </w:t>
      </w:r>
      <w:r>
        <w:rPr>
          <w:spacing w:val="-4"/>
        </w:rPr>
        <w:t>制度，能够独立作出财务决策。公司开设了独立的银行账号，依法独立进行纳税申报和履行纳税义务，不存在与控股股东共</w:t>
      </w:r>
      <w:r>
        <w:rPr>
          <w:spacing w:val="40"/>
        </w:rPr>
        <w:t> </w:t>
      </w:r>
      <w:r>
        <w:rPr>
          <w:spacing w:val="40"/>
        </w:rPr>
      </w:r>
      <w:r>
        <w:rPr>
          <w:spacing w:val="-4"/>
        </w:rPr>
        <w:t>用银行账户或混合纳税的情况。公司不存在货币资金或其他资产被控股股东占用的情况，也不存在为控股股东提供担保的情</w:t>
      </w:r>
      <w:r>
        <w:rPr>
          <w:spacing w:val="43"/>
        </w:rPr>
        <w:t> </w:t>
      </w:r>
      <w:r>
        <w:rPr>
          <w:spacing w:val="43"/>
        </w:rPr>
      </w:r>
      <w:r>
        <w:rPr/>
        <w:t>况。</w:t>
      </w: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26"/>
          <w:szCs w:val="26"/>
        </w:rPr>
      </w:pPr>
    </w:p>
    <w:p>
      <w:pPr>
        <w:pStyle w:val="Heading2"/>
        <w:spacing w:line="240" w:lineRule="auto"/>
        <w:ind w:right="0"/>
        <w:jc w:val="left"/>
        <w:rPr>
          <w:b w:val="0"/>
          <w:bCs w:val="0"/>
        </w:rPr>
      </w:pPr>
      <w:bookmarkStart w:name="三、同业竞争情况" w:id="141"/>
      <w:bookmarkEnd w:id="141"/>
      <w:r>
        <w:rPr>
          <w:b w:val="0"/>
          <w:bCs w:val="0"/>
        </w:rPr>
      </w:r>
      <w:r>
        <w:rPr/>
        <w:t>三、同业竞争情况</w:t>
      </w:r>
      <w:r>
        <w:rPr>
          <w:b w:val="0"/>
          <w:bCs w:val="0"/>
        </w:rPr>
      </w:r>
    </w:p>
    <w:p>
      <w:pPr>
        <w:spacing w:line="240" w:lineRule="auto" w:before="7"/>
        <w:rPr>
          <w:rFonts w:ascii="宋体" w:hAnsi="宋体" w:cs="宋体" w:eastAsia="宋体" w:hint="default"/>
          <w:b/>
          <w:bCs/>
          <w:sz w:val="27"/>
          <w:szCs w:val="27"/>
        </w:rPr>
      </w:pPr>
    </w:p>
    <w:p>
      <w:pPr>
        <w:pStyle w:val="BodyText"/>
        <w:spacing w:line="240" w:lineRule="auto" w:before="0"/>
        <w:ind w:right="0"/>
        <w:jc w:val="left"/>
      </w:pPr>
      <w:r>
        <w:rPr/>
        <w:t>□ </w:t>
      </w:r>
      <w:r>
        <w:rPr>
          <w:spacing w:val="-3"/>
        </w:rPr>
        <w:t>适用 </w:t>
      </w:r>
      <w:r>
        <w:rPr/>
        <w:t>√</w:t>
      </w:r>
      <w:r>
        <w:rPr>
          <w:spacing w:val="13"/>
        </w:rPr>
        <w:t> </w:t>
      </w:r>
      <w:r>
        <w:rPr/>
        <w:t>不适用</w:t>
      </w:r>
    </w:p>
    <w:p>
      <w:pPr>
        <w:spacing w:line="240" w:lineRule="auto" w:before="13"/>
        <w:rPr>
          <w:rFonts w:ascii="宋体" w:hAnsi="宋体" w:cs="宋体" w:eastAsia="宋体" w:hint="default"/>
          <w:sz w:val="23"/>
          <w:szCs w:val="23"/>
        </w:rPr>
      </w:pPr>
    </w:p>
    <w:p>
      <w:pPr>
        <w:pStyle w:val="Heading2"/>
        <w:spacing w:line="240" w:lineRule="auto"/>
        <w:ind w:right="0"/>
        <w:jc w:val="left"/>
        <w:rPr>
          <w:b w:val="0"/>
          <w:bCs w:val="0"/>
        </w:rPr>
      </w:pPr>
      <w:bookmarkStart w:name="四、报告期内召开的年度股东大会和临时股东大会的有关情况" w:id="142"/>
      <w:bookmarkEnd w:id="142"/>
      <w:r>
        <w:rPr>
          <w:b w:val="0"/>
          <w:bCs w:val="0"/>
        </w:rPr>
      </w:r>
      <w:r>
        <w:rPr/>
        <w:t>四、报告期内召开的年度股东大会和临时股东大会的有关情况</w:t>
      </w:r>
      <w:r>
        <w:rPr>
          <w:b w:val="0"/>
          <w:bCs w:val="0"/>
        </w:rPr>
      </w:r>
    </w:p>
    <w:p>
      <w:pPr>
        <w:spacing w:line="240" w:lineRule="auto" w:before="3"/>
        <w:rPr>
          <w:rFonts w:ascii="宋体" w:hAnsi="宋体" w:cs="宋体" w:eastAsia="宋体" w:hint="default"/>
          <w:b/>
          <w:bCs/>
          <w:sz w:val="25"/>
          <w:szCs w:val="25"/>
        </w:rPr>
      </w:pPr>
    </w:p>
    <w:p>
      <w:pPr>
        <w:pStyle w:val="Heading4"/>
        <w:spacing w:line="240" w:lineRule="auto"/>
        <w:ind w:right="0"/>
        <w:jc w:val="left"/>
        <w:rPr>
          <w:b w:val="0"/>
          <w:bCs w:val="0"/>
        </w:rPr>
      </w:pPr>
      <w:bookmarkStart w:name="1、本报告期股东大会情况" w:id="143"/>
      <w:bookmarkEnd w:id="143"/>
      <w:r>
        <w:rPr>
          <w:b w:val="0"/>
          <w:bCs w:val="0"/>
        </w:rPr>
      </w:r>
      <w:r>
        <w:rPr>
          <w:rFonts w:ascii="Times New Roman" w:hAnsi="Times New Roman" w:cs="Times New Roman" w:eastAsia="Times New Roman" w:hint="default"/>
        </w:rPr>
        <w:t>1</w:t>
      </w:r>
      <w:r>
        <w:rPr/>
        <w:t>、本报告期股东大会情况</w:t>
      </w:r>
      <w:r>
        <w:rPr>
          <w:b w:val="0"/>
          <w:bCs w:val="0"/>
        </w:rPr>
      </w:r>
    </w:p>
    <w:p>
      <w:pPr>
        <w:spacing w:line="240" w:lineRule="auto" w:before="11"/>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1599"/>
        <w:gridCol w:w="1594"/>
        <w:gridCol w:w="1595"/>
        <w:gridCol w:w="1594"/>
        <w:gridCol w:w="1594"/>
        <w:gridCol w:w="1594"/>
      </w:tblGrid>
      <w:tr>
        <w:trPr>
          <w:trHeight w:val="399" w:hRule="exact"/>
        </w:trPr>
        <w:tc>
          <w:tcPr>
            <w:tcW w:w="1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36" w:right="0"/>
              <w:jc w:val="left"/>
              <w:rPr>
                <w:rFonts w:ascii="宋体" w:hAnsi="宋体" w:cs="宋体" w:eastAsia="宋体" w:hint="default"/>
                <w:sz w:val="18"/>
                <w:szCs w:val="18"/>
              </w:rPr>
            </w:pPr>
            <w:r>
              <w:rPr>
                <w:rFonts w:ascii="宋体" w:hAnsi="宋体" w:cs="宋体" w:eastAsia="宋体" w:hint="default"/>
                <w:sz w:val="18"/>
                <w:szCs w:val="18"/>
              </w:rPr>
              <w:t>会议届次</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429"/>
              <w:jc w:val="right"/>
              <w:rPr>
                <w:rFonts w:ascii="宋体" w:hAnsi="宋体" w:cs="宋体" w:eastAsia="宋体" w:hint="default"/>
                <w:sz w:val="18"/>
                <w:szCs w:val="18"/>
              </w:rPr>
            </w:pPr>
            <w:r>
              <w:rPr>
                <w:rFonts w:ascii="宋体" w:hAnsi="宋体" w:cs="宋体" w:eastAsia="宋体" w:hint="default"/>
                <w:spacing w:val="-2"/>
                <w:sz w:val="18"/>
                <w:szCs w:val="18"/>
              </w:rPr>
              <w:t>会议类型</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58" w:right="0"/>
              <w:jc w:val="left"/>
              <w:rPr>
                <w:rFonts w:ascii="宋体" w:hAnsi="宋体" w:cs="宋体" w:eastAsia="宋体" w:hint="default"/>
                <w:sz w:val="18"/>
                <w:szCs w:val="18"/>
              </w:rPr>
            </w:pPr>
            <w:r>
              <w:rPr>
                <w:rFonts w:ascii="宋体" w:hAnsi="宋体" w:cs="宋体" w:eastAsia="宋体" w:hint="default"/>
                <w:spacing w:val="-3"/>
                <w:sz w:val="18"/>
                <w:szCs w:val="18"/>
              </w:rPr>
              <w:t>投资者参与比例</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27" w:right="0"/>
              <w:jc w:val="left"/>
              <w:rPr>
                <w:rFonts w:ascii="宋体" w:hAnsi="宋体" w:cs="宋体" w:eastAsia="宋体" w:hint="default"/>
                <w:sz w:val="18"/>
                <w:szCs w:val="18"/>
              </w:rPr>
            </w:pPr>
            <w:r>
              <w:rPr>
                <w:rFonts w:ascii="宋体" w:hAnsi="宋体" w:cs="宋体" w:eastAsia="宋体" w:hint="default"/>
                <w:sz w:val="18"/>
                <w:szCs w:val="18"/>
              </w:rPr>
              <w:t>召开日期</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27" w:right="0"/>
              <w:jc w:val="left"/>
              <w:rPr>
                <w:rFonts w:ascii="宋体" w:hAnsi="宋体" w:cs="宋体" w:eastAsia="宋体" w:hint="default"/>
                <w:sz w:val="18"/>
                <w:szCs w:val="18"/>
              </w:rPr>
            </w:pPr>
            <w:r>
              <w:rPr>
                <w:rFonts w:ascii="宋体" w:hAnsi="宋体" w:cs="宋体" w:eastAsia="宋体" w:hint="default"/>
                <w:sz w:val="18"/>
                <w:szCs w:val="18"/>
              </w:rPr>
              <w:t>披露日期</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32" w:right="0"/>
              <w:jc w:val="left"/>
              <w:rPr>
                <w:rFonts w:ascii="宋体" w:hAnsi="宋体" w:cs="宋体" w:eastAsia="宋体" w:hint="default"/>
                <w:sz w:val="18"/>
                <w:szCs w:val="18"/>
              </w:rPr>
            </w:pPr>
            <w:r>
              <w:rPr>
                <w:rFonts w:ascii="宋体" w:hAnsi="宋体" w:cs="宋体" w:eastAsia="宋体" w:hint="default"/>
                <w:sz w:val="18"/>
                <w:szCs w:val="18"/>
              </w:rPr>
              <w:t>披露索引</w:t>
            </w:r>
          </w:p>
        </w:tc>
      </w:tr>
      <w:tr>
        <w:trPr>
          <w:trHeight w:val="2276"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300" w:lineRule="auto" w:before="129"/>
              <w:ind w:left="105" w:right="171"/>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年度股东大</w:t>
            </w:r>
            <w:r>
              <w:rPr>
                <w:rFonts w:ascii="宋体" w:hAnsi="宋体" w:cs="宋体" w:eastAsia="宋体" w:hint="default"/>
                <w:w w:val="101"/>
                <w:sz w:val="18"/>
                <w:szCs w:val="18"/>
              </w:rPr>
              <w:t> </w:t>
            </w:r>
            <w:r>
              <w:rPr>
                <w:rFonts w:ascii="宋体" w:hAnsi="宋体" w:cs="宋体" w:eastAsia="宋体" w:hint="default"/>
                <w:sz w:val="18"/>
                <w:szCs w:val="18"/>
              </w:rPr>
              <w:t>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right="396"/>
              <w:jc w:val="right"/>
              <w:rPr>
                <w:rFonts w:ascii="宋体" w:hAnsi="宋体" w:cs="宋体" w:eastAsia="宋体" w:hint="default"/>
                <w:sz w:val="18"/>
                <w:szCs w:val="18"/>
              </w:rPr>
            </w:pPr>
            <w:r>
              <w:rPr>
                <w:rFonts w:ascii="宋体" w:hAnsi="宋体" w:cs="宋体" w:eastAsia="宋体" w:hint="default"/>
                <w:spacing w:val="-2"/>
                <w:sz w:val="18"/>
                <w:szCs w:val="18"/>
              </w:rPr>
              <w:t>年度股东大会</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24"/>
                <w:szCs w:val="2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46.32%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pacing w:val="-5"/>
                <w:sz w:val="18"/>
                <w:szCs w:val="18"/>
              </w:rPr>
              <w:t>23</w:t>
            </w:r>
            <w:r>
              <w:rPr>
                <w:rFonts w:ascii="Times New Roman" w:hAnsi="Times New Roman" w:cs="Times New Roman" w:eastAsia="Times New Roman" w:hint="default"/>
                <w:sz w:val="18"/>
                <w:szCs w:val="18"/>
              </w:rPr>
            </w:r>
          </w:p>
          <w:p>
            <w:pPr>
              <w:pStyle w:val="TableParagraph"/>
              <w:spacing w:line="240" w:lineRule="auto" w:before="63"/>
              <w:ind w:left="100"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pacing w:val="-5"/>
                <w:sz w:val="18"/>
                <w:szCs w:val="18"/>
              </w:rPr>
              <w:t>24</w:t>
            </w:r>
            <w:r>
              <w:rPr>
                <w:rFonts w:ascii="Times New Roman" w:hAnsi="Times New Roman" w:cs="Times New Roman" w:eastAsia="Times New Roman" w:hint="default"/>
                <w:sz w:val="18"/>
                <w:szCs w:val="18"/>
              </w:rPr>
            </w:r>
          </w:p>
          <w:p>
            <w:pPr>
              <w:pStyle w:val="TableParagraph"/>
              <w:spacing w:line="240" w:lineRule="auto" w:before="63"/>
              <w:ind w:left="100"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3"/>
              <w:ind w:left="105" w:right="6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年度股东大</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10"/>
                <w:sz w:val="18"/>
                <w:szCs w:val="18"/>
              </w:rPr>
              <w:t>会决议公告（公告</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pacing w:val="-2"/>
                <w:sz w:val="18"/>
                <w:szCs w:val="18"/>
              </w:rPr>
              <w:t>编号：</w:t>
            </w:r>
            <w:r>
              <w:rPr>
                <w:rFonts w:ascii="Times New Roman" w:hAnsi="Times New Roman" w:cs="Times New Roman" w:eastAsia="Times New Roman" w:hint="default"/>
                <w:spacing w:val="-2"/>
                <w:sz w:val="18"/>
                <w:szCs w:val="18"/>
              </w:rPr>
              <w:t>2019-040</w:t>
            </w:r>
            <w:r>
              <w:rPr>
                <w:rFonts w:ascii="宋体" w:hAnsi="宋体" w:cs="宋体" w:eastAsia="宋体" w:hint="default"/>
                <w:spacing w:val="-2"/>
                <w:sz w:val="18"/>
                <w:szCs w:val="18"/>
              </w:rPr>
              <w:t>）</w:t>
            </w:r>
            <w:r>
              <w:rPr>
                <w:rFonts w:ascii="宋体" w:hAnsi="宋体" w:cs="宋体" w:eastAsia="宋体" w:hint="default"/>
                <w:spacing w:val="-63"/>
                <w:sz w:val="18"/>
                <w:szCs w:val="18"/>
              </w:rPr>
              <w:t> </w:t>
            </w:r>
            <w:r>
              <w:rPr>
                <w:rFonts w:ascii="宋体" w:hAnsi="宋体" w:cs="宋体" w:eastAsia="宋体" w:hint="default"/>
                <w:spacing w:val="-3"/>
                <w:sz w:val="18"/>
                <w:szCs w:val="18"/>
              </w:rPr>
              <w:t>刊登在巨潮资讯</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网</w:t>
            </w:r>
          </w:p>
          <w:p>
            <w:pPr>
              <w:pStyle w:val="TableParagraph"/>
              <w:spacing w:line="319" w:lineRule="auto" w:before="66"/>
              <w:ind w:left="105" w:right="2"/>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w:t>
            </w:r>
            <w:hyperlink r:id="rId46">
              <w:r>
                <w:rPr>
                  <w:rFonts w:ascii="Times New Roman" w:hAnsi="Times New Roman" w:cs="Times New Roman" w:eastAsia="Times New Roman" w:hint="default"/>
                  <w:spacing w:val="-3"/>
                  <w:sz w:val="18"/>
                  <w:szCs w:val="18"/>
                </w:rPr>
                <w:t>www.cninfo.com.</w:t>
              </w:r>
            </w:hyperlink>
            <w:r>
              <w:rPr>
                <w:rFonts w:ascii="Times New Roman" w:hAnsi="Times New Roman" w:cs="Times New Roman" w:eastAsia="Times New Roman" w:hint="default"/>
                <w:spacing w:val="-21"/>
                <w:sz w:val="18"/>
                <w:szCs w:val="18"/>
              </w:rPr>
              <w:t> </w:t>
            </w:r>
            <w:r>
              <w:rPr>
                <w:rFonts w:ascii="Times New Roman" w:hAnsi="Times New Roman" w:cs="Times New Roman" w:eastAsia="Times New Roman" w:hint="default"/>
                <w:spacing w:val="-21"/>
                <w:sz w:val="18"/>
                <w:szCs w:val="18"/>
              </w:rPr>
            </w:r>
            <w:r>
              <w:rPr>
                <w:rFonts w:ascii="Times New Roman" w:hAnsi="Times New Roman" w:cs="Times New Roman" w:eastAsia="Times New Roman" w:hint="default"/>
                <w:spacing w:val="-4"/>
                <w:sz w:val="18"/>
                <w:szCs w:val="18"/>
              </w:rPr>
              <w:t>cn)</w:t>
            </w:r>
            <w:r>
              <w:rPr>
                <w:rFonts w:ascii="宋体" w:hAnsi="宋体" w:cs="宋体" w:eastAsia="宋体" w:hint="default"/>
                <w:spacing w:val="-4"/>
                <w:sz w:val="18"/>
                <w:szCs w:val="18"/>
              </w:rPr>
              <w:t>和《证券时报》</w:t>
            </w:r>
          </w:p>
        </w:tc>
      </w:tr>
      <w:tr>
        <w:trPr>
          <w:trHeight w:val="1925"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4"/>
                <w:szCs w:val="14"/>
              </w:rPr>
            </w:pPr>
          </w:p>
          <w:p>
            <w:pPr>
              <w:pStyle w:val="TableParagraph"/>
              <w:spacing w:line="300" w:lineRule="auto"/>
              <w:ind w:left="105" w:right="171"/>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年度第一次</w:t>
            </w:r>
            <w:r>
              <w:rPr>
                <w:rFonts w:ascii="宋体" w:hAnsi="宋体" w:cs="宋体" w:eastAsia="宋体" w:hint="default"/>
                <w:w w:val="101"/>
                <w:sz w:val="18"/>
                <w:szCs w:val="18"/>
              </w:rPr>
              <w:t> </w:t>
            </w:r>
            <w:r>
              <w:rPr>
                <w:rFonts w:ascii="宋体" w:hAnsi="宋体" w:cs="宋体" w:eastAsia="宋体" w:hint="default"/>
                <w:sz w:val="18"/>
                <w:szCs w:val="18"/>
              </w:rPr>
              <w:t>临时股东大会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26"/>
                <w:szCs w:val="26"/>
              </w:rPr>
            </w:pPr>
          </w:p>
          <w:p>
            <w:pPr>
              <w:pStyle w:val="TableParagraph"/>
              <w:spacing w:line="240" w:lineRule="auto"/>
              <w:ind w:right="396"/>
              <w:jc w:val="right"/>
              <w:rPr>
                <w:rFonts w:ascii="宋体" w:hAnsi="宋体" w:cs="宋体" w:eastAsia="宋体" w:hint="default"/>
                <w:sz w:val="18"/>
                <w:szCs w:val="18"/>
              </w:rPr>
            </w:pPr>
            <w:r>
              <w:rPr>
                <w:rFonts w:ascii="宋体" w:hAnsi="宋体" w:cs="宋体" w:eastAsia="宋体" w:hint="default"/>
                <w:spacing w:val="-2"/>
                <w:sz w:val="18"/>
                <w:szCs w:val="18"/>
              </w:rPr>
              <w:t>临时股东大会</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8"/>
              <w:ind w:right="101"/>
              <w:jc w:val="right"/>
              <w:rPr>
                <w:rFonts w:ascii="Times New Roman" w:hAnsi="Times New Roman" w:cs="Times New Roman" w:eastAsia="Times New Roman" w:hint="default"/>
                <w:sz w:val="18"/>
                <w:szCs w:val="18"/>
              </w:rPr>
            </w:pPr>
            <w:r>
              <w:rPr>
                <w:rFonts w:ascii="Times New Roman"/>
                <w:spacing w:val="-1"/>
                <w:sz w:val="18"/>
              </w:rPr>
              <w:t>45.24%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pacing w:val="-5"/>
                <w:sz w:val="18"/>
                <w:szCs w:val="18"/>
              </w:rPr>
              <w:t>23</w:t>
            </w:r>
            <w:r>
              <w:rPr>
                <w:rFonts w:ascii="Times New Roman" w:hAnsi="Times New Roman" w:cs="Times New Roman" w:eastAsia="Times New Roman" w:hint="default"/>
                <w:sz w:val="18"/>
                <w:szCs w:val="18"/>
              </w:rPr>
            </w:r>
          </w:p>
          <w:p>
            <w:pPr>
              <w:pStyle w:val="TableParagraph"/>
              <w:spacing w:line="240" w:lineRule="auto" w:before="63"/>
              <w:ind w:left="100"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pacing w:val="-5"/>
                <w:sz w:val="18"/>
                <w:szCs w:val="18"/>
              </w:rPr>
              <w:t>24</w:t>
            </w:r>
            <w:r>
              <w:rPr>
                <w:rFonts w:ascii="Times New Roman" w:hAnsi="Times New Roman" w:cs="Times New Roman" w:eastAsia="Times New Roman" w:hint="default"/>
                <w:sz w:val="18"/>
                <w:szCs w:val="18"/>
              </w:rPr>
            </w:r>
          </w:p>
          <w:p>
            <w:pPr>
              <w:pStyle w:val="TableParagraph"/>
              <w:spacing w:line="240" w:lineRule="auto" w:before="63"/>
              <w:ind w:left="100"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53"/>
              <w:ind w:left="105" w:right="113"/>
              <w:jc w:val="both"/>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年度第一次</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3"/>
                <w:sz w:val="18"/>
                <w:szCs w:val="18"/>
              </w:rPr>
              <w:t>临时股东大会决</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3"/>
                <w:sz w:val="18"/>
                <w:szCs w:val="18"/>
              </w:rPr>
              <w:t>议公告（公告编</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6"/>
                <w:sz w:val="18"/>
                <w:szCs w:val="18"/>
              </w:rPr>
              <w:t>号：</w:t>
            </w:r>
            <w:r>
              <w:rPr>
                <w:rFonts w:ascii="Times New Roman" w:hAnsi="Times New Roman" w:cs="Times New Roman" w:eastAsia="Times New Roman" w:hint="default"/>
                <w:spacing w:val="-6"/>
                <w:sz w:val="18"/>
                <w:szCs w:val="18"/>
              </w:rPr>
              <w:t>2019-011</w:t>
            </w:r>
            <w:r>
              <w:rPr>
                <w:rFonts w:ascii="宋体" w:hAnsi="宋体" w:cs="宋体" w:eastAsia="宋体" w:hint="default"/>
                <w:spacing w:val="-6"/>
                <w:sz w:val="18"/>
                <w:szCs w:val="18"/>
              </w:rPr>
              <w:t>）刊</w:t>
            </w:r>
            <w:r>
              <w:rPr>
                <w:rFonts w:ascii="宋体" w:hAnsi="宋体" w:cs="宋体" w:eastAsia="宋体" w:hint="default"/>
                <w:spacing w:val="-70"/>
                <w:sz w:val="18"/>
                <w:szCs w:val="18"/>
              </w:rPr>
              <w:t> </w:t>
            </w:r>
            <w:r>
              <w:rPr>
                <w:rFonts w:ascii="宋体" w:hAnsi="宋体" w:cs="宋体" w:eastAsia="宋体" w:hint="default"/>
                <w:spacing w:val="-3"/>
                <w:sz w:val="18"/>
                <w:szCs w:val="18"/>
              </w:rPr>
              <w:t>登在巨潮资讯网</w:t>
            </w:r>
          </w:p>
          <w:p>
            <w:pPr>
              <w:pStyle w:val="TableParagraph"/>
              <w:spacing w:line="240" w:lineRule="auto" w:before="68"/>
              <w:ind w:left="105" w:right="0"/>
              <w:jc w:val="both"/>
              <w:rPr>
                <w:rFonts w:ascii="Times New Roman" w:hAnsi="Times New Roman" w:cs="Times New Roman" w:eastAsia="Times New Roman" w:hint="default"/>
                <w:sz w:val="18"/>
                <w:szCs w:val="18"/>
              </w:rPr>
            </w:pPr>
            <w:r>
              <w:rPr>
                <w:rFonts w:ascii="Times New Roman"/>
                <w:spacing w:val="-3"/>
                <w:sz w:val="18"/>
              </w:rPr>
              <w:t>(</w:t>
            </w:r>
            <w:hyperlink r:id="rId46">
              <w:r>
                <w:rPr>
                  <w:rFonts w:ascii="Times New Roman"/>
                  <w:spacing w:val="-3"/>
                  <w:sz w:val="18"/>
                </w:rPr>
                <w:t>www.cninfo.com.</w:t>
              </w:r>
            </w:hyperlink>
          </w:p>
        </w:tc>
      </w:tr>
    </w:tbl>
    <w:p>
      <w:pPr>
        <w:spacing w:after="0" w:line="240" w:lineRule="auto"/>
        <w:jc w:val="both"/>
        <w:rPr>
          <w:rFonts w:ascii="Times New Roman" w:hAnsi="Times New Roman" w:cs="Times New Roman" w:eastAsia="Times New Roman" w:hint="default"/>
          <w:sz w:val="18"/>
          <w:szCs w:val="18"/>
        </w:rPr>
        <w:sectPr>
          <w:pgSz w:w="11910" w:h="16840"/>
          <w:pgMar w:header="784" w:footer="1022" w:top="1100" w:bottom="1220" w:left="980" w:right="0"/>
        </w:sectPr>
      </w:pPr>
    </w:p>
    <w:p>
      <w:pPr>
        <w:spacing w:line="240" w:lineRule="auto" w:before="7"/>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1599"/>
        <w:gridCol w:w="1594"/>
        <w:gridCol w:w="1595"/>
        <w:gridCol w:w="1594"/>
        <w:gridCol w:w="1594"/>
        <w:gridCol w:w="1594"/>
      </w:tblGrid>
      <w:tr>
        <w:trPr>
          <w:trHeight w:val="360" w:hRule="exact"/>
        </w:trPr>
        <w:tc>
          <w:tcPr>
            <w:tcW w:w="1599"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5" w:right="0"/>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cn)</w:t>
            </w:r>
            <w:r>
              <w:rPr>
                <w:rFonts w:ascii="宋体" w:hAnsi="宋体" w:cs="宋体" w:eastAsia="宋体" w:hint="default"/>
                <w:spacing w:val="-4"/>
                <w:sz w:val="18"/>
                <w:szCs w:val="18"/>
              </w:rPr>
              <w:t>和《证券时报》</w:t>
            </w:r>
          </w:p>
        </w:tc>
      </w:tr>
      <w:tr>
        <w:trPr>
          <w:trHeight w:val="2276"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300" w:lineRule="auto" w:before="130"/>
              <w:ind w:left="105" w:right="171"/>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年度第二次</w:t>
            </w:r>
            <w:r>
              <w:rPr>
                <w:rFonts w:ascii="宋体" w:hAnsi="宋体" w:cs="宋体" w:eastAsia="宋体" w:hint="default"/>
                <w:w w:val="101"/>
                <w:sz w:val="18"/>
                <w:szCs w:val="18"/>
              </w:rPr>
              <w:t> </w:t>
            </w:r>
            <w:r>
              <w:rPr>
                <w:rFonts w:ascii="宋体" w:hAnsi="宋体" w:cs="宋体" w:eastAsia="宋体" w:hint="default"/>
                <w:sz w:val="18"/>
                <w:szCs w:val="18"/>
              </w:rPr>
              <w:t>临时股东大会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24"/>
                <w:szCs w:val="2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45.98%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z w:val="18"/>
                <w:szCs w:val="18"/>
              </w:rPr>
            </w:r>
          </w:p>
          <w:p>
            <w:pPr>
              <w:pStyle w:val="TableParagraph"/>
              <w:spacing w:line="240" w:lineRule="auto" w:before="63"/>
              <w:ind w:left="100"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100"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3"/>
              <w:ind w:left="105" w:right="113"/>
              <w:jc w:val="both"/>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年度第二次</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3"/>
                <w:sz w:val="18"/>
                <w:szCs w:val="18"/>
              </w:rPr>
              <w:t>临时股东大会决</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3"/>
                <w:sz w:val="18"/>
                <w:szCs w:val="18"/>
              </w:rPr>
              <w:t>议公告（公告编</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6"/>
                <w:sz w:val="18"/>
                <w:szCs w:val="18"/>
              </w:rPr>
              <w:t>号：</w:t>
            </w:r>
            <w:r>
              <w:rPr>
                <w:rFonts w:ascii="Times New Roman" w:hAnsi="Times New Roman" w:cs="Times New Roman" w:eastAsia="Times New Roman" w:hint="default"/>
                <w:spacing w:val="-6"/>
                <w:sz w:val="18"/>
                <w:szCs w:val="18"/>
              </w:rPr>
              <w:t>2019-093</w:t>
            </w:r>
            <w:r>
              <w:rPr>
                <w:rFonts w:ascii="宋体" w:hAnsi="宋体" w:cs="宋体" w:eastAsia="宋体" w:hint="default"/>
                <w:spacing w:val="-6"/>
                <w:sz w:val="18"/>
                <w:szCs w:val="18"/>
              </w:rPr>
              <w:t>）刊</w:t>
            </w:r>
            <w:r>
              <w:rPr>
                <w:rFonts w:ascii="宋体" w:hAnsi="宋体" w:cs="宋体" w:eastAsia="宋体" w:hint="default"/>
                <w:spacing w:val="-69"/>
                <w:sz w:val="18"/>
                <w:szCs w:val="18"/>
              </w:rPr>
              <w:t> </w:t>
            </w:r>
            <w:r>
              <w:rPr>
                <w:rFonts w:ascii="宋体" w:hAnsi="宋体" w:cs="宋体" w:eastAsia="宋体" w:hint="default"/>
                <w:spacing w:val="-3"/>
                <w:sz w:val="18"/>
                <w:szCs w:val="18"/>
              </w:rPr>
              <w:t>登在巨潮资讯网</w:t>
            </w:r>
          </w:p>
          <w:p>
            <w:pPr>
              <w:pStyle w:val="TableParagraph"/>
              <w:spacing w:line="319" w:lineRule="auto" w:before="66"/>
              <w:ind w:left="105" w:right="2"/>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w:t>
            </w:r>
            <w:hyperlink r:id="rId46">
              <w:r>
                <w:rPr>
                  <w:rFonts w:ascii="Times New Roman" w:hAnsi="Times New Roman" w:cs="Times New Roman" w:eastAsia="Times New Roman" w:hint="default"/>
                  <w:spacing w:val="-3"/>
                  <w:sz w:val="18"/>
                  <w:szCs w:val="18"/>
                </w:rPr>
                <w:t>www.cninfo.com.</w:t>
              </w:r>
            </w:hyperlink>
            <w:r>
              <w:rPr>
                <w:rFonts w:ascii="Times New Roman" w:hAnsi="Times New Roman" w:cs="Times New Roman" w:eastAsia="Times New Roman" w:hint="default"/>
                <w:spacing w:val="-21"/>
                <w:sz w:val="18"/>
                <w:szCs w:val="18"/>
              </w:rPr>
              <w:t> </w:t>
            </w:r>
            <w:r>
              <w:rPr>
                <w:rFonts w:ascii="Times New Roman" w:hAnsi="Times New Roman" w:cs="Times New Roman" w:eastAsia="Times New Roman" w:hint="default"/>
                <w:spacing w:val="-21"/>
                <w:sz w:val="18"/>
                <w:szCs w:val="18"/>
              </w:rPr>
            </w:r>
            <w:r>
              <w:rPr>
                <w:rFonts w:ascii="Times New Roman" w:hAnsi="Times New Roman" w:cs="Times New Roman" w:eastAsia="Times New Roman" w:hint="default"/>
                <w:spacing w:val="-4"/>
                <w:sz w:val="18"/>
                <w:szCs w:val="18"/>
              </w:rPr>
              <w:t>cn)</w:t>
            </w:r>
            <w:r>
              <w:rPr>
                <w:rFonts w:ascii="宋体" w:hAnsi="宋体" w:cs="宋体" w:eastAsia="宋体" w:hint="default"/>
                <w:spacing w:val="-4"/>
                <w:sz w:val="18"/>
                <w:szCs w:val="18"/>
              </w:rPr>
              <w:t>和《证券时报》</w:t>
            </w:r>
          </w:p>
        </w:tc>
      </w:tr>
      <w:tr>
        <w:trPr>
          <w:trHeight w:val="2276"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300" w:lineRule="auto" w:before="130"/>
              <w:ind w:left="105" w:right="171"/>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年度第三次</w:t>
            </w:r>
            <w:r>
              <w:rPr>
                <w:rFonts w:ascii="宋体" w:hAnsi="宋体" w:cs="宋体" w:eastAsia="宋体" w:hint="default"/>
                <w:w w:val="101"/>
                <w:sz w:val="18"/>
                <w:szCs w:val="18"/>
              </w:rPr>
              <w:t> </w:t>
            </w:r>
            <w:r>
              <w:rPr>
                <w:rFonts w:ascii="宋体" w:hAnsi="宋体" w:cs="宋体" w:eastAsia="宋体" w:hint="default"/>
                <w:sz w:val="18"/>
                <w:szCs w:val="18"/>
              </w:rPr>
              <w:t>临时股东大会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24"/>
                <w:szCs w:val="2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40.42%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pacing w:val="-5"/>
                <w:sz w:val="18"/>
                <w:szCs w:val="18"/>
              </w:rPr>
              <w:t>23</w:t>
            </w:r>
            <w:r>
              <w:rPr>
                <w:rFonts w:ascii="Times New Roman" w:hAnsi="Times New Roman" w:cs="Times New Roman" w:eastAsia="Times New Roman" w:hint="default"/>
                <w:sz w:val="18"/>
                <w:szCs w:val="18"/>
              </w:rPr>
            </w:r>
          </w:p>
          <w:p>
            <w:pPr>
              <w:pStyle w:val="TableParagraph"/>
              <w:spacing w:line="240" w:lineRule="auto" w:before="63"/>
              <w:ind w:left="100"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pacing w:val="-5"/>
                <w:sz w:val="18"/>
                <w:szCs w:val="18"/>
              </w:rPr>
              <w:t>24</w:t>
            </w:r>
            <w:r>
              <w:rPr>
                <w:rFonts w:ascii="Times New Roman" w:hAnsi="Times New Roman" w:cs="Times New Roman" w:eastAsia="Times New Roman" w:hint="default"/>
                <w:sz w:val="18"/>
                <w:szCs w:val="18"/>
              </w:rPr>
            </w:r>
          </w:p>
          <w:p>
            <w:pPr>
              <w:pStyle w:val="TableParagraph"/>
              <w:spacing w:line="240" w:lineRule="auto" w:before="63"/>
              <w:ind w:left="100"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4"/>
              <w:ind w:left="105" w:right="108"/>
              <w:jc w:val="both"/>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年度第三次</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3"/>
                <w:sz w:val="18"/>
                <w:szCs w:val="18"/>
              </w:rPr>
              <w:t>临时股东大会决</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3"/>
                <w:sz w:val="18"/>
                <w:szCs w:val="18"/>
              </w:rPr>
              <w:t>议公告（公告编</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6"/>
                <w:sz w:val="18"/>
                <w:szCs w:val="18"/>
              </w:rPr>
              <w:t>号：</w:t>
            </w:r>
            <w:r>
              <w:rPr>
                <w:rFonts w:ascii="Times New Roman" w:hAnsi="Times New Roman" w:cs="Times New Roman" w:eastAsia="Times New Roman" w:hint="default"/>
                <w:spacing w:val="-6"/>
                <w:sz w:val="18"/>
                <w:szCs w:val="18"/>
              </w:rPr>
              <w:t>2019-111</w:t>
            </w:r>
            <w:r>
              <w:rPr>
                <w:rFonts w:ascii="宋体" w:hAnsi="宋体" w:cs="宋体" w:eastAsia="宋体" w:hint="default"/>
                <w:spacing w:val="-6"/>
                <w:sz w:val="18"/>
                <w:szCs w:val="18"/>
              </w:rPr>
              <w:t>）刊</w:t>
            </w:r>
            <w:r>
              <w:rPr>
                <w:rFonts w:ascii="宋体" w:hAnsi="宋体" w:cs="宋体" w:eastAsia="宋体" w:hint="default"/>
                <w:spacing w:val="-65"/>
                <w:sz w:val="18"/>
                <w:szCs w:val="18"/>
              </w:rPr>
              <w:t> </w:t>
            </w:r>
            <w:r>
              <w:rPr>
                <w:rFonts w:ascii="宋体" w:hAnsi="宋体" w:cs="宋体" w:eastAsia="宋体" w:hint="default"/>
                <w:spacing w:val="-3"/>
                <w:sz w:val="18"/>
                <w:szCs w:val="18"/>
              </w:rPr>
              <w:t>登在巨潮资讯网</w:t>
            </w:r>
          </w:p>
          <w:p>
            <w:pPr>
              <w:pStyle w:val="TableParagraph"/>
              <w:spacing w:line="319" w:lineRule="auto" w:before="67"/>
              <w:ind w:left="105" w:right="2"/>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w:t>
            </w:r>
            <w:hyperlink r:id="rId46">
              <w:r>
                <w:rPr>
                  <w:rFonts w:ascii="Times New Roman" w:hAnsi="Times New Roman" w:cs="Times New Roman" w:eastAsia="Times New Roman" w:hint="default"/>
                  <w:spacing w:val="-3"/>
                  <w:sz w:val="18"/>
                  <w:szCs w:val="18"/>
                </w:rPr>
                <w:t>www.cninfo.com.</w:t>
              </w:r>
            </w:hyperlink>
            <w:r>
              <w:rPr>
                <w:rFonts w:ascii="Times New Roman" w:hAnsi="Times New Roman" w:cs="Times New Roman" w:eastAsia="Times New Roman" w:hint="default"/>
                <w:spacing w:val="-21"/>
                <w:sz w:val="18"/>
                <w:szCs w:val="18"/>
              </w:rPr>
              <w:t> </w:t>
            </w:r>
            <w:r>
              <w:rPr>
                <w:rFonts w:ascii="Times New Roman" w:hAnsi="Times New Roman" w:cs="Times New Roman" w:eastAsia="Times New Roman" w:hint="default"/>
                <w:spacing w:val="-21"/>
                <w:sz w:val="18"/>
                <w:szCs w:val="18"/>
              </w:rPr>
            </w:r>
            <w:r>
              <w:rPr>
                <w:rFonts w:ascii="Times New Roman" w:hAnsi="Times New Roman" w:cs="Times New Roman" w:eastAsia="Times New Roman" w:hint="default"/>
                <w:spacing w:val="-4"/>
                <w:sz w:val="18"/>
                <w:szCs w:val="18"/>
              </w:rPr>
              <w:t>cn)</w:t>
            </w:r>
            <w:r>
              <w:rPr>
                <w:rFonts w:ascii="宋体" w:hAnsi="宋体" w:cs="宋体" w:eastAsia="宋体" w:hint="default"/>
                <w:spacing w:val="-4"/>
                <w:sz w:val="18"/>
                <w:szCs w:val="18"/>
              </w:rPr>
              <w:t>和《证券时报》</w:t>
            </w:r>
          </w:p>
        </w:tc>
      </w:tr>
    </w:tbl>
    <w:p>
      <w:pPr>
        <w:spacing w:line="240" w:lineRule="auto" w:before="3"/>
        <w:rPr>
          <w:rFonts w:ascii="宋体" w:hAnsi="宋体" w:cs="宋体" w:eastAsia="宋体" w:hint="default"/>
          <w:b/>
          <w:bCs/>
          <w:sz w:val="19"/>
          <w:szCs w:val="19"/>
        </w:rPr>
      </w:pPr>
    </w:p>
    <w:p>
      <w:pPr>
        <w:pStyle w:val="Heading4"/>
        <w:spacing w:line="240" w:lineRule="auto" w:before="36"/>
        <w:ind w:right="0"/>
        <w:jc w:val="left"/>
        <w:rPr>
          <w:b w:val="0"/>
          <w:bCs w:val="0"/>
        </w:rPr>
      </w:pPr>
      <w:bookmarkStart w:name="2、表决权恢复的优先股股东请求召开临时股东大会" w:id="144"/>
      <w:bookmarkEnd w:id="144"/>
      <w:r>
        <w:rPr>
          <w:b w:val="0"/>
          <w:bCs w:val="0"/>
        </w:rPr>
      </w:r>
      <w:r>
        <w:rPr>
          <w:rFonts w:ascii="Times New Roman" w:hAnsi="Times New Roman" w:cs="Times New Roman" w:eastAsia="Times New Roman" w:hint="default"/>
        </w:rPr>
        <w:t>2</w:t>
      </w:r>
      <w:r>
        <w:rPr/>
        <w:t>、表决权恢复的优先股股东请求召开临时股东大会</w:t>
      </w:r>
      <w:r>
        <w:rPr>
          <w:b w:val="0"/>
          <w:bCs w:val="0"/>
        </w:rPr>
      </w:r>
    </w:p>
    <w:p>
      <w:pPr>
        <w:spacing w:line="240" w:lineRule="auto" w:before="9"/>
        <w:rPr>
          <w:rFonts w:ascii="宋体" w:hAnsi="宋体" w:cs="宋体" w:eastAsia="宋体" w:hint="default"/>
          <w:b/>
          <w:bCs/>
          <w:sz w:val="26"/>
          <w:szCs w:val="26"/>
        </w:rPr>
      </w:pPr>
    </w:p>
    <w:p>
      <w:pPr>
        <w:pStyle w:val="BodyText"/>
        <w:spacing w:line="240" w:lineRule="auto" w:before="0"/>
        <w:ind w:right="0"/>
        <w:jc w:val="left"/>
      </w:pPr>
      <w:r>
        <w:rPr/>
        <w:t>□ </w:t>
      </w:r>
      <w:r>
        <w:rPr>
          <w:spacing w:val="-3"/>
        </w:rPr>
        <w:t>适用 </w:t>
      </w:r>
      <w:r>
        <w:rPr/>
        <w:t>√</w:t>
      </w:r>
      <w:r>
        <w:rPr>
          <w:spacing w:val="13"/>
        </w:rPr>
        <w:t> </w:t>
      </w:r>
      <w:r>
        <w:rPr/>
        <w:t>不适用</w:t>
      </w:r>
    </w:p>
    <w:p>
      <w:pPr>
        <w:spacing w:line="240" w:lineRule="auto" w:before="5"/>
        <w:rPr>
          <w:rFonts w:ascii="宋体" w:hAnsi="宋体" w:cs="宋体" w:eastAsia="宋体" w:hint="default"/>
          <w:sz w:val="24"/>
          <w:szCs w:val="24"/>
        </w:rPr>
      </w:pPr>
    </w:p>
    <w:p>
      <w:pPr>
        <w:pStyle w:val="Heading2"/>
        <w:spacing w:line="240" w:lineRule="auto"/>
        <w:ind w:right="0"/>
        <w:jc w:val="left"/>
        <w:rPr>
          <w:b w:val="0"/>
          <w:bCs w:val="0"/>
        </w:rPr>
      </w:pPr>
      <w:bookmarkStart w:name="五、报告期内独立董事履行职责的情况" w:id="145"/>
      <w:bookmarkEnd w:id="145"/>
      <w:r>
        <w:rPr>
          <w:b w:val="0"/>
          <w:bCs w:val="0"/>
        </w:rPr>
      </w:r>
      <w:r>
        <w:rPr/>
        <w:t>五、报告期内独立董事履行职责的情况</w:t>
      </w:r>
      <w:r>
        <w:rPr>
          <w:b w:val="0"/>
          <w:bCs w:val="0"/>
        </w:rPr>
      </w:r>
    </w:p>
    <w:p>
      <w:pPr>
        <w:spacing w:line="240" w:lineRule="auto" w:before="3"/>
        <w:rPr>
          <w:rFonts w:ascii="宋体" w:hAnsi="宋体" w:cs="宋体" w:eastAsia="宋体" w:hint="default"/>
          <w:b/>
          <w:bCs/>
          <w:sz w:val="25"/>
          <w:szCs w:val="25"/>
        </w:rPr>
      </w:pPr>
    </w:p>
    <w:p>
      <w:pPr>
        <w:pStyle w:val="Heading4"/>
        <w:spacing w:line="240" w:lineRule="auto"/>
        <w:ind w:right="0"/>
        <w:jc w:val="left"/>
        <w:rPr>
          <w:b w:val="0"/>
          <w:bCs w:val="0"/>
        </w:rPr>
      </w:pPr>
      <w:bookmarkStart w:name="1、独立董事出席董事会及股东大会的情况" w:id="146"/>
      <w:bookmarkEnd w:id="146"/>
      <w:r>
        <w:rPr>
          <w:b w:val="0"/>
          <w:bCs w:val="0"/>
        </w:rPr>
      </w:r>
      <w:r>
        <w:rPr>
          <w:rFonts w:ascii="Times New Roman" w:hAnsi="Times New Roman" w:cs="Times New Roman" w:eastAsia="Times New Roman" w:hint="default"/>
        </w:rPr>
        <w:t>1</w:t>
      </w:r>
      <w:r>
        <w:rPr/>
        <w:t>、独立董事出席董事会及股东大会的情况</w:t>
      </w:r>
      <w:r>
        <w:rPr>
          <w:b w:val="0"/>
          <w:bCs w:val="0"/>
        </w:rPr>
      </w:r>
    </w:p>
    <w:p>
      <w:pPr>
        <w:spacing w:line="240" w:lineRule="auto" w:before="7"/>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1426"/>
        <w:gridCol w:w="1167"/>
        <w:gridCol w:w="1162"/>
        <w:gridCol w:w="1167"/>
        <w:gridCol w:w="1162"/>
        <w:gridCol w:w="1162"/>
        <w:gridCol w:w="1162"/>
        <w:gridCol w:w="1167"/>
      </w:tblGrid>
      <w:tr>
        <w:trPr>
          <w:trHeight w:val="404" w:hRule="exact"/>
        </w:trPr>
        <w:tc>
          <w:tcPr>
            <w:tcW w:w="9575"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8" w:right="0"/>
              <w:jc w:val="center"/>
              <w:rPr>
                <w:rFonts w:ascii="宋体" w:hAnsi="宋体" w:cs="宋体" w:eastAsia="宋体" w:hint="default"/>
                <w:sz w:val="18"/>
                <w:szCs w:val="18"/>
              </w:rPr>
            </w:pPr>
            <w:r>
              <w:rPr>
                <w:rFonts w:ascii="宋体" w:hAnsi="宋体" w:cs="宋体" w:eastAsia="宋体" w:hint="default"/>
                <w:spacing w:val="-3"/>
                <w:sz w:val="18"/>
                <w:szCs w:val="18"/>
              </w:rPr>
              <w:t>独立董事出席董事会及股东大会的情况</w:t>
            </w:r>
          </w:p>
        </w:tc>
      </w:tr>
      <w:tr>
        <w:trPr>
          <w:trHeight w:val="1339" w:hRule="exact"/>
        </w:trPr>
        <w:tc>
          <w:tcPr>
            <w:tcW w:w="14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22"/>
                <w:szCs w:val="22"/>
              </w:rPr>
            </w:pPr>
          </w:p>
          <w:p>
            <w:pPr>
              <w:pStyle w:val="TableParagraph"/>
              <w:spacing w:line="240" w:lineRule="auto"/>
              <w:ind w:left="168" w:right="0"/>
              <w:jc w:val="left"/>
              <w:rPr>
                <w:rFonts w:ascii="宋体" w:hAnsi="宋体" w:cs="宋体" w:eastAsia="宋体" w:hint="default"/>
                <w:sz w:val="18"/>
                <w:szCs w:val="18"/>
              </w:rPr>
            </w:pPr>
            <w:r>
              <w:rPr>
                <w:rFonts w:ascii="宋体" w:hAnsi="宋体" w:cs="宋体" w:eastAsia="宋体" w:hint="default"/>
                <w:sz w:val="18"/>
                <w:szCs w:val="18"/>
              </w:rPr>
              <w:t>独立董事姓名</w:t>
            </w:r>
          </w:p>
        </w:tc>
        <w:tc>
          <w:tcPr>
            <w:tcW w:w="1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316" w:lineRule="auto"/>
              <w:ind w:left="129" w:right="123"/>
              <w:jc w:val="center"/>
              <w:rPr>
                <w:rFonts w:ascii="宋体" w:hAnsi="宋体" w:cs="宋体" w:eastAsia="宋体" w:hint="default"/>
                <w:sz w:val="18"/>
                <w:szCs w:val="18"/>
              </w:rPr>
            </w:pPr>
            <w:r>
              <w:rPr>
                <w:rFonts w:ascii="宋体" w:hAnsi="宋体" w:cs="宋体" w:eastAsia="宋体" w:hint="default"/>
                <w:spacing w:val="-2"/>
                <w:sz w:val="18"/>
                <w:szCs w:val="18"/>
              </w:rPr>
              <w:t>本报告期应</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2"/>
                <w:sz w:val="18"/>
                <w:szCs w:val="18"/>
              </w:rPr>
              <w:t>参加董事会</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次数</w:t>
            </w:r>
          </w:p>
        </w:tc>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30"/>
              <w:ind w:left="215" w:right="118" w:hanging="87"/>
              <w:jc w:val="left"/>
              <w:rPr>
                <w:rFonts w:ascii="宋体" w:hAnsi="宋体" w:cs="宋体" w:eastAsia="宋体" w:hint="default"/>
                <w:sz w:val="18"/>
                <w:szCs w:val="18"/>
              </w:rPr>
            </w:pPr>
            <w:r>
              <w:rPr>
                <w:rFonts w:ascii="宋体" w:hAnsi="宋体" w:cs="宋体" w:eastAsia="宋体" w:hint="default"/>
                <w:spacing w:val="-2"/>
                <w:sz w:val="18"/>
                <w:szCs w:val="18"/>
              </w:rPr>
              <w:t>现场出席董</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事会次数</w:t>
            </w:r>
          </w:p>
        </w:tc>
        <w:tc>
          <w:tcPr>
            <w:tcW w:w="1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316" w:lineRule="auto"/>
              <w:ind w:left="129" w:right="123"/>
              <w:jc w:val="center"/>
              <w:rPr>
                <w:rFonts w:ascii="宋体" w:hAnsi="宋体" w:cs="宋体" w:eastAsia="宋体" w:hint="default"/>
                <w:sz w:val="18"/>
                <w:szCs w:val="18"/>
              </w:rPr>
            </w:pPr>
            <w:r>
              <w:rPr>
                <w:rFonts w:ascii="宋体" w:hAnsi="宋体" w:cs="宋体" w:eastAsia="宋体" w:hint="default"/>
                <w:spacing w:val="-2"/>
                <w:sz w:val="18"/>
                <w:szCs w:val="18"/>
              </w:rPr>
              <w:t>以通讯方式</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2"/>
                <w:sz w:val="18"/>
                <w:szCs w:val="18"/>
              </w:rPr>
              <w:t>参加董事会</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次数</w:t>
            </w:r>
          </w:p>
        </w:tc>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30"/>
              <w:ind w:left="211" w:right="123" w:hanging="87"/>
              <w:jc w:val="left"/>
              <w:rPr>
                <w:rFonts w:ascii="宋体" w:hAnsi="宋体" w:cs="宋体" w:eastAsia="宋体" w:hint="default"/>
                <w:sz w:val="18"/>
                <w:szCs w:val="18"/>
              </w:rPr>
            </w:pPr>
            <w:r>
              <w:rPr>
                <w:rFonts w:ascii="宋体" w:hAnsi="宋体" w:cs="宋体" w:eastAsia="宋体" w:hint="default"/>
                <w:spacing w:val="-2"/>
                <w:sz w:val="18"/>
                <w:szCs w:val="18"/>
              </w:rPr>
              <w:t>委托出席董</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事会次数</w:t>
            </w:r>
          </w:p>
        </w:tc>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30"/>
              <w:ind w:left="398" w:right="118" w:hanging="269"/>
              <w:jc w:val="left"/>
              <w:rPr>
                <w:rFonts w:ascii="宋体" w:hAnsi="宋体" w:cs="宋体" w:eastAsia="宋体" w:hint="default"/>
                <w:sz w:val="18"/>
                <w:szCs w:val="18"/>
              </w:rPr>
            </w:pPr>
            <w:r>
              <w:rPr>
                <w:rFonts w:ascii="宋体" w:hAnsi="宋体" w:cs="宋体" w:eastAsia="宋体" w:hint="default"/>
                <w:spacing w:val="-2"/>
                <w:sz w:val="18"/>
                <w:szCs w:val="18"/>
              </w:rPr>
              <w:t>缺席董事会</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次数</w:t>
            </w:r>
          </w:p>
        </w:tc>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29" w:right="118"/>
              <w:jc w:val="center"/>
              <w:rPr>
                <w:rFonts w:ascii="宋体" w:hAnsi="宋体" w:cs="宋体" w:eastAsia="宋体" w:hint="default"/>
                <w:sz w:val="18"/>
                <w:szCs w:val="18"/>
              </w:rPr>
            </w:pPr>
            <w:r>
              <w:rPr>
                <w:rFonts w:ascii="宋体" w:hAnsi="宋体" w:cs="宋体" w:eastAsia="宋体" w:hint="default"/>
                <w:spacing w:val="-2"/>
                <w:sz w:val="18"/>
                <w:szCs w:val="18"/>
              </w:rPr>
              <w:t>是否连续两</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2"/>
                <w:sz w:val="18"/>
                <w:szCs w:val="18"/>
              </w:rPr>
              <w:t>次未亲自参</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2"/>
                <w:sz w:val="18"/>
                <w:szCs w:val="18"/>
              </w:rPr>
              <w:t>加董事会会</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议</w:t>
            </w:r>
          </w:p>
        </w:tc>
        <w:tc>
          <w:tcPr>
            <w:tcW w:w="1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30"/>
              <w:ind w:left="307" w:right="122" w:hanging="178"/>
              <w:jc w:val="left"/>
              <w:rPr>
                <w:rFonts w:ascii="宋体" w:hAnsi="宋体" w:cs="宋体" w:eastAsia="宋体" w:hint="default"/>
                <w:sz w:val="18"/>
                <w:szCs w:val="18"/>
              </w:rPr>
            </w:pPr>
            <w:r>
              <w:rPr>
                <w:rFonts w:ascii="宋体" w:hAnsi="宋体" w:cs="宋体" w:eastAsia="宋体" w:hint="default"/>
                <w:spacing w:val="-2"/>
                <w:sz w:val="18"/>
                <w:szCs w:val="18"/>
              </w:rPr>
              <w:t>出席股东大</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会次数</w:t>
            </w:r>
          </w:p>
        </w:tc>
      </w:tr>
      <w:tr>
        <w:trPr>
          <w:trHeight w:val="404" w:hRule="exact"/>
        </w:trPr>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贾广新</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z w:val="18"/>
              </w:rPr>
              <w:t>13</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w w:val="101"/>
                <w:sz w:val="18"/>
              </w:rPr>
              <w:t>6</w:t>
            </w:r>
            <w:r>
              <w:rPr>
                <w:rFonts w:ascii="Times New Roman"/>
                <w:sz w:val="18"/>
              </w:rPr>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3"/>
              <w:jc w:val="right"/>
              <w:rPr>
                <w:rFonts w:ascii="Times New Roman" w:hAnsi="Times New Roman" w:cs="Times New Roman" w:eastAsia="Times New Roman" w:hint="default"/>
                <w:sz w:val="18"/>
                <w:szCs w:val="18"/>
              </w:rPr>
            </w:pPr>
            <w:r>
              <w:rPr>
                <w:rFonts w:ascii="Times New Roman"/>
                <w:w w:val="101"/>
                <w:sz w:val="18"/>
              </w:rPr>
              <w:t>7</w:t>
            </w:r>
            <w:r>
              <w:rPr>
                <w:rFonts w:ascii="Times New Roman"/>
                <w:sz w:val="18"/>
              </w:rPr>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3"/>
              <w:jc w:val="right"/>
              <w:rPr>
                <w:rFonts w:ascii="Times New Roman" w:hAnsi="Times New Roman" w:cs="Times New Roman" w:eastAsia="Times New Roman" w:hint="default"/>
                <w:sz w:val="18"/>
                <w:szCs w:val="18"/>
              </w:rPr>
            </w:pPr>
            <w:r>
              <w:rPr>
                <w:rFonts w:ascii="Times New Roman"/>
                <w:w w:val="101"/>
                <w:sz w:val="18"/>
              </w:rPr>
              <w:t>2</w:t>
            </w:r>
            <w:r>
              <w:rPr>
                <w:rFonts w:ascii="Times New Roman"/>
                <w:sz w:val="18"/>
              </w:rPr>
            </w:r>
          </w:p>
        </w:tc>
      </w:tr>
      <w:tr>
        <w:trPr>
          <w:trHeight w:val="398" w:hRule="exact"/>
        </w:trPr>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王丽娜</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z w:val="18"/>
              </w:rPr>
              <w:t>13</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w w:val="101"/>
                <w:sz w:val="18"/>
              </w:rPr>
              <w:t>7</w:t>
            </w:r>
            <w:r>
              <w:rPr>
                <w:rFonts w:ascii="Times New Roman"/>
                <w:sz w:val="18"/>
              </w:rPr>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3"/>
              <w:jc w:val="right"/>
              <w:rPr>
                <w:rFonts w:ascii="Times New Roman" w:hAnsi="Times New Roman" w:cs="Times New Roman" w:eastAsia="Times New Roman" w:hint="default"/>
                <w:sz w:val="18"/>
                <w:szCs w:val="18"/>
              </w:rPr>
            </w:pPr>
            <w:r>
              <w:rPr>
                <w:rFonts w:ascii="Times New Roman"/>
                <w:w w:val="101"/>
                <w:sz w:val="18"/>
              </w:rPr>
              <w:t>6</w:t>
            </w:r>
            <w:r>
              <w:rPr>
                <w:rFonts w:ascii="Times New Roman"/>
                <w:sz w:val="18"/>
              </w:rPr>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3"/>
              <w:jc w:val="right"/>
              <w:rPr>
                <w:rFonts w:ascii="Times New Roman" w:hAnsi="Times New Roman" w:cs="Times New Roman" w:eastAsia="Times New Roman" w:hint="default"/>
                <w:sz w:val="18"/>
                <w:szCs w:val="18"/>
              </w:rPr>
            </w:pPr>
            <w:r>
              <w:rPr>
                <w:rFonts w:ascii="Times New Roman"/>
                <w:w w:val="101"/>
                <w:sz w:val="18"/>
              </w:rPr>
              <w:t>1</w:t>
            </w:r>
            <w:r>
              <w:rPr>
                <w:rFonts w:ascii="Times New Roman"/>
                <w:sz w:val="18"/>
              </w:rPr>
            </w:r>
          </w:p>
        </w:tc>
      </w:tr>
      <w:tr>
        <w:trPr>
          <w:trHeight w:val="403" w:hRule="exact"/>
        </w:trPr>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李华雄</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z w:val="18"/>
              </w:rPr>
              <w:t>12</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z w:val="18"/>
              </w:rPr>
              <w:t>10</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3"/>
              <w:jc w:val="right"/>
              <w:rPr>
                <w:rFonts w:ascii="Times New Roman" w:hAnsi="Times New Roman" w:cs="Times New Roman" w:eastAsia="Times New Roman" w:hint="default"/>
                <w:sz w:val="18"/>
                <w:szCs w:val="18"/>
              </w:rPr>
            </w:pPr>
            <w:r>
              <w:rPr>
                <w:rFonts w:ascii="Times New Roman"/>
                <w:w w:val="101"/>
                <w:sz w:val="18"/>
              </w:rPr>
              <w:t>2</w:t>
            </w:r>
            <w:r>
              <w:rPr>
                <w:rFonts w:ascii="Times New Roman"/>
                <w:sz w:val="18"/>
              </w:rPr>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bl>
    <w:p>
      <w:pPr>
        <w:pStyle w:val="BodyText"/>
        <w:spacing w:line="300" w:lineRule="auto" w:before="53"/>
        <w:ind w:right="0" w:firstLine="268"/>
        <w:jc w:val="left"/>
      </w:pPr>
      <w:r>
        <w:rPr>
          <w:spacing w:val="-5"/>
        </w:rPr>
        <w:t>注：公司于 </w:t>
      </w:r>
      <w:r>
        <w:rPr>
          <w:rFonts w:ascii="Times New Roman" w:hAnsi="Times New Roman" w:cs="Times New Roman" w:eastAsia="Times New Roman" w:hint="default"/>
        </w:rPr>
        <w:t>2019 </w:t>
      </w:r>
      <w:r>
        <w:rPr/>
        <w:t>年 </w:t>
      </w:r>
      <w:r>
        <w:rPr>
          <w:rFonts w:ascii="Times New Roman" w:hAnsi="Times New Roman" w:cs="Times New Roman" w:eastAsia="Times New Roman" w:hint="default"/>
        </w:rPr>
        <w:t>1 </w:t>
      </w:r>
      <w:r>
        <w:rPr/>
        <w:t>月 </w:t>
      </w:r>
      <w:r>
        <w:rPr>
          <w:rFonts w:ascii="Times New Roman" w:hAnsi="Times New Roman" w:cs="Times New Roman" w:eastAsia="Times New Roman" w:hint="default"/>
        </w:rPr>
        <w:t>4</w:t>
      </w:r>
      <w:r>
        <w:rPr>
          <w:rFonts w:ascii="Times New Roman" w:hAnsi="Times New Roman" w:cs="Times New Roman" w:eastAsia="Times New Roman" w:hint="default"/>
          <w:spacing w:val="-4"/>
        </w:rPr>
        <w:t> </w:t>
      </w:r>
      <w:r>
        <w:rPr>
          <w:spacing w:val="-5"/>
        </w:rPr>
        <w:t>日召开第三届董事会第三十五次会议，审议通过《关于董事会换届选举的议案》，李华雄先生</w:t>
      </w:r>
      <w:r>
        <w:rPr>
          <w:w w:val="101"/>
        </w:rPr>
        <w:t> </w:t>
      </w:r>
      <w:r>
        <w:rPr>
          <w:spacing w:val="-3"/>
        </w:rPr>
        <w:t>为第四届董事会新任独立董事候选人，未出席本次董事会。</w:t>
      </w:r>
    </w:p>
    <w:p>
      <w:pPr>
        <w:pStyle w:val="BodyText"/>
        <w:spacing w:line="357" w:lineRule="auto" w:before="74"/>
        <w:ind w:right="7667"/>
        <w:jc w:val="left"/>
      </w:pPr>
      <w:r>
        <w:rPr>
          <w:spacing w:val="-3"/>
        </w:rPr>
        <w:t>连续两次未亲自出席董事会的说明</w:t>
      </w:r>
      <w:r>
        <w:rPr>
          <w:spacing w:val="-44"/>
        </w:rPr>
        <w:t> </w:t>
      </w:r>
      <w:r>
        <w:rPr>
          <w:spacing w:val="-44"/>
        </w:rPr>
      </w:r>
      <w:r>
        <w:rPr/>
        <w:t>不适用</w:t>
      </w:r>
    </w:p>
    <w:p>
      <w:pPr>
        <w:spacing w:line="240" w:lineRule="auto" w:before="7"/>
        <w:rPr>
          <w:rFonts w:ascii="宋体" w:hAnsi="宋体" w:cs="宋体" w:eastAsia="宋体" w:hint="default"/>
          <w:sz w:val="19"/>
          <w:szCs w:val="19"/>
        </w:rPr>
      </w:pPr>
    </w:p>
    <w:p>
      <w:pPr>
        <w:pStyle w:val="Heading4"/>
        <w:spacing w:line="240" w:lineRule="auto"/>
        <w:ind w:right="0"/>
        <w:jc w:val="left"/>
        <w:rPr>
          <w:b w:val="0"/>
          <w:bCs w:val="0"/>
        </w:rPr>
      </w:pPr>
      <w:bookmarkStart w:name="2、独立董事对公司有关事项提出异议的情况" w:id="147"/>
      <w:bookmarkEnd w:id="147"/>
      <w:r>
        <w:rPr>
          <w:b w:val="0"/>
          <w:bCs w:val="0"/>
        </w:rPr>
      </w:r>
      <w:r>
        <w:rPr>
          <w:rFonts w:ascii="Times New Roman" w:hAnsi="Times New Roman" w:cs="Times New Roman" w:eastAsia="Times New Roman" w:hint="default"/>
        </w:rPr>
        <w:t>2</w:t>
      </w:r>
      <w:r>
        <w:rPr/>
        <w:t>、独立董事对公司有关事项提出异议的情况</w:t>
      </w:r>
      <w:r>
        <w:rPr>
          <w:b w:val="0"/>
          <w:bCs w:val="0"/>
        </w:rPr>
      </w:r>
    </w:p>
    <w:p>
      <w:pPr>
        <w:spacing w:line="240" w:lineRule="auto" w:before="1"/>
        <w:rPr>
          <w:rFonts w:ascii="宋体" w:hAnsi="宋体" w:cs="宋体" w:eastAsia="宋体" w:hint="default"/>
          <w:b/>
          <w:bCs/>
          <w:sz w:val="27"/>
          <w:szCs w:val="27"/>
        </w:rPr>
      </w:pPr>
    </w:p>
    <w:p>
      <w:pPr>
        <w:pStyle w:val="BodyText"/>
        <w:spacing w:line="240" w:lineRule="auto" w:before="0"/>
        <w:ind w:right="0"/>
        <w:jc w:val="left"/>
      </w:pPr>
      <w:r>
        <w:rPr>
          <w:spacing w:val="-3"/>
        </w:rPr>
        <w:t>独立董事对公司有关事项是否提出异议</w:t>
      </w:r>
    </w:p>
    <w:p>
      <w:pPr>
        <w:pStyle w:val="BodyText"/>
        <w:spacing w:line="357" w:lineRule="auto" w:before="119"/>
        <w:ind w:right="6445"/>
        <w:jc w:val="left"/>
      </w:pPr>
      <w:r>
        <w:rPr/>
        <w:t>□</w:t>
      </w:r>
      <w:r>
        <w:rPr>
          <w:spacing w:val="1"/>
        </w:rPr>
        <w:t> </w:t>
      </w:r>
      <w:r>
        <w:rPr/>
        <w:t>是</w:t>
      </w:r>
      <w:r>
        <w:rPr>
          <w:spacing w:val="-4"/>
        </w:rPr>
        <w:t> </w:t>
      </w:r>
      <w:r>
        <w:rPr/>
        <w:t>√</w:t>
      </w:r>
      <w:r>
        <w:rPr>
          <w:spacing w:val="-4"/>
        </w:rPr>
        <w:t> </w:t>
      </w:r>
      <w:r>
        <w:rPr/>
        <w:t>否</w:t>
      </w:r>
      <w:r>
        <w:rPr>
          <w:spacing w:val="-82"/>
        </w:rPr>
        <w:t> </w:t>
      </w:r>
      <w:r>
        <w:rPr>
          <w:spacing w:val="-82"/>
        </w:rPr>
      </w:r>
      <w:r>
        <w:rPr>
          <w:spacing w:val="-3"/>
        </w:rPr>
        <w:t>报告期内独立董事对公司有关事项未提出异议。</w:t>
      </w:r>
    </w:p>
    <w:p>
      <w:pPr>
        <w:spacing w:after="0" w:line="357" w:lineRule="auto"/>
        <w:jc w:val="left"/>
        <w:sectPr>
          <w:pgSz w:w="11910" w:h="16840"/>
          <w:pgMar w:header="784" w:footer="1022" w:top="1100" w:bottom="1220" w:left="980" w:right="0"/>
        </w:sectPr>
      </w:pPr>
    </w:p>
    <w:p>
      <w:pPr>
        <w:spacing w:line="240" w:lineRule="auto" w:before="8"/>
        <w:rPr>
          <w:rFonts w:ascii="宋体" w:hAnsi="宋体" w:cs="宋体" w:eastAsia="宋体" w:hint="default"/>
          <w:sz w:val="21"/>
          <w:szCs w:val="21"/>
        </w:rPr>
      </w:pPr>
    </w:p>
    <w:p>
      <w:pPr>
        <w:pStyle w:val="Heading4"/>
        <w:spacing w:line="240" w:lineRule="auto" w:before="36"/>
        <w:ind w:right="0"/>
        <w:jc w:val="both"/>
        <w:rPr>
          <w:b w:val="0"/>
          <w:bCs w:val="0"/>
        </w:rPr>
      </w:pPr>
      <w:bookmarkStart w:name="3、独立董事履行职责的其他说明" w:id="148"/>
      <w:bookmarkEnd w:id="148"/>
      <w:r>
        <w:rPr>
          <w:b w:val="0"/>
          <w:bCs w:val="0"/>
        </w:rPr>
      </w:r>
      <w:r>
        <w:rPr>
          <w:rFonts w:ascii="Times New Roman" w:hAnsi="Times New Roman" w:cs="Times New Roman" w:eastAsia="Times New Roman" w:hint="default"/>
        </w:rPr>
        <w:t>3</w:t>
      </w:r>
      <w:r>
        <w:rPr/>
        <w:t>、独立董事履行职责的其他说明</w:t>
      </w:r>
      <w:r>
        <w:rPr>
          <w:b w:val="0"/>
          <w:bCs w:val="0"/>
        </w:rPr>
      </w:r>
    </w:p>
    <w:p>
      <w:pPr>
        <w:spacing w:line="240" w:lineRule="auto" w:before="1"/>
        <w:rPr>
          <w:rFonts w:ascii="宋体" w:hAnsi="宋体" w:cs="宋体" w:eastAsia="宋体" w:hint="default"/>
          <w:b/>
          <w:bCs/>
          <w:sz w:val="27"/>
          <w:szCs w:val="27"/>
        </w:rPr>
      </w:pPr>
    </w:p>
    <w:p>
      <w:pPr>
        <w:pStyle w:val="BodyText"/>
        <w:spacing w:line="240" w:lineRule="auto" w:before="0"/>
        <w:ind w:right="0"/>
        <w:jc w:val="both"/>
      </w:pPr>
      <w:r>
        <w:rPr>
          <w:spacing w:val="-3"/>
        </w:rPr>
        <w:t>独立董事对公司有关建议是否被采纳</w:t>
      </w:r>
    </w:p>
    <w:p>
      <w:pPr>
        <w:pStyle w:val="BodyText"/>
        <w:spacing w:line="357" w:lineRule="auto" w:before="115"/>
        <w:ind w:right="6445"/>
        <w:jc w:val="left"/>
      </w:pPr>
      <w:r>
        <w:rPr/>
        <w:t>√</w:t>
      </w:r>
      <w:r>
        <w:rPr>
          <w:spacing w:val="1"/>
        </w:rPr>
        <w:t> </w:t>
      </w:r>
      <w:r>
        <w:rPr/>
        <w:t>是</w:t>
      </w:r>
      <w:r>
        <w:rPr>
          <w:spacing w:val="-4"/>
        </w:rPr>
        <w:t> </w:t>
      </w:r>
      <w:r>
        <w:rPr/>
        <w:t>□</w:t>
      </w:r>
      <w:r>
        <w:rPr>
          <w:spacing w:val="-4"/>
        </w:rPr>
        <w:t> </w:t>
      </w:r>
      <w:r>
        <w:rPr/>
        <w:t>否</w:t>
      </w:r>
      <w:r>
        <w:rPr>
          <w:spacing w:val="-82"/>
        </w:rPr>
        <w:t> </w:t>
      </w:r>
      <w:r>
        <w:rPr>
          <w:spacing w:val="-82"/>
        </w:rPr>
      </w:r>
      <w:r>
        <w:rPr>
          <w:spacing w:val="-3"/>
        </w:rPr>
        <w:t>独立董事对公司有关建议被采纳或未被采纳的说明</w:t>
      </w:r>
    </w:p>
    <w:p>
      <w:pPr>
        <w:pStyle w:val="BodyText"/>
        <w:spacing w:line="316" w:lineRule="auto" w:before="26"/>
        <w:ind w:right="0" w:firstLine="360"/>
        <w:jc w:val="left"/>
      </w:pPr>
      <w:r>
        <w:rPr>
          <w:spacing w:val="-5"/>
        </w:rPr>
        <w:t>报告期内，独立董事通过参加会议和现场检查等方式，及时了解掌握公司经营与发展情况，结合其在管理、财务、法律</w:t>
      </w:r>
      <w:r>
        <w:rPr>
          <w:w w:val="101"/>
        </w:rPr>
        <w:t> </w:t>
      </w:r>
      <w:r>
        <w:rPr>
          <w:spacing w:val="-3"/>
        </w:rPr>
        <w:t>等方面的特长，就公司的战略发展、内部控制等方面提出的合理的建议，公司结合自身实际情况予以采纳。</w:t>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6"/>
          <w:szCs w:val="26"/>
        </w:rPr>
      </w:pPr>
    </w:p>
    <w:p>
      <w:pPr>
        <w:pStyle w:val="Heading2"/>
        <w:spacing w:line="240" w:lineRule="auto"/>
        <w:ind w:right="0"/>
        <w:jc w:val="both"/>
        <w:rPr>
          <w:b w:val="0"/>
          <w:bCs w:val="0"/>
        </w:rPr>
      </w:pPr>
      <w:bookmarkStart w:name="六、董事会下设专门委员会在报告期内履行职责情况" w:id="149"/>
      <w:bookmarkEnd w:id="149"/>
      <w:r>
        <w:rPr>
          <w:b w:val="0"/>
          <w:bCs w:val="0"/>
        </w:rPr>
      </w:r>
      <w:r>
        <w:rPr/>
        <w:t>六、董事会下设专门委员会在报告期内履行职责情况</w:t>
      </w:r>
      <w:r>
        <w:rPr>
          <w:b w:val="0"/>
          <w:bCs w:val="0"/>
        </w:rPr>
      </w:r>
    </w:p>
    <w:p>
      <w:pPr>
        <w:spacing w:line="240" w:lineRule="auto" w:before="11"/>
        <w:rPr>
          <w:rFonts w:ascii="宋体" w:hAnsi="宋体" w:cs="宋体" w:eastAsia="宋体" w:hint="default"/>
          <w:b/>
          <w:bCs/>
          <w:sz w:val="26"/>
          <w:szCs w:val="26"/>
        </w:rPr>
      </w:pPr>
    </w:p>
    <w:p>
      <w:pPr>
        <w:pStyle w:val="BodyText"/>
        <w:spacing w:line="300" w:lineRule="auto" w:before="0"/>
        <w:ind w:left="513" w:right="0"/>
        <w:jc w:val="left"/>
      </w:pPr>
      <w:r>
        <w:rPr>
          <w:rFonts w:ascii="Times New Roman" w:hAnsi="Times New Roman" w:cs="Times New Roman" w:eastAsia="Times New Roman" w:hint="default"/>
        </w:rPr>
        <w:t>1</w:t>
      </w:r>
      <w:r>
        <w:rPr/>
        <w:t>、董事会战略委员会的履职情况</w:t>
      </w:r>
      <w:r>
        <w:rPr>
          <w:spacing w:val="-86"/>
        </w:rPr>
        <w:t> </w:t>
      </w:r>
      <w:r>
        <w:rPr>
          <w:spacing w:val="-86"/>
        </w:rPr>
      </w:r>
      <w:r>
        <w:rPr>
          <w:spacing w:val="-4"/>
        </w:rPr>
        <w:t>公司董事会战略委员会由吴涵渠、王丽娜、贾广新三位董事组成，其中王丽娜、贾广新为独立董事，吴涵渠担任委员会</w:t>
      </w:r>
    </w:p>
    <w:p>
      <w:pPr>
        <w:pStyle w:val="BodyText"/>
        <w:spacing w:line="307" w:lineRule="auto" w:before="31"/>
        <w:ind w:right="1126"/>
        <w:jc w:val="both"/>
      </w:pPr>
      <w:r>
        <w:rPr/>
        <w:t>主任。 </w:t>
      </w:r>
      <w:r>
        <w:rPr>
          <w:spacing w:val="-3"/>
        </w:rPr>
        <w:t>报告期内，根据中国证监会、深圳证券交易所及公司《战略委员会议事规则》的规定，公司战略委员会本着勤勉尽</w:t>
      </w:r>
      <w:r>
        <w:rPr>
          <w:spacing w:val="-52"/>
        </w:rPr>
        <w:t> </w:t>
      </w:r>
      <w:r>
        <w:rPr>
          <w:spacing w:val="-52"/>
        </w:rPr>
      </w:r>
      <w:r>
        <w:rPr>
          <w:spacing w:val="-3"/>
        </w:rPr>
        <w:t>责的原则，履行工作职责。报告期内，战略委员会共召开了</w:t>
      </w:r>
      <w:r>
        <w:rPr>
          <w:rFonts w:ascii="宋体" w:hAnsi="宋体" w:cs="宋体" w:eastAsia="宋体" w:hint="default"/>
          <w:spacing w:val="-3"/>
        </w:rPr>
        <w:t>2</w:t>
      </w:r>
      <w:r>
        <w:rPr>
          <w:spacing w:val="-3"/>
        </w:rPr>
        <w:t>次会议，审议通过了《关于</w:t>
      </w:r>
      <w:r>
        <w:rPr>
          <w:rFonts w:ascii="Times New Roman" w:hAnsi="Times New Roman" w:cs="Times New Roman" w:eastAsia="Times New Roman" w:hint="default"/>
          <w:spacing w:val="-3"/>
        </w:rPr>
        <w:t>&lt;</w:t>
      </w:r>
      <w:r>
        <w:rPr>
          <w:spacing w:val="-3"/>
        </w:rPr>
        <w:t>公司</w:t>
      </w:r>
      <w:r>
        <w:rPr>
          <w:rFonts w:ascii="Times New Roman" w:hAnsi="Times New Roman" w:cs="Times New Roman" w:eastAsia="Times New Roman" w:hint="default"/>
          <w:spacing w:val="-3"/>
        </w:rPr>
        <w:t>2019</w:t>
      </w:r>
      <w:r>
        <w:rPr>
          <w:spacing w:val="-3"/>
        </w:rPr>
        <w:t>年度发展战略和经营计</w:t>
      </w:r>
      <w:r>
        <w:rPr>
          <w:spacing w:val="77"/>
        </w:rPr>
        <w:t> </w:t>
      </w:r>
      <w:r>
        <w:rPr>
          <w:spacing w:val="77"/>
        </w:rPr>
      </w:r>
      <w:r>
        <w:rPr>
          <w:spacing w:val="-3"/>
        </w:rPr>
        <w:t>划</w:t>
      </w:r>
      <w:r>
        <w:rPr>
          <w:rFonts w:ascii="Times New Roman" w:hAnsi="Times New Roman" w:cs="Times New Roman" w:eastAsia="Times New Roman" w:hint="default"/>
          <w:spacing w:val="-3"/>
        </w:rPr>
        <w:t>&gt;</w:t>
      </w:r>
      <w:r>
        <w:rPr>
          <w:spacing w:val="-3"/>
        </w:rPr>
        <w:t>的议案》、《关于</w:t>
      </w:r>
      <w:r>
        <w:rPr>
          <w:rFonts w:ascii="宋体" w:hAnsi="宋体" w:cs="宋体" w:eastAsia="宋体" w:hint="default"/>
          <w:spacing w:val="-3"/>
        </w:rPr>
        <w:t>&lt;</w:t>
      </w:r>
      <w:r>
        <w:rPr>
          <w:spacing w:val="-3"/>
        </w:rPr>
        <w:t>深圳市奥拓电子股份有限公司</w:t>
      </w:r>
      <w:r>
        <w:rPr>
          <w:spacing w:val="37"/>
        </w:rPr>
        <w:t> </w:t>
      </w:r>
      <w:r>
        <w:rPr>
          <w:rFonts w:ascii="宋体" w:hAnsi="宋体" w:cs="宋体" w:eastAsia="宋体" w:hint="default"/>
        </w:rPr>
        <w:t>2019</w:t>
      </w:r>
      <w:r>
        <w:rPr>
          <w:rFonts w:ascii="宋体" w:hAnsi="宋体" w:cs="宋体" w:eastAsia="宋体" w:hint="default"/>
          <w:spacing w:val="30"/>
        </w:rPr>
        <w:t> </w:t>
      </w:r>
      <w:r>
        <w:rPr>
          <w:spacing w:val="-3"/>
        </w:rPr>
        <w:t>年度非公开发行</w:t>
      </w:r>
      <w:r>
        <w:rPr>
          <w:spacing w:val="30"/>
        </w:rPr>
        <w:t> </w:t>
      </w:r>
      <w:r>
        <w:rPr>
          <w:rFonts w:ascii="宋体" w:hAnsi="宋体" w:cs="宋体" w:eastAsia="宋体" w:hint="default"/>
        </w:rPr>
        <w:t>A</w:t>
      </w:r>
      <w:r>
        <w:rPr>
          <w:rFonts w:ascii="宋体" w:hAnsi="宋体" w:cs="宋体" w:eastAsia="宋体" w:hint="default"/>
          <w:spacing w:val="37"/>
        </w:rPr>
        <w:t> </w:t>
      </w:r>
      <w:r>
        <w:rPr>
          <w:spacing w:val="-3"/>
        </w:rPr>
        <w:t>股股票预案</w:t>
      </w:r>
      <w:r>
        <w:rPr>
          <w:rFonts w:ascii="宋体" w:hAnsi="宋体" w:cs="宋体" w:eastAsia="宋体" w:hint="default"/>
          <w:spacing w:val="-3"/>
        </w:rPr>
        <w:t>&gt;</w:t>
      </w:r>
      <w:r>
        <w:rPr>
          <w:spacing w:val="-3"/>
        </w:rPr>
        <w:t>的议案》、《关于</w:t>
      </w:r>
      <w:r>
        <w:rPr>
          <w:rFonts w:ascii="宋体" w:hAnsi="宋体" w:cs="宋体" w:eastAsia="宋体" w:hint="default"/>
          <w:spacing w:val="-3"/>
        </w:rPr>
        <w:t>&lt;</w:t>
      </w:r>
      <w:r>
        <w:rPr>
          <w:spacing w:val="-3"/>
        </w:rPr>
        <w:t>深圳市奥拓</w:t>
      </w:r>
      <w:r>
        <w:rPr>
          <w:spacing w:val="-83"/>
        </w:rPr>
        <w:t> </w:t>
      </w:r>
      <w:r>
        <w:rPr>
          <w:spacing w:val="-83"/>
        </w:rPr>
      </w:r>
      <w:r>
        <w:rPr/>
        <w:t>电子股份有限公司 </w:t>
      </w:r>
      <w:r>
        <w:rPr>
          <w:rFonts w:ascii="宋体" w:hAnsi="宋体" w:cs="宋体" w:eastAsia="宋体" w:hint="default"/>
        </w:rPr>
        <w:t>2019 </w:t>
      </w:r>
      <w:r>
        <w:rPr>
          <w:spacing w:val="-3"/>
        </w:rPr>
        <w:t>年度非公开发行 </w:t>
      </w:r>
      <w:r>
        <w:rPr>
          <w:rFonts w:ascii="宋体" w:hAnsi="宋体" w:cs="宋体" w:eastAsia="宋体" w:hint="default"/>
        </w:rPr>
        <w:t>A </w:t>
      </w:r>
      <w:r>
        <w:rPr>
          <w:rFonts w:ascii="宋体" w:hAnsi="宋体" w:cs="宋体" w:eastAsia="宋体" w:hint="default"/>
          <w:spacing w:val="4"/>
        </w:rPr>
        <w:t> </w:t>
      </w:r>
      <w:r>
        <w:rPr>
          <w:spacing w:val="-3"/>
        </w:rPr>
        <w:t>股股票募集资金使用的可行性分析报告</w:t>
      </w:r>
      <w:r>
        <w:rPr>
          <w:rFonts w:ascii="宋体" w:hAnsi="宋体" w:cs="宋体" w:eastAsia="宋体" w:hint="default"/>
          <w:spacing w:val="-3"/>
        </w:rPr>
        <w:t>&gt;</w:t>
      </w:r>
      <w:r>
        <w:rPr>
          <w:spacing w:val="-3"/>
        </w:rPr>
        <w:t>的议案》。</w:t>
      </w:r>
    </w:p>
    <w:p>
      <w:pPr>
        <w:pStyle w:val="BodyText"/>
        <w:spacing w:line="300" w:lineRule="auto" w:before="26"/>
        <w:ind w:left="513" w:right="0"/>
        <w:jc w:val="left"/>
      </w:pPr>
      <w:r>
        <w:rPr>
          <w:rFonts w:ascii="Times New Roman" w:hAnsi="Times New Roman" w:cs="Times New Roman" w:eastAsia="Times New Roman" w:hint="default"/>
        </w:rPr>
        <w:t>2</w:t>
      </w:r>
      <w:r>
        <w:rPr/>
        <w:t>、董事会审计委员会的履职情况</w:t>
      </w:r>
      <w:r>
        <w:rPr>
          <w:spacing w:val="-86"/>
        </w:rPr>
        <w:t> </w:t>
      </w:r>
      <w:r>
        <w:rPr>
          <w:spacing w:val="-86"/>
        </w:rPr>
      </w:r>
      <w:r>
        <w:rPr>
          <w:spacing w:val="-5"/>
        </w:rPr>
        <w:t>公司董事会审计委员会由李华雄、王丽娜、吴涵渠三位董事组成，其中李华雄、王丽娜为独立董事，李华雄（会计专业</w:t>
      </w:r>
    </w:p>
    <w:p>
      <w:pPr>
        <w:pStyle w:val="BodyText"/>
        <w:spacing w:line="302" w:lineRule="auto" w:before="32"/>
        <w:ind w:right="0"/>
        <w:jc w:val="left"/>
      </w:pPr>
      <w:r>
        <w:rPr>
          <w:spacing w:val="-4"/>
        </w:rPr>
        <w:t>人士）担任委员会主任。报告期内，根据中国证监会、深圳证券交易所及公司《审计委员会议事规则》的规定，公司董事会</w:t>
      </w:r>
      <w:r>
        <w:rPr>
          <w:spacing w:val="40"/>
        </w:rPr>
        <w:t> </w:t>
      </w:r>
      <w:r>
        <w:rPr>
          <w:spacing w:val="40"/>
        </w:rPr>
      </w:r>
      <w:r>
        <w:rPr>
          <w:spacing w:val="-3"/>
        </w:rPr>
        <w:t>审计委员会本着勤勉尽责的原则，履行工作职责。报告期内，审计委员会共召开</w:t>
      </w:r>
      <w:r>
        <w:rPr>
          <w:rFonts w:ascii="宋体" w:hAnsi="宋体" w:cs="宋体" w:eastAsia="宋体" w:hint="default"/>
          <w:spacing w:val="-3"/>
        </w:rPr>
        <w:t>6</w:t>
      </w:r>
      <w:r>
        <w:rPr>
          <w:spacing w:val="-3"/>
        </w:rPr>
        <w:t>次会议，审议通过了《关于</w:t>
      </w:r>
      <w:r>
        <w:rPr>
          <w:rFonts w:ascii="Times New Roman" w:hAnsi="Times New Roman" w:cs="Times New Roman" w:eastAsia="Times New Roman" w:hint="default"/>
          <w:spacing w:val="-3"/>
        </w:rPr>
        <w:t>&lt;2018</w:t>
      </w:r>
      <w:r>
        <w:rPr>
          <w:spacing w:val="-3"/>
        </w:rPr>
        <w:t>年度审</w:t>
      </w:r>
      <w:r>
        <w:rPr>
          <w:spacing w:val="74"/>
        </w:rPr>
        <w:t> </w:t>
      </w:r>
      <w:r>
        <w:rPr>
          <w:spacing w:val="74"/>
        </w:rPr>
      </w:r>
      <w:r>
        <w:rPr>
          <w:spacing w:val="-7"/>
        </w:rPr>
        <w:t>计部工作总结</w:t>
      </w:r>
      <w:r>
        <w:rPr>
          <w:rFonts w:ascii="Times New Roman" w:hAnsi="Times New Roman" w:cs="Times New Roman" w:eastAsia="Times New Roman" w:hint="default"/>
          <w:spacing w:val="-7"/>
        </w:rPr>
        <w:t>&gt;</w:t>
      </w:r>
      <w:r>
        <w:rPr>
          <w:spacing w:val="-7"/>
        </w:rPr>
        <w:t>的议案》、《关于</w:t>
      </w:r>
      <w:r>
        <w:rPr>
          <w:rFonts w:ascii="Times New Roman" w:hAnsi="Times New Roman" w:cs="Times New Roman" w:eastAsia="Times New Roman" w:hint="default"/>
          <w:spacing w:val="-7"/>
        </w:rPr>
        <w:t>&lt;2019</w:t>
      </w:r>
      <w:r>
        <w:rPr>
          <w:spacing w:val="-7"/>
        </w:rPr>
        <w:t>年度审计部工作计划</w:t>
      </w:r>
      <w:r>
        <w:rPr>
          <w:rFonts w:ascii="Times New Roman" w:hAnsi="Times New Roman" w:cs="Times New Roman" w:eastAsia="Times New Roman" w:hint="default"/>
          <w:spacing w:val="-7"/>
        </w:rPr>
        <w:t>&gt;</w:t>
      </w:r>
      <w:r>
        <w:rPr>
          <w:spacing w:val="-7"/>
        </w:rPr>
        <w:t>的议案》、《关于</w:t>
      </w:r>
      <w:r>
        <w:rPr>
          <w:rFonts w:ascii="Times New Roman" w:hAnsi="Times New Roman" w:cs="Times New Roman" w:eastAsia="Times New Roman" w:hint="default"/>
          <w:spacing w:val="-7"/>
        </w:rPr>
        <w:t>&lt;</w:t>
      </w:r>
      <w:r>
        <w:rPr>
          <w:spacing w:val="-7"/>
        </w:rPr>
        <w:t>公司</w:t>
      </w:r>
      <w:r>
        <w:rPr>
          <w:rFonts w:ascii="Times New Roman" w:hAnsi="Times New Roman" w:cs="Times New Roman" w:eastAsia="Times New Roman" w:hint="default"/>
          <w:spacing w:val="-7"/>
        </w:rPr>
        <w:t>2018</w:t>
      </w:r>
      <w:r>
        <w:rPr>
          <w:spacing w:val="-7"/>
        </w:rPr>
        <w:t>年度财务决算报告</w:t>
      </w:r>
      <w:r>
        <w:rPr>
          <w:rFonts w:ascii="Times New Roman" w:hAnsi="Times New Roman" w:cs="Times New Roman" w:eastAsia="Times New Roman" w:hint="default"/>
          <w:spacing w:val="-7"/>
        </w:rPr>
        <w:t>&gt;</w:t>
      </w:r>
      <w:r>
        <w:rPr>
          <w:spacing w:val="-7"/>
        </w:rPr>
        <w:t>的议案》、《关</w:t>
      </w:r>
      <w:r>
        <w:rPr>
          <w:spacing w:val="17"/>
        </w:rPr>
        <w:t> </w:t>
      </w:r>
      <w:r>
        <w:rPr>
          <w:spacing w:val="17"/>
        </w:rPr>
      </w:r>
      <w:r>
        <w:rPr>
          <w:spacing w:val="-3"/>
        </w:rPr>
        <w:t>于</w:t>
      </w:r>
      <w:r>
        <w:rPr>
          <w:rFonts w:ascii="Times New Roman" w:hAnsi="Times New Roman" w:cs="Times New Roman" w:eastAsia="Times New Roman" w:hint="default"/>
          <w:spacing w:val="-3"/>
        </w:rPr>
        <w:t>&lt;</w:t>
      </w:r>
      <w:r>
        <w:rPr>
          <w:spacing w:val="-3"/>
        </w:rPr>
        <w:t>公司</w:t>
      </w:r>
      <w:r>
        <w:rPr>
          <w:rFonts w:ascii="Times New Roman" w:hAnsi="Times New Roman" w:cs="Times New Roman" w:eastAsia="Times New Roman" w:hint="default"/>
          <w:spacing w:val="-3"/>
        </w:rPr>
        <w:t>2018</w:t>
      </w:r>
      <w:r>
        <w:rPr>
          <w:spacing w:val="-3"/>
        </w:rPr>
        <w:t>年度内部控制自我评价报告</w:t>
      </w:r>
      <w:r>
        <w:rPr>
          <w:rFonts w:ascii="Times New Roman" w:hAnsi="Times New Roman" w:cs="Times New Roman" w:eastAsia="Times New Roman" w:hint="default"/>
          <w:spacing w:val="-3"/>
        </w:rPr>
        <w:t>&gt;</w:t>
      </w:r>
      <w:r>
        <w:rPr>
          <w:spacing w:val="-3"/>
        </w:rPr>
        <w:t>的议案》、《关于公司续聘会计师事务所的议案》、《关于公司</w:t>
      </w:r>
      <w:r>
        <w:rPr>
          <w:rFonts w:ascii="Times New Roman" w:hAnsi="Times New Roman" w:cs="Times New Roman" w:eastAsia="Times New Roman" w:hint="default"/>
          <w:spacing w:val="-3"/>
        </w:rPr>
        <w:t>2019</w:t>
      </w:r>
      <w:r>
        <w:rPr>
          <w:spacing w:val="-3"/>
        </w:rPr>
        <w:t>年第一季度</w:t>
      </w:r>
      <w:r>
        <w:rPr>
          <w:spacing w:val="82"/>
        </w:rPr>
        <w:t> </w:t>
      </w:r>
      <w:r>
        <w:rPr>
          <w:spacing w:val="82"/>
        </w:rPr>
      </w:r>
      <w:r>
        <w:rPr>
          <w:spacing w:val="-4"/>
        </w:rPr>
        <w:t>财务报告的议案》、《关于审计部</w:t>
      </w:r>
      <w:r>
        <w:rPr>
          <w:rFonts w:ascii="Times New Roman" w:hAnsi="Times New Roman" w:cs="Times New Roman" w:eastAsia="Times New Roman" w:hint="default"/>
          <w:spacing w:val="-4"/>
        </w:rPr>
        <w:t>2019</w:t>
      </w:r>
      <w:r>
        <w:rPr>
          <w:spacing w:val="-4"/>
        </w:rPr>
        <w:t>年第一季度工作总结报告和第二季度工作计划的议案》、《关于公司</w:t>
      </w:r>
      <w:r>
        <w:rPr>
          <w:rFonts w:ascii="Times New Roman" w:hAnsi="Times New Roman" w:cs="Times New Roman" w:eastAsia="Times New Roman" w:hint="default"/>
          <w:spacing w:val="-4"/>
        </w:rPr>
        <w:t>2019</w:t>
      </w:r>
      <w:r>
        <w:rPr>
          <w:spacing w:val="-4"/>
        </w:rPr>
        <w:t>年半年度财</w:t>
      </w:r>
      <w:r>
        <w:rPr>
          <w:spacing w:val="58"/>
        </w:rPr>
        <w:t> </w:t>
      </w:r>
      <w:r>
        <w:rPr>
          <w:spacing w:val="58"/>
        </w:rPr>
      </w:r>
      <w:r>
        <w:rPr>
          <w:spacing w:val="-4"/>
        </w:rPr>
        <w:t>务报告的议案》、《关于审计部</w:t>
      </w:r>
      <w:r>
        <w:rPr>
          <w:rFonts w:ascii="Times New Roman" w:hAnsi="Times New Roman" w:cs="Times New Roman" w:eastAsia="Times New Roman" w:hint="default"/>
          <w:spacing w:val="-4"/>
        </w:rPr>
        <w:t>2019</w:t>
      </w:r>
      <w:r>
        <w:rPr>
          <w:spacing w:val="-4"/>
        </w:rPr>
        <w:t>年第二季度工作总结报告和第三季度工作计划的议案》、《关于聘请本次非公开发行专</w:t>
      </w:r>
      <w:r>
        <w:rPr>
          <w:spacing w:val="49"/>
        </w:rPr>
        <w:t> </w:t>
      </w:r>
      <w:r>
        <w:rPr>
          <w:spacing w:val="49"/>
        </w:rPr>
      </w:r>
      <w:r>
        <w:rPr>
          <w:spacing w:val="-4"/>
        </w:rPr>
        <w:t>项审计机构的议案》、《关于公司</w:t>
      </w:r>
      <w:r>
        <w:rPr>
          <w:rFonts w:ascii="Times New Roman" w:hAnsi="Times New Roman" w:cs="Times New Roman" w:eastAsia="Times New Roman" w:hint="default"/>
          <w:spacing w:val="-4"/>
        </w:rPr>
        <w:t>2019</w:t>
      </w:r>
      <w:r>
        <w:rPr>
          <w:spacing w:val="-4"/>
        </w:rPr>
        <w:t>年第三季度财务报告的议案》、《关于审计部</w:t>
      </w:r>
      <w:r>
        <w:rPr>
          <w:rFonts w:ascii="Times New Roman" w:hAnsi="Times New Roman" w:cs="Times New Roman" w:eastAsia="Times New Roman" w:hint="default"/>
          <w:spacing w:val="-4"/>
        </w:rPr>
        <w:t>2019</w:t>
      </w:r>
      <w:r>
        <w:rPr>
          <w:spacing w:val="-4"/>
        </w:rPr>
        <w:t>年第三季度工作总结报告和第四季</w:t>
      </w:r>
      <w:r>
        <w:rPr>
          <w:spacing w:val="57"/>
        </w:rPr>
        <w:t> </w:t>
      </w:r>
      <w:r>
        <w:rPr>
          <w:spacing w:val="57"/>
        </w:rPr>
      </w:r>
      <w:r>
        <w:rPr>
          <w:spacing w:val="-3"/>
        </w:rPr>
        <w:t>度工作计划的议案》、《关于变更审计机构的议案》</w:t>
      </w:r>
      <w:r>
        <w:rPr>
          <w:spacing w:val="73"/>
        </w:rPr>
        <w:t> </w:t>
      </w:r>
      <w:r>
        <w:rPr/>
        <w:t>。</w:t>
      </w:r>
    </w:p>
    <w:p>
      <w:pPr>
        <w:pStyle w:val="BodyText"/>
        <w:spacing w:line="300" w:lineRule="auto" w:before="29"/>
        <w:ind w:left="513" w:right="0"/>
        <w:jc w:val="left"/>
      </w:pPr>
      <w:r>
        <w:rPr>
          <w:rFonts w:ascii="Times New Roman" w:hAnsi="Times New Roman" w:cs="Times New Roman" w:eastAsia="Times New Roman" w:hint="default"/>
          <w:spacing w:val="-3"/>
        </w:rPr>
        <w:t>3</w:t>
      </w:r>
      <w:r>
        <w:rPr>
          <w:spacing w:val="-3"/>
        </w:rPr>
        <w:t>、董事会薪酬与考核委员会的履职情况</w:t>
      </w:r>
      <w:r>
        <w:rPr>
          <w:spacing w:val="-34"/>
        </w:rPr>
        <w:t> </w:t>
      </w:r>
      <w:r>
        <w:rPr>
          <w:spacing w:val="-34"/>
        </w:rPr>
      </w:r>
      <w:r>
        <w:rPr>
          <w:spacing w:val="-4"/>
        </w:rPr>
        <w:t>公司董事会薪酬与考核委员会有王丽娜、贾广新、吴涵渠三位董事组成，其中王丽娜、贾广新为独立董事，王丽娜担任</w:t>
      </w:r>
    </w:p>
    <w:p>
      <w:pPr>
        <w:pStyle w:val="BodyText"/>
        <w:spacing w:line="314" w:lineRule="auto" w:before="31"/>
        <w:ind w:right="1035"/>
        <w:jc w:val="both"/>
      </w:pPr>
      <w:r>
        <w:rPr>
          <w:spacing w:val="-4"/>
        </w:rPr>
        <w:t>委员会主任。报告期内，根据中国证监会、深圳证券交易所及公司《薪酬与考核委员会议事规则》的规定。公司董事会薪酬</w:t>
      </w:r>
      <w:r>
        <w:rPr>
          <w:spacing w:val="40"/>
        </w:rPr>
        <w:t> </w:t>
      </w:r>
      <w:r>
        <w:rPr>
          <w:spacing w:val="40"/>
        </w:rPr>
      </w:r>
      <w:r>
        <w:rPr>
          <w:spacing w:val="-3"/>
        </w:rPr>
        <w:t>与考核委员会本着勤勉尽责的原则，履行工作职责。报告期内，薪酬与考核委员会共召开了</w:t>
      </w:r>
      <w:r>
        <w:rPr>
          <w:rFonts w:ascii="宋体" w:hAnsi="宋体" w:cs="宋体" w:eastAsia="宋体" w:hint="default"/>
          <w:spacing w:val="-3"/>
        </w:rPr>
        <w:t>4</w:t>
      </w:r>
      <w:r>
        <w:rPr>
          <w:spacing w:val="-3"/>
        </w:rPr>
        <w:t>次会议，审议通过了《关于回</w:t>
      </w:r>
      <w:r>
        <w:rPr>
          <w:spacing w:val="71"/>
        </w:rPr>
        <w:t> </w:t>
      </w:r>
      <w:r>
        <w:rPr>
          <w:spacing w:val="71"/>
        </w:rPr>
      </w:r>
      <w:r>
        <w:rPr>
          <w:spacing w:val="-4"/>
        </w:rPr>
        <w:t>购注销部分限制性股票的议案》、《关于公司注销</w:t>
      </w:r>
      <w:r>
        <w:rPr>
          <w:rFonts w:ascii="宋体" w:hAnsi="宋体" w:cs="宋体" w:eastAsia="宋体" w:hint="default"/>
          <w:spacing w:val="-4"/>
        </w:rPr>
        <w:t>2017</w:t>
      </w:r>
      <w:r>
        <w:rPr>
          <w:spacing w:val="-4"/>
        </w:rPr>
        <w:t>年股票期权激励计划部分股票期权的议案》、《关于向激励对象授予</w:t>
      </w:r>
      <w:r>
        <w:rPr>
          <w:spacing w:val="49"/>
        </w:rPr>
        <w:t> </w:t>
      </w:r>
      <w:r>
        <w:rPr>
          <w:spacing w:val="49"/>
        </w:rPr>
      </w:r>
      <w:r>
        <w:rPr>
          <w:rFonts w:ascii="宋体" w:hAnsi="宋体" w:cs="宋体" w:eastAsia="宋体" w:hint="default"/>
          <w:spacing w:val="-4"/>
        </w:rPr>
        <w:t>2018</w:t>
      </w:r>
      <w:r>
        <w:rPr>
          <w:spacing w:val="-4"/>
        </w:rPr>
        <w:t>年限制性股票激励计划预留限制性股票的议案》、《关于公司限制性股票激励计划暂缓授予部分第二个解锁期可解锁的</w:t>
      </w:r>
      <w:r>
        <w:rPr>
          <w:spacing w:val="46"/>
        </w:rPr>
        <w:t> </w:t>
      </w:r>
      <w:r>
        <w:rPr>
          <w:spacing w:val="46"/>
        </w:rPr>
      </w:r>
      <w:r>
        <w:rPr>
          <w:spacing w:val="-5"/>
        </w:rPr>
        <w:t>议案》、《关于公司 </w:t>
      </w:r>
      <w:r>
        <w:rPr>
          <w:rFonts w:ascii="Times New Roman" w:hAnsi="Times New Roman" w:cs="Times New Roman" w:eastAsia="Times New Roman" w:hint="default"/>
        </w:rPr>
        <w:t>2016 </w:t>
      </w:r>
      <w:r>
        <w:rPr>
          <w:spacing w:val="-3"/>
        </w:rPr>
        <w:t>年限制性股票激励计划第三个解锁期可解锁的议案》、《关于公司董事、高级管理人员</w:t>
      </w:r>
      <w:r>
        <w:rPr>
          <w:rFonts w:ascii="Times New Roman" w:hAnsi="Times New Roman" w:cs="Times New Roman" w:eastAsia="Times New Roman" w:hint="default"/>
          <w:spacing w:val="-3"/>
        </w:rPr>
        <w:t>2018</w:t>
      </w:r>
      <w:r>
        <w:rPr>
          <w:spacing w:val="-3"/>
        </w:rPr>
        <w:t>年度</w:t>
      </w:r>
      <w:r>
        <w:rPr>
          <w:spacing w:val="9"/>
        </w:rPr>
        <w:t> </w:t>
      </w:r>
      <w:r>
        <w:rPr>
          <w:spacing w:val="-9"/>
          <w:w w:val="101"/>
        </w:rPr>
        <w:t>薪酬的议案》、《关于公司董事长</w:t>
      </w:r>
      <w:r>
        <w:rPr>
          <w:rFonts w:ascii="Times New Roman" w:hAnsi="Times New Roman" w:cs="Times New Roman" w:eastAsia="Times New Roman" w:hint="default"/>
          <w:spacing w:val="-9"/>
          <w:w w:val="101"/>
        </w:rPr>
        <w:t>2019</w:t>
      </w:r>
      <w:r>
        <w:rPr>
          <w:spacing w:val="-9"/>
          <w:w w:val="101"/>
        </w:rPr>
        <w:t>年度薪酬分配方案的议案》、《关于公司高级管理人员</w:t>
      </w:r>
      <w:r>
        <w:rPr>
          <w:rFonts w:ascii="Times New Roman" w:hAnsi="Times New Roman" w:cs="Times New Roman" w:eastAsia="Times New Roman" w:hint="default"/>
          <w:spacing w:val="-9"/>
          <w:w w:val="101"/>
        </w:rPr>
        <w:t>2019</w:t>
      </w:r>
      <w:r>
        <w:rPr>
          <w:spacing w:val="-9"/>
          <w:w w:val="101"/>
        </w:rPr>
        <w:t>年度薪酬分配方案的议案》。</w:t>
      </w:r>
      <w:r>
        <w:rPr>
          <w:spacing w:val="-9"/>
        </w:rPr>
      </w:r>
    </w:p>
    <w:p>
      <w:pPr>
        <w:pStyle w:val="BodyText"/>
        <w:spacing w:line="300" w:lineRule="auto" w:before="1"/>
        <w:ind w:left="513" w:right="0"/>
        <w:jc w:val="left"/>
      </w:pPr>
      <w:r>
        <w:rPr>
          <w:rFonts w:ascii="Times New Roman" w:hAnsi="Times New Roman" w:cs="Times New Roman" w:eastAsia="Times New Roman" w:hint="default"/>
        </w:rPr>
        <w:t>4</w:t>
      </w:r>
      <w:r>
        <w:rPr/>
        <w:t>、董事会提名委员会的履职情况</w:t>
      </w:r>
      <w:r>
        <w:rPr>
          <w:spacing w:val="-86"/>
        </w:rPr>
        <w:t> </w:t>
      </w:r>
      <w:r>
        <w:rPr>
          <w:spacing w:val="-86"/>
        </w:rPr>
      </w:r>
      <w:r>
        <w:rPr>
          <w:spacing w:val="-5"/>
        </w:rPr>
        <w:t>公司董事会提名委员会有贾广新、王丽娜、吴涵渠三位董事组成，其中贾广新、王丽娜为独立董事，贾广新担任委员会</w:t>
      </w:r>
    </w:p>
    <w:p>
      <w:pPr>
        <w:pStyle w:val="BodyText"/>
        <w:spacing w:line="316" w:lineRule="auto" w:before="31"/>
        <w:ind w:right="0"/>
        <w:jc w:val="left"/>
      </w:pPr>
      <w:r>
        <w:rPr>
          <w:spacing w:val="-3"/>
        </w:rPr>
        <w:t>主任。报告期内，提名委员会共召开</w:t>
      </w:r>
      <w:r>
        <w:rPr>
          <w:rFonts w:ascii="宋体" w:hAnsi="宋体" w:cs="宋体" w:eastAsia="宋体" w:hint="default"/>
          <w:spacing w:val="-3"/>
        </w:rPr>
        <w:t>1</w:t>
      </w:r>
      <w:r>
        <w:rPr>
          <w:spacing w:val="-3"/>
        </w:rPr>
        <w:t>次会议，审核《关于聘任公司总裁的议案》、《关于聘任公司常务副总裁、副总裁、</w:t>
      </w:r>
      <w:r>
        <w:rPr>
          <w:spacing w:val="70"/>
        </w:rPr>
        <w:t> </w:t>
      </w:r>
      <w:r>
        <w:rPr>
          <w:spacing w:val="70"/>
        </w:rPr>
      </w:r>
      <w:r>
        <w:rPr>
          <w:spacing w:val="-3"/>
        </w:rPr>
        <w:t>财务总监的议案》、《关于聘任公司董事会秘书的议案》、《关于聘任公司审计部负责人的议案》。</w:t>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6"/>
          <w:szCs w:val="26"/>
        </w:rPr>
      </w:pPr>
    </w:p>
    <w:p>
      <w:pPr>
        <w:pStyle w:val="Heading2"/>
        <w:spacing w:line="240" w:lineRule="auto"/>
        <w:ind w:right="0"/>
        <w:jc w:val="both"/>
        <w:rPr>
          <w:b w:val="0"/>
          <w:bCs w:val="0"/>
        </w:rPr>
      </w:pPr>
      <w:bookmarkStart w:name="七、监事会工作情况" w:id="150"/>
      <w:bookmarkEnd w:id="150"/>
      <w:r>
        <w:rPr>
          <w:b w:val="0"/>
          <w:bCs w:val="0"/>
        </w:rPr>
      </w:r>
      <w:r>
        <w:rPr/>
        <w:t>七、监事会工作情况</w:t>
      </w:r>
      <w:r>
        <w:rPr>
          <w:b w:val="0"/>
          <w:bCs w:val="0"/>
        </w:rPr>
      </w:r>
    </w:p>
    <w:p>
      <w:pPr>
        <w:spacing w:line="240" w:lineRule="auto" w:before="3"/>
        <w:rPr>
          <w:rFonts w:ascii="宋体" w:hAnsi="宋体" w:cs="宋体" w:eastAsia="宋体" w:hint="default"/>
          <w:b/>
          <w:bCs/>
          <w:sz w:val="27"/>
          <w:szCs w:val="27"/>
        </w:rPr>
      </w:pPr>
    </w:p>
    <w:p>
      <w:pPr>
        <w:pStyle w:val="BodyText"/>
        <w:spacing w:line="240" w:lineRule="auto" w:before="0"/>
        <w:ind w:right="0"/>
        <w:jc w:val="both"/>
      </w:pPr>
      <w:r>
        <w:rPr>
          <w:spacing w:val="-3"/>
        </w:rPr>
        <w:t>监事会在报告期内的监督活动中发现公司是否存在风险</w:t>
      </w:r>
    </w:p>
    <w:p>
      <w:pPr>
        <w:spacing w:after="0" w:line="240" w:lineRule="auto"/>
        <w:jc w:val="both"/>
        <w:sectPr>
          <w:pgSz w:w="11910" w:h="16840"/>
          <w:pgMar w:header="784" w:footer="1022" w:top="1100" w:bottom="1220" w:left="980" w:right="0"/>
        </w:sectPr>
      </w:pPr>
    </w:p>
    <w:p>
      <w:pPr>
        <w:spacing w:line="240" w:lineRule="auto" w:before="2"/>
        <w:rPr>
          <w:rFonts w:ascii="宋体" w:hAnsi="宋体" w:cs="宋体" w:eastAsia="宋体" w:hint="default"/>
          <w:sz w:val="23"/>
          <w:szCs w:val="23"/>
        </w:rPr>
      </w:pPr>
    </w:p>
    <w:p>
      <w:pPr>
        <w:pStyle w:val="BodyText"/>
        <w:spacing w:line="357" w:lineRule="auto"/>
        <w:ind w:right="7667"/>
        <w:jc w:val="left"/>
      </w:pPr>
      <w:r>
        <w:rPr/>
        <w:t>□</w:t>
      </w:r>
      <w:r>
        <w:rPr>
          <w:spacing w:val="1"/>
        </w:rPr>
        <w:t> </w:t>
      </w:r>
      <w:r>
        <w:rPr/>
        <w:t>是</w:t>
      </w:r>
      <w:r>
        <w:rPr>
          <w:spacing w:val="-4"/>
        </w:rPr>
        <w:t> </w:t>
      </w:r>
      <w:r>
        <w:rPr/>
        <w:t>√</w:t>
      </w:r>
      <w:r>
        <w:rPr>
          <w:spacing w:val="-4"/>
        </w:rPr>
        <w:t> </w:t>
      </w:r>
      <w:r>
        <w:rPr/>
        <w:t>否</w:t>
      </w:r>
      <w:r>
        <w:rPr>
          <w:spacing w:val="-82"/>
        </w:rPr>
        <w:t> </w:t>
      </w:r>
      <w:r>
        <w:rPr>
          <w:spacing w:val="-82"/>
        </w:rPr>
      </w:r>
      <w:r>
        <w:rPr>
          <w:spacing w:val="-3"/>
        </w:rPr>
        <w:t>监事会对报告期内的监督事项无异议。</w:t>
      </w:r>
    </w:p>
    <w:p>
      <w:pPr>
        <w:spacing w:line="240" w:lineRule="auto" w:before="8"/>
        <w:rPr>
          <w:rFonts w:ascii="宋体" w:hAnsi="宋体" w:cs="宋体" w:eastAsia="宋体" w:hint="default"/>
          <w:sz w:val="17"/>
          <w:szCs w:val="17"/>
        </w:rPr>
      </w:pPr>
    </w:p>
    <w:p>
      <w:pPr>
        <w:pStyle w:val="Heading2"/>
        <w:spacing w:line="240" w:lineRule="auto"/>
        <w:ind w:right="0"/>
        <w:jc w:val="left"/>
        <w:rPr>
          <w:b w:val="0"/>
          <w:bCs w:val="0"/>
        </w:rPr>
      </w:pPr>
      <w:bookmarkStart w:name="八、高级管理人员的考评及激励情况" w:id="151"/>
      <w:bookmarkEnd w:id="151"/>
      <w:r>
        <w:rPr>
          <w:b w:val="0"/>
          <w:bCs w:val="0"/>
        </w:rPr>
      </w:r>
      <w:r>
        <w:rPr/>
        <w:t>八、高级管理人员的考评及激励情况</w:t>
      </w:r>
      <w:r>
        <w:rPr>
          <w:b w:val="0"/>
          <w:bCs w:val="0"/>
        </w:rPr>
      </w:r>
    </w:p>
    <w:p>
      <w:pPr>
        <w:spacing w:line="240" w:lineRule="auto" w:before="3"/>
        <w:rPr>
          <w:rFonts w:ascii="宋体" w:hAnsi="宋体" w:cs="宋体" w:eastAsia="宋体" w:hint="default"/>
          <w:b/>
          <w:bCs/>
          <w:sz w:val="27"/>
          <w:szCs w:val="27"/>
        </w:rPr>
      </w:pPr>
    </w:p>
    <w:p>
      <w:pPr>
        <w:pStyle w:val="BodyText"/>
        <w:spacing w:line="316" w:lineRule="auto" w:before="0"/>
        <w:ind w:right="0" w:firstLine="360"/>
        <w:jc w:val="left"/>
      </w:pPr>
      <w:r>
        <w:rPr>
          <w:spacing w:val="-6"/>
        </w:rPr>
        <w:t>根据《上市公司治理准则》等要求，公司建立了考核激励体系，且高级管理人员全部由董事会聘任，直接对董事会负责，</w:t>
      </w:r>
      <w:r>
        <w:rPr>
          <w:w w:val="101"/>
        </w:rPr>
        <w:t> </w:t>
      </w:r>
      <w:r>
        <w:rPr>
          <w:spacing w:val="-4"/>
        </w:rPr>
        <w:t>承担董事会下达的经营指标，董事会下设的薪酬与考核委员会负责对高级管理人员的工作能力、履职情况、责任目标完成情</w:t>
      </w:r>
      <w:r>
        <w:rPr>
          <w:spacing w:val="43"/>
        </w:rPr>
        <w:t> </w:t>
      </w:r>
      <w:r>
        <w:rPr>
          <w:spacing w:val="43"/>
        </w:rPr>
      </w:r>
      <w:r>
        <w:rPr>
          <w:spacing w:val="-3"/>
        </w:rPr>
        <w:t>况等进行年终考评，制定薪酬方案并报董事会审批；高级管理人员参与了公司股权激励计划。</w:t>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6"/>
          <w:szCs w:val="26"/>
        </w:rPr>
      </w:pPr>
    </w:p>
    <w:p>
      <w:pPr>
        <w:pStyle w:val="Heading2"/>
        <w:spacing w:line="240" w:lineRule="auto"/>
        <w:ind w:right="0"/>
        <w:jc w:val="left"/>
        <w:rPr>
          <w:b w:val="0"/>
          <w:bCs w:val="0"/>
        </w:rPr>
      </w:pPr>
      <w:bookmarkStart w:name="九、内部控制评价报告" w:id="152"/>
      <w:bookmarkEnd w:id="152"/>
      <w:r>
        <w:rPr>
          <w:b w:val="0"/>
          <w:bCs w:val="0"/>
        </w:rPr>
      </w:r>
      <w:r>
        <w:rPr/>
        <w:t>九、内部控制评价报告</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0"/>
        <w:jc w:val="left"/>
        <w:rPr>
          <w:b w:val="0"/>
          <w:bCs w:val="0"/>
        </w:rPr>
      </w:pPr>
      <w:bookmarkStart w:name="1、报告期内发现的内部控制重大缺陷的具体情况" w:id="153"/>
      <w:bookmarkEnd w:id="153"/>
      <w:r>
        <w:rPr>
          <w:b w:val="0"/>
          <w:bCs w:val="0"/>
        </w:rPr>
      </w:r>
      <w:r>
        <w:rPr>
          <w:rFonts w:ascii="Times New Roman" w:hAnsi="Times New Roman" w:cs="Times New Roman" w:eastAsia="Times New Roman" w:hint="default"/>
        </w:rPr>
        <w:t>1</w:t>
      </w:r>
      <w:r>
        <w:rPr/>
        <w:t>、报告期内发现的内部控制重大缺陷的具体情况</w:t>
      </w:r>
      <w:r>
        <w:rPr>
          <w:b w:val="0"/>
          <w:bCs w:val="0"/>
        </w:rPr>
      </w:r>
    </w:p>
    <w:p>
      <w:pPr>
        <w:spacing w:line="240" w:lineRule="auto" w:before="1"/>
        <w:rPr>
          <w:rFonts w:ascii="宋体" w:hAnsi="宋体" w:cs="宋体" w:eastAsia="宋体" w:hint="default"/>
          <w:b/>
          <w:bCs/>
          <w:sz w:val="27"/>
          <w:szCs w:val="27"/>
        </w:rPr>
      </w:pPr>
    </w:p>
    <w:p>
      <w:pPr>
        <w:pStyle w:val="BodyText"/>
        <w:spacing w:line="240" w:lineRule="auto" w:before="0"/>
        <w:ind w:right="0"/>
        <w:jc w:val="left"/>
      </w:pPr>
      <w:r>
        <w:rPr/>
        <w:t>□ 是 √</w:t>
      </w:r>
      <w:r>
        <w:rPr>
          <w:spacing w:val="2"/>
        </w:rPr>
        <w:t> </w:t>
      </w:r>
      <w:r>
        <w:rPr/>
        <w:t>否</w:t>
      </w:r>
    </w:p>
    <w:p>
      <w:pPr>
        <w:spacing w:line="240" w:lineRule="auto" w:before="4"/>
        <w:rPr>
          <w:rFonts w:ascii="宋体" w:hAnsi="宋体" w:cs="宋体" w:eastAsia="宋体" w:hint="default"/>
          <w:sz w:val="26"/>
          <w:szCs w:val="26"/>
        </w:rPr>
      </w:pPr>
    </w:p>
    <w:p>
      <w:pPr>
        <w:pStyle w:val="Heading4"/>
        <w:spacing w:line="240" w:lineRule="auto"/>
        <w:ind w:right="0"/>
        <w:jc w:val="left"/>
        <w:rPr>
          <w:b w:val="0"/>
          <w:bCs w:val="0"/>
        </w:rPr>
      </w:pPr>
      <w:bookmarkStart w:name="2、内控自我评价报告" w:id="154"/>
      <w:bookmarkEnd w:id="154"/>
      <w:r>
        <w:rPr>
          <w:b w:val="0"/>
          <w:bCs w:val="0"/>
        </w:rPr>
      </w:r>
      <w:r>
        <w:rPr>
          <w:rFonts w:ascii="Times New Roman" w:hAnsi="Times New Roman" w:cs="Times New Roman" w:eastAsia="Times New Roman" w:hint="default"/>
        </w:rPr>
        <w:t>2</w:t>
      </w:r>
      <w:r>
        <w:rPr/>
        <w:t>、内控自我评价报告</w:t>
      </w:r>
      <w:r>
        <w:rPr>
          <w:b w:val="0"/>
          <w:bCs w:val="0"/>
        </w:rPr>
      </w:r>
    </w:p>
    <w:p>
      <w:pPr>
        <w:spacing w:line="240" w:lineRule="auto" w:before="11"/>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3193"/>
        <w:gridCol w:w="3328"/>
        <w:gridCol w:w="3049"/>
      </w:tblGrid>
      <w:tr>
        <w:trPr>
          <w:trHeight w:val="403" w:hRule="exact"/>
        </w:trPr>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内部控制评价报告全文披露日期</w:t>
            </w:r>
          </w:p>
        </w:tc>
        <w:tc>
          <w:tcPr>
            <w:tcW w:w="63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r>
      <w:tr>
        <w:trPr>
          <w:trHeight w:val="399" w:hRule="exact"/>
        </w:trPr>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pacing w:val="-3"/>
                <w:sz w:val="18"/>
                <w:szCs w:val="18"/>
              </w:rPr>
              <w:t>内部控制评价报告全文披露索引</w:t>
            </w:r>
          </w:p>
        </w:tc>
        <w:tc>
          <w:tcPr>
            <w:tcW w:w="63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6" w:right="0"/>
              <w:jc w:val="left"/>
              <w:rPr>
                <w:rFonts w:ascii="Times New Roman" w:hAnsi="Times New Roman" w:cs="Times New Roman" w:eastAsia="Times New Roman" w:hint="default"/>
                <w:sz w:val="18"/>
                <w:szCs w:val="18"/>
              </w:rPr>
            </w:pPr>
            <w:r>
              <w:rPr>
                <w:rFonts w:ascii="宋体" w:hAnsi="宋体" w:cs="宋体" w:eastAsia="宋体" w:hint="default"/>
                <w:spacing w:val="-3"/>
                <w:sz w:val="18"/>
                <w:szCs w:val="18"/>
              </w:rPr>
              <w:t>巨潮资讯网</w:t>
            </w:r>
            <w:r>
              <w:rPr>
                <w:rFonts w:ascii="Times New Roman" w:hAnsi="Times New Roman" w:cs="Times New Roman" w:eastAsia="Times New Roman" w:hint="default"/>
                <w:spacing w:val="-3"/>
                <w:sz w:val="18"/>
                <w:szCs w:val="18"/>
              </w:rPr>
              <w:t>(www.cninfo.com.cn)</w:t>
            </w:r>
          </w:p>
        </w:tc>
      </w:tr>
      <w:tr>
        <w:trPr>
          <w:trHeight w:val="715" w:hRule="exact"/>
        </w:trPr>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05" w:right="190"/>
              <w:jc w:val="left"/>
              <w:rPr>
                <w:rFonts w:ascii="宋体" w:hAnsi="宋体" w:cs="宋体" w:eastAsia="宋体" w:hint="default"/>
                <w:sz w:val="18"/>
                <w:szCs w:val="18"/>
              </w:rPr>
            </w:pPr>
            <w:r>
              <w:rPr>
                <w:rFonts w:ascii="宋体" w:hAnsi="宋体" w:cs="宋体" w:eastAsia="宋体" w:hint="default"/>
                <w:spacing w:val="-3"/>
                <w:sz w:val="18"/>
                <w:szCs w:val="18"/>
              </w:rPr>
              <w:t>纳入评价范围单位资产总额占公司合</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并财务报表资产总额的比例</w:t>
            </w:r>
          </w:p>
        </w:tc>
        <w:tc>
          <w:tcPr>
            <w:tcW w:w="63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2"/>
                <w:sz w:val="18"/>
              </w:rPr>
              <w:t>100.00%</w:t>
            </w:r>
          </w:p>
        </w:tc>
      </w:tr>
      <w:tr>
        <w:trPr>
          <w:trHeight w:val="715" w:hRule="exact"/>
        </w:trPr>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05" w:right="190"/>
              <w:jc w:val="left"/>
              <w:rPr>
                <w:rFonts w:ascii="宋体" w:hAnsi="宋体" w:cs="宋体" w:eastAsia="宋体" w:hint="default"/>
                <w:sz w:val="18"/>
                <w:szCs w:val="18"/>
              </w:rPr>
            </w:pPr>
            <w:r>
              <w:rPr>
                <w:rFonts w:ascii="宋体" w:hAnsi="宋体" w:cs="宋体" w:eastAsia="宋体" w:hint="default"/>
                <w:spacing w:val="-3"/>
                <w:sz w:val="18"/>
                <w:szCs w:val="18"/>
              </w:rPr>
              <w:t>纳入评价范围单位营业收入占公司合</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并财务报表营业收入的比例</w:t>
            </w:r>
          </w:p>
        </w:tc>
        <w:tc>
          <w:tcPr>
            <w:tcW w:w="63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2"/>
                <w:sz w:val="18"/>
              </w:rPr>
              <w:t>100.00%</w:t>
            </w:r>
          </w:p>
        </w:tc>
      </w:tr>
      <w:tr>
        <w:trPr>
          <w:trHeight w:val="403" w:hRule="exact"/>
        </w:trPr>
        <w:tc>
          <w:tcPr>
            <w:tcW w:w="9570"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缺陷认定标准</w:t>
            </w:r>
          </w:p>
        </w:tc>
      </w:tr>
      <w:tr>
        <w:trPr>
          <w:trHeight w:val="398" w:hRule="exact"/>
        </w:trPr>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财务报告</w:t>
            </w:r>
          </w:p>
        </w:tc>
        <w:tc>
          <w:tcPr>
            <w:tcW w:w="30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非财务报告</w:t>
            </w:r>
          </w:p>
        </w:tc>
      </w:tr>
      <w:tr>
        <w:trPr>
          <w:trHeight w:val="5046" w:hRule="exact"/>
        </w:trPr>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9"/>
                <w:szCs w:val="19"/>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定性标准</w:t>
            </w:r>
          </w:p>
        </w:tc>
        <w:tc>
          <w:tcPr>
            <w:tcW w:w="3328"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3"/>
              <w:ind w:left="106" w:right="98"/>
              <w:jc w:val="left"/>
              <w:rPr>
                <w:rFonts w:ascii="宋体" w:hAnsi="宋体" w:cs="宋体" w:eastAsia="宋体" w:hint="default"/>
                <w:sz w:val="18"/>
                <w:szCs w:val="18"/>
              </w:rPr>
            </w:pPr>
            <w:r>
              <w:rPr>
                <w:rFonts w:ascii="宋体" w:hAnsi="宋体" w:cs="宋体" w:eastAsia="宋体" w:hint="default"/>
                <w:spacing w:val="-3"/>
                <w:sz w:val="18"/>
                <w:szCs w:val="18"/>
              </w:rPr>
              <w:t>①重大缺陷：是指一个或多个与财务相</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关的一般缺陷的组合，可能严重影响内</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部整体控制的有效性，进而导致企业财</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务报告不能真实反映企业财务状况的情</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形。如果出现以下迹象，通常表明财务</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7"/>
                <w:w w:val="101"/>
                <w:sz w:val="18"/>
                <w:szCs w:val="18"/>
              </w:rPr>
              <w:t>报告可能存在重大缺陷：</w:t>
            </w:r>
            <w:r>
              <w:rPr>
                <w:rFonts w:ascii="Times New Roman" w:hAnsi="Times New Roman" w:cs="Times New Roman" w:eastAsia="Times New Roman" w:hint="default"/>
                <w:spacing w:val="-7"/>
                <w:w w:val="101"/>
                <w:sz w:val="18"/>
                <w:szCs w:val="18"/>
              </w:rPr>
              <w:t>a.</w:t>
            </w:r>
            <w:r>
              <w:rPr>
                <w:rFonts w:ascii="宋体" w:hAnsi="宋体" w:cs="宋体" w:eastAsia="宋体" w:hint="default"/>
                <w:spacing w:val="-7"/>
                <w:w w:val="101"/>
                <w:sz w:val="18"/>
                <w:szCs w:val="18"/>
              </w:rPr>
              <w:t>内部控制环境</w:t>
            </w:r>
            <w:r>
              <w:rPr>
                <w:rFonts w:ascii="宋体" w:hAnsi="宋体" w:cs="宋体" w:eastAsia="宋体" w:hint="default"/>
                <w:spacing w:val="-79"/>
                <w:w w:val="101"/>
                <w:sz w:val="18"/>
                <w:szCs w:val="18"/>
              </w:rPr>
              <w:t> </w:t>
            </w:r>
            <w:r>
              <w:rPr>
                <w:rFonts w:ascii="宋体" w:hAnsi="宋体" w:cs="宋体" w:eastAsia="宋体" w:hint="default"/>
                <w:spacing w:val="-79"/>
                <w:w w:val="101"/>
                <w:sz w:val="18"/>
                <w:szCs w:val="18"/>
              </w:rPr>
            </w:r>
            <w:r>
              <w:rPr>
                <w:rFonts w:ascii="宋体" w:hAnsi="宋体" w:cs="宋体" w:eastAsia="宋体" w:hint="default"/>
                <w:spacing w:val="-7"/>
                <w:sz w:val="18"/>
                <w:szCs w:val="18"/>
              </w:rPr>
              <w:t>无效；</w:t>
            </w:r>
            <w:r>
              <w:rPr>
                <w:rFonts w:ascii="Times New Roman" w:hAnsi="Times New Roman" w:cs="Times New Roman" w:eastAsia="Times New Roman" w:hint="default"/>
                <w:spacing w:val="-7"/>
                <w:sz w:val="18"/>
                <w:szCs w:val="18"/>
              </w:rPr>
              <w:t>b.</w:t>
            </w:r>
            <w:r>
              <w:rPr>
                <w:rFonts w:ascii="宋体" w:hAnsi="宋体" w:cs="宋体" w:eastAsia="宋体" w:hint="default"/>
                <w:spacing w:val="-7"/>
                <w:sz w:val="18"/>
                <w:szCs w:val="18"/>
              </w:rPr>
              <w:t>董事、监事和高层管理人员舞弊</w:t>
            </w:r>
            <w:r>
              <w:rPr>
                <w:rFonts w:ascii="宋体" w:hAnsi="宋体" w:cs="宋体" w:eastAsia="宋体" w:hint="default"/>
                <w:spacing w:val="-45"/>
                <w:sz w:val="18"/>
                <w:szCs w:val="18"/>
              </w:rPr>
              <w:t> </w:t>
            </w:r>
            <w:r>
              <w:rPr>
                <w:rFonts w:ascii="宋体" w:hAnsi="宋体" w:cs="宋体" w:eastAsia="宋体" w:hint="default"/>
                <w:spacing w:val="-45"/>
                <w:sz w:val="18"/>
                <w:szCs w:val="18"/>
              </w:rPr>
            </w:r>
            <w:r>
              <w:rPr>
                <w:rFonts w:ascii="宋体" w:hAnsi="宋体" w:cs="宋体" w:eastAsia="宋体" w:hint="default"/>
                <w:spacing w:val="-3"/>
                <w:sz w:val="18"/>
                <w:szCs w:val="18"/>
              </w:rPr>
              <w:t>并给企业造成重大损失和不利影响；</w:t>
            </w:r>
            <w:r>
              <w:rPr>
                <w:rFonts w:ascii="Times New Roman" w:hAnsi="Times New Roman" w:cs="Times New Roman" w:eastAsia="Times New Roman" w:hint="default"/>
                <w:spacing w:val="-3"/>
                <w:sz w:val="18"/>
                <w:szCs w:val="18"/>
              </w:rPr>
              <w:t>c.</w:t>
            </w:r>
            <w:r>
              <w:rPr>
                <w:rFonts w:ascii="Times New Roman" w:hAnsi="Times New Roman" w:cs="Times New Roman" w:eastAsia="Times New Roman" w:hint="default"/>
                <w:spacing w:val="4"/>
                <w:sz w:val="18"/>
                <w:szCs w:val="18"/>
              </w:rPr>
              <w:t> </w:t>
            </w:r>
            <w:r>
              <w:rPr>
                <w:rFonts w:ascii="宋体" w:hAnsi="宋体" w:cs="宋体" w:eastAsia="宋体" w:hint="default"/>
                <w:spacing w:val="-3"/>
                <w:sz w:val="18"/>
                <w:szCs w:val="18"/>
              </w:rPr>
              <w:t>外部审计发现当期财务报告存在重大错</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报，公司内部控制却未能发现该错报；</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Times New Roman" w:hAnsi="Times New Roman" w:cs="Times New Roman" w:eastAsia="Times New Roman" w:hint="default"/>
                <w:spacing w:val="-3"/>
                <w:sz w:val="18"/>
                <w:szCs w:val="18"/>
              </w:rPr>
              <w:t>d.</w:t>
            </w:r>
            <w:r>
              <w:rPr>
                <w:rFonts w:ascii="宋体" w:hAnsi="宋体" w:cs="宋体" w:eastAsia="宋体" w:hint="default"/>
                <w:spacing w:val="-3"/>
                <w:sz w:val="18"/>
                <w:szCs w:val="18"/>
              </w:rPr>
              <w:t>企业审计委员会和内部审计机构对内</w:t>
            </w:r>
            <w:r>
              <w:rPr>
                <w:rFonts w:ascii="宋体" w:hAnsi="宋体" w:cs="宋体" w:eastAsia="宋体" w:hint="default"/>
                <w:spacing w:val="-34"/>
                <w:sz w:val="18"/>
                <w:szCs w:val="18"/>
              </w:rPr>
              <w:t> </w:t>
            </w:r>
            <w:r>
              <w:rPr>
                <w:rFonts w:ascii="宋体" w:hAnsi="宋体" w:cs="宋体" w:eastAsia="宋体" w:hint="default"/>
                <w:spacing w:val="-34"/>
                <w:sz w:val="18"/>
                <w:szCs w:val="18"/>
              </w:rPr>
            </w:r>
            <w:r>
              <w:rPr>
                <w:rFonts w:ascii="宋体" w:hAnsi="宋体" w:cs="宋体" w:eastAsia="宋体" w:hint="default"/>
                <w:spacing w:val="-7"/>
                <w:w w:val="101"/>
                <w:sz w:val="18"/>
                <w:szCs w:val="18"/>
              </w:rPr>
              <w:t>部控制的监督无效；</w:t>
            </w:r>
            <w:r>
              <w:rPr>
                <w:rFonts w:ascii="Times New Roman" w:hAnsi="Times New Roman" w:cs="Times New Roman" w:eastAsia="Times New Roman" w:hint="default"/>
                <w:spacing w:val="-7"/>
                <w:w w:val="101"/>
                <w:sz w:val="18"/>
                <w:szCs w:val="18"/>
              </w:rPr>
              <w:t>e.</w:t>
            </w:r>
            <w:r>
              <w:rPr>
                <w:rFonts w:ascii="宋体" w:hAnsi="宋体" w:cs="宋体" w:eastAsia="宋体" w:hint="default"/>
                <w:spacing w:val="-7"/>
                <w:w w:val="101"/>
                <w:sz w:val="18"/>
                <w:szCs w:val="18"/>
              </w:rPr>
              <w:t>已经发现并报告给</w:t>
            </w:r>
            <w:r>
              <w:rPr>
                <w:rFonts w:ascii="宋体" w:hAnsi="宋体" w:cs="宋体" w:eastAsia="宋体" w:hint="default"/>
                <w:spacing w:val="-79"/>
                <w:w w:val="101"/>
                <w:sz w:val="18"/>
                <w:szCs w:val="18"/>
              </w:rPr>
              <w:t> </w:t>
            </w:r>
            <w:r>
              <w:rPr>
                <w:rFonts w:ascii="宋体" w:hAnsi="宋体" w:cs="宋体" w:eastAsia="宋体" w:hint="default"/>
                <w:spacing w:val="-79"/>
                <w:w w:val="101"/>
                <w:sz w:val="18"/>
                <w:szCs w:val="18"/>
              </w:rPr>
            </w:r>
            <w:r>
              <w:rPr>
                <w:rFonts w:ascii="宋体" w:hAnsi="宋体" w:cs="宋体" w:eastAsia="宋体" w:hint="default"/>
                <w:spacing w:val="-3"/>
                <w:sz w:val="18"/>
                <w:szCs w:val="18"/>
              </w:rPr>
              <w:t>管理层的重大缺陷在合理的时间内未加</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以改正。②重要缺陷：是指一个或多个</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与财务相关的一般缺陷的组合，其严重</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程度低于重大缺陷，但导致企业财务报</w:t>
            </w:r>
          </w:p>
        </w:tc>
        <w:tc>
          <w:tcPr>
            <w:tcW w:w="3049"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3"/>
              <w:ind w:left="100" w:right="93"/>
              <w:jc w:val="left"/>
              <w:rPr>
                <w:rFonts w:ascii="宋体" w:hAnsi="宋体" w:cs="宋体" w:eastAsia="宋体" w:hint="default"/>
                <w:sz w:val="18"/>
                <w:szCs w:val="18"/>
              </w:rPr>
            </w:pPr>
            <w:r>
              <w:rPr>
                <w:rFonts w:ascii="宋体" w:hAnsi="宋体" w:cs="宋体" w:eastAsia="宋体" w:hint="default"/>
                <w:spacing w:val="-5"/>
                <w:sz w:val="18"/>
                <w:szCs w:val="18"/>
              </w:rPr>
              <w:t>①重大缺陷：是指一个或多个一般缺</w:t>
            </w:r>
            <w:r>
              <w:rPr>
                <w:rFonts w:ascii="宋体" w:hAnsi="宋体" w:cs="宋体" w:eastAsia="宋体" w:hint="default"/>
                <w:spacing w:val="-50"/>
                <w:sz w:val="18"/>
                <w:szCs w:val="18"/>
              </w:rPr>
              <w:t> </w:t>
            </w:r>
            <w:r>
              <w:rPr>
                <w:rFonts w:ascii="宋体" w:hAnsi="宋体" w:cs="宋体" w:eastAsia="宋体" w:hint="default"/>
                <w:spacing w:val="-50"/>
                <w:sz w:val="18"/>
                <w:szCs w:val="18"/>
              </w:rPr>
            </w:r>
            <w:r>
              <w:rPr>
                <w:rFonts w:ascii="宋体" w:hAnsi="宋体" w:cs="宋体" w:eastAsia="宋体" w:hint="default"/>
                <w:spacing w:val="-5"/>
                <w:sz w:val="18"/>
                <w:szCs w:val="18"/>
              </w:rPr>
              <w:t>陷的组合，可能严重影响内部整体控</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pacing w:val="-5"/>
                <w:sz w:val="18"/>
                <w:szCs w:val="18"/>
              </w:rPr>
              <w:t>制的有效性，进而导致企业无法及时</w:t>
            </w:r>
            <w:r>
              <w:rPr>
                <w:rFonts w:ascii="宋体" w:hAnsi="宋体" w:cs="宋体" w:eastAsia="宋体" w:hint="default"/>
                <w:spacing w:val="-50"/>
                <w:sz w:val="18"/>
                <w:szCs w:val="18"/>
              </w:rPr>
              <w:t> </w:t>
            </w:r>
            <w:r>
              <w:rPr>
                <w:rFonts w:ascii="宋体" w:hAnsi="宋体" w:cs="宋体" w:eastAsia="宋体" w:hint="default"/>
                <w:spacing w:val="-50"/>
                <w:sz w:val="18"/>
                <w:szCs w:val="18"/>
              </w:rPr>
            </w:r>
            <w:r>
              <w:rPr>
                <w:rFonts w:ascii="宋体" w:hAnsi="宋体" w:cs="宋体" w:eastAsia="宋体" w:hint="default"/>
                <w:spacing w:val="-3"/>
                <w:sz w:val="18"/>
                <w:szCs w:val="18"/>
              </w:rPr>
              <w:t>防范或发现严重偏离整体控制目标</w:t>
            </w:r>
            <w:r>
              <w:rPr>
                <w:rFonts w:ascii="宋体" w:hAnsi="宋体" w:cs="宋体" w:eastAsia="宋体" w:hint="default"/>
                <w:spacing w:val="-44"/>
                <w:sz w:val="18"/>
                <w:szCs w:val="18"/>
              </w:rPr>
              <w:t> </w:t>
            </w:r>
            <w:r>
              <w:rPr>
                <w:rFonts w:ascii="宋体" w:hAnsi="宋体" w:cs="宋体" w:eastAsia="宋体" w:hint="default"/>
                <w:spacing w:val="-44"/>
                <w:sz w:val="18"/>
                <w:szCs w:val="18"/>
              </w:rPr>
            </w:r>
            <w:r>
              <w:rPr>
                <w:rFonts w:ascii="宋体" w:hAnsi="宋体" w:cs="宋体" w:eastAsia="宋体" w:hint="default"/>
                <w:spacing w:val="-5"/>
                <w:sz w:val="18"/>
                <w:szCs w:val="18"/>
              </w:rPr>
              <w:t>的情形。如果发生以下迹象，通常表</w:t>
            </w:r>
            <w:r>
              <w:rPr>
                <w:rFonts w:ascii="宋体" w:hAnsi="宋体" w:cs="宋体" w:eastAsia="宋体" w:hint="default"/>
                <w:spacing w:val="-52"/>
                <w:sz w:val="18"/>
                <w:szCs w:val="18"/>
              </w:rPr>
              <w:t> </w:t>
            </w:r>
            <w:r>
              <w:rPr>
                <w:rFonts w:ascii="宋体" w:hAnsi="宋体" w:cs="宋体" w:eastAsia="宋体" w:hint="default"/>
                <w:spacing w:val="-52"/>
                <w:sz w:val="18"/>
                <w:szCs w:val="18"/>
              </w:rPr>
            </w:r>
            <w:r>
              <w:rPr>
                <w:rFonts w:ascii="宋体" w:hAnsi="宋体" w:cs="宋体" w:eastAsia="宋体" w:hint="default"/>
                <w:spacing w:val="-3"/>
                <w:sz w:val="18"/>
                <w:szCs w:val="18"/>
              </w:rPr>
              <w:t>明非财务报告内部控制存在重大缺</w:t>
            </w:r>
            <w:r>
              <w:rPr>
                <w:rFonts w:ascii="宋体" w:hAnsi="宋体" w:cs="宋体" w:eastAsia="宋体" w:hint="default"/>
                <w:spacing w:val="-44"/>
                <w:sz w:val="18"/>
                <w:szCs w:val="18"/>
              </w:rPr>
              <w:t> </w:t>
            </w:r>
            <w:r>
              <w:rPr>
                <w:rFonts w:ascii="宋体" w:hAnsi="宋体" w:cs="宋体" w:eastAsia="宋体" w:hint="default"/>
                <w:spacing w:val="-44"/>
                <w:sz w:val="18"/>
                <w:szCs w:val="18"/>
              </w:rPr>
            </w:r>
            <w:r>
              <w:rPr>
                <w:rFonts w:ascii="宋体" w:hAnsi="宋体" w:cs="宋体" w:eastAsia="宋体" w:hint="default"/>
                <w:spacing w:val="-3"/>
                <w:sz w:val="18"/>
                <w:szCs w:val="18"/>
              </w:rPr>
              <w:t>陷：</w:t>
            </w:r>
            <w:r>
              <w:rPr>
                <w:rFonts w:ascii="Times New Roman" w:hAnsi="Times New Roman" w:cs="Times New Roman" w:eastAsia="Times New Roman" w:hint="default"/>
                <w:spacing w:val="-3"/>
                <w:sz w:val="18"/>
                <w:szCs w:val="18"/>
              </w:rPr>
              <w:t>a.</w:t>
            </w:r>
            <w:r>
              <w:rPr>
                <w:rFonts w:ascii="宋体" w:hAnsi="宋体" w:cs="宋体" w:eastAsia="宋体" w:hint="default"/>
                <w:spacing w:val="-3"/>
                <w:sz w:val="18"/>
                <w:szCs w:val="18"/>
              </w:rPr>
              <w:t>公司决策程序不科学导致重大</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2"/>
                <w:sz w:val="18"/>
                <w:szCs w:val="18"/>
              </w:rPr>
              <w:t>决策失误；</w:t>
            </w:r>
            <w:r>
              <w:rPr>
                <w:rFonts w:ascii="Times New Roman" w:hAnsi="Times New Roman" w:cs="Times New Roman" w:eastAsia="Times New Roman" w:hint="default"/>
                <w:spacing w:val="-2"/>
                <w:sz w:val="18"/>
                <w:szCs w:val="18"/>
              </w:rPr>
              <w:t>b.</w:t>
            </w:r>
            <w:r>
              <w:rPr>
                <w:rFonts w:ascii="宋体" w:hAnsi="宋体" w:cs="宋体" w:eastAsia="宋体" w:hint="default"/>
                <w:spacing w:val="-2"/>
                <w:sz w:val="18"/>
                <w:szCs w:val="18"/>
              </w:rPr>
              <w:t>内部控制评价为重大缺</w:t>
            </w:r>
            <w:r>
              <w:rPr>
                <w:rFonts w:ascii="宋体" w:hAnsi="宋体" w:cs="宋体" w:eastAsia="宋体" w:hint="default"/>
                <w:spacing w:val="-52"/>
                <w:sz w:val="18"/>
                <w:szCs w:val="18"/>
              </w:rPr>
              <w:t> </w:t>
            </w:r>
            <w:r>
              <w:rPr>
                <w:rFonts w:ascii="宋体" w:hAnsi="宋体" w:cs="宋体" w:eastAsia="宋体" w:hint="default"/>
                <w:spacing w:val="-52"/>
                <w:sz w:val="18"/>
                <w:szCs w:val="18"/>
              </w:rPr>
            </w:r>
            <w:r>
              <w:rPr>
                <w:rFonts w:ascii="宋体" w:hAnsi="宋体" w:cs="宋体" w:eastAsia="宋体" w:hint="default"/>
                <w:spacing w:val="-3"/>
                <w:sz w:val="18"/>
                <w:szCs w:val="18"/>
              </w:rPr>
              <w:t>陷未在合理时间内得到整改；</w:t>
            </w:r>
            <w:r>
              <w:rPr>
                <w:rFonts w:ascii="Times New Roman" w:hAnsi="Times New Roman" w:cs="Times New Roman" w:eastAsia="Times New Roman" w:hint="default"/>
                <w:spacing w:val="-3"/>
                <w:sz w:val="18"/>
                <w:szCs w:val="18"/>
              </w:rPr>
              <w:t>c.</w:t>
            </w:r>
            <w:r>
              <w:rPr>
                <w:rFonts w:ascii="宋体" w:hAnsi="宋体" w:cs="宋体" w:eastAsia="宋体" w:hint="default"/>
                <w:spacing w:val="-3"/>
                <w:sz w:val="18"/>
                <w:szCs w:val="18"/>
              </w:rPr>
              <w:t>公司</w:t>
            </w:r>
            <w:r>
              <w:rPr>
                <w:rFonts w:ascii="宋体" w:hAnsi="宋体" w:cs="宋体" w:eastAsia="宋体" w:hint="default"/>
                <w:spacing w:val="-45"/>
                <w:sz w:val="18"/>
                <w:szCs w:val="18"/>
              </w:rPr>
              <w:t> </w:t>
            </w:r>
            <w:r>
              <w:rPr>
                <w:rFonts w:ascii="宋体" w:hAnsi="宋体" w:cs="宋体" w:eastAsia="宋体" w:hint="default"/>
                <w:spacing w:val="-5"/>
                <w:sz w:val="18"/>
                <w:szCs w:val="18"/>
              </w:rPr>
              <w:t>董事、监事、高层管理人员违犯国家</w:t>
            </w:r>
            <w:r>
              <w:rPr>
                <w:rFonts w:ascii="宋体" w:hAnsi="宋体" w:cs="宋体" w:eastAsia="宋体" w:hint="default"/>
                <w:spacing w:val="-50"/>
                <w:sz w:val="18"/>
                <w:szCs w:val="18"/>
              </w:rPr>
              <w:t> </w:t>
            </w:r>
            <w:r>
              <w:rPr>
                <w:rFonts w:ascii="宋体" w:hAnsi="宋体" w:cs="宋体" w:eastAsia="宋体" w:hint="default"/>
                <w:spacing w:val="-50"/>
                <w:sz w:val="18"/>
                <w:szCs w:val="18"/>
              </w:rPr>
            </w:r>
            <w:r>
              <w:rPr>
                <w:rFonts w:ascii="宋体" w:hAnsi="宋体" w:cs="宋体" w:eastAsia="宋体" w:hint="default"/>
                <w:spacing w:val="-5"/>
                <w:sz w:val="18"/>
                <w:szCs w:val="18"/>
              </w:rPr>
              <w:t>法律、法规被处以重罚或承担刑事责</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任；</w:t>
            </w:r>
            <w:r>
              <w:rPr>
                <w:rFonts w:ascii="Times New Roman" w:hAnsi="Times New Roman" w:cs="Times New Roman" w:eastAsia="Times New Roman" w:hint="default"/>
                <w:sz w:val="18"/>
                <w:szCs w:val="18"/>
              </w:rPr>
              <w:t>d.</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安全、环保事故造成</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人以</w:t>
            </w:r>
            <w:r>
              <w:rPr>
                <w:rFonts w:ascii="宋体" w:hAnsi="宋体" w:cs="宋体" w:eastAsia="宋体" w:hint="default"/>
                <w:w w:val="101"/>
                <w:sz w:val="18"/>
                <w:szCs w:val="18"/>
              </w:rPr>
              <w:t> </w:t>
            </w:r>
            <w:r>
              <w:rPr>
                <w:rFonts w:ascii="宋体" w:hAnsi="宋体" w:cs="宋体" w:eastAsia="宋体" w:hint="default"/>
                <w:sz w:val="18"/>
                <w:szCs w:val="18"/>
              </w:rPr>
              <w:t>上死亡或者</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50</w:t>
            </w:r>
            <w:r>
              <w:rPr>
                <w:rFonts w:ascii="Times New Roman" w:hAnsi="Times New Roman" w:cs="Times New Roman" w:eastAsia="Times New Roman" w:hint="default"/>
                <w:spacing w:val="2"/>
                <w:sz w:val="18"/>
                <w:szCs w:val="18"/>
              </w:rPr>
              <w:t> </w:t>
            </w:r>
            <w:r>
              <w:rPr>
                <w:rFonts w:ascii="宋体" w:hAnsi="宋体" w:cs="宋体" w:eastAsia="宋体" w:hint="default"/>
                <w:spacing w:val="-3"/>
                <w:sz w:val="18"/>
                <w:szCs w:val="18"/>
              </w:rPr>
              <w:t>人以上重伤，对公司</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5"/>
                <w:sz w:val="18"/>
                <w:szCs w:val="18"/>
              </w:rPr>
              <w:t>造成重大负面影响的情形。②重要缺</w:t>
            </w:r>
            <w:r>
              <w:rPr>
                <w:rFonts w:ascii="宋体" w:hAnsi="宋体" w:cs="宋体" w:eastAsia="宋体" w:hint="default"/>
                <w:spacing w:val="-50"/>
                <w:sz w:val="18"/>
                <w:szCs w:val="18"/>
              </w:rPr>
              <w:t> </w:t>
            </w:r>
            <w:r>
              <w:rPr>
                <w:rFonts w:ascii="宋体" w:hAnsi="宋体" w:cs="宋体" w:eastAsia="宋体" w:hint="default"/>
                <w:spacing w:val="-50"/>
                <w:sz w:val="18"/>
                <w:szCs w:val="18"/>
              </w:rPr>
            </w:r>
            <w:r>
              <w:rPr>
                <w:rFonts w:ascii="宋体" w:hAnsi="宋体" w:cs="宋体" w:eastAsia="宋体" w:hint="default"/>
                <w:spacing w:val="-3"/>
                <w:sz w:val="18"/>
                <w:szCs w:val="18"/>
              </w:rPr>
              <w:t>陷：是指一个或多个一般缺陷的组</w:t>
            </w:r>
            <w:r>
              <w:rPr>
                <w:rFonts w:ascii="宋体" w:hAnsi="宋体" w:cs="宋体" w:eastAsia="宋体" w:hint="default"/>
                <w:spacing w:val="-44"/>
                <w:sz w:val="18"/>
                <w:szCs w:val="18"/>
              </w:rPr>
              <w:t> </w:t>
            </w:r>
            <w:r>
              <w:rPr>
                <w:rFonts w:ascii="宋体" w:hAnsi="宋体" w:cs="宋体" w:eastAsia="宋体" w:hint="default"/>
                <w:spacing w:val="-44"/>
                <w:sz w:val="18"/>
                <w:szCs w:val="18"/>
              </w:rPr>
            </w:r>
            <w:r>
              <w:rPr>
                <w:rFonts w:ascii="宋体" w:hAnsi="宋体" w:cs="宋体" w:eastAsia="宋体" w:hint="default"/>
                <w:spacing w:val="-5"/>
                <w:sz w:val="18"/>
                <w:szCs w:val="18"/>
              </w:rPr>
              <w:t>合，其严重程度低于重大缺陷，但导</w:t>
            </w:r>
          </w:p>
        </w:tc>
      </w:tr>
    </w:tbl>
    <w:p>
      <w:pPr>
        <w:spacing w:after="0" w:line="312" w:lineRule="auto"/>
        <w:jc w:val="left"/>
        <w:rPr>
          <w:rFonts w:ascii="宋体" w:hAnsi="宋体" w:cs="宋体" w:eastAsia="宋体" w:hint="default"/>
          <w:sz w:val="18"/>
          <w:szCs w:val="18"/>
        </w:rPr>
        <w:sectPr>
          <w:pgSz w:w="11910" w:h="16840"/>
          <w:pgMar w:header="784" w:footer="1022" w:top="1100" w:bottom="1220" w:left="980" w:right="0"/>
        </w:sectPr>
      </w:pPr>
    </w:p>
    <w:p>
      <w:pPr>
        <w:spacing w:line="240" w:lineRule="auto" w:before="7"/>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3193"/>
        <w:gridCol w:w="3328"/>
        <w:gridCol w:w="3049"/>
      </w:tblGrid>
      <w:tr>
        <w:trPr>
          <w:trHeight w:val="4105" w:hRule="exact"/>
        </w:trPr>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28"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10"/>
              <w:ind w:left="106" w:right="99"/>
              <w:jc w:val="both"/>
              <w:rPr>
                <w:rFonts w:ascii="宋体" w:hAnsi="宋体" w:cs="宋体" w:eastAsia="宋体" w:hint="default"/>
                <w:sz w:val="18"/>
                <w:szCs w:val="18"/>
              </w:rPr>
            </w:pPr>
            <w:r>
              <w:rPr>
                <w:rFonts w:ascii="宋体" w:hAnsi="宋体" w:cs="宋体" w:eastAsia="宋体" w:hint="default"/>
                <w:spacing w:val="-3"/>
                <w:sz w:val="18"/>
                <w:szCs w:val="18"/>
              </w:rPr>
              <w:t>告不能真实反映企业财务状况的可能性</w:t>
            </w:r>
            <w:r>
              <w:rPr>
                <w:rFonts w:ascii="宋体" w:hAnsi="宋体" w:cs="宋体" w:eastAsia="宋体" w:hint="default"/>
                <w:spacing w:val="-40"/>
                <w:sz w:val="18"/>
                <w:szCs w:val="18"/>
              </w:rPr>
              <w:t> </w:t>
            </w:r>
            <w:r>
              <w:rPr>
                <w:rFonts w:ascii="宋体" w:hAnsi="宋体" w:cs="宋体" w:eastAsia="宋体" w:hint="default"/>
                <w:spacing w:val="-40"/>
                <w:sz w:val="18"/>
                <w:szCs w:val="18"/>
              </w:rPr>
            </w:r>
            <w:r>
              <w:rPr>
                <w:rFonts w:ascii="宋体" w:hAnsi="宋体" w:cs="宋体" w:eastAsia="宋体" w:hint="default"/>
                <w:spacing w:val="-3"/>
                <w:sz w:val="18"/>
                <w:szCs w:val="18"/>
              </w:rPr>
              <w:t>依然重大，须引起企业管理层关注的缺</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陷。如果出现以下迹象，通常表明财务</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7"/>
                <w:w w:val="101"/>
                <w:sz w:val="18"/>
                <w:szCs w:val="18"/>
              </w:rPr>
              <w:t>报告可能存在重要缺陷：</w:t>
            </w:r>
            <w:r>
              <w:rPr>
                <w:rFonts w:ascii="Times New Roman" w:hAnsi="Times New Roman" w:cs="Times New Roman" w:eastAsia="Times New Roman" w:hint="default"/>
                <w:spacing w:val="-7"/>
                <w:w w:val="101"/>
                <w:sz w:val="18"/>
                <w:szCs w:val="18"/>
              </w:rPr>
              <w:t>a.</w:t>
            </w:r>
            <w:r>
              <w:rPr>
                <w:rFonts w:ascii="宋体" w:hAnsi="宋体" w:cs="宋体" w:eastAsia="宋体" w:hint="default"/>
                <w:spacing w:val="-7"/>
                <w:w w:val="101"/>
                <w:sz w:val="18"/>
                <w:szCs w:val="18"/>
              </w:rPr>
              <w:t>未依照公认会</w:t>
            </w:r>
            <w:r>
              <w:rPr>
                <w:rFonts w:ascii="宋体" w:hAnsi="宋体" w:cs="宋体" w:eastAsia="宋体" w:hint="default"/>
                <w:spacing w:val="-79"/>
                <w:w w:val="101"/>
                <w:sz w:val="18"/>
                <w:szCs w:val="18"/>
              </w:rPr>
              <w:t> </w:t>
            </w:r>
            <w:r>
              <w:rPr>
                <w:rFonts w:ascii="宋体" w:hAnsi="宋体" w:cs="宋体" w:eastAsia="宋体" w:hint="default"/>
                <w:spacing w:val="-79"/>
                <w:w w:val="101"/>
                <w:sz w:val="18"/>
                <w:szCs w:val="18"/>
              </w:rPr>
            </w:r>
            <w:r>
              <w:rPr>
                <w:rFonts w:ascii="宋体" w:hAnsi="宋体" w:cs="宋体" w:eastAsia="宋体" w:hint="default"/>
                <w:spacing w:val="-7"/>
                <w:w w:val="101"/>
                <w:sz w:val="18"/>
                <w:szCs w:val="18"/>
              </w:rPr>
              <w:t>计准则选择和应用会计政策；</w:t>
            </w:r>
            <w:r>
              <w:rPr>
                <w:rFonts w:ascii="Times New Roman" w:hAnsi="Times New Roman" w:cs="Times New Roman" w:eastAsia="Times New Roman" w:hint="default"/>
                <w:spacing w:val="-7"/>
                <w:w w:val="101"/>
                <w:sz w:val="18"/>
                <w:szCs w:val="18"/>
              </w:rPr>
              <w:t>b.</w:t>
            </w:r>
            <w:r>
              <w:rPr>
                <w:rFonts w:ascii="宋体" w:hAnsi="宋体" w:cs="宋体" w:eastAsia="宋体" w:hint="default"/>
                <w:spacing w:val="-7"/>
                <w:w w:val="101"/>
                <w:sz w:val="18"/>
                <w:szCs w:val="18"/>
              </w:rPr>
              <w:t>未建立反</w:t>
            </w:r>
            <w:r>
              <w:rPr>
                <w:rFonts w:ascii="宋体" w:hAnsi="宋体" w:cs="宋体" w:eastAsia="宋体" w:hint="default"/>
                <w:spacing w:val="-89"/>
                <w:w w:val="101"/>
                <w:sz w:val="18"/>
                <w:szCs w:val="18"/>
              </w:rPr>
              <w:t> </w:t>
            </w:r>
            <w:r>
              <w:rPr>
                <w:rFonts w:ascii="宋体" w:hAnsi="宋体" w:cs="宋体" w:eastAsia="宋体" w:hint="default"/>
                <w:spacing w:val="-89"/>
                <w:w w:val="101"/>
                <w:sz w:val="18"/>
                <w:szCs w:val="18"/>
              </w:rPr>
            </w:r>
            <w:r>
              <w:rPr>
                <w:rFonts w:ascii="宋体" w:hAnsi="宋体" w:cs="宋体" w:eastAsia="宋体" w:hint="default"/>
                <w:spacing w:val="-7"/>
                <w:w w:val="101"/>
                <w:sz w:val="18"/>
                <w:szCs w:val="18"/>
              </w:rPr>
              <w:t>舞弊程序和控制措施；</w:t>
            </w:r>
            <w:r>
              <w:rPr>
                <w:rFonts w:ascii="Times New Roman" w:hAnsi="Times New Roman" w:cs="Times New Roman" w:eastAsia="Times New Roman" w:hint="default"/>
                <w:spacing w:val="-7"/>
                <w:w w:val="101"/>
                <w:sz w:val="18"/>
                <w:szCs w:val="18"/>
              </w:rPr>
              <w:t>c.</w:t>
            </w:r>
            <w:r>
              <w:rPr>
                <w:rFonts w:ascii="宋体" w:hAnsi="宋体" w:cs="宋体" w:eastAsia="宋体" w:hint="default"/>
                <w:spacing w:val="-7"/>
                <w:w w:val="101"/>
                <w:sz w:val="18"/>
                <w:szCs w:val="18"/>
              </w:rPr>
              <w:t>对于期末财务报</w:t>
            </w:r>
            <w:r>
              <w:rPr>
                <w:rFonts w:ascii="宋体" w:hAnsi="宋体" w:cs="宋体" w:eastAsia="宋体" w:hint="default"/>
                <w:spacing w:val="-79"/>
                <w:w w:val="101"/>
                <w:sz w:val="18"/>
                <w:szCs w:val="18"/>
              </w:rPr>
              <w:t> </w:t>
            </w:r>
            <w:r>
              <w:rPr>
                <w:rFonts w:ascii="宋体" w:hAnsi="宋体" w:cs="宋体" w:eastAsia="宋体" w:hint="default"/>
                <w:spacing w:val="-79"/>
                <w:w w:val="101"/>
                <w:sz w:val="18"/>
                <w:szCs w:val="18"/>
              </w:rPr>
            </w:r>
            <w:r>
              <w:rPr>
                <w:rFonts w:ascii="宋体" w:hAnsi="宋体" w:cs="宋体" w:eastAsia="宋体" w:hint="default"/>
                <w:spacing w:val="-3"/>
                <w:sz w:val="18"/>
                <w:szCs w:val="18"/>
              </w:rPr>
              <w:t>告的控制存在一项或多项缺陷且不能合</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理保证编制的财务报表达到真实、准确</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z w:val="18"/>
                <w:szCs w:val="18"/>
              </w:rPr>
              <w:t>目标。</w:t>
            </w:r>
            <w:r>
              <w:rPr>
                <w:rFonts w:ascii="Times New Roman" w:hAnsi="Times New Roman" w:cs="Times New Roman" w:eastAsia="Times New Roman" w:hint="default"/>
                <w:sz w:val="18"/>
                <w:szCs w:val="18"/>
              </w:rPr>
              <w:t>d.</w:t>
            </w:r>
            <w:r>
              <w:rPr>
                <w:rFonts w:ascii="Times New Roman" w:hAnsi="Times New Roman" w:cs="Times New Roman" w:eastAsia="Times New Roman" w:hint="default"/>
                <w:spacing w:val="34"/>
                <w:sz w:val="18"/>
                <w:szCs w:val="18"/>
              </w:rPr>
              <w:t> </w:t>
            </w:r>
            <w:r>
              <w:rPr>
                <w:rFonts w:ascii="宋体" w:hAnsi="宋体" w:cs="宋体" w:eastAsia="宋体" w:hint="default"/>
                <w:spacing w:val="-3"/>
                <w:sz w:val="18"/>
                <w:szCs w:val="18"/>
              </w:rPr>
              <w:t>已经发现并报告给管理层的重</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3"/>
                <w:sz w:val="18"/>
                <w:szCs w:val="18"/>
              </w:rPr>
              <w:t>要缺陷在合理的时间内未加以改正。③</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一般缺陷：除重大缺陷及重要缺陷以外</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的其它与财务有关的内控缺陷为一般缺</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z w:val="18"/>
                <w:szCs w:val="18"/>
              </w:rPr>
              <w:t>陷。</w:t>
            </w:r>
          </w:p>
        </w:tc>
        <w:tc>
          <w:tcPr>
            <w:tcW w:w="3049"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10"/>
              <w:ind w:left="100" w:right="93"/>
              <w:jc w:val="left"/>
              <w:rPr>
                <w:rFonts w:ascii="宋体" w:hAnsi="宋体" w:cs="宋体" w:eastAsia="宋体" w:hint="default"/>
                <w:sz w:val="18"/>
                <w:szCs w:val="18"/>
              </w:rPr>
            </w:pPr>
            <w:r>
              <w:rPr>
                <w:rFonts w:ascii="宋体" w:hAnsi="宋体" w:cs="宋体" w:eastAsia="宋体" w:hint="default"/>
                <w:spacing w:val="-3"/>
                <w:sz w:val="18"/>
                <w:szCs w:val="18"/>
              </w:rPr>
              <w:t>致企业无法及时防范或发现偏离整</w:t>
            </w:r>
            <w:r>
              <w:rPr>
                <w:rFonts w:ascii="宋体" w:hAnsi="宋体" w:cs="宋体" w:eastAsia="宋体" w:hint="default"/>
                <w:spacing w:val="-44"/>
                <w:sz w:val="18"/>
                <w:szCs w:val="18"/>
              </w:rPr>
              <w:t> </w:t>
            </w:r>
            <w:r>
              <w:rPr>
                <w:rFonts w:ascii="宋体" w:hAnsi="宋体" w:cs="宋体" w:eastAsia="宋体" w:hint="default"/>
                <w:spacing w:val="-44"/>
                <w:sz w:val="18"/>
                <w:szCs w:val="18"/>
              </w:rPr>
            </w:r>
            <w:r>
              <w:rPr>
                <w:rFonts w:ascii="宋体" w:hAnsi="宋体" w:cs="宋体" w:eastAsia="宋体" w:hint="default"/>
                <w:spacing w:val="-5"/>
                <w:sz w:val="18"/>
                <w:szCs w:val="18"/>
              </w:rPr>
              <w:t>体控制目标的严重程度依然重大，须</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pacing w:val="-5"/>
                <w:sz w:val="18"/>
                <w:szCs w:val="18"/>
              </w:rPr>
              <w:t>引起企业管理层关注的缺陷。如果发</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pacing w:val="-5"/>
                <w:sz w:val="18"/>
                <w:szCs w:val="18"/>
              </w:rPr>
              <w:t>生以下迹象，通常表明非财务报告内</w:t>
            </w:r>
            <w:r>
              <w:rPr>
                <w:rFonts w:ascii="宋体" w:hAnsi="宋体" w:cs="宋体" w:eastAsia="宋体" w:hint="default"/>
                <w:spacing w:val="-50"/>
                <w:sz w:val="18"/>
                <w:szCs w:val="18"/>
              </w:rPr>
              <w:t> </w:t>
            </w:r>
            <w:r>
              <w:rPr>
                <w:rFonts w:ascii="宋体" w:hAnsi="宋体" w:cs="宋体" w:eastAsia="宋体" w:hint="default"/>
                <w:spacing w:val="-50"/>
                <w:sz w:val="18"/>
                <w:szCs w:val="18"/>
              </w:rPr>
            </w:r>
            <w:r>
              <w:rPr>
                <w:rFonts w:ascii="宋体" w:hAnsi="宋体" w:cs="宋体" w:eastAsia="宋体" w:hint="default"/>
                <w:spacing w:val="-3"/>
                <w:sz w:val="18"/>
                <w:szCs w:val="18"/>
              </w:rPr>
              <w:t>部控制存在重要缺陷：</w:t>
            </w:r>
            <w:r>
              <w:rPr>
                <w:rFonts w:ascii="Times New Roman" w:hAnsi="Times New Roman" w:cs="Times New Roman" w:eastAsia="Times New Roman" w:hint="default"/>
                <w:spacing w:val="-3"/>
                <w:sz w:val="18"/>
                <w:szCs w:val="18"/>
              </w:rPr>
              <w:t>a.</w:t>
            </w:r>
            <w:r>
              <w:rPr>
                <w:rFonts w:ascii="宋体" w:hAnsi="宋体" w:cs="宋体" w:eastAsia="宋体" w:hint="default"/>
                <w:spacing w:val="-3"/>
                <w:sz w:val="18"/>
                <w:szCs w:val="18"/>
              </w:rPr>
              <w:t>重要业务缺</w:t>
            </w:r>
            <w:r>
              <w:rPr>
                <w:rFonts w:ascii="宋体" w:hAnsi="宋体" w:cs="宋体" w:eastAsia="宋体" w:hint="default"/>
                <w:spacing w:val="-40"/>
                <w:sz w:val="18"/>
                <w:szCs w:val="18"/>
              </w:rPr>
              <w:t> </w:t>
            </w:r>
            <w:r>
              <w:rPr>
                <w:rFonts w:ascii="宋体" w:hAnsi="宋体" w:cs="宋体" w:eastAsia="宋体" w:hint="default"/>
                <w:spacing w:val="-40"/>
                <w:sz w:val="18"/>
                <w:szCs w:val="18"/>
              </w:rPr>
            </w:r>
            <w:r>
              <w:rPr>
                <w:rFonts w:ascii="宋体" w:hAnsi="宋体" w:cs="宋体" w:eastAsia="宋体" w:hint="default"/>
                <w:spacing w:val="-3"/>
                <w:sz w:val="18"/>
                <w:szCs w:val="18"/>
              </w:rPr>
              <w:t>乏制度控制或制度控制系统失效；</w:t>
            </w:r>
            <w:r>
              <w:rPr>
                <w:rFonts w:ascii="Times New Roman" w:hAnsi="Times New Roman" w:cs="Times New Roman" w:eastAsia="Times New Roman" w:hint="default"/>
                <w:spacing w:val="-3"/>
                <w:sz w:val="18"/>
                <w:szCs w:val="18"/>
              </w:rPr>
              <w:t>b.</w:t>
            </w:r>
            <w:r>
              <w:rPr>
                <w:rFonts w:ascii="Times New Roman" w:hAnsi="Times New Roman" w:cs="Times New Roman" w:eastAsia="Times New Roman" w:hint="default"/>
                <w:spacing w:val="8"/>
                <w:sz w:val="18"/>
                <w:szCs w:val="18"/>
              </w:rPr>
              <w:t> </w:t>
            </w:r>
            <w:r>
              <w:rPr>
                <w:rFonts w:ascii="宋体" w:hAnsi="宋体" w:cs="宋体" w:eastAsia="宋体" w:hint="default"/>
                <w:spacing w:val="-3"/>
                <w:sz w:val="18"/>
                <w:szCs w:val="18"/>
              </w:rPr>
              <w:t>内部控制评价为重要缺陷未在合理</w:t>
            </w:r>
            <w:r>
              <w:rPr>
                <w:rFonts w:ascii="宋体" w:hAnsi="宋体" w:cs="宋体" w:eastAsia="宋体" w:hint="default"/>
                <w:spacing w:val="-44"/>
                <w:sz w:val="18"/>
                <w:szCs w:val="18"/>
              </w:rPr>
              <w:t> </w:t>
            </w:r>
            <w:r>
              <w:rPr>
                <w:rFonts w:ascii="宋体" w:hAnsi="宋体" w:cs="宋体" w:eastAsia="宋体" w:hint="default"/>
                <w:spacing w:val="-44"/>
                <w:sz w:val="18"/>
                <w:szCs w:val="18"/>
              </w:rPr>
            </w:r>
            <w:r>
              <w:rPr>
                <w:rFonts w:ascii="宋体" w:hAnsi="宋体" w:cs="宋体" w:eastAsia="宋体" w:hint="default"/>
                <w:spacing w:val="-3"/>
                <w:sz w:val="18"/>
                <w:szCs w:val="18"/>
              </w:rPr>
              <w:t>时间内得到整改；</w:t>
            </w:r>
            <w:r>
              <w:rPr>
                <w:rFonts w:ascii="Times New Roman" w:hAnsi="Times New Roman" w:cs="Times New Roman" w:eastAsia="Times New Roman" w:hint="default"/>
                <w:spacing w:val="-3"/>
                <w:sz w:val="18"/>
                <w:szCs w:val="18"/>
              </w:rPr>
              <w:t>c.</w:t>
            </w:r>
            <w:r>
              <w:rPr>
                <w:rFonts w:ascii="宋体" w:hAnsi="宋体" w:cs="宋体" w:eastAsia="宋体" w:hint="default"/>
                <w:spacing w:val="-3"/>
                <w:sz w:val="18"/>
                <w:szCs w:val="18"/>
              </w:rPr>
              <w:t>公司核心管理人</w:t>
            </w:r>
            <w:r>
              <w:rPr>
                <w:rFonts w:ascii="宋体" w:hAnsi="宋体" w:cs="宋体" w:eastAsia="宋体" w:hint="default"/>
                <w:spacing w:val="-40"/>
                <w:sz w:val="18"/>
                <w:szCs w:val="18"/>
              </w:rPr>
              <w:t> </w:t>
            </w:r>
            <w:r>
              <w:rPr>
                <w:rFonts w:ascii="宋体" w:hAnsi="宋体" w:cs="宋体" w:eastAsia="宋体" w:hint="default"/>
                <w:spacing w:val="-40"/>
                <w:sz w:val="18"/>
                <w:szCs w:val="18"/>
              </w:rPr>
            </w:r>
            <w:r>
              <w:rPr>
                <w:rFonts w:ascii="宋体" w:hAnsi="宋体" w:cs="宋体" w:eastAsia="宋体" w:hint="default"/>
                <w:spacing w:val="-5"/>
                <w:sz w:val="18"/>
                <w:szCs w:val="18"/>
              </w:rPr>
              <w:t>员或核心技术人员大量流失。③一般</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pacing w:val="-5"/>
                <w:sz w:val="18"/>
                <w:szCs w:val="18"/>
              </w:rPr>
              <w:t>缺陷：除重大缺陷及重要缺陷以外的</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其它缺陷为一般缺陷。</w:t>
            </w:r>
          </w:p>
        </w:tc>
      </w:tr>
      <w:tr>
        <w:trPr>
          <w:trHeight w:val="6645" w:hRule="exact"/>
        </w:trPr>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26"/>
                <w:szCs w:val="2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定量标准</w:t>
            </w:r>
          </w:p>
        </w:tc>
        <w:tc>
          <w:tcPr>
            <w:tcW w:w="3328"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3"/>
              <w:ind w:left="106" w:right="98"/>
              <w:jc w:val="left"/>
              <w:rPr>
                <w:rFonts w:ascii="宋体" w:hAnsi="宋体" w:cs="宋体" w:eastAsia="宋体" w:hint="default"/>
                <w:sz w:val="18"/>
                <w:szCs w:val="18"/>
              </w:rPr>
            </w:pPr>
            <w:r>
              <w:rPr>
                <w:rFonts w:ascii="宋体" w:hAnsi="宋体" w:cs="宋体" w:eastAsia="宋体" w:hint="default"/>
                <w:spacing w:val="-3"/>
                <w:sz w:val="18"/>
                <w:szCs w:val="18"/>
              </w:rPr>
              <w:t>内部控制缺陷导致或可能导致的损失与</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利润表相关的，以营业收入的一定比例</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作指标衡量。①重大缺陷：该缺陷单独</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或连同其他缺陷可能导致的财务报告错</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z w:val="18"/>
                <w:szCs w:val="18"/>
              </w:rPr>
              <w:t>误金额超过营业收入的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。②重要缺</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3"/>
                <w:sz w:val="18"/>
                <w:szCs w:val="18"/>
              </w:rPr>
              <w:t>陷：该缺陷单独或连同其他缺陷可能导</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致的财务报告错误金额超过营业收入的</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，但小于或等于营业收入的</w:t>
            </w:r>
            <w:r>
              <w:rPr>
                <w:rFonts w:ascii="宋体" w:hAnsi="宋体" w:cs="宋体" w:eastAsia="宋体" w:hint="default"/>
                <w:spacing w:val="-28"/>
                <w:sz w:val="18"/>
                <w:szCs w:val="18"/>
              </w:rPr>
              <w:t> </w:t>
            </w: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。③</w:t>
            </w:r>
            <w:r>
              <w:rPr>
                <w:rFonts w:ascii="宋体" w:hAnsi="宋体" w:cs="宋体" w:eastAsia="宋体" w:hint="default"/>
                <w:spacing w:val="-54"/>
                <w:sz w:val="18"/>
                <w:szCs w:val="18"/>
              </w:rPr>
              <w:t> </w:t>
            </w:r>
            <w:r>
              <w:rPr>
                <w:rFonts w:ascii="宋体" w:hAnsi="宋体" w:cs="宋体" w:eastAsia="宋体" w:hint="default"/>
                <w:spacing w:val="-3"/>
                <w:sz w:val="18"/>
                <w:szCs w:val="18"/>
              </w:rPr>
              <w:t>一般缺陷：该缺陷单独或连同其他缺陷</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可能导致的财务报告错误金额小于或等</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z w:val="18"/>
                <w:szCs w:val="18"/>
              </w:rPr>
              <w:t>于营业收入的</w:t>
            </w:r>
            <w:r>
              <w:rPr>
                <w:rFonts w:ascii="宋体" w:hAnsi="宋体" w:cs="宋体" w:eastAsia="宋体" w:hint="default"/>
                <w:spacing w:val="-17"/>
                <w:sz w:val="18"/>
                <w:szCs w:val="18"/>
              </w:rPr>
              <w:t> </w:t>
            </w:r>
            <w:r>
              <w:rPr>
                <w:rFonts w:ascii="Times New Roman" w:hAnsi="Times New Roman" w:cs="Times New Roman" w:eastAsia="Times New Roman" w:hint="default"/>
                <w:spacing w:val="-8"/>
                <w:sz w:val="18"/>
                <w:szCs w:val="18"/>
              </w:rPr>
              <w:t>1%</w:t>
            </w:r>
            <w:r>
              <w:rPr>
                <w:rFonts w:ascii="宋体" w:hAnsi="宋体" w:cs="宋体" w:eastAsia="宋体" w:hint="default"/>
                <w:spacing w:val="-8"/>
                <w:sz w:val="18"/>
                <w:szCs w:val="18"/>
              </w:rPr>
              <w:t>。内部控制缺陷导致或</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3"/>
                <w:sz w:val="18"/>
                <w:szCs w:val="18"/>
              </w:rPr>
              <w:t>可能导致的损失与资产管理相关的，以</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资产总额的一定比例作指标衡量。①重</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大缺陷：该缺陷单独或连同其他缺陷可</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能导致的财务报告错误金额超过资产总</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z w:val="18"/>
                <w:szCs w:val="18"/>
              </w:rPr>
              <w:t>额的 </w:t>
            </w:r>
            <w:r>
              <w:rPr>
                <w:rFonts w:ascii="Times New Roman" w:hAnsi="Times New Roman" w:cs="Times New Roman" w:eastAsia="Times New Roman" w:hint="default"/>
                <w:spacing w:val="-7"/>
                <w:sz w:val="18"/>
                <w:szCs w:val="18"/>
              </w:rPr>
              <w:t>2%</w:t>
            </w:r>
            <w:r>
              <w:rPr>
                <w:rFonts w:ascii="宋体" w:hAnsi="宋体" w:cs="宋体" w:eastAsia="宋体" w:hint="default"/>
                <w:spacing w:val="-7"/>
                <w:sz w:val="18"/>
                <w:szCs w:val="18"/>
              </w:rPr>
              <w:t>。②重要缺陷：该缺陷单独或连</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3"/>
                <w:sz w:val="18"/>
                <w:szCs w:val="18"/>
              </w:rPr>
              <w:t>同其他缺陷可能导致的财务报告错误金</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z w:val="18"/>
                <w:szCs w:val="18"/>
              </w:rPr>
              <w:t>额超过资产总额的</w:t>
            </w:r>
            <w:r>
              <w:rPr>
                <w:rFonts w:ascii="宋体" w:hAnsi="宋体" w:cs="宋体" w:eastAsia="宋体" w:hint="default"/>
                <w:spacing w:val="-22"/>
                <w:sz w:val="18"/>
                <w:szCs w:val="18"/>
              </w:rPr>
              <w:t> </w:t>
            </w:r>
            <w:r>
              <w:rPr>
                <w:rFonts w:ascii="Times New Roman" w:hAnsi="Times New Roman" w:cs="Times New Roman" w:eastAsia="Times New Roman" w:hint="default"/>
                <w:spacing w:val="-9"/>
                <w:sz w:val="18"/>
                <w:szCs w:val="18"/>
              </w:rPr>
              <w:t>1%</w:t>
            </w:r>
            <w:r>
              <w:rPr>
                <w:rFonts w:ascii="宋体" w:hAnsi="宋体" w:cs="宋体" w:eastAsia="宋体" w:hint="default"/>
                <w:spacing w:val="-9"/>
                <w:sz w:val="18"/>
                <w:szCs w:val="18"/>
              </w:rPr>
              <w:t>，但小于或等于资</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产总额的</w:t>
            </w:r>
            <w:r>
              <w:rPr>
                <w:rFonts w:ascii="宋体" w:hAnsi="宋体" w:cs="宋体" w:eastAsia="宋体" w:hint="default"/>
                <w:spacing w:val="-17"/>
                <w:sz w:val="18"/>
                <w:szCs w:val="18"/>
              </w:rPr>
              <w:t> </w:t>
            </w:r>
            <w:r>
              <w:rPr>
                <w:rFonts w:ascii="Times New Roman" w:hAnsi="Times New Roman" w:cs="Times New Roman" w:eastAsia="Times New Roman" w:hint="default"/>
                <w:spacing w:val="-7"/>
                <w:sz w:val="18"/>
                <w:szCs w:val="18"/>
              </w:rPr>
              <w:t>2%</w:t>
            </w:r>
            <w:r>
              <w:rPr>
                <w:rFonts w:ascii="宋体" w:hAnsi="宋体" w:cs="宋体" w:eastAsia="宋体" w:hint="default"/>
                <w:spacing w:val="-7"/>
                <w:sz w:val="18"/>
                <w:szCs w:val="18"/>
              </w:rPr>
              <w:t>。③一般缺陷：该缺陷单独</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3"/>
                <w:sz w:val="18"/>
                <w:szCs w:val="18"/>
              </w:rPr>
              <w:t>或连同其他缺陷可能导致的财务报告错</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z w:val="18"/>
                <w:szCs w:val="18"/>
              </w:rPr>
              <w:t>误金额小于或等于资产总额的</w:t>
            </w:r>
            <w:r>
              <w:rPr>
                <w:rFonts w:ascii="宋体" w:hAnsi="宋体" w:cs="宋体" w:eastAsia="宋体" w:hint="default"/>
                <w:spacing w:val="-35"/>
                <w:sz w:val="18"/>
                <w:szCs w:val="18"/>
              </w:rPr>
              <w:t> </w:t>
            </w: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w:t>
            </w:r>
          </w:p>
        </w:tc>
        <w:tc>
          <w:tcPr>
            <w:tcW w:w="3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5"/>
                <w:szCs w:val="15"/>
              </w:rPr>
            </w:pPr>
          </w:p>
          <w:p>
            <w:pPr>
              <w:pStyle w:val="TableParagraph"/>
              <w:spacing w:line="312" w:lineRule="auto"/>
              <w:ind w:left="100" w:right="95"/>
              <w:jc w:val="left"/>
              <w:rPr>
                <w:rFonts w:ascii="宋体" w:hAnsi="宋体" w:cs="宋体" w:eastAsia="宋体" w:hint="default"/>
                <w:sz w:val="18"/>
                <w:szCs w:val="18"/>
              </w:rPr>
            </w:pPr>
            <w:r>
              <w:rPr>
                <w:rFonts w:ascii="宋体" w:hAnsi="宋体" w:cs="宋体" w:eastAsia="宋体" w:hint="default"/>
                <w:spacing w:val="-5"/>
                <w:sz w:val="18"/>
                <w:szCs w:val="18"/>
              </w:rPr>
              <w:t>①重大缺陷：该内部控制缺陷造成直</w:t>
            </w:r>
            <w:r>
              <w:rPr>
                <w:rFonts w:ascii="宋体" w:hAnsi="宋体" w:cs="宋体" w:eastAsia="宋体" w:hint="default"/>
                <w:spacing w:val="-50"/>
                <w:sz w:val="18"/>
                <w:szCs w:val="18"/>
              </w:rPr>
              <w:t> </w:t>
            </w:r>
            <w:r>
              <w:rPr>
                <w:rFonts w:ascii="宋体" w:hAnsi="宋体" w:cs="宋体" w:eastAsia="宋体" w:hint="default"/>
                <w:spacing w:val="-50"/>
                <w:sz w:val="18"/>
                <w:szCs w:val="18"/>
              </w:rPr>
            </w:r>
            <w:r>
              <w:rPr>
                <w:rFonts w:ascii="宋体" w:hAnsi="宋体" w:cs="宋体" w:eastAsia="宋体" w:hint="default"/>
                <w:sz w:val="18"/>
                <w:szCs w:val="18"/>
              </w:rPr>
              <w:t>接财产损失在</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1000</w:t>
            </w:r>
            <w:r>
              <w:rPr>
                <w:rFonts w:ascii="Times New Roman" w:hAnsi="Times New Roman" w:cs="Times New Roman" w:eastAsia="Times New Roman" w:hint="default"/>
                <w:spacing w:val="1"/>
                <w:sz w:val="18"/>
                <w:szCs w:val="18"/>
              </w:rPr>
              <w:t> </w:t>
            </w:r>
            <w:r>
              <w:rPr>
                <w:rFonts w:ascii="宋体" w:hAnsi="宋体" w:cs="宋体" w:eastAsia="宋体" w:hint="default"/>
                <w:spacing w:val="-3"/>
                <w:sz w:val="18"/>
                <w:szCs w:val="18"/>
              </w:rPr>
              <w:t>万元以上，对公</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pacing w:val="-3"/>
                <w:sz w:val="18"/>
                <w:szCs w:val="18"/>
              </w:rPr>
              <w:t>司造成较大负面影响并以公告形式</w:t>
            </w:r>
            <w:r>
              <w:rPr>
                <w:rFonts w:ascii="宋体" w:hAnsi="宋体" w:cs="宋体" w:eastAsia="宋体" w:hint="default"/>
                <w:spacing w:val="-44"/>
                <w:sz w:val="18"/>
                <w:szCs w:val="18"/>
              </w:rPr>
              <w:t> </w:t>
            </w:r>
            <w:r>
              <w:rPr>
                <w:rFonts w:ascii="宋体" w:hAnsi="宋体" w:cs="宋体" w:eastAsia="宋体" w:hint="default"/>
                <w:spacing w:val="-44"/>
                <w:sz w:val="18"/>
                <w:szCs w:val="18"/>
              </w:rPr>
            </w:r>
            <w:r>
              <w:rPr>
                <w:rFonts w:ascii="宋体" w:hAnsi="宋体" w:cs="宋体" w:eastAsia="宋体" w:hint="default"/>
                <w:sz w:val="18"/>
                <w:szCs w:val="18"/>
              </w:rPr>
              <w:t>对外披露。 </w:t>
            </w:r>
            <w:r>
              <w:rPr>
                <w:rFonts w:ascii="宋体" w:hAnsi="宋体" w:cs="宋体" w:eastAsia="宋体" w:hint="default"/>
                <w:spacing w:val="-3"/>
                <w:sz w:val="18"/>
                <w:szCs w:val="18"/>
              </w:rPr>
              <w:t>②重要缺陷：该内部控</w:t>
            </w:r>
            <w:r>
              <w:rPr>
                <w:rFonts w:ascii="宋体" w:hAnsi="宋体" w:cs="宋体" w:eastAsia="宋体" w:hint="default"/>
                <w:spacing w:val="-58"/>
                <w:sz w:val="18"/>
                <w:szCs w:val="18"/>
              </w:rPr>
              <w:t> </w:t>
            </w:r>
            <w:r>
              <w:rPr>
                <w:rFonts w:ascii="宋体" w:hAnsi="宋体" w:cs="宋体" w:eastAsia="宋体" w:hint="default"/>
                <w:spacing w:val="-58"/>
                <w:sz w:val="18"/>
                <w:szCs w:val="18"/>
              </w:rPr>
            </w:r>
            <w:r>
              <w:rPr>
                <w:rFonts w:ascii="宋体" w:hAnsi="宋体" w:cs="宋体" w:eastAsia="宋体" w:hint="default"/>
                <w:spacing w:val="-3"/>
                <w:sz w:val="18"/>
                <w:szCs w:val="18"/>
              </w:rPr>
              <w:t>制缺陷造成直接财产损失在</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w:t>
            </w:r>
          </w:p>
          <w:p>
            <w:pPr>
              <w:pStyle w:val="TableParagraph"/>
              <w:spacing w:line="312" w:lineRule="auto" w:before="3"/>
              <w:ind w:left="100" w:right="2"/>
              <w:jc w:val="both"/>
              <w:rPr>
                <w:rFonts w:ascii="宋体" w:hAnsi="宋体" w:cs="宋体" w:eastAsia="宋体" w:hint="default"/>
                <w:sz w:val="18"/>
                <w:szCs w:val="18"/>
              </w:rPr>
            </w:pPr>
            <w:r>
              <w:rPr>
                <w:rFonts w:ascii="Times New Roman" w:hAnsi="Times New Roman" w:cs="Times New Roman" w:eastAsia="Times New Roman" w:hint="default"/>
                <w:sz w:val="18"/>
                <w:szCs w:val="18"/>
              </w:rPr>
              <w:t>-1000</w:t>
            </w:r>
            <w:r>
              <w:rPr>
                <w:rFonts w:ascii="Times New Roman" w:hAnsi="Times New Roman" w:cs="Times New Roman" w:eastAsia="Times New Roman" w:hint="default"/>
                <w:spacing w:val="3"/>
                <w:sz w:val="18"/>
                <w:szCs w:val="18"/>
              </w:rPr>
              <w:t> </w:t>
            </w:r>
            <w:r>
              <w:rPr>
                <w:rFonts w:ascii="宋体" w:hAnsi="宋体" w:cs="宋体" w:eastAsia="宋体" w:hint="default"/>
                <w:spacing w:val="-7"/>
                <w:sz w:val="18"/>
                <w:szCs w:val="18"/>
              </w:rPr>
              <w:t>万元（含</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1000</w:t>
            </w:r>
            <w:r>
              <w:rPr>
                <w:rFonts w:ascii="Times New Roman" w:hAnsi="Times New Roman" w:cs="Times New Roman" w:eastAsia="Times New Roman" w:hint="default"/>
                <w:spacing w:val="3"/>
                <w:sz w:val="18"/>
                <w:szCs w:val="18"/>
              </w:rPr>
              <w:t> </w:t>
            </w:r>
            <w:r>
              <w:rPr>
                <w:rFonts w:ascii="宋体" w:hAnsi="宋体" w:cs="宋体" w:eastAsia="宋体" w:hint="default"/>
                <w:spacing w:val="-8"/>
                <w:sz w:val="18"/>
                <w:szCs w:val="18"/>
              </w:rPr>
              <w:t>万元）。③一般</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pacing w:val="-5"/>
                <w:sz w:val="18"/>
                <w:szCs w:val="18"/>
              </w:rPr>
              <w:t>缺陷：该内部控制缺陷造成直接财产</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损失在</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500</w:t>
            </w:r>
            <w:r>
              <w:rPr>
                <w:rFonts w:ascii="Times New Roman" w:hAnsi="Times New Roman" w:cs="Times New Roman" w:eastAsia="Times New Roman" w:hint="default"/>
                <w:spacing w:val="7"/>
                <w:sz w:val="18"/>
                <w:szCs w:val="18"/>
              </w:rPr>
              <w:t> </w:t>
            </w:r>
            <w:r>
              <w:rPr>
                <w:rFonts w:ascii="宋体" w:hAnsi="宋体" w:cs="宋体" w:eastAsia="宋体" w:hint="default"/>
                <w:spacing w:val="-13"/>
                <w:sz w:val="18"/>
                <w:szCs w:val="18"/>
              </w:rPr>
              <w:t>万元以下（含</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500</w:t>
            </w:r>
            <w:r>
              <w:rPr>
                <w:rFonts w:ascii="Times New Roman" w:hAnsi="Times New Roman" w:cs="Times New Roman" w:eastAsia="Times New Roman" w:hint="default"/>
                <w:spacing w:val="7"/>
                <w:sz w:val="18"/>
                <w:szCs w:val="18"/>
              </w:rPr>
              <w:t> </w:t>
            </w:r>
            <w:r>
              <w:rPr>
                <w:rFonts w:ascii="宋体" w:hAnsi="宋体" w:cs="宋体" w:eastAsia="宋体" w:hint="default"/>
                <w:spacing w:val="-19"/>
                <w:sz w:val="18"/>
                <w:szCs w:val="18"/>
              </w:rPr>
              <w:t>万元）。</w:t>
            </w:r>
          </w:p>
        </w:tc>
      </w:tr>
      <w:tr>
        <w:trPr>
          <w:trHeight w:val="403" w:hRule="exact"/>
        </w:trPr>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财务报告重大缺陷数量（个）</w:t>
            </w:r>
          </w:p>
        </w:tc>
        <w:tc>
          <w:tcPr>
            <w:tcW w:w="63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404" w:hRule="exact"/>
        </w:trPr>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pacing w:val="-3"/>
                <w:sz w:val="18"/>
                <w:szCs w:val="18"/>
              </w:rPr>
              <w:t>非财务报告重大缺陷数量（个）</w:t>
            </w:r>
          </w:p>
        </w:tc>
        <w:tc>
          <w:tcPr>
            <w:tcW w:w="63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398" w:hRule="exact"/>
        </w:trPr>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财务报告重要缺陷数量（个）</w:t>
            </w:r>
          </w:p>
        </w:tc>
        <w:tc>
          <w:tcPr>
            <w:tcW w:w="63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403" w:hRule="exact"/>
        </w:trPr>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非财务报告重要缺陷数量（个）</w:t>
            </w:r>
          </w:p>
        </w:tc>
        <w:tc>
          <w:tcPr>
            <w:tcW w:w="63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bl>
    <w:p>
      <w:pPr>
        <w:spacing w:line="240" w:lineRule="auto" w:before="9"/>
        <w:rPr>
          <w:rFonts w:ascii="宋体" w:hAnsi="宋体" w:cs="宋体" w:eastAsia="宋体" w:hint="default"/>
          <w:b/>
          <w:bCs/>
          <w:sz w:val="17"/>
          <w:szCs w:val="17"/>
        </w:rPr>
      </w:pPr>
    </w:p>
    <w:p>
      <w:pPr>
        <w:pStyle w:val="Heading2"/>
        <w:spacing w:line="240" w:lineRule="auto" w:before="26"/>
        <w:ind w:right="0"/>
        <w:jc w:val="left"/>
        <w:rPr>
          <w:b w:val="0"/>
          <w:bCs w:val="0"/>
        </w:rPr>
      </w:pPr>
      <w:bookmarkStart w:name="十、内部控制审计报告或鉴证报告" w:id="155"/>
      <w:bookmarkEnd w:id="155"/>
      <w:r>
        <w:rPr>
          <w:b w:val="0"/>
          <w:bCs w:val="0"/>
        </w:rPr>
      </w:r>
      <w:r>
        <w:rPr/>
        <w:t>十、内部控制审计报告或鉴证报告</w:t>
      </w:r>
      <w:r>
        <w:rPr>
          <w:b w:val="0"/>
          <w:bCs w:val="0"/>
        </w:rPr>
      </w:r>
    </w:p>
    <w:p>
      <w:pPr>
        <w:spacing w:line="240" w:lineRule="auto" w:before="3"/>
        <w:rPr>
          <w:rFonts w:ascii="宋体" w:hAnsi="宋体" w:cs="宋体" w:eastAsia="宋体" w:hint="default"/>
          <w:b/>
          <w:bCs/>
          <w:sz w:val="27"/>
          <w:szCs w:val="27"/>
        </w:rPr>
      </w:pPr>
    </w:p>
    <w:p>
      <w:pPr>
        <w:pStyle w:val="BodyText"/>
        <w:spacing w:line="240" w:lineRule="auto" w:before="0"/>
        <w:ind w:right="0"/>
        <w:jc w:val="left"/>
      </w:pPr>
      <w:r>
        <w:rPr/>
        <w:t>不适用</w:t>
      </w:r>
    </w:p>
    <w:p>
      <w:pPr>
        <w:spacing w:after="0" w:line="240" w:lineRule="auto"/>
        <w:jc w:val="left"/>
        <w:sectPr>
          <w:pgSz w:w="11910" w:h="16840"/>
          <w:pgMar w:header="784" w:footer="1022" w:top="1100" w:bottom="122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7"/>
          <w:szCs w:val="17"/>
        </w:rPr>
      </w:pPr>
    </w:p>
    <w:p>
      <w:pPr>
        <w:pStyle w:val="Heading1"/>
        <w:spacing w:line="240" w:lineRule="auto"/>
        <w:ind w:left="3043" w:right="0"/>
        <w:jc w:val="left"/>
        <w:rPr>
          <w:b w:val="0"/>
          <w:bCs w:val="0"/>
        </w:rPr>
      </w:pPr>
      <w:bookmarkStart w:name="第十一节公司债券相关情况" w:id="156"/>
      <w:bookmarkEnd w:id="156"/>
      <w:r>
        <w:rPr>
          <w:b w:val="0"/>
          <w:bCs w:val="0"/>
        </w:rPr>
      </w:r>
      <w:bookmarkStart w:name="_bookmark10" w:id="157"/>
      <w:bookmarkEnd w:id="157"/>
      <w:r>
        <w:rPr>
          <w:b w:val="0"/>
          <w:bCs w:val="0"/>
        </w:rPr>
      </w:r>
      <w:r>
        <w:rPr/>
        <w:t>第十一节公司债券相关情况</w:t>
      </w:r>
      <w:r>
        <w:rPr>
          <w:b w:val="0"/>
          <w:bCs w:val="0"/>
        </w:rPr>
      </w:r>
    </w:p>
    <w:p>
      <w:pPr>
        <w:spacing w:line="240" w:lineRule="auto" w:before="12"/>
        <w:rPr>
          <w:rFonts w:ascii="宋体" w:hAnsi="宋体" w:cs="宋体" w:eastAsia="宋体" w:hint="default"/>
          <w:b/>
          <w:bCs/>
          <w:sz w:val="42"/>
          <w:szCs w:val="42"/>
        </w:rPr>
      </w:pPr>
    </w:p>
    <w:p>
      <w:pPr>
        <w:pStyle w:val="BodyText"/>
        <w:spacing w:line="357" w:lineRule="auto" w:before="0"/>
        <w:ind w:right="2115"/>
        <w:jc w:val="left"/>
      </w:pPr>
      <w:r>
        <w:rPr>
          <w:spacing w:val="-3"/>
        </w:rPr>
        <w:t>公司是否存在公开发行并在证券交易所上市，且在年度报告批准报出日未到期或到期未能全额兑付的公司债券</w:t>
      </w:r>
      <w:r>
        <w:rPr>
          <w:spacing w:val="50"/>
        </w:rPr>
        <w:t> </w:t>
      </w:r>
      <w:r>
        <w:rPr>
          <w:spacing w:val="50"/>
        </w:rPr>
      </w:r>
      <w:r>
        <w:rPr/>
        <w:t>否</w:t>
      </w:r>
    </w:p>
    <w:p>
      <w:pPr>
        <w:spacing w:after="0" w:line="357" w:lineRule="auto"/>
        <w:jc w:val="left"/>
        <w:sectPr>
          <w:pgSz w:w="11910" w:h="16840"/>
          <w:pgMar w:header="784" w:footer="1022" w:top="1100" w:bottom="122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7"/>
          <w:szCs w:val="17"/>
        </w:rPr>
      </w:pPr>
    </w:p>
    <w:p>
      <w:pPr>
        <w:pStyle w:val="Heading1"/>
        <w:spacing w:line="240" w:lineRule="auto"/>
        <w:ind w:left="3606" w:right="0"/>
        <w:jc w:val="left"/>
        <w:rPr>
          <w:b w:val="0"/>
          <w:bCs w:val="0"/>
        </w:rPr>
      </w:pPr>
      <w:bookmarkStart w:name="第十二节 财务报告" w:id="158"/>
      <w:bookmarkEnd w:id="158"/>
      <w:r>
        <w:rPr>
          <w:b w:val="0"/>
          <w:bCs w:val="0"/>
        </w:rPr>
      </w:r>
      <w:bookmarkStart w:name="_bookmark11" w:id="159"/>
      <w:bookmarkEnd w:id="159"/>
      <w:r>
        <w:rPr>
          <w:b w:val="0"/>
          <w:bCs w:val="0"/>
        </w:rPr>
      </w:r>
      <w:r>
        <w:rPr/>
        <w:t>第十二节</w:t>
      </w:r>
      <w:r>
        <w:rPr>
          <w:spacing w:val="-1"/>
        </w:rPr>
        <w:t> </w:t>
      </w:r>
      <w:r>
        <w:rPr/>
        <w:t>财务报告</w:t>
      </w:r>
      <w:r>
        <w:rPr>
          <w:b w:val="0"/>
          <w:bCs w:val="0"/>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6"/>
          <w:szCs w:val="16"/>
        </w:rPr>
      </w:pPr>
    </w:p>
    <w:p>
      <w:pPr>
        <w:pStyle w:val="Heading2"/>
        <w:spacing w:line="240" w:lineRule="auto" w:before="26"/>
        <w:ind w:right="0"/>
        <w:jc w:val="left"/>
        <w:rPr>
          <w:b w:val="0"/>
          <w:bCs w:val="0"/>
        </w:rPr>
      </w:pPr>
      <w:bookmarkStart w:name="一、审计报告" w:id="160"/>
      <w:bookmarkEnd w:id="160"/>
      <w:r>
        <w:rPr>
          <w:b w:val="0"/>
          <w:bCs w:val="0"/>
        </w:rPr>
      </w:r>
      <w:r>
        <w:rPr/>
        <w:t>一、审计报告</w:t>
      </w:r>
      <w:r>
        <w:rPr>
          <w:b w:val="0"/>
          <w:bCs w:val="0"/>
        </w:rPr>
      </w:r>
    </w:p>
    <w:p>
      <w:pPr>
        <w:spacing w:line="240" w:lineRule="auto" w:before="5"/>
        <w:rPr>
          <w:rFonts w:ascii="宋体" w:hAnsi="宋体" w:cs="宋体" w:eastAsia="宋体" w:hint="default"/>
          <w:b/>
          <w:bCs/>
          <w:sz w:val="26"/>
          <w:szCs w:val="26"/>
        </w:rPr>
      </w:pPr>
    </w:p>
    <w:tbl>
      <w:tblPr>
        <w:tblW w:w="0" w:type="auto"/>
        <w:jc w:val="left"/>
        <w:tblInd w:w="148" w:type="dxa"/>
        <w:tblLayout w:type="fixed"/>
        <w:tblCellMar>
          <w:top w:w="0" w:type="dxa"/>
          <w:left w:w="0" w:type="dxa"/>
          <w:bottom w:w="0" w:type="dxa"/>
          <w:right w:w="0" w:type="dxa"/>
        </w:tblCellMar>
        <w:tblLook w:val="01E0"/>
      </w:tblPr>
      <w:tblGrid>
        <w:gridCol w:w="4783"/>
        <w:gridCol w:w="4787"/>
      </w:tblGrid>
      <w:tr>
        <w:trPr>
          <w:trHeight w:val="398"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审计意见类型</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标准的无保留意见</w:t>
            </w:r>
          </w:p>
        </w:tc>
      </w:tr>
      <w:tr>
        <w:trPr>
          <w:trHeight w:val="404"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审计报告签署日期</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审计机构名称</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中喜会计师事务所（特殊普通合伙）</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审计报告文号</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中喜审字【</w:t>
            </w:r>
            <w:r>
              <w:rPr>
                <w:rFonts w:ascii="Times New Roman" w:hAnsi="Times New Roman" w:cs="Times New Roman" w:eastAsia="Times New Roman" w:hint="default"/>
                <w:sz w:val="18"/>
                <w:szCs w:val="18"/>
              </w:rPr>
              <w:t>2020</w:t>
            </w:r>
            <w:r>
              <w:rPr>
                <w:rFonts w:ascii="宋体" w:hAnsi="宋体" w:cs="宋体" w:eastAsia="宋体" w:hint="default"/>
                <w:sz w:val="18"/>
                <w:szCs w:val="18"/>
              </w:rPr>
              <w:t>】第</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00635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号</w:t>
            </w:r>
          </w:p>
        </w:tc>
      </w:tr>
      <w:tr>
        <w:trPr>
          <w:trHeight w:val="398"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注册会计师姓名</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谢翠、张丽</w:t>
            </w:r>
          </w:p>
        </w:tc>
      </w:tr>
    </w:tbl>
    <w:p>
      <w:pPr>
        <w:pStyle w:val="BodyText"/>
        <w:spacing w:line="240" w:lineRule="auto" w:before="53"/>
        <w:ind w:left="137" w:right="1110"/>
        <w:jc w:val="center"/>
      </w:pPr>
      <w:r>
        <w:rPr/>
        <w:t>审计报告正文</w:t>
      </w:r>
    </w:p>
    <w:p>
      <w:pPr>
        <w:spacing w:before="121"/>
        <w:ind w:left="137" w:right="1110" w:firstLine="0"/>
        <w:jc w:val="center"/>
        <w:rPr>
          <w:rFonts w:ascii="宋体" w:hAnsi="宋体" w:cs="宋体" w:eastAsia="宋体" w:hint="default"/>
          <w:sz w:val="36"/>
          <w:szCs w:val="36"/>
        </w:rPr>
      </w:pPr>
      <w:r>
        <w:rPr>
          <w:rFonts w:ascii="宋体" w:hAnsi="宋体" w:cs="宋体" w:eastAsia="宋体" w:hint="default"/>
          <w:b/>
          <w:bCs/>
          <w:sz w:val="36"/>
          <w:szCs w:val="36"/>
        </w:rPr>
        <w:t>审 计 报</w:t>
      </w:r>
      <w:r>
        <w:rPr>
          <w:rFonts w:ascii="宋体" w:hAnsi="宋体" w:cs="宋体" w:eastAsia="宋体" w:hint="default"/>
          <w:b/>
          <w:bCs/>
          <w:spacing w:val="-3"/>
          <w:sz w:val="36"/>
          <w:szCs w:val="36"/>
        </w:rPr>
        <w:t> </w:t>
      </w:r>
      <w:r>
        <w:rPr>
          <w:rFonts w:ascii="宋体" w:hAnsi="宋体" w:cs="宋体" w:eastAsia="宋体" w:hint="default"/>
          <w:b/>
          <w:bCs/>
          <w:sz w:val="36"/>
          <w:szCs w:val="36"/>
        </w:rPr>
        <w:t>告</w:t>
      </w:r>
      <w:r>
        <w:rPr>
          <w:rFonts w:ascii="宋体" w:hAnsi="宋体" w:cs="宋体" w:eastAsia="宋体" w:hint="default"/>
          <w:sz w:val="36"/>
          <w:szCs w:val="36"/>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p>
      <w:pPr>
        <w:pStyle w:val="BodyText"/>
        <w:spacing w:line="240" w:lineRule="auto" w:before="0"/>
        <w:ind w:left="0" w:right="1146"/>
        <w:jc w:val="right"/>
      </w:pPr>
      <w:r>
        <w:rPr>
          <w:spacing w:val="-2"/>
        </w:rPr>
        <w:t>中喜审字【</w:t>
      </w:r>
      <w:r>
        <w:rPr>
          <w:rFonts w:ascii="宋体" w:hAnsi="宋体" w:cs="宋体" w:eastAsia="宋体" w:hint="default"/>
          <w:spacing w:val="-2"/>
        </w:rPr>
        <w:t>2020</w:t>
      </w:r>
      <w:r>
        <w:rPr>
          <w:spacing w:val="-2"/>
        </w:rPr>
        <w:t>】第</w:t>
      </w:r>
      <w:r>
        <w:rPr>
          <w:rFonts w:ascii="宋体" w:hAnsi="宋体" w:cs="宋体" w:eastAsia="宋体" w:hint="default"/>
          <w:spacing w:val="-2"/>
        </w:rPr>
        <w:t>00635</w:t>
      </w:r>
      <w:r>
        <w:rPr>
          <w:spacing w:val="-2"/>
        </w:rPr>
        <w:t>号</w:t>
      </w:r>
    </w:p>
    <w:p>
      <w:pPr>
        <w:spacing w:line="240" w:lineRule="auto" w:before="2"/>
        <w:rPr>
          <w:rFonts w:ascii="宋体" w:hAnsi="宋体" w:cs="宋体" w:eastAsia="宋体" w:hint="default"/>
          <w:sz w:val="26"/>
          <w:szCs w:val="26"/>
        </w:rPr>
      </w:pPr>
    </w:p>
    <w:p>
      <w:pPr>
        <w:pStyle w:val="Heading6"/>
        <w:spacing w:line="240" w:lineRule="auto" w:before="46"/>
        <w:ind w:right="0"/>
        <w:jc w:val="left"/>
        <w:rPr>
          <w:b w:val="0"/>
          <w:bCs w:val="0"/>
        </w:rPr>
      </w:pPr>
      <w:r>
        <w:rPr/>
        <w:t>深圳市奥拓电子股份有限公司全体股东：</w:t>
      </w:r>
      <w:r>
        <w:rPr>
          <w:b w:val="0"/>
          <w:bCs w:val="0"/>
        </w:rPr>
      </w:r>
    </w:p>
    <w:p>
      <w:pPr>
        <w:spacing w:line="240" w:lineRule="auto" w:before="0"/>
        <w:rPr>
          <w:rFonts w:ascii="宋体" w:hAnsi="宋体" w:cs="宋体" w:eastAsia="宋体" w:hint="default"/>
          <w:b/>
          <w:bCs/>
          <w:sz w:val="18"/>
          <w:szCs w:val="18"/>
        </w:rPr>
      </w:pPr>
    </w:p>
    <w:p>
      <w:pPr>
        <w:pStyle w:val="BodyText"/>
        <w:spacing w:line="316" w:lineRule="auto" w:before="153"/>
        <w:ind w:left="633" w:right="1120"/>
        <w:jc w:val="left"/>
      </w:pPr>
      <w:r>
        <w:rPr>
          <w:rFonts w:ascii="宋体" w:hAnsi="宋体" w:cs="宋体" w:eastAsia="宋体" w:hint="default"/>
          <w:b/>
          <w:bCs/>
        </w:rPr>
        <w:t>一、审计意见</w:t>
      </w:r>
      <w:r>
        <w:rPr>
          <w:rFonts w:ascii="宋体" w:hAnsi="宋体" w:cs="宋体" w:eastAsia="宋体" w:hint="default"/>
          <w:b/>
          <w:bCs/>
          <w:spacing w:val="-86"/>
        </w:rPr>
        <w:t> </w:t>
      </w:r>
      <w:r>
        <w:rPr>
          <w:rFonts w:ascii="宋体" w:hAnsi="宋体" w:cs="宋体" w:eastAsia="宋体" w:hint="default"/>
          <w:b/>
          <w:bCs/>
          <w:spacing w:val="-86"/>
        </w:rPr>
      </w:r>
      <w:r>
        <w:rPr>
          <w:spacing w:val="-3"/>
        </w:rPr>
        <w:t>我们审计了深圳市奥拓电子股份有限公司（以下简称“奥拓电子公司”）财务报表，包括</w:t>
      </w:r>
      <w:r>
        <w:rPr>
          <w:rFonts w:ascii="宋体" w:hAnsi="宋体" w:cs="宋体" w:eastAsia="宋体" w:hint="default"/>
          <w:spacing w:val="-3"/>
        </w:rPr>
        <w:t>2019</w:t>
      </w:r>
      <w:r>
        <w:rPr>
          <w:spacing w:val="-3"/>
        </w:rPr>
        <w:t>年</w:t>
      </w:r>
      <w:r>
        <w:rPr>
          <w:rFonts w:ascii="宋体" w:hAnsi="宋体" w:cs="宋体" w:eastAsia="宋体" w:hint="default"/>
          <w:spacing w:val="-3"/>
        </w:rPr>
        <w:t>12</w:t>
      </w:r>
      <w:r>
        <w:rPr>
          <w:spacing w:val="-3"/>
        </w:rPr>
        <w:t>月</w:t>
      </w:r>
      <w:r>
        <w:rPr>
          <w:rFonts w:ascii="宋体" w:hAnsi="宋体" w:cs="宋体" w:eastAsia="宋体" w:hint="default"/>
          <w:spacing w:val="-3"/>
        </w:rPr>
        <w:t>31</w:t>
      </w:r>
      <w:r>
        <w:rPr>
          <w:spacing w:val="-3"/>
        </w:rPr>
        <w:t>日的合并及公</w:t>
      </w:r>
    </w:p>
    <w:p>
      <w:pPr>
        <w:pStyle w:val="BodyText"/>
        <w:spacing w:line="316" w:lineRule="auto" w:before="19"/>
        <w:ind w:left="633" w:right="0" w:hanging="480"/>
        <w:jc w:val="left"/>
      </w:pPr>
      <w:r>
        <w:rPr>
          <w:spacing w:val="-6"/>
        </w:rPr>
        <w:t>司资产负债表，</w:t>
      </w:r>
      <w:r>
        <w:rPr>
          <w:rFonts w:ascii="宋体" w:hAnsi="宋体" w:cs="宋体" w:eastAsia="宋体" w:hint="default"/>
          <w:spacing w:val="-6"/>
        </w:rPr>
        <w:t>2019</w:t>
      </w:r>
      <w:r>
        <w:rPr>
          <w:spacing w:val="-6"/>
        </w:rPr>
        <w:t>年度的合并及公司利润表、合并及公司现金流量表、合并及公司股东权益变动表以及相关财务报表附注。</w:t>
      </w:r>
      <w:r>
        <w:rPr>
          <w:spacing w:val="76"/>
        </w:rPr>
        <w:t> </w:t>
      </w:r>
      <w:r>
        <w:rPr>
          <w:spacing w:val="76"/>
        </w:rPr>
      </w:r>
      <w:r>
        <w:rPr>
          <w:spacing w:val="-3"/>
        </w:rPr>
        <w:t>我们认为，后附的财务报表在所有重大方面按照企业会计准则的规定编制，公允反映了奥拓电子公司</w:t>
      </w:r>
      <w:r>
        <w:rPr>
          <w:rFonts w:ascii="宋体" w:hAnsi="宋体" w:cs="宋体" w:eastAsia="宋体" w:hint="default"/>
          <w:spacing w:val="-3"/>
        </w:rPr>
        <w:t>2019</w:t>
      </w:r>
      <w:r>
        <w:rPr>
          <w:spacing w:val="-3"/>
        </w:rPr>
        <w:t>年</w:t>
      </w:r>
      <w:r>
        <w:rPr>
          <w:rFonts w:ascii="宋体" w:hAnsi="宋体" w:cs="宋体" w:eastAsia="宋体" w:hint="default"/>
          <w:spacing w:val="-3"/>
        </w:rPr>
        <w:t>12</w:t>
      </w:r>
      <w:r>
        <w:rPr>
          <w:spacing w:val="-3"/>
        </w:rPr>
        <w:t>月</w:t>
      </w:r>
      <w:r>
        <w:rPr>
          <w:rFonts w:ascii="宋体" w:hAnsi="宋体" w:cs="宋体" w:eastAsia="宋体" w:hint="default"/>
          <w:spacing w:val="-3"/>
        </w:rPr>
        <w:t>31</w:t>
      </w:r>
      <w:r>
        <w:rPr>
          <w:spacing w:val="-3"/>
        </w:rPr>
        <w:t>日</w:t>
      </w:r>
    </w:p>
    <w:p>
      <w:pPr>
        <w:pStyle w:val="BodyText"/>
        <w:spacing w:line="240" w:lineRule="auto" w:before="19"/>
        <w:ind w:right="0"/>
        <w:jc w:val="left"/>
      </w:pPr>
      <w:r>
        <w:rPr>
          <w:spacing w:val="-3"/>
        </w:rPr>
        <w:t>合并及公司的财务状况以及</w:t>
      </w:r>
      <w:r>
        <w:rPr>
          <w:rFonts w:ascii="宋体" w:hAnsi="宋体" w:cs="宋体" w:eastAsia="宋体" w:hint="default"/>
          <w:spacing w:val="-3"/>
        </w:rPr>
        <w:t>2019</w:t>
      </w:r>
      <w:r>
        <w:rPr>
          <w:spacing w:val="-3"/>
        </w:rPr>
        <w:t>年度合并及公司的经营成果和现金流量。</w:t>
      </w:r>
    </w:p>
    <w:p>
      <w:pPr>
        <w:spacing w:line="240" w:lineRule="auto" w:before="0"/>
        <w:rPr>
          <w:rFonts w:ascii="宋体" w:hAnsi="宋体" w:cs="宋体" w:eastAsia="宋体" w:hint="default"/>
          <w:sz w:val="18"/>
          <w:szCs w:val="18"/>
        </w:rPr>
      </w:pPr>
    </w:p>
    <w:p>
      <w:pPr>
        <w:pStyle w:val="BodyText"/>
        <w:spacing w:line="316" w:lineRule="auto" w:before="153"/>
        <w:ind w:left="633" w:right="0"/>
        <w:jc w:val="left"/>
      </w:pPr>
      <w:r>
        <w:rPr>
          <w:rFonts w:ascii="宋体" w:hAnsi="宋体" w:cs="宋体" w:eastAsia="宋体" w:hint="default"/>
          <w:b/>
          <w:bCs/>
        </w:rPr>
        <w:t>二、形成审计意见的基础</w:t>
      </w:r>
      <w:r>
        <w:rPr>
          <w:rFonts w:ascii="宋体" w:hAnsi="宋体" w:cs="宋体" w:eastAsia="宋体" w:hint="default"/>
          <w:b/>
          <w:bCs/>
          <w:spacing w:val="-88"/>
        </w:rPr>
        <w:t> </w:t>
      </w:r>
      <w:r>
        <w:rPr>
          <w:rFonts w:ascii="宋体" w:hAnsi="宋体" w:cs="宋体" w:eastAsia="宋体" w:hint="default"/>
          <w:b/>
          <w:bCs/>
          <w:spacing w:val="-88"/>
        </w:rPr>
      </w:r>
      <w:r>
        <w:rPr>
          <w:spacing w:val="-3"/>
        </w:rPr>
        <w:t>我们按照中国注册会计师审计准则的规定执行了审计工作。审计报告的“注册会计师对财务报表审计的责任”部分进</w:t>
      </w:r>
    </w:p>
    <w:p>
      <w:pPr>
        <w:pStyle w:val="BodyText"/>
        <w:spacing w:line="319" w:lineRule="auto" w:before="19"/>
        <w:ind w:right="0"/>
        <w:jc w:val="left"/>
      </w:pPr>
      <w:r>
        <w:rPr>
          <w:spacing w:val="-4"/>
        </w:rPr>
        <w:t>一步阐述了我们在这些准则下的责任。按照中国注册会计师职业道德守则，我们独立于奥拓电子公司，并履行了职业道德方</w:t>
      </w:r>
      <w:r>
        <w:rPr>
          <w:spacing w:val="44"/>
        </w:rPr>
        <w:t> </w:t>
      </w:r>
      <w:r>
        <w:rPr>
          <w:spacing w:val="44"/>
        </w:rPr>
      </w:r>
      <w:r>
        <w:rPr>
          <w:spacing w:val="-3"/>
        </w:rPr>
        <w:t>面的其他责任。我们相信，我们获取的审计证据是充分、适当的，为发表审计意见提供了基础。</w:t>
      </w:r>
    </w:p>
    <w:p>
      <w:pPr>
        <w:spacing w:line="240" w:lineRule="auto" w:before="2"/>
        <w:rPr>
          <w:rFonts w:ascii="宋体" w:hAnsi="宋体" w:cs="宋体" w:eastAsia="宋体" w:hint="default"/>
          <w:sz w:val="25"/>
          <w:szCs w:val="25"/>
        </w:rPr>
      </w:pPr>
    </w:p>
    <w:p>
      <w:pPr>
        <w:pStyle w:val="BodyText"/>
        <w:spacing w:line="316" w:lineRule="auto" w:before="0"/>
        <w:ind w:left="633" w:right="0"/>
        <w:jc w:val="left"/>
      </w:pPr>
      <w:r>
        <w:rPr>
          <w:rFonts w:ascii="宋体" w:hAnsi="宋体" w:cs="宋体" w:eastAsia="宋体" w:hint="default"/>
          <w:b/>
          <w:bCs/>
        </w:rPr>
        <w:t>三、关键审计事项</w:t>
      </w:r>
      <w:r>
        <w:rPr>
          <w:rFonts w:ascii="宋体" w:hAnsi="宋体" w:cs="宋体" w:eastAsia="宋体" w:hint="default"/>
          <w:b/>
          <w:bCs/>
          <w:spacing w:val="-88"/>
        </w:rPr>
        <w:t> </w:t>
      </w:r>
      <w:r>
        <w:rPr>
          <w:rFonts w:ascii="宋体" w:hAnsi="宋体" w:cs="宋体" w:eastAsia="宋体" w:hint="default"/>
          <w:b/>
          <w:bCs/>
          <w:spacing w:val="-88"/>
        </w:rPr>
      </w:r>
      <w:r>
        <w:rPr>
          <w:spacing w:val="-3"/>
        </w:rPr>
        <w:t>关键审计事项是我们根据职业判断，认为对本期财务报表审计最为重要的事项。这些事项的应对以对财务报表整体进</w:t>
      </w:r>
    </w:p>
    <w:p>
      <w:pPr>
        <w:pStyle w:val="BodyText"/>
        <w:spacing w:line="240" w:lineRule="auto" w:before="19"/>
        <w:ind w:right="0"/>
        <w:jc w:val="left"/>
      </w:pPr>
      <w:r>
        <w:rPr>
          <w:spacing w:val="-3"/>
        </w:rPr>
        <w:t>行审计并形成审计意见为背景，我们不对这些事项单独发表意见。</w:t>
      </w:r>
    </w:p>
    <w:p>
      <w:pPr>
        <w:pStyle w:val="Heading6"/>
        <w:spacing w:line="319" w:lineRule="auto" w:before="76"/>
        <w:ind w:left="633" w:right="9020"/>
        <w:jc w:val="left"/>
        <w:rPr>
          <w:b w:val="0"/>
          <w:bCs w:val="0"/>
        </w:rPr>
      </w:pPr>
      <w:r>
        <w:rPr>
          <w:spacing w:val="-2"/>
        </w:rPr>
        <w:t>（一）收入确认</w:t>
      </w:r>
      <w:r>
        <w:rPr>
          <w:spacing w:val="-75"/>
        </w:rPr>
        <w:t> </w:t>
      </w:r>
      <w:r>
        <w:rPr>
          <w:spacing w:val="-75"/>
        </w:rPr>
      </w:r>
      <w:r>
        <w:rPr>
          <w:rFonts w:ascii="宋体" w:hAnsi="宋体" w:cs="宋体" w:eastAsia="宋体" w:hint="default"/>
        </w:rPr>
        <w:t>1</w:t>
      </w:r>
      <w:r>
        <w:rPr/>
        <w:t>、事项描述</w:t>
      </w:r>
      <w:r>
        <w:rPr>
          <w:b w:val="0"/>
          <w:bCs w:val="0"/>
        </w:rPr>
      </w:r>
    </w:p>
    <w:p>
      <w:pPr>
        <w:pStyle w:val="BodyText"/>
        <w:spacing w:line="316" w:lineRule="auto" w:before="17"/>
        <w:ind w:right="0" w:firstLine="480"/>
        <w:jc w:val="left"/>
      </w:pPr>
      <w:r>
        <w:rPr>
          <w:rFonts w:ascii="宋体" w:hAnsi="宋体" w:cs="宋体" w:eastAsia="宋体" w:hint="default"/>
          <w:spacing w:val="-3"/>
        </w:rPr>
        <w:t>A</w:t>
      </w:r>
      <w:r>
        <w:rPr>
          <w:spacing w:val="-3"/>
        </w:rPr>
        <w:t>、如财务报表附注六、</w:t>
      </w:r>
      <w:r>
        <w:rPr>
          <w:rFonts w:ascii="宋体" w:hAnsi="宋体" w:cs="宋体" w:eastAsia="宋体" w:hint="default"/>
          <w:spacing w:val="-3"/>
        </w:rPr>
        <w:t>37</w:t>
      </w:r>
      <w:r>
        <w:rPr>
          <w:spacing w:val="-3"/>
        </w:rPr>
        <w:t>所述，奥拓电子公司</w:t>
      </w:r>
      <w:r>
        <w:rPr>
          <w:rFonts w:ascii="宋体" w:hAnsi="宋体" w:cs="宋体" w:eastAsia="宋体" w:hint="default"/>
          <w:spacing w:val="-3"/>
        </w:rPr>
        <w:t>2019</w:t>
      </w:r>
      <w:r>
        <w:rPr>
          <w:spacing w:val="-3"/>
        </w:rPr>
        <w:t>年智能景观亮化工程项目实现营业收入</w:t>
      </w:r>
      <w:r>
        <w:rPr>
          <w:rFonts w:ascii="宋体" w:hAnsi="宋体" w:cs="宋体" w:eastAsia="宋体" w:hint="default"/>
          <w:spacing w:val="-3"/>
        </w:rPr>
        <w:t>42,711.67</w:t>
      </w:r>
      <w:r>
        <w:rPr>
          <w:spacing w:val="-3"/>
        </w:rPr>
        <w:t>万元，占全年</w:t>
      </w:r>
      <w:r>
        <w:rPr>
          <w:w w:val="101"/>
        </w:rPr>
        <w:t> </w:t>
      </w:r>
      <w:r>
        <w:rPr/>
        <w:t>营业收入的</w:t>
      </w:r>
      <w:r>
        <w:rPr>
          <w:rFonts w:ascii="宋体" w:hAnsi="宋体" w:cs="宋体" w:eastAsia="宋体" w:hint="default"/>
        </w:rPr>
        <w:t>34.30%</w:t>
      </w:r>
      <w:r>
        <w:rPr/>
        <w:t>。</w:t>
      </w:r>
    </w:p>
    <w:p>
      <w:pPr>
        <w:pStyle w:val="BodyText"/>
        <w:spacing w:line="319" w:lineRule="auto" w:before="19"/>
        <w:ind w:right="0" w:firstLine="480"/>
        <w:jc w:val="left"/>
      </w:pPr>
      <w:r>
        <w:rPr>
          <w:spacing w:val="-6"/>
        </w:rPr>
        <w:t>智能景观亮化工程项目主要是为市政设施、旅游景区等场所的景观照明提供设计、改造、施工、安装以及维护服务。</w:t>
      </w:r>
      <w:r>
        <w:rPr>
          <w:w w:val="101"/>
        </w:rPr>
        <w:t> </w:t>
      </w:r>
      <w:r>
        <w:rPr/>
        <w:t>依据《企业会计准则第</w:t>
      </w:r>
      <w:r>
        <w:rPr>
          <w:rFonts w:ascii="宋体" w:hAnsi="宋体" w:cs="宋体" w:eastAsia="宋体" w:hint="default"/>
        </w:rPr>
        <w:t>15</w:t>
      </w:r>
      <w:r>
        <w:rPr/>
        <w:t>号——建造合同》之规定在资产负债表日，建造合同的结果能够可靠估计的，根据完工百分比</w:t>
      </w:r>
      <w:r>
        <w:rPr>
          <w:spacing w:val="-21"/>
        </w:rPr>
        <w:t> </w:t>
      </w:r>
      <w:r>
        <w:rPr>
          <w:spacing w:val="-21"/>
        </w:rPr>
      </w:r>
      <w:r>
        <w:rPr>
          <w:spacing w:val="-3"/>
        </w:rPr>
        <w:t>法确认合同收入和合同费用。</w:t>
      </w:r>
    </w:p>
    <w:p>
      <w:pPr>
        <w:pStyle w:val="BodyText"/>
        <w:spacing w:line="316" w:lineRule="auto" w:before="17"/>
        <w:ind w:right="0" w:firstLine="480"/>
        <w:jc w:val="left"/>
      </w:pPr>
      <w:r>
        <w:rPr>
          <w:spacing w:val="-4"/>
        </w:rPr>
        <w:t>在运用完工百分比法时，对建造合同完工进度的确定涉及管理层的重要判断，包括对合同预计总收入、合同预计总</w:t>
      </w:r>
      <w:r>
        <w:rPr>
          <w:w w:val="101"/>
        </w:rPr>
        <w:t> </w:t>
      </w:r>
      <w:r>
        <w:rPr>
          <w:spacing w:val="-2"/>
        </w:rPr>
        <w:t>成本作出合理估计，以及合同变更导致的变动做出的重大判断。因此我们将运用完工百分比确认建造合同收入和合同费</w:t>
      </w:r>
    </w:p>
    <w:p>
      <w:pPr>
        <w:spacing w:after="0" w:line="316" w:lineRule="auto"/>
        <w:jc w:val="left"/>
        <w:sectPr>
          <w:pgSz w:w="11910" w:h="16840"/>
          <w:pgMar w:header="784" w:footer="1022" w:top="1100" w:bottom="1220" w:left="980" w:right="0"/>
        </w:sectPr>
      </w:pPr>
    </w:p>
    <w:p>
      <w:pPr>
        <w:spacing w:line="240" w:lineRule="auto" w:before="10"/>
        <w:rPr>
          <w:rFonts w:ascii="宋体" w:hAnsi="宋体" w:cs="宋体" w:eastAsia="宋体" w:hint="default"/>
          <w:sz w:val="22"/>
          <w:szCs w:val="22"/>
        </w:rPr>
      </w:pPr>
    </w:p>
    <w:p>
      <w:pPr>
        <w:pStyle w:val="BodyText"/>
        <w:spacing w:line="240" w:lineRule="auto"/>
        <w:ind w:right="0"/>
        <w:jc w:val="left"/>
      </w:pPr>
      <w:r>
        <w:rPr>
          <w:spacing w:val="-3"/>
        </w:rPr>
        <w:t>用确定为关键审计事项。</w:t>
      </w:r>
    </w:p>
    <w:p>
      <w:pPr>
        <w:pStyle w:val="BodyText"/>
        <w:spacing w:line="319" w:lineRule="auto" w:before="76"/>
        <w:ind w:right="1333" w:firstLine="480"/>
        <w:jc w:val="both"/>
      </w:pPr>
      <w:r>
        <w:rPr>
          <w:rFonts w:ascii="宋体" w:hAnsi="宋体" w:cs="宋体" w:eastAsia="宋体" w:hint="default"/>
          <w:spacing w:val="-4"/>
        </w:rPr>
        <w:t>B</w:t>
      </w:r>
      <w:r>
        <w:rPr>
          <w:spacing w:val="-4"/>
        </w:rPr>
        <w:t>、如财务报表附注六、</w:t>
      </w:r>
      <w:r>
        <w:rPr>
          <w:rFonts w:ascii="宋体" w:hAnsi="宋体" w:cs="宋体" w:eastAsia="宋体" w:hint="default"/>
          <w:spacing w:val="-4"/>
        </w:rPr>
        <w:t>37</w:t>
      </w:r>
      <w:r>
        <w:rPr>
          <w:spacing w:val="-4"/>
        </w:rPr>
        <w:t>所述，奥拓电子公司</w:t>
      </w:r>
      <w:r>
        <w:rPr>
          <w:rFonts w:ascii="宋体" w:hAnsi="宋体" w:cs="宋体" w:eastAsia="宋体" w:hint="default"/>
          <w:spacing w:val="-4"/>
        </w:rPr>
        <w:t>2019</w:t>
      </w:r>
      <w:r>
        <w:rPr>
          <w:spacing w:val="-4"/>
        </w:rPr>
        <w:t>年度</w:t>
      </w:r>
      <w:r>
        <w:rPr>
          <w:spacing w:val="34"/>
        </w:rPr>
        <w:t> </w:t>
      </w:r>
      <w:r>
        <w:rPr>
          <w:rFonts w:ascii="宋体" w:hAnsi="宋体" w:cs="宋体" w:eastAsia="宋体" w:hint="default"/>
          <w:spacing w:val="-3"/>
        </w:rPr>
        <w:t>LED</w:t>
      </w:r>
      <w:r>
        <w:rPr>
          <w:spacing w:val="-3"/>
        </w:rPr>
        <w:t>视频显示系统实现营业收入</w:t>
      </w:r>
      <w:r>
        <w:rPr>
          <w:rFonts w:ascii="宋体" w:hAnsi="宋体" w:cs="宋体" w:eastAsia="宋体" w:hint="default"/>
          <w:spacing w:val="-3"/>
        </w:rPr>
        <w:t>39,555.15</w:t>
      </w:r>
      <w:r>
        <w:rPr>
          <w:spacing w:val="-3"/>
        </w:rPr>
        <w:t>万元、网点智能</w:t>
      </w:r>
      <w:r>
        <w:rPr>
          <w:w w:val="101"/>
        </w:rPr>
        <w:t> </w:t>
      </w:r>
      <w:r>
        <w:rPr>
          <w:spacing w:val="-1"/>
        </w:rPr>
        <w:t>化集成与设备实现营业收入</w:t>
      </w:r>
      <w:r>
        <w:rPr>
          <w:rFonts w:ascii="宋体" w:hAnsi="宋体" w:cs="宋体" w:eastAsia="宋体" w:hint="default"/>
          <w:spacing w:val="-1"/>
        </w:rPr>
        <w:t>36,161.39</w:t>
      </w:r>
      <w:r>
        <w:rPr>
          <w:spacing w:val="-1"/>
        </w:rPr>
        <w:t>万元，总计实现该等营业收入</w:t>
      </w:r>
      <w:r>
        <w:rPr>
          <w:rFonts w:ascii="宋体" w:hAnsi="宋体" w:cs="宋体" w:eastAsia="宋体" w:hint="default"/>
          <w:spacing w:val="-1"/>
        </w:rPr>
        <w:t>75,716.54</w:t>
      </w:r>
      <w:r>
        <w:rPr>
          <w:spacing w:val="-1"/>
        </w:rPr>
        <w:t>万元。如附注四、</w:t>
      </w:r>
      <w:r>
        <w:rPr>
          <w:rFonts w:ascii="宋体" w:hAnsi="宋体" w:cs="宋体" w:eastAsia="宋体" w:hint="default"/>
          <w:spacing w:val="-1"/>
        </w:rPr>
        <w:t>25</w:t>
      </w:r>
      <w:r>
        <w:rPr>
          <w:spacing w:val="-1"/>
        </w:rPr>
        <w:t>所述的会计政策，奥</w:t>
      </w:r>
      <w:r>
        <w:rPr>
          <w:spacing w:val="40"/>
        </w:rPr>
        <w:t> </w:t>
      </w:r>
      <w:r>
        <w:rPr>
          <w:spacing w:val="40"/>
        </w:rPr>
      </w:r>
      <w:r>
        <w:rPr>
          <w:spacing w:val="-2"/>
        </w:rPr>
        <w:t>拓电子公司根据与客户签订的销售订单组织生产，委托物流公司运送。客户在验收时点向奥拓电子公司出具验收单或验</w:t>
      </w:r>
      <w:r>
        <w:rPr>
          <w:spacing w:val="83"/>
        </w:rPr>
        <w:t> </w:t>
      </w:r>
      <w:r>
        <w:rPr>
          <w:spacing w:val="83"/>
        </w:rPr>
      </w:r>
      <w:r>
        <w:rPr>
          <w:spacing w:val="-2"/>
        </w:rPr>
        <w:t>收报告。奥拓电子公司在取得客户签署的验收单或验收报告时点确认营业收入并开具发票。由于客户数量众多、交易频</w:t>
      </w:r>
      <w:r>
        <w:rPr>
          <w:spacing w:val="83"/>
        </w:rPr>
        <w:t> </w:t>
      </w:r>
      <w:r>
        <w:rPr>
          <w:spacing w:val="83"/>
        </w:rPr>
      </w:r>
      <w:r>
        <w:rPr>
          <w:spacing w:val="-2"/>
        </w:rPr>
        <w:t>繁，客户签署的验收单或验收报告存在不能及时送达的可能性，由此可能导致该等营业收入存在未能计入恰当会计期间</w:t>
      </w:r>
      <w:r>
        <w:rPr>
          <w:spacing w:val="83"/>
        </w:rPr>
        <w:t> </w:t>
      </w:r>
      <w:r>
        <w:rPr>
          <w:spacing w:val="83"/>
        </w:rPr>
      </w:r>
      <w:r>
        <w:rPr>
          <w:spacing w:val="-3"/>
        </w:rPr>
        <w:t>的潜在错报，因此，我们将</w:t>
      </w:r>
      <w:r>
        <w:rPr>
          <w:rFonts w:ascii="宋体" w:hAnsi="宋体" w:cs="宋体" w:eastAsia="宋体" w:hint="default"/>
          <w:spacing w:val="-3"/>
        </w:rPr>
        <w:t>LED</w:t>
      </w:r>
      <w:r>
        <w:rPr>
          <w:spacing w:val="-3"/>
        </w:rPr>
        <w:t>视频显示系统、网点智能化集成与设备销售收入的确认确定为关键审计事项。</w:t>
      </w:r>
    </w:p>
    <w:p>
      <w:pPr>
        <w:spacing w:line="240" w:lineRule="auto" w:before="2"/>
        <w:rPr>
          <w:rFonts w:ascii="宋体" w:hAnsi="宋体" w:cs="宋体" w:eastAsia="宋体" w:hint="default"/>
          <w:sz w:val="25"/>
          <w:szCs w:val="25"/>
        </w:rPr>
      </w:pPr>
    </w:p>
    <w:p>
      <w:pPr>
        <w:spacing w:line="319" w:lineRule="auto" w:before="0"/>
        <w:ind w:left="633" w:right="4900" w:firstLine="0"/>
        <w:jc w:val="left"/>
        <w:rPr>
          <w:rFonts w:ascii="宋体" w:hAnsi="宋体" w:cs="宋体" w:eastAsia="宋体" w:hint="default"/>
          <w:sz w:val="18"/>
          <w:szCs w:val="18"/>
        </w:rPr>
      </w:pPr>
      <w:r>
        <w:rPr>
          <w:rFonts w:ascii="宋体" w:hAnsi="宋体" w:cs="宋体" w:eastAsia="宋体" w:hint="default"/>
          <w:b/>
          <w:bCs/>
          <w:sz w:val="18"/>
          <w:szCs w:val="18"/>
        </w:rPr>
        <w:t>2</w:t>
      </w:r>
      <w:r>
        <w:rPr>
          <w:rFonts w:ascii="宋体" w:hAnsi="宋体" w:cs="宋体" w:eastAsia="宋体" w:hint="default"/>
          <w:b/>
          <w:bCs/>
          <w:sz w:val="18"/>
          <w:szCs w:val="18"/>
        </w:rPr>
        <w:t>、审计应对</w:t>
      </w:r>
      <w:r>
        <w:rPr>
          <w:rFonts w:ascii="宋体" w:hAnsi="宋体" w:cs="宋体" w:eastAsia="宋体" w:hint="default"/>
          <w:b/>
          <w:bCs/>
          <w:spacing w:val="-87"/>
          <w:sz w:val="18"/>
          <w:szCs w:val="18"/>
        </w:rPr>
        <w:t> </w:t>
      </w:r>
      <w:r>
        <w:rPr>
          <w:rFonts w:ascii="宋体" w:hAnsi="宋体" w:cs="宋体" w:eastAsia="宋体" w:hint="default"/>
          <w:b/>
          <w:bCs/>
          <w:spacing w:val="-87"/>
          <w:sz w:val="18"/>
          <w:szCs w:val="18"/>
        </w:rPr>
      </w:r>
      <w:r>
        <w:rPr>
          <w:rFonts w:ascii="宋体" w:hAnsi="宋体" w:cs="宋体" w:eastAsia="宋体" w:hint="default"/>
          <w:spacing w:val="-3"/>
          <w:sz w:val="18"/>
          <w:szCs w:val="18"/>
        </w:rPr>
        <w:t>A</w:t>
      </w:r>
      <w:r>
        <w:rPr>
          <w:rFonts w:ascii="宋体" w:hAnsi="宋体" w:cs="宋体" w:eastAsia="宋体" w:hint="default"/>
          <w:spacing w:val="-3"/>
          <w:sz w:val="18"/>
          <w:szCs w:val="18"/>
        </w:rPr>
        <w:t>、我们针对智能景观亮化工程执行的主要审计程序包括：</w:t>
      </w:r>
    </w:p>
    <w:p>
      <w:pPr>
        <w:pStyle w:val="BodyText"/>
        <w:spacing w:line="240" w:lineRule="auto" w:before="17"/>
        <w:ind w:left="633" w:right="0"/>
        <w:jc w:val="left"/>
      </w:pPr>
      <w:r>
        <w:rPr>
          <w:spacing w:val="-3"/>
        </w:rPr>
        <w:t>（</w:t>
      </w:r>
      <w:r>
        <w:rPr>
          <w:rFonts w:ascii="宋体" w:hAnsi="宋体" w:cs="宋体" w:eastAsia="宋体" w:hint="default"/>
          <w:spacing w:val="-3"/>
        </w:rPr>
        <w:t>1</w:t>
      </w:r>
      <w:r>
        <w:rPr>
          <w:spacing w:val="-3"/>
        </w:rPr>
        <w:t>）了解、评估并测试了与建造合同收入及成本确认相关的内部控制；</w:t>
      </w:r>
    </w:p>
    <w:p>
      <w:pPr>
        <w:pStyle w:val="BodyText"/>
        <w:spacing w:line="240" w:lineRule="auto" w:before="76"/>
        <w:ind w:left="633" w:right="0"/>
        <w:jc w:val="left"/>
      </w:pPr>
      <w:r>
        <w:rPr>
          <w:spacing w:val="-3"/>
        </w:rPr>
        <w:t>（</w:t>
      </w:r>
      <w:r>
        <w:rPr>
          <w:rFonts w:ascii="宋体" w:hAnsi="宋体" w:cs="宋体" w:eastAsia="宋体" w:hint="default"/>
          <w:spacing w:val="-3"/>
        </w:rPr>
        <w:t>2</w:t>
      </w:r>
      <w:r>
        <w:rPr>
          <w:spacing w:val="-3"/>
        </w:rPr>
        <w:t>）对重大建造工程合同的毛利率进行了分析程序；</w:t>
      </w:r>
    </w:p>
    <w:p>
      <w:pPr>
        <w:pStyle w:val="BodyText"/>
        <w:spacing w:line="316" w:lineRule="auto" w:before="76"/>
        <w:ind w:right="1335" w:firstLine="480"/>
        <w:jc w:val="both"/>
      </w:pPr>
      <w:r>
        <w:rPr>
          <w:spacing w:val="-2"/>
        </w:rPr>
        <w:t>（</w:t>
      </w:r>
      <w:r>
        <w:rPr>
          <w:rFonts w:ascii="宋体" w:hAnsi="宋体" w:cs="宋体" w:eastAsia="宋体" w:hint="default"/>
          <w:spacing w:val="-2"/>
        </w:rPr>
        <w:t>3</w:t>
      </w:r>
      <w:r>
        <w:rPr>
          <w:spacing w:val="-2"/>
        </w:rPr>
        <w:t>）检查建造合同收入确认的会计政策，检查重大建造工程合同，复核重大建造工程合同关键条款，评价管理层</w:t>
      </w:r>
      <w:r>
        <w:rPr>
          <w:w w:val="101"/>
        </w:rPr>
        <w:t> </w:t>
      </w:r>
      <w:r>
        <w:rPr>
          <w:spacing w:val="-3"/>
        </w:rPr>
        <w:t>对预计总收入所作估计是否合理，依据是否充分，验证合同预计总收入；</w:t>
      </w:r>
    </w:p>
    <w:p>
      <w:pPr>
        <w:pStyle w:val="BodyText"/>
        <w:spacing w:line="316" w:lineRule="auto" w:before="19"/>
        <w:ind w:right="1335" w:firstLine="480"/>
        <w:jc w:val="both"/>
      </w:pPr>
      <w:r>
        <w:rPr>
          <w:spacing w:val="-2"/>
        </w:rPr>
        <w:t>（</w:t>
      </w:r>
      <w:r>
        <w:rPr>
          <w:rFonts w:ascii="宋体" w:hAnsi="宋体" w:cs="宋体" w:eastAsia="宋体" w:hint="default"/>
          <w:spacing w:val="-2"/>
        </w:rPr>
        <w:t>4</w:t>
      </w:r>
      <w:r>
        <w:rPr>
          <w:spacing w:val="-2"/>
        </w:rPr>
        <w:t>）选取建造合同样本，检查管理层预计总成本所依据的成本预算资料，评价管理层对预计总成本所作估计是否</w:t>
      </w:r>
      <w:r>
        <w:rPr>
          <w:w w:val="101"/>
        </w:rPr>
        <w:t> </w:t>
      </w:r>
      <w:r>
        <w:rPr>
          <w:spacing w:val="-3"/>
        </w:rPr>
        <w:t>合理，依据是否充分，验证合同预计总成本；</w:t>
      </w:r>
    </w:p>
    <w:p>
      <w:pPr>
        <w:pStyle w:val="BodyText"/>
        <w:spacing w:line="316" w:lineRule="auto" w:before="19"/>
        <w:ind w:right="1244" w:firstLine="480"/>
        <w:jc w:val="both"/>
      </w:pPr>
      <w:r>
        <w:rPr>
          <w:spacing w:val="-4"/>
        </w:rPr>
        <w:t>（</w:t>
      </w:r>
      <w:r>
        <w:rPr>
          <w:rFonts w:ascii="宋体" w:hAnsi="宋体" w:cs="宋体" w:eastAsia="宋体" w:hint="default"/>
          <w:spacing w:val="-4"/>
        </w:rPr>
        <w:t>5</w:t>
      </w:r>
      <w:r>
        <w:rPr>
          <w:spacing w:val="-4"/>
        </w:rPr>
        <w:t>）选取建造合同样本，检查实际发生工程成本的合同、发票、材料收发单、结算单、进度确认单等支持性文件，</w:t>
      </w:r>
      <w:r>
        <w:rPr>
          <w:w w:val="101"/>
        </w:rPr>
        <w:t> </w:t>
      </w:r>
      <w:r>
        <w:rPr>
          <w:spacing w:val="-3"/>
        </w:rPr>
        <w:t>以验证已发生的合同成本，进一步评估实际成本是否在恰当的期间确认；</w:t>
      </w:r>
    </w:p>
    <w:p>
      <w:pPr>
        <w:pStyle w:val="BodyText"/>
        <w:spacing w:line="240" w:lineRule="auto" w:before="19"/>
        <w:ind w:left="633" w:right="0"/>
        <w:jc w:val="left"/>
      </w:pPr>
      <w:r>
        <w:rPr>
          <w:spacing w:val="-3"/>
        </w:rPr>
        <w:t>（</w:t>
      </w:r>
      <w:r>
        <w:rPr>
          <w:rFonts w:ascii="宋体" w:hAnsi="宋体" w:cs="宋体" w:eastAsia="宋体" w:hint="default"/>
          <w:spacing w:val="-3"/>
        </w:rPr>
        <w:t>6</w:t>
      </w:r>
      <w:r>
        <w:rPr>
          <w:spacing w:val="-3"/>
        </w:rPr>
        <w:t>）执行了截止性测试程序，检查相关合同成本是否被记录在恰当的会计期间；</w:t>
      </w:r>
    </w:p>
    <w:p>
      <w:pPr>
        <w:pStyle w:val="BodyText"/>
        <w:spacing w:line="240" w:lineRule="auto" w:before="77"/>
        <w:ind w:left="633" w:right="0"/>
        <w:jc w:val="left"/>
      </w:pPr>
      <w:r>
        <w:rPr>
          <w:spacing w:val="-3"/>
        </w:rPr>
        <w:t>（</w:t>
      </w:r>
      <w:r>
        <w:rPr>
          <w:rFonts w:ascii="宋体" w:hAnsi="宋体" w:cs="宋体" w:eastAsia="宋体" w:hint="default"/>
          <w:spacing w:val="-3"/>
        </w:rPr>
        <w:t>7</w:t>
      </w:r>
      <w:r>
        <w:rPr>
          <w:spacing w:val="-3"/>
        </w:rPr>
        <w:t>）根据已发生成本和预计合同总成本重新计算完工百分比；</w:t>
      </w:r>
    </w:p>
    <w:p>
      <w:pPr>
        <w:pStyle w:val="BodyText"/>
        <w:spacing w:line="316" w:lineRule="auto" w:before="76"/>
        <w:ind w:right="1335" w:firstLine="480"/>
        <w:jc w:val="both"/>
      </w:pPr>
      <w:r>
        <w:rPr>
          <w:spacing w:val="-2"/>
        </w:rPr>
        <w:t>（</w:t>
      </w:r>
      <w:r>
        <w:rPr>
          <w:rFonts w:ascii="宋体" w:hAnsi="宋体" w:cs="宋体" w:eastAsia="宋体" w:hint="default"/>
          <w:spacing w:val="-2"/>
        </w:rPr>
        <w:t>8</w:t>
      </w:r>
      <w:r>
        <w:rPr>
          <w:spacing w:val="-2"/>
        </w:rPr>
        <w:t>）选取建造合同样本，对工程形象进度进行现场查看，与工程管理部门讨论确认工程的完工程度，并与账面记</w:t>
      </w:r>
      <w:r>
        <w:rPr>
          <w:w w:val="101"/>
        </w:rPr>
        <w:t> </w:t>
      </w:r>
      <w:r>
        <w:rPr>
          <w:spacing w:val="-3"/>
        </w:rPr>
        <w:t>录进行比较，对异常偏差执行进一步的检查程序。</w:t>
      </w:r>
    </w:p>
    <w:p>
      <w:pPr>
        <w:spacing w:line="240" w:lineRule="auto" w:before="4"/>
        <w:rPr>
          <w:rFonts w:ascii="宋体" w:hAnsi="宋体" w:cs="宋体" w:eastAsia="宋体" w:hint="default"/>
          <w:sz w:val="25"/>
          <w:szCs w:val="25"/>
        </w:rPr>
      </w:pPr>
    </w:p>
    <w:p>
      <w:pPr>
        <w:pStyle w:val="BodyText"/>
        <w:spacing w:line="240" w:lineRule="auto" w:before="0"/>
        <w:ind w:left="633" w:right="0"/>
        <w:jc w:val="left"/>
      </w:pPr>
      <w:r>
        <w:rPr>
          <w:rFonts w:ascii="宋体" w:hAnsi="宋体" w:cs="宋体" w:eastAsia="宋体" w:hint="default"/>
          <w:spacing w:val="-3"/>
        </w:rPr>
        <w:t>B</w:t>
      </w:r>
      <w:r>
        <w:rPr>
          <w:spacing w:val="-3"/>
        </w:rPr>
        <w:t>、我们针对</w:t>
      </w:r>
      <w:r>
        <w:rPr>
          <w:rFonts w:ascii="宋体" w:hAnsi="宋体" w:cs="宋体" w:eastAsia="宋体" w:hint="default"/>
          <w:spacing w:val="-3"/>
        </w:rPr>
        <w:t>LED</w:t>
      </w:r>
      <w:r>
        <w:rPr>
          <w:spacing w:val="-3"/>
        </w:rPr>
        <w:t>视频显示系统、网点智能化集成与设备销售执行的主要审计程序包括：</w:t>
      </w:r>
    </w:p>
    <w:p>
      <w:pPr>
        <w:pStyle w:val="BodyText"/>
        <w:spacing w:line="240" w:lineRule="auto" w:before="76"/>
        <w:ind w:left="633" w:right="0"/>
        <w:jc w:val="left"/>
      </w:pPr>
      <w:r>
        <w:rPr>
          <w:spacing w:val="-3"/>
        </w:rPr>
        <w:t>（</w:t>
      </w:r>
      <w:r>
        <w:rPr>
          <w:rFonts w:ascii="宋体" w:hAnsi="宋体" w:cs="宋体" w:eastAsia="宋体" w:hint="default"/>
          <w:spacing w:val="-3"/>
        </w:rPr>
        <w:t>1</w:t>
      </w:r>
      <w:r>
        <w:rPr>
          <w:spacing w:val="-3"/>
        </w:rPr>
        <w:t>）了解与评价管理层与收入确认相关的关键内部控制的设计与运行的有效性；</w:t>
      </w:r>
    </w:p>
    <w:p>
      <w:pPr>
        <w:pStyle w:val="BodyText"/>
        <w:spacing w:line="316" w:lineRule="auto" w:before="77"/>
        <w:ind w:right="1335" w:firstLine="480"/>
        <w:jc w:val="both"/>
      </w:pPr>
      <w:r>
        <w:rPr>
          <w:spacing w:val="-2"/>
        </w:rPr>
        <w:t>（</w:t>
      </w:r>
      <w:r>
        <w:rPr>
          <w:rFonts w:ascii="宋体" w:hAnsi="宋体" w:cs="宋体" w:eastAsia="宋体" w:hint="default"/>
          <w:spacing w:val="-2"/>
        </w:rPr>
        <w:t>2</w:t>
      </w:r>
      <w:r>
        <w:rPr>
          <w:spacing w:val="-2"/>
        </w:rPr>
        <w:t>）选取样本检查销售合同或订单等资料，测试销售和收款流程控制，评价收入确认时点是否符合关于收入确认</w:t>
      </w:r>
      <w:r>
        <w:rPr>
          <w:w w:val="101"/>
        </w:rPr>
        <w:t> </w:t>
      </w:r>
      <w:r>
        <w:rPr/>
        <w:t>原则的会计政策要求；</w:t>
      </w:r>
    </w:p>
    <w:p>
      <w:pPr>
        <w:pStyle w:val="BodyText"/>
        <w:spacing w:line="240" w:lineRule="auto" w:before="19"/>
        <w:ind w:left="633" w:right="0"/>
        <w:jc w:val="left"/>
      </w:pPr>
      <w:r>
        <w:rPr>
          <w:spacing w:val="-3"/>
        </w:rPr>
        <w:t>（</w:t>
      </w:r>
      <w:r>
        <w:rPr>
          <w:rFonts w:ascii="宋体" w:hAnsi="宋体" w:cs="宋体" w:eastAsia="宋体" w:hint="default"/>
          <w:spacing w:val="-3"/>
        </w:rPr>
        <w:t>3</w:t>
      </w:r>
      <w:r>
        <w:rPr>
          <w:spacing w:val="-3"/>
        </w:rPr>
        <w:t>）对收入及毛利情况执行分析程序，判断收入与毛利变动的合理性；</w:t>
      </w:r>
    </w:p>
    <w:p>
      <w:pPr>
        <w:pStyle w:val="BodyText"/>
        <w:spacing w:line="316" w:lineRule="auto" w:before="76"/>
        <w:ind w:right="1335" w:firstLine="480"/>
        <w:jc w:val="both"/>
      </w:pPr>
      <w:r>
        <w:rPr>
          <w:spacing w:val="-2"/>
        </w:rPr>
        <w:t>（</w:t>
      </w:r>
      <w:r>
        <w:rPr>
          <w:rFonts w:ascii="宋体" w:hAnsi="宋体" w:cs="宋体" w:eastAsia="宋体" w:hint="default"/>
          <w:spacing w:val="-2"/>
        </w:rPr>
        <w:t>4</w:t>
      </w:r>
      <w:r>
        <w:rPr>
          <w:spacing w:val="-2"/>
        </w:rPr>
        <w:t>）抽取收入确认的会计记录，与相关的销售订单、出库单、验收单或验收报告等进行检查核对；以及抽取与销</w:t>
      </w:r>
      <w:r>
        <w:rPr>
          <w:w w:val="101"/>
        </w:rPr>
        <w:t> </w:t>
      </w:r>
      <w:r>
        <w:rPr>
          <w:spacing w:val="-3"/>
        </w:rPr>
        <w:t>售相关的订单、出库单、验收单或验收报告等与账面确认的收入进行核对，从而检查收入确认的完整性；</w:t>
      </w:r>
    </w:p>
    <w:p>
      <w:pPr>
        <w:pStyle w:val="BodyText"/>
        <w:spacing w:line="316" w:lineRule="auto" w:before="19"/>
        <w:ind w:right="1335" w:firstLine="480"/>
        <w:jc w:val="both"/>
      </w:pPr>
      <w:r>
        <w:rPr>
          <w:spacing w:val="-2"/>
        </w:rPr>
        <w:t>（</w:t>
      </w:r>
      <w:r>
        <w:rPr>
          <w:rFonts w:ascii="宋体" w:hAnsi="宋体" w:cs="宋体" w:eastAsia="宋体" w:hint="default"/>
          <w:spacing w:val="-2"/>
        </w:rPr>
        <w:t>5</w:t>
      </w:r>
      <w:r>
        <w:rPr>
          <w:spacing w:val="-2"/>
        </w:rPr>
        <w:t>）对资产负债表日前后确认的销售收入执行抽样测试，核对至订单、出库单、验收单或验收报告；以及抽取资</w:t>
      </w:r>
      <w:r>
        <w:rPr>
          <w:w w:val="101"/>
        </w:rPr>
        <w:t> </w:t>
      </w:r>
      <w:r>
        <w:rPr>
          <w:spacing w:val="-2"/>
        </w:rPr>
        <w:t>产负债表日前后的出库单、验收单或验收报告，核对至资产负债表日前后确认的销售收入会计记录，从而评估销售收入</w:t>
      </w:r>
      <w:r>
        <w:rPr>
          <w:spacing w:val="83"/>
        </w:rPr>
        <w:t> </w:t>
      </w:r>
      <w:r>
        <w:rPr>
          <w:spacing w:val="83"/>
        </w:rPr>
      </w:r>
      <w:r>
        <w:rPr>
          <w:spacing w:val="-3"/>
        </w:rPr>
        <w:t>是否被确认在恰当的会计期间；</w:t>
      </w:r>
    </w:p>
    <w:p>
      <w:pPr>
        <w:pStyle w:val="BodyText"/>
        <w:spacing w:line="240" w:lineRule="auto" w:before="19"/>
        <w:ind w:left="633" w:right="0"/>
        <w:jc w:val="left"/>
      </w:pPr>
      <w:r>
        <w:rPr>
          <w:spacing w:val="-3"/>
        </w:rPr>
        <w:t>（</w:t>
      </w:r>
      <w:r>
        <w:rPr>
          <w:rFonts w:ascii="宋体" w:hAnsi="宋体" w:cs="宋体" w:eastAsia="宋体" w:hint="default"/>
          <w:spacing w:val="-3"/>
        </w:rPr>
        <w:t>6</w:t>
      </w:r>
      <w:r>
        <w:rPr>
          <w:spacing w:val="-3"/>
        </w:rPr>
        <w:t>）抽取重要客户实施函证程序，以确认相关的销售收入金额和应收账款余额；</w:t>
      </w:r>
    </w:p>
    <w:p>
      <w:pPr>
        <w:pStyle w:val="BodyText"/>
        <w:spacing w:line="240" w:lineRule="auto" w:before="76"/>
        <w:ind w:left="633" w:right="0"/>
        <w:jc w:val="left"/>
      </w:pPr>
      <w:r>
        <w:rPr>
          <w:spacing w:val="-3"/>
        </w:rPr>
        <w:t>（</w:t>
      </w:r>
      <w:r>
        <w:rPr>
          <w:rFonts w:ascii="宋体" w:hAnsi="宋体" w:cs="宋体" w:eastAsia="宋体" w:hint="default"/>
          <w:spacing w:val="-3"/>
        </w:rPr>
        <w:t>7</w:t>
      </w:r>
      <w:r>
        <w:rPr>
          <w:spacing w:val="-3"/>
        </w:rPr>
        <w:t>）我们抽取资产负债表日后的退货记录，检查销售收入是否存在不被恰当计入的可能性。</w:t>
      </w:r>
    </w:p>
    <w:p>
      <w:pPr>
        <w:spacing w:line="240" w:lineRule="auto" w:before="0"/>
        <w:rPr>
          <w:rFonts w:ascii="宋体" w:hAnsi="宋体" w:cs="宋体" w:eastAsia="宋体" w:hint="default"/>
          <w:sz w:val="18"/>
          <w:szCs w:val="18"/>
        </w:rPr>
      </w:pPr>
    </w:p>
    <w:p>
      <w:pPr>
        <w:pStyle w:val="Heading6"/>
        <w:spacing w:line="316" w:lineRule="auto" w:before="153"/>
        <w:ind w:left="633" w:right="7667"/>
        <w:jc w:val="left"/>
        <w:rPr>
          <w:b w:val="0"/>
          <w:bCs w:val="0"/>
        </w:rPr>
      </w:pPr>
      <w:r>
        <w:rPr>
          <w:spacing w:val="-2"/>
        </w:rPr>
        <w:t>（二）应收款项的减值</w:t>
      </w:r>
      <w:r>
        <w:rPr>
          <w:spacing w:val="-69"/>
        </w:rPr>
        <w:t> </w:t>
      </w:r>
      <w:r>
        <w:rPr>
          <w:spacing w:val="-69"/>
        </w:rPr>
      </w:r>
      <w:r>
        <w:rPr>
          <w:rFonts w:ascii="宋体" w:hAnsi="宋体" w:cs="宋体" w:eastAsia="宋体" w:hint="default"/>
        </w:rPr>
        <w:t>1</w:t>
      </w:r>
      <w:r>
        <w:rPr/>
        <w:t>、事项描述</w:t>
      </w:r>
      <w:r>
        <w:rPr>
          <w:b w:val="0"/>
          <w:bCs w:val="0"/>
        </w:rPr>
      </w:r>
    </w:p>
    <w:p>
      <w:pPr>
        <w:pStyle w:val="BodyText"/>
        <w:spacing w:line="316" w:lineRule="auto" w:before="19"/>
        <w:ind w:right="1333" w:firstLine="480"/>
        <w:jc w:val="both"/>
      </w:pPr>
      <w:r>
        <w:rPr>
          <w:spacing w:val="-1"/>
        </w:rPr>
        <w:t>如财务报表附注六、</w:t>
      </w:r>
      <w:r>
        <w:rPr>
          <w:rFonts w:ascii="宋体" w:hAnsi="宋体" w:cs="宋体" w:eastAsia="宋体" w:hint="default"/>
          <w:spacing w:val="-1"/>
        </w:rPr>
        <w:t>5</w:t>
      </w:r>
      <w:r>
        <w:rPr>
          <w:rFonts w:ascii="宋体" w:hAnsi="宋体" w:cs="宋体" w:eastAsia="宋体" w:hint="default"/>
          <w:spacing w:val="32"/>
        </w:rPr>
        <w:t> </w:t>
      </w:r>
      <w:r>
        <w:rPr>
          <w:spacing w:val="-2"/>
        </w:rPr>
        <w:t>所述，奥拓电子公司应收账款</w:t>
      </w:r>
      <w:r>
        <w:rPr>
          <w:rFonts w:ascii="宋体" w:hAnsi="宋体" w:cs="宋体" w:eastAsia="宋体" w:hint="default"/>
          <w:spacing w:val="-2"/>
        </w:rPr>
        <w:t>2019</w:t>
      </w:r>
      <w:r>
        <w:rPr>
          <w:spacing w:val="-2"/>
        </w:rPr>
        <w:t>年</w:t>
      </w:r>
      <w:r>
        <w:rPr>
          <w:rFonts w:ascii="宋体" w:hAnsi="宋体" w:cs="宋体" w:eastAsia="宋体" w:hint="default"/>
          <w:spacing w:val="-2"/>
        </w:rPr>
        <w:t>12</w:t>
      </w:r>
      <w:r>
        <w:rPr>
          <w:spacing w:val="-2"/>
        </w:rPr>
        <w:t>月</w:t>
      </w:r>
      <w:r>
        <w:rPr>
          <w:rFonts w:ascii="宋体" w:hAnsi="宋体" w:cs="宋体" w:eastAsia="宋体" w:hint="default"/>
          <w:spacing w:val="-2"/>
        </w:rPr>
        <w:t>31</w:t>
      </w:r>
      <w:r>
        <w:rPr>
          <w:spacing w:val="-2"/>
        </w:rPr>
        <w:t>日应收账款账面余额</w:t>
      </w:r>
      <w:r>
        <w:rPr>
          <w:rFonts w:ascii="宋体" w:hAnsi="宋体" w:cs="宋体" w:eastAsia="宋体" w:hint="default"/>
          <w:spacing w:val="-2"/>
        </w:rPr>
        <w:t>99,359.29</w:t>
      </w:r>
      <w:r>
        <w:rPr>
          <w:spacing w:val="-2"/>
        </w:rPr>
        <w:t>万元，坏账准备</w:t>
      </w:r>
      <w:r>
        <w:rPr>
          <w:w w:val="101"/>
        </w:rPr>
        <w:t> </w:t>
      </w:r>
      <w:r>
        <w:rPr>
          <w:rFonts w:ascii="宋体" w:hAnsi="宋体" w:cs="宋体" w:eastAsia="宋体" w:hint="default"/>
        </w:rPr>
        <w:t>10,909.72</w:t>
      </w:r>
      <w:r>
        <w:rPr/>
        <w:t>万元，应收账款账面价值</w:t>
      </w:r>
      <w:r>
        <w:rPr>
          <w:rFonts w:ascii="宋体" w:hAnsi="宋体" w:cs="宋体" w:eastAsia="宋体" w:hint="default"/>
        </w:rPr>
        <w:t>88,449.57</w:t>
      </w:r>
      <w:r>
        <w:rPr/>
        <w:t>万元，占合并财务报表资产总额的</w:t>
      </w:r>
      <w:r>
        <w:rPr>
          <w:rFonts w:ascii="宋体" w:hAnsi="宋体" w:cs="宋体" w:eastAsia="宋体" w:hint="default"/>
        </w:rPr>
        <w:t>36.97%</w:t>
      </w:r>
      <w:r>
        <w:rPr/>
        <w:t>。</w:t>
      </w:r>
    </w:p>
    <w:p>
      <w:pPr>
        <w:pStyle w:val="BodyText"/>
        <w:spacing w:line="319" w:lineRule="auto" w:before="19"/>
        <w:ind w:right="1334" w:firstLine="480"/>
        <w:jc w:val="both"/>
      </w:pPr>
      <w:r>
        <w:rPr>
          <w:spacing w:val="-4"/>
        </w:rPr>
        <w:t>对单项评估信用风险的应收账款进行评估信用风险，当有客观证据表明应收账款发生减值的，计提坏账准备。对于</w:t>
      </w:r>
      <w:r>
        <w:rPr>
          <w:w w:val="101"/>
        </w:rPr>
        <w:t> </w:t>
      </w:r>
      <w:r>
        <w:rPr>
          <w:spacing w:val="-2"/>
        </w:rPr>
        <w:t>此类应收账款的减值计提取决于管理层对这些客观证据的判断和估计。对在组合的基础上评估信用风险应收账款，根据</w:t>
      </w:r>
      <w:r>
        <w:rPr>
          <w:spacing w:val="83"/>
        </w:rPr>
        <w:t> </w:t>
      </w:r>
      <w:r>
        <w:rPr>
          <w:spacing w:val="83"/>
        </w:rPr>
      </w:r>
      <w:r>
        <w:rPr>
          <w:spacing w:val="-2"/>
        </w:rPr>
        <w:t>客户类型及账龄等信用风险特征划分为不同的资产组，对这些资产组进行减值损失总体评价。管理层以信用风险等级及</w:t>
      </w:r>
      <w:r>
        <w:rPr>
          <w:spacing w:val="83"/>
        </w:rPr>
        <w:t> </w:t>
      </w:r>
      <w:r>
        <w:rPr>
          <w:spacing w:val="83"/>
        </w:rPr>
      </w:r>
      <w:r>
        <w:rPr>
          <w:spacing w:val="-2"/>
        </w:rPr>
        <w:t>历史还款记录为基础，确定除计提单项坏账准备以外的各应收账款资产组的坏账准备。管理层对确定的资产组的预期信</w:t>
      </w:r>
    </w:p>
    <w:p>
      <w:pPr>
        <w:spacing w:after="0" w:line="319" w:lineRule="auto"/>
        <w:jc w:val="both"/>
        <w:sectPr>
          <w:pgSz w:w="11910" w:h="16840"/>
          <w:pgMar w:header="784" w:footer="1022" w:top="1100" w:bottom="1220" w:left="980" w:right="0"/>
        </w:sectPr>
      </w:pPr>
    </w:p>
    <w:p>
      <w:pPr>
        <w:spacing w:line="240" w:lineRule="auto" w:before="10"/>
        <w:rPr>
          <w:rFonts w:ascii="宋体" w:hAnsi="宋体" w:cs="宋体" w:eastAsia="宋体" w:hint="default"/>
          <w:sz w:val="22"/>
          <w:szCs w:val="22"/>
        </w:rPr>
      </w:pPr>
    </w:p>
    <w:p>
      <w:pPr>
        <w:pStyle w:val="BodyText"/>
        <w:spacing w:line="316" w:lineRule="auto"/>
        <w:ind w:left="633" w:right="2115" w:hanging="480"/>
        <w:jc w:val="left"/>
        <w:rPr>
          <w:rFonts w:ascii="宋体" w:hAnsi="宋体" w:cs="宋体" w:eastAsia="宋体" w:hint="default"/>
        </w:rPr>
      </w:pPr>
      <w:r>
        <w:rPr>
          <w:spacing w:val="-3"/>
        </w:rPr>
        <w:t>用损失预计损失比例取决于管理层的综合判断。因此我们将该等应收账款的减值确定为关键审计事项。。</w:t>
      </w:r>
      <w:r>
        <w:rPr>
          <w:spacing w:val="43"/>
        </w:rPr>
        <w:t> </w:t>
      </w:r>
      <w:r>
        <w:rPr>
          <w:spacing w:val="43"/>
        </w:rPr>
      </w:r>
      <w:r>
        <w:rPr>
          <w:rFonts w:ascii="宋体" w:hAnsi="宋体" w:cs="宋体" w:eastAsia="宋体" w:hint="default"/>
          <w:b/>
          <w:bCs/>
        </w:rPr>
        <w:t>2</w:t>
      </w:r>
      <w:r>
        <w:rPr>
          <w:rFonts w:ascii="宋体" w:hAnsi="宋体" w:cs="宋体" w:eastAsia="宋体" w:hint="default"/>
          <w:b/>
          <w:bCs/>
        </w:rPr>
        <w:t>、审计应对</w:t>
      </w:r>
      <w:r>
        <w:rPr>
          <w:rFonts w:ascii="宋体" w:hAnsi="宋体" w:cs="宋体" w:eastAsia="宋体" w:hint="default"/>
        </w:rPr>
      </w:r>
    </w:p>
    <w:p>
      <w:pPr>
        <w:pStyle w:val="BodyText"/>
        <w:spacing w:line="240" w:lineRule="auto" w:before="19"/>
        <w:ind w:left="633" w:right="0"/>
        <w:jc w:val="left"/>
      </w:pPr>
      <w:r>
        <w:rPr>
          <w:spacing w:val="-3"/>
        </w:rPr>
        <w:t>我们针对应收账款坏账准备执行的主要审计程序包括：</w:t>
      </w:r>
    </w:p>
    <w:p>
      <w:pPr>
        <w:pStyle w:val="BodyText"/>
        <w:spacing w:line="240" w:lineRule="auto" w:before="77"/>
        <w:ind w:left="633" w:right="0"/>
        <w:jc w:val="left"/>
      </w:pPr>
      <w:r>
        <w:rPr>
          <w:spacing w:val="-3"/>
        </w:rPr>
        <w:t>（</w:t>
      </w:r>
      <w:r>
        <w:rPr>
          <w:rFonts w:ascii="宋体" w:hAnsi="宋体" w:cs="宋体" w:eastAsia="宋体" w:hint="default"/>
          <w:spacing w:val="-3"/>
        </w:rPr>
        <w:t>1</w:t>
      </w:r>
      <w:r>
        <w:rPr>
          <w:spacing w:val="-3"/>
        </w:rPr>
        <w:t>）对奥拓电子公司信用政策及应收账款管理相关内部控制的设计和运行有效性进行了评估和测试；</w:t>
      </w:r>
    </w:p>
    <w:p>
      <w:pPr>
        <w:pStyle w:val="BodyText"/>
        <w:spacing w:line="316" w:lineRule="auto" w:before="76"/>
        <w:ind w:right="0" w:firstLine="480"/>
        <w:jc w:val="left"/>
      </w:pPr>
      <w:r>
        <w:rPr>
          <w:spacing w:val="-2"/>
        </w:rPr>
        <w:t>（</w:t>
      </w:r>
      <w:r>
        <w:rPr>
          <w:rFonts w:ascii="宋体" w:hAnsi="宋体" w:cs="宋体" w:eastAsia="宋体" w:hint="default"/>
          <w:spacing w:val="-2"/>
        </w:rPr>
        <w:t>2</w:t>
      </w:r>
      <w:r>
        <w:rPr>
          <w:spacing w:val="-2"/>
        </w:rPr>
        <w:t>）复核奥拓电子公司对应收账款进行减值测试的相关考虑及客观证据，分析奥拓电子公司应收账款预期信用损</w:t>
      </w:r>
      <w:r>
        <w:rPr>
          <w:w w:val="101"/>
        </w:rPr>
        <w:t> </w:t>
      </w:r>
      <w:r>
        <w:rPr>
          <w:spacing w:val="-3"/>
        </w:rPr>
        <w:t>失的合理性，评价奥拓电子公司是否充分识别已发生减值的项目；</w:t>
      </w:r>
    </w:p>
    <w:p>
      <w:pPr>
        <w:pStyle w:val="BodyText"/>
        <w:spacing w:line="240" w:lineRule="auto" w:before="19"/>
        <w:ind w:left="633" w:right="0"/>
        <w:jc w:val="left"/>
      </w:pPr>
      <w:r>
        <w:rPr>
          <w:spacing w:val="-4"/>
        </w:rPr>
        <w:t>（</w:t>
      </w:r>
      <w:r>
        <w:rPr>
          <w:rFonts w:ascii="宋体" w:hAnsi="宋体" w:cs="宋体" w:eastAsia="宋体" w:hint="default"/>
          <w:spacing w:val="-4"/>
        </w:rPr>
        <w:t>3</w:t>
      </w:r>
      <w:r>
        <w:rPr>
          <w:spacing w:val="-4"/>
        </w:rPr>
        <w:t>）对于管理层按照信用风险特征组合计提坏账准备的应收账款，评价管理层确定的坏账准备计提比例是否合理；</w:t>
      </w:r>
    </w:p>
    <w:p>
      <w:pPr>
        <w:pStyle w:val="BodyText"/>
        <w:spacing w:line="240" w:lineRule="auto" w:before="76"/>
        <w:ind w:left="633" w:right="0"/>
        <w:jc w:val="left"/>
      </w:pPr>
      <w:r>
        <w:rPr>
          <w:spacing w:val="-3"/>
        </w:rPr>
        <w:t>（</w:t>
      </w:r>
      <w:r>
        <w:rPr>
          <w:rFonts w:ascii="宋体" w:hAnsi="宋体" w:cs="宋体" w:eastAsia="宋体" w:hint="default"/>
          <w:spacing w:val="-3"/>
        </w:rPr>
        <w:t>4</w:t>
      </w:r>
      <w:r>
        <w:rPr>
          <w:spacing w:val="-3"/>
        </w:rPr>
        <w:t>）分析应收账款坏账准备计提是否充分；比较前期坏账准备计提数和实际发生数；</w:t>
      </w:r>
    </w:p>
    <w:p>
      <w:pPr>
        <w:pStyle w:val="BodyText"/>
        <w:spacing w:line="240" w:lineRule="auto" w:before="76"/>
        <w:ind w:left="633" w:right="0"/>
        <w:jc w:val="left"/>
      </w:pPr>
      <w:r>
        <w:rPr>
          <w:spacing w:val="-4"/>
        </w:rPr>
        <w:t>（</w:t>
      </w:r>
      <w:r>
        <w:rPr>
          <w:rFonts w:ascii="宋体" w:hAnsi="宋体" w:cs="宋体" w:eastAsia="宋体" w:hint="default"/>
          <w:spacing w:val="-4"/>
        </w:rPr>
        <w:t>5</w:t>
      </w:r>
      <w:r>
        <w:rPr>
          <w:spacing w:val="-4"/>
        </w:rPr>
        <w:t>）获取奥拓电子公司坏账准备计提表，检查计提方法是否按照坏账政策执行；重新计算坏账计提金额是否准确；</w:t>
      </w:r>
    </w:p>
    <w:p>
      <w:pPr>
        <w:pStyle w:val="BodyText"/>
        <w:spacing w:line="240" w:lineRule="auto" w:before="77"/>
        <w:ind w:left="633" w:right="0"/>
        <w:jc w:val="left"/>
      </w:pPr>
      <w:r>
        <w:rPr>
          <w:spacing w:val="-3"/>
        </w:rPr>
        <w:t>（</w:t>
      </w:r>
      <w:r>
        <w:rPr>
          <w:rFonts w:ascii="宋体" w:hAnsi="宋体" w:cs="宋体" w:eastAsia="宋体" w:hint="default"/>
          <w:spacing w:val="-3"/>
        </w:rPr>
        <w:t>6</w:t>
      </w:r>
      <w:r>
        <w:rPr>
          <w:spacing w:val="-3"/>
        </w:rPr>
        <w:t>）检查期后的现金回收情况，评价应收账款坏账准备计提的合理性。</w:t>
      </w:r>
    </w:p>
    <w:p>
      <w:pPr>
        <w:spacing w:line="240" w:lineRule="auto" w:before="0"/>
        <w:rPr>
          <w:rFonts w:ascii="宋体" w:hAnsi="宋体" w:cs="宋体" w:eastAsia="宋体" w:hint="default"/>
          <w:sz w:val="18"/>
          <w:szCs w:val="18"/>
        </w:rPr>
      </w:pPr>
    </w:p>
    <w:p>
      <w:pPr>
        <w:pStyle w:val="Heading6"/>
        <w:spacing w:line="316" w:lineRule="auto" w:before="153"/>
        <w:ind w:left="633" w:right="9020"/>
        <w:jc w:val="left"/>
        <w:rPr>
          <w:b w:val="0"/>
          <w:bCs w:val="0"/>
        </w:rPr>
      </w:pPr>
      <w:r>
        <w:rPr>
          <w:spacing w:val="-2"/>
        </w:rPr>
        <w:t>（三）商誉减值</w:t>
      </w:r>
      <w:r>
        <w:rPr>
          <w:spacing w:val="-75"/>
        </w:rPr>
        <w:t> </w:t>
      </w:r>
      <w:r>
        <w:rPr>
          <w:spacing w:val="-75"/>
        </w:rPr>
      </w:r>
      <w:r>
        <w:rPr>
          <w:rFonts w:ascii="宋体" w:hAnsi="宋体" w:cs="宋体" w:eastAsia="宋体" w:hint="default"/>
        </w:rPr>
        <w:t>1</w:t>
      </w:r>
      <w:r>
        <w:rPr/>
        <w:t>、事项描述</w:t>
      </w:r>
      <w:r>
        <w:rPr>
          <w:b w:val="0"/>
          <w:bCs w:val="0"/>
        </w:rPr>
      </w:r>
    </w:p>
    <w:p>
      <w:pPr>
        <w:pStyle w:val="BodyText"/>
        <w:spacing w:line="319" w:lineRule="auto" w:before="19"/>
        <w:ind w:right="0" w:firstLine="480"/>
        <w:jc w:val="left"/>
      </w:pPr>
      <w:r>
        <w:rPr>
          <w:spacing w:val="-4"/>
        </w:rPr>
        <w:t>如财务报表附注六、</w:t>
      </w:r>
      <w:r>
        <w:rPr>
          <w:rFonts w:ascii="宋体" w:hAnsi="宋体" w:cs="宋体" w:eastAsia="宋体" w:hint="default"/>
          <w:spacing w:val="-4"/>
        </w:rPr>
        <w:t>16</w:t>
      </w:r>
      <w:r>
        <w:rPr>
          <w:spacing w:val="-4"/>
        </w:rPr>
        <w:t>所述，奥拓电子公司于</w:t>
      </w:r>
      <w:r>
        <w:rPr>
          <w:rFonts w:ascii="宋体" w:hAnsi="宋体" w:cs="宋体" w:eastAsia="宋体" w:hint="default"/>
          <w:spacing w:val="-4"/>
        </w:rPr>
        <w:t>2016</w:t>
      </w:r>
      <w:r>
        <w:rPr>
          <w:spacing w:val="-4"/>
        </w:rPr>
        <w:t>年</w:t>
      </w:r>
      <w:r>
        <w:rPr>
          <w:rFonts w:ascii="宋体" w:hAnsi="宋体" w:cs="宋体" w:eastAsia="宋体" w:hint="default"/>
          <w:spacing w:val="-4"/>
        </w:rPr>
        <w:t>12</w:t>
      </w:r>
      <w:r>
        <w:rPr>
          <w:spacing w:val="-4"/>
        </w:rPr>
        <w:t>月完成了对深圳市千百辉工程照明有限公司的并购，并因合</w:t>
      </w:r>
      <w:r>
        <w:rPr>
          <w:w w:val="101"/>
        </w:rPr>
        <w:t> </w:t>
      </w:r>
      <w:r>
        <w:rPr/>
        <w:t>并产生了</w:t>
      </w:r>
      <w:r>
        <w:rPr>
          <w:rFonts w:ascii="宋体" w:hAnsi="宋体" w:cs="宋体" w:eastAsia="宋体" w:hint="default"/>
        </w:rPr>
        <w:t>18,137</w:t>
      </w:r>
      <w:r>
        <w:rPr/>
        <w:t>万元的商誉。</w:t>
      </w:r>
    </w:p>
    <w:p>
      <w:pPr>
        <w:pStyle w:val="BodyText"/>
        <w:spacing w:line="319" w:lineRule="auto" w:before="17"/>
        <w:ind w:right="1334" w:firstLine="480"/>
        <w:jc w:val="both"/>
      </w:pPr>
      <w:r>
        <w:rPr>
          <w:spacing w:val="-4"/>
        </w:rPr>
        <w:t>公司合并所形成的商誉，在每年年度终了结合与其相关的资产组或者资产组组合进行减值测试。公司管理层在对包</w:t>
      </w:r>
      <w:r>
        <w:rPr>
          <w:w w:val="101"/>
        </w:rPr>
        <w:t> </w:t>
      </w:r>
      <w:r>
        <w:rPr>
          <w:spacing w:val="-2"/>
        </w:rPr>
        <w:t>含商誉的相关资产组或者资产组组合进行减值测试时，将相关资产组的账面价值与其可收回金额进行比较，以确定资产</w:t>
      </w:r>
      <w:r>
        <w:rPr>
          <w:spacing w:val="83"/>
        </w:rPr>
        <w:t> </w:t>
      </w:r>
      <w:r>
        <w:rPr>
          <w:spacing w:val="83"/>
        </w:rPr>
      </w:r>
      <w:r>
        <w:rPr>
          <w:spacing w:val="-2"/>
        </w:rPr>
        <w:t>组</w:t>
      </w:r>
      <w:r>
        <w:rPr>
          <w:rFonts w:ascii="宋体" w:hAnsi="宋体" w:cs="宋体" w:eastAsia="宋体" w:hint="default"/>
          <w:spacing w:val="-2"/>
        </w:rPr>
        <w:t>(</w:t>
      </w:r>
      <w:r>
        <w:rPr>
          <w:spacing w:val="-2"/>
        </w:rPr>
        <w:t>包括商誉</w:t>
      </w:r>
      <w:r>
        <w:rPr>
          <w:rFonts w:ascii="宋体" w:hAnsi="宋体" w:cs="宋体" w:eastAsia="宋体" w:hint="default"/>
          <w:spacing w:val="-2"/>
        </w:rPr>
        <w:t>)</w:t>
      </w:r>
      <w:r>
        <w:rPr>
          <w:spacing w:val="-2"/>
        </w:rPr>
        <w:t>是否发生了减值。公司对可收回金额的估计以资产预计未来现金流量的现值为基础，需要恰当的预测相关</w:t>
      </w:r>
      <w:r>
        <w:rPr>
          <w:spacing w:val="85"/>
        </w:rPr>
        <w:t> </w:t>
      </w:r>
      <w:r>
        <w:rPr>
          <w:spacing w:val="85"/>
        </w:rPr>
      </w:r>
      <w:r>
        <w:rPr>
          <w:spacing w:val="-2"/>
        </w:rPr>
        <w:t>资产组未来现金流的长期增长率和合理的确定计算相关资产组预计未来现金流量现值所釆用的折现率等参数，这涉及管</w:t>
      </w:r>
      <w:r>
        <w:rPr>
          <w:spacing w:val="83"/>
        </w:rPr>
        <w:t> </w:t>
      </w:r>
      <w:r>
        <w:rPr>
          <w:spacing w:val="83"/>
        </w:rPr>
      </w:r>
      <w:r>
        <w:rPr>
          <w:spacing w:val="-3"/>
        </w:rPr>
        <w:t>理层的重大估计和判断。因此我们将商誉减值确定为关键审计事项。</w:t>
      </w:r>
    </w:p>
    <w:p>
      <w:pPr>
        <w:spacing w:line="316" w:lineRule="auto" w:before="17"/>
        <w:ind w:left="153" w:right="6445" w:firstLine="480"/>
        <w:jc w:val="left"/>
        <w:rPr>
          <w:rFonts w:ascii="宋体" w:hAnsi="宋体" w:cs="宋体" w:eastAsia="宋体" w:hint="default"/>
          <w:sz w:val="18"/>
          <w:szCs w:val="18"/>
        </w:rPr>
      </w:pPr>
      <w:r>
        <w:rPr>
          <w:rFonts w:ascii="宋体" w:hAnsi="宋体" w:cs="宋体" w:eastAsia="宋体" w:hint="default"/>
          <w:b/>
          <w:bCs/>
          <w:sz w:val="18"/>
          <w:szCs w:val="18"/>
        </w:rPr>
        <w:t>2</w:t>
      </w:r>
      <w:r>
        <w:rPr>
          <w:rFonts w:ascii="宋体" w:hAnsi="宋体" w:cs="宋体" w:eastAsia="宋体" w:hint="default"/>
          <w:b/>
          <w:bCs/>
          <w:sz w:val="18"/>
          <w:szCs w:val="18"/>
        </w:rPr>
        <w:t>、审计应对</w:t>
      </w:r>
      <w:r>
        <w:rPr>
          <w:rFonts w:ascii="宋体" w:hAnsi="宋体" w:cs="宋体" w:eastAsia="宋体" w:hint="default"/>
          <w:b/>
          <w:bCs/>
          <w:w w:val="100"/>
          <w:sz w:val="18"/>
          <w:szCs w:val="18"/>
        </w:rPr>
        <w:t> </w:t>
      </w:r>
      <w:r>
        <w:rPr>
          <w:rFonts w:ascii="宋体" w:hAnsi="宋体" w:cs="宋体" w:eastAsia="宋体" w:hint="default"/>
          <w:spacing w:val="-3"/>
          <w:sz w:val="18"/>
          <w:szCs w:val="18"/>
        </w:rPr>
        <w:t>我们针对商誉的减值执行的主要审计程序包括：</w:t>
      </w:r>
    </w:p>
    <w:p>
      <w:pPr>
        <w:pStyle w:val="BodyText"/>
        <w:spacing w:line="240" w:lineRule="auto" w:before="19"/>
        <w:ind w:left="393" w:right="0"/>
        <w:jc w:val="left"/>
      </w:pPr>
      <w:r>
        <w:rPr>
          <w:spacing w:val="-3"/>
        </w:rPr>
        <w:t>（</w:t>
      </w:r>
      <w:r>
        <w:rPr>
          <w:rFonts w:ascii="宋体" w:hAnsi="宋体" w:cs="宋体" w:eastAsia="宋体" w:hint="default"/>
          <w:spacing w:val="-3"/>
        </w:rPr>
        <w:t>1</w:t>
      </w:r>
      <w:r>
        <w:rPr>
          <w:spacing w:val="-3"/>
        </w:rPr>
        <w:t>）了解、评价商誉减值内部控制并测试与商誉减值相关的关键内部控制；</w:t>
      </w:r>
    </w:p>
    <w:p>
      <w:pPr>
        <w:pStyle w:val="BodyText"/>
        <w:spacing w:line="240" w:lineRule="auto" w:before="76"/>
        <w:ind w:left="393" w:right="0"/>
        <w:jc w:val="left"/>
      </w:pPr>
      <w:r>
        <w:rPr>
          <w:spacing w:val="-3"/>
        </w:rPr>
        <w:t>（</w:t>
      </w:r>
      <w:r>
        <w:rPr>
          <w:rFonts w:ascii="宋体" w:hAnsi="宋体" w:cs="宋体" w:eastAsia="宋体" w:hint="default"/>
          <w:spacing w:val="-3"/>
        </w:rPr>
        <w:t>2</w:t>
      </w:r>
      <w:r>
        <w:rPr>
          <w:spacing w:val="-3"/>
        </w:rPr>
        <w:t>）评估公司管理层采用的商誉减值测试方法的适当性；</w:t>
      </w:r>
    </w:p>
    <w:p>
      <w:pPr>
        <w:pStyle w:val="BodyText"/>
        <w:spacing w:line="319" w:lineRule="auto" w:before="76"/>
        <w:ind w:right="1335" w:firstLine="240"/>
        <w:jc w:val="both"/>
      </w:pPr>
      <w:r>
        <w:rPr>
          <w:spacing w:val="-4"/>
        </w:rPr>
        <w:t>（</w:t>
      </w:r>
      <w:r>
        <w:rPr>
          <w:rFonts w:ascii="宋体" w:hAnsi="宋体" w:cs="宋体" w:eastAsia="宋体" w:hint="default"/>
          <w:spacing w:val="-4"/>
        </w:rPr>
        <w:t>3</w:t>
      </w:r>
      <w:r>
        <w:rPr>
          <w:spacing w:val="-4"/>
        </w:rPr>
        <w:t>）了解和评价利用其估值专家的工作，基于企业会计准则的要求，根据外部环境包括行业发展趋势以及被审计单位</w:t>
      </w:r>
      <w:r>
        <w:rPr>
          <w:w w:val="101"/>
        </w:rPr>
        <w:t> </w:t>
      </w:r>
      <w:r>
        <w:rPr>
          <w:spacing w:val="-2"/>
        </w:rPr>
        <w:t>在行业中的地位等变化情况，协助我们评价估值方法及估值模型中所采用的关键假设及判断的合理性，评估估值模型中</w:t>
      </w:r>
      <w:r>
        <w:rPr>
          <w:spacing w:val="83"/>
        </w:rPr>
        <w:t> </w:t>
      </w:r>
      <w:r>
        <w:rPr>
          <w:spacing w:val="83"/>
        </w:rPr>
      </w:r>
      <w:r>
        <w:rPr>
          <w:spacing w:val="-3"/>
        </w:rPr>
        <w:t>的折现率和预计增长率等参数的适当性；</w:t>
      </w:r>
    </w:p>
    <w:p>
      <w:pPr>
        <w:pStyle w:val="BodyText"/>
        <w:spacing w:line="316" w:lineRule="auto" w:before="17"/>
        <w:ind w:right="0" w:firstLine="240"/>
        <w:jc w:val="left"/>
      </w:pPr>
      <w:r>
        <w:rPr>
          <w:spacing w:val="-4"/>
        </w:rPr>
        <w:t>（</w:t>
      </w:r>
      <w:r>
        <w:rPr>
          <w:rFonts w:ascii="宋体" w:hAnsi="宋体" w:cs="宋体" w:eastAsia="宋体" w:hint="default"/>
          <w:spacing w:val="-4"/>
        </w:rPr>
        <w:t>4</w:t>
      </w:r>
      <w:r>
        <w:rPr>
          <w:spacing w:val="-4"/>
        </w:rPr>
        <w:t>）评价和测试现金流量预测所使用的数据与历史数据、经企业管理层批准的财务预算或者预测数据等基础数据，评</w:t>
      </w:r>
      <w:r>
        <w:rPr>
          <w:w w:val="101"/>
        </w:rPr>
        <w:t> </w:t>
      </w:r>
      <w:r>
        <w:rPr>
          <w:spacing w:val="-3"/>
        </w:rPr>
        <w:t>价管理层对各资产及资产组的识别以及将商誉分摊至各相关资产组的合理性；</w:t>
      </w:r>
    </w:p>
    <w:p>
      <w:pPr>
        <w:pStyle w:val="BodyText"/>
        <w:spacing w:line="319" w:lineRule="auto" w:before="19"/>
        <w:ind w:right="0" w:firstLine="240"/>
        <w:jc w:val="left"/>
      </w:pPr>
      <w:r>
        <w:rPr>
          <w:spacing w:val="-4"/>
        </w:rPr>
        <w:t>（</w:t>
      </w:r>
      <w:r>
        <w:rPr>
          <w:rFonts w:ascii="宋体" w:hAnsi="宋体" w:cs="宋体" w:eastAsia="宋体" w:hint="default"/>
          <w:spacing w:val="-4"/>
        </w:rPr>
        <w:t>5</w:t>
      </w:r>
      <w:r>
        <w:rPr>
          <w:spacing w:val="-4"/>
        </w:rPr>
        <w:t>）基于同行业可比公司的市场数据重新计算折现率，并将我们的计算结果与管理层计算预计未来现金流量现值时采</w:t>
      </w:r>
      <w:r>
        <w:rPr>
          <w:w w:val="101"/>
        </w:rPr>
        <w:t> </w:t>
      </w:r>
      <w:r>
        <w:rPr>
          <w:spacing w:val="-3"/>
        </w:rPr>
        <w:t>用的折现率进行比较，以评价其计算预计未来现金流量现值时采用的折现率；</w:t>
      </w:r>
    </w:p>
    <w:p>
      <w:pPr>
        <w:pStyle w:val="BodyText"/>
        <w:spacing w:line="240" w:lineRule="auto" w:before="17"/>
        <w:ind w:left="393" w:right="0"/>
        <w:jc w:val="left"/>
      </w:pPr>
      <w:r>
        <w:rPr>
          <w:spacing w:val="-3"/>
        </w:rPr>
        <w:t>（</w:t>
      </w:r>
      <w:r>
        <w:rPr>
          <w:rFonts w:ascii="宋体" w:hAnsi="宋体" w:cs="宋体" w:eastAsia="宋体" w:hint="default"/>
          <w:spacing w:val="-3"/>
        </w:rPr>
        <w:t>6</w:t>
      </w:r>
      <w:r>
        <w:rPr>
          <w:spacing w:val="-3"/>
        </w:rPr>
        <w:t>）验证商誉减值测试模型的计算准确性；</w:t>
      </w:r>
    </w:p>
    <w:p>
      <w:pPr>
        <w:pStyle w:val="BodyText"/>
        <w:spacing w:line="240" w:lineRule="auto" w:before="76"/>
        <w:ind w:left="393" w:right="0"/>
        <w:jc w:val="left"/>
      </w:pPr>
      <w:r>
        <w:rPr>
          <w:spacing w:val="-3"/>
        </w:rPr>
        <w:t>（</w:t>
      </w:r>
      <w:r>
        <w:rPr>
          <w:rFonts w:ascii="宋体" w:hAnsi="宋体" w:cs="宋体" w:eastAsia="宋体" w:hint="default"/>
          <w:spacing w:val="-3"/>
        </w:rPr>
        <w:t>7</w:t>
      </w:r>
      <w:r>
        <w:rPr>
          <w:spacing w:val="-3"/>
        </w:rPr>
        <w:t>）复核与商誉减值相关的披露。</w:t>
      </w:r>
    </w:p>
    <w:p>
      <w:pPr>
        <w:spacing w:line="240" w:lineRule="auto" w:before="0"/>
        <w:rPr>
          <w:rFonts w:ascii="宋体" w:hAnsi="宋体" w:cs="宋体" w:eastAsia="宋体" w:hint="default"/>
          <w:sz w:val="18"/>
          <w:szCs w:val="18"/>
        </w:rPr>
      </w:pPr>
    </w:p>
    <w:p>
      <w:pPr>
        <w:pStyle w:val="BodyText"/>
        <w:spacing w:line="316" w:lineRule="auto" w:before="153"/>
        <w:ind w:left="633" w:right="1120"/>
        <w:jc w:val="left"/>
      </w:pPr>
      <w:r>
        <w:rPr>
          <w:rFonts w:ascii="宋体" w:hAnsi="宋体" w:cs="宋体" w:eastAsia="宋体" w:hint="default"/>
          <w:b/>
          <w:bCs/>
        </w:rPr>
        <w:t>四、其他信息</w:t>
      </w:r>
      <w:r>
        <w:rPr>
          <w:rFonts w:ascii="宋体" w:hAnsi="宋体" w:cs="宋体" w:eastAsia="宋体" w:hint="default"/>
          <w:b/>
          <w:bCs/>
          <w:spacing w:val="-86"/>
        </w:rPr>
        <w:t> </w:t>
      </w:r>
      <w:r>
        <w:rPr>
          <w:rFonts w:ascii="宋体" w:hAnsi="宋体" w:cs="宋体" w:eastAsia="宋体" w:hint="default"/>
          <w:b/>
          <w:bCs/>
          <w:spacing w:val="-86"/>
        </w:rPr>
      </w:r>
      <w:r>
        <w:rPr>
          <w:spacing w:val="-3"/>
        </w:rPr>
        <w:t>奥拓电子公司管理层对其他信息负责。其他信息包括</w:t>
      </w:r>
      <w:r>
        <w:rPr>
          <w:rFonts w:ascii="宋体" w:hAnsi="宋体" w:cs="宋体" w:eastAsia="宋体" w:hint="default"/>
          <w:spacing w:val="-3"/>
        </w:rPr>
        <w:t>2019</w:t>
      </w:r>
      <w:r>
        <w:rPr>
          <w:spacing w:val="-3"/>
        </w:rPr>
        <w:t>年年度报告中涵盖的信息，但不包括财务报表和我们的审计</w:t>
      </w:r>
    </w:p>
    <w:p>
      <w:pPr>
        <w:pStyle w:val="BodyText"/>
        <w:spacing w:line="240" w:lineRule="auto" w:before="19"/>
        <w:ind w:right="0"/>
        <w:jc w:val="left"/>
      </w:pPr>
      <w:r>
        <w:rPr/>
        <w:t>报告。</w:t>
      </w:r>
    </w:p>
    <w:p>
      <w:pPr>
        <w:pStyle w:val="BodyText"/>
        <w:spacing w:line="316" w:lineRule="auto" w:before="76"/>
        <w:ind w:left="633" w:right="0"/>
        <w:jc w:val="left"/>
      </w:pPr>
      <w:r>
        <w:rPr>
          <w:spacing w:val="-3"/>
        </w:rPr>
        <w:t>我们对财务报表发表的审计意见不涵盖其他信息，我们也不对其他信息发表任何形式的鉴证结论。</w:t>
      </w:r>
      <w:r>
        <w:rPr>
          <w:spacing w:val="37"/>
        </w:rPr>
        <w:t> </w:t>
      </w:r>
      <w:r>
        <w:rPr>
          <w:spacing w:val="37"/>
        </w:rPr>
      </w:r>
      <w:r>
        <w:rPr>
          <w:spacing w:val="-3"/>
        </w:rPr>
        <w:t>结合我们对财务报表的审计，我们的责任是阅读其他信息，在此过程中，考虑其他信息是否与财务报表或我们在审计</w:t>
      </w:r>
    </w:p>
    <w:p>
      <w:pPr>
        <w:pStyle w:val="BodyText"/>
        <w:spacing w:line="316" w:lineRule="auto" w:before="19"/>
        <w:ind w:left="633" w:right="0" w:hanging="480"/>
        <w:jc w:val="left"/>
      </w:pPr>
      <w:r>
        <w:rPr>
          <w:spacing w:val="-3"/>
        </w:rPr>
        <w:t>过程中了解到的情况存在重大不一致或者似乎存在重大错报。</w:t>
      </w:r>
      <w:r>
        <w:rPr>
          <w:spacing w:val="-10"/>
        </w:rPr>
        <w:t> </w:t>
      </w:r>
      <w:r>
        <w:rPr>
          <w:spacing w:val="-10"/>
        </w:rPr>
      </w:r>
      <w:r>
        <w:rPr>
          <w:spacing w:val="-3"/>
        </w:rPr>
        <w:t>基于我们已执行的工作，如果我们确定其他信息存在重大错报，我们应当报告该事实。在这方面，我们无任何事项需</w:t>
      </w:r>
    </w:p>
    <w:p>
      <w:pPr>
        <w:pStyle w:val="BodyText"/>
        <w:spacing w:line="240" w:lineRule="auto" w:before="19"/>
        <w:ind w:right="0"/>
        <w:jc w:val="left"/>
      </w:pPr>
      <w:r>
        <w:rPr/>
        <w:t>要报告。</w:t>
      </w:r>
    </w:p>
    <w:p>
      <w:pPr>
        <w:spacing w:line="240" w:lineRule="auto" w:before="0"/>
        <w:rPr>
          <w:rFonts w:ascii="宋体" w:hAnsi="宋体" w:cs="宋体" w:eastAsia="宋体" w:hint="default"/>
          <w:sz w:val="18"/>
          <w:szCs w:val="18"/>
        </w:rPr>
      </w:pPr>
    </w:p>
    <w:p>
      <w:pPr>
        <w:pStyle w:val="Heading6"/>
        <w:spacing w:line="240" w:lineRule="auto" w:before="153"/>
        <w:ind w:left="633" w:right="0"/>
        <w:jc w:val="left"/>
        <w:rPr>
          <w:b w:val="0"/>
          <w:bCs w:val="0"/>
        </w:rPr>
      </w:pPr>
      <w:r>
        <w:rPr/>
        <w:t>五、管理层和治理层对财务报表的责任</w:t>
      </w:r>
      <w:r>
        <w:rPr>
          <w:b w:val="0"/>
          <w:bCs w:val="0"/>
        </w:rPr>
      </w:r>
    </w:p>
    <w:p>
      <w:pPr>
        <w:spacing w:after="0" w:line="240" w:lineRule="auto"/>
        <w:jc w:val="left"/>
        <w:sectPr>
          <w:pgSz w:w="11910" w:h="16840"/>
          <w:pgMar w:header="784" w:footer="1022" w:top="1100" w:bottom="1220" w:left="980" w:right="0"/>
        </w:sectPr>
      </w:pPr>
    </w:p>
    <w:p>
      <w:pPr>
        <w:spacing w:line="240" w:lineRule="auto" w:before="10"/>
        <w:rPr>
          <w:rFonts w:ascii="宋体" w:hAnsi="宋体" w:cs="宋体" w:eastAsia="宋体" w:hint="default"/>
          <w:b/>
          <w:bCs/>
          <w:sz w:val="22"/>
          <w:szCs w:val="22"/>
        </w:rPr>
      </w:pPr>
    </w:p>
    <w:p>
      <w:pPr>
        <w:pStyle w:val="BodyText"/>
        <w:spacing w:line="316" w:lineRule="auto"/>
        <w:ind w:right="1104" w:firstLine="480"/>
        <w:jc w:val="both"/>
      </w:pPr>
      <w:r>
        <w:rPr>
          <w:spacing w:val="-3"/>
        </w:rPr>
        <w:t>奥拓电子公司管理层（以下简称管理层）负责按照企业会计准则的规定编制财务报表，使其实现公允反映，并设计、</w:t>
      </w:r>
      <w:r>
        <w:rPr>
          <w:w w:val="101"/>
        </w:rPr>
        <w:t> </w:t>
      </w:r>
      <w:r>
        <w:rPr>
          <w:spacing w:val="-3"/>
        </w:rPr>
        <w:t>执行和维护必要的内部控制，以使财务报表不存在由于舞弊或错误导致的重大错报。</w:t>
      </w:r>
    </w:p>
    <w:p>
      <w:pPr>
        <w:pStyle w:val="BodyText"/>
        <w:spacing w:line="319" w:lineRule="auto" w:before="19"/>
        <w:ind w:right="1127" w:firstLine="480"/>
        <w:jc w:val="both"/>
      </w:pPr>
      <w:r>
        <w:rPr>
          <w:spacing w:val="-3"/>
        </w:rPr>
        <w:t>在编制财务报表时，管理层负责评估奥拓电子公司的持续经营能力，披露与持续经营相关的事项（如适用），并运用</w:t>
      </w:r>
      <w:r>
        <w:rPr>
          <w:w w:val="101"/>
        </w:rPr>
        <w:t> </w:t>
      </w:r>
      <w:r>
        <w:rPr>
          <w:spacing w:val="-3"/>
        </w:rPr>
        <w:t>持续经营假设，除非管理层计划清算奥拓电子公司、终止运营或别无其他现实的选择。</w:t>
      </w:r>
    </w:p>
    <w:p>
      <w:pPr>
        <w:pStyle w:val="BodyText"/>
        <w:spacing w:line="240" w:lineRule="auto" w:before="17"/>
        <w:ind w:left="633" w:right="0"/>
        <w:jc w:val="left"/>
      </w:pPr>
      <w:r>
        <w:rPr>
          <w:spacing w:val="-3"/>
        </w:rPr>
        <w:t>治理层负责监督奥拓电子公司的财务报告过程。</w:t>
      </w:r>
    </w:p>
    <w:p>
      <w:pPr>
        <w:spacing w:line="240" w:lineRule="auto" w:before="0"/>
        <w:rPr>
          <w:rFonts w:ascii="宋体" w:hAnsi="宋体" w:cs="宋体" w:eastAsia="宋体" w:hint="default"/>
          <w:sz w:val="18"/>
          <w:szCs w:val="18"/>
        </w:rPr>
      </w:pPr>
    </w:p>
    <w:p>
      <w:pPr>
        <w:spacing w:line="316" w:lineRule="auto" w:before="153"/>
        <w:ind w:left="633" w:right="0" w:firstLine="0"/>
        <w:jc w:val="left"/>
        <w:rPr>
          <w:rFonts w:ascii="宋体" w:hAnsi="宋体" w:cs="宋体" w:eastAsia="宋体" w:hint="default"/>
          <w:sz w:val="18"/>
          <w:szCs w:val="18"/>
        </w:rPr>
      </w:pPr>
      <w:r>
        <w:rPr>
          <w:rFonts w:ascii="宋体" w:hAnsi="宋体" w:cs="宋体" w:eastAsia="宋体" w:hint="default"/>
          <w:b/>
          <w:bCs/>
          <w:sz w:val="18"/>
          <w:szCs w:val="18"/>
        </w:rPr>
        <w:t>六、注册会计师对财务报表审计的责任</w:t>
      </w:r>
      <w:r>
        <w:rPr>
          <w:rFonts w:ascii="宋体" w:hAnsi="宋体" w:cs="宋体" w:eastAsia="宋体" w:hint="default"/>
          <w:b/>
          <w:bCs/>
          <w:spacing w:val="-87"/>
          <w:sz w:val="18"/>
          <w:szCs w:val="18"/>
        </w:rPr>
        <w:t> </w:t>
      </w:r>
      <w:r>
        <w:rPr>
          <w:rFonts w:ascii="宋体" w:hAnsi="宋体" w:cs="宋体" w:eastAsia="宋体" w:hint="default"/>
          <w:b/>
          <w:bCs/>
          <w:spacing w:val="-87"/>
          <w:sz w:val="18"/>
          <w:szCs w:val="18"/>
        </w:rPr>
      </w:r>
      <w:r>
        <w:rPr>
          <w:rFonts w:ascii="宋体" w:hAnsi="宋体" w:cs="宋体" w:eastAsia="宋体" w:hint="default"/>
          <w:spacing w:val="-3"/>
          <w:sz w:val="18"/>
          <w:szCs w:val="18"/>
        </w:rPr>
        <w:t>我们的目标是对财务报表整体是否不存在由于舞弊或错误导致的重大错报获取合理保证，并出具包含审计意见的审计</w:t>
      </w:r>
    </w:p>
    <w:p>
      <w:pPr>
        <w:pStyle w:val="BodyText"/>
        <w:spacing w:line="319" w:lineRule="auto" w:before="19"/>
        <w:ind w:right="1122"/>
        <w:jc w:val="both"/>
      </w:pPr>
      <w:r>
        <w:rPr>
          <w:spacing w:val="-4"/>
        </w:rPr>
        <w:t>报告。合理保证是高水平的保证，但并不能保证按照审计准则执行的审计在某一重大错报存在时总能发现。错报可能由于舞</w:t>
      </w:r>
      <w:r>
        <w:rPr>
          <w:spacing w:val="43"/>
        </w:rPr>
        <w:t> </w:t>
      </w:r>
      <w:r>
        <w:rPr>
          <w:spacing w:val="43"/>
        </w:rPr>
      </w:r>
      <w:r>
        <w:rPr>
          <w:spacing w:val="-4"/>
        </w:rPr>
        <w:t>弊或错误导致，如果合理预期错报单独或汇总起来可能影响财务报表使用者依据财务报表作出的经济决策，则通常认为错报</w:t>
      </w:r>
      <w:r>
        <w:rPr>
          <w:spacing w:val="45"/>
        </w:rPr>
        <w:t> </w:t>
      </w:r>
      <w:r>
        <w:rPr>
          <w:spacing w:val="45"/>
        </w:rPr>
      </w:r>
      <w:r>
        <w:rPr/>
        <w:t>是重大的。</w:t>
      </w:r>
    </w:p>
    <w:p>
      <w:pPr>
        <w:pStyle w:val="BodyText"/>
        <w:spacing w:line="240" w:lineRule="auto" w:before="17"/>
        <w:ind w:left="633" w:right="0"/>
        <w:jc w:val="left"/>
      </w:pPr>
      <w:r>
        <w:rPr>
          <w:spacing w:val="-3"/>
        </w:rPr>
        <w:t>在按照审计准则执行审计工作的过程中，我们运用职业判断，并保持职业怀疑。同时，我们也执行以下工作：</w:t>
      </w:r>
    </w:p>
    <w:p>
      <w:pPr>
        <w:pStyle w:val="BodyText"/>
        <w:spacing w:line="319" w:lineRule="auto" w:before="76"/>
        <w:ind w:right="1033" w:firstLine="480"/>
        <w:jc w:val="both"/>
      </w:pPr>
      <w:r>
        <w:rPr>
          <w:spacing w:val="-5"/>
        </w:rPr>
        <w:t>（一）识别和评估由于舞弊或错误导致的财务报表重大错报风险，设计和实施审计程序以应对这些风险，并获取充分、</w:t>
      </w:r>
      <w:r>
        <w:rPr>
          <w:w w:val="101"/>
        </w:rPr>
        <w:t> </w:t>
      </w:r>
      <w:r>
        <w:rPr>
          <w:spacing w:val="-3"/>
        </w:rPr>
        <w:t>适当的审计证据，作为发表审计意见的基础。由于舞弊可能涉及串通、伪造、故意遗漏、虚假陈述或凌驾于内部控制之上，</w:t>
      </w:r>
      <w:r>
        <w:rPr>
          <w:spacing w:val="66"/>
        </w:rPr>
        <w:t> </w:t>
      </w:r>
      <w:r>
        <w:rPr>
          <w:spacing w:val="66"/>
        </w:rPr>
      </w:r>
      <w:r>
        <w:rPr>
          <w:spacing w:val="-3"/>
        </w:rPr>
        <w:t>未能发现由于舞弊导致的重大错报的风险高于未能发现由于错误导致的重大错报的风险。</w:t>
      </w:r>
    </w:p>
    <w:p>
      <w:pPr>
        <w:pStyle w:val="BodyText"/>
        <w:spacing w:line="240" w:lineRule="auto" w:before="17"/>
        <w:ind w:left="633" w:right="0"/>
        <w:jc w:val="left"/>
      </w:pPr>
      <w:r>
        <w:rPr>
          <w:spacing w:val="-3"/>
        </w:rPr>
        <w:t>（二）了解与审计相关的内部控制，以设计恰当的审计程序，但目的并非对内部控制的有效性发表意见。</w:t>
      </w:r>
    </w:p>
    <w:p>
      <w:pPr>
        <w:pStyle w:val="BodyText"/>
        <w:spacing w:line="240" w:lineRule="auto" w:before="76"/>
        <w:ind w:left="633" w:right="0"/>
        <w:jc w:val="left"/>
      </w:pPr>
      <w:r>
        <w:rPr>
          <w:spacing w:val="-3"/>
        </w:rPr>
        <w:t>（三）评价管理层选用会计政策的恰当性和作出会计估计及相关披露的合理性。</w:t>
      </w:r>
    </w:p>
    <w:p>
      <w:pPr>
        <w:pStyle w:val="BodyText"/>
        <w:spacing w:line="319" w:lineRule="auto" w:before="76"/>
        <w:ind w:right="1124" w:firstLine="480"/>
        <w:jc w:val="both"/>
      </w:pPr>
      <w:r>
        <w:rPr>
          <w:spacing w:val="-3"/>
        </w:rPr>
        <w:t>（四）对管理层使用持续经营假设的恰当性得出结论。同时，根据获取的审计证据，就可能导致对奥拓电子公司持续</w:t>
      </w:r>
      <w:r>
        <w:rPr>
          <w:w w:val="101"/>
        </w:rPr>
        <w:t> </w:t>
      </w:r>
      <w:r>
        <w:rPr>
          <w:spacing w:val="-5"/>
        </w:rPr>
        <w:t>经营能力产生重大疑虑的事项或情况是否存在重大不确定性得出结论。如果我们得出结论认为存在重大不确定性，审计准则</w:t>
      </w:r>
      <w:r>
        <w:rPr>
          <w:spacing w:val="6"/>
        </w:rPr>
        <w:t> </w:t>
      </w:r>
      <w:r>
        <w:rPr>
          <w:spacing w:val="6"/>
        </w:rPr>
      </w:r>
      <w:r>
        <w:rPr>
          <w:spacing w:val="-4"/>
        </w:rPr>
        <w:t>要求我们在审计报告中提请报表使用者注意财务报表中的相关披露；如果披露不充分，我们应当发表非无保留意见。我们的</w:t>
      </w:r>
      <w:r>
        <w:rPr>
          <w:spacing w:val="38"/>
        </w:rPr>
        <w:t> </w:t>
      </w:r>
      <w:r>
        <w:rPr>
          <w:spacing w:val="38"/>
        </w:rPr>
      </w:r>
      <w:r>
        <w:rPr>
          <w:spacing w:val="-3"/>
        </w:rPr>
        <w:t>结论基于截至审计报告日可获得的信息。然而，未来的事项或情况可能导致奥拓电子公司不能持续经营。</w:t>
      </w:r>
    </w:p>
    <w:p>
      <w:pPr>
        <w:pStyle w:val="BodyText"/>
        <w:spacing w:line="240" w:lineRule="auto" w:before="17"/>
        <w:ind w:left="633" w:right="0"/>
        <w:jc w:val="left"/>
      </w:pPr>
      <w:r>
        <w:rPr>
          <w:spacing w:val="-3"/>
        </w:rPr>
        <w:t>（五）评价财务报表的总体列报、结构和内容（包括披露），并评价财务报表是否公允反映相关交易和事项。</w:t>
      </w:r>
    </w:p>
    <w:p>
      <w:pPr>
        <w:pStyle w:val="BodyText"/>
        <w:spacing w:line="316" w:lineRule="auto" w:before="76"/>
        <w:ind w:right="1128" w:firstLine="480"/>
        <w:jc w:val="both"/>
      </w:pPr>
      <w:r>
        <w:rPr>
          <w:spacing w:val="-3"/>
        </w:rPr>
        <w:t>（六）就奥拓电子公司中实体或业务活动的财务信息获取充分、适当的审计证据，以对财务报表发表意见。我们负责</w:t>
      </w:r>
      <w:r>
        <w:rPr>
          <w:w w:val="101"/>
        </w:rPr>
        <w:t> </w:t>
      </w:r>
      <w:r>
        <w:rPr>
          <w:spacing w:val="-3"/>
        </w:rPr>
        <w:t>指导、监督和执行集团审计，并对审计意见承担全部责任。</w:t>
      </w:r>
    </w:p>
    <w:p>
      <w:pPr>
        <w:pStyle w:val="BodyText"/>
        <w:spacing w:line="319" w:lineRule="auto" w:before="19"/>
        <w:ind w:right="1123" w:firstLine="470"/>
        <w:jc w:val="both"/>
      </w:pPr>
      <w:r>
        <w:rPr>
          <w:spacing w:val="-3"/>
        </w:rPr>
        <w:t>我们与治理层就计划的审计范围、时间安排和重大审计发现等事项进行沟通，包括沟通我们在审计中识别出的值得关</w:t>
      </w:r>
      <w:r>
        <w:rPr>
          <w:w w:val="101"/>
        </w:rPr>
        <w:t> </w:t>
      </w:r>
      <w:r>
        <w:rPr>
          <w:spacing w:val="-3"/>
        </w:rPr>
        <w:t>注的内部控制缺陷。</w:t>
      </w:r>
    </w:p>
    <w:p>
      <w:pPr>
        <w:pStyle w:val="BodyText"/>
        <w:spacing w:line="316" w:lineRule="auto" w:before="17"/>
        <w:ind w:right="1128" w:firstLine="480"/>
        <w:jc w:val="both"/>
      </w:pPr>
      <w:r>
        <w:rPr>
          <w:spacing w:val="-3"/>
        </w:rPr>
        <w:t>我们还就已遵守与独立性相关的职业道德要求向治理层提供声明，并与治理层沟通可能被合理认为影响我们独立性的</w:t>
      </w:r>
      <w:r>
        <w:rPr>
          <w:w w:val="101"/>
        </w:rPr>
        <w:t> </w:t>
      </w:r>
      <w:r>
        <w:rPr>
          <w:spacing w:val="-3"/>
        </w:rPr>
        <w:t>所有关系和其他事项，以及相关的防范措施（如适用）。</w:t>
      </w:r>
    </w:p>
    <w:p>
      <w:pPr>
        <w:pStyle w:val="BodyText"/>
        <w:spacing w:line="319" w:lineRule="auto" w:before="19"/>
        <w:ind w:right="1123" w:firstLine="480"/>
        <w:jc w:val="both"/>
      </w:pPr>
      <w:r>
        <w:rPr>
          <w:spacing w:val="-3"/>
        </w:rPr>
        <w:t>从与治理层沟通过的事项中，我们确定哪些事项对本期财务报表审计最为重要，因而构成关键审计事项。我们在审计</w:t>
      </w:r>
      <w:r>
        <w:rPr>
          <w:w w:val="101"/>
        </w:rPr>
        <w:t> </w:t>
      </w:r>
      <w:r>
        <w:rPr>
          <w:spacing w:val="-4"/>
        </w:rPr>
        <w:t>报告中描述这些事项，除非法律法规禁止公开披露这些事项，或在极少数情形下，如果合理预期在审计报告中沟通某事项造</w:t>
      </w:r>
      <w:r>
        <w:rPr>
          <w:spacing w:val="43"/>
        </w:rPr>
        <w:t> </w:t>
      </w:r>
      <w:r>
        <w:rPr>
          <w:spacing w:val="43"/>
        </w:rPr>
      </w:r>
      <w:r>
        <w:rPr>
          <w:spacing w:val="-3"/>
        </w:rPr>
        <w:t>成的负面后果超过在公众利益方面产生的益处，我们确定不应在审计报告中沟通该事项。</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tbl>
      <w:tblPr>
        <w:tblW w:w="0" w:type="auto"/>
        <w:jc w:val="left"/>
        <w:tblInd w:w="538" w:type="dxa"/>
        <w:tblLayout w:type="fixed"/>
        <w:tblCellMar>
          <w:top w:w="0" w:type="dxa"/>
          <w:left w:w="0" w:type="dxa"/>
          <w:bottom w:w="0" w:type="dxa"/>
          <w:right w:w="0" w:type="dxa"/>
        </w:tblCellMar>
        <w:tblLook w:val="01E0"/>
      </w:tblPr>
      <w:tblGrid>
        <w:gridCol w:w="3864"/>
        <w:gridCol w:w="2456"/>
        <w:gridCol w:w="1532"/>
      </w:tblGrid>
      <w:tr>
        <w:trPr>
          <w:trHeight w:val="257" w:hRule="exact"/>
        </w:trPr>
        <w:tc>
          <w:tcPr>
            <w:tcW w:w="3864" w:type="dxa"/>
            <w:tcBorders>
              <w:top w:val="nil" w:sz="6" w:space="0" w:color="auto"/>
              <w:left w:val="nil" w:sz="6" w:space="0" w:color="auto"/>
              <w:bottom w:val="nil" w:sz="6" w:space="0" w:color="auto"/>
              <w:right w:val="nil" w:sz="6" w:space="0" w:color="auto"/>
            </w:tcBorders>
          </w:tcPr>
          <w:p>
            <w:pPr>
              <w:pStyle w:val="TableParagraph"/>
              <w:spacing w:line="182" w:lineRule="exact"/>
              <w:ind w:right="576"/>
              <w:jc w:val="center"/>
              <w:rPr>
                <w:rFonts w:ascii="宋体" w:hAnsi="宋体" w:cs="宋体" w:eastAsia="宋体" w:hint="default"/>
                <w:sz w:val="18"/>
                <w:szCs w:val="18"/>
              </w:rPr>
            </w:pPr>
            <w:r>
              <w:rPr>
                <w:rFonts w:ascii="宋体" w:hAnsi="宋体" w:cs="宋体" w:eastAsia="宋体" w:hint="default"/>
                <w:spacing w:val="-3"/>
                <w:sz w:val="18"/>
                <w:szCs w:val="18"/>
              </w:rPr>
              <w:t>中喜会计师事务所（特殊普通合伙）</w:t>
            </w:r>
          </w:p>
        </w:tc>
        <w:tc>
          <w:tcPr>
            <w:tcW w:w="2456" w:type="dxa"/>
            <w:tcBorders>
              <w:top w:val="nil" w:sz="6" w:space="0" w:color="auto"/>
              <w:left w:val="nil" w:sz="6" w:space="0" w:color="auto"/>
              <w:bottom w:val="nil" w:sz="6" w:space="0" w:color="auto"/>
              <w:right w:val="nil" w:sz="6" w:space="0" w:color="auto"/>
            </w:tcBorders>
          </w:tcPr>
          <w:p>
            <w:pPr>
              <w:pStyle w:val="TableParagraph"/>
              <w:spacing w:line="182" w:lineRule="exact"/>
              <w:ind w:right="230"/>
              <w:jc w:val="right"/>
              <w:rPr>
                <w:rFonts w:ascii="宋体" w:hAnsi="宋体" w:cs="宋体" w:eastAsia="宋体" w:hint="default"/>
                <w:sz w:val="18"/>
                <w:szCs w:val="18"/>
              </w:rPr>
            </w:pPr>
            <w:r>
              <w:rPr>
                <w:rFonts w:ascii="宋体" w:hAnsi="宋体" w:cs="宋体" w:eastAsia="宋体" w:hint="default"/>
                <w:spacing w:val="-3"/>
                <w:sz w:val="18"/>
                <w:szCs w:val="18"/>
              </w:rPr>
              <w:t>中国注册会计师</w:t>
            </w:r>
          </w:p>
        </w:tc>
        <w:tc>
          <w:tcPr>
            <w:tcW w:w="1532" w:type="dxa"/>
            <w:tcBorders>
              <w:top w:val="nil" w:sz="6" w:space="0" w:color="auto"/>
              <w:left w:val="nil" w:sz="6" w:space="0" w:color="auto"/>
              <w:bottom w:val="nil" w:sz="6" w:space="0" w:color="auto"/>
              <w:right w:val="nil" w:sz="6" w:space="0" w:color="auto"/>
            </w:tcBorders>
          </w:tcPr>
          <w:p>
            <w:pPr/>
          </w:p>
        </w:tc>
      </w:tr>
      <w:tr>
        <w:trPr>
          <w:trHeight w:val="821" w:hRule="exact"/>
        </w:trPr>
        <w:tc>
          <w:tcPr>
            <w:tcW w:w="3864" w:type="dxa"/>
            <w:tcBorders>
              <w:top w:val="nil" w:sz="6" w:space="0" w:color="auto"/>
              <w:left w:val="nil" w:sz="6" w:space="0" w:color="auto"/>
              <w:bottom w:val="nil" w:sz="6" w:space="0" w:color="auto"/>
              <w:right w:val="nil" w:sz="6" w:space="0" w:color="auto"/>
            </w:tcBorders>
          </w:tcPr>
          <w:p>
            <w:pPr/>
          </w:p>
        </w:tc>
        <w:tc>
          <w:tcPr>
            <w:tcW w:w="2456"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30"/>
              <w:jc w:val="right"/>
              <w:rPr>
                <w:rFonts w:ascii="宋体" w:hAnsi="宋体" w:cs="宋体" w:eastAsia="宋体" w:hint="default"/>
                <w:sz w:val="18"/>
                <w:szCs w:val="18"/>
              </w:rPr>
            </w:pPr>
            <w:r>
              <w:rPr>
                <w:rFonts w:ascii="宋体" w:hAnsi="宋体" w:cs="宋体" w:eastAsia="宋体" w:hint="default"/>
                <w:spacing w:val="-3"/>
                <w:sz w:val="18"/>
                <w:szCs w:val="18"/>
              </w:rPr>
              <w:t>（项目合伙人）：</w:t>
            </w: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21"/>
              <w:ind w:left="232" w:right="0"/>
              <w:jc w:val="left"/>
              <w:rPr>
                <w:rFonts w:ascii="宋体" w:hAnsi="宋体" w:cs="宋体" w:eastAsia="宋体" w:hint="default"/>
                <w:sz w:val="18"/>
                <w:szCs w:val="18"/>
              </w:rPr>
            </w:pPr>
            <w:r>
              <w:rPr>
                <w:rFonts w:ascii="宋体" w:hAnsi="宋体" w:cs="宋体" w:eastAsia="宋体" w:hint="default"/>
                <w:sz w:val="18"/>
                <w:szCs w:val="18"/>
              </w:rPr>
              <w:t>谢 </w:t>
            </w:r>
            <w:r>
              <w:rPr>
                <w:rFonts w:ascii="宋体" w:hAnsi="宋体" w:cs="宋体" w:eastAsia="宋体" w:hint="default"/>
                <w:spacing w:val="2"/>
                <w:sz w:val="18"/>
                <w:szCs w:val="18"/>
              </w:rPr>
              <w:t> </w:t>
            </w:r>
            <w:r>
              <w:rPr>
                <w:rFonts w:ascii="宋体" w:hAnsi="宋体" w:cs="宋体" w:eastAsia="宋体" w:hint="default"/>
                <w:sz w:val="18"/>
                <w:szCs w:val="18"/>
              </w:rPr>
              <w:t>翠</w:t>
            </w:r>
          </w:p>
        </w:tc>
      </w:tr>
      <w:tr>
        <w:trPr>
          <w:trHeight w:val="1158" w:hRule="exact"/>
        </w:trPr>
        <w:tc>
          <w:tcPr>
            <w:tcW w:w="386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1"/>
                <w:szCs w:val="21"/>
              </w:rPr>
            </w:pPr>
          </w:p>
          <w:p>
            <w:pPr>
              <w:pStyle w:val="TableParagraph"/>
              <w:spacing w:line="240" w:lineRule="auto"/>
              <w:ind w:right="575"/>
              <w:jc w:val="center"/>
              <w:rPr>
                <w:rFonts w:ascii="宋体" w:hAnsi="宋体" w:cs="宋体" w:eastAsia="宋体" w:hint="default"/>
                <w:sz w:val="18"/>
                <w:szCs w:val="18"/>
              </w:rPr>
            </w:pPr>
            <w:r>
              <w:rPr>
                <w:rFonts w:ascii="宋体" w:hAnsi="宋体" w:cs="宋体" w:eastAsia="宋体" w:hint="default"/>
                <w:w w:val="101"/>
                <w:sz w:val="18"/>
                <w:szCs w:val="18"/>
              </w:rPr>
              <w:t>中国</w:t>
            </w:r>
            <w:r>
              <w:rPr>
                <w:rFonts w:ascii="Wingdings" w:hAnsi="Wingdings" w:cs="Wingdings" w:eastAsia="Wingdings" w:hint="default"/>
                <w:spacing w:val="-5"/>
                <w:w w:val="30"/>
                <w:sz w:val="18"/>
                <w:szCs w:val="18"/>
              </w:rPr>
              <w:t></w:t>
            </w:r>
            <w:r>
              <w:rPr>
                <w:rFonts w:ascii="宋体" w:hAnsi="宋体" w:cs="宋体" w:eastAsia="宋体" w:hint="default"/>
                <w:w w:val="101"/>
                <w:sz w:val="18"/>
                <w:szCs w:val="18"/>
              </w:rPr>
              <w:t>北京</w:t>
            </w:r>
            <w:r>
              <w:rPr>
                <w:rFonts w:ascii="宋体" w:hAnsi="宋体" w:cs="宋体" w:eastAsia="宋体" w:hint="default"/>
                <w:sz w:val="18"/>
                <w:szCs w:val="18"/>
              </w:rPr>
            </w:r>
          </w:p>
        </w:tc>
        <w:tc>
          <w:tcPr>
            <w:tcW w:w="245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1"/>
                <w:szCs w:val="21"/>
              </w:rPr>
            </w:pPr>
          </w:p>
          <w:p>
            <w:pPr>
              <w:pStyle w:val="TableParagraph"/>
              <w:spacing w:line="240" w:lineRule="auto"/>
              <w:ind w:right="230"/>
              <w:jc w:val="right"/>
              <w:rPr>
                <w:rFonts w:ascii="宋体" w:hAnsi="宋体" w:cs="宋体" w:eastAsia="宋体" w:hint="default"/>
                <w:sz w:val="18"/>
                <w:szCs w:val="18"/>
              </w:rPr>
            </w:pPr>
            <w:r>
              <w:rPr>
                <w:rFonts w:ascii="宋体" w:hAnsi="宋体" w:cs="宋体" w:eastAsia="宋体" w:hint="default"/>
                <w:spacing w:val="-2"/>
                <w:sz w:val="18"/>
                <w:szCs w:val="18"/>
              </w:rPr>
              <w:t>中国注册会计师：</w:t>
            </w: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1"/>
                <w:szCs w:val="21"/>
              </w:rPr>
            </w:pPr>
          </w:p>
          <w:p>
            <w:pPr>
              <w:pStyle w:val="TableParagraph"/>
              <w:spacing w:line="240" w:lineRule="auto"/>
              <w:ind w:left="232" w:right="0"/>
              <w:jc w:val="left"/>
              <w:rPr>
                <w:rFonts w:ascii="宋体" w:hAnsi="宋体" w:cs="宋体" w:eastAsia="宋体" w:hint="default"/>
                <w:sz w:val="18"/>
                <w:szCs w:val="18"/>
              </w:rPr>
            </w:pPr>
            <w:r>
              <w:rPr>
                <w:rFonts w:ascii="宋体" w:hAnsi="宋体" w:cs="宋体" w:eastAsia="宋体" w:hint="default"/>
                <w:sz w:val="18"/>
                <w:szCs w:val="18"/>
              </w:rPr>
              <w:t>张 </w:t>
            </w:r>
            <w:r>
              <w:rPr>
                <w:rFonts w:ascii="宋体" w:hAnsi="宋体" w:cs="宋体" w:eastAsia="宋体" w:hint="default"/>
                <w:spacing w:val="2"/>
                <w:sz w:val="18"/>
                <w:szCs w:val="18"/>
              </w:rPr>
              <w:t> </w:t>
            </w:r>
            <w:r>
              <w:rPr>
                <w:rFonts w:ascii="宋体" w:hAnsi="宋体" w:cs="宋体" w:eastAsia="宋体" w:hint="default"/>
                <w:sz w:val="18"/>
                <w:szCs w:val="18"/>
              </w:rPr>
              <w:t>丽</w:t>
            </w:r>
          </w:p>
        </w:tc>
      </w:tr>
      <w:tr>
        <w:trPr>
          <w:trHeight w:val="583" w:hRule="exact"/>
        </w:trPr>
        <w:tc>
          <w:tcPr>
            <w:tcW w:w="3864" w:type="dxa"/>
            <w:tcBorders>
              <w:top w:val="nil" w:sz="6" w:space="0" w:color="auto"/>
              <w:left w:val="nil" w:sz="6" w:space="0" w:color="auto"/>
              <w:bottom w:val="nil" w:sz="6" w:space="0" w:color="auto"/>
              <w:right w:val="nil" w:sz="6" w:space="0" w:color="auto"/>
            </w:tcBorders>
          </w:tcPr>
          <w:p>
            <w:pPr/>
          </w:p>
        </w:tc>
        <w:tc>
          <w:tcPr>
            <w:tcW w:w="398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left="1805" w:right="0"/>
              <w:jc w:val="left"/>
              <w:rPr>
                <w:rFonts w:ascii="宋体" w:hAnsi="宋体" w:cs="宋体" w:eastAsia="宋体" w:hint="default"/>
                <w:sz w:val="18"/>
                <w:szCs w:val="18"/>
              </w:rPr>
            </w:pPr>
            <w:r>
              <w:rPr>
                <w:rFonts w:ascii="宋体" w:hAnsi="宋体" w:cs="宋体" w:eastAsia="宋体" w:hint="default"/>
                <w:spacing w:val="-3"/>
                <w:sz w:val="18"/>
                <w:szCs w:val="18"/>
              </w:rPr>
              <w:t>二〇二〇年四月二十四日</w:t>
            </w:r>
          </w:p>
        </w:tc>
      </w:tr>
    </w:tbl>
    <w:p>
      <w:pPr>
        <w:spacing w:after="0" w:line="240" w:lineRule="auto"/>
        <w:jc w:val="left"/>
        <w:rPr>
          <w:rFonts w:ascii="宋体" w:hAnsi="宋体" w:cs="宋体" w:eastAsia="宋体" w:hint="default"/>
          <w:sz w:val="18"/>
          <w:szCs w:val="18"/>
        </w:rPr>
        <w:sectPr>
          <w:pgSz w:w="11910" w:h="16840"/>
          <w:pgMar w:header="784" w:footer="1022" w:top="1100" w:bottom="1220" w:left="980" w:right="0"/>
        </w:sectPr>
      </w:pPr>
    </w:p>
    <w:p>
      <w:pPr>
        <w:spacing w:line="240" w:lineRule="auto" w:before="13"/>
        <w:rPr>
          <w:rFonts w:ascii="宋体" w:hAnsi="宋体" w:cs="宋体" w:eastAsia="宋体" w:hint="default"/>
          <w:sz w:val="21"/>
          <w:szCs w:val="21"/>
        </w:rPr>
      </w:pPr>
    </w:p>
    <w:p>
      <w:pPr>
        <w:spacing w:line="576" w:lineRule="auto" w:before="36"/>
        <w:ind w:left="153" w:right="7667" w:firstLine="0"/>
        <w:jc w:val="left"/>
        <w:rPr>
          <w:rFonts w:ascii="宋体" w:hAnsi="宋体" w:cs="宋体" w:eastAsia="宋体" w:hint="default"/>
          <w:sz w:val="21"/>
          <w:szCs w:val="21"/>
        </w:rPr>
      </w:pPr>
      <w:bookmarkStart w:name="二、财务报表" w:id="161"/>
      <w:bookmarkEnd w:id="161"/>
      <w:r>
        <w:rPr/>
      </w:r>
      <w:r>
        <w:rPr>
          <w:rFonts w:ascii="宋体" w:hAnsi="宋体" w:cs="宋体" w:eastAsia="宋体" w:hint="default"/>
          <w:b/>
          <w:bCs/>
          <w:sz w:val="21"/>
          <w:szCs w:val="21"/>
        </w:rPr>
        <w:t>二、财务报表</w:t>
      </w:r>
      <w:r>
        <w:rPr>
          <w:rFonts w:ascii="宋体" w:hAnsi="宋体" w:cs="宋体" w:eastAsia="宋体" w:hint="default"/>
          <w:b/>
          <w:bCs/>
          <w:spacing w:val="-104"/>
          <w:sz w:val="21"/>
          <w:szCs w:val="21"/>
        </w:rPr>
        <w:t> </w:t>
      </w:r>
      <w:r>
        <w:rPr>
          <w:rFonts w:ascii="宋体" w:hAnsi="宋体" w:cs="宋体" w:eastAsia="宋体" w:hint="default"/>
          <w:spacing w:val="-3"/>
          <w:sz w:val="18"/>
          <w:szCs w:val="18"/>
        </w:rPr>
        <w:t>财务附注中报表的单位为：元</w:t>
      </w:r>
      <w:r>
        <w:rPr>
          <w:rFonts w:ascii="宋体" w:hAnsi="宋体" w:cs="宋体" w:eastAsia="宋体" w:hint="default"/>
          <w:spacing w:val="-50"/>
          <w:sz w:val="18"/>
          <w:szCs w:val="18"/>
        </w:rPr>
        <w:t> </w:t>
      </w:r>
      <w:r>
        <w:rPr>
          <w:rFonts w:ascii="宋体" w:hAnsi="宋体" w:cs="宋体" w:eastAsia="宋体" w:hint="default"/>
          <w:spacing w:val="-50"/>
          <w:sz w:val="18"/>
          <w:szCs w:val="18"/>
        </w:rPr>
      </w:r>
      <w:bookmarkStart w:name="1、合并资产负债表" w:id="162"/>
      <w:bookmarkEnd w:id="162"/>
      <w:r>
        <w:rPr>
          <w:rFonts w:ascii="宋体" w:hAnsi="宋体" w:cs="宋体" w:eastAsia="宋体" w:hint="default"/>
          <w:spacing w:val="-50"/>
          <w:sz w:val="18"/>
          <w:szCs w:val="18"/>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、合并资产负债表</w:t>
      </w:r>
      <w:r>
        <w:rPr>
          <w:rFonts w:ascii="宋体" w:hAnsi="宋体" w:cs="宋体" w:eastAsia="宋体" w:hint="default"/>
          <w:sz w:val="21"/>
          <w:szCs w:val="21"/>
        </w:rPr>
      </w:r>
    </w:p>
    <w:p>
      <w:pPr>
        <w:spacing w:after="0" w:line="576" w:lineRule="auto"/>
        <w:jc w:val="left"/>
        <w:rPr>
          <w:rFonts w:ascii="宋体" w:hAnsi="宋体" w:cs="宋体" w:eastAsia="宋体" w:hint="default"/>
          <w:sz w:val="21"/>
          <w:szCs w:val="21"/>
        </w:rPr>
        <w:sectPr>
          <w:pgSz w:w="11910" w:h="16840"/>
          <w:pgMar w:header="784" w:footer="1022" w:top="1100" w:bottom="1220" w:left="980" w:right="0"/>
        </w:sectPr>
      </w:pPr>
    </w:p>
    <w:p>
      <w:pPr>
        <w:pStyle w:val="BodyText"/>
        <w:spacing w:line="240" w:lineRule="auto" w:before="28"/>
        <w:ind w:right="0"/>
        <w:jc w:val="left"/>
      </w:pPr>
      <w:r>
        <w:rPr>
          <w:spacing w:val="-3"/>
        </w:rPr>
        <w:t>编制单位：深圳市奥拓电子股份有限公司</w:t>
      </w:r>
    </w:p>
    <w:p>
      <w:pPr>
        <w:spacing w:line="240" w:lineRule="auto" w:before="0"/>
        <w:rPr>
          <w:rFonts w:ascii="宋体" w:hAnsi="宋体" w:cs="宋体" w:eastAsia="宋体" w:hint="default"/>
          <w:sz w:val="18"/>
          <w:szCs w:val="18"/>
        </w:rPr>
      </w:pPr>
      <w:r>
        <w:rPr/>
        <w:br w:type="column"/>
      </w:r>
      <w:r>
        <w:rPr>
          <w:rFonts w:ascii="宋体"/>
          <w:sz w:val="18"/>
        </w:rPr>
      </w:r>
    </w:p>
    <w:p>
      <w:pPr>
        <w:pStyle w:val="BodyText"/>
        <w:spacing w:line="240" w:lineRule="auto" w:before="143"/>
        <w:ind w:right="-17"/>
        <w:jc w:val="left"/>
      </w:pP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w:t>
      </w:r>
      <w:r>
        <w:rPr>
          <w:spacing w:val="-44"/>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44"/>
        </w:rPr>
        <w:t> </w:t>
      </w:r>
      <w:r>
        <w:rPr>
          <w:rFonts w:ascii="Times New Roman" w:hAnsi="Times New Roman" w:cs="Times New Roman" w:eastAsia="Times New Roman" w:hint="default"/>
        </w:rPr>
        <w:t>31</w:t>
      </w:r>
      <w:r>
        <w:rPr>
          <w:rFonts w:ascii="Times New Roman" w:hAnsi="Times New Roman" w:cs="Times New Roman" w:eastAsia="Times New Roman" w:hint="default"/>
          <w:spacing w:val="-4"/>
        </w:rPr>
        <w:t> </w:t>
      </w:r>
      <w:r>
        <w:rPr/>
        <w:t>日</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0"/>
          <w:szCs w:val="20"/>
        </w:rPr>
      </w:pPr>
    </w:p>
    <w:p>
      <w:pPr>
        <w:pStyle w:val="BodyText"/>
        <w:spacing w:line="240" w:lineRule="auto" w:before="0"/>
        <w:ind w:right="0"/>
        <w:jc w:val="left"/>
      </w:pPr>
      <w:r>
        <w:rPr/>
        <w:t>单位：元</w:t>
      </w:r>
    </w:p>
    <w:p>
      <w:pPr>
        <w:spacing w:after="0" w:line="240" w:lineRule="auto"/>
        <w:jc w:val="left"/>
        <w:sectPr>
          <w:type w:val="continuous"/>
          <w:pgSz w:w="11910" w:h="16840"/>
          <w:pgMar w:top="1100" w:bottom="1220" w:left="980" w:right="0"/>
          <w:cols w:num="3" w:equalWidth="0">
            <w:col w:w="3399" w:space="678"/>
            <w:col w:w="1642" w:space="3203"/>
            <w:col w:w="2008"/>
          </w:cols>
        </w:sectPr>
      </w:pP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967"/>
        <w:gridCol w:w="3304"/>
        <w:gridCol w:w="3299"/>
      </w:tblGrid>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30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617,519,437.58</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463,500,284.85</w:t>
            </w: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交易性金融资产</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71,460,000.00</w:t>
            </w: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710"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05" w:right="147" w:firstLine="360"/>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以公允价值计量且其变动计入</w:t>
            </w:r>
            <w:r>
              <w:rPr>
                <w:rFonts w:ascii="宋体" w:hAnsi="宋体" w:cs="宋体" w:eastAsia="宋体" w:hint="default"/>
                <w:w w:val="101"/>
                <w:sz w:val="18"/>
                <w:szCs w:val="18"/>
              </w:rPr>
              <w:t> </w:t>
            </w:r>
            <w:r>
              <w:rPr>
                <w:rFonts w:ascii="宋体" w:hAnsi="宋体" w:cs="宋体" w:eastAsia="宋体" w:hint="default"/>
                <w:spacing w:val="-3"/>
                <w:sz w:val="18"/>
                <w:szCs w:val="18"/>
              </w:rPr>
              <w:t>当期损益的金融资产</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65"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12,750.00</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16,618,164.76</w:t>
            </w: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884,495,654.16</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869,801,744.37</w:t>
            </w: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应收款项融资</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4,500,000.00</w:t>
            </w: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65"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19,702,051.46</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19,076,353.80</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应收分保合同准备金</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65"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29,347,832.14</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30,847,606.67</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48" w:right="0"/>
              <w:jc w:val="left"/>
              <w:rPr>
                <w:rFonts w:ascii="宋体" w:hAnsi="宋体" w:cs="宋体" w:eastAsia="宋体" w:hint="default"/>
                <w:sz w:val="18"/>
                <w:szCs w:val="18"/>
              </w:rPr>
            </w:pPr>
            <w:r>
              <w:rPr>
                <w:rFonts w:ascii="宋体" w:hAnsi="宋体" w:cs="宋体" w:eastAsia="宋体" w:hint="default"/>
                <w:spacing w:val="-3"/>
                <w:sz w:val="18"/>
                <w:szCs w:val="18"/>
              </w:rPr>
              <w:t>其中：应收利息</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1,012,831.63</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341,850.62</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39" w:right="0"/>
              <w:jc w:val="center"/>
              <w:rPr>
                <w:rFonts w:ascii="宋体" w:hAnsi="宋体" w:cs="宋体" w:eastAsia="宋体" w:hint="default"/>
                <w:sz w:val="18"/>
                <w:szCs w:val="18"/>
              </w:rPr>
            </w:pPr>
            <w:r>
              <w:rPr>
                <w:rFonts w:ascii="宋体" w:hAnsi="宋体" w:cs="宋体" w:eastAsia="宋体" w:hint="default"/>
                <w:sz w:val="18"/>
                <w:szCs w:val="18"/>
              </w:rPr>
              <w:t>应收股利</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1,000,000.00</w:t>
            </w: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235,297,854.24</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233,094,230.84</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合同资产</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持有待售资产</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一年内到期的非流动资产</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31,660,060.78</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190,589,070.05</w:t>
            </w: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1,910,601,055.12</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1,806,922,040.58</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30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
        </w:tc>
      </w:tr>
    </w:tbl>
    <w:p>
      <w:pPr>
        <w:spacing w:after="0"/>
        <w:sectPr>
          <w:type w:val="continuous"/>
          <w:pgSz w:w="11910" w:h="16840"/>
          <w:pgMar w:top="1100" w:bottom="1220" w:left="980" w:right="0"/>
        </w:sectPr>
      </w:pPr>
    </w:p>
    <w:p>
      <w:pPr>
        <w:spacing w:line="240" w:lineRule="auto" w:before="1"/>
        <w:rPr>
          <w:rFonts w:ascii="Times New Roman" w:hAnsi="Times New Roman" w:cs="Times New Roman" w:eastAsia="Times New Roman" w:hint="default"/>
          <w:sz w:val="29"/>
          <w:szCs w:val="29"/>
        </w:rPr>
      </w:pPr>
    </w:p>
    <w:tbl>
      <w:tblPr>
        <w:tblW w:w="0" w:type="auto"/>
        <w:jc w:val="left"/>
        <w:tblInd w:w="148" w:type="dxa"/>
        <w:tblLayout w:type="fixed"/>
        <w:tblCellMar>
          <w:top w:w="0" w:type="dxa"/>
          <w:left w:w="0" w:type="dxa"/>
          <w:bottom w:w="0" w:type="dxa"/>
          <w:right w:w="0" w:type="dxa"/>
        </w:tblCellMar>
        <w:tblLook w:val="01E0"/>
      </w:tblPr>
      <w:tblGrid>
        <w:gridCol w:w="2967"/>
        <w:gridCol w:w="3304"/>
        <w:gridCol w:w="3299"/>
      </w:tblGrid>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发放贷款和垫款</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债权投资</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13,000,000.00</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其他债权投资</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持有至到期投资</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3,001,257.57</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3,556,443.61</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其他权益工具投资</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其他非流动金融资产</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13,000,000.00</w:t>
            </w: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26,108,108.48</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26,782,166.04</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154,496,224.14</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161,777,040.12</w:t>
            </w: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65"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生产性生物资产</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z w:val="18"/>
                <w:szCs w:val="18"/>
              </w:rPr>
              <w:t>使用权资产</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65"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34,565,211.82</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33,872,888.78</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190,529,767.81</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190,529,767.81</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2,616,176.21</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3,138,236.64</w:t>
            </w: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65" w:right="0"/>
              <w:jc w:val="left"/>
              <w:rPr>
                <w:rFonts w:ascii="宋体" w:hAnsi="宋体" w:cs="宋体" w:eastAsia="宋体" w:hint="default"/>
                <w:sz w:val="18"/>
                <w:szCs w:val="18"/>
              </w:rPr>
            </w:pPr>
            <w:r>
              <w:rPr>
                <w:rFonts w:ascii="宋体" w:hAnsi="宋体" w:cs="宋体" w:eastAsia="宋体" w:hint="default"/>
                <w:spacing w:val="-3"/>
                <w:sz w:val="18"/>
                <w:szCs w:val="18"/>
              </w:rPr>
              <w:t>递延所得税资产</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34,967,096.37</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2"/>
                <w:sz w:val="18"/>
              </w:rPr>
              <w:t>27,114,094.91</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其他非流动资产</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22,776,755.85</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2,420,383.39</w:t>
            </w: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非流动资产合计</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482,060,598.25</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462,191,021.30</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2"/>
                <w:sz w:val="18"/>
              </w:rPr>
              <w:t>2,392,661,653.37</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2"/>
                <w:sz w:val="18"/>
              </w:rPr>
              <w:t>2,269,113,061.88</w:t>
            </w: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30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100,000,000.00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100,000,000.00</w:t>
            </w: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向中央银行借款</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交易性金融负债</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05" w:right="147" w:firstLine="360"/>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以公允价值计量且其变动计入</w:t>
            </w:r>
            <w:r>
              <w:rPr>
                <w:rFonts w:ascii="宋体" w:hAnsi="宋体" w:cs="宋体" w:eastAsia="宋体" w:hint="default"/>
                <w:w w:val="101"/>
                <w:sz w:val="18"/>
                <w:szCs w:val="18"/>
              </w:rPr>
              <w:t> </w:t>
            </w:r>
            <w:r>
              <w:rPr>
                <w:rFonts w:ascii="宋体" w:hAnsi="宋体" w:cs="宋体" w:eastAsia="宋体" w:hint="default"/>
                <w:spacing w:val="-3"/>
                <w:sz w:val="18"/>
                <w:szCs w:val="18"/>
              </w:rPr>
              <w:t>当期损益的金融负债</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376,800.00</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30,762,367.67</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30,590,360.43</w:t>
            </w: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65"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639,382,191.31</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595,944,059.93</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37,358,759.08</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42,527,082.79</w:t>
            </w:r>
          </w:p>
        </w:tc>
      </w:tr>
    </w:tbl>
    <w:p>
      <w:pPr>
        <w:spacing w:after="0" w:line="240" w:lineRule="auto"/>
        <w:jc w:val="right"/>
        <w:rPr>
          <w:rFonts w:ascii="Times New Roman" w:hAnsi="Times New Roman" w:cs="Times New Roman" w:eastAsia="Times New Roman" w:hint="default"/>
          <w:sz w:val="18"/>
          <w:szCs w:val="18"/>
        </w:rPr>
        <w:sectPr>
          <w:pgSz w:w="11910" w:h="16840"/>
          <w:pgMar w:header="784" w:footer="1022" w:top="1100" w:bottom="1220" w:left="980" w:right="0"/>
        </w:sectPr>
      </w:pPr>
    </w:p>
    <w:p>
      <w:pPr>
        <w:spacing w:line="240" w:lineRule="auto" w:before="1"/>
        <w:rPr>
          <w:rFonts w:ascii="Times New Roman" w:hAnsi="Times New Roman" w:cs="Times New Roman" w:eastAsia="Times New Roman" w:hint="default"/>
          <w:sz w:val="29"/>
          <w:szCs w:val="29"/>
        </w:rPr>
      </w:pPr>
    </w:p>
    <w:tbl>
      <w:tblPr>
        <w:tblW w:w="0" w:type="auto"/>
        <w:jc w:val="left"/>
        <w:tblInd w:w="148" w:type="dxa"/>
        <w:tblLayout w:type="fixed"/>
        <w:tblCellMar>
          <w:top w:w="0" w:type="dxa"/>
          <w:left w:w="0" w:type="dxa"/>
          <w:bottom w:w="0" w:type="dxa"/>
          <w:right w:w="0" w:type="dxa"/>
        </w:tblCellMar>
        <w:tblLook w:val="01E0"/>
      </w:tblPr>
      <w:tblGrid>
        <w:gridCol w:w="2967"/>
        <w:gridCol w:w="3304"/>
        <w:gridCol w:w="3299"/>
      </w:tblGrid>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合同负债</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卖出回购金融资产款</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pacing w:val="-3"/>
                <w:sz w:val="18"/>
                <w:szCs w:val="18"/>
              </w:rPr>
              <w:t>吸收存款及同业存放</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代理买卖证券款</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代理承销证券款</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33,368,434.29</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36,781,950.91</w:t>
            </w: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73,432,024.72</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84,070,061.97</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61,008,178.10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61,284,582.69</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48" w:right="0"/>
              <w:jc w:val="left"/>
              <w:rPr>
                <w:rFonts w:ascii="宋体" w:hAnsi="宋体" w:cs="宋体" w:eastAsia="宋体" w:hint="default"/>
                <w:sz w:val="18"/>
                <w:szCs w:val="18"/>
              </w:rPr>
            </w:pPr>
            <w:r>
              <w:rPr>
                <w:rFonts w:ascii="宋体" w:hAnsi="宋体" w:cs="宋体" w:eastAsia="宋体" w:hint="default"/>
                <w:spacing w:val="-3"/>
                <w:sz w:val="18"/>
                <w:szCs w:val="18"/>
              </w:rPr>
              <w:t>其中：应付利息</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70,997.43</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365,644.43</w:t>
            </w: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39" w:right="0"/>
              <w:jc w:val="center"/>
              <w:rPr>
                <w:rFonts w:ascii="宋体" w:hAnsi="宋体" w:cs="宋体" w:eastAsia="宋体" w:hint="default"/>
                <w:sz w:val="18"/>
                <w:szCs w:val="18"/>
              </w:rPr>
            </w:pPr>
            <w:r>
              <w:rPr>
                <w:rFonts w:ascii="宋体" w:hAnsi="宋体" w:cs="宋体" w:eastAsia="宋体" w:hint="default"/>
                <w:sz w:val="18"/>
                <w:szCs w:val="18"/>
              </w:rPr>
              <w:t>应付股利</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121,899.80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1,187,472.00</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65"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持有待售负债</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一年内到期的非流动负债</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1,300,000.00</w:t>
            </w: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976,611,955.17</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951,574,898.72</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30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保险合同准备金</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65"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48" w:right="0"/>
              <w:jc w:val="left"/>
              <w:rPr>
                <w:rFonts w:ascii="宋体" w:hAnsi="宋体" w:cs="宋体" w:eastAsia="宋体" w:hint="default"/>
                <w:sz w:val="18"/>
                <w:szCs w:val="18"/>
              </w:rPr>
            </w:pPr>
            <w:r>
              <w:rPr>
                <w:rFonts w:ascii="宋体" w:hAnsi="宋体" w:cs="宋体" w:eastAsia="宋体" w:hint="default"/>
                <w:spacing w:val="-3"/>
                <w:sz w:val="18"/>
                <w:szCs w:val="18"/>
              </w:rPr>
              <w:t>其中：优先股</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41"/>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z w:val="18"/>
                <w:szCs w:val="18"/>
              </w:rPr>
              <w:t>租赁负债</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65"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19,557,393.11</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16,513,980.73</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6,273,589.76</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7,273,589.76</w:t>
            </w: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递延所得税负债</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其他非流动负债</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非流动负债合计</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25,830,982.87</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23,787,570.49</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2"/>
                <w:sz w:val="18"/>
              </w:rPr>
              <w:t>1,002,442,938.04</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975,362,469.21</w:t>
            </w: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330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65"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620,037,084.00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619,214,834.00</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84" w:footer="1022" w:top="1100" w:bottom="1220" w:left="980" w:right="0"/>
        </w:sectPr>
      </w:pPr>
    </w:p>
    <w:p>
      <w:pPr>
        <w:spacing w:line="240" w:lineRule="auto" w:before="1"/>
        <w:rPr>
          <w:rFonts w:ascii="Times New Roman" w:hAnsi="Times New Roman" w:cs="Times New Roman" w:eastAsia="Times New Roman" w:hint="default"/>
          <w:sz w:val="29"/>
          <w:szCs w:val="29"/>
        </w:rPr>
      </w:pPr>
    </w:p>
    <w:tbl>
      <w:tblPr>
        <w:tblW w:w="0" w:type="auto"/>
        <w:jc w:val="left"/>
        <w:tblInd w:w="148" w:type="dxa"/>
        <w:tblLayout w:type="fixed"/>
        <w:tblCellMar>
          <w:top w:w="0" w:type="dxa"/>
          <w:left w:w="0" w:type="dxa"/>
          <w:bottom w:w="0" w:type="dxa"/>
          <w:right w:w="0" w:type="dxa"/>
        </w:tblCellMar>
        <w:tblLook w:val="01E0"/>
      </w:tblPr>
      <w:tblGrid>
        <w:gridCol w:w="2967"/>
        <w:gridCol w:w="3304"/>
        <w:gridCol w:w="3299"/>
      </w:tblGrid>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48" w:right="0"/>
              <w:jc w:val="left"/>
              <w:rPr>
                <w:rFonts w:ascii="宋体" w:hAnsi="宋体" w:cs="宋体" w:eastAsia="宋体" w:hint="default"/>
                <w:sz w:val="18"/>
                <w:szCs w:val="18"/>
              </w:rPr>
            </w:pPr>
            <w:r>
              <w:rPr>
                <w:rFonts w:ascii="宋体" w:hAnsi="宋体" w:cs="宋体" w:eastAsia="宋体" w:hint="default"/>
                <w:spacing w:val="-3"/>
                <w:sz w:val="18"/>
                <w:szCs w:val="18"/>
              </w:rPr>
              <w:t>其中：优先股</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41"/>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212,551,827.78</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208,841,224.84</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65,341,498.23</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35,282,708.10</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680,358.95</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58,527.18</w:t>
            </w: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64,135,153.58</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47,223,013.84</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532,162,292.70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429,684,583.57</w:t>
            </w: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归属于母公司所有者权益合计</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1,364,225,218.78</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1,269,739,475.33</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25,993,496.55</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2"/>
                <w:sz w:val="18"/>
              </w:rPr>
              <w:t>24,011,117.34</w:t>
            </w: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pacing w:val="-3"/>
                <w:sz w:val="18"/>
                <w:szCs w:val="18"/>
              </w:rPr>
              <w:t>所有者权益合计</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1,390,218,715.33</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1,293,750,592.67</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2,392,661,653.37</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2,269,113,061.88</w:t>
            </w:r>
          </w:p>
        </w:tc>
      </w:tr>
    </w:tbl>
    <w:p>
      <w:pPr>
        <w:spacing w:line="240" w:lineRule="auto" w:before="2"/>
        <w:rPr>
          <w:rFonts w:ascii="Times New Roman" w:hAnsi="Times New Roman" w:cs="Times New Roman" w:eastAsia="Times New Roman" w:hint="default"/>
          <w:sz w:val="23"/>
          <w:szCs w:val="23"/>
        </w:rPr>
      </w:pPr>
    </w:p>
    <w:p>
      <w:pPr>
        <w:pStyle w:val="BodyText"/>
        <w:tabs>
          <w:tab w:pos="3577" w:val="left" w:leader="none"/>
          <w:tab w:pos="7716" w:val="left" w:leader="none"/>
        </w:tabs>
        <w:spacing w:line="240" w:lineRule="auto"/>
        <w:ind w:right="0"/>
        <w:jc w:val="left"/>
      </w:pPr>
      <w:r>
        <w:rPr>
          <w:spacing w:val="-3"/>
        </w:rPr>
        <w:t>法定代表人：吴涵渠</w:t>
        <w:tab/>
        <w:t>主管会计工作负责人：彭世新</w:t>
        <w:tab/>
        <w:t>会计机构负责人：钟华超</w:t>
      </w:r>
    </w:p>
    <w:p>
      <w:pPr>
        <w:spacing w:line="240" w:lineRule="auto" w:before="9"/>
        <w:rPr>
          <w:rFonts w:ascii="宋体" w:hAnsi="宋体" w:cs="宋体" w:eastAsia="宋体" w:hint="default"/>
          <w:sz w:val="26"/>
          <w:szCs w:val="26"/>
        </w:rPr>
      </w:pPr>
    </w:p>
    <w:p>
      <w:pPr>
        <w:pStyle w:val="Heading4"/>
        <w:spacing w:line="240" w:lineRule="auto"/>
        <w:ind w:right="0"/>
        <w:jc w:val="left"/>
        <w:rPr>
          <w:b w:val="0"/>
          <w:bCs w:val="0"/>
        </w:rPr>
      </w:pPr>
      <w:bookmarkStart w:name="2、母公司资产负债表" w:id="163"/>
      <w:bookmarkEnd w:id="163"/>
      <w:r>
        <w:rPr>
          <w:b w:val="0"/>
          <w:bCs w:val="0"/>
        </w:rPr>
      </w:r>
      <w:r>
        <w:rPr>
          <w:rFonts w:ascii="Times New Roman" w:hAnsi="Times New Roman" w:cs="Times New Roman" w:eastAsia="Times New Roman" w:hint="default"/>
        </w:rPr>
        <w:t>2</w:t>
      </w:r>
      <w:r>
        <w:rPr/>
        <w:t>、母公司资产负债表</w:t>
      </w:r>
      <w:r>
        <w:rPr>
          <w:b w:val="0"/>
          <w:bCs w:val="0"/>
        </w:rPr>
      </w:r>
    </w:p>
    <w:p>
      <w:pPr>
        <w:spacing w:line="240" w:lineRule="auto" w:before="1"/>
        <w:rPr>
          <w:rFonts w:ascii="宋体" w:hAnsi="宋体" w:cs="宋体" w:eastAsia="宋体" w:hint="default"/>
          <w:b/>
          <w:bCs/>
          <w:sz w:val="27"/>
          <w:szCs w:val="27"/>
        </w:rPr>
      </w:pPr>
    </w:p>
    <w:p>
      <w:pPr>
        <w:pStyle w:val="BodyText"/>
        <w:spacing w:line="240" w:lineRule="auto" w:before="0"/>
        <w:ind w:left="0" w:right="1122"/>
        <w:jc w:val="right"/>
      </w:pPr>
      <w:r>
        <w:rPr>
          <w:spacing w:val="-2"/>
        </w:rPr>
        <w:t>单位：元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967"/>
        <w:gridCol w:w="3304"/>
        <w:gridCol w:w="3299"/>
      </w:tblGrid>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r>
      <w:tr>
        <w:trPr>
          <w:trHeight w:val="399"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30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388,394,025.44</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193,955,577.49</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交易性金融资产</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60,000,000.00</w:t>
            </w: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05" w:right="147" w:firstLine="360"/>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以公允价值计量且其变动计入</w:t>
            </w:r>
            <w:r>
              <w:rPr>
                <w:rFonts w:ascii="宋体" w:hAnsi="宋体" w:cs="宋体" w:eastAsia="宋体" w:hint="default"/>
                <w:w w:val="101"/>
                <w:sz w:val="18"/>
                <w:szCs w:val="18"/>
              </w:rPr>
              <w:t> </w:t>
            </w:r>
            <w:r>
              <w:rPr>
                <w:rFonts w:ascii="宋体" w:hAnsi="宋体" w:cs="宋体" w:eastAsia="宋体" w:hint="default"/>
                <w:spacing w:val="-3"/>
                <w:sz w:val="18"/>
                <w:szCs w:val="18"/>
              </w:rPr>
              <w:t>当期损益的金融资产</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99"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65"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12,750.00</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2"/>
                <w:sz w:val="18"/>
              </w:rPr>
              <w:t>11,129,040.00</w:t>
            </w: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277,017,153.11</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224,411,359.04</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应收款项融资</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99"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65"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7,389,981.19</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7,112,395.52</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2"/>
                <w:sz w:val="18"/>
              </w:rPr>
              <w:t>93,115,187.52</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2"/>
                <w:sz w:val="18"/>
              </w:rPr>
              <w:t>110,557,439.18</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1045"/>
              <w:jc w:val="right"/>
              <w:rPr>
                <w:rFonts w:ascii="宋体" w:hAnsi="宋体" w:cs="宋体" w:eastAsia="宋体" w:hint="default"/>
                <w:sz w:val="18"/>
                <w:szCs w:val="18"/>
              </w:rPr>
            </w:pPr>
            <w:r>
              <w:rPr>
                <w:rFonts w:ascii="宋体" w:hAnsi="宋体" w:cs="宋体" w:eastAsia="宋体" w:hint="default"/>
                <w:spacing w:val="-3"/>
                <w:sz w:val="18"/>
                <w:szCs w:val="18"/>
              </w:rPr>
              <w:t>其中：应收利息</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980,705.25</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240,370.43</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1044"/>
              <w:jc w:val="right"/>
              <w:rPr>
                <w:rFonts w:ascii="宋体" w:hAnsi="宋体" w:cs="宋体" w:eastAsia="宋体" w:hint="default"/>
                <w:sz w:val="18"/>
                <w:szCs w:val="18"/>
              </w:rPr>
            </w:pPr>
            <w:r>
              <w:rPr>
                <w:rFonts w:ascii="宋体" w:hAnsi="宋体" w:cs="宋体" w:eastAsia="宋体" w:hint="default"/>
                <w:spacing w:val="-2"/>
                <w:sz w:val="18"/>
                <w:szCs w:val="18"/>
              </w:rPr>
              <w:t>应收股利</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1,000,000.00</w:t>
            </w: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99"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65"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1,790,511.21</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3,655,406.34</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z w:val="18"/>
                <w:szCs w:val="18"/>
              </w:rPr>
              <w:t>合同资产</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持有待售资产</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84" w:footer="1022" w:top="1100" w:bottom="1220" w:left="980" w:right="0"/>
        </w:sectPr>
      </w:pPr>
    </w:p>
    <w:p>
      <w:pPr>
        <w:spacing w:line="240" w:lineRule="auto" w:before="1"/>
        <w:rPr>
          <w:rFonts w:ascii="Times New Roman" w:hAnsi="Times New Roman" w:cs="Times New Roman" w:eastAsia="Times New Roman" w:hint="default"/>
          <w:sz w:val="29"/>
          <w:szCs w:val="29"/>
        </w:rPr>
      </w:pPr>
    </w:p>
    <w:tbl>
      <w:tblPr>
        <w:tblW w:w="0" w:type="auto"/>
        <w:jc w:val="left"/>
        <w:tblInd w:w="148" w:type="dxa"/>
        <w:tblLayout w:type="fixed"/>
        <w:tblCellMar>
          <w:top w:w="0" w:type="dxa"/>
          <w:left w:w="0" w:type="dxa"/>
          <w:bottom w:w="0" w:type="dxa"/>
          <w:right w:w="0" w:type="dxa"/>
        </w:tblCellMar>
        <w:tblLook w:val="01E0"/>
      </w:tblPr>
      <w:tblGrid>
        <w:gridCol w:w="2967"/>
        <w:gridCol w:w="3304"/>
        <w:gridCol w:w="3299"/>
      </w:tblGrid>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一年内到期的非流动资产</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11,074,045.35</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118,267,038.54</w:t>
            </w: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849,909,943.82</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5"/>
              <w:jc w:val="right"/>
              <w:rPr>
                <w:rFonts w:ascii="Times New Roman" w:hAnsi="Times New Roman" w:cs="Times New Roman" w:eastAsia="Times New Roman" w:hint="default"/>
                <w:sz w:val="18"/>
                <w:szCs w:val="18"/>
              </w:rPr>
            </w:pPr>
            <w:r>
              <w:rPr>
                <w:rFonts w:ascii="Times New Roman"/>
                <w:spacing w:val="-2"/>
                <w:sz w:val="18"/>
              </w:rPr>
              <w:t>657,971,966.11</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30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债权投资</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10,000,000.00</w:t>
            </w: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z w:val="18"/>
                <w:szCs w:val="18"/>
              </w:rPr>
              <w:t>其他债权投资</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持有至到期投资</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690,613,083.32</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677,635,343.32</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z w:val="18"/>
                <w:szCs w:val="18"/>
              </w:rPr>
              <w:t>其他权益工具投资</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65" w:right="0"/>
              <w:jc w:val="left"/>
              <w:rPr>
                <w:rFonts w:ascii="宋体" w:hAnsi="宋体" w:cs="宋体" w:eastAsia="宋体" w:hint="default"/>
                <w:sz w:val="18"/>
                <w:szCs w:val="18"/>
              </w:rPr>
            </w:pPr>
            <w:r>
              <w:rPr>
                <w:rFonts w:ascii="宋体" w:hAnsi="宋体" w:cs="宋体" w:eastAsia="宋体" w:hint="default"/>
                <w:spacing w:val="-3"/>
                <w:sz w:val="18"/>
                <w:szCs w:val="18"/>
              </w:rPr>
              <w:t>其他非流动金融资产</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10,000,000.00</w:t>
            </w: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2,058,968.36</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2,138,318.34</w:t>
            </w: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25,614,616.42</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29,216,258.52</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65" w:right="0"/>
              <w:jc w:val="left"/>
              <w:rPr>
                <w:rFonts w:ascii="宋体" w:hAnsi="宋体" w:cs="宋体" w:eastAsia="宋体" w:hint="default"/>
                <w:sz w:val="18"/>
                <w:szCs w:val="18"/>
              </w:rPr>
            </w:pPr>
            <w:r>
              <w:rPr>
                <w:rFonts w:ascii="宋体" w:hAnsi="宋体" w:cs="宋体" w:eastAsia="宋体" w:hint="default"/>
                <w:spacing w:val="-3"/>
                <w:sz w:val="18"/>
                <w:szCs w:val="18"/>
              </w:rPr>
              <w:t>生产性生物资产</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使用权资产</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5,434,941.36</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5,066,971.12</w:t>
            </w: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65"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2,294,876.21</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3,138,236.64</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pacing w:val="-3"/>
                <w:sz w:val="18"/>
                <w:szCs w:val="18"/>
              </w:rPr>
              <w:t>递延所得税资产</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3,043,035.93</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3,138,505.97</w:t>
            </w: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65" w:right="0"/>
              <w:jc w:val="left"/>
              <w:rPr>
                <w:rFonts w:ascii="宋体" w:hAnsi="宋体" w:cs="宋体" w:eastAsia="宋体" w:hint="default"/>
                <w:sz w:val="18"/>
                <w:szCs w:val="18"/>
              </w:rPr>
            </w:pPr>
            <w:r>
              <w:rPr>
                <w:rFonts w:ascii="宋体" w:hAnsi="宋体" w:cs="宋体" w:eastAsia="宋体" w:hint="default"/>
                <w:spacing w:val="-3"/>
                <w:sz w:val="18"/>
                <w:szCs w:val="18"/>
              </w:rPr>
              <w:t>其他非流动资产</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19,730,267.63</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1,921,709.30</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非流动资产合计</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758,789,789.23</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732,255,343.21</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1,608,699,733.05</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1,390,227,309.32</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105"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30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10,000,000.00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40,000,000.00</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交易性金融负债</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710"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05" w:right="147" w:firstLine="360"/>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以公允价值计量且其变动计入</w:t>
            </w:r>
            <w:r>
              <w:rPr>
                <w:rFonts w:ascii="宋体" w:hAnsi="宋体" w:cs="宋体" w:eastAsia="宋体" w:hint="default"/>
                <w:w w:val="101"/>
                <w:sz w:val="18"/>
                <w:szCs w:val="18"/>
              </w:rPr>
              <w:t> </w:t>
            </w:r>
            <w:r>
              <w:rPr>
                <w:rFonts w:ascii="宋体" w:hAnsi="宋体" w:cs="宋体" w:eastAsia="宋体" w:hint="default"/>
                <w:spacing w:val="-3"/>
                <w:sz w:val="18"/>
                <w:szCs w:val="18"/>
              </w:rPr>
              <w:t>当期损益的金融负债</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376,800.00</w:t>
            </w: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65"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74,542,320.99</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20,147,000.00</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218,646,252.67</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181,537,452.80</w:t>
            </w:r>
          </w:p>
        </w:tc>
      </w:tr>
    </w:tbl>
    <w:p>
      <w:pPr>
        <w:spacing w:after="0" w:line="240" w:lineRule="auto"/>
        <w:jc w:val="right"/>
        <w:rPr>
          <w:rFonts w:ascii="Times New Roman" w:hAnsi="Times New Roman" w:cs="Times New Roman" w:eastAsia="Times New Roman" w:hint="default"/>
          <w:sz w:val="18"/>
          <w:szCs w:val="18"/>
        </w:rPr>
        <w:sectPr>
          <w:pgSz w:w="11910" w:h="16840"/>
          <w:pgMar w:header="784" w:footer="1022" w:top="1100" w:bottom="1220" w:left="980" w:right="0"/>
        </w:sectPr>
      </w:pPr>
    </w:p>
    <w:p>
      <w:pPr>
        <w:spacing w:line="240" w:lineRule="auto" w:before="1"/>
        <w:rPr>
          <w:rFonts w:ascii="Times New Roman" w:hAnsi="Times New Roman" w:cs="Times New Roman" w:eastAsia="Times New Roman" w:hint="default"/>
          <w:sz w:val="29"/>
          <w:szCs w:val="29"/>
        </w:rPr>
      </w:pPr>
    </w:p>
    <w:tbl>
      <w:tblPr>
        <w:tblW w:w="0" w:type="auto"/>
        <w:jc w:val="left"/>
        <w:tblInd w:w="148" w:type="dxa"/>
        <w:tblLayout w:type="fixed"/>
        <w:tblCellMar>
          <w:top w:w="0" w:type="dxa"/>
          <w:left w:w="0" w:type="dxa"/>
          <w:bottom w:w="0" w:type="dxa"/>
          <w:right w:w="0" w:type="dxa"/>
        </w:tblCellMar>
        <w:tblLook w:val="01E0"/>
      </w:tblPr>
      <w:tblGrid>
        <w:gridCol w:w="2967"/>
        <w:gridCol w:w="3304"/>
        <w:gridCol w:w="3299"/>
      </w:tblGrid>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13,557,199.19</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9,563,226.33</w:t>
            </w: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合同负债</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9,267,537.75</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6,217,063.89</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13,698,276.44</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2,036,973.66</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182,175,014.62</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124,682,379.20</w:t>
            </w: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48" w:right="0"/>
              <w:jc w:val="left"/>
              <w:rPr>
                <w:rFonts w:ascii="宋体" w:hAnsi="宋体" w:cs="宋体" w:eastAsia="宋体" w:hint="default"/>
                <w:sz w:val="18"/>
                <w:szCs w:val="18"/>
              </w:rPr>
            </w:pPr>
            <w:r>
              <w:rPr>
                <w:rFonts w:ascii="宋体" w:hAnsi="宋体" w:cs="宋体" w:eastAsia="宋体" w:hint="default"/>
                <w:spacing w:val="-3"/>
                <w:sz w:val="18"/>
                <w:szCs w:val="18"/>
              </w:rPr>
              <w:t>其中：应付利息</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12,513.71</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157,571.46</w:t>
            </w: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39" w:right="0"/>
              <w:jc w:val="center"/>
              <w:rPr>
                <w:rFonts w:ascii="宋体" w:hAnsi="宋体" w:cs="宋体" w:eastAsia="宋体" w:hint="default"/>
                <w:sz w:val="18"/>
                <w:szCs w:val="18"/>
              </w:rPr>
            </w:pPr>
            <w:r>
              <w:rPr>
                <w:rFonts w:ascii="宋体" w:hAnsi="宋体" w:cs="宋体" w:eastAsia="宋体" w:hint="default"/>
                <w:sz w:val="18"/>
                <w:szCs w:val="18"/>
              </w:rPr>
              <w:t>应付股利</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121,899.80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592,740.00</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持有待售负债</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一年内到期的非流动负债</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521,886,601.66</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384,560,895.88</w:t>
            </w: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30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648" w:right="0"/>
              <w:jc w:val="left"/>
              <w:rPr>
                <w:rFonts w:ascii="宋体" w:hAnsi="宋体" w:cs="宋体" w:eastAsia="宋体" w:hint="default"/>
                <w:sz w:val="18"/>
                <w:szCs w:val="18"/>
              </w:rPr>
            </w:pPr>
            <w:r>
              <w:rPr>
                <w:rFonts w:ascii="宋体" w:hAnsi="宋体" w:cs="宋体" w:eastAsia="宋体" w:hint="default"/>
                <w:spacing w:val="-3"/>
                <w:sz w:val="18"/>
                <w:szCs w:val="18"/>
              </w:rPr>
              <w:t>其中：优先股</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41"/>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租赁负债</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65"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498,015.92</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452,714.99</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1,373,589.76</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2,373,589.76</w:t>
            </w: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递延所得税负债</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pacing w:val="-3"/>
                <w:sz w:val="18"/>
                <w:szCs w:val="18"/>
              </w:rPr>
              <w:t>其他非流动负债</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pacing w:val="-3"/>
                <w:sz w:val="18"/>
                <w:szCs w:val="18"/>
              </w:rPr>
              <w:t>非流动负债合计</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1,871,605.68</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2,826,304.75</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523,758,207.34</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387,387,200.63</w:t>
            </w: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330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620,037,084.00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619,214,834.00</w:t>
            </w: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48" w:right="0"/>
              <w:jc w:val="left"/>
              <w:rPr>
                <w:rFonts w:ascii="宋体" w:hAnsi="宋体" w:cs="宋体" w:eastAsia="宋体" w:hint="default"/>
                <w:sz w:val="18"/>
                <w:szCs w:val="18"/>
              </w:rPr>
            </w:pPr>
            <w:r>
              <w:rPr>
                <w:rFonts w:ascii="宋体" w:hAnsi="宋体" w:cs="宋体" w:eastAsia="宋体" w:hint="default"/>
                <w:spacing w:val="-3"/>
                <w:sz w:val="18"/>
                <w:szCs w:val="18"/>
              </w:rPr>
              <w:t>其中：优先股</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41"/>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210,256,797.39</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206,546,194.45</w:t>
            </w: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65,341,498.23</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35,282,708.10</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84" w:footer="1022" w:top="1100" w:bottom="1220" w:left="980" w:right="0"/>
        </w:sectPr>
      </w:pPr>
    </w:p>
    <w:p>
      <w:pPr>
        <w:spacing w:line="240" w:lineRule="auto" w:before="1"/>
        <w:rPr>
          <w:rFonts w:ascii="Times New Roman" w:hAnsi="Times New Roman" w:cs="Times New Roman" w:eastAsia="Times New Roman" w:hint="default"/>
          <w:sz w:val="29"/>
          <w:szCs w:val="29"/>
        </w:rPr>
      </w:pPr>
    </w:p>
    <w:tbl>
      <w:tblPr>
        <w:tblW w:w="0" w:type="auto"/>
        <w:jc w:val="left"/>
        <w:tblInd w:w="148" w:type="dxa"/>
        <w:tblLayout w:type="fixed"/>
        <w:tblCellMar>
          <w:top w:w="0" w:type="dxa"/>
          <w:left w:w="0" w:type="dxa"/>
          <w:bottom w:w="0" w:type="dxa"/>
          <w:right w:w="0" w:type="dxa"/>
        </w:tblCellMar>
        <w:tblLook w:val="01E0"/>
      </w:tblPr>
      <w:tblGrid>
        <w:gridCol w:w="2967"/>
        <w:gridCol w:w="3304"/>
        <w:gridCol w:w="3299"/>
      </w:tblGrid>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64,135,153.58</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47,223,013.84</w:t>
            </w: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255,853,988.97</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165,138,774.50</w:t>
            </w: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pacing w:val="-3"/>
                <w:sz w:val="18"/>
                <w:szCs w:val="18"/>
              </w:rPr>
              <w:t>所有者权益合计</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2"/>
                <w:sz w:val="18"/>
              </w:rPr>
              <w:t>1,084,941,525.71</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2"/>
                <w:sz w:val="18"/>
              </w:rPr>
              <w:t>1,002,840,108.69</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1,608,699,733.05</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1,390,227,309.32</w:t>
            </w:r>
          </w:p>
        </w:tc>
      </w:tr>
    </w:tbl>
    <w:p>
      <w:pPr>
        <w:spacing w:line="240" w:lineRule="auto" w:before="10"/>
        <w:rPr>
          <w:rFonts w:ascii="Times New Roman" w:hAnsi="Times New Roman" w:cs="Times New Roman" w:eastAsia="Times New Roman" w:hint="default"/>
          <w:sz w:val="21"/>
          <w:szCs w:val="21"/>
        </w:rPr>
      </w:pPr>
    </w:p>
    <w:p>
      <w:pPr>
        <w:pStyle w:val="Heading4"/>
        <w:spacing w:line="240" w:lineRule="auto" w:before="36"/>
        <w:ind w:right="0"/>
        <w:jc w:val="left"/>
        <w:rPr>
          <w:b w:val="0"/>
          <w:bCs w:val="0"/>
        </w:rPr>
      </w:pPr>
      <w:bookmarkStart w:name="3、合并利润表" w:id="164"/>
      <w:bookmarkEnd w:id="164"/>
      <w:r>
        <w:rPr>
          <w:b w:val="0"/>
          <w:bCs w:val="0"/>
        </w:rPr>
      </w:r>
      <w:r>
        <w:rPr>
          <w:rFonts w:ascii="Times New Roman" w:hAnsi="Times New Roman" w:cs="Times New Roman" w:eastAsia="Times New Roman" w:hint="default"/>
        </w:rPr>
        <w:t>3</w:t>
      </w:r>
      <w:r>
        <w:rPr/>
        <w:t>、合并利润表</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spacing w:val="-2"/>
        </w:rPr>
        <w:t>单位：元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083"/>
        <w:gridCol w:w="3208"/>
        <w:gridCol w:w="3279"/>
      </w:tblGrid>
      <w:tr>
        <w:trPr>
          <w:trHeight w:val="398"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7"/>
                <w:sz w:val="18"/>
                <w:szCs w:val="18"/>
              </w:rPr>
              <w:t> </w:t>
            </w:r>
            <w:r>
              <w:rPr>
                <w:rFonts w:ascii="宋体" w:hAnsi="宋体" w:cs="宋体" w:eastAsia="宋体" w:hint="default"/>
                <w:spacing w:val="-5"/>
                <w:sz w:val="18"/>
                <w:szCs w:val="18"/>
              </w:rPr>
              <w:t>年度</w:t>
            </w:r>
            <w:r>
              <w:rPr>
                <w:rFonts w:ascii="宋体" w:hAnsi="宋体" w:cs="宋体" w:eastAsia="宋体" w:hint="default"/>
                <w:sz w:val="18"/>
                <w:szCs w:val="18"/>
              </w:rPr>
            </w:r>
          </w:p>
        </w:tc>
        <w:tc>
          <w:tcPr>
            <w:tcW w:w="32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7"/>
                <w:sz w:val="18"/>
                <w:szCs w:val="18"/>
              </w:rPr>
              <w:t> </w:t>
            </w:r>
            <w:r>
              <w:rPr>
                <w:rFonts w:ascii="宋体" w:hAnsi="宋体" w:cs="宋体" w:eastAsia="宋体" w:hint="default"/>
                <w:spacing w:val="-5"/>
                <w:sz w:val="18"/>
                <w:szCs w:val="18"/>
              </w:rPr>
              <w:t>年度</w:t>
            </w:r>
            <w:r>
              <w:rPr>
                <w:rFonts w:ascii="宋体" w:hAnsi="宋体" w:cs="宋体" w:eastAsia="宋体" w:hint="default"/>
                <w:sz w:val="18"/>
                <w:szCs w:val="18"/>
              </w:rPr>
            </w:r>
          </w:p>
        </w:tc>
      </w:tr>
      <w:tr>
        <w:trPr>
          <w:trHeight w:val="403"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pacing w:val="-3"/>
                <w:sz w:val="18"/>
                <w:szCs w:val="18"/>
              </w:rPr>
              <w:t>一、营业总收入</w:t>
            </w:r>
          </w:p>
        </w:tc>
        <w:tc>
          <w:tcPr>
            <w:tcW w:w="3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2"/>
                <w:sz w:val="18"/>
              </w:rPr>
              <w:t>1,245,130,420.49</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2"/>
                <w:sz w:val="18"/>
              </w:rPr>
              <w:t>1,573,372,443.96</w:t>
            </w:r>
          </w:p>
        </w:tc>
      </w:tr>
      <w:tr>
        <w:trPr>
          <w:trHeight w:val="403"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其中：营业收入</w:t>
            </w:r>
          </w:p>
        </w:tc>
        <w:tc>
          <w:tcPr>
            <w:tcW w:w="3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1,245,130,420.49</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1,573,372,443.96</w:t>
            </w:r>
          </w:p>
        </w:tc>
      </w:tr>
      <w:tr>
        <w:trPr>
          <w:trHeight w:val="404"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08" w:right="0"/>
              <w:jc w:val="left"/>
              <w:rPr>
                <w:rFonts w:ascii="宋体" w:hAnsi="宋体" w:cs="宋体" w:eastAsia="宋体" w:hint="default"/>
                <w:sz w:val="18"/>
                <w:szCs w:val="18"/>
              </w:rPr>
            </w:pPr>
            <w:r>
              <w:rPr>
                <w:rFonts w:ascii="宋体" w:hAnsi="宋体" w:cs="宋体" w:eastAsia="宋体" w:hint="default"/>
                <w:spacing w:val="-3"/>
                <w:sz w:val="18"/>
                <w:szCs w:val="18"/>
              </w:rPr>
              <w:t>利息收入</w:t>
            </w:r>
          </w:p>
        </w:tc>
        <w:tc>
          <w:tcPr>
            <w:tcW w:w="3208" w:type="dxa"/>
            <w:tcBorders>
              <w:top w:val="single" w:sz="4" w:space="0" w:color="000000"/>
              <w:left w:val="single" w:sz="4" w:space="0" w:color="000000"/>
              <w:bottom w:val="single" w:sz="4" w:space="0" w:color="000000"/>
              <w:right w:val="single" w:sz="4" w:space="0" w:color="000000"/>
            </w:tcBorders>
          </w:tcPr>
          <w:p>
            <w:pPr/>
          </w:p>
        </w:tc>
        <w:tc>
          <w:tcPr>
            <w:tcW w:w="3279"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08" w:right="0"/>
              <w:jc w:val="left"/>
              <w:rPr>
                <w:rFonts w:ascii="宋体" w:hAnsi="宋体" w:cs="宋体" w:eastAsia="宋体" w:hint="default"/>
                <w:sz w:val="18"/>
                <w:szCs w:val="18"/>
              </w:rPr>
            </w:pPr>
            <w:r>
              <w:rPr>
                <w:rFonts w:ascii="宋体" w:hAnsi="宋体" w:cs="宋体" w:eastAsia="宋体" w:hint="default"/>
                <w:spacing w:val="-3"/>
                <w:sz w:val="18"/>
                <w:szCs w:val="18"/>
              </w:rPr>
              <w:t>已赚保费</w:t>
            </w:r>
          </w:p>
        </w:tc>
        <w:tc>
          <w:tcPr>
            <w:tcW w:w="3208" w:type="dxa"/>
            <w:tcBorders>
              <w:top w:val="single" w:sz="4" w:space="0" w:color="000000"/>
              <w:left w:val="single" w:sz="4" w:space="0" w:color="000000"/>
              <w:bottom w:val="single" w:sz="4" w:space="0" w:color="000000"/>
              <w:right w:val="single" w:sz="4" w:space="0" w:color="000000"/>
            </w:tcBorders>
          </w:tcPr>
          <w:p>
            <w:pPr/>
          </w:p>
        </w:tc>
        <w:tc>
          <w:tcPr>
            <w:tcW w:w="327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right="622"/>
              <w:jc w:val="right"/>
              <w:rPr>
                <w:rFonts w:ascii="宋体" w:hAnsi="宋体" w:cs="宋体" w:eastAsia="宋体" w:hint="default"/>
                <w:sz w:val="18"/>
                <w:szCs w:val="18"/>
              </w:rPr>
            </w:pPr>
            <w:r>
              <w:rPr>
                <w:rFonts w:ascii="宋体" w:hAnsi="宋体" w:cs="宋体" w:eastAsia="宋体" w:hint="default"/>
                <w:spacing w:val="-3"/>
                <w:sz w:val="18"/>
                <w:szCs w:val="18"/>
              </w:rPr>
              <w:t>手续费及佣金收入</w:t>
            </w:r>
          </w:p>
        </w:tc>
        <w:tc>
          <w:tcPr>
            <w:tcW w:w="3208" w:type="dxa"/>
            <w:tcBorders>
              <w:top w:val="single" w:sz="4" w:space="0" w:color="000000"/>
              <w:left w:val="single" w:sz="4" w:space="0" w:color="000000"/>
              <w:bottom w:val="single" w:sz="4" w:space="0" w:color="000000"/>
              <w:right w:val="single" w:sz="4" w:space="0" w:color="000000"/>
            </w:tcBorders>
          </w:tcPr>
          <w:p>
            <w:pPr/>
          </w:p>
        </w:tc>
        <w:tc>
          <w:tcPr>
            <w:tcW w:w="327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二、营业总成本</w:t>
            </w:r>
          </w:p>
        </w:tc>
        <w:tc>
          <w:tcPr>
            <w:tcW w:w="3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1,015,488,052.75</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1,358,199,873.84</w:t>
            </w:r>
          </w:p>
        </w:tc>
      </w:tr>
      <w:tr>
        <w:trPr>
          <w:trHeight w:val="403"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其中：营业成本</w:t>
            </w:r>
          </w:p>
        </w:tc>
        <w:tc>
          <w:tcPr>
            <w:tcW w:w="3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691,944,461.64</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1,045,999,141.67</w:t>
            </w:r>
          </w:p>
        </w:tc>
      </w:tr>
      <w:tr>
        <w:trPr>
          <w:trHeight w:val="399"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08" w:right="0"/>
              <w:jc w:val="left"/>
              <w:rPr>
                <w:rFonts w:ascii="宋体" w:hAnsi="宋体" w:cs="宋体" w:eastAsia="宋体" w:hint="default"/>
                <w:sz w:val="18"/>
                <w:szCs w:val="18"/>
              </w:rPr>
            </w:pPr>
            <w:r>
              <w:rPr>
                <w:rFonts w:ascii="宋体" w:hAnsi="宋体" w:cs="宋体" w:eastAsia="宋体" w:hint="default"/>
                <w:spacing w:val="-3"/>
                <w:sz w:val="18"/>
                <w:szCs w:val="18"/>
              </w:rPr>
              <w:t>利息支出</w:t>
            </w:r>
          </w:p>
        </w:tc>
        <w:tc>
          <w:tcPr>
            <w:tcW w:w="3208" w:type="dxa"/>
            <w:tcBorders>
              <w:top w:val="single" w:sz="4" w:space="0" w:color="000000"/>
              <w:left w:val="single" w:sz="4" w:space="0" w:color="000000"/>
              <w:bottom w:val="single" w:sz="4" w:space="0" w:color="000000"/>
              <w:right w:val="single" w:sz="4" w:space="0" w:color="000000"/>
            </w:tcBorders>
          </w:tcPr>
          <w:p>
            <w:pPr/>
          </w:p>
        </w:tc>
        <w:tc>
          <w:tcPr>
            <w:tcW w:w="327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right="622"/>
              <w:jc w:val="right"/>
              <w:rPr>
                <w:rFonts w:ascii="宋体" w:hAnsi="宋体" w:cs="宋体" w:eastAsia="宋体" w:hint="default"/>
                <w:sz w:val="18"/>
                <w:szCs w:val="18"/>
              </w:rPr>
            </w:pPr>
            <w:r>
              <w:rPr>
                <w:rFonts w:ascii="宋体" w:hAnsi="宋体" w:cs="宋体" w:eastAsia="宋体" w:hint="default"/>
                <w:spacing w:val="-3"/>
                <w:sz w:val="18"/>
                <w:szCs w:val="18"/>
              </w:rPr>
              <w:t>手续费及佣金支出</w:t>
            </w:r>
          </w:p>
        </w:tc>
        <w:tc>
          <w:tcPr>
            <w:tcW w:w="3208" w:type="dxa"/>
            <w:tcBorders>
              <w:top w:val="single" w:sz="4" w:space="0" w:color="000000"/>
              <w:left w:val="single" w:sz="4" w:space="0" w:color="000000"/>
              <w:bottom w:val="single" w:sz="4" w:space="0" w:color="000000"/>
              <w:right w:val="single" w:sz="4" w:space="0" w:color="000000"/>
            </w:tcBorders>
          </w:tcPr>
          <w:p>
            <w:pPr/>
          </w:p>
        </w:tc>
        <w:tc>
          <w:tcPr>
            <w:tcW w:w="327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08" w:right="0"/>
              <w:jc w:val="left"/>
              <w:rPr>
                <w:rFonts w:ascii="宋体" w:hAnsi="宋体" w:cs="宋体" w:eastAsia="宋体" w:hint="default"/>
                <w:sz w:val="18"/>
                <w:szCs w:val="18"/>
              </w:rPr>
            </w:pPr>
            <w:r>
              <w:rPr>
                <w:rFonts w:ascii="宋体" w:hAnsi="宋体" w:cs="宋体" w:eastAsia="宋体" w:hint="default"/>
                <w:sz w:val="18"/>
                <w:szCs w:val="18"/>
              </w:rPr>
              <w:t>退保金</w:t>
            </w:r>
          </w:p>
        </w:tc>
        <w:tc>
          <w:tcPr>
            <w:tcW w:w="3208" w:type="dxa"/>
            <w:tcBorders>
              <w:top w:val="single" w:sz="4" w:space="0" w:color="000000"/>
              <w:left w:val="single" w:sz="4" w:space="0" w:color="000000"/>
              <w:bottom w:val="single" w:sz="4" w:space="0" w:color="000000"/>
              <w:right w:val="single" w:sz="4" w:space="0" w:color="000000"/>
            </w:tcBorders>
          </w:tcPr>
          <w:p>
            <w:pPr/>
          </w:p>
        </w:tc>
        <w:tc>
          <w:tcPr>
            <w:tcW w:w="327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08" w:right="0"/>
              <w:jc w:val="left"/>
              <w:rPr>
                <w:rFonts w:ascii="宋体" w:hAnsi="宋体" w:cs="宋体" w:eastAsia="宋体" w:hint="default"/>
                <w:sz w:val="18"/>
                <w:szCs w:val="18"/>
              </w:rPr>
            </w:pPr>
            <w:r>
              <w:rPr>
                <w:rFonts w:ascii="宋体" w:hAnsi="宋体" w:cs="宋体" w:eastAsia="宋体" w:hint="default"/>
                <w:spacing w:val="-3"/>
                <w:sz w:val="18"/>
                <w:szCs w:val="18"/>
              </w:rPr>
              <w:t>赔付支出净额</w:t>
            </w:r>
          </w:p>
        </w:tc>
        <w:tc>
          <w:tcPr>
            <w:tcW w:w="3208" w:type="dxa"/>
            <w:tcBorders>
              <w:top w:val="single" w:sz="4" w:space="0" w:color="000000"/>
              <w:left w:val="single" w:sz="4" w:space="0" w:color="000000"/>
              <w:bottom w:val="single" w:sz="4" w:space="0" w:color="000000"/>
              <w:right w:val="single" w:sz="4" w:space="0" w:color="000000"/>
            </w:tcBorders>
          </w:tcPr>
          <w:p>
            <w:pPr/>
          </w:p>
        </w:tc>
        <w:tc>
          <w:tcPr>
            <w:tcW w:w="3279" w:type="dxa"/>
            <w:tcBorders>
              <w:top w:val="single" w:sz="4" w:space="0" w:color="000000"/>
              <w:left w:val="single" w:sz="4" w:space="0" w:color="000000"/>
              <w:bottom w:val="single" w:sz="4" w:space="0" w:color="000000"/>
              <w:right w:val="single" w:sz="4" w:space="0" w:color="000000"/>
            </w:tcBorders>
          </w:tcPr>
          <w:p>
            <w:pPr/>
          </w:p>
        </w:tc>
      </w:tr>
      <w:tr>
        <w:trPr>
          <w:trHeight w:val="711"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08" w:right="0"/>
              <w:jc w:val="left"/>
              <w:rPr>
                <w:rFonts w:ascii="宋体" w:hAnsi="宋体" w:cs="宋体" w:eastAsia="宋体" w:hint="default"/>
                <w:sz w:val="18"/>
                <w:szCs w:val="18"/>
              </w:rPr>
            </w:pPr>
            <w:r>
              <w:rPr>
                <w:rFonts w:ascii="宋体" w:hAnsi="宋体" w:cs="宋体" w:eastAsia="宋体" w:hint="default"/>
                <w:spacing w:val="-3"/>
                <w:sz w:val="18"/>
                <w:szCs w:val="18"/>
              </w:rPr>
              <w:t>提取保险责任合同准备</w:t>
            </w:r>
          </w:p>
          <w:p>
            <w:pPr>
              <w:pStyle w:val="TableParagraph"/>
              <w:spacing w:line="240" w:lineRule="auto" w:before="76"/>
              <w:ind w:left="105" w:right="0"/>
              <w:jc w:val="left"/>
              <w:rPr>
                <w:rFonts w:ascii="宋体" w:hAnsi="宋体" w:cs="宋体" w:eastAsia="宋体" w:hint="default"/>
                <w:sz w:val="18"/>
                <w:szCs w:val="18"/>
              </w:rPr>
            </w:pPr>
            <w:r>
              <w:rPr>
                <w:rFonts w:ascii="宋体" w:hAnsi="宋体" w:cs="宋体" w:eastAsia="宋体" w:hint="default"/>
                <w:sz w:val="18"/>
                <w:szCs w:val="18"/>
              </w:rPr>
              <w:t>金净额</w:t>
            </w:r>
          </w:p>
        </w:tc>
        <w:tc>
          <w:tcPr>
            <w:tcW w:w="3208" w:type="dxa"/>
            <w:tcBorders>
              <w:top w:val="single" w:sz="4" w:space="0" w:color="000000"/>
              <w:left w:val="single" w:sz="4" w:space="0" w:color="000000"/>
              <w:bottom w:val="single" w:sz="4" w:space="0" w:color="000000"/>
              <w:right w:val="single" w:sz="4" w:space="0" w:color="000000"/>
            </w:tcBorders>
          </w:tcPr>
          <w:p>
            <w:pPr/>
          </w:p>
        </w:tc>
        <w:tc>
          <w:tcPr>
            <w:tcW w:w="327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008" w:right="0"/>
              <w:jc w:val="left"/>
              <w:rPr>
                <w:rFonts w:ascii="宋体" w:hAnsi="宋体" w:cs="宋体" w:eastAsia="宋体" w:hint="default"/>
                <w:sz w:val="18"/>
                <w:szCs w:val="18"/>
              </w:rPr>
            </w:pPr>
            <w:r>
              <w:rPr>
                <w:rFonts w:ascii="宋体" w:hAnsi="宋体" w:cs="宋体" w:eastAsia="宋体" w:hint="default"/>
                <w:spacing w:val="-3"/>
                <w:sz w:val="18"/>
                <w:szCs w:val="18"/>
              </w:rPr>
              <w:t>保单红利支出</w:t>
            </w:r>
          </w:p>
        </w:tc>
        <w:tc>
          <w:tcPr>
            <w:tcW w:w="3208" w:type="dxa"/>
            <w:tcBorders>
              <w:top w:val="single" w:sz="4" w:space="0" w:color="000000"/>
              <w:left w:val="single" w:sz="4" w:space="0" w:color="000000"/>
              <w:bottom w:val="single" w:sz="4" w:space="0" w:color="000000"/>
              <w:right w:val="single" w:sz="4" w:space="0" w:color="000000"/>
            </w:tcBorders>
          </w:tcPr>
          <w:p>
            <w:pPr/>
          </w:p>
        </w:tc>
        <w:tc>
          <w:tcPr>
            <w:tcW w:w="327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08" w:right="0"/>
              <w:jc w:val="left"/>
              <w:rPr>
                <w:rFonts w:ascii="宋体" w:hAnsi="宋体" w:cs="宋体" w:eastAsia="宋体" w:hint="default"/>
                <w:sz w:val="18"/>
                <w:szCs w:val="18"/>
              </w:rPr>
            </w:pPr>
            <w:r>
              <w:rPr>
                <w:rFonts w:ascii="宋体" w:hAnsi="宋体" w:cs="宋体" w:eastAsia="宋体" w:hint="default"/>
                <w:spacing w:val="-3"/>
                <w:sz w:val="18"/>
                <w:szCs w:val="18"/>
              </w:rPr>
              <w:t>分保费用</w:t>
            </w:r>
          </w:p>
        </w:tc>
        <w:tc>
          <w:tcPr>
            <w:tcW w:w="3208" w:type="dxa"/>
            <w:tcBorders>
              <w:top w:val="single" w:sz="4" w:space="0" w:color="000000"/>
              <w:left w:val="single" w:sz="4" w:space="0" w:color="000000"/>
              <w:bottom w:val="single" w:sz="4" w:space="0" w:color="000000"/>
              <w:right w:val="single" w:sz="4" w:space="0" w:color="000000"/>
            </w:tcBorders>
          </w:tcPr>
          <w:p>
            <w:pPr/>
          </w:p>
        </w:tc>
        <w:tc>
          <w:tcPr>
            <w:tcW w:w="3279"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08" w:right="0"/>
              <w:jc w:val="left"/>
              <w:rPr>
                <w:rFonts w:ascii="宋体" w:hAnsi="宋体" w:cs="宋体" w:eastAsia="宋体" w:hint="default"/>
                <w:sz w:val="18"/>
                <w:szCs w:val="18"/>
              </w:rPr>
            </w:pPr>
            <w:r>
              <w:rPr>
                <w:rFonts w:ascii="宋体" w:hAnsi="宋体" w:cs="宋体" w:eastAsia="宋体" w:hint="default"/>
                <w:sz w:val="18"/>
                <w:szCs w:val="18"/>
              </w:rPr>
              <w:t>税金及附加</w:t>
            </w:r>
          </w:p>
        </w:tc>
        <w:tc>
          <w:tcPr>
            <w:tcW w:w="3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8,802,612.43</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8,655,571.10</w:t>
            </w:r>
          </w:p>
        </w:tc>
      </w:tr>
      <w:tr>
        <w:trPr>
          <w:trHeight w:val="398"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08" w:right="0"/>
              <w:jc w:val="left"/>
              <w:rPr>
                <w:rFonts w:ascii="宋体" w:hAnsi="宋体" w:cs="宋体" w:eastAsia="宋体" w:hint="default"/>
                <w:sz w:val="18"/>
                <w:szCs w:val="18"/>
              </w:rPr>
            </w:pPr>
            <w:r>
              <w:rPr>
                <w:rFonts w:ascii="宋体" w:hAnsi="宋体" w:cs="宋体" w:eastAsia="宋体" w:hint="default"/>
                <w:spacing w:val="-3"/>
                <w:sz w:val="18"/>
                <w:szCs w:val="18"/>
              </w:rPr>
              <w:t>销售费用</w:t>
            </w:r>
          </w:p>
        </w:tc>
        <w:tc>
          <w:tcPr>
            <w:tcW w:w="3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157,123,733.62</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146,068,015.45</w:t>
            </w:r>
          </w:p>
        </w:tc>
      </w:tr>
      <w:tr>
        <w:trPr>
          <w:trHeight w:val="403"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008" w:right="0"/>
              <w:jc w:val="left"/>
              <w:rPr>
                <w:rFonts w:ascii="宋体" w:hAnsi="宋体" w:cs="宋体" w:eastAsia="宋体" w:hint="default"/>
                <w:sz w:val="18"/>
                <w:szCs w:val="18"/>
              </w:rPr>
            </w:pPr>
            <w:r>
              <w:rPr>
                <w:rFonts w:ascii="宋体" w:hAnsi="宋体" w:cs="宋体" w:eastAsia="宋体" w:hint="default"/>
                <w:spacing w:val="-3"/>
                <w:sz w:val="18"/>
                <w:szCs w:val="18"/>
              </w:rPr>
              <w:t>管理费用</w:t>
            </w:r>
          </w:p>
        </w:tc>
        <w:tc>
          <w:tcPr>
            <w:tcW w:w="3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73,501,991.17</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71,262,449.54</w:t>
            </w:r>
          </w:p>
        </w:tc>
      </w:tr>
      <w:tr>
        <w:trPr>
          <w:trHeight w:val="403"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08" w:right="0"/>
              <w:jc w:val="left"/>
              <w:rPr>
                <w:rFonts w:ascii="宋体" w:hAnsi="宋体" w:cs="宋体" w:eastAsia="宋体" w:hint="default"/>
                <w:sz w:val="18"/>
                <w:szCs w:val="18"/>
              </w:rPr>
            </w:pPr>
            <w:r>
              <w:rPr>
                <w:rFonts w:ascii="宋体" w:hAnsi="宋体" w:cs="宋体" w:eastAsia="宋体" w:hint="default"/>
                <w:spacing w:val="-3"/>
                <w:sz w:val="18"/>
                <w:szCs w:val="18"/>
              </w:rPr>
              <w:t>研发费用</w:t>
            </w:r>
          </w:p>
        </w:tc>
        <w:tc>
          <w:tcPr>
            <w:tcW w:w="3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85,719,475.65</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90,029,318.05</w:t>
            </w:r>
          </w:p>
        </w:tc>
      </w:tr>
      <w:tr>
        <w:trPr>
          <w:trHeight w:val="404"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08" w:right="0"/>
              <w:jc w:val="left"/>
              <w:rPr>
                <w:rFonts w:ascii="宋体" w:hAnsi="宋体" w:cs="宋体" w:eastAsia="宋体" w:hint="default"/>
                <w:sz w:val="18"/>
                <w:szCs w:val="18"/>
              </w:rPr>
            </w:pPr>
            <w:r>
              <w:rPr>
                <w:rFonts w:ascii="宋体" w:hAnsi="宋体" w:cs="宋体" w:eastAsia="宋体" w:hint="default"/>
                <w:spacing w:val="-3"/>
                <w:sz w:val="18"/>
                <w:szCs w:val="18"/>
              </w:rPr>
              <w:t>财务费用</w:t>
            </w:r>
          </w:p>
        </w:tc>
        <w:tc>
          <w:tcPr>
            <w:tcW w:w="3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-1,604,221.76</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-3,814,621.97</w:t>
            </w:r>
          </w:p>
        </w:tc>
      </w:tr>
      <w:tr>
        <w:trPr>
          <w:trHeight w:val="398"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622"/>
              <w:jc w:val="right"/>
              <w:rPr>
                <w:rFonts w:ascii="宋体" w:hAnsi="宋体" w:cs="宋体" w:eastAsia="宋体" w:hint="default"/>
                <w:sz w:val="18"/>
                <w:szCs w:val="18"/>
              </w:rPr>
            </w:pPr>
            <w:r>
              <w:rPr>
                <w:rFonts w:ascii="宋体" w:hAnsi="宋体" w:cs="宋体" w:eastAsia="宋体" w:hint="default"/>
                <w:spacing w:val="-3"/>
                <w:sz w:val="18"/>
                <w:szCs w:val="18"/>
              </w:rPr>
              <w:t>其中：利息费用</w:t>
            </w:r>
          </w:p>
        </w:tc>
        <w:tc>
          <w:tcPr>
            <w:tcW w:w="3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6,150,460.09</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6,463,024.92</w:t>
            </w:r>
          </w:p>
        </w:tc>
      </w:tr>
      <w:tr>
        <w:trPr>
          <w:trHeight w:val="403"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right="622"/>
              <w:jc w:val="right"/>
              <w:rPr>
                <w:rFonts w:ascii="宋体" w:hAnsi="宋体" w:cs="宋体" w:eastAsia="宋体" w:hint="default"/>
                <w:sz w:val="18"/>
                <w:szCs w:val="18"/>
              </w:rPr>
            </w:pPr>
            <w:r>
              <w:rPr>
                <w:rFonts w:ascii="宋体" w:hAnsi="宋体" w:cs="宋体" w:eastAsia="宋体" w:hint="default"/>
                <w:spacing w:val="-3"/>
                <w:sz w:val="18"/>
                <w:szCs w:val="18"/>
              </w:rPr>
              <w:t>利息收入</w:t>
            </w:r>
          </w:p>
        </w:tc>
        <w:tc>
          <w:tcPr>
            <w:tcW w:w="3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6,001,224.75</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2,920,242.74</w:t>
            </w:r>
          </w:p>
        </w:tc>
      </w:tr>
      <w:tr>
        <w:trPr>
          <w:trHeight w:val="403"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加：其他收益</w:t>
            </w:r>
          </w:p>
        </w:tc>
        <w:tc>
          <w:tcPr>
            <w:tcW w:w="3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3"/>
                <w:sz w:val="18"/>
              </w:rPr>
              <w:t>18,034,111.83</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15,393,206.27</w:t>
            </w:r>
          </w:p>
        </w:tc>
      </w:tr>
      <w:tr>
        <w:trPr>
          <w:trHeight w:val="716"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826" w:right="0"/>
              <w:jc w:val="left"/>
              <w:rPr>
                <w:rFonts w:ascii="宋体" w:hAnsi="宋体" w:cs="宋体" w:eastAsia="宋体" w:hint="default"/>
                <w:sz w:val="18"/>
                <w:szCs w:val="18"/>
              </w:rPr>
            </w:pPr>
            <w:r>
              <w:rPr>
                <w:rFonts w:ascii="宋体" w:hAnsi="宋体" w:cs="宋体" w:eastAsia="宋体" w:hint="default"/>
                <w:spacing w:val="-4"/>
                <w:sz w:val="18"/>
                <w:szCs w:val="18"/>
              </w:rPr>
              <w:t>投资收益（损失以“－”号</w:t>
            </w:r>
          </w:p>
          <w:p>
            <w:pPr>
              <w:pStyle w:val="TableParagraph"/>
              <w:spacing w:line="240" w:lineRule="auto" w:before="77"/>
              <w:ind w:left="105" w:right="0"/>
              <w:jc w:val="left"/>
              <w:rPr>
                <w:rFonts w:ascii="宋体" w:hAnsi="宋体" w:cs="宋体" w:eastAsia="宋体" w:hint="default"/>
                <w:sz w:val="18"/>
                <w:szCs w:val="18"/>
              </w:rPr>
            </w:pPr>
            <w:r>
              <w:rPr>
                <w:rFonts w:ascii="宋体" w:hAnsi="宋体" w:cs="宋体" w:eastAsia="宋体" w:hint="default"/>
                <w:sz w:val="18"/>
                <w:szCs w:val="18"/>
              </w:rPr>
              <w:t>填列）</w:t>
            </w:r>
          </w:p>
        </w:tc>
        <w:tc>
          <w:tcPr>
            <w:tcW w:w="3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5,085,653.74</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3,057,287.69</w:t>
            </w:r>
          </w:p>
        </w:tc>
      </w:tr>
      <w:tr>
        <w:trPr>
          <w:trHeight w:val="710"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05" w:right="94" w:firstLine="720"/>
              <w:jc w:val="left"/>
              <w:rPr>
                <w:rFonts w:ascii="宋体" w:hAnsi="宋体" w:cs="宋体" w:eastAsia="宋体" w:hint="default"/>
                <w:sz w:val="18"/>
                <w:szCs w:val="18"/>
              </w:rPr>
            </w:pPr>
            <w:r>
              <w:rPr>
                <w:rFonts w:ascii="宋体" w:hAnsi="宋体" w:cs="宋体" w:eastAsia="宋体" w:hint="default"/>
                <w:spacing w:val="-4"/>
                <w:sz w:val="18"/>
                <w:szCs w:val="18"/>
              </w:rPr>
              <w:t>其中：对联营企业和合营企</w:t>
            </w:r>
            <w:r>
              <w:rPr>
                <w:rFonts w:ascii="宋体" w:hAnsi="宋体" w:cs="宋体" w:eastAsia="宋体" w:hint="default"/>
                <w:w w:val="101"/>
                <w:sz w:val="18"/>
                <w:szCs w:val="18"/>
              </w:rPr>
              <w:t> </w:t>
            </w:r>
            <w:r>
              <w:rPr>
                <w:rFonts w:ascii="宋体" w:hAnsi="宋体" w:cs="宋体" w:eastAsia="宋体" w:hint="default"/>
                <w:sz w:val="18"/>
                <w:szCs w:val="18"/>
              </w:rPr>
              <w:t>业的投资收益</w:t>
            </w:r>
          </w:p>
        </w:tc>
        <w:tc>
          <w:tcPr>
            <w:tcW w:w="3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-555,186.04</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-621,005.39</w:t>
            </w:r>
          </w:p>
        </w:tc>
      </w:tr>
    </w:tbl>
    <w:p>
      <w:pPr>
        <w:spacing w:after="0" w:line="240" w:lineRule="auto"/>
        <w:jc w:val="right"/>
        <w:rPr>
          <w:rFonts w:ascii="Times New Roman" w:hAnsi="Times New Roman" w:cs="Times New Roman" w:eastAsia="Times New Roman" w:hint="default"/>
          <w:sz w:val="18"/>
          <w:szCs w:val="18"/>
        </w:rPr>
        <w:sectPr>
          <w:pgSz w:w="11910" w:h="16840"/>
          <w:pgMar w:header="784" w:footer="1022" w:top="1100" w:bottom="1220" w:left="980" w:right="0"/>
        </w:sectPr>
      </w:pPr>
    </w:p>
    <w:p>
      <w:pPr>
        <w:spacing w:line="240" w:lineRule="auto" w:before="1"/>
        <w:rPr>
          <w:rFonts w:ascii="Times New Roman" w:hAnsi="Times New Roman" w:cs="Times New Roman" w:eastAsia="Times New Roman" w:hint="default"/>
          <w:sz w:val="29"/>
          <w:szCs w:val="29"/>
        </w:rPr>
      </w:pPr>
    </w:p>
    <w:tbl>
      <w:tblPr>
        <w:tblW w:w="0" w:type="auto"/>
        <w:jc w:val="left"/>
        <w:tblInd w:w="148" w:type="dxa"/>
        <w:tblLayout w:type="fixed"/>
        <w:tblCellMar>
          <w:top w:w="0" w:type="dxa"/>
          <w:left w:w="0" w:type="dxa"/>
          <w:bottom w:w="0" w:type="dxa"/>
          <w:right w:w="0" w:type="dxa"/>
        </w:tblCellMar>
        <w:tblLook w:val="01E0"/>
      </w:tblPr>
      <w:tblGrid>
        <w:gridCol w:w="3083"/>
        <w:gridCol w:w="3208"/>
        <w:gridCol w:w="3279"/>
      </w:tblGrid>
      <w:tr>
        <w:trPr>
          <w:trHeight w:val="715"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05" w:right="262" w:firstLine="1080"/>
              <w:jc w:val="left"/>
              <w:rPr>
                <w:rFonts w:ascii="宋体" w:hAnsi="宋体" w:cs="宋体" w:eastAsia="宋体" w:hint="default"/>
                <w:sz w:val="18"/>
                <w:szCs w:val="18"/>
              </w:rPr>
            </w:pPr>
            <w:r>
              <w:rPr>
                <w:rFonts w:ascii="宋体" w:hAnsi="宋体" w:cs="宋体" w:eastAsia="宋体" w:hint="default"/>
                <w:spacing w:val="-3"/>
                <w:sz w:val="18"/>
                <w:szCs w:val="18"/>
              </w:rPr>
              <w:t>以摊余成本计量的金</w:t>
            </w:r>
            <w:r>
              <w:rPr>
                <w:rFonts w:ascii="宋体" w:hAnsi="宋体" w:cs="宋体" w:eastAsia="宋体" w:hint="default"/>
                <w:w w:val="101"/>
                <w:sz w:val="18"/>
                <w:szCs w:val="18"/>
              </w:rPr>
              <w:t> </w:t>
            </w:r>
            <w:r>
              <w:rPr>
                <w:rFonts w:ascii="宋体" w:hAnsi="宋体" w:cs="宋体" w:eastAsia="宋体" w:hint="default"/>
                <w:spacing w:val="-3"/>
                <w:sz w:val="18"/>
                <w:szCs w:val="18"/>
              </w:rPr>
              <w:t>融资产终止确认收益</w:t>
            </w:r>
          </w:p>
        </w:tc>
        <w:tc>
          <w:tcPr>
            <w:tcW w:w="3208" w:type="dxa"/>
            <w:tcBorders>
              <w:top w:val="single" w:sz="4" w:space="0" w:color="000000"/>
              <w:left w:val="single" w:sz="4" w:space="0" w:color="000000"/>
              <w:bottom w:val="single" w:sz="4" w:space="0" w:color="000000"/>
              <w:right w:val="single" w:sz="4" w:space="0" w:color="000000"/>
            </w:tcBorders>
          </w:tcPr>
          <w:p>
            <w:pPr/>
          </w:p>
        </w:tc>
        <w:tc>
          <w:tcPr>
            <w:tcW w:w="3279" w:type="dxa"/>
            <w:tcBorders>
              <w:top w:val="single" w:sz="4" w:space="0" w:color="000000"/>
              <w:left w:val="single" w:sz="4" w:space="0" w:color="000000"/>
              <w:bottom w:val="single" w:sz="4" w:space="0" w:color="000000"/>
              <w:right w:val="single" w:sz="4" w:space="0" w:color="000000"/>
            </w:tcBorders>
          </w:tcPr>
          <w:p>
            <w:pPr/>
          </w:p>
        </w:tc>
      </w:tr>
      <w:tr>
        <w:trPr>
          <w:trHeight w:val="711"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826" w:right="0"/>
              <w:jc w:val="left"/>
              <w:rPr>
                <w:rFonts w:ascii="宋体" w:hAnsi="宋体" w:cs="宋体" w:eastAsia="宋体" w:hint="default"/>
                <w:sz w:val="18"/>
                <w:szCs w:val="18"/>
              </w:rPr>
            </w:pPr>
            <w:r>
              <w:rPr>
                <w:rFonts w:ascii="宋体" w:hAnsi="宋体" w:cs="宋体" w:eastAsia="宋体" w:hint="default"/>
                <w:spacing w:val="-8"/>
                <w:sz w:val="18"/>
                <w:szCs w:val="18"/>
              </w:rPr>
              <w:t>汇兑收益（损失以“</w:t>
            </w:r>
            <w:r>
              <w:rPr>
                <w:rFonts w:ascii="Times New Roman" w:hAnsi="Times New Roman" w:cs="Times New Roman" w:eastAsia="Times New Roman" w:hint="default"/>
                <w:spacing w:val="-8"/>
                <w:sz w:val="18"/>
                <w:szCs w:val="18"/>
              </w:rPr>
              <w:t>-</w:t>
            </w:r>
            <w:r>
              <w:rPr>
                <w:rFonts w:ascii="宋体" w:hAnsi="宋体" w:cs="宋体" w:eastAsia="宋体" w:hint="default"/>
                <w:spacing w:val="-8"/>
                <w:sz w:val="18"/>
                <w:szCs w:val="18"/>
              </w:rPr>
              <w:t>”号填</w:t>
            </w:r>
          </w:p>
          <w:p>
            <w:pPr>
              <w:pStyle w:val="TableParagraph"/>
              <w:spacing w:line="240" w:lineRule="auto" w:before="63"/>
              <w:ind w:left="105"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208" w:type="dxa"/>
            <w:tcBorders>
              <w:top w:val="single" w:sz="4" w:space="0" w:color="000000"/>
              <w:left w:val="single" w:sz="4" w:space="0" w:color="000000"/>
              <w:bottom w:val="single" w:sz="4" w:space="0" w:color="000000"/>
              <w:right w:val="single" w:sz="4" w:space="0" w:color="000000"/>
            </w:tcBorders>
          </w:tcPr>
          <w:p>
            <w:pPr/>
          </w:p>
        </w:tc>
        <w:tc>
          <w:tcPr>
            <w:tcW w:w="3279"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8"/>
              <w:ind w:left="105" w:right="262" w:firstLine="720"/>
              <w:jc w:val="left"/>
              <w:rPr>
                <w:rFonts w:ascii="宋体" w:hAnsi="宋体" w:cs="宋体" w:eastAsia="宋体" w:hint="default"/>
                <w:sz w:val="18"/>
                <w:szCs w:val="18"/>
              </w:rPr>
            </w:pPr>
            <w:r>
              <w:rPr>
                <w:rFonts w:ascii="宋体" w:hAnsi="宋体" w:cs="宋体" w:eastAsia="宋体" w:hint="default"/>
                <w:spacing w:val="-3"/>
                <w:sz w:val="18"/>
                <w:szCs w:val="18"/>
              </w:rPr>
              <w:t>净敞口套期收益（损失以</w:t>
            </w:r>
            <w:r>
              <w:rPr>
                <w:rFonts w:ascii="宋体" w:hAnsi="宋体" w:cs="宋体" w:eastAsia="宋体" w:hint="default"/>
                <w:w w:val="101"/>
                <w:sz w:val="18"/>
                <w:szCs w:val="18"/>
              </w:rPr>
              <w:t> </w:t>
            </w:r>
            <w:r>
              <w:rPr>
                <w:rFonts w:ascii="宋体" w:hAnsi="宋体" w:cs="宋体" w:eastAsia="宋体" w:hint="default"/>
                <w:spacing w:val="-3"/>
                <w:sz w:val="18"/>
                <w:szCs w:val="18"/>
              </w:rPr>
              <w:t>“－”号填列）</w:t>
            </w:r>
          </w:p>
        </w:tc>
        <w:tc>
          <w:tcPr>
            <w:tcW w:w="3208" w:type="dxa"/>
            <w:tcBorders>
              <w:top w:val="single" w:sz="4" w:space="0" w:color="000000"/>
              <w:left w:val="single" w:sz="4" w:space="0" w:color="000000"/>
              <w:bottom w:val="single" w:sz="4" w:space="0" w:color="000000"/>
              <w:right w:val="single" w:sz="4" w:space="0" w:color="000000"/>
            </w:tcBorders>
          </w:tcPr>
          <w:p>
            <w:pPr/>
          </w:p>
        </w:tc>
        <w:tc>
          <w:tcPr>
            <w:tcW w:w="3279"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05" w:right="94" w:firstLine="720"/>
              <w:jc w:val="left"/>
              <w:rPr>
                <w:rFonts w:ascii="宋体" w:hAnsi="宋体" w:cs="宋体" w:eastAsia="宋体" w:hint="default"/>
                <w:sz w:val="18"/>
                <w:szCs w:val="18"/>
              </w:rPr>
            </w:pPr>
            <w:r>
              <w:rPr>
                <w:rFonts w:ascii="宋体" w:hAnsi="宋体" w:cs="宋体" w:eastAsia="宋体" w:hint="default"/>
                <w:spacing w:val="-4"/>
                <w:sz w:val="18"/>
                <w:szCs w:val="18"/>
              </w:rPr>
              <w:t>公允价值变动收益（损失以</w:t>
            </w:r>
            <w:r>
              <w:rPr>
                <w:rFonts w:ascii="宋体" w:hAnsi="宋体" w:cs="宋体" w:eastAsia="宋体" w:hint="default"/>
                <w:w w:val="101"/>
                <w:sz w:val="18"/>
                <w:szCs w:val="18"/>
              </w:rPr>
              <w:t> </w:t>
            </w:r>
            <w:r>
              <w:rPr>
                <w:rFonts w:ascii="宋体" w:hAnsi="宋体" w:cs="宋体" w:eastAsia="宋体" w:hint="default"/>
                <w:spacing w:val="-3"/>
                <w:sz w:val="18"/>
                <w:szCs w:val="18"/>
              </w:rPr>
              <w:t>“－”号填列）</w:t>
            </w:r>
          </w:p>
        </w:tc>
        <w:tc>
          <w:tcPr>
            <w:tcW w:w="3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364,050.00</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-364,050.00</w:t>
            </w:r>
          </w:p>
        </w:tc>
      </w:tr>
      <w:tr>
        <w:trPr>
          <w:trHeight w:val="715"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105" w:right="23" w:firstLine="720"/>
              <w:jc w:val="left"/>
              <w:rPr>
                <w:rFonts w:ascii="宋体" w:hAnsi="宋体" w:cs="宋体" w:eastAsia="宋体" w:hint="default"/>
                <w:sz w:val="18"/>
                <w:szCs w:val="18"/>
              </w:rPr>
            </w:pPr>
            <w:r>
              <w:rPr>
                <w:rFonts w:ascii="宋体" w:hAnsi="宋体" w:cs="宋体" w:eastAsia="宋体" w:hint="default"/>
                <w:spacing w:val="-3"/>
                <w:sz w:val="18"/>
                <w:szCs w:val="18"/>
              </w:rPr>
              <w:t>信用减值损失（损失以“</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r>
              <w:rPr>
                <w:rFonts w:ascii="宋体" w:hAnsi="宋体" w:cs="宋体" w:eastAsia="宋体" w:hint="default"/>
                <w:w w:val="101"/>
                <w:sz w:val="18"/>
                <w:szCs w:val="18"/>
              </w:rPr>
              <w:t> </w:t>
            </w:r>
            <w:r>
              <w:rPr>
                <w:rFonts w:ascii="宋体" w:hAnsi="宋体" w:cs="宋体" w:eastAsia="宋体" w:hint="default"/>
                <w:sz w:val="18"/>
                <w:szCs w:val="18"/>
              </w:rPr>
              <w:t>号填列）</w:t>
            </w:r>
          </w:p>
        </w:tc>
        <w:tc>
          <w:tcPr>
            <w:tcW w:w="3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-40,570,644.21</w:t>
            </w:r>
          </w:p>
        </w:tc>
        <w:tc>
          <w:tcPr>
            <w:tcW w:w="3279" w:type="dxa"/>
            <w:tcBorders>
              <w:top w:val="single" w:sz="4" w:space="0" w:color="000000"/>
              <w:left w:val="single" w:sz="4" w:space="0" w:color="000000"/>
              <w:bottom w:val="single" w:sz="4" w:space="0" w:color="000000"/>
              <w:right w:val="single" w:sz="4" w:space="0" w:color="000000"/>
            </w:tcBorders>
          </w:tcPr>
          <w:p>
            <w:pPr/>
          </w:p>
        </w:tc>
      </w:tr>
      <w:tr>
        <w:trPr>
          <w:trHeight w:val="710"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105" w:right="23" w:firstLine="720"/>
              <w:jc w:val="left"/>
              <w:rPr>
                <w:rFonts w:ascii="宋体" w:hAnsi="宋体" w:cs="宋体" w:eastAsia="宋体" w:hint="default"/>
                <w:sz w:val="18"/>
                <w:szCs w:val="18"/>
              </w:rPr>
            </w:pPr>
            <w:r>
              <w:rPr>
                <w:rFonts w:ascii="宋体" w:hAnsi="宋体" w:cs="宋体" w:eastAsia="宋体" w:hint="default"/>
                <w:spacing w:val="-3"/>
                <w:sz w:val="18"/>
                <w:szCs w:val="18"/>
              </w:rPr>
              <w:t>资产减值损失（损失以“</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r>
              <w:rPr>
                <w:rFonts w:ascii="宋体" w:hAnsi="宋体" w:cs="宋体" w:eastAsia="宋体" w:hint="default"/>
                <w:w w:val="101"/>
                <w:sz w:val="18"/>
                <w:szCs w:val="18"/>
              </w:rPr>
              <w:t> </w:t>
            </w:r>
            <w:r>
              <w:rPr>
                <w:rFonts w:ascii="宋体" w:hAnsi="宋体" w:cs="宋体" w:eastAsia="宋体" w:hint="default"/>
                <w:sz w:val="18"/>
                <w:szCs w:val="18"/>
              </w:rPr>
              <w:t>号填列）</w:t>
            </w:r>
          </w:p>
        </w:tc>
        <w:tc>
          <w:tcPr>
            <w:tcW w:w="3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-4,962,634.66</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-27,588,130.77</w:t>
            </w:r>
          </w:p>
        </w:tc>
      </w:tr>
      <w:tr>
        <w:trPr>
          <w:trHeight w:val="716"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9"/>
              <w:ind w:left="105" w:right="23" w:firstLine="720"/>
              <w:jc w:val="left"/>
              <w:rPr>
                <w:rFonts w:ascii="宋体" w:hAnsi="宋体" w:cs="宋体" w:eastAsia="宋体" w:hint="default"/>
                <w:sz w:val="18"/>
                <w:szCs w:val="18"/>
              </w:rPr>
            </w:pPr>
            <w:r>
              <w:rPr>
                <w:rFonts w:ascii="宋体" w:hAnsi="宋体" w:cs="宋体" w:eastAsia="宋体" w:hint="default"/>
                <w:spacing w:val="-3"/>
                <w:sz w:val="18"/>
                <w:szCs w:val="18"/>
              </w:rPr>
              <w:t>资产处置收益（损失以“</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r>
              <w:rPr>
                <w:rFonts w:ascii="宋体" w:hAnsi="宋体" w:cs="宋体" w:eastAsia="宋体" w:hint="default"/>
                <w:w w:val="101"/>
                <w:sz w:val="18"/>
                <w:szCs w:val="18"/>
              </w:rPr>
              <w:t> </w:t>
            </w:r>
            <w:r>
              <w:rPr>
                <w:rFonts w:ascii="宋体" w:hAnsi="宋体" w:cs="宋体" w:eastAsia="宋体" w:hint="default"/>
                <w:sz w:val="18"/>
                <w:szCs w:val="18"/>
              </w:rPr>
              <w:t>号填列）</w:t>
            </w:r>
          </w:p>
        </w:tc>
        <w:tc>
          <w:tcPr>
            <w:tcW w:w="3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-527,212.62</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-129,061.91</w:t>
            </w:r>
          </w:p>
        </w:tc>
      </w:tr>
      <w:tr>
        <w:trPr>
          <w:trHeight w:val="403"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9"/>
                <w:sz w:val="18"/>
                <w:szCs w:val="18"/>
              </w:rPr>
              <w:t>三、营业利润（亏损以“－”号填列）</w:t>
            </w:r>
          </w:p>
        </w:tc>
        <w:tc>
          <w:tcPr>
            <w:tcW w:w="3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207,065,691.82</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205,541,821.40</w:t>
            </w:r>
          </w:p>
        </w:tc>
      </w:tr>
      <w:tr>
        <w:trPr>
          <w:trHeight w:val="403"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加：营业外收入</w:t>
            </w:r>
          </w:p>
        </w:tc>
        <w:tc>
          <w:tcPr>
            <w:tcW w:w="3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922,209.29</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1,276,849.78</w:t>
            </w:r>
          </w:p>
        </w:tc>
      </w:tr>
      <w:tr>
        <w:trPr>
          <w:trHeight w:val="399"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减：营业外支出</w:t>
            </w:r>
          </w:p>
        </w:tc>
        <w:tc>
          <w:tcPr>
            <w:tcW w:w="3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2,400,837.70</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536,823.44</w:t>
            </w:r>
          </w:p>
        </w:tc>
      </w:tr>
      <w:tr>
        <w:trPr>
          <w:trHeight w:val="715"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8"/>
              <w:ind w:left="105" w:right="94"/>
              <w:jc w:val="left"/>
              <w:rPr>
                <w:rFonts w:ascii="宋体" w:hAnsi="宋体" w:cs="宋体" w:eastAsia="宋体" w:hint="default"/>
                <w:sz w:val="18"/>
                <w:szCs w:val="18"/>
              </w:rPr>
            </w:pPr>
            <w:r>
              <w:rPr>
                <w:rFonts w:ascii="宋体" w:hAnsi="宋体" w:cs="宋体" w:eastAsia="宋体" w:hint="default"/>
                <w:spacing w:val="-4"/>
                <w:sz w:val="18"/>
                <w:szCs w:val="18"/>
              </w:rPr>
              <w:t>四、利润总额（亏损总额以“－”号</w:t>
            </w:r>
            <w:r>
              <w:rPr>
                <w:rFonts w:ascii="宋体" w:hAnsi="宋体" w:cs="宋体" w:eastAsia="宋体" w:hint="default"/>
                <w:spacing w:val="-38"/>
                <w:sz w:val="18"/>
                <w:szCs w:val="18"/>
              </w:rPr>
              <w:t> </w:t>
            </w:r>
            <w:r>
              <w:rPr>
                <w:rFonts w:ascii="宋体" w:hAnsi="宋体" w:cs="宋体" w:eastAsia="宋体" w:hint="default"/>
                <w:spacing w:val="-38"/>
                <w:sz w:val="18"/>
                <w:szCs w:val="18"/>
              </w:rPr>
            </w:r>
            <w:r>
              <w:rPr>
                <w:rFonts w:ascii="宋体" w:hAnsi="宋体" w:cs="宋体" w:eastAsia="宋体" w:hint="default"/>
                <w:sz w:val="18"/>
                <w:szCs w:val="18"/>
              </w:rPr>
              <w:t>填列）</w:t>
            </w:r>
          </w:p>
        </w:tc>
        <w:tc>
          <w:tcPr>
            <w:tcW w:w="3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205,587,063.41</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206,281,847.74</w:t>
            </w:r>
          </w:p>
        </w:tc>
      </w:tr>
      <w:tr>
        <w:trPr>
          <w:trHeight w:val="403"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减：所得税费用</w:t>
            </w:r>
          </w:p>
        </w:tc>
        <w:tc>
          <w:tcPr>
            <w:tcW w:w="3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22,614,708.93</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21,989,089.93</w:t>
            </w:r>
          </w:p>
        </w:tc>
      </w:tr>
      <w:tr>
        <w:trPr>
          <w:trHeight w:val="403"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9"/>
                <w:sz w:val="18"/>
                <w:szCs w:val="18"/>
              </w:rPr>
              <w:t>五、净利润（净亏损以“－”号填列）</w:t>
            </w:r>
          </w:p>
        </w:tc>
        <w:tc>
          <w:tcPr>
            <w:tcW w:w="3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182,972,354.48</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184,292,757.81</w:t>
            </w:r>
          </w:p>
        </w:tc>
      </w:tr>
      <w:tr>
        <w:trPr>
          <w:trHeight w:val="399"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288" w:right="0"/>
              <w:jc w:val="left"/>
              <w:rPr>
                <w:rFonts w:ascii="宋体" w:hAnsi="宋体" w:cs="宋体" w:eastAsia="宋体" w:hint="default"/>
                <w:sz w:val="18"/>
                <w:szCs w:val="18"/>
              </w:rPr>
            </w:pPr>
            <w:r>
              <w:rPr>
                <w:rFonts w:ascii="宋体" w:hAnsi="宋体" w:cs="宋体" w:eastAsia="宋体" w:hint="default"/>
                <w:spacing w:val="-3"/>
                <w:sz w:val="18"/>
                <w:szCs w:val="18"/>
              </w:rPr>
              <w:t>（一）按经营持续性分类</w:t>
            </w:r>
          </w:p>
        </w:tc>
        <w:tc>
          <w:tcPr>
            <w:tcW w:w="320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7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715"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8"/>
              <w:ind w:left="105" w:right="305" w:firstLine="364"/>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持续经营净利润（净亏损以</w:t>
            </w:r>
            <w:r>
              <w:rPr>
                <w:rFonts w:ascii="宋体" w:hAnsi="宋体" w:cs="宋体" w:eastAsia="宋体" w:hint="default"/>
                <w:w w:val="101"/>
                <w:sz w:val="18"/>
                <w:szCs w:val="18"/>
              </w:rPr>
              <w:t> </w:t>
            </w:r>
            <w:r>
              <w:rPr>
                <w:rFonts w:ascii="宋体" w:hAnsi="宋体" w:cs="宋体" w:eastAsia="宋体" w:hint="default"/>
                <w:spacing w:val="-3"/>
                <w:sz w:val="18"/>
                <w:szCs w:val="18"/>
              </w:rPr>
              <w:t>“－”号填列）</w:t>
            </w:r>
          </w:p>
        </w:tc>
        <w:tc>
          <w:tcPr>
            <w:tcW w:w="3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182,972,354.48</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184,292,757.81</w:t>
            </w:r>
          </w:p>
        </w:tc>
      </w:tr>
      <w:tr>
        <w:trPr>
          <w:trHeight w:val="716"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4" w:lineRule="auto" w:before="53"/>
              <w:ind w:left="105" w:right="305" w:firstLine="364"/>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终止经营净利润（净亏损以</w:t>
            </w:r>
            <w:r>
              <w:rPr>
                <w:rFonts w:ascii="宋体" w:hAnsi="宋体" w:cs="宋体" w:eastAsia="宋体" w:hint="default"/>
                <w:w w:val="101"/>
                <w:sz w:val="18"/>
                <w:szCs w:val="18"/>
              </w:rPr>
              <w:t> </w:t>
            </w:r>
            <w:r>
              <w:rPr>
                <w:rFonts w:ascii="宋体" w:hAnsi="宋体" w:cs="宋体" w:eastAsia="宋体" w:hint="default"/>
                <w:spacing w:val="-3"/>
                <w:sz w:val="18"/>
                <w:szCs w:val="18"/>
              </w:rPr>
              <w:t>“－”号填列）</w:t>
            </w:r>
          </w:p>
        </w:tc>
        <w:tc>
          <w:tcPr>
            <w:tcW w:w="3208" w:type="dxa"/>
            <w:tcBorders>
              <w:top w:val="single" w:sz="4" w:space="0" w:color="000000"/>
              <w:left w:val="single" w:sz="4" w:space="0" w:color="000000"/>
              <w:bottom w:val="single" w:sz="4" w:space="0" w:color="000000"/>
              <w:right w:val="single" w:sz="4" w:space="0" w:color="000000"/>
            </w:tcBorders>
          </w:tcPr>
          <w:p>
            <w:pPr/>
          </w:p>
        </w:tc>
        <w:tc>
          <w:tcPr>
            <w:tcW w:w="327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88" w:right="0"/>
              <w:jc w:val="left"/>
              <w:rPr>
                <w:rFonts w:ascii="宋体" w:hAnsi="宋体" w:cs="宋体" w:eastAsia="宋体" w:hint="default"/>
                <w:sz w:val="18"/>
                <w:szCs w:val="18"/>
              </w:rPr>
            </w:pPr>
            <w:r>
              <w:rPr>
                <w:rFonts w:ascii="宋体" w:hAnsi="宋体" w:cs="宋体" w:eastAsia="宋体" w:hint="default"/>
                <w:spacing w:val="-3"/>
                <w:sz w:val="18"/>
                <w:szCs w:val="18"/>
              </w:rPr>
              <w:t>（二）按所有权归属分类</w:t>
            </w:r>
          </w:p>
        </w:tc>
        <w:tc>
          <w:tcPr>
            <w:tcW w:w="320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7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98"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70"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归属于母公司所有者的净利润</w:t>
            </w:r>
          </w:p>
        </w:tc>
        <w:tc>
          <w:tcPr>
            <w:tcW w:w="3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182,226,754.27</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179,662,312.16</w:t>
            </w:r>
          </w:p>
        </w:tc>
      </w:tr>
      <w:tr>
        <w:trPr>
          <w:trHeight w:val="403"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70"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少数股东损益</w:t>
            </w:r>
          </w:p>
        </w:tc>
        <w:tc>
          <w:tcPr>
            <w:tcW w:w="3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745,600.21</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4,630,445.65</w:t>
            </w:r>
          </w:p>
        </w:tc>
      </w:tr>
      <w:tr>
        <w:trPr>
          <w:trHeight w:val="403"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六、其他综合收益的税后净额</w:t>
            </w:r>
          </w:p>
        </w:tc>
        <w:tc>
          <w:tcPr>
            <w:tcW w:w="3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621,831.77</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956,989.28</w:t>
            </w:r>
          </w:p>
        </w:tc>
      </w:tr>
      <w:tr>
        <w:trPr>
          <w:trHeight w:val="716"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4"/>
              <w:ind w:left="105" w:right="262" w:firstLine="182"/>
              <w:jc w:val="left"/>
              <w:rPr>
                <w:rFonts w:ascii="宋体" w:hAnsi="宋体" w:cs="宋体" w:eastAsia="宋体" w:hint="default"/>
                <w:sz w:val="18"/>
                <w:szCs w:val="18"/>
              </w:rPr>
            </w:pPr>
            <w:r>
              <w:rPr>
                <w:rFonts w:ascii="宋体" w:hAnsi="宋体" w:cs="宋体" w:eastAsia="宋体" w:hint="default"/>
                <w:spacing w:val="-3"/>
                <w:sz w:val="18"/>
                <w:szCs w:val="18"/>
              </w:rPr>
              <w:t>归属母公司所有者的其他综合收</w:t>
            </w:r>
            <w:r>
              <w:rPr>
                <w:rFonts w:ascii="宋体" w:hAnsi="宋体" w:cs="宋体" w:eastAsia="宋体" w:hint="default"/>
                <w:w w:val="101"/>
                <w:sz w:val="18"/>
                <w:szCs w:val="18"/>
              </w:rPr>
              <w:t> </w:t>
            </w:r>
            <w:r>
              <w:rPr>
                <w:rFonts w:ascii="宋体" w:hAnsi="宋体" w:cs="宋体" w:eastAsia="宋体" w:hint="default"/>
                <w:sz w:val="18"/>
                <w:szCs w:val="18"/>
              </w:rPr>
              <w:t>益的税后净额</w:t>
            </w:r>
          </w:p>
        </w:tc>
        <w:tc>
          <w:tcPr>
            <w:tcW w:w="3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621,831.77</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956,989.28</w:t>
            </w:r>
          </w:p>
        </w:tc>
      </w:tr>
      <w:tr>
        <w:trPr>
          <w:trHeight w:val="710"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05" w:right="94" w:firstLine="355"/>
              <w:jc w:val="left"/>
              <w:rPr>
                <w:rFonts w:ascii="宋体" w:hAnsi="宋体" w:cs="宋体" w:eastAsia="宋体" w:hint="default"/>
                <w:sz w:val="18"/>
                <w:szCs w:val="18"/>
              </w:rPr>
            </w:pPr>
            <w:r>
              <w:rPr>
                <w:rFonts w:ascii="宋体" w:hAnsi="宋体" w:cs="宋体" w:eastAsia="宋体" w:hint="default"/>
                <w:spacing w:val="-3"/>
                <w:sz w:val="18"/>
                <w:szCs w:val="18"/>
              </w:rPr>
              <w:t>（一）不能重分类进损益的其他</w:t>
            </w:r>
            <w:r>
              <w:rPr>
                <w:rFonts w:ascii="宋体" w:hAnsi="宋体" w:cs="宋体" w:eastAsia="宋体" w:hint="default"/>
                <w:w w:val="101"/>
                <w:sz w:val="18"/>
                <w:szCs w:val="18"/>
              </w:rPr>
              <w:t> </w:t>
            </w:r>
            <w:r>
              <w:rPr>
                <w:rFonts w:ascii="宋体" w:hAnsi="宋体" w:cs="宋体" w:eastAsia="宋体" w:hint="default"/>
                <w:sz w:val="18"/>
                <w:szCs w:val="18"/>
              </w:rPr>
              <w:t>综合收益</w:t>
            </w:r>
          </w:p>
        </w:tc>
        <w:tc>
          <w:tcPr>
            <w:tcW w:w="3208" w:type="dxa"/>
            <w:tcBorders>
              <w:top w:val="single" w:sz="4" w:space="0" w:color="000000"/>
              <w:left w:val="single" w:sz="4" w:space="0" w:color="000000"/>
              <w:bottom w:val="single" w:sz="4" w:space="0" w:color="000000"/>
              <w:right w:val="single" w:sz="4" w:space="0" w:color="000000"/>
            </w:tcBorders>
          </w:tcPr>
          <w:p>
            <w:pPr/>
          </w:p>
        </w:tc>
        <w:tc>
          <w:tcPr>
            <w:tcW w:w="3279"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0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重新计量设定受益计划</w:t>
            </w:r>
          </w:p>
          <w:p>
            <w:pPr>
              <w:pStyle w:val="TableParagraph"/>
              <w:spacing w:line="240" w:lineRule="auto" w:before="63"/>
              <w:ind w:left="105" w:right="0"/>
              <w:jc w:val="left"/>
              <w:rPr>
                <w:rFonts w:ascii="宋体" w:hAnsi="宋体" w:cs="宋体" w:eastAsia="宋体" w:hint="default"/>
                <w:sz w:val="18"/>
                <w:szCs w:val="18"/>
              </w:rPr>
            </w:pPr>
            <w:r>
              <w:rPr>
                <w:rFonts w:ascii="宋体" w:hAnsi="宋体" w:cs="宋体" w:eastAsia="宋体" w:hint="default"/>
                <w:sz w:val="18"/>
                <w:szCs w:val="18"/>
              </w:rPr>
              <w:t>变动额</w:t>
            </w:r>
          </w:p>
        </w:tc>
        <w:tc>
          <w:tcPr>
            <w:tcW w:w="3208" w:type="dxa"/>
            <w:tcBorders>
              <w:top w:val="single" w:sz="4" w:space="0" w:color="000000"/>
              <w:left w:val="single" w:sz="4" w:space="0" w:color="000000"/>
              <w:bottom w:val="single" w:sz="4" w:space="0" w:color="000000"/>
              <w:right w:val="single" w:sz="4" w:space="0" w:color="000000"/>
            </w:tcBorders>
          </w:tcPr>
          <w:p>
            <w:pPr/>
          </w:p>
        </w:tc>
        <w:tc>
          <w:tcPr>
            <w:tcW w:w="327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3"/>
              <w:ind w:left="10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权益法下不能转损益的</w:t>
            </w:r>
          </w:p>
        </w:tc>
        <w:tc>
          <w:tcPr>
            <w:tcW w:w="3208" w:type="dxa"/>
            <w:tcBorders>
              <w:top w:val="single" w:sz="4" w:space="0" w:color="000000"/>
              <w:left w:val="single" w:sz="4" w:space="0" w:color="000000"/>
              <w:bottom w:val="single" w:sz="4" w:space="0" w:color="000000"/>
              <w:right w:val="single" w:sz="4" w:space="0" w:color="000000"/>
            </w:tcBorders>
          </w:tcPr>
          <w:p>
            <w:pPr/>
          </w:p>
        </w:tc>
        <w:tc>
          <w:tcPr>
            <w:tcW w:w="327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84" w:footer="1022" w:top="1100" w:bottom="1220" w:left="980" w:right="0"/>
        </w:sectPr>
      </w:pPr>
    </w:p>
    <w:p>
      <w:pPr>
        <w:spacing w:line="240" w:lineRule="auto" w:before="1"/>
        <w:rPr>
          <w:rFonts w:ascii="Times New Roman" w:hAnsi="Times New Roman" w:cs="Times New Roman" w:eastAsia="Times New Roman" w:hint="default"/>
          <w:sz w:val="29"/>
          <w:szCs w:val="29"/>
        </w:rPr>
      </w:pPr>
    </w:p>
    <w:tbl>
      <w:tblPr>
        <w:tblW w:w="0" w:type="auto"/>
        <w:jc w:val="left"/>
        <w:tblInd w:w="148" w:type="dxa"/>
        <w:tblLayout w:type="fixed"/>
        <w:tblCellMar>
          <w:top w:w="0" w:type="dxa"/>
          <w:left w:w="0" w:type="dxa"/>
          <w:bottom w:w="0" w:type="dxa"/>
          <w:right w:w="0" w:type="dxa"/>
        </w:tblCellMar>
        <w:tblLook w:val="01E0"/>
      </w:tblPr>
      <w:tblGrid>
        <w:gridCol w:w="3083"/>
        <w:gridCol w:w="3208"/>
        <w:gridCol w:w="3279"/>
      </w:tblGrid>
      <w:tr>
        <w:trPr>
          <w:trHeight w:val="360"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105"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3208" w:type="dxa"/>
            <w:tcBorders>
              <w:top w:val="single" w:sz="4" w:space="0" w:color="000000"/>
              <w:left w:val="single" w:sz="4" w:space="0" w:color="000000"/>
              <w:bottom w:val="single" w:sz="4" w:space="0" w:color="000000"/>
              <w:right w:val="single" w:sz="4" w:space="0" w:color="000000"/>
            </w:tcBorders>
          </w:tcPr>
          <w:p>
            <w:pPr/>
          </w:p>
        </w:tc>
        <w:tc>
          <w:tcPr>
            <w:tcW w:w="3279"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其他权益工具投资公允</w:t>
            </w:r>
          </w:p>
          <w:p>
            <w:pPr>
              <w:pStyle w:val="TableParagraph"/>
              <w:spacing w:line="240" w:lineRule="auto" w:before="67"/>
              <w:ind w:left="105" w:right="0"/>
              <w:jc w:val="left"/>
              <w:rPr>
                <w:rFonts w:ascii="宋体" w:hAnsi="宋体" w:cs="宋体" w:eastAsia="宋体" w:hint="default"/>
                <w:sz w:val="18"/>
                <w:szCs w:val="18"/>
              </w:rPr>
            </w:pPr>
            <w:r>
              <w:rPr>
                <w:rFonts w:ascii="宋体" w:hAnsi="宋体" w:cs="宋体" w:eastAsia="宋体" w:hint="default"/>
                <w:sz w:val="18"/>
                <w:szCs w:val="18"/>
              </w:rPr>
              <w:t>价值变动</w:t>
            </w:r>
          </w:p>
        </w:tc>
        <w:tc>
          <w:tcPr>
            <w:tcW w:w="3208" w:type="dxa"/>
            <w:tcBorders>
              <w:top w:val="single" w:sz="4" w:space="0" w:color="000000"/>
              <w:left w:val="single" w:sz="4" w:space="0" w:color="000000"/>
              <w:bottom w:val="single" w:sz="4" w:space="0" w:color="000000"/>
              <w:right w:val="single" w:sz="4" w:space="0" w:color="000000"/>
            </w:tcBorders>
          </w:tcPr>
          <w:p>
            <w:pPr/>
          </w:p>
        </w:tc>
        <w:tc>
          <w:tcPr>
            <w:tcW w:w="3279"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企业自身信用风险公允</w:t>
            </w:r>
          </w:p>
          <w:p>
            <w:pPr>
              <w:pStyle w:val="TableParagraph"/>
              <w:spacing w:line="240" w:lineRule="auto" w:before="67"/>
              <w:ind w:left="105" w:right="0"/>
              <w:jc w:val="left"/>
              <w:rPr>
                <w:rFonts w:ascii="宋体" w:hAnsi="宋体" w:cs="宋体" w:eastAsia="宋体" w:hint="default"/>
                <w:sz w:val="18"/>
                <w:szCs w:val="18"/>
              </w:rPr>
            </w:pPr>
            <w:r>
              <w:rPr>
                <w:rFonts w:ascii="宋体" w:hAnsi="宋体" w:cs="宋体" w:eastAsia="宋体" w:hint="default"/>
                <w:sz w:val="18"/>
                <w:szCs w:val="18"/>
              </w:rPr>
              <w:t>价值变动</w:t>
            </w:r>
          </w:p>
        </w:tc>
        <w:tc>
          <w:tcPr>
            <w:tcW w:w="3208" w:type="dxa"/>
            <w:tcBorders>
              <w:top w:val="single" w:sz="4" w:space="0" w:color="000000"/>
              <w:left w:val="single" w:sz="4" w:space="0" w:color="000000"/>
              <w:bottom w:val="single" w:sz="4" w:space="0" w:color="000000"/>
              <w:right w:val="single" w:sz="4" w:space="0" w:color="000000"/>
            </w:tcBorders>
          </w:tcPr>
          <w:p>
            <w:pPr/>
          </w:p>
        </w:tc>
        <w:tc>
          <w:tcPr>
            <w:tcW w:w="327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3208" w:type="dxa"/>
            <w:tcBorders>
              <w:top w:val="single" w:sz="4" w:space="0" w:color="000000"/>
              <w:left w:val="single" w:sz="4" w:space="0" w:color="000000"/>
              <w:bottom w:val="single" w:sz="4" w:space="0" w:color="000000"/>
              <w:right w:val="single" w:sz="4" w:space="0" w:color="000000"/>
            </w:tcBorders>
          </w:tcPr>
          <w:p>
            <w:pPr/>
          </w:p>
        </w:tc>
        <w:tc>
          <w:tcPr>
            <w:tcW w:w="3279" w:type="dxa"/>
            <w:tcBorders>
              <w:top w:val="single" w:sz="4" w:space="0" w:color="000000"/>
              <w:left w:val="single" w:sz="4" w:space="0" w:color="000000"/>
              <w:bottom w:val="single" w:sz="4" w:space="0" w:color="000000"/>
              <w:right w:val="single" w:sz="4" w:space="0" w:color="000000"/>
            </w:tcBorders>
          </w:tcPr>
          <w:p>
            <w:pPr/>
          </w:p>
        </w:tc>
      </w:tr>
      <w:tr>
        <w:trPr>
          <w:trHeight w:val="711"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105" w:right="94" w:firstLine="355"/>
              <w:jc w:val="left"/>
              <w:rPr>
                <w:rFonts w:ascii="宋体" w:hAnsi="宋体" w:cs="宋体" w:eastAsia="宋体" w:hint="default"/>
                <w:sz w:val="18"/>
                <w:szCs w:val="18"/>
              </w:rPr>
            </w:pPr>
            <w:r>
              <w:rPr>
                <w:rFonts w:ascii="宋体" w:hAnsi="宋体" w:cs="宋体" w:eastAsia="宋体" w:hint="default"/>
                <w:spacing w:val="-3"/>
                <w:sz w:val="18"/>
                <w:szCs w:val="18"/>
              </w:rPr>
              <w:t>（二）将重分类进损益的其他综</w:t>
            </w:r>
            <w:r>
              <w:rPr>
                <w:rFonts w:ascii="宋体" w:hAnsi="宋体" w:cs="宋体" w:eastAsia="宋体" w:hint="default"/>
                <w:w w:val="101"/>
                <w:sz w:val="18"/>
                <w:szCs w:val="18"/>
              </w:rPr>
              <w:t> </w:t>
            </w:r>
            <w:r>
              <w:rPr>
                <w:rFonts w:ascii="宋体" w:hAnsi="宋体" w:cs="宋体" w:eastAsia="宋体" w:hint="default"/>
                <w:sz w:val="18"/>
                <w:szCs w:val="18"/>
              </w:rPr>
              <w:t>合收益</w:t>
            </w:r>
          </w:p>
        </w:tc>
        <w:tc>
          <w:tcPr>
            <w:tcW w:w="3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621,831.77</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956,989.28</w:t>
            </w:r>
          </w:p>
        </w:tc>
      </w:tr>
      <w:tr>
        <w:trPr>
          <w:trHeight w:val="715"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权益法下可转损益的其</w:t>
            </w:r>
          </w:p>
          <w:p>
            <w:pPr>
              <w:pStyle w:val="TableParagraph"/>
              <w:spacing w:line="240" w:lineRule="auto" w:before="67"/>
              <w:ind w:left="105" w:right="0"/>
              <w:jc w:val="left"/>
              <w:rPr>
                <w:rFonts w:ascii="宋体" w:hAnsi="宋体" w:cs="宋体" w:eastAsia="宋体" w:hint="default"/>
                <w:sz w:val="18"/>
                <w:szCs w:val="18"/>
              </w:rPr>
            </w:pPr>
            <w:r>
              <w:rPr>
                <w:rFonts w:ascii="宋体" w:hAnsi="宋体" w:cs="宋体" w:eastAsia="宋体" w:hint="default"/>
                <w:sz w:val="18"/>
                <w:szCs w:val="18"/>
              </w:rPr>
              <w:t>他综合收益</w:t>
            </w:r>
          </w:p>
        </w:tc>
        <w:tc>
          <w:tcPr>
            <w:tcW w:w="3208" w:type="dxa"/>
            <w:tcBorders>
              <w:top w:val="single" w:sz="4" w:space="0" w:color="000000"/>
              <w:left w:val="single" w:sz="4" w:space="0" w:color="000000"/>
              <w:bottom w:val="single" w:sz="4" w:space="0" w:color="000000"/>
              <w:right w:val="single" w:sz="4" w:space="0" w:color="000000"/>
            </w:tcBorders>
          </w:tcPr>
          <w:p>
            <w:pPr/>
          </w:p>
        </w:tc>
        <w:tc>
          <w:tcPr>
            <w:tcW w:w="3279"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其他债权投资公允价值</w:t>
            </w:r>
          </w:p>
          <w:p>
            <w:pPr>
              <w:pStyle w:val="TableParagraph"/>
              <w:spacing w:line="240" w:lineRule="auto" w:before="67"/>
              <w:ind w:left="105" w:right="0"/>
              <w:jc w:val="left"/>
              <w:rPr>
                <w:rFonts w:ascii="宋体" w:hAnsi="宋体" w:cs="宋体" w:eastAsia="宋体" w:hint="default"/>
                <w:sz w:val="18"/>
                <w:szCs w:val="18"/>
              </w:rPr>
            </w:pPr>
            <w:r>
              <w:rPr>
                <w:rFonts w:ascii="宋体" w:hAnsi="宋体" w:cs="宋体" w:eastAsia="宋体" w:hint="default"/>
                <w:sz w:val="18"/>
                <w:szCs w:val="18"/>
              </w:rPr>
              <w:t>变动</w:t>
            </w:r>
          </w:p>
        </w:tc>
        <w:tc>
          <w:tcPr>
            <w:tcW w:w="3208" w:type="dxa"/>
            <w:tcBorders>
              <w:top w:val="single" w:sz="4" w:space="0" w:color="000000"/>
              <w:left w:val="single" w:sz="4" w:space="0" w:color="000000"/>
              <w:bottom w:val="single" w:sz="4" w:space="0" w:color="000000"/>
              <w:right w:val="single" w:sz="4" w:space="0" w:color="000000"/>
            </w:tcBorders>
          </w:tcPr>
          <w:p>
            <w:pPr/>
          </w:p>
        </w:tc>
        <w:tc>
          <w:tcPr>
            <w:tcW w:w="3279"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4"/>
              <w:ind w:left="105" w:right="122" w:firstLine="902"/>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可供出售金融资产公允</w:t>
            </w:r>
            <w:r>
              <w:rPr>
                <w:rFonts w:ascii="宋体" w:hAnsi="宋体" w:cs="宋体" w:eastAsia="宋体" w:hint="default"/>
                <w:w w:val="101"/>
                <w:sz w:val="18"/>
                <w:szCs w:val="18"/>
              </w:rPr>
              <w:t> </w:t>
            </w:r>
            <w:r>
              <w:rPr>
                <w:rFonts w:ascii="宋体" w:hAnsi="宋体" w:cs="宋体" w:eastAsia="宋体" w:hint="default"/>
                <w:sz w:val="18"/>
                <w:szCs w:val="18"/>
              </w:rPr>
              <w:t>价值变动损益</w:t>
            </w:r>
          </w:p>
        </w:tc>
        <w:tc>
          <w:tcPr>
            <w:tcW w:w="3208" w:type="dxa"/>
            <w:tcBorders>
              <w:top w:val="single" w:sz="4" w:space="0" w:color="000000"/>
              <w:left w:val="single" w:sz="4" w:space="0" w:color="000000"/>
              <w:bottom w:val="single" w:sz="4" w:space="0" w:color="000000"/>
              <w:right w:val="single" w:sz="4" w:space="0" w:color="000000"/>
            </w:tcBorders>
          </w:tcPr>
          <w:p>
            <w:pPr/>
          </w:p>
        </w:tc>
        <w:tc>
          <w:tcPr>
            <w:tcW w:w="3279" w:type="dxa"/>
            <w:tcBorders>
              <w:top w:val="single" w:sz="4" w:space="0" w:color="000000"/>
              <w:left w:val="single" w:sz="4" w:space="0" w:color="000000"/>
              <w:bottom w:val="single" w:sz="4" w:space="0" w:color="000000"/>
              <w:right w:val="single" w:sz="4" w:space="0" w:color="000000"/>
            </w:tcBorders>
          </w:tcPr>
          <w:p>
            <w:pPr/>
          </w:p>
        </w:tc>
      </w:tr>
      <w:tr>
        <w:trPr>
          <w:trHeight w:val="710"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105" w:right="122" w:firstLine="902"/>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4.</w:t>
            </w:r>
            <w:r>
              <w:rPr>
                <w:rFonts w:ascii="宋体" w:hAnsi="宋体" w:cs="宋体" w:eastAsia="宋体" w:hint="default"/>
                <w:spacing w:val="-2"/>
                <w:sz w:val="18"/>
                <w:szCs w:val="18"/>
              </w:rPr>
              <w:t>金融资产重分类计入其</w:t>
            </w:r>
            <w:r>
              <w:rPr>
                <w:rFonts w:ascii="宋体" w:hAnsi="宋体" w:cs="宋体" w:eastAsia="宋体" w:hint="default"/>
                <w:w w:val="101"/>
                <w:sz w:val="18"/>
                <w:szCs w:val="18"/>
              </w:rPr>
              <w:t> </w:t>
            </w:r>
            <w:r>
              <w:rPr>
                <w:rFonts w:ascii="宋体" w:hAnsi="宋体" w:cs="宋体" w:eastAsia="宋体" w:hint="default"/>
                <w:sz w:val="18"/>
                <w:szCs w:val="18"/>
              </w:rPr>
              <w:t>他综合收益的金额</w:t>
            </w:r>
          </w:p>
        </w:tc>
        <w:tc>
          <w:tcPr>
            <w:tcW w:w="3208" w:type="dxa"/>
            <w:tcBorders>
              <w:top w:val="single" w:sz="4" w:space="0" w:color="000000"/>
              <w:left w:val="single" w:sz="4" w:space="0" w:color="000000"/>
              <w:bottom w:val="single" w:sz="4" w:space="0" w:color="000000"/>
              <w:right w:val="single" w:sz="4" w:space="0" w:color="000000"/>
            </w:tcBorders>
          </w:tcPr>
          <w:p>
            <w:pPr/>
          </w:p>
        </w:tc>
        <w:tc>
          <w:tcPr>
            <w:tcW w:w="3279"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4" w:lineRule="auto" w:before="53"/>
              <w:ind w:left="105" w:right="122" w:firstLine="902"/>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5.</w:t>
            </w:r>
            <w:r>
              <w:rPr>
                <w:rFonts w:ascii="宋体" w:hAnsi="宋体" w:cs="宋体" w:eastAsia="宋体" w:hint="default"/>
                <w:spacing w:val="-2"/>
                <w:sz w:val="18"/>
                <w:szCs w:val="18"/>
              </w:rPr>
              <w:t>持有至到期投资重分类</w:t>
            </w:r>
            <w:r>
              <w:rPr>
                <w:rFonts w:ascii="宋体" w:hAnsi="宋体" w:cs="宋体" w:eastAsia="宋体" w:hint="default"/>
                <w:w w:val="101"/>
                <w:sz w:val="18"/>
                <w:szCs w:val="18"/>
              </w:rPr>
              <w:t> </w:t>
            </w:r>
            <w:r>
              <w:rPr>
                <w:rFonts w:ascii="宋体" w:hAnsi="宋体" w:cs="宋体" w:eastAsia="宋体" w:hint="default"/>
                <w:spacing w:val="-3"/>
                <w:sz w:val="18"/>
                <w:szCs w:val="18"/>
              </w:rPr>
              <w:t>为可供出售金融资产损益</w:t>
            </w:r>
          </w:p>
        </w:tc>
        <w:tc>
          <w:tcPr>
            <w:tcW w:w="3208" w:type="dxa"/>
            <w:tcBorders>
              <w:top w:val="single" w:sz="4" w:space="0" w:color="000000"/>
              <w:left w:val="single" w:sz="4" w:space="0" w:color="000000"/>
              <w:bottom w:val="single" w:sz="4" w:space="0" w:color="000000"/>
              <w:right w:val="single" w:sz="4" w:space="0" w:color="000000"/>
            </w:tcBorders>
          </w:tcPr>
          <w:p>
            <w:pPr/>
          </w:p>
        </w:tc>
        <w:tc>
          <w:tcPr>
            <w:tcW w:w="3279"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其他债权投资信用减值</w:t>
            </w:r>
          </w:p>
          <w:p>
            <w:pPr>
              <w:pStyle w:val="TableParagraph"/>
              <w:spacing w:line="240" w:lineRule="auto" w:before="67"/>
              <w:ind w:left="105" w:right="0"/>
              <w:jc w:val="left"/>
              <w:rPr>
                <w:rFonts w:ascii="宋体" w:hAnsi="宋体" w:cs="宋体" w:eastAsia="宋体" w:hint="default"/>
                <w:sz w:val="18"/>
                <w:szCs w:val="18"/>
              </w:rPr>
            </w:pPr>
            <w:r>
              <w:rPr>
                <w:rFonts w:ascii="宋体" w:hAnsi="宋体" w:cs="宋体" w:eastAsia="宋体" w:hint="default"/>
                <w:sz w:val="18"/>
                <w:szCs w:val="18"/>
              </w:rPr>
              <w:t>准备</w:t>
            </w:r>
          </w:p>
        </w:tc>
        <w:tc>
          <w:tcPr>
            <w:tcW w:w="3208" w:type="dxa"/>
            <w:tcBorders>
              <w:top w:val="single" w:sz="4" w:space="0" w:color="000000"/>
              <w:left w:val="single" w:sz="4" w:space="0" w:color="000000"/>
              <w:bottom w:val="single" w:sz="4" w:space="0" w:color="000000"/>
              <w:right w:val="single" w:sz="4" w:space="0" w:color="000000"/>
            </w:tcBorders>
          </w:tcPr>
          <w:p>
            <w:pPr/>
          </w:p>
        </w:tc>
        <w:tc>
          <w:tcPr>
            <w:tcW w:w="327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现金流量套期储备</w:t>
            </w:r>
          </w:p>
        </w:tc>
        <w:tc>
          <w:tcPr>
            <w:tcW w:w="3208" w:type="dxa"/>
            <w:tcBorders>
              <w:top w:val="single" w:sz="4" w:space="0" w:color="000000"/>
              <w:left w:val="single" w:sz="4" w:space="0" w:color="000000"/>
              <w:bottom w:val="single" w:sz="4" w:space="0" w:color="000000"/>
              <w:right w:val="single" w:sz="4" w:space="0" w:color="000000"/>
            </w:tcBorders>
          </w:tcPr>
          <w:p>
            <w:pPr/>
          </w:p>
        </w:tc>
        <w:tc>
          <w:tcPr>
            <w:tcW w:w="3279" w:type="dxa"/>
            <w:tcBorders>
              <w:top w:val="single" w:sz="4" w:space="0" w:color="000000"/>
              <w:left w:val="single" w:sz="4" w:space="0" w:color="000000"/>
              <w:bottom w:val="single" w:sz="4" w:space="0" w:color="000000"/>
              <w:right w:val="single" w:sz="4" w:space="0" w:color="000000"/>
            </w:tcBorders>
          </w:tcPr>
          <w:p>
            <w:pPr/>
          </w:p>
        </w:tc>
      </w:tr>
      <w:tr>
        <w:trPr>
          <w:trHeight w:val="399"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8.</w:t>
            </w:r>
            <w:r>
              <w:rPr>
                <w:rFonts w:ascii="宋体" w:hAnsi="宋体" w:cs="宋体" w:eastAsia="宋体" w:hint="default"/>
                <w:sz w:val="18"/>
                <w:szCs w:val="18"/>
              </w:rPr>
              <w:t>外币财务报表折算差额</w:t>
            </w:r>
          </w:p>
        </w:tc>
        <w:tc>
          <w:tcPr>
            <w:tcW w:w="3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621,831.77</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956,989.28</w:t>
            </w:r>
          </w:p>
        </w:tc>
      </w:tr>
      <w:tr>
        <w:trPr>
          <w:trHeight w:val="403"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宋体" w:hAnsi="宋体" w:cs="宋体" w:eastAsia="宋体" w:hint="default"/>
                <w:sz w:val="18"/>
                <w:szCs w:val="18"/>
              </w:rPr>
              <w:t>其他</w:t>
            </w:r>
          </w:p>
        </w:tc>
        <w:tc>
          <w:tcPr>
            <w:tcW w:w="3208" w:type="dxa"/>
            <w:tcBorders>
              <w:top w:val="single" w:sz="4" w:space="0" w:color="000000"/>
              <w:left w:val="single" w:sz="4" w:space="0" w:color="000000"/>
              <w:bottom w:val="single" w:sz="4" w:space="0" w:color="000000"/>
              <w:right w:val="single" w:sz="4" w:space="0" w:color="000000"/>
            </w:tcBorders>
          </w:tcPr>
          <w:p>
            <w:pPr/>
          </w:p>
        </w:tc>
        <w:tc>
          <w:tcPr>
            <w:tcW w:w="3279"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05" w:right="262" w:firstLine="182"/>
              <w:jc w:val="left"/>
              <w:rPr>
                <w:rFonts w:ascii="宋体" w:hAnsi="宋体" w:cs="宋体" w:eastAsia="宋体" w:hint="default"/>
                <w:sz w:val="18"/>
                <w:szCs w:val="18"/>
              </w:rPr>
            </w:pPr>
            <w:r>
              <w:rPr>
                <w:rFonts w:ascii="宋体" w:hAnsi="宋体" w:cs="宋体" w:eastAsia="宋体" w:hint="default"/>
                <w:spacing w:val="-3"/>
                <w:sz w:val="18"/>
                <w:szCs w:val="18"/>
              </w:rPr>
              <w:t>归属于少数股东的其他综合收益</w:t>
            </w:r>
            <w:r>
              <w:rPr>
                <w:rFonts w:ascii="宋体" w:hAnsi="宋体" w:cs="宋体" w:eastAsia="宋体" w:hint="default"/>
                <w:w w:val="101"/>
                <w:sz w:val="18"/>
                <w:szCs w:val="18"/>
              </w:rPr>
              <w:t> </w:t>
            </w:r>
            <w:r>
              <w:rPr>
                <w:rFonts w:ascii="宋体" w:hAnsi="宋体" w:cs="宋体" w:eastAsia="宋体" w:hint="default"/>
                <w:sz w:val="18"/>
                <w:szCs w:val="18"/>
              </w:rPr>
              <w:t>的税后净额</w:t>
            </w:r>
          </w:p>
        </w:tc>
        <w:tc>
          <w:tcPr>
            <w:tcW w:w="3208" w:type="dxa"/>
            <w:tcBorders>
              <w:top w:val="single" w:sz="4" w:space="0" w:color="000000"/>
              <w:left w:val="single" w:sz="4" w:space="0" w:color="000000"/>
              <w:bottom w:val="single" w:sz="4" w:space="0" w:color="000000"/>
              <w:right w:val="single" w:sz="4" w:space="0" w:color="000000"/>
            </w:tcBorders>
          </w:tcPr>
          <w:p>
            <w:pPr/>
          </w:p>
        </w:tc>
        <w:tc>
          <w:tcPr>
            <w:tcW w:w="3279"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七、综合收益总额</w:t>
            </w:r>
          </w:p>
        </w:tc>
        <w:tc>
          <w:tcPr>
            <w:tcW w:w="3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183,594,186.25</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185,249,747.09</w:t>
            </w:r>
          </w:p>
        </w:tc>
      </w:tr>
      <w:tr>
        <w:trPr>
          <w:trHeight w:val="710"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05" w:right="262" w:firstLine="360"/>
              <w:jc w:val="left"/>
              <w:rPr>
                <w:rFonts w:ascii="宋体" w:hAnsi="宋体" w:cs="宋体" w:eastAsia="宋体" w:hint="default"/>
                <w:sz w:val="18"/>
                <w:szCs w:val="18"/>
              </w:rPr>
            </w:pPr>
            <w:r>
              <w:rPr>
                <w:rFonts w:ascii="宋体" w:hAnsi="宋体" w:cs="宋体" w:eastAsia="宋体" w:hint="default"/>
                <w:spacing w:val="-3"/>
                <w:sz w:val="18"/>
                <w:szCs w:val="18"/>
              </w:rPr>
              <w:t>归属于母公司所有者的综合收</w:t>
            </w:r>
            <w:r>
              <w:rPr>
                <w:rFonts w:ascii="宋体" w:hAnsi="宋体" w:cs="宋体" w:eastAsia="宋体" w:hint="default"/>
                <w:w w:val="101"/>
                <w:sz w:val="18"/>
                <w:szCs w:val="18"/>
              </w:rPr>
              <w:t> </w:t>
            </w:r>
            <w:r>
              <w:rPr>
                <w:rFonts w:ascii="宋体" w:hAnsi="宋体" w:cs="宋体" w:eastAsia="宋体" w:hint="default"/>
                <w:sz w:val="18"/>
                <w:szCs w:val="18"/>
              </w:rPr>
              <w:t>益总额</w:t>
            </w:r>
          </w:p>
        </w:tc>
        <w:tc>
          <w:tcPr>
            <w:tcW w:w="3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182,848,586.04</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180,619,301.44</w:t>
            </w:r>
          </w:p>
        </w:tc>
      </w:tr>
      <w:tr>
        <w:trPr>
          <w:trHeight w:val="715"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归属于少数股东的综合收益总</w:t>
            </w:r>
          </w:p>
          <w:p>
            <w:pPr>
              <w:pStyle w:val="TableParagraph"/>
              <w:spacing w:line="240" w:lineRule="auto" w:before="81"/>
              <w:ind w:left="105" w:right="0"/>
              <w:jc w:val="left"/>
              <w:rPr>
                <w:rFonts w:ascii="宋体" w:hAnsi="宋体" w:cs="宋体" w:eastAsia="宋体" w:hint="default"/>
                <w:sz w:val="18"/>
                <w:szCs w:val="18"/>
              </w:rPr>
            </w:pPr>
            <w:r>
              <w:rPr>
                <w:rFonts w:ascii="宋体" w:hAnsi="宋体" w:cs="宋体" w:eastAsia="宋体" w:hint="default"/>
                <w:w w:val="101"/>
                <w:sz w:val="18"/>
                <w:szCs w:val="18"/>
              </w:rPr>
              <w:t>额</w:t>
            </w:r>
            <w:r>
              <w:rPr>
                <w:rFonts w:ascii="宋体" w:hAnsi="宋体" w:cs="宋体" w:eastAsia="宋体" w:hint="default"/>
                <w:sz w:val="18"/>
                <w:szCs w:val="18"/>
              </w:rPr>
            </w:r>
          </w:p>
        </w:tc>
        <w:tc>
          <w:tcPr>
            <w:tcW w:w="3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745,600.21</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4,630,445.65</w:t>
            </w:r>
          </w:p>
        </w:tc>
      </w:tr>
      <w:tr>
        <w:trPr>
          <w:trHeight w:val="404"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pacing w:val="-3"/>
                <w:sz w:val="18"/>
                <w:szCs w:val="18"/>
              </w:rPr>
              <w:t>八、每股收益：</w:t>
            </w:r>
          </w:p>
        </w:tc>
        <w:tc>
          <w:tcPr>
            <w:tcW w:w="320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7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（一）基本每股收益</w:t>
            </w:r>
          </w:p>
        </w:tc>
        <w:tc>
          <w:tcPr>
            <w:tcW w:w="3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z w:val="18"/>
              </w:rPr>
              <w:t>0.30</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z w:val="18"/>
              </w:rPr>
              <w:t>0.29</w:t>
            </w:r>
          </w:p>
        </w:tc>
      </w:tr>
      <w:tr>
        <w:trPr>
          <w:trHeight w:val="398" w:hRule="exact"/>
        </w:trPr>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（二）稀释每股收益</w:t>
            </w:r>
          </w:p>
        </w:tc>
        <w:tc>
          <w:tcPr>
            <w:tcW w:w="3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z w:val="18"/>
              </w:rPr>
              <w:t>0.30</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z w:val="18"/>
              </w:rPr>
              <w:t>0.29</w:t>
            </w:r>
          </w:p>
        </w:tc>
      </w:tr>
    </w:tbl>
    <w:p>
      <w:pPr>
        <w:pStyle w:val="BodyText"/>
        <w:tabs>
          <w:tab w:pos="3577" w:val="left" w:leader="none"/>
          <w:tab w:pos="7716" w:val="left" w:leader="none"/>
        </w:tabs>
        <w:spacing w:line="592" w:lineRule="auto" w:before="53"/>
        <w:ind w:right="1223"/>
        <w:jc w:val="left"/>
      </w:pPr>
      <w:r>
        <w:rPr>
          <w:spacing w:val="-3"/>
        </w:rPr>
        <w:t>本期发生同一控制下企业合并的，被合并方在合并前实现的净利润为：</w:t>
      </w:r>
      <w:r>
        <w:rPr>
          <w:rFonts w:ascii="Times New Roman" w:hAnsi="Times New Roman" w:cs="Times New Roman" w:eastAsia="Times New Roman" w:hint="default"/>
          <w:spacing w:val="-3"/>
        </w:rPr>
        <w:t>0.00 </w:t>
      </w:r>
      <w:r>
        <w:rPr/>
        <w:t>元，上期被合并方实现的净利润为：</w:t>
      </w:r>
      <w:r>
        <w:rPr>
          <w:rFonts w:ascii="Times New Roman" w:hAnsi="Times New Roman" w:cs="Times New Roman" w:eastAsia="Times New Roman" w:hint="default"/>
        </w:rPr>
        <w:t>0.00 </w:t>
      </w:r>
      <w:r>
        <w:rPr/>
        <w:t>元。</w:t>
      </w:r>
      <w:r>
        <w:rPr>
          <w:spacing w:val="-73"/>
        </w:rPr>
        <w:t> </w:t>
      </w:r>
      <w:r>
        <w:rPr>
          <w:spacing w:val="-3"/>
        </w:rPr>
        <w:t>法定代表人：吴涵渠</w:t>
        <w:tab/>
        <w:t>主管会计工作负责人：彭世新</w:t>
        <w:tab/>
        <w:t>会计机构负责人：钟华超</w:t>
      </w:r>
    </w:p>
    <w:p>
      <w:pPr>
        <w:spacing w:after="0" w:line="592" w:lineRule="auto"/>
        <w:jc w:val="left"/>
        <w:sectPr>
          <w:pgSz w:w="11910" w:h="16840"/>
          <w:pgMar w:header="784" w:footer="1022" w:top="1100" w:bottom="1220" w:left="980" w:right="0"/>
        </w:sectPr>
      </w:pPr>
    </w:p>
    <w:p>
      <w:pPr>
        <w:spacing w:line="240" w:lineRule="auto" w:before="8"/>
        <w:rPr>
          <w:rFonts w:ascii="宋体" w:hAnsi="宋体" w:cs="宋体" w:eastAsia="宋体" w:hint="default"/>
          <w:sz w:val="21"/>
          <w:szCs w:val="21"/>
        </w:rPr>
      </w:pPr>
    </w:p>
    <w:p>
      <w:pPr>
        <w:pStyle w:val="Heading4"/>
        <w:spacing w:line="240" w:lineRule="auto" w:before="36"/>
        <w:ind w:right="0"/>
        <w:jc w:val="left"/>
        <w:rPr>
          <w:b w:val="0"/>
          <w:bCs w:val="0"/>
        </w:rPr>
      </w:pPr>
      <w:bookmarkStart w:name="4、母公司利润表" w:id="165"/>
      <w:bookmarkEnd w:id="165"/>
      <w:r>
        <w:rPr>
          <w:b w:val="0"/>
          <w:bCs w:val="0"/>
        </w:rPr>
      </w:r>
      <w:r>
        <w:rPr>
          <w:rFonts w:ascii="Times New Roman" w:hAnsi="Times New Roman" w:cs="Times New Roman" w:eastAsia="Times New Roman" w:hint="default"/>
        </w:rPr>
        <w:t>4</w:t>
      </w:r>
      <w:r>
        <w:rPr/>
        <w:t>、母公司利润表</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left="0" w:right="1122"/>
        <w:jc w:val="right"/>
      </w:pPr>
      <w:r>
        <w:rPr>
          <w:spacing w:val="-2"/>
        </w:rPr>
        <w:t>单位：元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967"/>
        <w:gridCol w:w="3304"/>
        <w:gridCol w:w="3299"/>
      </w:tblGrid>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7"/>
                <w:sz w:val="18"/>
                <w:szCs w:val="18"/>
              </w:rPr>
              <w:t> </w:t>
            </w:r>
            <w:r>
              <w:rPr>
                <w:rFonts w:ascii="宋体" w:hAnsi="宋体" w:cs="宋体" w:eastAsia="宋体" w:hint="default"/>
                <w:spacing w:val="-5"/>
                <w:sz w:val="18"/>
                <w:szCs w:val="18"/>
              </w:rPr>
              <w:t>年度</w:t>
            </w:r>
            <w:r>
              <w:rPr>
                <w:rFonts w:ascii="宋体" w:hAnsi="宋体" w:cs="宋体" w:eastAsia="宋体" w:hint="default"/>
                <w:sz w:val="18"/>
                <w:szCs w:val="18"/>
              </w:rPr>
            </w:r>
          </w:p>
        </w:tc>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7"/>
                <w:sz w:val="18"/>
                <w:szCs w:val="18"/>
              </w:rPr>
              <w:t> </w:t>
            </w:r>
            <w:r>
              <w:rPr>
                <w:rFonts w:ascii="宋体" w:hAnsi="宋体" w:cs="宋体" w:eastAsia="宋体" w:hint="default"/>
                <w:spacing w:val="-5"/>
                <w:sz w:val="18"/>
                <w:szCs w:val="18"/>
              </w:rPr>
              <w:t>年度</w:t>
            </w:r>
            <w:r>
              <w:rPr>
                <w:rFonts w:ascii="宋体" w:hAnsi="宋体" w:cs="宋体" w:eastAsia="宋体" w:hint="default"/>
                <w:sz w:val="18"/>
                <w:szCs w:val="18"/>
              </w:rPr>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一、营业收入</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690,831,470.52</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487,125,075.61</w:t>
            </w: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减：营业成本</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479,015,730.75</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385,317,228.27</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826" w:right="0"/>
              <w:jc w:val="left"/>
              <w:rPr>
                <w:rFonts w:ascii="宋体" w:hAnsi="宋体" w:cs="宋体" w:eastAsia="宋体" w:hint="default"/>
                <w:sz w:val="18"/>
                <w:szCs w:val="18"/>
              </w:rPr>
            </w:pPr>
            <w:r>
              <w:rPr>
                <w:rFonts w:ascii="宋体" w:hAnsi="宋体" w:cs="宋体" w:eastAsia="宋体" w:hint="default"/>
                <w:sz w:val="18"/>
                <w:szCs w:val="18"/>
              </w:rPr>
              <w:t>税金及附加</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2,653,948.77</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2,250,035.65</w:t>
            </w: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826"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53,079,651.60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34,719,405.73</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826"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31,986,851.03</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34,826,642.62</w:t>
            </w: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826"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25,757,629.96</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19,195,926.86</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826"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-7,086,313.21</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-9,441,153.20</w:t>
            </w: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684"/>
              <w:jc w:val="right"/>
              <w:rPr>
                <w:rFonts w:ascii="宋体" w:hAnsi="宋体" w:cs="宋体" w:eastAsia="宋体" w:hint="default"/>
                <w:sz w:val="18"/>
                <w:szCs w:val="18"/>
              </w:rPr>
            </w:pPr>
            <w:r>
              <w:rPr>
                <w:rFonts w:ascii="宋体" w:hAnsi="宋体" w:cs="宋体" w:eastAsia="宋体" w:hint="default"/>
                <w:spacing w:val="-3"/>
                <w:sz w:val="18"/>
                <w:szCs w:val="18"/>
              </w:rPr>
              <w:t>其中：利息费用</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2,350,515.14</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814,663.13</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684"/>
              <w:jc w:val="right"/>
              <w:rPr>
                <w:rFonts w:ascii="宋体" w:hAnsi="宋体" w:cs="宋体" w:eastAsia="宋体" w:hint="default"/>
                <w:sz w:val="18"/>
                <w:szCs w:val="18"/>
              </w:rPr>
            </w:pPr>
            <w:r>
              <w:rPr>
                <w:rFonts w:ascii="宋体" w:hAnsi="宋体" w:cs="宋体" w:eastAsia="宋体" w:hint="default"/>
                <w:spacing w:val="-2"/>
                <w:sz w:val="18"/>
                <w:szCs w:val="18"/>
              </w:rPr>
              <w:t>利息收入</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7,190,176.82</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2,383,812.85</w:t>
            </w: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加：其他收益</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8,836,218.06</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7,511,339.28</w:t>
            </w:r>
          </w:p>
        </w:tc>
      </w:tr>
      <w:tr>
        <w:trPr>
          <w:trHeight w:val="715"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05" w:right="146" w:firstLine="720"/>
              <w:jc w:val="left"/>
              <w:rPr>
                <w:rFonts w:ascii="宋体" w:hAnsi="宋体" w:cs="宋体" w:eastAsia="宋体" w:hint="default"/>
                <w:sz w:val="18"/>
                <w:szCs w:val="18"/>
              </w:rPr>
            </w:pPr>
            <w:r>
              <w:rPr>
                <w:rFonts w:ascii="宋体" w:hAnsi="宋体" w:cs="宋体" w:eastAsia="宋体" w:hint="default"/>
                <w:spacing w:val="-3"/>
                <w:sz w:val="18"/>
                <w:szCs w:val="18"/>
              </w:rPr>
              <w:t>投资收益（损失以“－”</w:t>
            </w:r>
            <w:r>
              <w:rPr>
                <w:rFonts w:ascii="宋体" w:hAnsi="宋体" w:cs="宋体" w:eastAsia="宋体" w:hint="default"/>
                <w:w w:val="101"/>
                <w:sz w:val="18"/>
                <w:szCs w:val="18"/>
              </w:rPr>
              <w:t> </w:t>
            </w:r>
            <w:r>
              <w:rPr>
                <w:rFonts w:ascii="宋体" w:hAnsi="宋体" w:cs="宋体" w:eastAsia="宋体" w:hint="default"/>
                <w:sz w:val="18"/>
                <w:szCs w:val="18"/>
              </w:rPr>
              <w:t>号填列）</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72,033,978.40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480,678.54</w:t>
            </w:r>
          </w:p>
        </w:tc>
      </w:tr>
      <w:tr>
        <w:trPr>
          <w:trHeight w:val="716"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4"/>
              <w:ind w:left="105" w:right="146" w:firstLine="720"/>
              <w:jc w:val="left"/>
              <w:rPr>
                <w:rFonts w:ascii="宋体" w:hAnsi="宋体" w:cs="宋体" w:eastAsia="宋体" w:hint="default"/>
                <w:sz w:val="18"/>
                <w:szCs w:val="18"/>
              </w:rPr>
            </w:pPr>
            <w:r>
              <w:rPr>
                <w:rFonts w:ascii="宋体" w:hAnsi="宋体" w:cs="宋体" w:eastAsia="宋体" w:hint="default"/>
                <w:spacing w:val="-3"/>
                <w:sz w:val="18"/>
                <w:szCs w:val="18"/>
              </w:rPr>
              <w:t>其中：对联营企业和合营</w:t>
            </w:r>
            <w:r>
              <w:rPr>
                <w:rFonts w:ascii="宋体" w:hAnsi="宋体" w:cs="宋体" w:eastAsia="宋体" w:hint="default"/>
                <w:w w:val="101"/>
                <w:sz w:val="18"/>
                <w:szCs w:val="18"/>
              </w:rPr>
              <w:t> </w:t>
            </w:r>
            <w:r>
              <w:rPr>
                <w:rFonts w:ascii="宋体" w:hAnsi="宋体" w:cs="宋体" w:eastAsia="宋体" w:hint="default"/>
                <w:spacing w:val="-3"/>
                <w:sz w:val="18"/>
                <w:szCs w:val="18"/>
              </w:rPr>
              <w:t>企业的投资收益</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102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3"/>
              <w:ind w:left="105" w:right="84" w:firstLine="1080"/>
              <w:jc w:val="left"/>
              <w:rPr>
                <w:rFonts w:ascii="宋体" w:hAnsi="宋体" w:cs="宋体" w:eastAsia="宋体" w:hint="default"/>
                <w:sz w:val="18"/>
                <w:szCs w:val="18"/>
              </w:rPr>
            </w:pPr>
            <w:r>
              <w:rPr>
                <w:rFonts w:ascii="宋体" w:hAnsi="宋体" w:cs="宋体" w:eastAsia="宋体" w:hint="default"/>
                <w:spacing w:val="-3"/>
                <w:sz w:val="18"/>
                <w:szCs w:val="18"/>
              </w:rPr>
              <w:t>以摊余成本计量的金</w:t>
            </w:r>
            <w:r>
              <w:rPr>
                <w:rFonts w:ascii="宋体" w:hAnsi="宋体" w:cs="宋体" w:eastAsia="宋体" w:hint="default"/>
                <w:w w:val="101"/>
                <w:sz w:val="18"/>
                <w:szCs w:val="18"/>
              </w:rPr>
              <w:t> </w:t>
            </w:r>
            <w:r>
              <w:rPr>
                <w:rFonts w:ascii="宋体" w:hAnsi="宋体" w:cs="宋体" w:eastAsia="宋体" w:hint="default"/>
                <w:spacing w:val="-3"/>
                <w:sz w:val="18"/>
                <w:szCs w:val="18"/>
              </w:rPr>
              <w:t>融资产终止确认收益（损失以“</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r>
              <w:rPr>
                <w:rFonts w:ascii="宋体" w:hAnsi="宋体" w:cs="宋体" w:eastAsia="宋体" w:hint="default"/>
                <w:spacing w:val="-40"/>
                <w:sz w:val="18"/>
                <w:szCs w:val="18"/>
              </w:rPr>
              <w:t> </w:t>
            </w:r>
            <w:r>
              <w:rPr>
                <w:rFonts w:ascii="宋体" w:hAnsi="宋体" w:cs="宋体" w:eastAsia="宋体" w:hint="default"/>
                <w:sz w:val="18"/>
                <w:szCs w:val="18"/>
              </w:rPr>
              <w:t>号填列）</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710"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05" w:right="146" w:firstLine="720"/>
              <w:jc w:val="left"/>
              <w:rPr>
                <w:rFonts w:ascii="宋体" w:hAnsi="宋体" w:cs="宋体" w:eastAsia="宋体" w:hint="default"/>
                <w:sz w:val="18"/>
                <w:szCs w:val="18"/>
              </w:rPr>
            </w:pPr>
            <w:r>
              <w:rPr>
                <w:rFonts w:ascii="宋体" w:hAnsi="宋体" w:cs="宋体" w:eastAsia="宋体" w:hint="default"/>
                <w:spacing w:val="-3"/>
                <w:sz w:val="18"/>
                <w:szCs w:val="18"/>
              </w:rPr>
              <w:t>净敞口套期收益（损失以</w:t>
            </w:r>
            <w:r>
              <w:rPr>
                <w:rFonts w:ascii="宋体" w:hAnsi="宋体" w:cs="宋体" w:eastAsia="宋体" w:hint="default"/>
                <w:w w:val="101"/>
                <w:sz w:val="18"/>
                <w:szCs w:val="18"/>
              </w:rPr>
              <w:t> </w:t>
            </w:r>
            <w:r>
              <w:rPr>
                <w:rFonts w:ascii="宋体" w:hAnsi="宋体" w:cs="宋体" w:eastAsia="宋体" w:hint="default"/>
                <w:spacing w:val="-3"/>
                <w:sz w:val="18"/>
                <w:szCs w:val="18"/>
              </w:rPr>
              <w:t>“－”号填列）</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05" w:right="146" w:firstLine="720"/>
              <w:jc w:val="left"/>
              <w:rPr>
                <w:rFonts w:ascii="宋体" w:hAnsi="宋体" w:cs="宋体" w:eastAsia="宋体" w:hint="default"/>
                <w:sz w:val="18"/>
                <w:szCs w:val="18"/>
              </w:rPr>
            </w:pPr>
            <w:r>
              <w:rPr>
                <w:rFonts w:ascii="宋体" w:hAnsi="宋体" w:cs="宋体" w:eastAsia="宋体" w:hint="default"/>
                <w:spacing w:val="-3"/>
                <w:sz w:val="18"/>
                <w:szCs w:val="18"/>
              </w:rPr>
              <w:t>公允价值变动收益（损失</w:t>
            </w:r>
            <w:r>
              <w:rPr>
                <w:rFonts w:ascii="宋体" w:hAnsi="宋体" w:cs="宋体" w:eastAsia="宋体" w:hint="default"/>
                <w:w w:val="101"/>
                <w:sz w:val="18"/>
                <w:szCs w:val="18"/>
              </w:rPr>
              <w:t> </w:t>
            </w:r>
            <w:r>
              <w:rPr>
                <w:rFonts w:ascii="宋体" w:hAnsi="宋体" w:cs="宋体" w:eastAsia="宋体" w:hint="default"/>
                <w:sz w:val="18"/>
                <w:szCs w:val="18"/>
              </w:rPr>
              <w:t>以“－”号填列）</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364,050.00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-364,050.00</w:t>
            </w:r>
          </w:p>
        </w:tc>
      </w:tr>
      <w:tr>
        <w:trPr>
          <w:trHeight w:val="716"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4" w:lineRule="auto" w:before="54"/>
              <w:ind w:left="105" w:right="2" w:firstLine="720"/>
              <w:jc w:val="left"/>
              <w:rPr>
                <w:rFonts w:ascii="宋体" w:hAnsi="宋体" w:cs="宋体" w:eastAsia="宋体" w:hint="default"/>
                <w:sz w:val="18"/>
                <w:szCs w:val="18"/>
              </w:rPr>
            </w:pPr>
            <w:r>
              <w:rPr>
                <w:rFonts w:ascii="宋体" w:hAnsi="宋体" w:cs="宋体" w:eastAsia="宋体" w:hint="default"/>
                <w:spacing w:val="-10"/>
                <w:sz w:val="18"/>
                <w:szCs w:val="18"/>
              </w:rPr>
              <w:t>信用减值损失（损失以“</w:t>
            </w:r>
            <w:r>
              <w:rPr>
                <w:rFonts w:ascii="Times New Roman" w:hAnsi="Times New Roman" w:cs="Times New Roman" w:eastAsia="Times New Roman" w:hint="default"/>
                <w:spacing w:val="-10"/>
                <w:sz w:val="18"/>
                <w:szCs w:val="18"/>
              </w:rPr>
              <w:t>-</w:t>
            </w:r>
            <w:r>
              <w:rPr>
                <w:rFonts w:ascii="宋体" w:hAnsi="宋体" w:cs="宋体" w:eastAsia="宋体" w:hint="default"/>
                <w:spacing w:val="-10"/>
                <w:sz w:val="18"/>
                <w:szCs w:val="18"/>
              </w:rPr>
              <w:t>”</w:t>
            </w:r>
            <w:r>
              <w:rPr>
                <w:rFonts w:ascii="宋体" w:hAnsi="宋体" w:cs="宋体" w:eastAsia="宋体" w:hint="default"/>
                <w:w w:val="101"/>
                <w:sz w:val="18"/>
                <w:szCs w:val="18"/>
              </w:rPr>
              <w:t> </w:t>
            </w:r>
            <w:r>
              <w:rPr>
                <w:rFonts w:ascii="宋体" w:hAnsi="宋体" w:cs="宋体" w:eastAsia="宋体" w:hint="default"/>
                <w:sz w:val="18"/>
                <w:szCs w:val="18"/>
              </w:rPr>
              <w:t>号填列）</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-1,476,946.09</w:t>
            </w: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105" w:right="2" w:firstLine="720"/>
              <w:jc w:val="left"/>
              <w:rPr>
                <w:rFonts w:ascii="宋体" w:hAnsi="宋体" w:cs="宋体" w:eastAsia="宋体" w:hint="default"/>
                <w:sz w:val="18"/>
                <w:szCs w:val="18"/>
              </w:rPr>
            </w:pPr>
            <w:r>
              <w:rPr>
                <w:rFonts w:ascii="宋体" w:hAnsi="宋体" w:cs="宋体" w:eastAsia="宋体" w:hint="default"/>
                <w:spacing w:val="-10"/>
                <w:sz w:val="18"/>
                <w:szCs w:val="18"/>
              </w:rPr>
              <w:t>资产减值损失（损失以“</w:t>
            </w:r>
            <w:r>
              <w:rPr>
                <w:rFonts w:ascii="Times New Roman" w:hAnsi="Times New Roman" w:cs="Times New Roman" w:eastAsia="Times New Roman" w:hint="default"/>
                <w:spacing w:val="-10"/>
                <w:sz w:val="18"/>
                <w:szCs w:val="18"/>
              </w:rPr>
              <w:t>-</w:t>
            </w:r>
            <w:r>
              <w:rPr>
                <w:rFonts w:ascii="宋体" w:hAnsi="宋体" w:cs="宋体" w:eastAsia="宋体" w:hint="default"/>
                <w:spacing w:val="-10"/>
                <w:sz w:val="18"/>
                <w:szCs w:val="18"/>
              </w:rPr>
              <w:t>”</w:t>
            </w:r>
            <w:r>
              <w:rPr>
                <w:rFonts w:ascii="宋体" w:hAnsi="宋体" w:cs="宋体" w:eastAsia="宋体" w:hint="default"/>
                <w:w w:val="101"/>
                <w:sz w:val="18"/>
                <w:szCs w:val="18"/>
              </w:rPr>
              <w:t> </w:t>
            </w:r>
            <w:r>
              <w:rPr>
                <w:rFonts w:ascii="宋体" w:hAnsi="宋体" w:cs="宋体" w:eastAsia="宋体" w:hint="default"/>
                <w:sz w:val="18"/>
                <w:szCs w:val="18"/>
              </w:rPr>
              <w:t>号填列）</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35,145.84</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4,662,994.82</w:t>
            </w:r>
          </w:p>
        </w:tc>
      </w:tr>
      <w:tr>
        <w:trPr>
          <w:trHeight w:val="71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105" w:right="2" w:firstLine="720"/>
              <w:jc w:val="left"/>
              <w:rPr>
                <w:rFonts w:ascii="宋体" w:hAnsi="宋体" w:cs="宋体" w:eastAsia="宋体" w:hint="default"/>
                <w:sz w:val="18"/>
                <w:szCs w:val="18"/>
              </w:rPr>
            </w:pPr>
            <w:r>
              <w:rPr>
                <w:rFonts w:ascii="宋体" w:hAnsi="宋体" w:cs="宋体" w:eastAsia="宋体" w:hint="default"/>
                <w:spacing w:val="-10"/>
                <w:sz w:val="18"/>
                <w:szCs w:val="18"/>
              </w:rPr>
              <w:t>资产处置收益（损失以“</w:t>
            </w:r>
            <w:r>
              <w:rPr>
                <w:rFonts w:ascii="Times New Roman" w:hAnsi="Times New Roman" w:cs="Times New Roman" w:eastAsia="Times New Roman" w:hint="default"/>
                <w:spacing w:val="-10"/>
                <w:sz w:val="18"/>
                <w:szCs w:val="18"/>
              </w:rPr>
              <w:t>-</w:t>
            </w:r>
            <w:r>
              <w:rPr>
                <w:rFonts w:ascii="宋体" w:hAnsi="宋体" w:cs="宋体" w:eastAsia="宋体" w:hint="default"/>
                <w:spacing w:val="-10"/>
                <w:sz w:val="18"/>
                <w:szCs w:val="18"/>
              </w:rPr>
              <w:t>”</w:t>
            </w:r>
            <w:r>
              <w:rPr>
                <w:rFonts w:ascii="宋体" w:hAnsi="宋体" w:cs="宋体" w:eastAsia="宋体" w:hint="default"/>
                <w:w w:val="101"/>
                <w:sz w:val="18"/>
                <w:szCs w:val="18"/>
              </w:rPr>
              <w:t> </w:t>
            </w:r>
            <w:r>
              <w:rPr>
                <w:rFonts w:ascii="宋体" w:hAnsi="宋体" w:cs="宋体" w:eastAsia="宋体" w:hint="default"/>
                <w:sz w:val="18"/>
                <w:szCs w:val="18"/>
              </w:rPr>
              <w:t>号填列）</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-497,069.43</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-44,855.32</w:t>
            </w:r>
          </w:p>
        </w:tc>
      </w:tr>
      <w:tr>
        <w:trPr>
          <w:trHeight w:val="715"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05" w:right="147"/>
              <w:jc w:val="left"/>
              <w:rPr>
                <w:rFonts w:ascii="宋体" w:hAnsi="宋体" w:cs="宋体" w:eastAsia="宋体" w:hint="default"/>
                <w:sz w:val="18"/>
                <w:szCs w:val="18"/>
              </w:rPr>
            </w:pPr>
            <w:r>
              <w:rPr>
                <w:rFonts w:ascii="宋体" w:hAnsi="宋体" w:cs="宋体" w:eastAsia="宋体" w:hint="default"/>
                <w:spacing w:val="-3"/>
                <w:sz w:val="18"/>
                <w:szCs w:val="18"/>
              </w:rPr>
              <w:t>二、营业利润（亏损以“－”号填</w:t>
            </w:r>
            <w:r>
              <w:rPr>
                <w:rFonts w:ascii="宋体" w:hAnsi="宋体" w:cs="宋体" w:eastAsia="宋体" w:hint="default"/>
                <w:spacing w:val="-44"/>
                <w:sz w:val="18"/>
                <w:szCs w:val="18"/>
              </w:rPr>
              <w:t> </w:t>
            </w:r>
            <w:r>
              <w:rPr>
                <w:rFonts w:ascii="宋体" w:hAnsi="宋体" w:cs="宋体" w:eastAsia="宋体" w:hint="default"/>
                <w:spacing w:val="-44"/>
                <w:sz w:val="18"/>
                <w:szCs w:val="18"/>
              </w:rPr>
            </w:r>
            <w:r>
              <w:rPr>
                <w:rFonts w:ascii="宋体" w:hAnsi="宋体" w:cs="宋体" w:eastAsia="宋体" w:hint="default"/>
                <w:sz w:val="18"/>
                <w:szCs w:val="18"/>
              </w:rPr>
              <w:t>列）</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184,719,348.40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32,503,097.00</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加：营业外收入</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48,496.14</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76,990.36</w:t>
            </w: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减：营业外支出</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pacing w:val="-1"/>
                <w:sz w:val="18"/>
              </w:rPr>
              <w:t>1,145,398.86</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144,482.22</w:t>
            </w:r>
          </w:p>
        </w:tc>
      </w:tr>
      <w:tr>
        <w:trPr>
          <w:trHeight w:val="710"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05" w:right="147"/>
              <w:jc w:val="left"/>
              <w:rPr>
                <w:rFonts w:ascii="宋体" w:hAnsi="宋体" w:cs="宋体" w:eastAsia="宋体" w:hint="default"/>
                <w:sz w:val="18"/>
                <w:szCs w:val="18"/>
              </w:rPr>
            </w:pPr>
            <w:r>
              <w:rPr>
                <w:rFonts w:ascii="宋体" w:hAnsi="宋体" w:cs="宋体" w:eastAsia="宋体" w:hint="default"/>
                <w:spacing w:val="-3"/>
                <w:sz w:val="18"/>
                <w:szCs w:val="18"/>
              </w:rPr>
              <w:t>三、利润总额（亏损总额以“－”</w:t>
            </w:r>
            <w:r>
              <w:rPr>
                <w:rFonts w:ascii="宋体" w:hAnsi="宋体" w:cs="宋体" w:eastAsia="宋体" w:hint="default"/>
                <w:spacing w:val="-44"/>
                <w:sz w:val="18"/>
                <w:szCs w:val="18"/>
              </w:rPr>
              <w:t> </w:t>
            </w:r>
            <w:r>
              <w:rPr>
                <w:rFonts w:ascii="宋体" w:hAnsi="宋体" w:cs="宋体" w:eastAsia="宋体" w:hint="default"/>
                <w:spacing w:val="-44"/>
                <w:sz w:val="18"/>
                <w:szCs w:val="18"/>
              </w:rPr>
            </w:r>
            <w:r>
              <w:rPr>
                <w:rFonts w:ascii="宋体" w:hAnsi="宋体" w:cs="宋体" w:eastAsia="宋体" w:hint="default"/>
                <w:sz w:val="18"/>
                <w:szCs w:val="18"/>
              </w:rPr>
              <w:t>号填列）</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183,622,445.68</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32,435,605.14</w:t>
            </w:r>
          </w:p>
        </w:tc>
      </w:tr>
    </w:tbl>
    <w:p>
      <w:pPr>
        <w:spacing w:after="0" w:line="240" w:lineRule="auto"/>
        <w:jc w:val="right"/>
        <w:rPr>
          <w:rFonts w:ascii="Times New Roman" w:hAnsi="Times New Roman" w:cs="Times New Roman" w:eastAsia="Times New Roman" w:hint="default"/>
          <w:sz w:val="18"/>
          <w:szCs w:val="18"/>
        </w:rPr>
        <w:sectPr>
          <w:footerReference w:type="default" r:id="rId47"/>
          <w:pgSz w:w="11910" w:h="16840"/>
          <w:pgMar w:footer="1022" w:header="784" w:top="1100" w:bottom="1220" w:left="980" w:right="0"/>
        </w:sectPr>
      </w:pPr>
    </w:p>
    <w:p>
      <w:pPr>
        <w:spacing w:line="240" w:lineRule="auto" w:before="1"/>
        <w:rPr>
          <w:rFonts w:ascii="Times New Roman" w:hAnsi="Times New Roman" w:cs="Times New Roman" w:eastAsia="Times New Roman" w:hint="default"/>
          <w:sz w:val="29"/>
          <w:szCs w:val="29"/>
        </w:rPr>
      </w:pPr>
    </w:p>
    <w:tbl>
      <w:tblPr>
        <w:tblW w:w="0" w:type="auto"/>
        <w:jc w:val="left"/>
        <w:tblInd w:w="148" w:type="dxa"/>
        <w:tblLayout w:type="fixed"/>
        <w:tblCellMar>
          <w:top w:w="0" w:type="dxa"/>
          <w:left w:w="0" w:type="dxa"/>
          <w:bottom w:w="0" w:type="dxa"/>
          <w:right w:w="0" w:type="dxa"/>
        </w:tblCellMar>
        <w:tblLook w:val="01E0"/>
      </w:tblPr>
      <w:tblGrid>
        <w:gridCol w:w="2967"/>
        <w:gridCol w:w="3304"/>
        <w:gridCol w:w="3299"/>
      </w:tblGrid>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减：所得税费用</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14,501,048.27</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3,208,128.01</w:t>
            </w:r>
          </w:p>
        </w:tc>
      </w:tr>
      <w:tr>
        <w:trPr>
          <w:trHeight w:val="71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05" w:right="147"/>
              <w:jc w:val="left"/>
              <w:rPr>
                <w:rFonts w:ascii="宋体" w:hAnsi="宋体" w:cs="宋体" w:eastAsia="宋体" w:hint="default"/>
                <w:sz w:val="18"/>
                <w:szCs w:val="18"/>
              </w:rPr>
            </w:pPr>
            <w:r>
              <w:rPr>
                <w:rFonts w:ascii="宋体" w:hAnsi="宋体" w:cs="宋体" w:eastAsia="宋体" w:hint="default"/>
                <w:spacing w:val="-3"/>
                <w:sz w:val="18"/>
                <w:szCs w:val="18"/>
              </w:rPr>
              <w:t>四、净利润（净亏损以“－”号填</w:t>
            </w:r>
            <w:r>
              <w:rPr>
                <w:rFonts w:ascii="宋体" w:hAnsi="宋体" w:cs="宋体" w:eastAsia="宋体" w:hint="default"/>
                <w:spacing w:val="-44"/>
                <w:sz w:val="18"/>
                <w:szCs w:val="18"/>
              </w:rPr>
              <w:t> </w:t>
            </w:r>
            <w:r>
              <w:rPr>
                <w:rFonts w:ascii="宋体" w:hAnsi="宋体" w:cs="宋体" w:eastAsia="宋体" w:hint="default"/>
                <w:spacing w:val="-44"/>
                <w:sz w:val="18"/>
                <w:szCs w:val="18"/>
              </w:rPr>
            </w:r>
            <w:r>
              <w:rPr>
                <w:rFonts w:ascii="宋体" w:hAnsi="宋体" w:cs="宋体" w:eastAsia="宋体" w:hint="default"/>
                <w:sz w:val="18"/>
                <w:szCs w:val="18"/>
              </w:rPr>
              <w:t>列）</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169,121,397.41</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29,227,477.13</w:t>
            </w:r>
          </w:p>
        </w:tc>
      </w:tr>
      <w:tr>
        <w:trPr>
          <w:trHeight w:val="715"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8"/>
              <w:ind w:left="105" w:right="147" w:firstLine="360"/>
              <w:jc w:val="left"/>
              <w:rPr>
                <w:rFonts w:ascii="宋体" w:hAnsi="宋体" w:cs="宋体" w:eastAsia="宋体" w:hint="default"/>
                <w:sz w:val="18"/>
                <w:szCs w:val="18"/>
              </w:rPr>
            </w:pPr>
            <w:r>
              <w:rPr>
                <w:rFonts w:ascii="宋体" w:hAnsi="宋体" w:cs="宋体" w:eastAsia="宋体" w:hint="default"/>
                <w:spacing w:val="-3"/>
                <w:sz w:val="18"/>
                <w:szCs w:val="18"/>
              </w:rPr>
              <w:t>（一）持续经营净利润（净亏</w:t>
            </w:r>
            <w:r>
              <w:rPr>
                <w:rFonts w:ascii="宋体" w:hAnsi="宋体" w:cs="宋体" w:eastAsia="宋体" w:hint="default"/>
                <w:w w:val="101"/>
                <w:sz w:val="18"/>
                <w:szCs w:val="18"/>
              </w:rPr>
              <w:t> </w:t>
            </w:r>
            <w:r>
              <w:rPr>
                <w:rFonts w:ascii="宋体" w:hAnsi="宋体" w:cs="宋体" w:eastAsia="宋体" w:hint="default"/>
                <w:spacing w:val="-3"/>
                <w:sz w:val="18"/>
                <w:szCs w:val="18"/>
              </w:rPr>
              <w:t>损以“－”号填列）</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169,121,397.41</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29,227,477.13</w:t>
            </w:r>
          </w:p>
        </w:tc>
      </w:tr>
      <w:tr>
        <w:trPr>
          <w:trHeight w:val="715"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05" w:right="147" w:firstLine="360"/>
              <w:jc w:val="left"/>
              <w:rPr>
                <w:rFonts w:ascii="宋体" w:hAnsi="宋体" w:cs="宋体" w:eastAsia="宋体" w:hint="default"/>
                <w:sz w:val="18"/>
                <w:szCs w:val="18"/>
              </w:rPr>
            </w:pPr>
            <w:r>
              <w:rPr>
                <w:rFonts w:ascii="宋体" w:hAnsi="宋体" w:cs="宋体" w:eastAsia="宋体" w:hint="default"/>
                <w:spacing w:val="-3"/>
                <w:sz w:val="18"/>
                <w:szCs w:val="18"/>
              </w:rPr>
              <w:t>（二）终止经营净利润（净亏</w:t>
            </w:r>
            <w:r>
              <w:rPr>
                <w:rFonts w:ascii="宋体" w:hAnsi="宋体" w:cs="宋体" w:eastAsia="宋体" w:hint="default"/>
                <w:w w:val="101"/>
                <w:sz w:val="18"/>
                <w:szCs w:val="18"/>
              </w:rPr>
              <w:t> </w:t>
            </w:r>
            <w:r>
              <w:rPr>
                <w:rFonts w:ascii="宋体" w:hAnsi="宋体" w:cs="宋体" w:eastAsia="宋体" w:hint="default"/>
                <w:spacing w:val="-3"/>
                <w:sz w:val="18"/>
                <w:szCs w:val="18"/>
              </w:rPr>
              <w:t>损以“－”号填列）</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pacing w:val="-3"/>
                <w:sz w:val="18"/>
                <w:szCs w:val="18"/>
              </w:rPr>
              <w:t>五、其他综合收益的税后净额</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710"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05" w:right="146" w:firstLine="360"/>
              <w:jc w:val="left"/>
              <w:rPr>
                <w:rFonts w:ascii="宋体" w:hAnsi="宋体" w:cs="宋体" w:eastAsia="宋体" w:hint="default"/>
                <w:sz w:val="18"/>
                <w:szCs w:val="18"/>
              </w:rPr>
            </w:pPr>
            <w:r>
              <w:rPr>
                <w:rFonts w:ascii="宋体" w:hAnsi="宋体" w:cs="宋体" w:eastAsia="宋体" w:hint="default"/>
                <w:spacing w:val="-3"/>
                <w:sz w:val="18"/>
                <w:szCs w:val="18"/>
              </w:rPr>
              <w:t>（一）不能重分类进损益的其</w:t>
            </w:r>
            <w:r>
              <w:rPr>
                <w:rFonts w:ascii="宋体" w:hAnsi="宋体" w:cs="宋体" w:eastAsia="宋体" w:hint="default"/>
                <w:w w:val="101"/>
                <w:sz w:val="18"/>
                <w:szCs w:val="18"/>
              </w:rPr>
              <w:t> </w:t>
            </w:r>
            <w:r>
              <w:rPr>
                <w:rFonts w:ascii="宋体" w:hAnsi="宋体" w:cs="宋体" w:eastAsia="宋体" w:hint="default"/>
                <w:sz w:val="18"/>
                <w:szCs w:val="18"/>
              </w:rPr>
              <w:t>他综合收益</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008"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重新计量设定受益计</w:t>
            </w:r>
          </w:p>
          <w:p>
            <w:pPr>
              <w:pStyle w:val="TableParagraph"/>
              <w:spacing w:line="240" w:lineRule="auto" w:before="63"/>
              <w:ind w:left="105" w:right="0"/>
              <w:jc w:val="left"/>
              <w:rPr>
                <w:rFonts w:ascii="宋体" w:hAnsi="宋体" w:cs="宋体" w:eastAsia="宋体" w:hint="default"/>
                <w:sz w:val="18"/>
                <w:szCs w:val="18"/>
              </w:rPr>
            </w:pPr>
            <w:r>
              <w:rPr>
                <w:rFonts w:ascii="宋体" w:hAnsi="宋体" w:cs="宋体" w:eastAsia="宋体" w:hint="default"/>
                <w:sz w:val="18"/>
                <w:szCs w:val="18"/>
              </w:rPr>
              <w:t>划变动额</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4" w:lineRule="auto" w:before="54"/>
              <w:ind w:left="105" w:right="190" w:firstLine="902"/>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权益法下不能转损益</w:t>
            </w:r>
            <w:r>
              <w:rPr>
                <w:rFonts w:ascii="宋体" w:hAnsi="宋体" w:cs="宋体" w:eastAsia="宋体" w:hint="default"/>
                <w:w w:val="101"/>
                <w:sz w:val="18"/>
                <w:szCs w:val="18"/>
              </w:rPr>
              <w:t> </w:t>
            </w:r>
            <w:r>
              <w:rPr>
                <w:rFonts w:ascii="宋体" w:hAnsi="宋体" w:cs="宋体" w:eastAsia="宋体" w:hint="default"/>
                <w:spacing w:val="-3"/>
                <w:sz w:val="18"/>
                <w:szCs w:val="18"/>
              </w:rPr>
              <w:t>的其他综合收益</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08"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其他权益工具投资公</w:t>
            </w:r>
          </w:p>
          <w:p>
            <w:pPr>
              <w:pStyle w:val="TableParagraph"/>
              <w:spacing w:line="240" w:lineRule="auto" w:before="63"/>
              <w:ind w:left="105" w:right="0"/>
              <w:jc w:val="left"/>
              <w:rPr>
                <w:rFonts w:ascii="宋体" w:hAnsi="宋体" w:cs="宋体" w:eastAsia="宋体" w:hint="default"/>
                <w:sz w:val="18"/>
                <w:szCs w:val="18"/>
              </w:rPr>
            </w:pPr>
            <w:r>
              <w:rPr>
                <w:rFonts w:ascii="宋体" w:hAnsi="宋体" w:cs="宋体" w:eastAsia="宋体" w:hint="default"/>
                <w:sz w:val="18"/>
                <w:szCs w:val="18"/>
              </w:rPr>
              <w:t>允价值变动</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71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08"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企业自身信用风险公</w:t>
            </w:r>
          </w:p>
          <w:p>
            <w:pPr>
              <w:pStyle w:val="TableParagraph"/>
              <w:spacing w:line="240" w:lineRule="auto" w:before="63"/>
              <w:ind w:left="105" w:right="0"/>
              <w:jc w:val="left"/>
              <w:rPr>
                <w:rFonts w:ascii="宋体" w:hAnsi="宋体" w:cs="宋体" w:eastAsia="宋体" w:hint="default"/>
                <w:sz w:val="18"/>
                <w:szCs w:val="18"/>
              </w:rPr>
            </w:pPr>
            <w:r>
              <w:rPr>
                <w:rFonts w:ascii="宋体" w:hAnsi="宋体" w:cs="宋体" w:eastAsia="宋体" w:hint="default"/>
                <w:sz w:val="18"/>
                <w:szCs w:val="18"/>
              </w:rPr>
              <w:t>允价值变动</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right="439"/>
              <w:jc w:val="center"/>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05" w:right="147" w:firstLine="360"/>
              <w:jc w:val="left"/>
              <w:rPr>
                <w:rFonts w:ascii="宋体" w:hAnsi="宋体" w:cs="宋体" w:eastAsia="宋体" w:hint="default"/>
                <w:sz w:val="18"/>
                <w:szCs w:val="18"/>
              </w:rPr>
            </w:pPr>
            <w:r>
              <w:rPr>
                <w:rFonts w:ascii="宋体" w:hAnsi="宋体" w:cs="宋体" w:eastAsia="宋体" w:hint="default"/>
                <w:spacing w:val="-3"/>
                <w:sz w:val="18"/>
                <w:szCs w:val="18"/>
              </w:rPr>
              <w:t>（二）将重分类进损益的其他</w:t>
            </w:r>
            <w:r>
              <w:rPr>
                <w:rFonts w:ascii="宋体" w:hAnsi="宋体" w:cs="宋体" w:eastAsia="宋体" w:hint="default"/>
                <w:w w:val="101"/>
                <w:sz w:val="18"/>
                <w:szCs w:val="18"/>
              </w:rPr>
              <w:t> </w:t>
            </w:r>
            <w:r>
              <w:rPr>
                <w:rFonts w:ascii="宋体" w:hAnsi="宋体" w:cs="宋体" w:eastAsia="宋体" w:hint="default"/>
                <w:sz w:val="18"/>
                <w:szCs w:val="18"/>
              </w:rPr>
              <w:t>综合收益</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4"/>
              <w:ind w:left="105" w:right="190" w:firstLine="902"/>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权益法下可转损益的</w:t>
            </w:r>
            <w:r>
              <w:rPr>
                <w:rFonts w:ascii="宋体" w:hAnsi="宋体" w:cs="宋体" w:eastAsia="宋体" w:hint="default"/>
                <w:w w:val="101"/>
                <w:sz w:val="18"/>
                <w:szCs w:val="18"/>
              </w:rPr>
              <w:t> </w:t>
            </w:r>
            <w:r>
              <w:rPr>
                <w:rFonts w:ascii="宋体" w:hAnsi="宋体" w:cs="宋体" w:eastAsia="宋体" w:hint="default"/>
                <w:sz w:val="18"/>
                <w:szCs w:val="18"/>
              </w:rPr>
              <w:t>其他综合收益</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710"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08"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其他债权投资公允价</w:t>
            </w:r>
          </w:p>
          <w:p>
            <w:pPr>
              <w:pStyle w:val="TableParagraph"/>
              <w:spacing w:line="240" w:lineRule="auto" w:before="63"/>
              <w:ind w:left="105" w:right="0"/>
              <w:jc w:val="left"/>
              <w:rPr>
                <w:rFonts w:ascii="宋体" w:hAnsi="宋体" w:cs="宋体" w:eastAsia="宋体" w:hint="default"/>
                <w:sz w:val="18"/>
                <w:szCs w:val="18"/>
              </w:rPr>
            </w:pPr>
            <w:r>
              <w:rPr>
                <w:rFonts w:ascii="宋体" w:hAnsi="宋体" w:cs="宋体" w:eastAsia="宋体" w:hint="default"/>
                <w:sz w:val="18"/>
                <w:szCs w:val="18"/>
              </w:rPr>
              <w:t>值变动</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8"/>
              <w:ind w:left="105" w:right="190" w:firstLine="902"/>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可供出售金融资产公</w:t>
            </w:r>
            <w:r>
              <w:rPr>
                <w:rFonts w:ascii="宋体" w:hAnsi="宋体" w:cs="宋体" w:eastAsia="宋体" w:hint="default"/>
                <w:w w:val="101"/>
                <w:sz w:val="18"/>
                <w:szCs w:val="18"/>
              </w:rPr>
              <w:t> </w:t>
            </w:r>
            <w:r>
              <w:rPr>
                <w:rFonts w:ascii="宋体" w:hAnsi="宋体" w:cs="宋体" w:eastAsia="宋体" w:hint="default"/>
                <w:spacing w:val="-3"/>
                <w:sz w:val="18"/>
                <w:szCs w:val="18"/>
              </w:rPr>
              <w:t>允价值变动损益</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4" w:lineRule="auto" w:before="53"/>
              <w:ind w:left="105" w:right="190" w:firstLine="902"/>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金融资产重分类计入</w:t>
            </w:r>
            <w:r>
              <w:rPr>
                <w:rFonts w:ascii="宋体" w:hAnsi="宋体" w:cs="宋体" w:eastAsia="宋体" w:hint="default"/>
                <w:w w:val="101"/>
                <w:sz w:val="18"/>
                <w:szCs w:val="18"/>
              </w:rPr>
              <w:t> </w:t>
            </w:r>
            <w:r>
              <w:rPr>
                <w:rFonts w:ascii="宋体" w:hAnsi="宋体" w:cs="宋体" w:eastAsia="宋体" w:hint="default"/>
                <w:spacing w:val="-3"/>
                <w:sz w:val="18"/>
                <w:szCs w:val="18"/>
              </w:rPr>
              <w:t>其他综合收益的金额</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105" w:right="190" w:firstLine="902"/>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5.</w:t>
            </w:r>
            <w:r>
              <w:rPr>
                <w:rFonts w:ascii="宋体" w:hAnsi="宋体" w:cs="宋体" w:eastAsia="宋体" w:hint="default"/>
                <w:spacing w:val="-3"/>
                <w:sz w:val="18"/>
                <w:szCs w:val="18"/>
              </w:rPr>
              <w:t>持有至到期投资重分</w:t>
            </w:r>
            <w:r>
              <w:rPr>
                <w:rFonts w:ascii="宋体" w:hAnsi="宋体" w:cs="宋体" w:eastAsia="宋体" w:hint="default"/>
                <w:w w:val="101"/>
                <w:sz w:val="18"/>
                <w:szCs w:val="18"/>
              </w:rPr>
              <w:t> </w:t>
            </w:r>
            <w:r>
              <w:rPr>
                <w:rFonts w:ascii="宋体" w:hAnsi="宋体" w:cs="宋体" w:eastAsia="宋体" w:hint="default"/>
                <w:spacing w:val="-3"/>
                <w:sz w:val="18"/>
                <w:szCs w:val="18"/>
              </w:rPr>
              <w:t>类为可供出售金融资产损益</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710"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08"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6.</w:t>
            </w:r>
            <w:r>
              <w:rPr>
                <w:rFonts w:ascii="宋体" w:hAnsi="宋体" w:cs="宋体" w:eastAsia="宋体" w:hint="default"/>
                <w:spacing w:val="-3"/>
                <w:sz w:val="18"/>
                <w:szCs w:val="18"/>
              </w:rPr>
              <w:t>其他债权投资信用减</w:t>
            </w:r>
          </w:p>
          <w:p>
            <w:pPr>
              <w:pStyle w:val="TableParagraph"/>
              <w:spacing w:line="240" w:lineRule="auto" w:before="63"/>
              <w:ind w:left="105" w:right="0"/>
              <w:jc w:val="left"/>
              <w:rPr>
                <w:rFonts w:ascii="宋体" w:hAnsi="宋体" w:cs="宋体" w:eastAsia="宋体" w:hint="default"/>
                <w:sz w:val="18"/>
                <w:szCs w:val="18"/>
              </w:rPr>
            </w:pPr>
            <w:r>
              <w:rPr>
                <w:rFonts w:ascii="宋体" w:hAnsi="宋体" w:cs="宋体" w:eastAsia="宋体" w:hint="default"/>
                <w:sz w:val="18"/>
                <w:szCs w:val="18"/>
              </w:rPr>
              <w:t>值准备</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0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现金流量套期储备</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08"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8.</w:t>
            </w:r>
            <w:r>
              <w:rPr>
                <w:rFonts w:ascii="宋体" w:hAnsi="宋体" w:cs="宋体" w:eastAsia="宋体" w:hint="default"/>
                <w:spacing w:val="-3"/>
                <w:sz w:val="18"/>
                <w:szCs w:val="18"/>
              </w:rPr>
              <w:t>外币财务报表折算差</w:t>
            </w:r>
          </w:p>
          <w:p>
            <w:pPr>
              <w:pStyle w:val="TableParagraph"/>
              <w:spacing w:line="240" w:lineRule="auto" w:before="68"/>
              <w:ind w:left="105" w:right="0"/>
              <w:jc w:val="left"/>
              <w:rPr>
                <w:rFonts w:ascii="宋体" w:hAnsi="宋体" w:cs="宋体" w:eastAsia="宋体" w:hint="default"/>
                <w:sz w:val="18"/>
                <w:szCs w:val="18"/>
              </w:rPr>
            </w:pPr>
            <w:r>
              <w:rPr>
                <w:rFonts w:ascii="宋体" w:hAnsi="宋体" w:cs="宋体" w:eastAsia="宋体" w:hint="default"/>
                <w:w w:val="101"/>
                <w:sz w:val="18"/>
                <w:szCs w:val="18"/>
              </w:rPr>
              <w:t>额</w:t>
            </w:r>
            <w:r>
              <w:rPr>
                <w:rFonts w:ascii="宋体" w:hAnsi="宋体" w:cs="宋体" w:eastAsia="宋体" w:hint="default"/>
                <w:sz w:val="18"/>
                <w:szCs w:val="18"/>
              </w:rPr>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439"/>
              <w:jc w:val="center"/>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宋体" w:hAnsi="宋体" w:cs="宋体" w:eastAsia="宋体" w:hint="default"/>
                <w:sz w:val="18"/>
                <w:szCs w:val="18"/>
              </w:rPr>
              <w:t>其他</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六、综合收益总额</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169,121,397.41</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29,227,477.13</w:t>
            </w:r>
          </w:p>
        </w:tc>
      </w:tr>
    </w:tbl>
    <w:p>
      <w:pPr>
        <w:spacing w:after="0" w:line="240" w:lineRule="auto"/>
        <w:jc w:val="right"/>
        <w:rPr>
          <w:rFonts w:ascii="Times New Roman" w:hAnsi="Times New Roman" w:cs="Times New Roman" w:eastAsia="Times New Roman" w:hint="default"/>
          <w:sz w:val="18"/>
          <w:szCs w:val="18"/>
        </w:rPr>
        <w:sectPr>
          <w:footerReference w:type="default" r:id="rId48"/>
          <w:pgSz w:w="11910" w:h="16840"/>
          <w:pgMar w:footer="1022" w:header="784" w:top="1100" w:bottom="1220" w:left="980" w:right="0"/>
          <w:pgNumType w:start="101"/>
        </w:sectPr>
      </w:pPr>
    </w:p>
    <w:p>
      <w:pPr>
        <w:spacing w:line="240" w:lineRule="auto" w:before="1"/>
        <w:rPr>
          <w:rFonts w:ascii="Times New Roman" w:hAnsi="Times New Roman" w:cs="Times New Roman" w:eastAsia="Times New Roman" w:hint="default"/>
          <w:sz w:val="29"/>
          <w:szCs w:val="29"/>
        </w:rPr>
      </w:pPr>
    </w:p>
    <w:tbl>
      <w:tblPr>
        <w:tblW w:w="0" w:type="auto"/>
        <w:jc w:val="left"/>
        <w:tblInd w:w="148" w:type="dxa"/>
        <w:tblLayout w:type="fixed"/>
        <w:tblCellMar>
          <w:top w:w="0" w:type="dxa"/>
          <w:left w:w="0" w:type="dxa"/>
          <w:bottom w:w="0" w:type="dxa"/>
          <w:right w:w="0" w:type="dxa"/>
        </w:tblCellMar>
        <w:tblLook w:val="01E0"/>
      </w:tblPr>
      <w:tblGrid>
        <w:gridCol w:w="2967"/>
        <w:gridCol w:w="3304"/>
        <w:gridCol w:w="3299"/>
      </w:tblGrid>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七、每股收益：</w:t>
            </w:r>
          </w:p>
        </w:tc>
        <w:tc>
          <w:tcPr>
            <w:tcW w:w="330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867"/>
              <w:jc w:val="right"/>
              <w:rPr>
                <w:rFonts w:ascii="宋体" w:hAnsi="宋体" w:cs="宋体" w:eastAsia="宋体" w:hint="default"/>
                <w:sz w:val="18"/>
                <w:szCs w:val="18"/>
              </w:rPr>
            </w:pPr>
            <w:r>
              <w:rPr>
                <w:rFonts w:ascii="宋体" w:hAnsi="宋体" w:cs="宋体" w:eastAsia="宋体" w:hint="default"/>
                <w:spacing w:val="-3"/>
                <w:sz w:val="18"/>
                <w:szCs w:val="18"/>
              </w:rPr>
              <w:t>（一）基本每股收益</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z w:val="18"/>
              </w:rPr>
              <w:t>0.28</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z w:val="18"/>
              </w:rPr>
              <w:t>0.05</w:t>
            </w: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right="867"/>
              <w:jc w:val="right"/>
              <w:rPr>
                <w:rFonts w:ascii="宋体" w:hAnsi="宋体" w:cs="宋体" w:eastAsia="宋体" w:hint="default"/>
                <w:sz w:val="18"/>
                <w:szCs w:val="18"/>
              </w:rPr>
            </w:pPr>
            <w:r>
              <w:rPr>
                <w:rFonts w:ascii="宋体" w:hAnsi="宋体" w:cs="宋体" w:eastAsia="宋体" w:hint="default"/>
                <w:spacing w:val="-3"/>
                <w:sz w:val="18"/>
                <w:szCs w:val="18"/>
              </w:rPr>
              <w:t>（二）稀释每股收益</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z w:val="18"/>
              </w:rPr>
              <w:t>0.28</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z w:val="18"/>
              </w:rPr>
              <w:t>0.05</w:t>
            </w:r>
          </w:p>
        </w:tc>
      </w:tr>
    </w:tbl>
    <w:p>
      <w:pPr>
        <w:spacing w:line="240" w:lineRule="auto" w:before="10"/>
        <w:rPr>
          <w:rFonts w:ascii="Times New Roman" w:hAnsi="Times New Roman" w:cs="Times New Roman" w:eastAsia="Times New Roman" w:hint="default"/>
          <w:sz w:val="21"/>
          <w:szCs w:val="21"/>
        </w:rPr>
      </w:pPr>
    </w:p>
    <w:p>
      <w:pPr>
        <w:pStyle w:val="Heading4"/>
        <w:spacing w:line="240" w:lineRule="auto" w:before="36"/>
        <w:ind w:right="0"/>
        <w:jc w:val="left"/>
        <w:rPr>
          <w:b w:val="0"/>
          <w:bCs w:val="0"/>
        </w:rPr>
      </w:pPr>
      <w:bookmarkStart w:name="5、合并现金流量表" w:id="166"/>
      <w:bookmarkEnd w:id="166"/>
      <w:r>
        <w:rPr>
          <w:b w:val="0"/>
          <w:bCs w:val="0"/>
        </w:rPr>
      </w:r>
      <w:r>
        <w:rPr>
          <w:rFonts w:ascii="Times New Roman" w:hAnsi="Times New Roman" w:cs="Times New Roman" w:eastAsia="Times New Roman" w:hint="default"/>
        </w:rPr>
        <w:t>5</w:t>
      </w:r>
      <w:r>
        <w:rPr/>
        <w:t>、合并现金流量表</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left="0" w:right="1122"/>
        <w:jc w:val="right"/>
      </w:pPr>
      <w:r>
        <w:rPr>
          <w:spacing w:val="-2"/>
        </w:rPr>
        <w:t>单位：元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967"/>
        <w:gridCol w:w="3304"/>
        <w:gridCol w:w="3299"/>
      </w:tblGrid>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7"/>
                <w:sz w:val="18"/>
                <w:szCs w:val="18"/>
              </w:rPr>
              <w:t> </w:t>
            </w:r>
            <w:r>
              <w:rPr>
                <w:rFonts w:ascii="宋体" w:hAnsi="宋体" w:cs="宋体" w:eastAsia="宋体" w:hint="default"/>
                <w:spacing w:val="-5"/>
                <w:sz w:val="18"/>
                <w:szCs w:val="18"/>
              </w:rPr>
              <w:t>年度</w:t>
            </w:r>
            <w:r>
              <w:rPr>
                <w:rFonts w:ascii="宋体" w:hAnsi="宋体" w:cs="宋体" w:eastAsia="宋体" w:hint="default"/>
                <w:sz w:val="18"/>
                <w:szCs w:val="18"/>
              </w:rPr>
            </w:r>
          </w:p>
        </w:tc>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7"/>
                <w:sz w:val="18"/>
                <w:szCs w:val="18"/>
              </w:rPr>
              <w:t> </w:t>
            </w:r>
            <w:r>
              <w:rPr>
                <w:rFonts w:ascii="宋体" w:hAnsi="宋体" w:cs="宋体" w:eastAsia="宋体" w:hint="default"/>
                <w:spacing w:val="-5"/>
                <w:sz w:val="18"/>
                <w:szCs w:val="18"/>
              </w:rPr>
              <w:t>年度</w:t>
            </w:r>
            <w:r>
              <w:rPr>
                <w:rFonts w:ascii="宋体" w:hAnsi="宋体" w:cs="宋体" w:eastAsia="宋体" w:hint="default"/>
                <w:sz w:val="18"/>
                <w:szCs w:val="18"/>
              </w:rPr>
            </w: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一、经营活动产生的现金流量：</w:t>
            </w:r>
          </w:p>
        </w:tc>
        <w:tc>
          <w:tcPr>
            <w:tcW w:w="330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715"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pacing w:val="-3"/>
                <w:sz w:val="18"/>
                <w:szCs w:val="18"/>
              </w:rPr>
              <w:t>销售商品、提供劳务收到的现</w:t>
            </w:r>
          </w:p>
          <w:p>
            <w:pPr>
              <w:pStyle w:val="TableParagraph"/>
              <w:spacing w:line="240" w:lineRule="auto" w:before="76"/>
              <w:ind w:left="105" w:right="0"/>
              <w:jc w:val="left"/>
              <w:rPr>
                <w:rFonts w:ascii="宋体" w:hAnsi="宋体" w:cs="宋体" w:eastAsia="宋体" w:hint="default"/>
                <w:sz w:val="18"/>
                <w:szCs w:val="18"/>
              </w:rPr>
            </w:pPr>
            <w:r>
              <w:rPr>
                <w:rFonts w:ascii="宋体" w:hAnsi="宋体" w:cs="宋体" w:eastAsia="宋体" w:hint="default"/>
                <w:w w:val="101"/>
                <w:sz w:val="18"/>
                <w:szCs w:val="18"/>
              </w:rPr>
              <w:t>金</w:t>
            </w:r>
            <w:r>
              <w:rPr>
                <w:rFonts w:ascii="宋体" w:hAnsi="宋体" w:cs="宋体" w:eastAsia="宋体" w:hint="default"/>
                <w:sz w:val="18"/>
                <w:szCs w:val="18"/>
              </w:rPr>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2"/>
                <w:sz w:val="18"/>
              </w:rPr>
              <w:t>1,224,290,285.22</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2"/>
                <w:sz w:val="18"/>
              </w:rPr>
              <w:t>1,277,176,110.24</w:t>
            </w:r>
          </w:p>
        </w:tc>
      </w:tr>
      <w:tr>
        <w:trPr>
          <w:trHeight w:val="716"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4" w:lineRule="auto" w:before="53"/>
              <w:ind w:left="105" w:right="147" w:firstLine="360"/>
              <w:jc w:val="left"/>
              <w:rPr>
                <w:rFonts w:ascii="宋体" w:hAnsi="宋体" w:cs="宋体" w:eastAsia="宋体" w:hint="default"/>
                <w:sz w:val="18"/>
                <w:szCs w:val="18"/>
              </w:rPr>
            </w:pPr>
            <w:r>
              <w:rPr>
                <w:rFonts w:ascii="宋体" w:hAnsi="宋体" w:cs="宋体" w:eastAsia="宋体" w:hint="default"/>
                <w:spacing w:val="-3"/>
                <w:sz w:val="18"/>
                <w:szCs w:val="18"/>
              </w:rPr>
              <w:t>客户存款和同业存放款项净增</w:t>
            </w:r>
            <w:r>
              <w:rPr>
                <w:rFonts w:ascii="宋体" w:hAnsi="宋体" w:cs="宋体" w:eastAsia="宋体" w:hint="default"/>
                <w:w w:val="101"/>
                <w:sz w:val="18"/>
                <w:szCs w:val="18"/>
              </w:rPr>
              <w:t> </w:t>
            </w:r>
            <w:r>
              <w:rPr>
                <w:rFonts w:ascii="宋体" w:hAnsi="宋体" w:cs="宋体" w:eastAsia="宋体" w:hint="default"/>
                <w:sz w:val="18"/>
                <w:szCs w:val="18"/>
              </w:rPr>
              <w:t>加额</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向中央银行借款净增加额</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710"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05" w:right="147" w:firstLine="360"/>
              <w:jc w:val="left"/>
              <w:rPr>
                <w:rFonts w:ascii="宋体" w:hAnsi="宋体" w:cs="宋体" w:eastAsia="宋体" w:hint="default"/>
                <w:sz w:val="18"/>
                <w:szCs w:val="18"/>
              </w:rPr>
            </w:pPr>
            <w:r>
              <w:rPr>
                <w:rFonts w:ascii="宋体" w:hAnsi="宋体" w:cs="宋体" w:eastAsia="宋体" w:hint="default"/>
                <w:spacing w:val="-3"/>
                <w:sz w:val="18"/>
                <w:szCs w:val="18"/>
              </w:rPr>
              <w:t>向其他金融机构拆入资金净增</w:t>
            </w:r>
            <w:r>
              <w:rPr>
                <w:rFonts w:ascii="宋体" w:hAnsi="宋体" w:cs="宋体" w:eastAsia="宋体" w:hint="default"/>
                <w:w w:val="101"/>
                <w:sz w:val="18"/>
                <w:szCs w:val="18"/>
              </w:rPr>
              <w:t> </w:t>
            </w:r>
            <w:r>
              <w:rPr>
                <w:rFonts w:ascii="宋体" w:hAnsi="宋体" w:cs="宋体" w:eastAsia="宋体" w:hint="default"/>
                <w:sz w:val="18"/>
                <w:szCs w:val="18"/>
              </w:rPr>
              <w:t>加额</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pacing w:val="-3"/>
                <w:sz w:val="18"/>
                <w:szCs w:val="18"/>
              </w:rPr>
              <w:t>收到原保险合同保费取得的现</w:t>
            </w:r>
          </w:p>
          <w:p>
            <w:pPr>
              <w:pStyle w:val="TableParagraph"/>
              <w:spacing w:line="240" w:lineRule="auto" w:before="77"/>
              <w:ind w:left="105" w:right="0"/>
              <w:jc w:val="left"/>
              <w:rPr>
                <w:rFonts w:ascii="宋体" w:hAnsi="宋体" w:cs="宋体" w:eastAsia="宋体" w:hint="default"/>
                <w:sz w:val="18"/>
                <w:szCs w:val="18"/>
              </w:rPr>
            </w:pPr>
            <w:r>
              <w:rPr>
                <w:rFonts w:ascii="宋体" w:hAnsi="宋体" w:cs="宋体" w:eastAsia="宋体" w:hint="default"/>
                <w:w w:val="101"/>
                <w:sz w:val="18"/>
                <w:szCs w:val="18"/>
              </w:rPr>
              <w:t>金</w:t>
            </w:r>
            <w:r>
              <w:rPr>
                <w:rFonts w:ascii="宋体" w:hAnsi="宋体" w:cs="宋体" w:eastAsia="宋体" w:hint="default"/>
                <w:sz w:val="18"/>
                <w:szCs w:val="18"/>
              </w:rPr>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收到再保业务现金净额</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保户储金及投资款净增加额</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71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收取利息、手续费及佣金的现</w:t>
            </w:r>
          </w:p>
          <w:p>
            <w:pPr>
              <w:pStyle w:val="TableParagraph"/>
              <w:spacing w:line="240" w:lineRule="auto" w:before="77"/>
              <w:ind w:left="105" w:right="0"/>
              <w:jc w:val="left"/>
              <w:rPr>
                <w:rFonts w:ascii="宋体" w:hAnsi="宋体" w:cs="宋体" w:eastAsia="宋体" w:hint="default"/>
                <w:sz w:val="18"/>
                <w:szCs w:val="18"/>
              </w:rPr>
            </w:pPr>
            <w:r>
              <w:rPr>
                <w:rFonts w:ascii="宋体" w:hAnsi="宋体" w:cs="宋体" w:eastAsia="宋体" w:hint="default"/>
                <w:w w:val="101"/>
                <w:sz w:val="18"/>
                <w:szCs w:val="18"/>
              </w:rPr>
              <w:t>金</w:t>
            </w:r>
            <w:r>
              <w:rPr>
                <w:rFonts w:ascii="宋体" w:hAnsi="宋体" w:cs="宋体" w:eastAsia="宋体" w:hint="default"/>
                <w:sz w:val="18"/>
                <w:szCs w:val="18"/>
              </w:rPr>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z w:val="18"/>
                <w:szCs w:val="18"/>
              </w:rPr>
              <w:t>拆入资金净增加额</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回购业务资金净增加额</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代理买卖证券收到的现金净额</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99"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65" w:right="0"/>
              <w:jc w:val="left"/>
              <w:rPr>
                <w:rFonts w:ascii="宋体" w:hAnsi="宋体" w:cs="宋体" w:eastAsia="宋体" w:hint="default"/>
                <w:sz w:val="18"/>
                <w:szCs w:val="18"/>
              </w:rPr>
            </w:pPr>
            <w:r>
              <w:rPr>
                <w:rFonts w:ascii="宋体" w:hAnsi="宋体" w:cs="宋体" w:eastAsia="宋体" w:hint="default"/>
                <w:spacing w:val="-3"/>
                <w:sz w:val="18"/>
                <w:szCs w:val="18"/>
              </w:rPr>
              <w:t>收到的税费返还</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27,263,725.65</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29,556,012.60</w:t>
            </w:r>
          </w:p>
        </w:tc>
      </w:tr>
      <w:tr>
        <w:trPr>
          <w:trHeight w:val="715"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pacing w:val="-3"/>
                <w:sz w:val="18"/>
                <w:szCs w:val="18"/>
              </w:rPr>
              <w:t>收到其他与经营活动有关的现</w:t>
            </w:r>
          </w:p>
          <w:p>
            <w:pPr>
              <w:pStyle w:val="TableParagraph"/>
              <w:spacing w:line="240" w:lineRule="auto" w:before="76"/>
              <w:ind w:left="105" w:right="0"/>
              <w:jc w:val="left"/>
              <w:rPr>
                <w:rFonts w:ascii="宋体" w:hAnsi="宋体" w:cs="宋体" w:eastAsia="宋体" w:hint="default"/>
                <w:sz w:val="18"/>
                <w:szCs w:val="18"/>
              </w:rPr>
            </w:pPr>
            <w:r>
              <w:rPr>
                <w:rFonts w:ascii="宋体" w:hAnsi="宋体" w:cs="宋体" w:eastAsia="宋体" w:hint="default"/>
                <w:w w:val="101"/>
                <w:sz w:val="18"/>
                <w:szCs w:val="18"/>
              </w:rPr>
              <w:t>金</w:t>
            </w:r>
            <w:r>
              <w:rPr>
                <w:rFonts w:ascii="宋体" w:hAnsi="宋体" w:cs="宋体" w:eastAsia="宋体" w:hint="default"/>
                <w:sz w:val="18"/>
                <w:szCs w:val="18"/>
              </w:rPr>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2"/>
                <w:sz w:val="18"/>
              </w:rPr>
              <w:t>117,659,772.27</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35,526,630.99</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1,369,213,783.14</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1,342,258,753.83</w:t>
            </w:r>
          </w:p>
        </w:tc>
      </w:tr>
      <w:tr>
        <w:trPr>
          <w:trHeight w:val="716"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购买商品、接受劳务支付的现</w:t>
            </w:r>
          </w:p>
          <w:p>
            <w:pPr>
              <w:pStyle w:val="TableParagraph"/>
              <w:spacing w:line="240" w:lineRule="auto" w:before="77"/>
              <w:ind w:left="105" w:right="0"/>
              <w:jc w:val="left"/>
              <w:rPr>
                <w:rFonts w:ascii="宋体" w:hAnsi="宋体" w:cs="宋体" w:eastAsia="宋体" w:hint="default"/>
                <w:sz w:val="18"/>
                <w:szCs w:val="18"/>
              </w:rPr>
            </w:pPr>
            <w:r>
              <w:rPr>
                <w:rFonts w:ascii="宋体" w:hAnsi="宋体" w:cs="宋体" w:eastAsia="宋体" w:hint="default"/>
                <w:w w:val="101"/>
                <w:sz w:val="18"/>
                <w:szCs w:val="18"/>
              </w:rPr>
              <w:t>金</w:t>
            </w:r>
            <w:r>
              <w:rPr>
                <w:rFonts w:ascii="宋体" w:hAnsi="宋体" w:cs="宋体" w:eastAsia="宋体" w:hint="default"/>
                <w:sz w:val="18"/>
                <w:szCs w:val="18"/>
              </w:rPr>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680,277,158.41</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781,849,570.87</w:t>
            </w: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客户贷款及垫款净增加额</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8"/>
              <w:ind w:left="105" w:right="147" w:firstLine="360"/>
              <w:jc w:val="left"/>
              <w:rPr>
                <w:rFonts w:ascii="宋体" w:hAnsi="宋体" w:cs="宋体" w:eastAsia="宋体" w:hint="default"/>
                <w:sz w:val="18"/>
                <w:szCs w:val="18"/>
              </w:rPr>
            </w:pPr>
            <w:r>
              <w:rPr>
                <w:rFonts w:ascii="宋体" w:hAnsi="宋体" w:cs="宋体" w:eastAsia="宋体" w:hint="default"/>
                <w:spacing w:val="-3"/>
                <w:sz w:val="18"/>
                <w:szCs w:val="18"/>
              </w:rPr>
              <w:t>存放中央银行和同业款项净增</w:t>
            </w:r>
            <w:r>
              <w:rPr>
                <w:rFonts w:ascii="宋体" w:hAnsi="宋体" w:cs="宋体" w:eastAsia="宋体" w:hint="default"/>
                <w:w w:val="101"/>
                <w:sz w:val="18"/>
                <w:szCs w:val="18"/>
              </w:rPr>
              <w:t> </w:t>
            </w:r>
            <w:r>
              <w:rPr>
                <w:rFonts w:ascii="宋体" w:hAnsi="宋体" w:cs="宋体" w:eastAsia="宋体" w:hint="default"/>
                <w:sz w:val="18"/>
                <w:szCs w:val="18"/>
              </w:rPr>
              <w:t>加额</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65" w:right="0"/>
              <w:jc w:val="left"/>
              <w:rPr>
                <w:rFonts w:ascii="宋体" w:hAnsi="宋体" w:cs="宋体" w:eastAsia="宋体" w:hint="default"/>
                <w:sz w:val="18"/>
                <w:szCs w:val="18"/>
              </w:rPr>
            </w:pPr>
            <w:r>
              <w:rPr>
                <w:rFonts w:ascii="宋体" w:hAnsi="宋体" w:cs="宋体" w:eastAsia="宋体" w:hint="default"/>
                <w:spacing w:val="-3"/>
                <w:sz w:val="18"/>
                <w:szCs w:val="18"/>
              </w:rPr>
              <w:t>支付原保险合同赔付款项的现</w:t>
            </w:r>
          </w:p>
          <w:p>
            <w:pPr>
              <w:pStyle w:val="TableParagraph"/>
              <w:spacing w:line="240" w:lineRule="auto" w:before="81"/>
              <w:ind w:left="105" w:right="0"/>
              <w:jc w:val="left"/>
              <w:rPr>
                <w:rFonts w:ascii="宋体" w:hAnsi="宋体" w:cs="宋体" w:eastAsia="宋体" w:hint="default"/>
                <w:sz w:val="18"/>
                <w:szCs w:val="18"/>
              </w:rPr>
            </w:pPr>
            <w:r>
              <w:rPr>
                <w:rFonts w:ascii="宋体" w:hAnsi="宋体" w:cs="宋体" w:eastAsia="宋体" w:hint="default"/>
                <w:w w:val="101"/>
                <w:sz w:val="18"/>
                <w:szCs w:val="18"/>
              </w:rPr>
              <w:t>金</w:t>
            </w:r>
            <w:r>
              <w:rPr>
                <w:rFonts w:ascii="宋体" w:hAnsi="宋体" w:cs="宋体" w:eastAsia="宋体" w:hint="default"/>
                <w:sz w:val="18"/>
                <w:szCs w:val="18"/>
              </w:rPr>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拆出资金净增加额</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84" w:footer="1022" w:top="1100" w:bottom="1220" w:left="980" w:right="0"/>
        </w:sectPr>
      </w:pPr>
    </w:p>
    <w:p>
      <w:pPr>
        <w:spacing w:line="240" w:lineRule="auto" w:before="1"/>
        <w:rPr>
          <w:rFonts w:ascii="Times New Roman" w:hAnsi="Times New Roman" w:cs="Times New Roman" w:eastAsia="Times New Roman" w:hint="default"/>
          <w:sz w:val="29"/>
          <w:szCs w:val="29"/>
        </w:rPr>
      </w:pPr>
    </w:p>
    <w:tbl>
      <w:tblPr>
        <w:tblW w:w="0" w:type="auto"/>
        <w:jc w:val="left"/>
        <w:tblInd w:w="148" w:type="dxa"/>
        <w:tblLayout w:type="fixed"/>
        <w:tblCellMar>
          <w:top w:w="0" w:type="dxa"/>
          <w:left w:w="0" w:type="dxa"/>
          <w:bottom w:w="0" w:type="dxa"/>
          <w:right w:w="0" w:type="dxa"/>
        </w:tblCellMar>
        <w:tblLook w:val="01E0"/>
      </w:tblPr>
      <w:tblGrid>
        <w:gridCol w:w="2967"/>
        <w:gridCol w:w="3304"/>
        <w:gridCol w:w="3299"/>
      </w:tblGrid>
      <w:tr>
        <w:trPr>
          <w:trHeight w:val="715"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支付利息、手续费及佣金的现</w:t>
            </w:r>
          </w:p>
          <w:p>
            <w:pPr>
              <w:pStyle w:val="TableParagraph"/>
              <w:spacing w:line="240" w:lineRule="auto" w:before="76"/>
              <w:ind w:left="105" w:right="0"/>
              <w:jc w:val="left"/>
              <w:rPr>
                <w:rFonts w:ascii="宋体" w:hAnsi="宋体" w:cs="宋体" w:eastAsia="宋体" w:hint="default"/>
                <w:sz w:val="18"/>
                <w:szCs w:val="18"/>
              </w:rPr>
            </w:pPr>
            <w:r>
              <w:rPr>
                <w:rFonts w:ascii="宋体" w:hAnsi="宋体" w:cs="宋体" w:eastAsia="宋体" w:hint="default"/>
                <w:w w:val="101"/>
                <w:sz w:val="18"/>
                <w:szCs w:val="18"/>
              </w:rPr>
              <w:t>金</w:t>
            </w:r>
            <w:r>
              <w:rPr>
                <w:rFonts w:ascii="宋体" w:hAnsi="宋体" w:cs="宋体" w:eastAsia="宋体" w:hint="default"/>
                <w:sz w:val="18"/>
                <w:szCs w:val="18"/>
              </w:rPr>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99"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支付保单红利的现金</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8"/>
              <w:ind w:left="105" w:right="147" w:firstLine="360"/>
              <w:jc w:val="left"/>
              <w:rPr>
                <w:rFonts w:ascii="宋体" w:hAnsi="宋体" w:cs="宋体" w:eastAsia="宋体" w:hint="default"/>
                <w:sz w:val="18"/>
                <w:szCs w:val="18"/>
              </w:rPr>
            </w:pPr>
            <w:r>
              <w:rPr>
                <w:rFonts w:ascii="宋体" w:hAnsi="宋体" w:cs="宋体" w:eastAsia="宋体" w:hint="default"/>
                <w:spacing w:val="-3"/>
                <w:sz w:val="18"/>
                <w:szCs w:val="18"/>
              </w:rPr>
              <w:t>支付给职工以及为职工支付的</w:t>
            </w:r>
            <w:r>
              <w:rPr>
                <w:rFonts w:ascii="宋体" w:hAnsi="宋体" w:cs="宋体" w:eastAsia="宋体" w:hint="default"/>
                <w:w w:val="101"/>
                <w:sz w:val="18"/>
                <w:szCs w:val="18"/>
              </w:rPr>
              <w:t> </w:t>
            </w:r>
            <w:r>
              <w:rPr>
                <w:rFonts w:ascii="宋体" w:hAnsi="宋体" w:cs="宋体" w:eastAsia="宋体" w:hint="default"/>
                <w:sz w:val="18"/>
                <w:szCs w:val="18"/>
              </w:rPr>
              <w:t>现金</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212,617,091.70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188,849,230.87</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支付的各项税费</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72,665,336.99</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69,697,113.43</w:t>
            </w:r>
          </w:p>
        </w:tc>
      </w:tr>
      <w:tr>
        <w:trPr>
          <w:trHeight w:val="716"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支付其他与经营活动有关的现</w:t>
            </w:r>
          </w:p>
          <w:p>
            <w:pPr>
              <w:pStyle w:val="TableParagraph"/>
              <w:spacing w:line="240" w:lineRule="auto" w:before="77"/>
              <w:ind w:left="105" w:right="0"/>
              <w:jc w:val="left"/>
              <w:rPr>
                <w:rFonts w:ascii="宋体" w:hAnsi="宋体" w:cs="宋体" w:eastAsia="宋体" w:hint="default"/>
                <w:sz w:val="18"/>
                <w:szCs w:val="18"/>
              </w:rPr>
            </w:pPr>
            <w:r>
              <w:rPr>
                <w:rFonts w:ascii="宋体" w:hAnsi="宋体" w:cs="宋体" w:eastAsia="宋体" w:hint="default"/>
                <w:w w:val="101"/>
                <w:sz w:val="18"/>
                <w:szCs w:val="18"/>
              </w:rPr>
              <w:t>金</w:t>
            </w:r>
            <w:r>
              <w:rPr>
                <w:rFonts w:ascii="宋体" w:hAnsi="宋体" w:cs="宋体" w:eastAsia="宋体" w:hint="default"/>
                <w:sz w:val="18"/>
                <w:szCs w:val="18"/>
              </w:rPr>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219,797,429.65</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108,946,749.04</w:t>
            </w: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1,185,357,016.75</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1,149,342,664.21</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pacing w:val="-3"/>
                <w:sz w:val="18"/>
                <w:szCs w:val="18"/>
              </w:rPr>
              <w:t>经营活动产生的现金流量净额</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183,856,766.39</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192,916,089.62</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二、投资活动产生的现金流量：</w:t>
            </w:r>
          </w:p>
        </w:tc>
        <w:tc>
          <w:tcPr>
            <w:tcW w:w="330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收回投资收到的现金</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1,640,819,664.00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603,900,000.00</w:t>
            </w: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取得投资收益收到的现金</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4,802,281.99</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3,504,100.87</w:t>
            </w:r>
          </w:p>
        </w:tc>
      </w:tr>
      <w:tr>
        <w:trPr>
          <w:trHeight w:val="715"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8"/>
              <w:ind w:left="105" w:right="147" w:firstLine="360"/>
              <w:jc w:val="left"/>
              <w:rPr>
                <w:rFonts w:ascii="宋体" w:hAnsi="宋体" w:cs="宋体" w:eastAsia="宋体" w:hint="default"/>
                <w:sz w:val="18"/>
                <w:szCs w:val="18"/>
              </w:rPr>
            </w:pPr>
            <w:r>
              <w:rPr>
                <w:rFonts w:ascii="宋体" w:hAnsi="宋体" w:cs="宋体" w:eastAsia="宋体" w:hint="default"/>
                <w:spacing w:val="-3"/>
                <w:sz w:val="18"/>
                <w:szCs w:val="18"/>
              </w:rPr>
              <w:t>处置固定资产、无形资产和其</w:t>
            </w:r>
            <w:r>
              <w:rPr>
                <w:rFonts w:ascii="宋体" w:hAnsi="宋体" w:cs="宋体" w:eastAsia="宋体" w:hint="default"/>
                <w:w w:val="101"/>
                <w:sz w:val="18"/>
                <w:szCs w:val="18"/>
              </w:rPr>
              <w:t> </w:t>
            </w:r>
            <w:r>
              <w:rPr>
                <w:rFonts w:ascii="宋体" w:hAnsi="宋体" w:cs="宋体" w:eastAsia="宋体" w:hint="default"/>
                <w:spacing w:val="-3"/>
                <w:sz w:val="18"/>
                <w:szCs w:val="18"/>
              </w:rPr>
              <w:t>他长期资产收回的现金净额</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62,009.24</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167,478.75</w:t>
            </w:r>
          </w:p>
        </w:tc>
      </w:tr>
      <w:tr>
        <w:trPr>
          <w:trHeight w:val="716"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4" w:lineRule="auto" w:before="53"/>
              <w:ind w:left="105" w:right="147" w:firstLine="360"/>
              <w:jc w:val="left"/>
              <w:rPr>
                <w:rFonts w:ascii="宋体" w:hAnsi="宋体" w:cs="宋体" w:eastAsia="宋体" w:hint="default"/>
                <w:sz w:val="18"/>
                <w:szCs w:val="18"/>
              </w:rPr>
            </w:pPr>
            <w:r>
              <w:rPr>
                <w:rFonts w:ascii="宋体" w:hAnsi="宋体" w:cs="宋体" w:eastAsia="宋体" w:hint="default"/>
                <w:spacing w:val="-3"/>
                <w:sz w:val="18"/>
                <w:szCs w:val="18"/>
              </w:rPr>
              <w:t>处置子公司及其他营业单位收</w:t>
            </w:r>
            <w:r>
              <w:rPr>
                <w:rFonts w:ascii="宋体" w:hAnsi="宋体" w:cs="宋体" w:eastAsia="宋体" w:hint="default"/>
                <w:w w:val="101"/>
                <w:sz w:val="18"/>
                <w:szCs w:val="18"/>
              </w:rPr>
              <w:t> </w:t>
            </w:r>
            <w:r>
              <w:rPr>
                <w:rFonts w:ascii="宋体" w:hAnsi="宋体" w:cs="宋体" w:eastAsia="宋体" w:hint="default"/>
                <w:sz w:val="18"/>
                <w:szCs w:val="18"/>
              </w:rPr>
              <w:t>到的现金净额</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收到其他与投资活动有关的现</w:t>
            </w:r>
          </w:p>
          <w:p>
            <w:pPr>
              <w:pStyle w:val="TableParagraph"/>
              <w:spacing w:line="240" w:lineRule="auto" w:before="76"/>
              <w:ind w:left="105" w:right="0"/>
              <w:jc w:val="left"/>
              <w:rPr>
                <w:rFonts w:ascii="宋体" w:hAnsi="宋体" w:cs="宋体" w:eastAsia="宋体" w:hint="default"/>
                <w:sz w:val="18"/>
                <w:szCs w:val="18"/>
              </w:rPr>
            </w:pPr>
            <w:r>
              <w:rPr>
                <w:rFonts w:ascii="宋体" w:hAnsi="宋体" w:cs="宋体" w:eastAsia="宋体" w:hint="default"/>
                <w:w w:val="101"/>
                <w:sz w:val="18"/>
                <w:szCs w:val="18"/>
              </w:rPr>
              <w:t>金</w:t>
            </w:r>
            <w:r>
              <w:rPr>
                <w:rFonts w:ascii="宋体" w:hAnsi="宋体" w:cs="宋体" w:eastAsia="宋体" w:hint="default"/>
                <w:sz w:val="18"/>
                <w:szCs w:val="18"/>
              </w:rPr>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1,645,683,955.23</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607,571,579.62</w:t>
            </w:r>
          </w:p>
        </w:tc>
      </w:tr>
      <w:tr>
        <w:trPr>
          <w:trHeight w:val="716"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8"/>
              <w:ind w:left="105" w:right="147" w:firstLine="360"/>
              <w:jc w:val="left"/>
              <w:rPr>
                <w:rFonts w:ascii="宋体" w:hAnsi="宋体" w:cs="宋体" w:eastAsia="宋体" w:hint="default"/>
                <w:sz w:val="18"/>
                <w:szCs w:val="18"/>
              </w:rPr>
            </w:pPr>
            <w:r>
              <w:rPr>
                <w:rFonts w:ascii="宋体" w:hAnsi="宋体" w:cs="宋体" w:eastAsia="宋体" w:hint="default"/>
                <w:spacing w:val="-3"/>
                <w:sz w:val="18"/>
                <w:szCs w:val="18"/>
              </w:rPr>
              <w:t>购建固定资产、无形资产和其</w:t>
            </w:r>
            <w:r>
              <w:rPr>
                <w:rFonts w:ascii="宋体" w:hAnsi="宋体" w:cs="宋体" w:eastAsia="宋体" w:hint="default"/>
                <w:w w:val="101"/>
                <w:sz w:val="18"/>
                <w:szCs w:val="18"/>
              </w:rPr>
              <w:t> </w:t>
            </w:r>
            <w:r>
              <w:rPr>
                <w:rFonts w:ascii="宋体" w:hAnsi="宋体" w:cs="宋体" w:eastAsia="宋体" w:hint="default"/>
                <w:sz w:val="18"/>
                <w:szCs w:val="18"/>
              </w:rPr>
              <w:t>他长期资产支付的现金</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29,705,690.75</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22,666,128.74</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投资支付的现金</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1,558,600,562.00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595,606,000.00</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质押贷款净增加额</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71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105" w:right="147" w:firstLine="360"/>
              <w:jc w:val="left"/>
              <w:rPr>
                <w:rFonts w:ascii="宋体" w:hAnsi="宋体" w:cs="宋体" w:eastAsia="宋体" w:hint="default"/>
                <w:sz w:val="18"/>
                <w:szCs w:val="18"/>
              </w:rPr>
            </w:pPr>
            <w:r>
              <w:rPr>
                <w:rFonts w:ascii="宋体" w:hAnsi="宋体" w:cs="宋体" w:eastAsia="宋体" w:hint="default"/>
                <w:spacing w:val="-3"/>
                <w:sz w:val="18"/>
                <w:szCs w:val="18"/>
              </w:rPr>
              <w:t>取得子公司及其他营业单位支</w:t>
            </w:r>
            <w:r>
              <w:rPr>
                <w:rFonts w:ascii="宋体" w:hAnsi="宋体" w:cs="宋体" w:eastAsia="宋体" w:hint="default"/>
                <w:w w:val="101"/>
                <w:sz w:val="18"/>
                <w:szCs w:val="18"/>
              </w:rPr>
              <w:t> </w:t>
            </w:r>
            <w:r>
              <w:rPr>
                <w:rFonts w:ascii="宋体" w:hAnsi="宋体" w:cs="宋体" w:eastAsia="宋体" w:hint="default"/>
                <w:sz w:val="18"/>
                <w:szCs w:val="18"/>
              </w:rPr>
              <w:t>付的现金净额</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pacing w:val="-3"/>
                <w:sz w:val="18"/>
                <w:szCs w:val="18"/>
              </w:rPr>
              <w:t>支付其他与投资活动有关的现</w:t>
            </w:r>
          </w:p>
          <w:p>
            <w:pPr>
              <w:pStyle w:val="TableParagraph"/>
              <w:spacing w:line="240" w:lineRule="auto" w:before="76"/>
              <w:ind w:left="105" w:right="0"/>
              <w:jc w:val="left"/>
              <w:rPr>
                <w:rFonts w:ascii="宋体" w:hAnsi="宋体" w:cs="宋体" w:eastAsia="宋体" w:hint="default"/>
                <w:sz w:val="18"/>
                <w:szCs w:val="18"/>
              </w:rPr>
            </w:pPr>
            <w:r>
              <w:rPr>
                <w:rFonts w:ascii="宋体" w:hAnsi="宋体" w:cs="宋体" w:eastAsia="宋体" w:hint="default"/>
                <w:w w:val="101"/>
                <w:sz w:val="18"/>
                <w:szCs w:val="18"/>
              </w:rPr>
              <w:t>金</w:t>
            </w:r>
            <w:r>
              <w:rPr>
                <w:rFonts w:ascii="宋体" w:hAnsi="宋体" w:cs="宋体" w:eastAsia="宋体" w:hint="default"/>
                <w:sz w:val="18"/>
                <w:szCs w:val="18"/>
              </w:rPr>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1,588,306,252.75</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618,272,128.74</w:t>
            </w: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投资活动产生的现金流量净额</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57,377,702.48</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-10,700,549.12</w:t>
            </w: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三、筹资活动产生的现金流量：</w:t>
            </w:r>
          </w:p>
        </w:tc>
        <w:tc>
          <w:tcPr>
            <w:tcW w:w="330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pacing w:val="-3"/>
                <w:sz w:val="18"/>
                <w:szCs w:val="18"/>
              </w:rPr>
              <w:t>吸收投资收到的现金</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5"/>
              <w:jc w:val="right"/>
              <w:rPr>
                <w:rFonts w:ascii="Times New Roman" w:hAnsi="Times New Roman" w:cs="Times New Roman" w:eastAsia="Times New Roman" w:hint="default"/>
                <w:sz w:val="18"/>
                <w:szCs w:val="18"/>
              </w:rPr>
            </w:pPr>
            <w:r>
              <w:rPr>
                <w:rFonts w:ascii="Times New Roman"/>
                <w:spacing w:val="-1"/>
                <w:sz w:val="18"/>
              </w:rPr>
              <w:t>2,940,000.00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21,895,000.00</w:t>
            </w:r>
          </w:p>
        </w:tc>
      </w:tr>
      <w:tr>
        <w:trPr>
          <w:trHeight w:val="715"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05" w:right="147" w:firstLine="360"/>
              <w:jc w:val="left"/>
              <w:rPr>
                <w:rFonts w:ascii="宋体" w:hAnsi="宋体" w:cs="宋体" w:eastAsia="宋体" w:hint="default"/>
                <w:sz w:val="18"/>
                <w:szCs w:val="18"/>
              </w:rPr>
            </w:pPr>
            <w:r>
              <w:rPr>
                <w:rFonts w:ascii="宋体" w:hAnsi="宋体" w:cs="宋体" w:eastAsia="宋体" w:hint="default"/>
                <w:spacing w:val="-3"/>
                <w:sz w:val="18"/>
                <w:szCs w:val="18"/>
              </w:rPr>
              <w:t>其中：子公司吸收少数股东投</w:t>
            </w:r>
            <w:r>
              <w:rPr>
                <w:rFonts w:ascii="宋体" w:hAnsi="宋体" w:cs="宋体" w:eastAsia="宋体" w:hint="default"/>
                <w:w w:val="101"/>
                <w:sz w:val="18"/>
                <w:szCs w:val="18"/>
              </w:rPr>
              <w:t> </w:t>
            </w:r>
            <w:r>
              <w:rPr>
                <w:rFonts w:ascii="宋体" w:hAnsi="宋体" w:cs="宋体" w:eastAsia="宋体" w:hint="default"/>
                <w:sz w:val="18"/>
                <w:szCs w:val="18"/>
              </w:rPr>
              <w:t>资收到的现金</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295,000.00</w:t>
            </w: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65" w:right="0"/>
              <w:jc w:val="left"/>
              <w:rPr>
                <w:rFonts w:ascii="宋体" w:hAnsi="宋体" w:cs="宋体" w:eastAsia="宋体" w:hint="default"/>
                <w:sz w:val="18"/>
                <w:szCs w:val="18"/>
              </w:rPr>
            </w:pPr>
            <w:r>
              <w:rPr>
                <w:rFonts w:ascii="宋体" w:hAnsi="宋体" w:cs="宋体" w:eastAsia="宋体" w:hint="default"/>
                <w:spacing w:val="-3"/>
                <w:sz w:val="18"/>
                <w:szCs w:val="18"/>
              </w:rPr>
              <w:t>取得借款收到的现金</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100,000,000.00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100,000,000.00</w:t>
            </w:r>
          </w:p>
        </w:tc>
      </w:tr>
      <w:tr>
        <w:trPr>
          <w:trHeight w:val="715"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收到其他与筹资活动有关的现</w:t>
            </w:r>
          </w:p>
          <w:p>
            <w:pPr>
              <w:pStyle w:val="TableParagraph"/>
              <w:spacing w:line="240" w:lineRule="auto" w:before="76"/>
              <w:ind w:left="105" w:right="0"/>
              <w:jc w:val="left"/>
              <w:rPr>
                <w:rFonts w:ascii="宋体" w:hAnsi="宋体" w:cs="宋体" w:eastAsia="宋体" w:hint="default"/>
                <w:sz w:val="18"/>
                <w:szCs w:val="18"/>
              </w:rPr>
            </w:pPr>
            <w:r>
              <w:rPr>
                <w:rFonts w:ascii="宋体" w:hAnsi="宋体" w:cs="宋体" w:eastAsia="宋体" w:hint="default"/>
                <w:w w:val="101"/>
                <w:sz w:val="18"/>
                <w:szCs w:val="18"/>
              </w:rPr>
              <w:t>金</w:t>
            </w:r>
            <w:r>
              <w:rPr>
                <w:rFonts w:ascii="宋体" w:hAnsi="宋体" w:cs="宋体" w:eastAsia="宋体" w:hint="default"/>
                <w:sz w:val="18"/>
                <w:szCs w:val="18"/>
              </w:rPr>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6,790.05</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9,418.04</w:t>
            </w:r>
          </w:p>
        </w:tc>
      </w:tr>
    </w:tbl>
    <w:p>
      <w:pPr>
        <w:spacing w:after="0" w:line="240" w:lineRule="auto"/>
        <w:jc w:val="right"/>
        <w:rPr>
          <w:rFonts w:ascii="Times New Roman" w:hAnsi="Times New Roman" w:cs="Times New Roman" w:eastAsia="Times New Roman" w:hint="default"/>
          <w:sz w:val="18"/>
          <w:szCs w:val="18"/>
        </w:rPr>
        <w:sectPr>
          <w:pgSz w:w="11910" w:h="16840"/>
          <w:pgMar w:header="784" w:footer="1022" w:top="1100" w:bottom="1220" w:left="980" w:right="0"/>
        </w:sectPr>
      </w:pPr>
    </w:p>
    <w:p>
      <w:pPr>
        <w:spacing w:line="240" w:lineRule="auto" w:before="1"/>
        <w:rPr>
          <w:rFonts w:ascii="Times New Roman" w:hAnsi="Times New Roman" w:cs="Times New Roman" w:eastAsia="Times New Roman" w:hint="default"/>
          <w:sz w:val="29"/>
          <w:szCs w:val="29"/>
        </w:rPr>
      </w:pPr>
    </w:p>
    <w:tbl>
      <w:tblPr>
        <w:tblW w:w="0" w:type="auto"/>
        <w:jc w:val="left"/>
        <w:tblInd w:w="148" w:type="dxa"/>
        <w:tblLayout w:type="fixed"/>
        <w:tblCellMar>
          <w:top w:w="0" w:type="dxa"/>
          <w:left w:w="0" w:type="dxa"/>
          <w:bottom w:w="0" w:type="dxa"/>
          <w:right w:w="0" w:type="dxa"/>
        </w:tblCellMar>
        <w:tblLook w:val="01E0"/>
      </w:tblPr>
      <w:tblGrid>
        <w:gridCol w:w="2967"/>
        <w:gridCol w:w="3304"/>
        <w:gridCol w:w="3299"/>
      </w:tblGrid>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102,946,790.05</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121,904,418.04</w:t>
            </w: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偿还债务支付的现金</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100,000,000.00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100,000,000.00</w:t>
            </w:r>
          </w:p>
        </w:tc>
      </w:tr>
      <w:tr>
        <w:trPr>
          <w:trHeight w:val="716"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8"/>
              <w:ind w:left="105" w:right="147" w:firstLine="360"/>
              <w:jc w:val="left"/>
              <w:rPr>
                <w:rFonts w:ascii="宋体" w:hAnsi="宋体" w:cs="宋体" w:eastAsia="宋体" w:hint="default"/>
                <w:sz w:val="18"/>
                <w:szCs w:val="18"/>
              </w:rPr>
            </w:pPr>
            <w:r>
              <w:rPr>
                <w:rFonts w:ascii="宋体" w:hAnsi="宋体" w:cs="宋体" w:eastAsia="宋体" w:hint="default"/>
                <w:spacing w:val="-3"/>
                <w:sz w:val="18"/>
                <w:szCs w:val="18"/>
              </w:rPr>
              <w:t>分配股利、利润或偿付利息支</w:t>
            </w:r>
            <w:r>
              <w:rPr>
                <w:rFonts w:ascii="宋体" w:hAnsi="宋体" w:cs="宋体" w:eastAsia="宋体" w:hint="default"/>
                <w:w w:val="101"/>
                <w:sz w:val="18"/>
                <w:szCs w:val="18"/>
              </w:rPr>
              <w:t> </w:t>
            </w:r>
            <w:r>
              <w:rPr>
                <w:rFonts w:ascii="宋体" w:hAnsi="宋体" w:cs="宋体" w:eastAsia="宋体" w:hint="default"/>
                <w:sz w:val="18"/>
                <w:szCs w:val="18"/>
              </w:rPr>
              <w:t>付的现金</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68,543,575.15</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67,106,599.78</w:t>
            </w:r>
          </w:p>
        </w:tc>
      </w:tr>
      <w:tr>
        <w:trPr>
          <w:trHeight w:val="715"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05" w:right="147" w:firstLine="360"/>
              <w:jc w:val="left"/>
              <w:rPr>
                <w:rFonts w:ascii="宋体" w:hAnsi="宋体" w:cs="宋体" w:eastAsia="宋体" w:hint="default"/>
                <w:sz w:val="18"/>
                <w:szCs w:val="18"/>
              </w:rPr>
            </w:pPr>
            <w:r>
              <w:rPr>
                <w:rFonts w:ascii="宋体" w:hAnsi="宋体" w:cs="宋体" w:eastAsia="宋体" w:hint="default"/>
                <w:spacing w:val="-3"/>
                <w:sz w:val="18"/>
                <w:szCs w:val="18"/>
              </w:rPr>
              <w:t>其中：子公司支付给少数股东</w:t>
            </w:r>
            <w:r>
              <w:rPr>
                <w:rFonts w:ascii="宋体" w:hAnsi="宋体" w:cs="宋体" w:eastAsia="宋体" w:hint="default"/>
                <w:w w:val="101"/>
                <w:sz w:val="18"/>
                <w:szCs w:val="18"/>
              </w:rPr>
              <w:t> </w:t>
            </w:r>
            <w:r>
              <w:rPr>
                <w:rFonts w:ascii="宋体" w:hAnsi="宋体" w:cs="宋体" w:eastAsia="宋体" w:hint="default"/>
                <w:sz w:val="18"/>
                <w:szCs w:val="18"/>
              </w:rPr>
              <w:t>的股利、利润</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支付其他与筹资活动有关的现</w:t>
            </w:r>
          </w:p>
          <w:p>
            <w:pPr>
              <w:pStyle w:val="TableParagraph"/>
              <w:spacing w:line="240" w:lineRule="auto" w:before="77"/>
              <w:ind w:left="105" w:right="0"/>
              <w:jc w:val="left"/>
              <w:rPr>
                <w:rFonts w:ascii="宋体" w:hAnsi="宋体" w:cs="宋体" w:eastAsia="宋体" w:hint="default"/>
                <w:sz w:val="18"/>
                <w:szCs w:val="18"/>
              </w:rPr>
            </w:pPr>
            <w:r>
              <w:rPr>
                <w:rFonts w:ascii="宋体" w:hAnsi="宋体" w:cs="宋体" w:eastAsia="宋体" w:hint="default"/>
                <w:w w:val="101"/>
                <w:sz w:val="18"/>
                <w:szCs w:val="18"/>
              </w:rPr>
              <w:t>金</w:t>
            </w:r>
            <w:r>
              <w:rPr>
                <w:rFonts w:ascii="宋体" w:hAnsi="宋体" w:cs="宋体" w:eastAsia="宋体" w:hint="default"/>
                <w:sz w:val="18"/>
                <w:szCs w:val="18"/>
              </w:rPr>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35,768,308.94</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5,476,928.10</w:t>
            </w: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204,311,884.09</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172,583,527.88</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pacing w:val="-3"/>
                <w:sz w:val="18"/>
                <w:szCs w:val="18"/>
              </w:rPr>
              <w:t>筹资活动产生的现金流量净额</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-101,365,094.04</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-50,679,109.84</w:t>
            </w:r>
          </w:p>
        </w:tc>
      </w:tr>
      <w:tr>
        <w:trPr>
          <w:trHeight w:val="716"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05" w:right="147"/>
              <w:jc w:val="left"/>
              <w:rPr>
                <w:rFonts w:ascii="宋体" w:hAnsi="宋体" w:cs="宋体" w:eastAsia="宋体" w:hint="default"/>
                <w:sz w:val="18"/>
                <w:szCs w:val="18"/>
              </w:rPr>
            </w:pPr>
            <w:r>
              <w:rPr>
                <w:rFonts w:ascii="宋体" w:hAnsi="宋体" w:cs="宋体" w:eastAsia="宋体" w:hint="default"/>
                <w:spacing w:val="-3"/>
                <w:sz w:val="18"/>
                <w:szCs w:val="18"/>
              </w:rPr>
              <w:t>四、汇率变动对现金及现金等价物</w:t>
            </w:r>
            <w:r>
              <w:rPr>
                <w:rFonts w:ascii="宋体" w:hAnsi="宋体" w:cs="宋体" w:eastAsia="宋体" w:hint="default"/>
                <w:spacing w:val="-44"/>
                <w:sz w:val="18"/>
                <w:szCs w:val="18"/>
              </w:rPr>
              <w:t> </w:t>
            </w:r>
            <w:r>
              <w:rPr>
                <w:rFonts w:ascii="宋体" w:hAnsi="宋体" w:cs="宋体" w:eastAsia="宋体" w:hint="default"/>
                <w:spacing w:val="-44"/>
                <w:sz w:val="18"/>
                <w:szCs w:val="18"/>
              </w:rPr>
            </w:r>
            <w:r>
              <w:rPr>
                <w:rFonts w:ascii="宋体" w:hAnsi="宋体" w:cs="宋体" w:eastAsia="宋体" w:hint="default"/>
                <w:sz w:val="18"/>
                <w:szCs w:val="18"/>
              </w:rPr>
              <w:t>的影响</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4,101,145.12</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6,724,558.34</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五、现金及现金等价物净增加额</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143,970,519.95</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pacing w:val="-2"/>
                <w:sz w:val="18"/>
              </w:rPr>
              <w:t>138,260,989.00</w:t>
            </w:r>
            <w:r>
              <w:rPr>
                <w:rFonts w:ascii="Times New Roman"/>
                <w:sz w:val="18"/>
              </w:rPr>
            </w:r>
          </w:p>
        </w:tc>
      </w:tr>
      <w:tr>
        <w:trPr>
          <w:trHeight w:val="710"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加：期初现金及现金等价物余</w:t>
            </w:r>
          </w:p>
          <w:p>
            <w:pPr>
              <w:pStyle w:val="TableParagraph"/>
              <w:spacing w:line="240" w:lineRule="auto" w:before="76"/>
              <w:ind w:left="105" w:right="0"/>
              <w:jc w:val="left"/>
              <w:rPr>
                <w:rFonts w:ascii="宋体" w:hAnsi="宋体" w:cs="宋体" w:eastAsia="宋体" w:hint="default"/>
                <w:sz w:val="18"/>
                <w:szCs w:val="18"/>
              </w:rPr>
            </w:pPr>
            <w:r>
              <w:rPr>
                <w:rFonts w:ascii="宋体" w:hAnsi="宋体" w:cs="宋体" w:eastAsia="宋体" w:hint="default"/>
                <w:w w:val="101"/>
                <w:sz w:val="18"/>
                <w:szCs w:val="18"/>
              </w:rPr>
              <w:t>额</w:t>
            </w:r>
            <w:r>
              <w:rPr>
                <w:rFonts w:ascii="宋体" w:hAnsi="宋体" w:cs="宋体" w:eastAsia="宋体" w:hint="default"/>
                <w:sz w:val="18"/>
                <w:szCs w:val="18"/>
              </w:rPr>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458,726,455.19</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320,465,466.19</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pacing w:val="-3"/>
                <w:sz w:val="18"/>
                <w:szCs w:val="18"/>
              </w:rPr>
              <w:t>六、期末现金及现金等价物余额</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602,696,975.14</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458,726,455.19</w:t>
            </w:r>
          </w:p>
        </w:tc>
      </w:tr>
    </w:tbl>
    <w:p>
      <w:pPr>
        <w:spacing w:line="240" w:lineRule="auto" w:before="10"/>
        <w:rPr>
          <w:rFonts w:ascii="Times New Roman" w:hAnsi="Times New Roman" w:cs="Times New Roman" w:eastAsia="Times New Roman" w:hint="default"/>
          <w:sz w:val="21"/>
          <w:szCs w:val="21"/>
        </w:rPr>
      </w:pPr>
    </w:p>
    <w:p>
      <w:pPr>
        <w:pStyle w:val="Heading4"/>
        <w:spacing w:line="240" w:lineRule="auto" w:before="36"/>
        <w:ind w:right="0"/>
        <w:jc w:val="left"/>
        <w:rPr>
          <w:b w:val="0"/>
          <w:bCs w:val="0"/>
        </w:rPr>
      </w:pPr>
      <w:bookmarkStart w:name="6、母公司现金流量表" w:id="167"/>
      <w:bookmarkEnd w:id="167"/>
      <w:r>
        <w:rPr>
          <w:b w:val="0"/>
          <w:bCs w:val="0"/>
        </w:rPr>
      </w:r>
      <w:r>
        <w:rPr>
          <w:rFonts w:ascii="Times New Roman" w:hAnsi="Times New Roman" w:cs="Times New Roman" w:eastAsia="Times New Roman" w:hint="default"/>
        </w:rPr>
        <w:t>6</w:t>
      </w:r>
      <w:r>
        <w:rPr/>
        <w:t>、母公司现金流量表</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left="0" w:right="1122"/>
        <w:jc w:val="right"/>
      </w:pPr>
      <w:r>
        <w:rPr>
          <w:spacing w:val="-2"/>
        </w:rPr>
        <w:t>单位：元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967"/>
        <w:gridCol w:w="3304"/>
        <w:gridCol w:w="3299"/>
      </w:tblGrid>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7"/>
                <w:sz w:val="18"/>
                <w:szCs w:val="18"/>
              </w:rPr>
              <w:t> </w:t>
            </w:r>
            <w:r>
              <w:rPr>
                <w:rFonts w:ascii="宋体" w:hAnsi="宋体" w:cs="宋体" w:eastAsia="宋体" w:hint="default"/>
                <w:spacing w:val="-5"/>
                <w:sz w:val="18"/>
                <w:szCs w:val="18"/>
              </w:rPr>
              <w:t>年度</w:t>
            </w:r>
            <w:r>
              <w:rPr>
                <w:rFonts w:ascii="宋体" w:hAnsi="宋体" w:cs="宋体" w:eastAsia="宋体" w:hint="default"/>
                <w:sz w:val="18"/>
                <w:szCs w:val="18"/>
              </w:rPr>
            </w:r>
          </w:p>
        </w:tc>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7"/>
                <w:sz w:val="18"/>
                <w:szCs w:val="18"/>
              </w:rPr>
              <w:t> </w:t>
            </w:r>
            <w:r>
              <w:rPr>
                <w:rFonts w:ascii="宋体" w:hAnsi="宋体" w:cs="宋体" w:eastAsia="宋体" w:hint="default"/>
                <w:spacing w:val="-5"/>
                <w:sz w:val="18"/>
                <w:szCs w:val="18"/>
              </w:rPr>
              <w:t>年度</w:t>
            </w:r>
            <w:r>
              <w:rPr>
                <w:rFonts w:ascii="宋体" w:hAnsi="宋体" w:cs="宋体" w:eastAsia="宋体" w:hint="default"/>
                <w:sz w:val="18"/>
                <w:szCs w:val="18"/>
              </w:rPr>
            </w:r>
          </w:p>
        </w:tc>
      </w:tr>
      <w:tr>
        <w:trPr>
          <w:trHeight w:val="399"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pacing w:val="-3"/>
                <w:sz w:val="18"/>
                <w:szCs w:val="18"/>
              </w:rPr>
              <w:t>一、经营活动产生的现金流量：</w:t>
            </w:r>
          </w:p>
        </w:tc>
        <w:tc>
          <w:tcPr>
            <w:tcW w:w="330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715"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pacing w:val="-3"/>
                <w:sz w:val="18"/>
                <w:szCs w:val="18"/>
              </w:rPr>
              <w:t>销售商品、提供劳务收到的现</w:t>
            </w:r>
          </w:p>
          <w:p>
            <w:pPr>
              <w:pStyle w:val="TableParagraph"/>
              <w:spacing w:line="240" w:lineRule="auto" w:before="76"/>
              <w:ind w:left="105" w:right="0"/>
              <w:jc w:val="left"/>
              <w:rPr>
                <w:rFonts w:ascii="宋体" w:hAnsi="宋体" w:cs="宋体" w:eastAsia="宋体" w:hint="default"/>
                <w:sz w:val="18"/>
                <w:szCs w:val="18"/>
              </w:rPr>
            </w:pPr>
            <w:r>
              <w:rPr>
                <w:rFonts w:ascii="宋体" w:hAnsi="宋体" w:cs="宋体" w:eastAsia="宋体" w:hint="default"/>
                <w:w w:val="101"/>
                <w:sz w:val="18"/>
                <w:szCs w:val="18"/>
              </w:rPr>
              <w:t>金</w:t>
            </w:r>
            <w:r>
              <w:rPr>
                <w:rFonts w:ascii="宋体" w:hAnsi="宋体" w:cs="宋体" w:eastAsia="宋体" w:hint="default"/>
                <w:sz w:val="18"/>
                <w:szCs w:val="18"/>
              </w:rPr>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676,685,360.74</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473,144,624.44</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收到的税费返还</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20,943,790.09</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15,991,666.38</w:t>
            </w:r>
          </w:p>
        </w:tc>
      </w:tr>
      <w:tr>
        <w:trPr>
          <w:trHeight w:val="716"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收到其他与经营活动有关的现</w:t>
            </w:r>
          </w:p>
          <w:p>
            <w:pPr>
              <w:pStyle w:val="TableParagraph"/>
              <w:spacing w:line="240" w:lineRule="auto" w:before="77"/>
              <w:ind w:left="105" w:right="0"/>
              <w:jc w:val="left"/>
              <w:rPr>
                <w:rFonts w:ascii="宋体" w:hAnsi="宋体" w:cs="宋体" w:eastAsia="宋体" w:hint="default"/>
                <w:sz w:val="18"/>
                <w:szCs w:val="18"/>
              </w:rPr>
            </w:pPr>
            <w:r>
              <w:rPr>
                <w:rFonts w:ascii="宋体" w:hAnsi="宋体" w:cs="宋体" w:eastAsia="宋体" w:hint="default"/>
                <w:w w:val="101"/>
                <w:sz w:val="18"/>
                <w:szCs w:val="18"/>
              </w:rPr>
              <w:t>金</w:t>
            </w:r>
            <w:r>
              <w:rPr>
                <w:rFonts w:ascii="宋体" w:hAnsi="宋体" w:cs="宋体" w:eastAsia="宋体" w:hint="default"/>
                <w:sz w:val="18"/>
                <w:szCs w:val="18"/>
              </w:rPr>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2"/>
                <w:sz w:val="18"/>
              </w:rPr>
              <w:t>149,111,069.29</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56,054,003.35</w:t>
            </w: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846,740,220.12</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545,190,294.17</w:t>
            </w:r>
          </w:p>
        </w:tc>
      </w:tr>
      <w:tr>
        <w:trPr>
          <w:trHeight w:val="715"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pacing w:val="-3"/>
                <w:sz w:val="18"/>
                <w:szCs w:val="18"/>
              </w:rPr>
              <w:t>购买商品、接受劳务支付的现</w:t>
            </w:r>
          </w:p>
          <w:p>
            <w:pPr>
              <w:pStyle w:val="TableParagraph"/>
              <w:spacing w:line="240" w:lineRule="auto" w:before="76"/>
              <w:ind w:left="105" w:right="0"/>
              <w:jc w:val="left"/>
              <w:rPr>
                <w:rFonts w:ascii="宋体" w:hAnsi="宋体" w:cs="宋体" w:eastAsia="宋体" w:hint="default"/>
                <w:sz w:val="18"/>
                <w:szCs w:val="18"/>
              </w:rPr>
            </w:pPr>
            <w:r>
              <w:rPr>
                <w:rFonts w:ascii="宋体" w:hAnsi="宋体" w:cs="宋体" w:eastAsia="宋体" w:hint="default"/>
                <w:w w:val="101"/>
                <w:sz w:val="18"/>
                <w:szCs w:val="18"/>
              </w:rPr>
              <w:t>金</w:t>
            </w:r>
            <w:r>
              <w:rPr>
                <w:rFonts w:ascii="宋体" w:hAnsi="宋体" w:cs="宋体" w:eastAsia="宋体" w:hint="default"/>
                <w:sz w:val="18"/>
                <w:szCs w:val="18"/>
              </w:rPr>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448,999,277.90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318,787,924.75</w:t>
            </w:r>
          </w:p>
        </w:tc>
      </w:tr>
      <w:tr>
        <w:trPr>
          <w:trHeight w:val="716"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4"/>
              <w:ind w:left="105" w:right="147" w:firstLine="360"/>
              <w:jc w:val="left"/>
              <w:rPr>
                <w:rFonts w:ascii="宋体" w:hAnsi="宋体" w:cs="宋体" w:eastAsia="宋体" w:hint="default"/>
                <w:sz w:val="18"/>
                <w:szCs w:val="18"/>
              </w:rPr>
            </w:pPr>
            <w:r>
              <w:rPr>
                <w:rFonts w:ascii="宋体" w:hAnsi="宋体" w:cs="宋体" w:eastAsia="宋体" w:hint="default"/>
                <w:spacing w:val="-3"/>
                <w:sz w:val="18"/>
                <w:szCs w:val="18"/>
              </w:rPr>
              <w:t>支付给职工以及为职工支付的</w:t>
            </w:r>
            <w:r>
              <w:rPr>
                <w:rFonts w:ascii="宋体" w:hAnsi="宋体" w:cs="宋体" w:eastAsia="宋体" w:hint="default"/>
                <w:w w:val="101"/>
                <w:sz w:val="18"/>
                <w:szCs w:val="18"/>
              </w:rPr>
              <w:t> </w:t>
            </w:r>
            <w:r>
              <w:rPr>
                <w:rFonts w:ascii="宋体" w:hAnsi="宋体" w:cs="宋体" w:eastAsia="宋体" w:hint="default"/>
                <w:sz w:val="18"/>
                <w:szCs w:val="18"/>
              </w:rPr>
              <w:t>现金</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47,607,988.42</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39,894,903.83</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支付的各项税费</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8,054,622.59</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12,494,170.89</w:t>
            </w:r>
          </w:p>
        </w:tc>
      </w:tr>
      <w:tr>
        <w:trPr>
          <w:trHeight w:val="710"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支付其他与经营活动有关的现</w:t>
            </w:r>
          </w:p>
          <w:p>
            <w:pPr>
              <w:pStyle w:val="TableParagraph"/>
              <w:spacing w:line="240" w:lineRule="auto" w:before="76"/>
              <w:ind w:left="105" w:right="0"/>
              <w:jc w:val="left"/>
              <w:rPr>
                <w:rFonts w:ascii="宋体" w:hAnsi="宋体" w:cs="宋体" w:eastAsia="宋体" w:hint="default"/>
                <w:sz w:val="18"/>
                <w:szCs w:val="18"/>
              </w:rPr>
            </w:pPr>
            <w:r>
              <w:rPr>
                <w:rFonts w:ascii="宋体" w:hAnsi="宋体" w:cs="宋体" w:eastAsia="宋体" w:hint="default"/>
                <w:w w:val="101"/>
                <w:sz w:val="18"/>
                <w:szCs w:val="18"/>
              </w:rPr>
              <w:t>金</w:t>
            </w:r>
            <w:r>
              <w:rPr>
                <w:rFonts w:ascii="宋体" w:hAnsi="宋体" w:cs="宋体" w:eastAsia="宋体" w:hint="default"/>
                <w:sz w:val="18"/>
                <w:szCs w:val="18"/>
              </w:rPr>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130,294,804.38</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2"/>
                <w:sz w:val="18"/>
              </w:rPr>
              <w:t>114,638,481.19</w:t>
            </w: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9"/>
              <w:ind w:left="105"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94"/>
              <w:jc w:val="right"/>
              <w:rPr>
                <w:rFonts w:ascii="Times New Roman" w:hAnsi="Times New Roman" w:cs="Times New Roman" w:eastAsia="Times New Roman" w:hint="default"/>
                <w:sz w:val="18"/>
                <w:szCs w:val="18"/>
              </w:rPr>
            </w:pPr>
            <w:r>
              <w:rPr>
                <w:rFonts w:ascii="Times New Roman"/>
                <w:spacing w:val="-1"/>
                <w:sz w:val="18"/>
              </w:rPr>
              <w:t>634,956,693.29</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94"/>
              <w:jc w:val="right"/>
              <w:rPr>
                <w:rFonts w:ascii="Times New Roman" w:hAnsi="Times New Roman" w:cs="Times New Roman" w:eastAsia="Times New Roman" w:hint="default"/>
                <w:sz w:val="18"/>
                <w:szCs w:val="18"/>
              </w:rPr>
            </w:pPr>
            <w:r>
              <w:rPr>
                <w:rFonts w:ascii="Times New Roman"/>
                <w:spacing w:val="-1"/>
                <w:sz w:val="18"/>
              </w:rPr>
              <w:t>485,815,480.66</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经营活动产生的现金流量净额</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211,783,526.83</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59,374,813.51</w:t>
            </w:r>
          </w:p>
        </w:tc>
      </w:tr>
    </w:tbl>
    <w:p>
      <w:pPr>
        <w:spacing w:after="0" w:line="240" w:lineRule="auto"/>
        <w:jc w:val="right"/>
        <w:rPr>
          <w:rFonts w:ascii="Times New Roman" w:hAnsi="Times New Roman" w:cs="Times New Roman" w:eastAsia="Times New Roman" w:hint="default"/>
          <w:sz w:val="18"/>
          <w:szCs w:val="18"/>
        </w:rPr>
        <w:sectPr>
          <w:pgSz w:w="11910" w:h="16840"/>
          <w:pgMar w:header="784" w:footer="1022" w:top="1100" w:bottom="1220" w:left="980" w:right="0"/>
        </w:sectPr>
      </w:pPr>
    </w:p>
    <w:p>
      <w:pPr>
        <w:spacing w:line="240" w:lineRule="auto" w:before="1"/>
        <w:rPr>
          <w:rFonts w:ascii="Times New Roman" w:hAnsi="Times New Roman" w:cs="Times New Roman" w:eastAsia="Times New Roman" w:hint="default"/>
          <w:sz w:val="29"/>
          <w:szCs w:val="29"/>
        </w:rPr>
      </w:pPr>
    </w:p>
    <w:tbl>
      <w:tblPr>
        <w:tblW w:w="0" w:type="auto"/>
        <w:jc w:val="left"/>
        <w:tblInd w:w="148" w:type="dxa"/>
        <w:tblLayout w:type="fixed"/>
        <w:tblCellMar>
          <w:top w:w="0" w:type="dxa"/>
          <w:left w:w="0" w:type="dxa"/>
          <w:bottom w:w="0" w:type="dxa"/>
          <w:right w:w="0" w:type="dxa"/>
        </w:tblCellMar>
        <w:tblLook w:val="01E0"/>
      </w:tblPr>
      <w:tblGrid>
        <w:gridCol w:w="2967"/>
        <w:gridCol w:w="3304"/>
        <w:gridCol w:w="3299"/>
      </w:tblGrid>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二、投资活动产生的现金流量：</w:t>
            </w:r>
          </w:p>
        </w:tc>
        <w:tc>
          <w:tcPr>
            <w:tcW w:w="330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收回投资收到的现金</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1,073,019,664.00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80,500,000.00</w:t>
            </w: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pacing w:val="-3"/>
                <w:sz w:val="18"/>
                <w:szCs w:val="18"/>
              </w:rPr>
              <w:t>取得投资收益收到的现金</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73,171,171.10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306,486.33</w:t>
            </w:r>
          </w:p>
        </w:tc>
      </w:tr>
      <w:tr>
        <w:trPr>
          <w:trHeight w:val="715"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05" w:right="147" w:firstLine="360"/>
              <w:jc w:val="left"/>
              <w:rPr>
                <w:rFonts w:ascii="宋体" w:hAnsi="宋体" w:cs="宋体" w:eastAsia="宋体" w:hint="default"/>
                <w:sz w:val="18"/>
                <w:szCs w:val="18"/>
              </w:rPr>
            </w:pPr>
            <w:r>
              <w:rPr>
                <w:rFonts w:ascii="宋体" w:hAnsi="宋体" w:cs="宋体" w:eastAsia="宋体" w:hint="default"/>
                <w:spacing w:val="-3"/>
                <w:sz w:val="18"/>
                <w:szCs w:val="18"/>
              </w:rPr>
              <w:t>处置固定资产、无形资产和其</w:t>
            </w:r>
            <w:r>
              <w:rPr>
                <w:rFonts w:ascii="宋体" w:hAnsi="宋体" w:cs="宋体" w:eastAsia="宋体" w:hint="default"/>
                <w:w w:val="101"/>
                <w:sz w:val="18"/>
                <w:szCs w:val="18"/>
              </w:rPr>
              <w:t> </w:t>
            </w:r>
            <w:r>
              <w:rPr>
                <w:rFonts w:ascii="宋体" w:hAnsi="宋体" w:cs="宋体" w:eastAsia="宋体" w:hint="default"/>
                <w:spacing w:val="-3"/>
                <w:sz w:val="18"/>
                <w:szCs w:val="18"/>
              </w:rPr>
              <w:t>他长期资产收回的现金净额</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57,867.24</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167,478.75</w:t>
            </w:r>
          </w:p>
        </w:tc>
      </w:tr>
      <w:tr>
        <w:trPr>
          <w:trHeight w:val="715"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05" w:right="147" w:firstLine="360"/>
              <w:jc w:val="left"/>
              <w:rPr>
                <w:rFonts w:ascii="宋体" w:hAnsi="宋体" w:cs="宋体" w:eastAsia="宋体" w:hint="default"/>
                <w:sz w:val="18"/>
                <w:szCs w:val="18"/>
              </w:rPr>
            </w:pPr>
            <w:r>
              <w:rPr>
                <w:rFonts w:ascii="宋体" w:hAnsi="宋体" w:cs="宋体" w:eastAsia="宋体" w:hint="default"/>
                <w:spacing w:val="-3"/>
                <w:sz w:val="18"/>
                <w:szCs w:val="18"/>
              </w:rPr>
              <w:t>处置子公司及其他营业单位收</w:t>
            </w:r>
            <w:r>
              <w:rPr>
                <w:rFonts w:ascii="宋体" w:hAnsi="宋体" w:cs="宋体" w:eastAsia="宋体" w:hint="default"/>
                <w:w w:val="101"/>
                <w:sz w:val="18"/>
                <w:szCs w:val="18"/>
              </w:rPr>
              <w:t> </w:t>
            </w:r>
            <w:r>
              <w:rPr>
                <w:rFonts w:ascii="宋体" w:hAnsi="宋体" w:cs="宋体" w:eastAsia="宋体" w:hint="default"/>
                <w:sz w:val="18"/>
                <w:szCs w:val="18"/>
              </w:rPr>
              <w:t>到的现金净额</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12,595,393.00</w:t>
            </w:r>
          </w:p>
        </w:tc>
      </w:tr>
      <w:tr>
        <w:trPr>
          <w:trHeight w:val="71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65" w:right="0"/>
              <w:jc w:val="left"/>
              <w:rPr>
                <w:rFonts w:ascii="宋体" w:hAnsi="宋体" w:cs="宋体" w:eastAsia="宋体" w:hint="default"/>
                <w:sz w:val="18"/>
                <w:szCs w:val="18"/>
              </w:rPr>
            </w:pPr>
            <w:r>
              <w:rPr>
                <w:rFonts w:ascii="宋体" w:hAnsi="宋体" w:cs="宋体" w:eastAsia="宋体" w:hint="default"/>
                <w:spacing w:val="-3"/>
                <w:sz w:val="18"/>
                <w:szCs w:val="18"/>
              </w:rPr>
              <w:t>收到其他与投资活动有关的现</w:t>
            </w:r>
          </w:p>
          <w:p>
            <w:pPr>
              <w:pStyle w:val="TableParagraph"/>
              <w:spacing w:line="240" w:lineRule="auto" w:before="76"/>
              <w:ind w:left="105" w:right="0"/>
              <w:jc w:val="left"/>
              <w:rPr>
                <w:rFonts w:ascii="宋体" w:hAnsi="宋体" w:cs="宋体" w:eastAsia="宋体" w:hint="default"/>
                <w:sz w:val="18"/>
                <w:szCs w:val="18"/>
              </w:rPr>
            </w:pPr>
            <w:r>
              <w:rPr>
                <w:rFonts w:ascii="宋体" w:hAnsi="宋体" w:cs="宋体" w:eastAsia="宋体" w:hint="default"/>
                <w:w w:val="101"/>
                <w:sz w:val="18"/>
                <w:szCs w:val="18"/>
              </w:rPr>
              <w:t>金</w:t>
            </w:r>
            <w:r>
              <w:rPr>
                <w:rFonts w:ascii="宋体" w:hAnsi="宋体" w:cs="宋体" w:eastAsia="宋体" w:hint="default"/>
                <w:sz w:val="18"/>
                <w:szCs w:val="18"/>
              </w:rPr>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2"/>
                <w:sz w:val="18"/>
              </w:rPr>
              <w:t>1,146,248,702.34</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93,569,358.08</w:t>
            </w:r>
          </w:p>
        </w:tc>
      </w:tr>
      <w:tr>
        <w:trPr>
          <w:trHeight w:val="716"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05" w:right="147" w:firstLine="360"/>
              <w:jc w:val="left"/>
              <w:rPr>
                <w:rFonts w:ascii="宋体" w:hAnsi="宋体" w:cs="宋体" w:eastAsia="宋体" w:hint="default"/>
                <w:sz w:val="18"/>
                <w:szCs w:val="18"/>
              </w:rPr>
            </w:pPr>
            <w:r>
              <w:rPr>
                <w:rFonts w:ascii="宋体" w:hAnsi="宋体" w:cs="宋体" w:eastAsia="宋体" w:hint="default"/>
                <w:spacing w:val="-3"/>
                <w:sz w:val="18"/>
                <w:szCs w:val="18"/>
              </w:rPr>
              <w:t>购建固定资产、无形资产和其</w:t>
            </w:r>
            <w:r>
              <w:rPr>
                <w:rFonts w:ascii="宋体" w:hAnsi="宋体" w:cs="宋体" w:eastAsia="宋体" w:hint="default"/>
                <w:w w:val="101"/>
                <w:sz w:val="18"/>
                <w:szCs w:val="18"/>
              </w:rPr>
              <w:t> </w:t>
            </w:r>
            <w:r>
              <w:rPr>
                <w:rFonts w:ascii="宋体" w:hAnsi="宋体" w:cs="宋体" w:eastAsia="宋体" w:hint="default"/>
                <w:sz w:val="18"/>
                <w:szCs w:val="18"/>
              </w:rPr>
              <w:t>他长期资产支付的现金</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26,235,466.92</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2"/>
                <w:sz w:val="18"/>
              </w:rPr>
              <w:t>11,336,096.93</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投资支付的现金</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981,740,562.00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149,106,000.00</w:t>
            </w:r>
          </w:p>
        </w:tc>
      </w:tr>
      <w:tr>
        <w:trPr>
          <w:trHeight w:val="710"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05" w:right="147" w:firstLine="360"/>
              <w:jc w:val="left"/>
              <w:rPr>
                <w:rFonts w:ascii="宋体" w:hAnsi="宋体" w:cs="宋体" w:eastAsia="宋体" w:hint="default"/>
                <w:sz w:val="18"/>
                <w:szCs w:val="18"/>
              </w:rPr>
            </w:pPr>
            <w:r>
              <w:rPr>
                <w:rFonts w:ascii="宋体" w:hAnsi="宋体" w:cs="宋体" w:eastAsia="宋体" w:hint="default"/>
                <w:spacing w:val="-3"/>
                <w:sz w:val="18"/>
                <w:szCs w:val="18"/>
              </w:rPr>
              <w:t>取得子公司及其他营业单位支</w:t>
            </w:r>
            <w:r>
              <w:rPr>
                <w:rFonts w:ascii="宋体" w:hAnsi="宋体" w:cs="宋体" w:eastAsia="宋体" w:hint="default"/>
                <w:w w:val="101"/>
                <w:sz w:val="18"/>
                <w:szCs w:val="18"/>
              </w:rPr>
              <w:t> </w:t>
            </w:r>
            <w:r>
              <w:rPr>
                <w:rFonts w:ascii="宋体" w:hAnsi="宋体" w:cs="宋体" w:eastAsia="宋体" w:hint="default"/>
                <w:sz w:val="18"/>
                <w:szCs w:val="18"/>
              </w:rPr>
              <w:t>付的现金净额</w:t>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pacing w:val="-3"/>
                <w:sz w:val="18"/>
                <w:szCs w:val="18"/>
              </w:rPr>
              <w:t>支付其他与投资活动有关的现</w:t>
            </w:r>
          </w:p>
          <w:p>
            <w:pPr>
              <w:pStyle w:val="TableParagraph"/>
              <w:spacing w:line="240" w:lineRule="auto" w:before="77"/>
              <w:ind w:left="105" w:right="0"/>
              <w:jc w:val="left"/>
              <w:rPr>
                <w:rFonts w:ascii="宋体" w:hAnsi="宋体" w:cs="宋体" w:eastAsia="宋体" w:hint="default"/>
                <w:sz w:val="18"/>
                <w:szCs w:val="18"/>
              </w:rPr>
            </w:pPr>
            <w:r>
              <w:rPr>
                <w:rFonts w:ascii="宋体" w:hAnsi="宋体" w:cs="宋体" w:eastAsia="宋体" w:hint="default"/>
                <w:w w:val="101"/>
                <w:sz w:val="18"/>
                <w:szCs w:val="18"/>
              </w:rPr>
              <w:t>金</w:t>
            </w:r>
            <w:r>
              <w:rPr>
                <w:rFonts w:ascii="宋体" w:hAnsi="宋体" w:cs="宋体" w:eastAsia="宋体" w:hint="default"/>
                <w:sz w:val="18"/>
                <w:szCs w:val="18"/>
              </w:rPr>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40,000,000.00</w:t>
            </w:r>
          </w:p>
        </w:tc>
        <w:tc>
          <w:tcPr>
            <w:tcW w:w="3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1,047,976,028.92</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160,442,096.93</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投资活动产生的现金流量净额</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98,272,673.42</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-66,872,738.85</w:t>
            </w: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三、筹资活动产生的现金流量：</w:t>
            </w:r>
          </w:p>
        </w:tc>
        <w:tc>
          <w:tcPr>
            <w:tcW w:w="330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pacing w:val="-3"/>
                <w:sz w:val="18"/>
                <w:szCs w:val="18"/>
              </w:rPr>
              <w:t>吸收投资收到的现金</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2,940,000.00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21,600,000.00</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取得借款收到的现金</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10,000,000.00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40,000,000.00</w:t>
            </w:r>
          </w:p>
        </w:tc>
      </w:tr>
      <w:tr>
        <w:trPr>
          <w:trHeight w:val="715"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收到其他与筹资活动有关的现</w:t>
            </w:r>
          </w:p>
          <w:p>
            <w:pPr>
              <w:pStyle w:val="TableParagraph"/>
              <w:spacing w:line="240" w:lineRule="auto" w:before="76"/>
              <w:ind w:left="105" w:right="0"/>
              <w:jc w:val="left"/>
              <w:rPr>
                <w:rFonts w:ascii="宋体" w:hAnsi="宋体" w:cs="宋体" w:eastAsia="宋体" w:hint="default"/>
                <w:sz w:val="18"/>
                <w:szCs w:val="18"/>
              </w:rPr>
            </w:pPr>
            <w:r>
              <w:rPr>
                <w:rFonts w:ascii="宋体" w:hAnsi="宋体" w:cs="宋体" w:eastAsia="宋体" w:hint="default"/>
                <w:w w:val="101"/>
                <w:sz w:val="18"/>
                <w:szCs w:val="18"/>
              </w:rPr>
              <w:t>金</w:t>
            </w:r>
            <w:r>
              <w:rPr>
                <w:rFonts w:ascii="宋体" w:hAnsi="宋体" w:cs="宋体" w:eastAsia="宋体" w:hint="default"/>
                <w:sz w:val="18"/>
                <w:szCs w:val="18"/>
              </w:rPr>
            </w:r>
          </w:p>
        </w:tc>
        <w:tc>
          <w:tcPr>
            <w:tcW w:w="3304" w:type="dxa"/>
            <w:tcBorders>
              <w:top w:val="single" w:sz="4" w:space="0" w:color="000000"/>
              <w:left w:val="single" w:sz="4" w:space="0" w:color="000000"/>
              <w:bottom w:val="single" w:sz="4" w:space="0" w:color="000000"/>
              <w:right w:val="single" w:sz="4" w:space="0" w:color="000000"/>
            </w:tcBorders>
          </w:tcPr>
          <w:p>
            <w:pP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93"/>
              <w:jc w:val="right"/>
              <w:rPr>
                <w:rFonts w:ascii="Times New Roman" w:hAnsi="Times New Roman" w:cs="Times New Roman" w:eastAsia="Times New Roman" w:hint="default"/>
                <w:sz w:val="18"/>
                <w:szCs w:val="18"/>
              </w:rPr>
            </w:pPr>
            <w:r>
              <w:rPr>
                <w:rFonts w:ascii="Times New Roman"/>
                <w:spacing w:val="-1"/>
                <w:sz w:val="18"/>
              </w:rPr>
              <w:t>282.50</w:t>
            </w: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12,940,000.00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61,600,282.50</w:t>
            </w: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9"/>
              <w:ind w:left="465" w:right="0"/>
              <w:jc w:val="left"/>
              <w:rPr>
                <w:rFonts w:ascii="宋体" w:hAnsi="宋体" w:cs="宋体" w:eastAsia="宋体" w:hint="default"/>
                <w:sz w:val="18"/>
                <w:szCs w:val="18"/>
              </w:rPr>
            </w:pPr>
            <w:r>
              <w:rPr>
                <w:rFonts w:ascii="宋体" w:hAnsi="宋体" w:cs="宋体" w:eastAsia="宋体" w:hint="default"/>
                <w:spacing w:val="-3"/>
                <w:sz w:val="18"/>
                <w:szCs w:val="18"/>
              </w:rPr>
              <w:t>偿还债务支付的现金</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94"/>
              <w:jc w:val="right"/>
              <w:rPr>
                <w:rFonts w:ascii="Times New Roman" w:hAnsi="Times New Roman" w:cs="Times New Roman" w:eastAsia="Times New Roman" w:hint="default"/>
                <w:sz w:val="18"/>
                <w:szCs w:val="18"/>
              </w:rPr>
            </w:pPr>
            <w:r>
              <w:rPr>
                <w:rFonts w:ascii="Times New Roman"/>
                <w:spacing w:val="-1"/>
                <w:sz w:val="18"/>
              </w:rPr>
              <w:t>40,000,000.00</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94"/>
              <w:jc w:val="right"/>
              <w:rPr>
                <w:rFonts w:ascii="Times New Roman" w:hAnsi="Times New Roman" w:cs="Times New Roman" w:eastAsia="Times New Roman" w:hint="default"/>
                <w:sz w:val="18"/>
                <w:szCs w:val="18"/>
              </w:rPr>
            </w:pPr>
            <w:r>
              <w:rPr>
                <w:rFonts w:ascii="Times New Roman"/>
                <w:spacing w:val="-1"/>
                <w:sz w:val="18"/>
              </w:rPr>
              <w:t>10,000,000.00</w:t>
            </w:r>
          </w:p>
        </w:tc>
      </w:tr>
      <w:tr>
        <w:trPr>
          <w:trHeight w:val="715"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05" w:right="147" w:firstLine="360"/>
              <w:jc w:val="left"/>
              <w:rPr>
                <w:rFonts w:ascii="宋体" w:hAnsi="宋体" w:cs="宋体" w:eastAsia="宋体" w:hint="default"/>
                <w:sz w:val="18"/>
                <w:szCs w:val="18"/>
              </w:rPr>
            </w:pPr>
            <w:r>
              <w:rPr>
                <w:rFonts w:ascii="宋体" w:hAnsi="宋体" w:cs="宋体" w:eastAsia="宋体" w:hint="default"/>
                <w:spacing w:val="-3"/>
                <w:sz w:val="18"/>
                <w:szCs w:val="18"/>
              </w:rPr>
              <w:t>分配股利、利润或偿付利息支</w:t>
            </w:r>
            <w:r>
              <w:rPr>
                <w:rFonts w:ascii="宋体" w:hAnsi="宋体" w:cs="宋体" w:eastAsia="宋体" w:hint="default"/>
                <w:w w:val="101"/>
                <w:sz w:val="18"/>
                <w:szCs w:val="18"/>
              </w:rPr>
              <w:t> </w:t>
            </w:r>
            <w:r>
              <w:rPr>
                <w:rFonts w:ascii="宋体" w:hAnsi="宋体" w:cs="宋体" w:eastAsia="宋体" w:hint="default"/>
                <w:sz w:val="18"/>
                <w:szCs w:val="18"/>
              </w:rPr>
              <w:t>付的现金</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64,562,016.69</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61,525,315.07</w:t>
            </w:r>
          </w:p>
        </w:tc>
      </w:tr>
      <w:tr>
        <w:trPr>
          <w:trHeight w:val="716"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支付其他与筹资活动有关的现</w:t>
            </w:r>
          </w:p>
          <w:p>
            <w:pPr>
              <w:pStyle w:val="TableParagraph"/>
              <w:spacing w:line="240" w:lineRule="auto" w:before="76"/>
              <w:ind w:left="105" w:right="0"/>
              <w:jc w:val="left"/>
              <w:rPr>
                <w:rFonts w:ascii="宋体" w:hAnsi="宋体" w:cs="宋体" w:eastAsia="宋体" w:hint="default"/>
                <w:sz w:val="18"/>
                <w:szCs w:val="18"/>
              </w:rPr>
            </w:pPr>
            <w:r>
              <w:rPr>
                <w:rFonts w:ascii="宋体" w:hAnsi="宋体" w:cs="宋体" w:eastAsia="宋体" w:hint="default"/>
                <w:w w:val="101"/>
                <w:sz w:val="18"/>
                <w:szCs w:val="18"/>
              </w:rPr>
              <w:t>金</w:t>
            </w:r>
            <w:r>
              <w:rPr>
                <w:rFonts w:ascii="宋体" w:hAnsi="宋体" w:cs="宋体" w:eastAsia="宋体" w:hint="default"/>
                <w:sz w:val="18"/>
                <w:szCs w:val="18"/>
              </w:rPr>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35,768,308.94</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5,476,928.10</w:t>
            </w:r>
          </w:p>
        </w:tc>
      </w:tr>
      <w:tr>
        <w:trPr>
          <w:trHeight w:val="398"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140,330,325.63</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77,002,243.17</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pacing w:val="-3"/>
                <w:sz w:val="18"/>
                <w:szCs w:val="18"/>
              </w:rPr>
              <w:t>筹资活动产生的现金流量净额</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-127,390,325.63</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-15,401,960.67</w:t>
            </w:r>
          </w:p>
        </w:tc>
      </w:tr>
      <w:tr>
        <w:trPr>
          <w:trHeight w:val="715"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05" w:right="147"/>
              <w:jc w:val="left"/>
              <w:rPr>
                <w:rFonts w:ascii="宋体" w:hAnsi="宋体" w:cs="宋体" w:eastAsia="宋体" w:hint="default"/>
                <w:sz w:val="18"/>
                <w:szCs w:val="18"/>
              </w:rPr>
            </w:pPr>
            <w:r>
              <w:rPr>
                <w:rFonts w:ascii="宋体" w:hAnsi="宋体" w:cs="宋体" w:eastAsia="宋体" w:hint="default"/>
                <w:spacing w:val="-3"/>
                <w:sz w:val="18"/>
                <w:szCs w:val="18"/>
              </w:rPr>
              <w:t>四、汇率变动对现金及现金等价物</w:t>
            </w:r>
            <w:r>
              <w:rPr>
                <w:rFonts w:ascii="宋体" w:hAnsi="宋体" w:cs="宋体" w:eastAsia="宋体" w:hint="default"/>
                <w:spacing w:val="-44"/>
                <w:sz w:val="18"/>
                <w:szCs w:val="18"/>
              </w:rPr>
              <w:t> </w:t>
            </w:r>
            <w:r>
              <w:rPr>
                <w:rFonts w:ascii="宋体" w:hAnsi="宋体" w:cs="宋体" w:eastAsia="宋体" w:hint="default"/>
                <w:spacing w:val="-44"/>
                <w:sz w:val="18"/>
                <w:szCs w:val="18"/>
              </w:rPr>
            </w:r>
            <w:r>
              <w:rPr>
                <w:rFonts w:ascii="宋体" w:hAnsi="宋体" w:cs="宋体" w:eastAsia="宋体" w:hint="default"/>
                <w:sz w:val="18"/>
                <w:szCs w:val="18"/>
              </w:rPr>
              <w:t>的影响</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4,499,877.03</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4,081,377.26</w:t>
            </w: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pacing w:val="-3"/>
                <w:sz w:val="18"/>
                <w:szCs w:val="18"/>
              </w:rPr>
              <w:t>五、现金及现金等价物净增加额</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187,165,751.65</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-18,818,508.75</w:t>
            </w:r>
          </w:p>
        </w:tc>
      </w:tr>
      <w:tr>
        <w:trPr>
          <w:trHeight w:val="715"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加：期初现金及现金等价物余</w:t>
            </w:r>
          </w:p>
          <w:p>
            <w:pPr>
              <w:pStyle w:val="TableParagraph"/>
              <w:spacing w:line="240" w:lineRule="auto" w:before="76"/>
              <w:ind w:left="105" w:right="0"/>
              <w:jc w:val="left"/>
              <w:rPr>
                <w:rFonts w:ascii="宋体" w:hAnsi="宋体" w:cs="宋体" w:eastAsia="宋体" w:hint="default"/>
                <w:sz w:val="18"/>
                <w:szCs w:val="18"/>
              </w:rPr>
            </w:pPr>
            <w:r>
              <w:rPr>
                <w:rFonts w:ascii="宋体" w:hAnsi="宋体" w:cs="宋体" w:eastAsia="宋体" w:hint="default"/>
                <w:w w:val="101"/>
                <w:sz w:val="18"/>
                <w:szCs w:val="18"/>
              </w:rPr>
              <w:t>额</w:t>
            </w:r>
            <w:r>
              <w:rPr>
                <w:rFonts w:ascii="宋体" w:hAnsi="宋体" w:cs="宋体" w:eastAsia="宋体" w:hint="default"/>
                <w:sz w:val="18"/>
                <w:szCs w:val="18"/>
              </w:rPr>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193,955,577.49</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212,774,086.24</w:t>
            </w:r>
          </w:p>
        </w:tc>
      </w:tr>
    </w:tbl>
    <w:p>
      <w:pPr>
        <w:spacing w:after="0" w:line="240" w:lineRule="auto"/>
        <w:jc w:val="right"/>
        <w:rPr>
          <w:rFonts w:ascii="Times New Roman" w:hAnsi="Times New Roman" w:cs="Times New Roman" w:eastAsia="Times New Roman" w:hint="default"/>
          <w:sz w:val="18"/>
          <w:szCs w:val="18"/>
        </w:rPr>
        <w:sectPr>
          <w:pgSz w:w="11910" w:h="16840"/>
          <w:pgMar w:header="784" w:footer="1022" w:top="1100" w:bottom="1220" w:left="980" w:right="0"/>
        </w:sectPr>
      </w:pPr>
    </w:p>
    <w:p>
      <w:pPr>
        <w:spacing w:line="240" w:lineRule="auto" w:before="1"/>
        <w:rPr>
          <w:rFonts w:ascii="Times New Roman" w:hAnsi="Times New Roman" w:cs="Times New Roman" w:eastAsia="Times New Roman" w:hint="default"/>
          <w:sz w:val="29"/>
          <w:szCs w:val="29"/>
        </w:rPr>
      </w:pPr>
    </w:p>
    <w:tbl>
      <w:tblPr>
        <w:tblW w:w="0" w:type="auto"/>
        <w:jc w:val="left"/>
        <w:tblInd w:w="148" w:type="dxa"/>
        <w:tblLayout w:type="fixed"/>
        <w:tblCellMar>
          <w:top w:w="0" w:type="dxa"/>
          <w:left w:w="0" w:type="dxa"/>
          <w:bottom w:w="0" w:type="dxa"/>
          <w:right w:w="0" w:type="dxa"/>
        </w:tblCellMar>
        <w:tblLook w:val="01E0"/>
      </w:tblPr>
      <w:tblGrid>
        <w:gridCol w:w="2967"/>
        <w:gridCol w:w="3304"/>
        <w:gridCol w:w="3299"/>
      </w:tblGrid>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六、期末现金及现金等价物余额</w:t>
            </w:r>
          </w:p>
        </w:tc>
        <w:tc>
          <w:tcPr>
            <w:tcW w:w="3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069" w:right="0"/>
              <w:jc w:val="left"/>
              <w:rPr>
                <w:rFonts w:ascii="Times New Roman" w:hAnsi="Times New Roman" w:cs="Times New Roman" w:eastAsia="Times New Roman" w:hint="default"/>
                <w:sz w:val="18"/>
                <w:szCs w:val="18"/>
              </w:rPr>
            </w:pPr>
            <w:r>
              <w:rPr>
                <w:rFonts w:ascii="Times New Roman"/>
                <w:sz w:val="18"/>
              </w:rPr>
              <w:t>381,121,329.14</w:t>
            </w:r>
          </w:p>
        </w:tc>
        <w:tc>
          <w:tcPr>
            <w:tcW w:w="3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065" w:right="0"/>
              <w:jc w:val="left"/>
              <w:rPr>
                <w:rFonts w:ascii="Times New Roman" w:hAnsi="Times New Roman" w:cs="Times New Roman" w:eastAsia="Times New Roman" w:hint="default"/>
                <w:sz w:val="18"/>
                <w:szCs w:val="18"/>
              </w:rPr>
            </w:pPr>
            <w:r>
              <w:rPr>
                <w:rFonts w:ascii="Times New Roman"/>
                <w:sz w:val="18"/>
              </w:rPr>
              <w:t>193,955,577.49</w:t>
            </w:r>
          </w:p>
        </w:tc>
      </w:tr>
    </w:tbl>
    <w:p>
      <w:pPr>
        <w:spacing w:line="240" w:lineRule="auto" w:before="10"/>
        <w:rPr>
          <w:rFonts w:ascii="Times New Roman" w:hAnsi="Times New Roman" w:cs="Times New Roman" w:eastAsia="Times New Roman" w:hint="default"/>
          <w:sz w:val="21"/>
          <w:szCs w:val="21"/>
        </w:rPr>
      </w:pPr>
    </w:p>
    <w:p>
      <w:pPr>
        <w:pStyle w:val="Heading4"/>
        <w:spacing w:line="240" w:lineRule="auto" w:before="36"/>
        <w:ind w:right="0"/>
        <w:jc w:val="left"/>
        <w:rPr>
          <w:b w:val="0"/>
          <w:bCs w:val="0"/>
        </w:rPr>
      </w:pPr>
      <w:bookmarkStart w:name="7、合并所有者权益变动表" w:id="168"/>
      <w:bookmarkEnd w:id="168"/>
      <w:r>
        <w:rPr>
          <w:b w:val="0"/>
          <w:bCs w:val="0"/>
        </w:rPr>
      </w:r>
      <w:r>
        <w:rPr>
          <w:rFonts w:ascii="Times New Roman" w:hAnsi="Times New Roman" w:cs="Times New Roman" w:eastAsia="Times New Roman" w:hint="default"/>
        </w:rPr>
        <w:t>7</w:t>
      </w:r>
      <w:r>
        <w:rPr/>
        <w:t>、合并所有者权益变动表</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right="0"/>
        <w:jc w:val="left"/>
      </w:pPr>
      <w:r>
        <w:rPr/>
        <w:t>本期金额</w:t>
      </w:r>
    </w:p>
    <w:p>
      <w:pPr>
        <w:pStyle w:val="BodyText"/>
        <w:spacing w:line="240" w:lineRule="auto" w:before="115"/>
        <w:ind w:left="0" w:right="1122"/>
        <w:jc w:val="right"/>
      </w:pPr>
      <w:r>
        <w:rPr>
          <w:spacing w:val="-2"/>
        </w:rPr>
        <w:t>单位：元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253"/>
        <w:gridCol w:w="494"/>
        <w:gridCol w:w="466"/>
        <w:gridCol w:w="466"/>
        <w:gridCol w:w="470"/>
        <w:gridCol w:w="581"/>
        <w:gridCol w:w="586"/>
        <w:gridCol w:w="581"/>
        <w:gridCol w:w="586"/>
        <w:gridCol w:w="586"/>
        <w:gridCol w:w="581"/>
        <w:gridCol w:w="586"/>
        <w:gridCol w:w="586"/>
        <w:gridCol w:w="581"/>
        <w:gridCol w:w="586"/>
        <w:gridCol w:w="576"/>
      </w:tblGrid>
      <w:tr>
        <w:trPr>
          <w:trHeight w:val="403" w:hRule="exact"/>
        </w:trPr>
        <w:tc>
          <w:tcPr>
            <w:tcW w:w="125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8312" w:type="dxa"/>
            <w:gridSpan w:val="1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7"/>
                <w:sz w:val="18"/>
                <w:szCs w:val="18"/>
              </w:rPr>
              <w:t> </w:t>
            </w:r>
            <w:r>
              <w:rPr>
                <w:rFonts w:ascii="宋体" w:hAnsi="宋体" w:cs="宋体" w:eastAsia="宋体" w:hint="default"/>
                <w:spacing w:val="-5"/>
                <w:sz w:val="18"/>
                <w:szCs w:val="18"/>
              </w:rPr>
              <w:t>年度</w:t>
            </w:r>
            <w:r>
              <w:rPr>
                <w:rFonts w:ascii="宋体" w:hAnsi="宋体" w:cs="宋体" w:eastAsia="宋体" w:hint="default"/>
                <w:sz w:val="18"/>
                <w:szCs w:val="18"/>
              </w:rPr>
            </w:r>
          </w:p>
        </w:tc>
      </w:tr>
      <w:tr>
        <w:trPr>
          <w:trHeight w:val="399" w:hRule="exact"/>
        </w:trPr>
        <w:tc>
          <w:tcPr>
            <w:tcW w:w="1253" w:type="dxa"/>
            <w:vMerge/>
            <w:tcBorders>
              <w:left w:val="single" w:sz="4" w:space="0" w:color="000000"/>
              <w:right w:val="single" w:sz="4" w:space="0" w:color="000000"/>
            </w:tcBorders>
            <w:shd w:val="clear" w:color="auto" w:fill="D2D2D2"/>
          </w:tcPr>
          <w:p>
            <w:pPr/>
          </w:p>
        </w:tc>
        <w:tc>
          <w:tcPr>
            <w:tcW w:w="7150" w:type="dxa"/>
            <w:gridSpan w:val="1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pacing w:val="-3"/>
                <w:sz w:val="18"/>
                <w:szCs w:val="18"/>
              </w:rPr>
              <w:t>归属于母公司所有者权益</w:t>
            </w:r>
          </w:p>
        </w:tc>
        <w:tc>
          <w:tcPr>
            <w:tcW w:w="58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6"/>
                <w:szCs w:val="16"/>
              </w:rPr>
            </w:pPr>
          </w:p>
          <w:p>
            <w:pPr>
              <w:pStyle w:val="TableParagraph"/>
              <w:spacing w:line="319" w:lineRule="auto"/>
              <w:ind w:left="110" w:right="98"/>
              <w:jc w:val="both"/>
              <w:rPr>
                <w:rFonts w:ascii="宋体" w:hAnsi="宋体" w:cs="宋体" w:eastAsia="宋体" w:hint="default"/>
                <w:sz w:val="18"/>
                <w:szCs w:val="18"/>
              </w:rPr>
            </w:pPr>
            <w:r>
              <w:rPr>
                <w:rFonts w:ascii="宋体" w:hAnsi="宋体" w:cs="宋体" w:eastAsia="宋体" w:hint="default"/>
                <w:sz w:val="18"/>
                <w:szCs w:val="18"/>
              </w:rPr>
              <w:t>少数</w:t>
            </w:r>
            <w:r>
              <w:rPr>
                <w:rFonts w:ascii="宋体" w:hAnsi="宋体" w:cs="宋体" w:eastAsia="宋体" w:hint="default"/>
                <w:spacing w:val="-86"/>
                <w:sz w:val="18"/>
                <w:szCs w:val="18"/>
              </w:rPr>
              <w:t> </w:t>
            </w:r>
            <w:r>
              <w:rPr>
                <w:rFonts w:ascii="宋体" w:hAnsi="宋体" w:cs="宋体" w:eastAsia="宋体" w:hint="default"/>
                <w:sz w:val="18"/>
                <w:szCs w:val="18"/>
              </w:rPr>
              <w:t>股东</w:t>
            </w:r>
            <w:r>
              <w:rPr>
                <w:rFonts w:ascii="宋体" w:hAnsi="宋体" w:cs="宋体" w:eastAsia="宋体" w:hint="default"/>
                <w:spacing w:val="-86"/>
                <w:sz w:val="18"/>
                <w:szCs w:val="18"/>
              </w:rPr>
              <w:t> </w:t>
            </w:r>
            <w:r>
              <w:rPr>
                <w:rFonts w:ascii="宋体" w:hAnsi="宋体" w:cs="宋体" w:eastAsia="宋体" w:hint="default"/>
                <w:sz w:val="18"/>
                <w:szCs w:val="18"/>
              </w:rPr>
              <w:t>权益</w:t>
            </w:r>
          </w:p>
        </w:tc>
        <w:tc>
          <w:tcPr>
            <w:tcW w:w="57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22"/>
                <w:szCs w:val="22"/>
              </w:rPr>
            </w:pPr>
          </w:p>
          <w:p>
            <w:pPr>
              <w:pStyle w:val="TableParagraph"/>
              <w:spacing w:line="316" w:lineRule="auto"/>
              <w:ind w:left="105" w:right="95"/>
              <w:jc w:val="both"/>
              <w:rPr>
                <w:rFonts w:ascii="宋体" w:hAnsi="宋体" w:cs="宋体" w:eastAsia="宋体" w:hint="default"/>
                <w:sz w:val="18"/>
                <w:szCs w:val="18"/>
              </w:rPr>
            </w:pPr>
            <w:r>
              <w:rPr>
                <w:rFonts w:ascii="宋体" w:hAnsi="宋体" w:cs="宋体" w:eastAsia="宋体" w:hint="default"/>
                <w:sz w:val="18"/>
                <w:szCs w:val="18"/>
              </w:rPr>
              <w:t>所有</w:t>
            </w:r>
            <w:r>
              <w:rPr>
                <w:rFonts w:ascii="宋体" w:hAnsi="宋体" w:cs="宋体" w:eastAsia="宋体" w:hint="default"/>
                <w:spacing w:val="-86"/>
                <w:sz w:val="18"/>
                <w:szCs w:val="18"/>
              </w:rPr>
              <w:t> </w:t>
            </w:r>
            <w:r>
              <w:rPr>
                <w:rFonts w:ascii="宋体" w:hAnsi="宋体" w:cs="宋体" w:eastAsia="宋体" w:hint="default"/>
                <w:sz w:val="18"/>
                <w:szCs w:val="18"/>
              </w:rPr>
              <w:t>者权</w:t>
            </w:r>
            <w:r>
              <w:rPr>
                <w:rFonts w:ascii="宋体" w:hAnsi="宋体" w:cs="宋体" w:eastAsia="宋体" w:hint="default"/>
                <w:spacing w:val="-86"/>
                <w:sz w:val="18"/>
                <w:szCs w:val="18"/>
              </w:rPr>
              <w:t> </w:t>
            </w:r>
            <w:r>
              <w:rPr>
                <w:rFonts w:ascii="宋体" w:hAnsi="宋体" w:cs="宋体" w:eastAsia="宋体" w:hint="default"/>
                <w:sz w:val="18"/>
                <w:szCs w:val="18"/>
              </w:rPr>
              <w:t>益合</w:t>
            </w:r>
            <w:r>
              <w:rPr>
                <w:rFonts w:ascii="宋体" w:hAnsi="宋体" w:cs="宋体" w:eastAsia="宋体" w:hint="default"/>
                <w:spacing w:val="-86"/>
                <w:sz w:val="18"/>
                <w:szCs w:val="18"/>
              </w:rPr>
              <w:t> </w:t>
            </w:r>
            <w:r>
              <w:rPr>
                <w:rFonts w:ascii="宋体" w:hAnsi="宋体" w:cs="宋体" w:eastAsia="宋体" w:hint="default"/>
                <w:sz w:val="18"/>
                <w:szCs w:val="18"/>
              </w:rPr>
              <w:t>计</w:t>
            </w:r>
          </w:p>
        </w:tc>
      </w:tr>
      <w:tr>
        <w:trPr>
          <w:trHeight w:val="403" w:hRule="exact"/>
        </w:trPr>
        <w:tc>
          <w:tcPr>
            <w:tcW w:w="1253" w:type="dxa"/>
            <w:vMerge/>
            <w:tcBorders>
              <w:left w:val="single" w:sz="4" w:space="0" w:color="000000"/>
              <w:right w:val="single" w:sz="4" w:space="0" w:color="000000"/>
            </w:tcBorders>
            <w:shd w:val="clear" w:color="auto" w:fill="D2D2D2"/>
          </w:tcPr>
          <w:p>
            <w:pPr/>
          </w:p>
        </w:tc>
        <w:tc>
          <w:tcPr>
            <w:tcW w:w="4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3"/>
                <w:szCs w:val="13"/>
              </w:rPr>
            </w:pPr>
          </w:p>
          <w:p>
            <w:pPr>
              <w:pStyle w:val="TableParagraph"/>
              <w:spacing w:line="316" w:lineRule="auto"/>
              <w:ind w:left="153" w:right="146"/>
              <w:jc w:val="left"/>
              <w:rPr>
                <w:rFonts w:ascii="宋体" w:hAnsi="宋体" w:cs="宋体" w:eastAsia="宋体" w:hint="default"/>
                <w:sz w:val="18"/>
                <w:szCs w:val="18"/>
              </w:rPr>
            </w:pPr>
            <w:r>
              <w:rPr>
                <w:rFonts w:ascii="宋体" w:hAnsi="宋体" w:cs="宋体" w:eastAsia="宋体" w:hint="default"/>
                <w:sz w:val="18"/>
                <w:szCs w:val="18"/>
              </w:rPr>
              <w:t>股</w:t>
            </w:r>
            <w:r>
              <w:rPr>
                <w:rFonts w:ascii="宋体" w:hAnsi="宋体" w:cs="宋体" w:eastAsia="宋体" w:hint="default"/>
                <w:spacing w:val="-88"/>
                <w:sz w:val="18"/>
                <w:szCs w:val="18"/>
              </w:rPr>
              <w:t> </w:t>
            </w:r>
            <w:r>
              <w:rPr>
                <w:rFonts w:ascii="宋体" w:hAnsi="宋体" w:cs="宋体" w:eastAsia="宋体" w:hint="default"/>
                <w:sz w:val="18"/>
                <w:szCs w:val="18"/>
              </w:rPr>
              <w:t>本</w:t>
            </w:r>
          </w:p>
        </w:tc>
        <w:tc>
          <w:tcPr>
            <w:tcW w:w="14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53"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58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3"/>
                <w:szCs w:val="13"/>
              </w:rPr>
            </w:pPr>
          </w:p>
          <w:p>
            <w:pPr>
              <w:pStyle w:val="TableParagraph"/>
              <w:spacing w:line="316" w:lineRule="auto"/>
              <w:ind w:left="100" w:right="104"/>
              <w:jc w:val="left"/>
              <w:rPr>
                <w:rFonts w:ascii="宋体" w:hAnsi="宋体" w:cs="宋体" w:eastAsia="宋体" w:hint="default"/>
                <w:sz w:val="18"/>
                <w:szCs w:val="18"/>
              </w:rPr>
            </w:pPr>
            <w:r>
              <w:rPr>
                <w:rFonts w:ascii="宋体" w:hAnsi="宋体" w:cs="宋体" w:eastAsia="宋体" w:hint="default"/>
                <w:sz w:val="18"/>
                <w:szCs w:val="18"/>
              </w:rPr>
              <w:t>资本</w:t>
            </w:r>
            <w:r>
              <w:rPr>
                <w:rFonts w:ascii="宋体" w:hAnsi="宋体" w:cs="宋体" w:eastAsia="宋体" w:hint="default"/>
                <w:spacing w:val="-86"/>
                <w:sz w:val="18"/>
                <w:szCs w:val="18"/>
              </w:rPr>
              <w:t> </w:t>
            </w:r>
            <w:r>
              <w:rPr>
                <w:rFonts w:ascii="宋体" w:hAnsi="宋体" w:cs="宋体" w:eastAsia="宋体" w:hint="default"/>
                <w:sz w:val="18"/>
                <w:szCs w:val="18"/>
              </w:rPr>
              <w:t>公积</w:t>
            </w:r>
          </w:p>
        </w:tc>
        <w:tc>
          <w:tcPr>
            <w:tcW w:w="58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319" w:lineRule="auto"/>
              <w:ind w:left="110" w:right="98"/>
              <w:jc w:val="both"/>
              <w:rPr>
                <w:rFonts w:ascii="宋体" w:hAnsi="宋体" w:cs="宋体" w:eastAsia="宋体" w:hint="default"/>
                <w:sz w:val="18"/>
                <w:szCs w:val="18"/>
              </w:rPr>
            </w:pPr>
            <w:r>
              <w:rPr>
                <w:rFonts w:ascii="宋体" w:hAnsi="宋体" w:cs="宋体" w:eastAsia="宋体" w:hint="default"/>
                <w:sz w:val="18"/>
                <w:szCs w:val="18"/>
              </w:rPr>
              <w:t>减：</w:t>
            </w:r>
            <w:r>
              <w:rPr>
                <w:rFonts w:ascii="宋体" w:hAnsi="宋体" w:cs="宋体" w:eastAsia="宋体" w:hint="default"/>
                <w:spacing w:val="-86"/>
                <w:sz w:val="18"/>
                <w:szCs w:val="18"/>
              </w:rPr>
              <w:t> </w:t>
            </w:r>
            <w:r>
              <w:rPr>
                <w:rFonts w:ascii="宋体" w:hAnsi="宋体" w:cs="宋体" w:eastAsia="宋体" w:hint="default"/>
                <w:sz w:val="18"/>
                <w:szCs w:val="18"/>
              </w:rPr>
              <w:t>库存</w:t>
            </w:r>
            <w:r>
              <w:rPr>
                <w:rFonts w:ascii="宋体" w:hAnsi="宋体" w:cs="宋体" w:eastAsia="宋体" w:hint="default"/>
                <w:spacing w:val="-86"/>
                <w:sz w:val="18"/>
                <w:szCs w:val="18"/>
              </w:rPr>
              <w:t> </w:t>
            </w:r>
            <w:r>
              <w:rPr>
                <w:rFonts w:ascii="宋体" w:hAnsi="宋体" w:cs="宋体" w:eastAsia="宋体" w:hint="default"/>
                <w:sz w:val="18"/>
                <w:szCs w:val="18"/>
              </w:rPr>
              <w:t>股</w:t>
            </w:r>
          </w:p>
        </w:tc>
        <w:tc>
          <w:tcPr>
            <w:tcW w:w="58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319" w:lineRule="auto"/>
              <w:ind w:left="105" w:right="99"/>
              <w:jc w:val="both"/>
              <w:rPr>
                <w:rFonts w:ascii="宋体" w:hAnsi="宋体" w:cs="宋体" w:eastAsia="宋体" w:hint="default"/>
                <w:sz w:val="18"/>
                <w:szCs w:val="18"/>
              </w:rPr>
            </w:pPr>
            <w:r>
              <w:rPr>
                <w:rFonts w:ascii="宋体" w:hAnsi="宋体" w:cs="宋体" w:eastAsia="宋体" w:hint="default"/>
                <w:sz w:val="18"/>
                <w:szCs w:val="18"/>
              </w:rPr>
              <w:t>其他</w:t>
            </w:r>
            <w:r>
              <w:rPr>
                <w:rFonts w:ascii="宋体" w:hAnsi="宋体" w:cs="宋体" w:eastAsia="宋体" w:hint="default"/>
                <w:spacing w:val="-86"/>
                <w:sz w:val="18"/>
                <w:szCs w:val="18"/>
              </w:rPr>
              <w:t> </w:t>
            </w:r>
            <w:r>
              <w:rPr>
                <w:rFonts w:ascii="宋体" w:hAnsi="宋体" w:cs="宋体" w:eastAsia="宋体" w:hint="default"/>
                <w:sz w:val="18"/>
                <w:szCs w:val="18"/>
              </w:rPr>
              <w:t>综合</w:t>
            </w:r>
            <w:r>
              <w:rPr>
                <w:rFonts w:ascii="宋体" w:hAnsi="宋体" w:cs="宋体" w:eastAsia="宋体" w:hint="default"/>
                <w:spacing w:val="-86"/>
                <w:sz w:val="18"/>
                <w:szCs w:val="18"/>
              </w:rPr>
              <w:t> </w:t>
            </w:r>
            <w:r>
              <w:rPr>
                <w:rFonts w:ascii="宋体" w:hAnsi="宋体" w:cs="宋体" w:eastAsia="宋体" w:hint="default"/>
                <w:sz w:val="18"/>
                <w:szCs w:val="18"/>
              </w:rPr>
              <w:t>收益</w:t>
            </w:r>
          </w:p>
        </w:tc>
        <w:tc>
          <w:tcPr>
            <w:tcW w:w="58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3"/>
                <w:szCs w:val="13"/>
              </w:rPr>
            </w:pPr>
          </w:p>
          <w:p>
            <w:pPr>
              <w:pStyle w:val="TableParagraph"/>
              <w:spacing w:line="316" w:lineRule="auto"/>
              <w:ind w:left="110" w:right="98"/>
              <w:jc w:val="left"/>
              <w:rPr>
                <w:rFonts w:ascii="宋体" w:hAnsi="宋体" w:cs="宋体" w:eastAsia="宋体" w:hint="default"/>
                <w:sz w:val="18"/>
                <w:szCs w:val="18"/>
              </w:rPr>
            </w:pPr>
            <w:r>
              <w:rPr>
                <w:rFonts w:ascii="宋体" w:hAnsi="宋体" w:cs="宋体" w:eastAsia="宋体" w:hint="default"/>
                <w:sz w:val="18"/>
                <w:szCs w:val="18"/>
              </w:rPr>
              <w:t>专项</w:t>
            </w:r>
            <w:r>
              <w:rPr>
                <w:rFonts w:ascii="宋体" w:hAnsi="宋体" w:cs="宋体" w:eastAsia="宋体" w:hint="default"/>
                <w:spacing w:val="-86"/>
                <w:sz w:val="18"/>
                <w:szCs w:val="18"/>
              </w:rPr>
              <w:t> </w:t>
            </w:r>
            <w:r>
              <w:rPr>
                <w:rFonts w:ascii="宋体" w:hAnsi="宋体" w:cs="宋体" w:eastAsia="宋体" w:hint="default"/>
                <w:sz w:val="18"/>
                <w:szCs w:val="18"/>
              </w:rPr>
              <w:t>储备</w:t>
            </w:r>
          </w:p>
        </w:tc>
        <w:tc>
          <w:tcPr>
            <w:tcW w:w="58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3"/>
                <w:szCs w:val="13"/>
              </w:rPr>
            </w:pPr>
          </w:p>
          <w:p>
            <w:pPr>
              <w:pStyle w:val="TableParagraph"/>
              <w:spacing w:line="316" w:lineRule="auto"/>
              <w:ind w:left="105" w:right="105"/>
              <w:jc w:val="left"/>
              <w:rPr>
                <w:rFonts w:ascii="宋体" w:hAnsi="宋体" w:cs="宋体" w:eastAsia="宋体" w:hint="default"/>
                <w:sz w:val="18"/>
                <w:szCs w:val="18"/>
              </w:rPr>
            </w:pPr>
            <w:r>
              <w:rPr>
                <w:rFonts w:ascii="宋体" w:hAnsi="宋体" w:cs="宋体" w:eastAsia="宋体" w:hint="default"/>
                <w:sz w:val="18"/>
                <w:szCs w:val="18"/>
              </w:rPr>
              <w:t>盈余</w:t>
            </w:r>
            <w:r>
              <w:rPr>
                <w:rFonts w:ascii="宋体" w:hAnsi="宋体" w:cs="宋体" w:eastAsia="宋体" w:hint="default"/>
                <w:spacing w:val="-86"/>
                <w:sz w:val="18"/>
                <w:szCs w:val="18"/>
              </w:rPr>
              <w:t> </w:t>
            </w:r>
            <w:r>
              <w:rPr>
                <w:rFonts w:ascii="宋体" w:hAnsi="宋体" w:cs="宋体" w:eastAsia="宋体" w:hint="default"/>
                <w:sz w:val="18"/>
                <w:szCs w:val="18"/>
              </w:rPr>
              <w:t>公积</w:t>
            </w:r>
          </w:p>
        </w:tc>
        <w:tc>
          <w:tcPr>
            <w:tcW w:w="58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319" w:lineRule="auto"/>
              <w:ind w:left="105" w:right="98"/>
              <w:jc w:val="both"/>
              <w:rPr>
                <w:rFonts w:ascii="宋体" w:hAnsi="宋体" w:cs="宋体" w:eastAsia="宋体" w:hint="default"/>
                <w:sz w:val="18"/>
                <w:szCs w:val="18"/>
              </w:rPr>
            </w:pPr>
            <w:r>
              <w:rPr>
                <w:rFonts w:ascii="宋体" w:hAnsi="宋体" w:cs="宋体" w:eastAsia="宋体" w:hint="default"/>
                <w:sz w:val="18"/>
                <w:szCs w:val="18"/>
              </w:rPr>
              <w:t>一般</w:t>
            </w:r>
            <w:r>
              <w:rPr>
                <w:rFonts w:ascii="宋体" w:hAnsi="宋体" w:cs="宋体" w:eastAsia="宋体" w:hint="default"/>
                <w:spacing w:val="-86"/>
                <w:sz w:val="18"/>
                <w:szCs w:val="18"/>
              </w:rPr>
              <w:t> </w:t>
            </w:r>
            <w:r>
              <w:rPr>
                <w:rFonts w:ascii="宋体" w:hAnsi="宋体" w:cs="宋体" w:eastAsia="宋体" w:hint="default"/>
                <w:sz w:val="18"/>
                <w:szCs w:val="18"/>
              </w:rPr>
              <w:t>风险</w:t>
            </w:r>
            <w:r>
              <w:rPr>
                <w:rFonts w:ascii="宋体" w:hAnsi="宋体" w:cs="宋体" w:eastAsia="宋体" w:hint="default"/>
                <w:spacing w:val="-86"/>
                <w:sz w:val="18"/>
                <w:szCs w:val="18"/>
              </w:rPr>
              <w:t> </w:t>
            </w:r>
            <w:r>
              <w:rPr>
                <w:rFonts w:ascii="宋体" w:hAnsi="宋体" w:cs="宋体" w:eastAsia="宋体" w:hint="default"/>
                <w:sz w:val="18"/>
                <w:szCs w:val="18"/>
              </w:rPr>
              <w:t>准备</w:t>
            </w:r>
          </w:p>
        </w:tc>
        <w:tc>
          <w:tcPr>
            <w:tcW w:w="58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319" w:lineRule="auto"/>
              <w:ind w:left="110" w:right="99"/>
              <w:jc w:val="both"/>
              <w:rPr>
                <w:rFonts w:ascii="宋体" w:hAnsi="宋体" w:cs="宋体" w:eastAsia="宋体" w:hint="default"/>
                <w:sz w:val="18"/>
                <w:szCs w:val="18"/>
              </w:rPr>
            </w:pPr>
            <w:r>
              <w:rPr>
                <w:rFonts w:ascii="宋体" w:hAnsi="宋体" w:cs="宋体" w:eastAsia="宋体" w:hint="default"/>
                <w:sz w:val="18"/>
                <w:szCs w:val="18"/>
              </w:rPr>
              <w:t>未分</w:t>
            </w:r>
            <w:r>
              <w:rPr>
                <w:rFonts w:ascii="宋体" w:hAnsi="宋体" w:cs="宋体" w:eastAsia="宋体" w:hint="default"/>
                <w:spacing w:val="-86"/>
                <w:sz w:val="18"/>
                <w:szCs w:val="18"/>
              </w:rPr>
              <w:t> </w:t>
            </w:r>
            <w:r>
              <w:rPr>
                <w:rFonts w:ascii="宋体" w:hAnsi="宋体" w:cs="宋体" w:eastAsia="宋体" w:hint="default"/>
                <w:sz w:val="18"/>
                <w:szCs w:val="18"/>
              </w:rPr>
              <w:t>配利</w:t>
            </w:r>
            <w:r>
              <w:rPr>
                <w:rFonts w:ascii="宋体" w:hAnsi="宋体" w:cs="宋体" w:eastAsia="宋体" w:hint="default"/>
                <w:spacing w:val="-86"/>
                <w:sz w:val="18"/>
                <w:szCs w:val="18"/>
              </w:rPr>
              <w:t> </w:t>
            </w:r>
            <w:r>
              <w:rPr>
                <w:rFonts w:ascii="宋体" w:hAnsi="宋体" w:cs="宋体" w:eastAsia="宋体" w:hint="default"/>
                <w:sz w:val="18"/>
                <w:szCs w:val="18"/>
              </w:rPr>
              <w:t>润</w:t>
            </w:r>
          </w:p>
        </w:tc>
        <w:tc>
          <w:tcPr>
            <w:tcW w:w="58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5"/>
                <w:szCs w:val="25"/>
              </w:rPr>
            </w:pPr>
          </w:p>
          <w:p>
            <w:pPr>
              <w:pStyle w:val="TableParagraph"/>
              <w:spacing w:line="240" w:lineRule="auto"/>
              <w:ind w:left="11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8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5"/>
                <w:szCs w:val="2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586" w:type="dxa"/>
            <w:vMerge/>
            <w:tcBorders>
              <w:left w:val="single" w:sz="4" w:space="0" w:color="000000"/>
              <w:right w:val="single" w:sz="4" w:space="0" w:color="000000"/>
            </w:tcBorders>
            <w:shd w:val="clear" w:color="auto" w:fill="D2D2D2"/>
          </w:tcPr>
          <w:p>
            <w:pPr/>
          </w:p>
        </w:tc>
        <w:tc>
          <w:tcPr>
            <w:tcW w:w="576" w:type="dxa"/>
            <w:vMerge/>
            <w:tcBorders>
              <w:left w:val="single" w:sz="4" w:space="0" w:color="000000"/>
              <w:right w:val="single" w:sz="4" w:space="0" w:color="000000"/>
            </w:tcBorders>
            <w:shd w:val="clear" w:color="auto" w:fill="D2D2D2"/>
          </w:tcPr>
          <w:p>
            <w:pPr/>
          </w:p>
        </w:tc>
      </w:tr>
      <w:tr>
        <w:trPr>
          <w:trHeight w:val="1027" w:hRule="exact"/>
        </w:trPr>
        <w:tc>
          <w:tcPr>
            <w:tcW w:w="1253" w:type="dxa"/>
            <w:vMerge/>
            <w:tcBorders>
              <w:left w:val="single" w:sz="4" w:space="0" w:color="000000"/>
              <w:bottom w:val="single" w:sz="4" w:space="0" w:color="000000"/>
              <w:right w:val="single" w:sz="4" w:space="0" w:color="000000"/>
            </w:tcBorders>
            <w:shd w:val="clear" w:color="auto" w:fill="D2D2D2"/>
          </w:tcPr>
          <w:p>
            <w:pPr/>
          </w:p>
        </w:tc>
        <w:tc>
          <w:tcPr>
            <w:tcW w:w="494" w:type="dxa"/>
            <w:vMerge/>
            <w:tcBorders>
              <w:left w:val="single" w:sz="4" w:space="0" w:color="000000"/>
              <w:bottom w:val="single" w:sz="4" w:space="0" w:color="000000"/>
              <w:right w:val="single" w:sz="4" w:space="0" w:color="000000"/>
            </w:tcBorders>
            <w:shd w:val="clear" w:color="auto" w:fill="D2D2D2"/>
          </w:tcPr>
          <w:p>
            <w:pPr/>
          </w:p>
        </w:tc>
        <w:tc>
          <w:tcPr>
            <w:tcW w:w="4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34" w:right="137"/>
              <w:jc w:val="both"/>
              <w:rPr>
                <w:rFonts w:ascii="宋体" w:hAnsi="宋体" w:cs="宋体" w:eastAsia="宋体" w:hint="default"/>
                <w:sz w:val="18"/>
                <w:szCs w:val="18"/>
              </w:rPr>
            </w:pPr>
            <w:r>
              <w:rPr>
                <w:rFonts w:ascii="宋体" w:hAnsi="宋体" w:cs="宋体" w:eastAsia="宋体" w:hint="default"/>
                <w:sz w:val="18"/>
                <w:szCs w:val="18"/>
              </w:rPr>
              <w:t>优</w:t>
            </w:r>
            <w:r>
              <w:rPr>
                <w:rFonts w:ascii="宋体" w:hAnsi="宋体" w:cs="宋体" w:eastAsia="宋体" w:hint="default"/>
                <w:spacing w:val="-88"/>
                <w:sz w:val="18"/>
                <w:szCs w:val="18"/>
              </w:rPr>
              <w:t> </w:t>
            </w:r>
            <w:r>
              <w:rPr>
                <w:rFonts w:ascii="宋体" w:hAnsi="宋体" w:cs="宋体" w:eastAsia="宋体" w:hint="default"/>
                <w:sz w:val="18"/>
                <w:szCs w:val="18"/>
              </w:rPr>
              <w:t>先</w:t>
            </w:r>
            <w:r>
              <w:rPr>
                <w:rFonts w:ascii="宋体" w:hAnsi="宋体" w:cs="宋体" w:eastAsia="宋体" w:hint="default"/>
                <w:spacing w:val="-88"/>
                <w:sz w:val="18"/>
                <w:szCs w:val="18"/>
              </w:rPr>
              <w:t> </w:t>
            </w:r>
            <w:r>
              <w:rPr>
                <w:rFonts w:ascii="宋体" w:hAnsi="宋体" w:cs="宋体" w:eastAsia="宋体" w:hint="default"/>
                <w:sz w:val="18"/>
                <w:szCs w:val="18"/>
              </w:rPr>
              <w:t>股</w:t>
            </w:r>
          </w:p>
        </w:tc>
        <w:tc>
          <w:tcPr>
            <w:tcW w:w="4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39" w:right="132"/>
              <w:jc w:val="both"/>
              <w:rPr>
                <w:rFonts w:ascii="宋体" w:hAnsi="宋体" w:cs="宋体" w:eastAsia="宋体" w:hint="default"/>
                <w:sz w:val="18"/>
                <w:szCs w:val="18"/>
              </w:rPr>
            </w:pPr>
            <w:r>
              <w:rPr>
                <w:rFonts w:ascii="宋体" w:hAnsi="宋体" w:cs="宋体" w:eastAsia="宋体" w:hint="default"/>
                <w:sz w:val="18"/>
                <w:szCs w:val="18"/>
              </w:rPr>
              <w:t>永</w:t>
            </w:r>
            <w:r>
              <w:rPr>
                <w:rFonts w:ascii="宋体" w:hAnsi="宋体" w:cs="宋体" w:eastAsia="宋体" w:hint="default"/>
                <w:spacing w:val="-88"/>
                <w:sz w:val="18"/>
                <w:szCs w:val="18"/>
              </w:rPr>
              <w:t> </w:t>
            </w:r>
            <w:r>
              <w:rPr>
                <w:rFonts w:ascii="宋体" w:hAnsi="宋体" w:cs="宋体" w:eastAsia="宋体" w:hint="default"/>
                <w:sz w:val="18"/>
                <w:szCs w:val="18"/>
              </w:rPr>
              <w:t>续</w:t>
            </w:r>
            <w:r>
              <w:rPr>
                <w:rFonts w:ascii="宋体" w:hAnsi="宋体" w:cs="宋体" w:eastAsia="宋体" w:hint="default"/>
                <w:spacing w:val="-88"/>
                <w:sz w:val="18"/>
                <w:szCs w:val="18"/>
              </w:rPr>
              <w:t> </w:t>
            </w:r>
            <w:r>
              <w:rPr>
                <w:rFonts w:ascii="宋体" w:hAnsi="宋体" w:cs="宋体" w:eastAsia="宋体" w:hint="default"/>
                <w:sz w:val="18"/>
                <w:szCs w:val="18"/>
              </w:rPr>
              <w:t>债</w:t>
            </w:r>
          </w:p>
        </w:tc>
        <w:tc>
          <w:tcPr>
            <w:tcW w:w="4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16" w:lineRule="auto"/>
              <w:ind w:left="143" w:right="132"/>
              <w:jc w:val="left"/>
              <w:rPr>
                <w:rFonts w:ascii="宋体" w:hAnsi="宋体" w:cs="宋体" w:eastAsia="宋体" w:hint="default"/>
                <w:sz w:val="18"/>
                <w:szCs w:val="18"/>
              </w:rPr>
            </w:pPr>
            <w:r>
              <w:rPr>
                <w:rFonts w:ascii="宋体" w:hAnsi="宋体" w:cs="宋体" w:eastAsia="宋体" w:hint="default"/>
                <w:sz w:val="18"/>
                <w:szCs w:val="18"/>
              </w:rPr>
              <w:t>其</w:t>
            </w:r>
            <w:r>
              <w:rPr>
                <w:rFonts w:ascii="宋体" w:hAnsi="宋体" w:cs="宋体" w:eastAsia="宋体" w:hint="default"/>
                <w:spacing w:val="-88"/>
                <w:sz w:val="18"/>
                <w:szCs w:val="18"/>
              </w:rPr>
              <w:t> </w:t>
            </w:r>
            <w:r>
              <w:rPr>
                <w:rFonts w:ascii="宋体" w:hAnsi="宋体" w:cs="宋体" w:eastAsia="宋体" w:hint="default"/>
                <w:sz w:val="18"/>
                <w:szCs w:val="18"/>
              </w:rPr>
              <w:t>他</w:t>
            </w:r>
          </w:p>
        </w:tc>
        <w:tc>
          <w:tcPr>
            <w:tcW w:w="581" w:type="dxa"/>
            <w:vMerge/>
            <w:tcBorders>
              <w:left w:val="single" w:sz="4" w:space="0" w:color="000000"/>
              <w:bottom w:val="single" w:sz="4" w:space="0" w:color="000000"/>
              <w:right w:val="single" w:sz="4" w:space="0" w:color="000000"/>
            </w:tcBorders>
            <w:shd w:val="clear" w:color="auto" w:fill="D2D2D2"/>
          </w:tcPr>
          <w:p>
            <w:pPr/>
          </w:p>
        </w:tc>
        <w:tc>
          <w:tcPr>
            <w:tcW w:w="586" w:type="dxa"/>
            <w:vMerge/>
            <w:tcBorders>
              <w:left w:val="single" w:sz="4" w:space="0" w:color="000000"/>
              <w:bottom w:val="single" w:sz="4" w:space="0" w:color="000000"/>
              <w:right w:val="single" w:sz="4" w:space="0" w:color="000000"/>
            </w:tcBorders>
            <w:shd w:val="clear" w:color="auto" w:fill="D2D2D2"/>
          </w:tcPr>
          <w:p>
            <w:pPr/>
          </w:p>
        </w:tc>
        <w:tc>
          <w:tcPr>
            <w:tcW w:w="581" w:type="dxa"/>
            <w:vMerge/>
            <w:tcBorders>
              <w:left w:val="single" w:sz="4" w:space="0" w:color="000000"/>
              <w:bottom w:val="single" w:sz="4" w:space="0" w:color="000000"/>
              <w:right w:val="single" w:sz="4" w:space="0" w:color="000000"/>
            </w:tcBorders>
            <w:shd w:val="clear" w:color="auto" w:fill="D2D2D2"/>
          </w:tcPr>
          <w:p>
            <w:pPr/>
          </w:p>
        </w:tc>
        <w:tc>
          <w:tcPr>
            <w:tcW w:w="586" w:type="dxa"/>
            <w:vMerge/>
            <w:tcBorders>
              <w:left w:val="single" w:sz="4" w:space="0" w:color="000000"/>
              <w:bottom w:val="single" w:sz="4" w:space="0" w:color="000000"/>
              <w:right w:val="single" w:sz="4" w:space="0" w:color="000000"/>
            </w:tcBorders>
            <w:shd w:val="clear" w:color="auto" w:fill="D2D2D2"/>
          </w:tcPr>
          <w:p>
            <w:pPr/>
          </w:p>
        </w:tc>
        <w:tc>
          <w:tcPr>
            <w:tcW w:w="586" w:type="dxa"/>
            <w:vMerge/>
            <w:tcBorders>
              <w:left w:val="single" w:sz="4" w:space="0" w:color="000000"/>
              <w:bottom w:val="single" w:sz="4" w:space="0" w:color="000000"/>
              <w:right w:val="single" w:sz="4" w:space="0" w:color="000000"/>
            </w:tcBorders>
            <w:shd w:val="clear" w:color="auto" w:fill="D2D2D2"/>
          </w:tcPr>
          <w:p>
            <w:pPr/>
          </w:p>
        </w:tc>
        <w:tc>
          <w:tcPr>
            <w:tcW w:w="581" w:type="dxa"/>
            <w:vMerge/>
            <w:tcBorders>
              <w:left w:val="single" w:sz="4" w:space="0" w:color="000000"/>
              <w:bottom w:val="single" w:sz="4" w:space="0" w:color="000000"/>
              <w:right w:val="single" w:sz="4" w:space="0" w:color="000000"/>
            </w:tcBorders>
            <w:shd w:val="clear" w:color="auto" w:fill="D2D2D2"/>
          </w:tcPr>
          <w:p>
            <w:pPr/>
          </w:p>
        </w:tc>
        <w:tc>
          <w:tcPr>
            <w:tcW w:w="586" w:type="dxa"/>
            <w:vMerge/>
            <w:tcBorders>
              <w:left w:val="single" w:sz="4" w:space="0" w:color="000000"/>
              <w:bottom w:val="single" w:sz="4" w:space="0" w:color="000000"/>
              <w:right w:val="single" w:sz="4" w:space="0" w:color="000000"/>
            </w:tcBorders>
            <w:shd w:val="clear" w:color="auto" w:fill="D2D2D2"/>
          </w:tcPr>
          <w:p>
            <w:pPr/>
          </w:p>
        </w:tc>
        <w:tc>
          <w:tcPr>
            <w:tcW w:w="586" w:type="dxa"/>
            <w:vMerge/>
            <w:tcBorders>
              <w:left w:val="single" w:sz="4" w:space="0" w:color="000000"/>
              <w:bottom w:val="single" w:sz="4" w:space="0" w:color="000000"/>
              <w:right w:val="single" w:sz="4" w:space="0" w:color="000000"/>
            </w:tcBorders>
            <w:shd w:val="clear" w:color="auto" w:fill="D2D2D2"/>
          </w:tcPr>
          <w:p>
            <w:pPr/>
          </w:p>
        </w:tc>
        <w:tc>
          <w:tcPr>
            <w:tcW w:w="581" w:type="dxa"/>
            <w:vMerge/>
            <w:tcBorders>
              <w:left w:val="single" w:sz="4" w:space="0" w:color="000000"/>
              <w:bottom w:val="single" w:sz="4" w:space="0" w:color="000000"/>
              <w:right w:val="single" w:sz="4" w:space="0" w:color="000000"/>
            </w:tcBorders>
            <w:shd w:val="clear" w:color="auto" w:fill="D2D2D2"/>
          </w:tcPr>
          <w:p>
            <w:pPr/>
          </w:p>
        </w:tc>
        <w:tc>
          <w:tcPr>
            <w:tcW w:w="586" w:type="dxa"/>
            <w:vMerge/>
            <w:tcBorders>
              <w:left w:val="single" w:sz="4" w:space="0" w:color="000000"/>
              <w:bottom w:val="single" w:sz="4" w:space="0" w:color="000000"/>
              <w:right w:val="single" w:sz="4" w:space="0" w:color="000000"/>
            </w:tcBorders>
            <w:shd w:val="clear" w:color="auto" w:fill="D2D2D2"/>
          </w:tcPr>
          <w:p>
            <w:pPr/>
          </w:p>
        </w:tc>
        <w:tc>
          <w:tcPr>
            <w:tcW w:w="576" w:type="dxa"/>
            <w:vMerge/>
            <w:tcBorders>
              <w:left w:val="single" w:sz="4" w:space="0" w:color="000000"/>
              <w:bottom w:val="single" w:sz="4" w:space="0" w:color="000000"/>
              <w:right w:val="single" w:sz="4" w:space="0" w:color="000000"/>
            </w:tcBorders>
            <w:shd w:val="clear" w:color="auto" w:fill="D2D2D2"/>
          </w:tcPr>
          <w:p>
            <w:pPr/>
          </w:p>
        </w:tc>
      </w:tr>
      <w:tr>
        <w:trPr>
          <w:trHeight w:val="1652"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321" w:lineRule="auto"/>
              <w:ind w:left="105" w:right="94"/>
              <w:jc w:val="left"/>
              <w:rPr>
                <w:rFonts w:ascii="宋体" w:hAnsi="宋体" w:cs="宋体" w:eastAsia="宋体" w:hint="default"/>
                <w:sz w:val="18"/>
                <w:szCs w:val="18"/>
              </w:rPr>
            </w:pPr>
            <w:r>
              <w:rPr>
                <w:rFonts w:ascii="宋体" w:hAnsi="宋体" w:cs="宋体" w:eastAsia="宋体" w:hint="default"/>
                <w:spacing w:val="-9"/>
                <w:sz w:val="18"/>
                <w:szCs w:val="18"/>
              </w:rPr>
              <w:t>一、上年期末</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余额</w:t>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15" w:right="0"/>
              <w:jc w:val="left"/>
              <w:rPr>
                <w:rFonts w:ascii="Times New Roman" w:hAnsi="Times New Roman" w:cs="Times New Roman" w:eastAsia="Times New Roman" w:hint="default"/>
                <w:sz w:val="18"/>
                <w:szCs w:val="18"/>
              </w:rPr>
            </w:pPr>
            <w:r>
              <w:rPr>
                <w:rFonts w:ascii="Times New Roman"/>
                <w:sz w:val="18"/>
              </w:rPr>
              <w:t>619</w:t>
            </w:r>
          </w:p>
          <w:p>
            <w:pPr>
              <w:pStyle w:val="TableParagraph"/>
              <w:spacing w:line="240" w:lineRule="auto" w:before="100"/>
              <w:ind w:left="158" w:right="0"/>
              <w:jc w:val="left"/>
              <w:rPr>
                <w:rFonts w:ascii="Times New Roman" w:hAnsi="Times New Roman" w:cs="Times New Roman" w:eastAsia="Times New Roman" w:hint="default"/>
                <w:sz w:val="18"/>
                <w:szCs w:val="18"/>
              </w:rPr>
            </w:pPr>
            <w:r>
              <w:rPr>
                <w:rFonts w:ascii="Times New Roman"/>
                <w:sz w:val="18"/>
              </w:rPr>
              <w:t>,21</w:t>
            </w:r>
          </w:p>
          <w:p>
            <w:pPr>
              <w:pStyle w:val="TableParagraph"/>
              <w:spacing w:line="240" w:lineRule="auto" w:before="105"/>
              <w:ind w:left="158" w:right="0"/>
              <w:jc w:val="left"/>
              <w:rPr>
                <w:rFonts w:ascii="Times New Roman" w:hAnsi="Times New Roman" w:cs="Times New Roman" w:eastAsia="Times New Roman" w:hint="default"/>
                <w:sz w:val="18"/>
                <w:szCs w:val="18"/>
              </w:rPr>
            </w:pPr>
            <w:r>
              <w:rPr>
                <w:rFonts w:ascii="Times New Roman"/>
                <w:sz w:val="18"/>
              </w:rPr>
              <w:t>4,8</w:t>
            </w:r>
          </w:p>
          <w:p>
            <w:pPr>
              <w:pStyle w:val="TableParagraph"/>
              <w:spacing w:line="240" w:lineRule="auto" w:before="105"/>
              <w:ind w:left="158" w:right="0"/>
              <w:jc w:val="left"/>
              <w:rPr>
                <w:rFonts w:ascii="Times New Roman" w:hAnsi="Times New Roman" w:cs="Times New Roman" w:eastAsia="Times New Roman" w:hint="default"/>
                <w:sz w:val="18"/>
                <w:szCs w:val="18"/>
              </w:rPr>
            </w:pPr>
            <w:r>
              <w:rPr>
                <w:rFonts w:ascii="Times New Roman"/>
                <w:sz w:val="18"/>
              </w:rPr>
              <w:t>34.</w:t>
            </w:r>
          </w:p>
          <w:p>
            <w:pPr>
              <w:pStyle w:val="TableParagraph"/>
              <w:spacing w:line="240" w:lineRule="auto" w:before="110"/>
              <w:ind w:left="206" w:right="0"/>
              <w:jc w:val="left"/>
              <w:rPr>
                <w:rFonts w:ascii="Times New Roman" w:hAnsi="Times New Roman" w:cs="Times New Roman" w:eastAsia="Times New Roman" w:hint="default"/>
                <w:sz w:val="18"/>
                <w:szCs w:val="18"/>
              </w:rPr>
            </w:pPr>
            <w:r>
              <w:rPr>
                <w:rFonts w:ascii="Times New Roman"/>
                <w:sz w:val="18"/>
              </w:rPr>
              <w:t>00</w:t>
            </w: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6" w:right="0"/>
              <w:jc w:val="center"/>
              <w:rPr>
                <w:rFonts w:ascii="Times New Roman" w:hAnsi="Times New Roman" w:cs="Times New Roman" w:eastAsia="Times New Roman" w:hint="default"/>
                <w:sz w:val="18"/>
                <w:szCs w:val="18"/>
              </w:rPr>
            </w:pPr>
            <w:r>
              <w:rPr>
                <w:rFonts w:ascii="Times New Roman"/>
                <w:sz w:val="18"/>
              </w:rPr>
              <w:t>208,</w:t>
            </w:r>
          </w:p>
          <w:p>
            <w:pPr>
              <w:pStyle w:val="TableParagraph"/>
              <w:spacing w:line="240" w:lineRule="auto" w:before="105"/>
              <w:ind w:left="46" w:right="0"/>
              <w:jc w:val="center"/>
              <w:rPr>
                <w:rFonts w:ascii="Times New Roman" w:hAnsi="Times New Roman" w:cs="Times New Roman" w:eastAsia="Times New Roman" w:hint="default"/>
                <w:sz w:val="18"/>
                <w:szCs w:val="18"/>
              </w:rPr>
            </w:pPr>
            <w:r>
              <w:rPr>
                <w:rFonts w:ascii="Times New Roman"/>
                <w:sz w:val="18"/>
              </w:rPr>
              <w:t>841,</w:t>
            </w:r>
          </w:p>
          <w:p>
            <w:pPr>
              <w:pStyle w:val="TableParagraph"/>
              <w:spacing w:line="240" w:lineRule="auto" w:before="105"/>
              <w:ind w:left="46" w:right="0"/>
              <w:jc w:val="center"/>
              <w:rPr>
                <w:rFonts w:ascii="Times New Roman" w:hAnsi="Times New Roman" w:cs="Times New Roman" w:eastAsia="Times New Roman" w:hint="default"/>
                <w:sz w:val="18"/>
                <w:szCs w:val="18"/>
              </w:rPr>
            </w:pPr>
            <w:r>
              <w:rPr>
                <w:rFonts w:ascii="Times New Roman"/>
                <w:sz w:val="18"/>
              </w:rPr>
              <w:t>224.</w:t>
            </w:r>
          </w:p>
          <w:p>
            <w:pPr>
              <w:pStyle w:val="TableParagraph"/>
              <w:spacing w:line="240" w:lineRule="auto" w:before="110"/>
              <w:ind w:left="187" w:right="0"/>
              <w:jc w:val="center"/>
              <w:rPr>
                <w:rFonts w:ascii="Times New Roman" w:hAnsi="Times New Roman" w:cs="Times New Roman" w:eastAsia="Times New Roman" w:hint="default"/>
                <w:sz w:val="18"/>
                <w:szCs w:val="18"/>
              </w:rPr>
            </w:pPr>
            <w:r>
              <w:rPr>
                <w:rFonts w:ascii="Times New Roman"/>
                <w:sz w:val="18"/>
              </w:rPr>
              <w:t>84</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158" w:right="0"/>
              <w:jc w:val="left"/>
              <w:rPr>
                <w:rFonts w:ascii="Times New Roman" w:hAnsi="Times New Roman" w:cs="Times New Roman" w:eastAsia="Times New Roman" w:hint="default"/>
                <w:sz w:val="18"/>
                <w:szCs w:val="18"/>
              </w:rPr>
            </w:pPr>
            <w:r>
              <w:rPr>
                <w:rFonts w:ascii="Times New Roman"/>
                <w:sz w:val="18"/>
              </w:rPr>
              <w:t>35,2</w:t>
            </w:r>
          </w:p>
          <w:p>
            <w:pPr>
              <w:pStyle w:val="TableParagraph"/>
              <w:spacing w:line="240" w:lineRule="auto" w:before="105"/>
              <w:ind w:left="158" w:right="0"/>
              <w:jc w:val="left"/>
              <w:rPr>
                <w:rFonts w:ascii="Times New Roman" w:hAnsi="Times New Roman" w:cs="Times New Roman" w:eastAsia="Times New Roman" w:hint="default"/>
                <w:sz w:val="18"/>
                <w:szCs w:val="18"/>
              </w:rPr>
            </w:pPr>
            <w:r>
              <w:rPr>
                <w:rFonts w:ascii="Times New Roman"/>
                <w:sz w:val="18"/>
              </w:rPr>
              <w:t>82,7</w:t>
            </w:r>
          </w:p>
          <w:p>
            <w:pPr>
              <w:pStyle w:val="TableParagraph"/>
              <w:spacing w:line="240" w:lineRule="auto" w:before="105"/>
              <w:ind w:left="158" w:right="0"/>
              <w:jc w:val="left"/>
              <w:rPr>
                <w:rFonts w:ascii="Times New Roman" w:hAnsi="Times New Roman" w:cs="Times New Roman" w:eastAsia="Times New Roman" w:hint="default"/>
                <w:sz w:val="18"/>
                <w:szCs w:val="18"/>
              </w:rPr>
            </w:pPr>
            <w:r>
              <w:rPr>
                <w:rFonts w:ascii="Times New Roman"/>
                <w:sz w:val="18"/>
              </w:rPr>
              <w:t>08.1</w:t>
            </w:r>
          </w:p>
          <w:p>
            <w:pPr>
              <w:pStyle w:val="TableParagraph"/>
              <w:spacing w:line="240" w:lineRule="auto" w:before="110"/>
              <w:ind w:left="383" w:right="0"/>
              <w:jc w:val="lef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153" w:right="0"/>
              <w:jc w:val="left"/>
              <w:rPr>
                <w:rFonts w:ascii="Times New Roman" w:hAnsi="Times New Roman" w:cs="Times New Roman" w:eastAsia="Times New Roman" w:hint="default"/>
                <w:sz w:val="18"/>
                <w:szCs w:val="18"/>
              </w:rPr>
            </w:pPr>
            <w:r>
              <w:rPr>
                <w:rFonts w:ascii="Times New Roman"/>
                <w:sz w:val="18"/>
              </w:rPr>
              <w:t>58,5</w:t>
            </w:r>
          </w:p>
          <w:p>
            <w:pPr>
              <w:pStyle w:val="TableParagraph"/>
              <w:spacing w:line="240" w:lineRule="auto" w:before="100"/>
              <w:ind w:left="153" w:right="0"/>
              <w:jc w:val="left"/>
              <w:rPr>
                <w:rFonts w:ascii="Times New Roman" w:hAnsi="Times New Roman" w:cs="Times New Roman" w:eastAsia="Times New Roman" w:hint="default"/>
                <w:sz w:val="18"/>
                <w:szCs w:val="18"/>
              </w:rPr>
            </w:pPr>
            <w:r>
              <w:rPr>
                <w:rFonts w:ascii="Times New Roman"/>
                <w:sz w:val="18"/>
              </w:rPr>
              <w:t>27.1</w:t>
            </w:r>
          </w:p>
          <w:p>
            <w:pPr>
              <w:pStyle w:val="TableParagraph"/>
              <w:spacing w:line="240" w:lineRule="auto" w:before="110"/>
              <w:ind w:left="379" w:right="0"/>
              <w:jc w:val="left"/>
              <w:rPr>
                <w:rFonts w:ascii="Times New Roman" w:hAnsi="Times New Roman" w:cs="Times New Roman" w:eastAsia="Times New Roman" w:hint="default"/>
                <w:sz w:val="18"/>
                <w:szCs w:val="18"/>
              </w:rPr>
            </w:pPr>
            <w:r>
              <w:rPr>
                <w:rFonts w:ascii="Times New Roman"/>
                <w:w w:val="101"/>
                <w:sz w:val="18"/>
              </w:rPr>
              <w:t>8</w:t>
            </w:r>
            <w:r>
              <w:rPr>
                <w:rFonts w:ascii="Times New Roman"/>
                <w:sz w:val="18"/>
              </w:rPr>
            </w:r>
          </w:p>
        </w:tc>
        <w:tc>
          <w:tcPr>
            <w:tcW w:w="586"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153" w:right="0"/>
              <w:jc w:val="left"/>
              <w:rPr>
                <w:rFonts w:ascii="Times New Roman" w:hAnsi="Times New Roman" w:cs="Times New Roman" w:eastAsia="Times New Roman" w:hint="default"/>
                <w:sz w:val="18"/>
                <w:szCs w:val="18"/>
              </w:rPr>
            </w:pPr>
            <w:r>
              <w:rPr>
                <w:rFonts w:ascii="Times New Roman"/>
                <w:sz w:val="18"/>
              </w:rPr>
              <w:t>47,2</w:t>
            </w:r>
          </w:p>
          <w:p>
            <w:pPr>
              <w:pStyle w:val="TableParagraph"/>
              <w:spacing w:line="240" w:lineRule="auto" w:before="105"/>
              <w:ind w:left="153" w:right="0"/>
              <w:jc w:val="left"/>
              <w:rPr>
                <w:rFonts w:ascii="Times New Roman" w:hAnsi="Times New Roman" w:cs="Times New Roman" w:eastAsia="Times New Roman" w:hint="default"/>
                <w:sz w:val="18"/>
                <w:szCs w:val="18"/>
              </w:rPr>
            </w:pPr>
            <w:r>
              <w:rPr>
                <w:rFonts w:ascii="Times New Roman"/>
                <w:sz w:val="18"/>
              </w:rPr>
              <w:t>23,0</w:t>
            </w:r>
          </w:p>
          <w:p>
            <w:pPr>
              <w:pStyle w:val="TableParagraph"/>
              <w:spacing w:line="240" w:lineRule="auto" w:before="105"/>
              <w:ind w:left="153" w:right="0"/>
              <w:jc w:val="left"/>
              <w:rPr>
                <w:rFonts w:ascii="Times New Roman" w:hAnsi="Times New Roman" w:cs="Times New Roman" w:eastAsia="Times New Roman" w:hint="default"/>
                <w:sz w:val="18"/>
                <w:szCs w:val="18"/>
              </w:rPr>
            </w:pPr>
            <w:r>
              <w:rPr>
                <w:rFonts w:ascii="Times New Roman"/>
                <w:sz w:val="18"/>
              </w:rPr>
              <w:t>13.8</w:t>
            </w:r>
          </w:p>
          <w:p>
            <w:pPr>
              <w:pStyle w:val="TableParagraph"/>
              <w:spacing w:line="240" w:lineRule="auto" w:before="110"/>
              <w:ind w:left="379" w:right="0"/>
              <w:jc w:val="left"/>
              <w:rPr>
                <w:rFonts w:ascii="Times New Roman" w:hAnsi="Times New Roman" w:cs="Times New Roman" w:eastAsia="Times New Roman" w:hint="default"/>
                <w:sz w:val="18"/>
                <w:szCs w:val="18"/>
              </w:rPr>
            </w:pPr>
            <w:r>
              <w:rPr>
                <w:rFonts w:ascii="Times New Roman"/>
                <w:w w:val="101"/>
                <w:sz w:val="18"/>
              </w:rPr>
              <w:t>4</w:t>
            </w:r>
            <w:r>
              <w:rPr>
                <w:rFonts w:ascii="Times New Roman"/>
                <w:sz w:val="18"/>
              </w:rPr>
            </w: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59" w:right="0"/>
              <w:jc w:val="center"/>
              <w:rPr>
                <w:rFonts w:ascii="Times New Roman" w:hAnsi="Times New Roman" w:cs="Times New Roman" w:eastAsia="Times New Roman" w:hint="default"/>
                <w:sz w:val="18"/>
                <w:szCs w:val="18"/>
              </w:rPr>
            </w:pPr>
            <w:r>
              <w:rPr>
                <w:rFonts w:ascii="Times New Roman"/>
                <w:sz w:val="18"/>
              </w:rPr>
              <w:t>429,</w:t>
            </w:r>
          </w:p>
          <w:p>
            <w:pPr>
              <w:pStyle w:val="TableParagraph"/>
              <w:spacing w:line="240" w:lineRule="auto" w:before="105"/>
              <w:ind w:left="59" w:right="0"/>
              <w:jc w:val="center"/>
              <w:rPr>
                <w:rFonts w:ascii="Times New Roman" w:hAnsi="Times New Roman" w:cs="Times New Roman" w:eastAsia="Times New Roman" w:hint="default"/>
                <w:sz w:val="18"/>
                <w:szCs w:val="18"/>
              </w:rPr>
            </w:pPr>
            <w:r>
              <w:rPr>
                <w:rFonts w:ascii="Times New Roman"/>
                <w:sz w:val="18"/>
              </w:rPr>
              <w:t>684,</w:t>
            </w:r>
          </w:p>
          <w:p>
            <w:pPr>
              <w:pStyle w:val="TableParagraph"/>
              <w:spacing w:line="240" w:lineRule="auto" w:before="105"/>
              <w:ind w:left="59" w:right="0"/>
              <w:jc w:val="center"/>
              <w:rPr>
                <w:rFonts w:ascii="Times New Roman" w:hAnsi="Times New Roman" w:cs="Times New Roman" w:eastAsia="Times New Roman" w:hint="default"/>
                <w:sz w:val="18"/>
                <w:szCs w:val="18"/>
              </w:rPr>
            </w:pPr>
            <w:r>
              <w:rPr>
                <w:rFonts w:ascii="Times New Roman"/>
                <w:sz w:val="18"/>
              </w:rPr>
              <w:t>583.</w:t>
            </w:r>
          </w:p>
          <w:p>
            <w:pPr>
              <w:pStyle w:val="TableParagraph"/>
              <w:spacing w:line="240" w:lineRule="auto" w:before="110"/>
              <w:ind w:left="200" w:right="0"/>
              <w:jc w:val="center"/>
              <w:rPr>
                <w:rFonts w:ascii="Times New Roman" w:hAnsi="Times New Roman" w:cs="Times New Roman" w:eastAsia="Times New Roman" w:hint="default"/>
                <w:sz w:val="18"/>
                <w:szCs w:val="18"/>
              </w:rPr>
            </w:pPr>
            <w:r>
              <w:rPr>
                <w:rFonts w:ascii="Times New Roman"/>
                <w:sz w:val="18"/>
              </w:rPr>
              <w:t>57</w:t>
            </w: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153" w:right="0"/>
              <w:jc w:val="left"/>
              <w:rPr>
                <w:rFonts w:ascii="Times New Roman" w:hAnsi="Times New Roman" w:cs="Times New Roman" w:eastAsia="Times New Roman" w:hint="default"/>
                <w:sz w:val="18"/>
                <w:szCs w:val="18"/>
              </w:rPr>
            </w:pPr>
            <w:r>
              <w:rPr>
                <w:rFonts w:ascii="Times New Roman"/>
                <w:sz w:val="18"/>
              </w:rPr>
              <w:t>1,26</w:t>
            </w:r>
          </w:p>
          <w:p>
            <w:pPr>
              <w:pStyle w:val="TableParagraph"/>
              <w:spacing w:line="240" w:lineRule="auto" w:before="105"/>
              <w:ind w:left="153" w:right="0"/>
              <w:jc w:val="left"/>
              <w:rPr>
                <w:rFonts w:ascii="Times New Roman" w:hAnsi="Times New Roman" w:cs="Times New Roman" w:eastAsia="Times New Roman" w:hint="default"/>
                <w:sz w:val="18"/>
                <w:szCs w:val="18"/>
              </w:rPr>
            </w:pPr>
            <w:r>
              <w:rPr>
                <w:rFonts w:ascii="Times New Roman"/>
                <w:sz w:val="18"/>
              </w:rPr>
              <w:t>9,73</w:t>
            </w:r>
          </w:p>
          <w:p>
            <w:pPr>
              <w:pStyle w:val="TableParagraph"/>
              <w:spacing w:line="240" w:lineRule="auto" w:before="105"/>
              <w:ind w:left="153" w:right="0"/>
              <w:jc w:val="left"/>
              <w:rPr>
                <w:rFonts w:ascii="Times New Roman" w:hAnsi="Times New Roman" w:cs="Times New Roman" w:eastAsia="Times New Roman" w:hint="default"/>
                <w:sz w:val="18"/>
                <w:szCs w:val="18"/>
              </w:rPr>
            </w:pPr>
            <w:r>
              <w:rPr>
                <w:rFonts w:ascii="Times New Roman"/>
                <w:sz w:val="18"/>
              </w:rPr>
              <w:t>9,47</w:t>
            </w:r>
          </w:p>
          <w:p>
            <w:pPr>
              <w:pStyle w:val="TableParagraph"/>
              <w:spacing w:line="240" w:lineRule="auto" w:before="110"/>
              <w:ind w:left="153" w:right="0"/>
              <w:jc w:val="left"/>
              <w:rPr>
                <w:rFonts w:ascii="Times New Roman" w:hAnsi="Times New Roman" w:cs="Times New Roman" w:eastAsia="Times New Roman" w:hint="default"/>
                <w:sz w:val="18"/>
                <w:szCs w:val="18"/>
              </w:rPr>
            </w:pPr>
            <w:r>
              <w:rPr>
                <w:rFonts w:ascii="Times New Roman"/>
                <w:sz w:val="18"/>
              </w:rPr>
              <w:t>5.33</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158" w:right="0"/>
              <w:jc w:val="left"/>
              <w:rPr>
                <w:rFonts w:ascii="Times New Roman" w:hAnsi="Times New Roman" w:cs="Times New Roman" w:eastAsia="Times New Roman" w:hint="default"/>
                <w:sz w:val="18"/>
                <w:szCs w:val="18"/>
              </w:rPr>
            </w:pPr>
            <w:r>
              <w:rPr>
                <w:rFonts w:ascii="Times New Roman"/>
                <w:sz w:val="18"/>
              </w:rPr>
              <w:t>24,0</w:t>
            </w:r>
          </w:p>
          <w:p>
            <w:pPr>
              <w:pStyle w:val="TableParagraph"/>
              <w:spacing w:line="240" w:lineRule="auto" w:before="105"/>
              <w:ind w:left="172" w:right="0"/>
              <w:jc w:val="left"/>
              <w:rPr>
                <w:rFonts w:ascii="Times New Roman" w:hAnsi="Times New Roman" w:cs="Times New Roman" w:eastAsia="Times New Roman" w:hint="default"/>
                <w:sz w:val="18"/>
                <w:szCs w:val="18"/>
              </w:rPr>
            </w:pPr>
            <w:r>
              <w:rPr>
                <w:rFonts w:ascii="Times New Roman"/>
                <w:spacing w:val="-3"/>
                <w:sz w:val="18"/>
              </w:rPr>
              <w:t>11,1</w:t>
            </w:r>
          </w:p>
          <w:p>
            <w:pPr>
              <w:pStyle w:val="TableParagraph"/>
              <w:spacing w:line="240" w:lineRule="auto" w:before="105"/>
              <w:ind w:left="158" w:right="0"/>
              <w:jc w:val="left"/>
              <w:rPr>
                <w:rFonts w:ascii="Times New Roman" w:hAnsi="Times New Roman" w:cs="Times New Roman" w:eastAsia="Times New Roman" w:hint="default"/>
                <w:sz w:val="18"/>
                <w:szCs w:val="18"/>
              </w:rPr>
            </w:pPr>
            <w:r>
              <w:rPr>
                <w:rFonts w:ascii="Times New Roman"/>
                <w:sz w:val="18"/>
              </w:rPr>
              <w:t>17.3</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4</w:t>
            </w:r>
            <w:r>
              <w:rPr>
                <w:rFonts w:ascii="Times New Roman"/>
                <w:sz w:val="18"/>
              </w:rPr>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1,29</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3,75</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0,59</w:t>
            </w:r>
          </w:p>
          <w:p>
            <w:pPr>
              <w:pStyle w:val="TableParagraph"/>
              <w:spacing w:line="240" w:lineRule="auto" w:before="110"/>
              <w:ind w:left="148" w:right="0"/>
              <w:jc w:val="left"/>
              <w:rPr>
                <w:rFonts w:ascii="Times New Roman" w:hAnsi="Times New Roman" w:cs="Times New Roman" w:eastAsia="Times New Roman" w:hint="default"/>
                <w:sz w:val="18"/>
                <w:szCs w:val="18"/>
              </w:rPr>
            </w:pPr>
            <w:r>
              <w:rPr>
                <w:rFonts w:ascii="Times New Roman"/>
                <w:sz w:val="18"/>
              </w:rPr>
              <w:t>2.67</w:t>
            </w:r>
          </w:p>
        </w:tc>
      </w:tr>
      <w:tr>
        <w:trPr>
          <w:trHeight w:val="1023"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05" w:right="94" w:firstLine="360"/>
              <w:jc w:val="left"/>
              <w:rPr>
                <w:rFonts w:ascii="宋体" w:hAnsi="宋体" w:cs="宋体" w:eastAsia="宋体" w:hint="default"/>
                <w:sz w:val="18"/>
                <w:szCs w:val="18"/>
              </w:rPr>
            </w:pPr>
            <w:r>
              <w:rPr>
                <w:rFonts w:ascii="宋体" w:hAnsi="宋体" w:cs="宋体" w:eastAsia="宋体" w:hint="default"/>
                <w:spacing w:val="-13"/>
                <w:sz w:val="18"/>
                <w:szCs w:val="18"/>
              </w:rPr>
              <w:t>加：会计</w:t>
            </w:r>
            <w:r>
              <w:rPr>
                <w:rFonts w:ascii="宋体" w:hAnsi="宋体" w:cs="宋体" w:eastAsia="宋体" w:hint="default"/>
                <w:w w:val="101"/>
                <w:sz w:val="18"/>
                <w:szCs w:val="18"/>
              </w:rPr>
              <w:t> </w:t>
            </w:r>
            <w:r>
              <w:rPr>
                <w:rFonts w:ascii="宋体" w:hAnsi="宋体" w:cs="宋体" w:eastAsia="宋体" w:hint="default"/>
                <w:sz w:val="18"/>
                <w:szCs w:val="18"/>
              </w:rPr>
              <w:t>政策变更</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42" w:right="0"/>
              <w:jc w:val="center"/>
              <w:rPr>
                <w:rFonts w:ascii="Times New Roman" w:hAnsi="Times New Roman" w:cs="Times New Roman" w:eastAsia="Times New Roman" w:hint="default"/>
                <w:sz w:val="18"/>
                <w:szCs w:val="18"/>
              </w:rPr>
            </w:pPr>
            <w:r>
              <w:rPr>
                <w:rFonts w:ascii="Times New Roman"/>
                <w:sz w:val="18"/>
              </w:rPr>
              <w:t>-302</w:t>
            </w:r>
          </w:p>
          <w:p>
            <w:pPr>
              <w:pStyle w:val="TableParagraph"/>
              <w:spacing w:line="240" w:lineRule="auto" w:before="100"/>
              <w:ind w:left="16" w:right="0"/>
              <w:jc w:val="center"/>
              <w:rPr>
                <w:rFonts w:ascii="Times New Roman" w:hAnsi="Times New Roman" w:cs="Times New Roman" w:eastAsia="Times New Roman" w:hint="default"/>
                <w:sz w:val="18"/>
                <w:szCs w:val="18"/>
              </w:rPr>
            </w:pPr>
            <w:r>
              <w:rPr>
                <w:rFonts w:ascii="Times New Roman"/>
                <w:sz w:val="18"/>
              </w:rPr>
              <w:t>,081.</w:t>
            </w:r>
          </w:p>
          <w:p>
            <w:pPr>
              <w:pStyle w:val="TableParagraph"/>
              <w:spacing w:line="240" w:lineRule="auto" w:before="110"/>
              <w:ind w:left="200" w:right="0"/>
              <w:jc w:val="center"/>
              <w:rPr>
                <w:rFonts w:ascii="Times New Roman" w:hAnsi="Times New Roman" w:cs="Times New Roman" w:eastAsia="Times New Roman" w:hint="default"/>
                <w:sz w:val="18"/>
                <w:szCs w:val="18"/>
              </w:rPr>
            </w:pPr>
            <w:r>
              <w:rPr>
                <w:rFonts w:ascii="Times New Roman"/>
                <w:sz w:val="18"/>
              </w:rPr>
              <w:t>20</w:t>
            </w: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38" w:right="0"/>
              <w:jc w:val="center"/>
              <w:rPr>
                <w:rFonts w:ascii="Times New Roman" w:hAnsi="Times New Roman" w:cs="Times New Roman" w:eastAsia="Times New Roman" w:hint="default"/>
                <w:sz w:val="18"/>
                <w:szCs w:val="18"/>
              </w:rPr>
            </w:pPr>
            <w:r>
              <w:rPr>
                <w:rFonts w:ascii="Times New Roman"/>
                <w:sz w:val="18"/>
              </w:rPr>
              <w:t>-302</w:t>
            </w:r>
          </w:p>
          <w:p>
            <w:pPr>
              <w:pStyle w:val="TableParagraph"/>
              <w:spacing w:line="240" w:lineRule="auto" w:before="100"/>
              <w:ind w:left="11" w:right="0"/>
              <w:jc w:val="center"/>
              <w:rPr>
                <w:rFonts w:ascii="Times New Roman" w:hAnsi="Times New Roman" w:cs="Times New Roman" w:eastAsia="Times New Roman" w:hint="default"/>
                <w:sz w:val="18"/>
                <w:szCs w:val="18"/>
              </w:rPr>
            </w:pPr>
            <w:r>
              <w:rPr>
                <w:rFonts w:ascii="Times New Roman"/>
                <w:sz w:val="18"/>
              </w:rPr>
              <w:t>,081.</w:t>
            </w:r>
          </w:p>
          <w:p>
            <w:pPr>
              <w:pStyle w:val="TableParagraph"/>
              <w:spacing w:line="240" w:lineRule="auto" w:before="110"/>
              <w:ind w:left="196" w:right="0"/>
              <w:jc w:val="center"/>
              <w:rPr>
                <w:rFonts w:ascii="Times New Roman" w:hAnsi="Times New Roman" w:cs="Times New Roman" w:eastAsia="Times New Roman" w:hint="default"/>
                <w:sz w:val="18"/>
                <w:szCs w:val="18"/>
              </w:rPr>
            </w:pPr>
            <w:r>
              <w:rPr>
                <w:rFonts w:ascii="Times New Roman"/>
                <w:sz w:val="18"/>
              </w:rPr>
              <w:t>20</w:t>
            </w:r>
          </w:p>
        </w:tc>
        <w:tc>
          <w:tcPr>
            <w:tcW w:w="58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33" w:right="0"/>
              <w:jc w:val="center"/>
              <w:rPr>
                <w:rFonts w:ascii="Times New Roman" w:hAnsi="Times New Roman" w:cs="Times New Roman" w:eastAsia="Times New Roman" w:hint="default"/>
                <w:sz w:val="18"/>
                <w:szCs w:val="18"/>
              </w:rPr>
            </w:pPr>
            <w:r>
              <w:rPr>
                <w:rFonts w:ascii="Times New Roman"/>
                <w:sz w:val="18"/>
              </w:rPr>
              <w:t>-302</w:t>
            </w:r>
          </w:p>
          <w:p>
            <w:pPr>
              <w:pStyle w:val="TableParagraph"/>
              <w:spacing w:line="240" w:lineRule="auto" w:before="100"/>
              <w:ind w:left="7" w:right="0"/>
              <w:jc w:val="center"/>
              <w:rPr>
                <w:rFonts w:ascii="Times New Roman" w:hAnsi="Times New Roman" w:cs="Times New Roman" w:eastAsia="Times New Roman" w:hint="default"/>
                <w:sz w:val="18"/>
                <w:szCs w:val="18"/>
              </w:rPr>
            </w:pPr>
            <w:r>
              <w:rPr>
                <w:rFonts w:ascii="Times New Roman"/>
                <w:sz w:val="18"/>
              </w:rPr>
              <w:t>,081.</w:t>
            </w:r>
          </w:p>
          <w:p>
            <w:pPr>
              <w:pStyle w:val="TableParagraph"/>
              <w:spacing w:line="240" w:lineRule="auto" w:before="110"/>
              <w:ind w:left="192" w:right="0"/>
              <w:jc w:val="center"/>
              <w:rPr>
                <w:rFonts w:ascii="Times New Roman" w:hAnsi="Times New Roman" w:cs="Times New Roman" w:eastAsia="Times New Roman" w:hint="default"/>
                <w:sz w:val="18"/>
                <w:szCs w:val="18"/>
              </w:rPr>
            </w:pPr>
            <w:r>
              <w:rPr>
                <w:rFonts w:ascii="Times New Roman"/>
                <w:sz w:val="18"/>
              </w:rPr>
              <w:t>20</w:t>
            </w:r>
          </w:p>
        </w:tc>
      </w:tr>
      <w:tr>
        <w:trPr>
          <w:trHeight w:val="715"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05" w:right="233" w:firstLine="72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w w:val="101"/>
                <w:sz w:val="18"/>
                <w:szCs w:val="18"/>
              </w:rPr>
              <w:t> </w:t>
            </w:r>
            <w:r>
              <w:rPr>
                <w:rFonts w:ascii="宋体" w:hAnsi="宋体" w:cs="宋体" w:eastAsia="宋体" w:hint="default"/>
                <w:spacing w:val="-2"/>
                <w:sz w:val="18"/>
                <w:szCs w:val="18"/>
              </w:rPr>
              <w:t>期差错更正</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r>
      <w:tr>
        <w:trPr>
          <w:trHeight w:val="1028"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4"/>
              <w:ind w:left="105" w:right="233" w:firstLine="720"/>
              <w:jc w:val="both"/>
              <w:rPr>
                <w:rFonts w:ascii="宋体" w:hAnsi="宋体" w:cs="宋体" w:eastAsia="宋体" w:hint="default"/>
                <w:sz w:val="18"/>
                <w:szCs w:val="18"/>
              </w:rPr>
            </w:pPr>
            <w:r>
              <w:rPr>
                <w:rFonts w:ascii="宋体" w:hAnsi="宋体" w:cs="宋体" w:eastAsia="宋体" w:hint="default"/>
                <w:sz w:val="18"/>
                <w:szCs w:val="18"/>
              </w:rPr>
              <w:t>同</w:t>
            </w:r>
            <w:r>
              <w:rPr>
                <w:rFonts w:ascii="宋体" w:hAnsi="宋体" w:cs="宋体" w:eastAsia="宋体" w:hint="default"/>
                <w:w w:val="101"/>
                <w:sz w:val="18"/>
                <w:szCs w:val="18"/>
              </w:rPr>
              <w:t> </w:t>
            </w:r>
            <w:r>
              <w:rPr>
                <w:rFonts w:ascii="宋体" w:hAnsi="宋体" w:cs="宋体" w:eastAsia="宋体" w:hint="default"/>
                <w:spacing w:val="-2"/>
                <w:sz w:val="18"/>
                <w:szCs w:val="18"/>
              </w:rPr>
              <w:t>一控制下企</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业合并</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826" w:right="0"/>
              <w:jc w:val="left"/>
              <w:rPr>
                <w:rFonts w:ascii="宋体" w:hAnsi="宋体" w:cs="宋体" w:eastAsia="宋体" w:hint="default"/>
                <w:sz w:val="18"/>
                <w:szCs w:val="18"/>
              </w:rPr>
            </w:pPr>
            <w:r>
              <w:rPr>
                <w:rFonts w:ascii="宋体" w:hAnsi="宋体" w:cs="宋体" w:eastAsia="宋体" w:hint="default"/>
                <w:w w:val="101"/>
                <w:sz w:val="18"/>
                <w:szCs w:val="18"/>
              </w:rPr>
              <w:t>其</w:t>
            </w:r>
            <w:r>
              <w:rPr>
                <w:rFonts w:ascii="宋体" w:hAnsi="宋体" w:cs="宋体" w:eastAsia="宋体" w:hint="default"/>
                <w:sz w:val="18"/>
                <w:szCs w:val="18"/>
              </w:rPr>
            </w:r>
          </w:p>
          <w:p>
            <w:pPr>
              <w:pStyle w:val="TableParagraph"/>
              <w:spacing w:line="240" w:lineRule="auto" w:before="76"/>
              <w:ind w:left="105" w:right="0"/>
              <w:jc w:val="left"/>
              <w:rPr>
                <w:rFonts w:ascii="宋体" w:hAnsi="宋体" w:cs="宋体" w:eastAsia="宋体" w:hint="default"/>
                <w:sz w:val="18"/>
                <w:szCs w:val="18"/>
              </w:rPr>
            </w:pPr>
            <w:r>
              <w:rPr>
                <w:rFonts w:ascii="宋体" w:hAnsi="宋体" w:cs="宋体" w:eastAsia="宋体" w:hint="default"/>
                <w:w w:val="101"/>
                <w:sz w:val="18"/>
                <w:szCs w:val="18"/>
              </w:rPr>
              <w:t>他</w:t>
            </w:r>
            <w:r>
              <w:rPr>
                <w:rFonts w:ascii="宋体" w:hAnsi="宋体" w:cs="宋体" w:eastAsia="宋体" w:hint="default"/>
                <w:sz w:val="18"/>
                <w:szCs w:val="18"/>
              </w:rPr>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r>
      <w:tr>
        <w:trPr>
          <w:trHeight w:val="2271"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105" w:right="94"/>
              <w:jc w:val="left"/>
              <w:rPr>
                <w:rFonts w:ascii="宋体" w:hAnsi="宋体" w:cs="宋体" w:eastAsia="宋体" w:hint="default"/>
                <w:sz w:val="18"/>
                <w:szCs w:val="18"/>
              </w:rPr>
            </w:pPr>
            <w:r>
              <w:rPr>
                <w:rFonts w:ascii="宋体" w:hAnsi="宋体" w:cs="宋体" w:eastAsia="宋体" w:hint="default"/>
                <w:spacing w:val="-9"/>
                <w:sz w:val="18"/>
                <w:szCs w:val="18"/>
              </w:rPr>
              <w:t>二、本年期初</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余额</w:t>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115" w:right="0"/>
              <w:jc w:val="left"/>
              <w:rPr>
                <w:rFonts w:ascii="Times New Roman" w:hAnsi="Times New Roman" w:cs="Times New Roman" w:eastAsia="Times New Roman" w:hint="default"/>
                <w:sz w:val="18"/>
                <w:szCs w:val="18"/>
              </w:rPr>
            </w:pPr>
            <w:r>
              <w:rPr>
                <w:rFonts w:ascii="Times New Roman"/>
                <w:sz w:val="18"/>
              </w:rPr>
              <w:t>619</w:t>
            </w:r>
          </w:p>
          <w:p>
            <w:pPr>
              <w:pStyle w:val="TableParagraph"/>
              <w:spacing w:line="240" w:lineRule="auto" w:before="100"/>
              <w:ind w:left="158" w:right="0"/>
              <w:jc w:val="left"/>
              <w:rPr>
                <w:rFonts w:ascii="Times New Roman" w:hAnsi="Times New Roman" w:cs="Times New Roman" w:eastAsia="Times New Roman" w:hint="default"/>
                <w:sz w:val="18"/>
                <w:szCs w:val="18"/>
              </w:rPr>
            </w:pPr>
            <w:r>
              <w:rPr>
                <w:rFonts w:ascii="Times New Roman"/>
                <w:sz w:val="18"/>
              </w:rPr>
              <w:t>,21</w:t>
            </w:r>
          </w:p>
          <w:p>
            <w:pPr>
              <w:pStyle w:val="TableParagraph"/>
              <w:spacing w:line="240" w:lineRule="auto" w:before="105"/>
              <w:ind w:left="158" w:right="0"/>
              <w:jc w:val="left"/>
              <w:rPr>
                <w:rFonts w:ascii="Times New Roman" w:hAnsi="Times New Roman" w:cs="Times New Roman" w:eastAsia="Times New Roman" w:hint="default"/>
                <w:sz w:val="18"/>
                <w:szCs w:val="18"/>
              </w:rPr>
            </w:pPr>
            <w:r>
              <w:rPr>
                <w:rFonts w:ascii="Times New Roman"/>
                <w:sz w:val="18"/>
              </w:rPr>
              <w:t>4,8</w:t>
            </w:r>
          </w:p>
          <w:p>
            <w:pPr>
              <w:pStyle w:val="TableParagraph"/>
              <w:spacing w:line="240" w:lineRule="auto" w:before="105"/>
              <w:ind w:left="158" w:right="0"/>
              <w:jc w:val="left"/>
              <w:rPr>
                <w:rFonts w:ascii="Times New Roman" w:hAnsi="Times New Roman" w:cs="Times New Roman" w:eastAsia="Times New Roman" w:hint="default"/>
                <w:sz w:val="18"/>
                <w:szCs w:val="18"/>
              </w:rPr>
            </w:pPr>
            <w:r>
              <w:rPr>
                <w:rFonts w:ascii="Times New Roman"/>
                <w:sz w:val="18"/>
              </w:rPr>
              <w:t>34.</w:t>
            </w:r>
          </w:p>
          <w:p>
            <w:pPr>
              <w:pStyle w:val="TableParagraph"/>
              <w:spacing w:line="240" w:lineRule="auto" w:before="110"/>
              <w:ind w:left="206" w:right="0"/>
              <w:jc w:val="left"/>
              <w:rPr>
                <w:rFonts w:ascii="Times New Roman" w:hAnsi="Times New Roman" w:cs="Times New Roman" w:eastAsia="Times New Roman" w:hint="default"/>
                <w:sz w:val="18"/>
                <w:szCs w:val="18"/>
              </w:rPr>
            </w:pPr>
            <w:r>
              <w:rPr>
                <w:rFonts w:ascii="Times New Roman"/>
                <w:sz w:val="18"/>
              </w:rPr>
              <w:t>00</w:t>
            </w: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left="46" w:right="0"/>
              <w:jc w:val="center"/>
              <w:rPr>
                <w:rFonts w:ascii="Times New Roman" w:hAnsi="Times New Roman" w:cs="Times New Roman" w:eastAsia="Times New Roman" w:hint="default"/>
                <w:sz w:val="18"/>
                <w:szCs w:val="18"/>
              </w:rPr>
            </w:pPr>
            <w:r>
              <w:rPr>
                <w:rFonts w:ascii="Times New Roman"/>
                <w:sz w:val="18"/>
              </w:rPr>
              <w:t>208,</w:t>
            </w:r>
          </w:p>
          <w:p>
            <w:pPr>
              <w:pStyle w:val="TableParagraph"/>
              <w:spacing w:line="240" w:lineRule="auto" w:before="100"/>
              <w:ind w:left="46" w:right="0"/>
              <w:jc w:val="center"/>
              <w:rPr>
                <w:rFonts w:ascii="Times New Roman" w:hAnsi="Times New Roman" w:cs="Times New Roman" w:eastAsia="Times New Roman" w:hint="default"/>
                <w:sz w:val="18"/>
                <w:szCs w:val="18"/>
              </w:rPr>
            </w:pPr>
            <w:r>
              <w:rPr>
                <w:rFonts w:ascii="Times New Roman"/>
                <w:sz w:val="18"/>
              </w:rPr>
              <w:t>841,</w:t>
            </w:r>
          </w:p>
          <w:p>
            <w:pPr>
              <w:pStyle w:val="TableParagraph"/>
              <w:spacing w:line="240" w:lineRule="auto" w:before="105"/>
              <w:ind w:left="46" w:right="0"/>
              <w:jc w:val="center"/>
              <w:rPr>
                <w:rFonts w:ascii="Times New Roman" w:hAnsi="Times New Roman" w:cs="Times New Roman" w:eastAsia="Times New Roman" w:hint="default"/>
                <w:sz w:val="18"/>
                <w:szCs w:val="18"/>
              </w:rPr>
            </w:pPr>
            <w:r>
              <w:rPr>
                <w:rFonts w:ascii="Times New Roman"/>
                <w:sz w:val="18"/>
              </w:rPr>
              <w:t>224.</w:t>
            </w:r>
          </w:p>
          <w:p>
            <w:pPr>
              <w:pStyle w:val="TableParagraph"/>
              <w:spacing w:line="240" w:lineRule="auto" w:before="110"/>
              <w:ind w:left="187" w:right="0"/>
              <w:jc w:val="center"/>
              <w:rPr>
                <w:rFonts w:ascii="Times New Roman" w:hAnsi="Times New Roman" w:cs="Times New Roman" w:eastAsia="Times New Roman" w:hint="default"/>
                <w:sz w:val="18"/>
                <w:szCs w:val="18"/>
              </w:rPr>
            </w:pPr>
            <w:r>
              <w:rPr>
                <w:rFonts w:ascii="Times New Roman"/>
                <w:sz w:val="18"/>
              </w:rPr>
              <w:t>84</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left="158" w:right="0"/>
              <w:jc w:val="left"/>
              <w:rPr>
                <w:rFonts w:ascii="Times New Roman" w:hAnsi="Times New Roman" w:cs="Times New Roman" w:eastAsia="Times New Roman" w:hint="default"/>
                <w:sz w:val="18"/>
                <w:szCs w:val="18"/>
              </w:rPr>
            </w:pPr>
            <w:r>
              <w:rPr>
                <w:rFonts w:ascii="Times New Roman"/>
                <w:sz w:val="18"/>
              </w:rPr>
              <w:t>35,2</w:t>
            </w:r>
          </w:p>
          <w:p>
            <w:pPr>
              <w:pStyle w:val="TableParagraph"/>
              <w:spacing w:line="240" w:lineRule="auto" w:before="100"/>
              <w:ind w:left="158" w:right="0"/>
              <w:jc w:val="left"/>
              <w:rPr>
                <w:rFonts w:ascii="Times New Roman" w:hAnsi="Times New Roman" w:cs="Times New Roman" w:eastAsia="Times New Roman" w:hint="default"/>
                <w:sz w:val="18"/>
                <w:szCs w:val="18"/>
              </w:rPr>
            </w:pPr>
            <w:r>
              <w:rPr>
                <w:rFonts w:ascii="Times New Roman"/>
                <w:sz w:val="18"/>
              </w:rPr>
              <w:t>82,7</w:t>
            </w:r>
          </w:p>
          <w:p>
            <w:pPr>
              <w:pStyle w:val="TableParagraph"/>
              <w:spacing w:line="240" w:lineRule="auto" w:before="105"/>
              <w:ind w:left="158" w:right="0"/>
              <w:jc w:val="left"/>
              <w:rPr>
                <w:rFonts w:ascii="Times New Roman" w:hAnsi="Times New Roman" w:cs="Times New Roman" w:eastAsia="Times New Roman" w:hint="default"/>
                <w:sz w:val="18"/>
                <w:szCs w:val="18"/>
              </w:rPr>
            </w:pPr>
            <w:r>
              <w:rPr>
                <w:rFonts w:ascii="Times New Roman"/>
                <w:sz w:val="18"/>
              </w:rPr>
              <w:t>08.1</w:t>
            </w:r>
          </w:p>
          <w:p>
            <w:pPr>
              <w:pStyle w:val="TableParagraph"/>
              <w:spacing w:line="240" w:lineRule="auto" w:before="110"/>
              <w:ind w:left="383" w:right="0"/>
              <w:jc w:val="lef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53" w:right="0"/>
              <w:jc w:val="left"/>
              <w:rPr>
                <w:rFonts w:ascii="Times New Roman" w:hAnsi="Times New Roman" w:cs="Times New Roman" w:eastAsia="Times New Roman" w:hint="default"/>
                <w:sz w:val="18"/>
                <w:szCs w:val="18"/>
              </w:rPr>
            </w:pPr>
            <w:r>
              <w:rPr>
                <w:rFonts w:ascii="Times New Roman"/>
                <w:sz w:val="18"/>
              </w:rPr>
              <w:t>58,5</w:t>
            </w:r>
          </w:p>
          <w:p>
            <w:pPr>
              <w:pStyle w:val="TableParagraph"/>
              <w:spacing w:line="240" w:lineRule="auto" w:before="100"/>
              <w:ind w:left="153" w:right="0"/>
              <w:jc w:val="left"/>
              <w:rPr>
                <w:rFonts w:ascii="Times New Roman" w:hAnsi="Times New Roman" w:cs="Times New Roman" w:eastAsia="Times New Roman" w:hint="default"/>
                <w:sz w:val="18"/>
                <w:szCs w:val="18"/>
              </w:rPr>
            </w:pPr>
            <w:r>
              <w:rPr>
                <w:rFonts w:ascii="Times New Roman"/>
                <w:sz w:val="18"/>
              </w:rPr>
              <w:t>27.1</w:t>
            </w:r>
          </w:p>
          <w:p>
            <w:pPr>
              <w:pStyle w:val="TableParagraph"/>
              <w:spacing w:line="240" w:lineRule="auto" w:before="110"/>
              <w:ind w:left="379" w:right="0"/>
              <w:jc w:val="left"/>
              <w:rPr>
                <w:rFonts w:ascii="Times New Roman" w:hAnsi="Times New Roman" w:cs="Times New Roman" w:eastAsia="Times New Roman" w:hint="default"/>
                <w:sz w:val="18"/>
                <w:szCs w:val="18"/>
              </w:rPr>
            </w:pPr>
            <w:r>
              <w:rPr>
                <w:rFonts w:ascii="Times New Roman"/>
                <w:w w:val="101"/>
                <w:sz w:val="18"/>
              </w:rPr>
              <w:t>8</w:t>
            </w:r>
            <w:r>
              <w:rPr>
                <w:rFonts w:ascii="Times New Roman"/>
                <w:sz w:val="18"/>
              </w:rPr>
            </w:r>
          </w:p>
        </w:tc>
        <w:tc>
          <w:tcPr>
            <w:tcW w:w="586"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left="153" w:right="0"/>
              <w:jc w:val="left"/>
              <w:rPr>
                <w:rFonts w:ascii="Times New Roman" w:hAnsi="Times New Roman" w:cs="Times New Roman" w:eastAsia="Times New Roman" w:hint="default"/>
                <w:sz w:val="18"/>
                <w:szCs w:val="18"/>
              </w:rPr>
            </w:pPr>
            <w:r>
              <w:rPr>
                <w:rFonts w:ascii="Times New Roman"/>
                <w:sz w:val="18"/>
              </w:rPr>
              <w:t>47,2</w:t>
            </w:r>
          </w:p>
          <w:p>
            <w:pPr>
              <w:pStyle w:val="TableParagraph"/>
              <w:spacing w:line="240" w:lineRule="auto" w:before="100"/>
              <w:ind w:left="153" w:right="0"/>
              <w:jc w:val="left"/>
              <w:rPr>
                <w:rFonts w:ascii="Times New Roman" w:hAnsi="Times New Roman" w:cs="Times New Roman" w:eastAsia="Times New Roman" w:hint="default"/>
                <w:sz w:val="18"/>
                <w:szCs w:val="18"/>
              </w:rPr>
            </w:pPr>
            <w:r>
              <w:rPr>
                <w:rFonts w:ascii="Times New Roman"/>
                <w:sz w:val="18"/>
              </w:rPr>
              <w:t>23,0</w:t>
            </w:r>
          </w:p>
          <w:p>
            <w:pPr>
              <w:pStyle w:val="TableParagraph"/>
              <w:spacing w:line="240" w:lineRule="auto" w:before="105"/>
              <w:ind w:left="153" w:right="0"/>
              <w:jc w:val="left"/>
              <w:rPr>
                <w:rFonts w:ascii="Times New Roman" w:hAnsi="Times New Roman" w:cs="Times New Roman" w:eastAsia="Times New Roman" w:hint="default"/>
                <w:sz w:val="18"/>
                <w:szCs w:val="18"/>
              </w:rPr>
            </w:pPr>
            <w:r>
              <w:rPr>
                <w:rFonts w:ascii="Times New Roman"/>
                <w:sz w:val="18"/>
              </w:rPr>
              <w:t>13.8</w:t>
            </w:r>
          </w:p>
          <w:p>
            <w:pPr>
              <w:pStyle w:val="TableParagraph"/>
              <w:spacing w:line="240" w:lineRule="auto" w:before="110"/>
              <w:ind w:left="379" w:right="0"/>
              <w:jc w:val="left"/>
              <w:rPr>
                <w:rFonts w:ascii="Times New Roman" w:hAnsi="Times New Roman" w:cs="Times New Roman" w:eastAsia="Times New Roman" w:hint="default"/>
                <w:sz w:val="18"/>
                <w:szCs w:val="18"/>
              </w:rPr>
            </w:pPr>
            <w:r>
              <w:rPr>
                <w:rFonts w:ascii="Times New Roman"/>
                <w:w w:val="101"/>
                <w:sz w:val="18"/>
              </w:rPr>
              <w:t>4</w:t>
            </w:r>
            <w:r>
              <w:rPr>
                <w:rFonts w:ascii="Times New Roman"/>
                <w:sz w:val="18"/>
              </w:rPr>
            </w: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32" w:right="0"/>
              <w:jc w:val="center"/>
              <w:rPr>
                <w:rFonts w:ascii="Arial" w:hAnsi="Arial" w:cs="Arial" w:eastAsia="Arial" w:hint="default"/>
                <w:sz w:val="20"/>
                <w:szCs w:val="20"/>
              </w:rPr>
            </w:pPr>
            <w:r>
              <w:rPr>
                <w:rFonts w:ascii="Arial"/>
                <w:spacing w:val="-2"/>
                <w:sz w:val="20"/>
              </w:rPr>
              <w:t>429</w:t>
            </w:r>
            <w:r>
              <w:rPr>
                <w:rFonts w:ascii="Arial"/>
                <w:sz w:val="20"/>
              </w:rPr>
            </w:r>
          </w:p>
          <w:p>
            <w:pPr>
              <w:pStyle w:val="TableParagraph"/>
              <w:spacing w:line="240" w:lineRule="auto" w:before="82"/>
              <w:ind w:left="196" w:right="0"/>
              <w:jc w:val="left"/>
              <w:rPr>
                <w:rFonts w:ascii="Arial" w:hAnsi="Arial" w:cs="Arial" w:eastAsia="Arial" w:hint="default"/>
                <w:sz w:val="20"/>
                <w:szCs w:val="20"/>
              </w:rPr>
            </w:pPr>
            <w:r>
              <w:rPr>
                <w:rFonts w:ascii="Arial"/>
                <w:sz w:val="20"/>
              </w:rPr>
              <w:t>,38</w:t>
            </w:r>
          </w:p>
          <w:p>
            <w:pPr>
              <w:pStyle w:val="TableParagraph"/>
              <w:spacing w:line="240" w:lineRule="auto" w:before="82"/>
              <w:ind w:left="196" w:right="0"/>
              <w:jc w:val="left"/>
              <w:rPr>
                <w:rFonts w:ascii="Arial" w:hAnsi="Arial" w:cs="Arial" w:eastAsia="Arial" w:hint="default"/>
                <w:sz w:val="20"/>
                <w:szCs w:val="20"/>
              </w:rPr>
            </w:pPr>
            <w:r>
              <w:rPr>
                <w:rFonts w:ascii="Arial"/>
                <w:sz w:val="20"/>
              </w:rPr>
              <w:t>2,5</w:t>
            </w:r>
          </w:p>
          <w:p>
            <w:pPr>
              <w:pStyle w:val="TableParagraph"/>
              <w:spacing w:line="240" w:lineRule="auto" w:before="82"/>
              <w:ind w:left="196" w:right="0"/>
              <w:jc w:val="left"/>
              <w:rPr>
                <w:rFonts w:ascii="Arial" w:hAnsi="Arial" w:cs="Arial" w:eastAsia="Arial" w:hint="default"/>
                <w:sz w:val="20"/>
                <w:szCs w:val="20"/>
              </w:rPr>
            </w:pPr>
            <w:r>
              <w:rPr>
                <w:rFonts w:ascii="Arial"/>
                <w:spacing w:val="-2"/>
                <w:sz w:val="20"/>
              </w:rPr>
              <w:t>02.</w:t>
            </w:r>
            <w:r>
              <w:rPr>
                <w:rFonts w:ascii="Arial"/>
                <w:sz w:val="20"/>
              </w:rPr>
            </w:r>
          </w:p>
          <w:p>
            <w:pPr>
              <w:pStyle w:val="TableParagraph"/>
              <w:spacing w:line="240" w:lineRule="auto" w:before="87"/>
              <w:ind w:left="152" w:right="0"/>
              <w:jc w:val="center"/>
              <w:rPr>
                <w:rFonts w:ascii="Arial" w:hAnsi="Arial" w:cs="Arial" w:eastAsia="Arial" w:hint="default"/>
                <w:sz w:val="20"/>
                <w:szCs w:val="20"/>
              </w:rPr>
            </w:pPr>
            <w:r>
              <w:rPr>
                <w:rFonts w:ascii="Arial"/>
                <w:sz w:val="20"/>
              </w:rPr>
              <w:t>37</w:t>
            </w: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9"/>
                <w:szCs w:val="29"/>
              </w:rPr>
            </w:pPr>
          </w:p>
          <w:p>
            <w:pPr>
              <w:pStyle w:val="TableParagraph"/>
              <w:spacing w:line="240" w:lineRule="auto"/>
              <w:ind w:left="92" w:right="0"/>
              <w:jc w:val="center"/>
              <w:rPr>
                <w:rFonts w:ascii="Arial" w:hAnsi="Arial" w:cs="Arial" w:eastAsia="Arial" w:hint="default"/>
                <w:sz w:val="20"/>
                <w:szCs w:val="20"/>
              </w:rPr>
            </w:pPr>
            <w:r>
              <w:rPr>
                <w:rFonts w:ascii="Arial"/>
                <w:sz w:val="20"/>
              </w:rPr>
              <w:t>1,2</w:t>
            </w:r>
          </w:p>
          <w:p>
            <w:pPr>
              <w:pStyle w:val="TableParagraph"/>
              <w:spacing w:line="240" w:lineRule="auto" w:before="82"/>
              <w:ind w:left="87" w:right="0"/>
              <w:jc w:val="center"/>
              <w:rPr>
                <w:rFonts w:ascii="Arial" w:hAnsi="Arial" w:cs="Arial" w:eastAsia="Arial" w:hint="default"/>
                <w:sz w:val="20"/>
                <w:szCs w:val="20"/>
              </w:rPr>
            </w:pPr>
            <w:r>
              <w:rPr>
                <w:rFonts w:ascii="Arial"/>
                <w:spacing w:val="-2"/>
                <w:sz w:val="20"/>
              </w:rPr>
              <w:t>69,</w:t>
            </w:r>
            <w:r>
              <w:rPr>
                <w:rFonts w:ascii="Arial"/>
                <w:sz w:val="20"/>
              </w:rPr>
            </w:r>
          </w:p>
          <w:p>
            <w:pPr>
              <w:pStyle w:val="TableParagraph"/>
              <w:spacing w:line="240" w:lineRule="auto" w:before="82"/>
              <w:ind w:left="134" w:right="0"/>
              <w:jc w:val="left"/>
              <w:rPr>
                <w:rFonts w:ascii="Arial" w:hAnsi="Arial" w:cs="Arial" w:eastAsia="Arial" w:hint="default"/>
                <w:sz w:val="20"/>
                <w:szCs w:val="20"/>
              </w:rPr>
            </w:pPr>
            <w:r>
              <w:rPr>
                <w:rFonts w:ascii="Arial"/>
                <w:spacing w:val="-2"/>
                <w:sz w:val="20"/>
              </w:rPr>
              <w:t>437</w:t>
            </w:r>
            <w:r>
              <w:rPr>
                <w:rFonts w:ascii="Arial"/>
                <w:sz w:val="20"/>
              </w:rPr>
            </w:r>
          </w:p>
          <w:p>
            <w:pPr>
              <w:pStyle w:val="TableParagraph"/>
              <w:spacing w:line="240" w:lineRule="auto" w:before="82"/>
              <w:ind w:left="92" w:right="0"/>
              <w:jc w:val="center"/>
              <w:rPr>
                <w:rFonts w:ascii="Arial" w:hAnsi="Arial" w:cs="Arial" w:eastAsia="Arial" w:hint="default"/>
                <w:sz w:val="20"/>
                <w:szCs w:val="20"/>
              </w:rPr>
            </w:pPr>
            <w:r>
              <w:rPr>
                <w:rFonts w:ascii="Arial"/>
                <w:sz w:val="20"/>
              </w:rPr>
              <w:t>,39</w:t>
            </w:r>
          </w:p>
          <w:p>
            <w:pPr>
              <w:pStyle w:val="TableParagraph"/>
              <w:spacing w:line="240" w:lineRule="auto" w:before="82"/>
              <w:ind w:left="92" w:right="0"/>
              <w:jc w:val="center"/>
              <w:rPr>
                <w:rFonts w:ascii="Arial" w:hAnsi="Arial" w:cs="Arial" w:eastAsia="Arial" w:hint="default"/>
                <w:sz w:val="20"/>
                <w:szCs w:val="20"/>
              </w:rPr>
            </w:pPr>
            <w:r>
              <w:rPr>
                <w:rFonts w:ascii="Arial"/>
                <w:sz w:val="20"/>
              </w:rPr>
              <w:t>4.1</w:t>
            </w:r>
          </w:p>
          <w:p>
            <w:pPr>
              <w:pStyle w:val="TableParagraph"/>
              <w:spacing w:line="240" w:lineRule="auto" w:before="87"/>
              <w:ind w:left="260" w:right="0"/>
              <w:jc w:val="center"/>
              <w:rPr>
                <w:rFonts w:ascii="Arial" w:hAnsi="Arial" w:cs="Arial" w:eastAsia="Arial" w:hint="default"/>
                <w:sz w:val="20"/>
                <w:szCs w:val="20"/>
              </w:rPr>
            </w:pPr>
            <w:r>
              <w:rPr>
                <w:rFonts w:ascii="Arial"/>
                <w:w w:val="100"/>
                <w:sz w:val="20"/>
              </w:rPr>
              <w:t>3</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92" w:right="0"/>
              <w:jc w:val="center"/>
              <w:rPr>
                <w:rFonts w:ascii="Arial" w:hAnsi="Arial" w:cs="Arial" w:eastAsia="Arial" w:hint="default"/>
                <w:sz w:val="20"/>
                <w:szCs w:val="20"/>
              </w:rPr>
            </w:pPr>
            <w:r>
              <w:rPr>
                <w:rFonts w:ascii="Arial"/>
                <w:spacing w:val="-2"/>
                <w:sz w:val="20"/>
              </w:rPr>
              <w:t>24,</w:t>
            </w:r>
            <w:r>
              <w:rPr>
                <w:rFonts w:ascii="Arial"/>
                <w:sz w:val="20"/>
              </w:rPr>
            </w:r>
          </w:p>
          <w:p>
            <w:pPr>
              <w:pStyle w:val="TableParagraph"/>
              <w:spacing w:line="240" w:lineRule="auto" w:before="82"/>
              <w:ind w:left="158" w:right="0"/>
              <w:jc w:val="left"/>
              <w:rPr>
                <w:rFonts w:ascii="Arial" w:hAnsi="Arial" w:cs="Arial" w:eastAsia="Arial" w:hint="default"/>
                <w:sz w:val="20"/>
                <w:szCs w:val="20"/>
              </w:rPr>
            </w:pPr>
            <w:r>
              <w:rPr>
                <w:rFonts w:ascii="Arial"/>
                <w:spacing w:val="-7"/>
                <w:sz w:val="20"/>
              </w:rPr>
              <w:t>011</w:t>
            </w:r>
          </w:p>
          <w:p>
            <w:pPr>
              <w:pStyle w:val="TableParagraph"/>
              <w:spacing w:line="240" w:lineRule="auto" w:before="82"/>
              <w:ind w:left="111" w:right="0"/>
              <w:jc w:val="center"/>
              <w:rPr>
                <w:rFonts w:ascii="Arial" w:hAnsi="Arial" w:cs="Arial" w:eastAsia="Arial" w:hint="default"/>
                <w:sz w:val="20"/>
                <w:szCs w:val="20"/>
              </w:rPr>
            </w:pPr>
            <w:r>
              <w:rPr>
                <w:rFonts w:ascii="Arial"/>
                <w:spacing w:val="-6"/>
                <w:sz w:val="20"/>
              </w:rPr>
              <w:t>,11</w:t>
            </w:r>
          </w:p>
          <w:p>
            <w:pPr>
              <w:pStyle w:val="TableParagraph"/>
              <w:spacing w:line="240" w:lineRule="auto" w:before="82"/>
              <w:ind w:left="97" w:right="0"/>
              <w:jc w:val="center"/>
              <w:rPr>
                <w:rFonts w:ascii="Arial" w:hAnsi="Arial" w:cs="Arial" w:eastAsia="Arial" w:hint="default"/>
                <w:sz w:val="20"/>
                <w:szCs w:val="20"/>
              </w:rPr>
            </w:pPr>
            <w:r>
              <w:rPr>
                <w:rFonts w:ascii="Arial"/>
                <w:sz w:val="20"/>
              </w:rPr>
              <w:t>7.3</w:t>
            </w:r>
          </w:p>
          <w:p>
            <w:pPr>
              <w:pStyle w:val="TableParagraph"/>
              <w:spacing w:line="240" w:lineRule="auto" w:before="87"/>
              <w:ind w:left="265" w:right="0"/>
              <w:jc w:val="center"/>
              <w:rPr>
                <w:rFonts w:ascii="Arial" w:hAnsi="Arial" w:cs="Arial" w:eastAsia="Arial" w:hint="default"/>
                <w:sz w:val="20"/>
                <w:szCs w:val="20"/>
              </w:rPr>
            </w:pPr>
            <w:r>
              <w:rPr>
                <w:rFonts w:ascii="Arial"/>
                <w:w w:val="100"/>
                <w:sz w:val="20"/>
              </w:rPr>
              <w:t>4</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9"/>
                <w:szCs w:val="29"/>
              </w:rPr>
            </w:pPr>
          </w:p>
          <w:p>
            <w:pPr>
              <w:pStyle w:val="TableParagraph"/>
              <w:spacing w:line="240" w:lineRule="auto"/>
              <w:ind w:left="88" w:right="0"/>
              <w:jc w:val="center"/>
              <w:rPr>
                <w:rFonts w:ascii="Arial" w:hAnsi="Arial" w:cs="Arial" w:eastAsia="Arial" w:hint="default"/>
                <w:sz w:val="20"/>
                <w:szCs w:val="20"/>
              </w:rPr>
            </w:pPr>
            <w:r>
              <w:rPr>
                <w:rFonts w:ascii="Arial"/>
                <w:sz w:val="20"/>
              </w:rPr>
              <w:t>1,2</w:t>
            </w:r>
          </w:p>
          <w:p>
            <w:pPr>
              <w:pStyle w:val="TableParagraph"/>
              <w:spacing w:line="240" w:lineRule="auto" w:before="82"/>
              <w:ind w:left="83" w:right="0"/>
              <w:jc w:val="center"/>
              <w:rPr>
                <w:rFonts w:ascii="Arial" w:hAnsi="Arial" w:cs="Arial" w:eastAsia="Arial" w:hint="default"/>
                <w:sz w:val="20"/>
                <w:szCs w:val="20"/>
              </w:rPr>
            </w:pPr>
            <w:r>
              <w:rPr>
                <w:rFonts w:ascii="Arial"/>
                <w:spacing w:val="-2"/>
                <w:sz w:val="20"/>
              </w:rPr>
              <w:t>93,</w:t>
            </w:r>
            <w:r>
              <w:rPr>
                <w:rFonts w:ascii="Arial"/>
                <w:sz w:val="20"/>
              </w:rPr>
            </w:r>
          </w:p>
          <w:p>
            <w:pPr>
              <w:pStyle w:val="TableParagraph"/>
              <w:spacing w:line="240" w:lineRule="auto" w:before="82"/>
              <w:ind w:left="129" w:right="0"/>
              <w:jc w:val="left"/>
              <w:rPr>
                <w:rFonts w:ascii="Arial" w:hAnsi="Arial" w:cs="Arial" w:eastAsia="Arial" w:hint="default"/>
                <w:sz w:val="20"/>
                <w:szCs w:val="20"/>
              </w:rPr>
            </w:pPr>
            <w:r>
              <w:rPr>
                <w:rFonts w:ascii="Arial"/>
                <w:spacing w:val="-2"/>
                <w:sz w:val="20"/>
              </w:rPr>
              <w:t>448</w:t>
            </w:r>
            <w:r>
              <w:rPr>
                <w:rFonts w:ascii="Arial"/>
                <w:sz w:val="20"/>
              </w:rPr>
            </w:r>
          </w:p>
          <w:p>
            <w:pPr>
              <w:pStyle w:val="TableParagraph"/>
              <w:spacing w:line="240" w:lineRule="auto" w:before="82"/>
              <w:ind w:left="116" w:right="0"/>
              <w:jc w:val="center"/>
              <w:rPr>
                <w:rFonts w:ascii="Arial" w:hAnsi="Arial" w:cs="Arial" w:eastAsia="Arial" w:hint="default"/>
                <w:sz w:val="20"/>
                <w:szCs w:val="20"/>
              </w:rPr>
            </w:pPr>
            <w:r>
              <w:rPr>
                <w:rFonts w:ascii="Arial"/>
                <w:sz w:val="20"/>
              </w:rPr>
              <w:t>,51</w:t>
            </w:r>
          </w:p>
          <w:p>
            <w:pPr>
              <w:pStyle w:val="TableParagraph"/>
              <w:spacing w:line="240" w:lineRule="auto" w:before="82"/>
              <w:ind w:left="88" w:right="0"/>
              <w:jc w:val="center"/>
              <w:rPr>
                <w:rFonts w:ascii="Arial" w:hAnsi="Arial" w:cs="Arial" w:eastAsia="Arial" w:hint="default"/>
                <w:sz w:val="20"/>
                <w:szCs w:val="20"/>
              </w:rPr>
            </w:pPr>
            <w:r>
              <w:rPr>
                <w:rFonts w:ascii="Arial"/>
                <w:sz w:val="20"/>
              </w:rPr>
              <w:t>1.4</w:t>
            </w:r>
          </w:p>
          <w:p>
            <w:pPr>
              <w:pStyle w:val="TableParagraph"/>
              <w:spacing w:line="240" w:lineRule="auto" w:before="87"/>
              <w:ind w:left="256" w:right="0"/>
              <w:jc w:val="center"/>
              <w:rPr>
                <w:rFonts w:ascii="Arial" w:hAnsi="Arial" w:cs="Arial" w:eastAsia="Arial" w:hint="default"/>
                <w:sz w:val="20"/>
                <w:szCs w:val="20"/>
              </w:rPr>
            </w:pPr>
            <w:r>
              <w:rPr>
                <w:rFonts w:ascii="Arial"/>
                <w:w w:val="100"/>
                <w:sz w:val="20"/>
              </w:rPr>
              <w:t>7</w:t>
            </w:r>
          </w:p>
        </w:tc>
      </w:tr>
      <w:tr>
        <w:trPr>
          <w:trHeight w:val="1964"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30"/>
              <w:ind w:left="105" w:right="94"/>
              <w:jc w:val="both"/>
              <w:rPr>
                <w:rFonts w:ascii="宋体" w:hAnsi="宋体" w:cs="宋体" w:eastAsia="宋体" w:hint="default"/>
                <w:sz w:val="18"/>
                <w:szCs w:val="18"/>
              </w:rPr>
            </w:pPr>
            <w:r>
              <w:rPr>
                <w:rFonts w:ascii="宋体" w:hAnsi="宋体" w:cs="宋体" w:eastAsia="宋体" w:hint="default"/>
                <w:spacing w:val="-9"/>
                <w:sz w:val="18"/>
                <w:szCs w:val="18"/>
              </w:rPr>
              <w:t>三、本期增减</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pacing w:val="-9"/>
                <w:sz w:val="18"/>
                <w:szCs w:val="18"/>
              </w:rPr>
              <w:t>变动金额（减</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pacing w:val="-10"/>
                <w:sz w:val="18"/>
                <w:szCs w:val="18"/>
              </w:rPr>
              <w:t>少以“－”号</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填列）</w:t>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19" w:right="0"/>
              <w:jc w:val="center"/>
              <w:rPr>
                <w:rFonts w:ascii="Times New Roman" w:hAnsi="Times New Roman" w:cs="Times New Roman" w:eastAsia="Times New Roman" w:hint="default"/>
                <w:sz w:val="18"/>
                <w:szCs w:val="18"/>
              </w:rPr>
            </w:pPr>
            <w:r>
              <w:rPr>
                <w:rFonts w:ascii="Times New Roman"/>
                <w:sz w:val="18"/>
              </w:rPr>
              <w:t>822</w:t>
            </w:r>
          </w:p>
          <w:p>
            <w:pPr>
              <w:pStyle w:val="TableParagraph"/>
              <w:spacing w:line="240" w:lineRule="auto" w:before="105"/>
              <w:ind w:left="62" w:right="0"/>
              <w:jc w:val="center"/>
              <w:rPr>
                <w:rFonts w:ascii="Times New Roman" w:hAnsi="Times New Roman" w:cs="Times New Roman" w:eastAsia="Times New Roman" w:hint="default"/>
                <w:sz w:val="18"/>
                <w:szCs w:val="18"/>
              </w:rPr>
            </w:pPr>
            <w:r>
              <w:rPr>
                <w:rFonts w:ascii="Times New Roman"/>
                <w:sz w:val="18"/>
              </w:rPr>
              <w:t>,25</w:t>
            </w:r>
          </w:p>
          <w:p>
            <w:pPr>
              <w:pStyle w:val="TableParagraph"/>
              <w:spacing w:line="240" w:lineRule="auto" w:before="105"/>
              <w:ind w:left="62" w:right="0"/>
              <w:jc w:val="center"/>
              <w:rPr>
                <w:rFonts w:ascii="Times New Roman" w:hAnsi="Times New Roman" w:cs="Times New Roman" w:eastAsia="Times New Roman" w:hint="default"/>
                <w:sz w:val="18"/>
                <w:szCs w:val="18"/>
              </w:rPr>
            </w:pPr>
            <w:r>
              <w:rPr>
                <w:rFonts w:ascii="Times New Roman"/>
                <w:sz w:val="18"/>
              </w:rPr>
              <w:t>0.0</w:t>
            </w:r>
          </w:p>
          <w:p>
            <w:pPr>
              <w:pStyle w:val="TableParagraph"/>
              <w:spacing w:line="240" w:lineRule="auto" w:before="110"/>
              <w:ind w:left="192" w:right="0"/>
              <w:jc w:val="center"/>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left="149" w:right="0"/>
              <w:jc w:val="left"/>
              <w:rPr>
                <w:rFonts w:ascii="Times New Roman" w:hAnsi="Times New Roman" w:cs="Times New Roman" w:eastAsia="Times New Roman" w:hint="default"/>
                <w:sz w:val="18"/>
                <w:szCs w:val="18"/>
              </w:rPr>
            </w:pPr>
            <w:r>
              <w:rPr>
                <w:rFonts w:ascii="Times New Roman"/>
                <w:sz w:val="18"/>
              </w:rPr>
              <w:t>3,71</w:t>
            </w:r>
          </w:p>
          <w:p>
            <w:pPr>
              <w:pStyle w:val="TableParagraph"/>
              <w:spacing w:line="240" w:lineRule="auto" w:before="100"/>
              <w:ind w:left="149" w:right="0"/>
              <w:jc w:val="left"/>
              <w:rPr>
                <w:rFonts w:ascii="Times New Roman" w:hAnsi="Times New Roman" w:cs="Times New Roman" w:eastAsia="Times New Roman" w:hint="default"/>
                <w:sz w:val="18"/>
                <w:szCs w:val="18"/>
              </w:rPr>
            </w:pPr>
            <w:r>
              <w:rPr>
                <w:rFonts w:ascii="Times New Roman"/>
                <w:sz w:val="18"/>
              </w:rPr>
              <w:t>0,60</w:t>
            </w:r>
          </w:p>
          <w:p>
            <w:pPr>
              <w:pStyle w:val="TableParagraph"/>
              <w:spacing w:line="240" w:lineRule="auto" w:before="110"/>
              <w:ind w:left="149" w:right="0"/>
              <w:jc w:val="left"/>
              <w:rPr>
                <w:rFonts w:ascii="Times New Roman" w:hAnsi="Times New Roman" w:cs="Times New Roman" w:eastAsia="Times New Roman" w:hint="default"/>
                <w:sz w:val="18"/>
                <w:szCs w:val="18"/>
              </w:rPr>
            </w:pPr>
            <w:r>
              <w:rPr>
                <w:rFonts w:ascii="Times New Roman"/>
                <w:sz w:val="18"/>
              </w:rPr>
              <w:t>2.94</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158" w:right="0"/>
              <w:jc w:val="left"/>
              <w:rPr>
                <w:rFonts w:ascii="Times New Roman" w:hAnsi="Times New Roman" w:cs="Times New Roman" w:eastAsia="Times New Roman" w:hint="default"/>
                <w:sz w:val="18"/>
                <w:szCs w:val="18"/>
              </w:rPr>
            </w:pPr>
            <w:r>
              <w:rPr>
                <w:rFonts w:ascii="Times New Roman"/>
                <w:sz w:val="18"/>
              </w:rPr>
              <w:t>30,0</w:t>
            </w:r>
          </w:p>
          <w:p>
            <w:pPr>
              <w:pStyle w:val="TableParagraph"/>
              <w:spacing w:line="240" w:lineRule="auto" w:before="105"/>
              <w:ind w:left="158" w:right="0"/>
              <w:jc w:val="left"/>
              <w:rPr>
                <w:rFonts w:ascii="Times New Roman" w:hAnsi="Times New Roman" w:cs="Times New Roman" w:eastAsia="Times New Roman" w:hint="default"/>
                <w:sz w:val="18"/>
                <w:szCs w:val="18"/>
              </w:rPr>
            </w:pPr>
            <w:r>
              <w:rPr>
                <w:rFonts w:ascii="Times New Roman"/>
                <w:sz w:val="18"/>
              </w:rPr>
              <w:t>58,7</w:t>
            </w:r>
          </w:p>
          <w:p>
            <w:pPr>
              <w:pStyle w:val="TableParagraph"/>
              <w:spacing w:line="240" w:lineRule="auto" w:before="105"/>
              <w:ind w:left="158" w:right="0"/>
              <w:jc w:val="left"/>
              <w:rPr>
                <w:rFonts w:ascii="Times New Roman" w:hAnsi="Times New Roman" w:cs="Times New Roman" w:eastAsia="Times New Roman" w:hint="default"/>
                <w:sz w:val="18"/>
                <w:szCs w:val="18"/>
              </w:rPr>
            </w:pPr>
            <w:r>
              <w:rPr>
                <w:rFonts w:ascii="Times New Roman"/>
                <w:sz w:val="18"/>
              </w:rPr>
              <w:t>90.1</w:t>
            </w:r>
          </w:p>
          <w:p>
            <w:pPr>
              <w:pStyle w:val="TableParagraph"/>
              <w:spacing w:line="240" w:lineRule="auto" w:before="110"/>
              <w:ind w:left="383" w:right="0"/>
              <w:jc w:val="left"/>
              <w:rPr>
                <w:rFonts w:ascii="Times New Roman" w:hAnsi="Times New Roman" w:cs="Times New Roman" w:eastAsia="Times New Roman" w:hint="default"/>
                <w:sz w:val="18"/>
                <w:szCs w:val="18"/>
              </w:rPr>
            </w:pPr>
            <w:r>
              <w:rPr>
                <w:rFonts w:ascii="Times New Roman"/>
                <w:w w:val="101"/>
                <w:sz w:val="18"/>
              </w:rPr>
              <w:t>3</w:t>
            </w:r>
            <w:r>
              <w:rPr>
                <w:rFonts w:ascii="Times New Roman"/>
                <w:sz w:val="18"/>
              </w:rPr>
            </w:r>
          </w:p>
        </w:tc>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left="54" w:right="0"/>
              <w:jc w:val="center"/>
              <w:rPr>
                <w:rFonts w:ascii="Times New Roman" w:hAnsi="Times New Roman" w:cs="Times New Roman" w:eastAsia="Times New Roman" w:hint="default"/>
                <w:sz w:val="18"/>
                <w:szCs w:val="18"/>
              </w:rPr>
            </w:pPr>
            <w:r>
              <w:rPr>
                <w:rFonts w:ascii="Times New Roman"/>
                <w:sz w:val="18"/>
              </w:rPr>
              <w:t>621,</w:t>
            </w:r>
          </w:p>
          <w:p>
            <w:pPr>
              <w:pStyle w:val="TableParagraph"/>
              <w:spacing w:line="240" w:lineRule="auto" w:before="100"/>
              <w:ind w:left="54" w:right="0"/>
              <w:jc w:val="center"/>
              <w:rPr>
                <w:rFonts w:ascii="Times New Roman" w:hAnsi="Times New Roman" w:cs="Times New Roman" w:eastAsia="Times New Roman" w:hint="default"/>
                <w:sz w:val="18"/>
                <w:szCs w:val="18"/>
              </w:rPr>
            </w:pPr>
            <w:r>
              <w:rPr>
                <w:rFonts w:ascii="Times New Roman"/>
                <w:sz w:val="18"/>
              </w:rPr>
              <w:t>831.</w:t>
            </w:r>
          </w:p>
          <w:p>
            <w:pPr>
              <w:pStyle w:val="TableParagraph"/>
              <w:spacing w:line="240" w:lineRule="auto" w:before="110"/>
              <w:ind w:left="197" w:right="0"/>
              <w:jc w:val="center"/>
              <w:rPr>
                <w:rFonts w:ascii="Times New Roman" w:hAnsi="Times New Roman" w:cs="Times New Roman" w:eastAsia="Times New Roman" w:hint="default"/>
                <w:sz w:val="18"/>
                <w:szCs w:val="18"/>
              </w:rPr>
            </w:pPr>
            <w:r>
              <w:rPr>
                <w:rFonts w:ascii="Times New Roman"/>
                <w:sz w:val="18"/>
              </w:rPr>
              <w:t>77</w:t>
            </w:r>
          </w:p>
        </w:tc>
        <w:tc>
          <w:tcPr>
            <w:tcW w:w="586"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153" w:right="0"/>
              <w:jc w:val="left"/>
              <w:rPr>
                <w:rFonts w:ascii="Times New Roman" w:hAnsi="Times New Roman" w:cs="Times New Roman" w:eastAsia="Times New Roman" w:hint="default"/>
                <w:sz w:val="18"/>
                <w:szCs w:val="18"/>
              </w:rPr>
            </w:pPr>
            <w:r>
              <w:rPr>
                <w:rFonts w:ascii="Times New Roman"/>
                <w:sz w:val="18"/>
              </w:rPr>
              <w:t>16,9</w:t>
            </w:r>
          </w:p>
          <w:p>
            <w:pPr>
              <w:pStyle w:val="TableParagraph"/>
              <w:spacing w:line="240" w:lineRule="auto" w:before="105"/>
              <w:ind w:left="153" w:right="0"/>
              <w:jc w:val="left"/>
              <w:rPr>
                <w:rFonts w:ascii="Times New Roman" w:hAnsi="Times New Roman" w:cs="Times New Roman" w:eastAsia="Times New Roman" w:hint="default"/>
                <w:sz w:val="18"/>
                <w:szCs w:val="18"/>
              </w:rPr>
            </w:pPr>
            <w:r>
              <w:rPr>
                <w:rFonts w:ascii="Times New Roman"/>
                <w:sz w:val="18"/>
              </w:rPr>
              <w:t>12,1</w:t>
            </w:r>
          </w:p>
          <w:p>
            <w:pPr>
              <w:pStyle w:val="TableParagraph"/>
              <w:spacing w:line="240" w:lineRule="auto" w:before="105"/>
              <w:ind w:left="153" w:right="0"/>
              <w:jc w:val="left"/>
              <w:rPr>
                <w:rFonts w:ascii="Times New Roman" w:hAnsi="Times New Roman" w:cs="Times New Roman" w:eastAsia="Times New Roman" w:hint="default"/>
                <w:sz w:val="18"/>
                <w:szCs w:val="18"/>
              </w:rPr>
            </w:pPr>
            <w:r>
              <w:rPr>
                <w:rFonts w:ascii="Times New Roman"/>
                <w:sz w:val="18"/>
              </w:rPr>
              <w:t>39.7</w:t>
            </w:r>
          </w:p>
          <w:p>
            <w:pPr>
              <w:pStyle w:val="TableParagraph"/>
              <w:spacing w:line="240" w:lineRule="auto" w:before="110"/>
              <w:ind w:left="379" w:right="0"/>
              <w:jc w:val="left"/>
              <w:rPr>
                <w:rFonts w:ascii="Times New Roman" w:hAnsi="Times New Roman" w:cs="Times New Roman" w:eastAsia="Times New Roman" w:hint="default"/>
                <w:sz w:val="18"/>
                <w:szCs w:val="18"/>
              </w:rPr>
            </w:pPr>
            <w:r>
              <w:rPr>
                <w:rFonts w:ascii="Times New Roman"/>
                <w:w w:val="101"/>
                <w:sz w:val="18"/>
              </w:rPr>
              <w:t>4</w:t>
            </w:r>
            <w:r>
              <w:rPr>
                <w:rFonts w:ascii="Times New Roman"/>
                <w:sz w:val="18"/>
              </w:rPr>
            </w: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1"/>
              <w:ind w:left="32" w:right="0"/>
              <w:jc w:val="center"/>
              <w:rPr>
                <w:rFonts w:ascii="Arial" w:hAnsi="Arial" w:cs="Arial" w:eastAsia="Arial" w:hint="default"/>
                <w:sz w:val="20"/>
                <w:szCs w:val="20"/>
              </w:rPr>
            </w:pPr>
            <w:r>
              <w:rPr>
                <w:rFonts w:ascii="Arial"/>
                <w:spacing w:val="-2"/>
                <w:sz w:val="20"/>
              </w:rPr>
              <w:t>102</w:t>
            </w:r>
            <w:r>
              <w:rPr>
                <w:rFonts w:ascii="Arial"/>
                <w:sz w:val="20"/>
              </w:rPr>
            </w:r>
          </w:p>
          <w:p>
            <w:pPr>
              <w:pStyle w:val="TableParagraph"/>
              <w:spacing w:line="240" w:lineRule="auto" w:before="82"/>
              <w:ind w:left="196" w:right="0"/>
              <w:jc w:val="left"/>
              <w:rPr>
                <w:rFonts w:ascii="Arial" w:hAnsi="Arial" w:cs="Arial" w:eastAsia="Arial" w:hint="default"/>
                <w:sz w:val="20"/>
                <w:szCs w:val="20"/>
              </w:rPr>
            </w:pPr>
            <w:r>
              <w:rPr>
                <w:rFonts w:ascii="Arial"/>
                <w:sz w:val="20"/>
              </w:rPr>
              <w:t>,77</w:t>
            </w:r>
          </w:p>
          <w:p>
            <w:pPr>
              <w:pStyle w:val="TableParagraph"/>
              <w:spacing w:line="240" w:lineRule="auto" w:before="82"/>
              <w:ind w:left="196" w:right="0"/>
              <w:jc w:val="left"/>
              <w:rPr>
                <w:rFonts w:ascii="Arial" w:hAnsi="Arial" w:cs="Arial" w:eastAsia="Arial" w:hint="default"/>
                <w:sz w:val="20"/>
                <w:szCs w:val="20"/>
              </w:rPr>
            </w:pPr>
            <w:r>
              <w:rPr>
                <w:rFonts w:ascii="Arial"/>
                <w:sz w:val="20"/>
              </w:rPr>
              <w:t>9,7</w:t>
            </w:r>
          </w:p>
          <w:p>
            <w:pPr>
              <w:pStyle w:val="TableParagraph"/>
              <w:spacing w:line="240" w:lineRule="auto" w:before="82"/>
              <w:ind w:left="196" w:right="0"/>
              <w:jc w:val="left"/>
              <w:rPr>
                <w:rFonts w:ascii="Arial" w:hAnsi="Arial" w:cs="Arial" w:eastAsia="Arial" w:hint="default"/>
                <w:sz w:val="20"/>
                <w:szCs w:val="20"/>
              </w:rPr>
            </w:pPr>
            <w:r>
              <w:rPr>
                <w:rFonts w:ascii="Arial"/>
                <w:spacing w:val="-2"/>
                <w:sz w:val="20"/>
              </w:rPr>
              <w:t>90.</w:t>
            </w:r>
            <w:r>
              <w:rPr>
                <w:rFonts w:ascii="Arial"/>
                <w:sz w:val="20"/>
              </w:rPr>
            </w:r>
          </w:p>
          <w:p>
            <w:pPr>
              <w:pStyle w:val="TableParagraph"/>
              <w:spacing w:line="240" w:lineRule="auto" w:before="86"/>
              <w:ind w:left="152" w:right="0"/>
              <w:jc w:val="center"/>
              <w:rPr>
                <w:rFonts w:ascii="Arial" w:hAnsi="Arial" w:cs="Arial" w:eastAsia="Arial" w:hint="default"/>
                <w:sz w:val="20"/>
                <w:szCs w:val="20"/>
              </w:rPr>
            </w:pPr>
            <w:r>
              <w:rPr>
                <w:rFonts w:ascii="Arial"/>
                <w:sz w:val="20"/>
              </w:rPr>
              <w:t>33</w:t>
            </w: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1"/>
              <w:ind w:left="87" w:right="0"/>
              <w:jc w:val="center"/>
              <w:rPr>
                <w:rFonts w:ascii="Arial" w:hAnsi="Arial" w:cs="Arial" w:eastAsia="Arial" w:hint="default"/>
                <w:sz w:val="20"/>
                <w:szCs w:val="20"/>
              </w:rPr>
            </w:pPr>
            <w:r>
              <w:rPr>
                <w:rFonts w:ascii="Arial"/>
                <w:spacing w:val="-2"/>
                <w:sz w:val="20"/>
              </w:rPr>
              <w:t>94,</w:t>
            </w:r>
            <w:r>
              <w:rPr>
                <w:rFonts w:ascii="Arial"/>
                <w:sz w:val="20"/>
              </w:rPr>
            </w:r>
          </w:p>
          <w:p>
            <w:pPr>
              <w:pStyle w:val="TableParagraph"/>
              <w:spacing w:line="240" w:lineRule="auto" w:before="82"/>
              <w:ind w:left="134" w:right="0"/>
              <w:jc w:val="left"/>
              <w:rPr>
                <w:rFonts w:ascii="Arial" w:hAnsi="Arial" w:cs="Arial" w:eastAsia="Arial" w:hint="default"/>
                <w:sz w:val="20"/>
                <w:szCs w:val="20"/>
              </w:rPr>
            </w:pPr>
            <w:r>
              <w:rPr>
                <w:rFonts w:ascii="Arial"/>
                <w:spacing w:val="-2"/>
                <w:sz w:val="20"/>
              </w:rPr>
              <w:t>787</w:t>
            </w:r>
            <w:r>
              <w:rPr>
                <w:rFonts w:ascii="Arial"/>
                <w:sz w:val="20"/>
              </w:rPr>
            </w:r>
          </w:p>
          <w:p>
            <w:pPr>
              <w:pStyle w:val="TableParagraph"/>
              <w:spacing w:line="240" w:lineRule="auto" w:before="82"/>
              <w:ind w:left="92" w:right="0"/>
              <w:jc w:val="center"/>
              <w:rPr>
                <w:rFonts w:ascii="Arial" w:hAnsi="Arial" w:cs="Arial" w:eastAsia="Arial" w:hint="default"/>
                <w:sz w:val="20"/>
                <w:szCs w:val="20"/>
              </w:rPr>
            </w:pPr>
            <w:r>
              <w:rPr>
                <w:rFonts w:ascii="Arial"/>
                <w:sz w:val="20"/>
              </w:rPr>
              <w:t>,82</w:t>
            </w:r>
          </w:p>
          <w:p>
            <w:pPr>
              <w:pStyle w:val="TableParagraph"/>
              <w:spacing w:line="240" w:lineRule="auto" w:before="82"/>
              <w:ind w:left="92" w:right="0"/>
              <w:jc w:val="center"/>
              <w:rPr>
                <w:rFonts w:ascii="Arial" w:hAnsi="Arial" w:cs="Arial" w:eastAsia="Arial" w:hint="default"/>
                <w:sz w:val="20"/>
                <w:szCs w:val="20"/>
              </w:rPr>
            </w:pPr>
            <w:r>
              <w:rPr>
                <w:rFonts w:ascii="Arial"/>
                <w:sz w:val="20"/>
              </w:rPr>
              <w:t>4.6</w:t>
            </w:r>
          </w:p>
          <w:p>
            <w:pPr>
              <w:pStyle w:val="TableParagraph"/>
              <w:spacing w:line="240" w:lineRule="auto" w:before="86"/>
              <w:ind w:left="260" w:right="0"/>
              <w:jc w:val="center"/>
              <w:rPr>
                <w:rFonts w:ascii="Arial" w:hAnsi="Arial" w:cs="Arial" w:eastAsia="Arial" w:hint="default"/>
                <w:sz w:val="20"/>
                <w:szCs w:val="20"/>
              </w:rPr>
            </w:pPr>
            <w:r>
              <w:rPr>
                <w:rFonts w:ascii="Arial"/>
                <w:w w:val="100"/>
                <w:sz w:val="20"/>
              </w:rPr>
              <w:t>5</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196" w:right="0"/>
              <w:jc w:val="left"/>
              <w:rPr>
                <w:rFonts w:ascii="Arial" w:hAnsi="Arial" w:cs="Arial" w:eastAsia="Arial" w:hint="default"/>
                <w:sz w:val="20"/>
                <w:szCs w:val="20"/>
              </w:rPr>
            </w:pPr>
            <w:r>
              <w:rPr>
                <w:rFonts w:ascii="Arial"/>
                <w:sz w:val="20"/>
              </w:rPr>
              <w:t>1,9</w:t>
            </w:r>
          </w:p>
          <w:p>
            <w:pPr>
              <w:pStyle w:val="TableParagraph"/>
              <w:spacing w:line="240" w:lineRule="auto" w:before="82"/>
              <w:ind w:left="196" w:right="0"/>
              <w:jc w:val="left"/>
              <w:rPr>
                <w:rFonts w:ascii="Arial" w:hAnsi="Arial" w:cs="Arial" w:eastAsia="Arial" w:hint="default"/>
                <w:sz w:val="20"/>
                <w:szCs w:val="20"/>
              </w:rPr>
            </w:pPr>
            <w:r>
              <w:rPr>
                <w:rFonts w:ascii="Arial"/>
                <w:spacing w:val="-2"/>
                <w:sz w:val="20"/>
              </w:rPr>
              <w:t>82,</w:t>
            </w:r>
            <w:r>
              <w:rPr>
                <w:rFonts w:ascii="Arial"/>
                <w:sz w:val="20"/>
              </w:rPr>
            </w:r>
          </w:p>
          <w:p>
            <w:pPr>
              <w:pStyle w:val="TableParagraph"/>
              <w:spacing w:line="240" w:lineRule="auto" w:before="82"/>
              <w:ind w:left="139" w:right="0"/>
              <w:jc w:val="left"/>
              <w:rPr>
                <w:rFonts w:ascii="Arial" w:hAnsi="Arial" w:cs="Arial" w:eastAsia="Arial" w:hint="default"/>
                <w:sz w:val="20"/>
                <w:szCs w:val="20"/>
              </w:rPr>
            </w:pPr>
            <w:r>
              <w:rPr>
                <w:rFonts w:ascii="Arial"/>
                <w:spacing w:val="-2"/>
                <w:sz w:val="20"/>
              </w:rPr>
              <w:t>379</w:t>
            </w:r>
            <w:r>
              <w:rPr>
                <w:rFonts w:ascii="Arial"/>
                <w:sz w:val="20"/>
              </w:rPr>
            </w:r>
          </w:p>
          <w:p>
            <w:pPr>
              <w:pStyle w:val="TableParagraph"/>
              <w:spacing w:line="240" w:lineRule="auto" w:before="87"/>
              <w:ind w:left="196" w:right="0"/>
              <w:jc w:val="left"/>
              <w:rPr>
                <w:rFonts w:ascii="Arial" w:hAnsi="Arial" w:cs="Arial" w:eastAsia="Arial" w:hint="default"/>
                <w:sz w:val="20"/>
                <w:szCs w:val="20"/>
              </w:rPr>
            </w:pPr>
            <w:r>
              <w:rPr>
                <w:rFonts w:ascii="Arial"/>
                <w:sz w:val="20"/>
              </w:rPr>
              <w:t>.21</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1"/>
              <w:ind w:left="83" w:right="0"/>
              <w:jc w:val="center"/>
              <w:rPr>
                <w:rFonts w:ascii="Arial" w:hAnsi="Arial" w:cs="Arial" w:eastAsia="Arial" w:hint="default"/>
                <w:sz w:val="20"/>
                <w:szCs w:val="20"/>
              </w:rPr>
            </w:pPr>
            <w:r>
              <w:rPr>
                <w:rFonts w:ascii="Arial"/>
                <w:spacing w:val="-2"/>
                <w:sz w:val="20"/>
              </w:rPr>
              <w:t>96,</w:t>
            </w:r>
            <w:r>
              <w:rPr>
                <w:rFonts w:ascii="Arial"/>
                <w:sz w:val="20"/>
              </w:rPr>
            </w:r>
          </w:p>
          <w:p>
            <w:pPr>
              <w:pStyle w:val="TableParagraph"/>
              <w:spacing w:line="240" w:lineRule="auto" w:before="82"/>
              <w:ind w:left="129" w:right="0"/>
              <w:jc w:val="left"/>
              <w:rPr>
                <w:rFonts w:ascii="Arial" w:hAnsi="Arial" w:cs="Arial" w:eastAsia="Arial" w:hint="default"/>
                <w:sz w:val="20"/>
                <w:szCs w:val="20"/>
              </w:rPr>
            </w:pPr>
            <w:r>
              <w:rPr>
                <w:rFonts w:ascii="Arial"/>
                <w:spacing w:val="-2"/>
                <w:sz w:val="20"/>
              </w:rPr>
              <w:t>770</w:t>
            </w:r>
            <w:r>
              <w:rPr>
                <w:rFonts w:ascii="Arial"/>
                <w:sz w:val="20"/>
              </w:rPr>
            </w:r>
          </w:p>
          <w:p>
            <w:pPr>
              <w:pStyle w:val="TableParagraph"/>
              <w:spacing w:line="240" w:lineRule="auto" w:before="82"/>
              <w:ind w:left="88" w:right="0"/>
              <w:jc w:val="center"/>
              <w:rPr>
                <w:rFonts w:ascii="Arial" w:hAnsi="Arial" w:cs="Arial" w:eastAsia="Arial" w:hint="default"/>
                <w:sz w:val="20"/>
                <w:szCs w:val="20"/>
              </w:rPr>
            </w:pPr>
            <w:r>
              <w:rPr>
                <w:rFonts w:ascii="Arial"/>
                <w:sz w:val="20"/>
              </w:rPr>
              <w:t>,20</w:t>
            </w:r>
          </w:p>
          <w:p>
            <w:pPr>
              <w:pStyle w:val="TableParagraph"/>
              <w:spacing w:line="240" w:lineRule="auto" w:before="82"/>
              <w:ind w:left="88" w:right="0"/>
              <w:jc w:val="center"/>
              <w:rPr>
                <w:rFonts w:ascii="Arial" w:hAnsi="Arial" w:cs="Arial" w:eastAsia="Arial" w:hint="default"/>
                <w:sz w:val="20"/>
                <w:szCs w:val="20"/>
              </w:rPr>
            </w:pPr>
            <w:r>
              <w:rPr>
                <w:rFonts w:ascii="Arial"/>
                <w:sz w:val="20"/>
              </w:rPr>
              <w:t>3.8</w:t>
            </w:r>
          </w:p>
          <w:p>
            <w:pPr>
              <w:pStyle w:val="TableParagraph"/>
              <w:spacing w:line="240" w:lineRule="auto" w:before="86"/>
              <w:ind w:left="256" w:right="0"/>
              <w:jc w:val="center"/>
              <w:rPr>
                <w:rFonts w:ascii="Arial" w:hAnsi="Arial" w:cs="Arial" w:eastAsia="Arial" w:hint="default"/>
                <w:sz w:val="20"/>
                <w:szCs w:val="20"/>
              </w:rPr>
            </w:pPr>
            <w:r>
              <w:rPr>
                <w:rFonts w:ascii="Arial"/>
                <w:w w:val="100"/>
                <w:sz w:val="20"/>
              </w:rPr>
              <w:t>6</w:t>
            </w:r>
          </w:p>
        </w:tc>
      </w:tr>
    </w:tbl>
    <w:p>
      <w:pPr>
        <w:spacing w:after="0" w:line="240" w:lineRule="auto"/>
        <w:jc w:val="center"/>
        <w:rPr>
          <w:rFonts w:ascii="Arial" w:hAnsi="Arial" w:cs="Arial" w:eastAsia="Arial" w:hint="default"/>
          <w:sz w:val="20"/>
          <w:szCs w:val="20"/>
        </w:rPr>
        <w:sectPr>
          <w:pgSz w:w="11910" w:h="16840"/>
          <w:pgMar w:header="784" w:footer="1022" w:top="1100" w:bottom="1220" w:left="980" w:right="0"/>
        </w:sectPr>
      </w:pPr>
    </w:p>
    <w:p>
      <w:pPr>
        <w:spacing w:line="240" w:lineRule="auto" w:before="1"/>
        <w:rPr>
          <w:rFonts w:ascii="Times New Roman" w:hAnsi="Times New Roman" w:cs="Times New Roman" w:eastAsia="Times New Roman" w:hint="default"/>
          <w:sz w:val="29"/>
          <w:szCs w:val="29"/>
        </w:rPr>
      </w:pPr>
    </w:p>
    <w:tbl>
      <w:tblPr>
        <w:tblW w:w="0" w:type="auto"/>
        <w:jc w:val="left"/>
        <w:tblInd w:w="148" w:type="dxa"/>
        <w:tblLayout w:type="fixed"/>
        <w:tblCellMar>
          <w:top w:w="0" w:type="dxa"/>
          <w:left w:w="0" w:type="dxa"/>
          <w:bottom w:w="0" w:type="dxa"/>
          <w:right w:w="0" w:type="dxa"/>
        </w:tblCellMar>
        <w:tblLook w:val="01E0"/>
      </w:tblPr>
      <w:tblGrid>
        <w:gridCol w:w="1253"/>
        <w:gridCol w:w="494"/>
        <w:gridCol w:w="466"/>
        <w:gridCol w:w="466"/>
        <w:gridCol w:w="470"/>
        <w:gridCol w:w="581"/>
        <w:gridCol w:w="586"/>
        <w:gridCol w:w="581"/>
        <w:gridCol w:w="586"/>
        <w:gridCol w:w="586"/>
        <w:gridCol w:w="581"/>
        <w:gridCol w:w="586"/>
        <w:gridCol w:w="586"/>
        <w:gridCol w:w="581"/>
        <w:gridCol w:w="586"/>
        <w:gridCol w:w="576"/>
      </w:tblGrid>
      <w:tr>
        <w:trPr>
          <w:trHeight w:val="1964"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2"/>
                <w:szCs w:val="22"/>
              </w:rPr>
            </w:pPr>
          </w:p>
          <w:p>
            <w:pPr>
              <w:pStyle w:val="TableParagraph"/>
              <w:spacing w:line="319" w:lineRule="auto"/>
              <w:ind w:left="105" w:right="94"/>
              <w:jc w:val="left"/>
              <w:rPr>
                <w:rFonts w:ascii="宋体" w:hAnsi="宋体" w:cs="宋体" w:eastAsia="宋体" w:hint="default"/>
                <w:sz w:val="18"/>
                <w:szCs w:val="18"/>
              </w:rPr>
            </w:pPr>
            <w:r>
              <w:rPr>
                <w:rFonts w:ascii="宋体" w:hAnsi="宋体" w:cs="宋体" w:eastAsia="宋体" w:hint="default"/>
                <w:spacing w:val="-9"/>
                <w:sz w:val="18"/>
                <w:szCs w:val="18"/>
              </w:rPr>
              <w:t>（一）综合收</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益总额</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2"/>
              <w:ind w:left="54" w:right="0"/>
              <w:jc w:val="center"/>
              <w:rPr>
                <w:rFonts w:ascii="Times New Roman" w:hAnsi="Times New Roman" w:cs="Times New Roman" w:eastAsia="Times New Roman" w:hint="default"/>
                <w:sz w:val="18"/>
                <w:szCs w:val="18"/>
              </w:rPr>
            </w:pPr>
            <w:r>
              <w:rPr>
                <w:rFonts w:ascii="Times New Roman"/>
                <w:sz w:val="18"/>
              </w:rPr>
              <w:t>621,</w:t>
            </w:r>
          </w:p>
          <w:p>
            <w:pPr>
              <w:pStyle w:val="TableParagraph"/>
              <w:spacing w:line="240" w:lineRule="auto" w:before="100"/>
              <w:ind w:left="54" w:right="0"/>
              <w:jc w:val="center"/>
              <w:rPr>
                <w:rFonts w:ascii="Times New Roman" w:hAnsi="Times New Roman" w:cs="Times New Roman" w:eastAsia="Times New Roman" w:hint="default"/>
                <w:sz w:val="18"/>
                <w:szCs w:val="18"/>
              </w:rPr>
            </w:pPr>
            <w:r>
              <w:rPr>
                <w:rFonts w:ascii="Times New Roman"/>
                <w:sz w:val="18"/>
              </w:rPr>
              <w:t>831.</w:t>
            </w:r>
          </w:p>
          <w:p>
            <w:pPr>
              <w:pStyle w:val="TableParagraph"/>
              <w:spacing w:line="240" w:lineRule="auto" w:before="110"/>
              <w:ind w:left="197" w:right="0"/>
              <w:jc w:val="center"/>
              <w:rPr>
                <w:rFonts w:ascii="Times New Roman" w:hAnsi="Times New Roman" w:cs="Times New Roman" w:eastAsia="Times New Roman" w:hint="default"/>
                <w:sz w:val="18"/>
                <w:szCs w:val="18"/>
              </w:rPr>
            </w:pPr>
            <w:r>
              <w:rPr>
                <w:rFonts w:ascii="Times New Roman"/>
                <w:sz w:val="18"/>
              </w:rPr>
              <w:t>77</w:t>
            </w:r>
          </w:p>
        </w:tc>
        <w:tc>
          <w:tcPr>
            <w:tcW w:w="586"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58"/>
              <w:ind w:left="32" w:right="0"/>
              <w:jc w:val="center"/>
              <w:rPr>
                <w:rFonts w:ascii="Arial" w:hAnsi="Arial" w:cs="Arial" w:eastAsia="Arial" w:hint="default"/>
                <w:sz w:val="20"/>
                <w:szCs w:val="20"/>
              </w:rPr>
            </w:pPr>
            <w:r>
              <w:rPr>
                <w:rFonts w:ascii="Arial"/>
                <w:spacing w:val="-2"/>
                <w:sz w:val="20"/>
              </w:rPr>
              <w:t>182</w:t>
            </w:r>
            <w:r>
              <w:rPr>
                <w:rFonts w:ascii="Arial"/>
                <w:sz w:val="20"/>
              </w:rPr>
            </w:r>
          </w:p>
          <w:p>
            <w:pPr>
              <w:pStyle w:val="TableParagraph"/>
              <w:spacing w:line="240" w:lineRule="auto" w:before="82"/>
              <w:ind w:left="196" w:right="0"/>
              <w:jc w:val="left"/>
              <w:rPr>
                <w:rFonts w:ascii="Arial" w:hAnsi="Arial" w:cs="Arial" w:eastAsia="Arial" w:hint="default"/>
                <w:sz w:val="20"/>
                <w:szCs w:val="20"/>
              </w:rPr>
            </w:pPr>
            <w:r>
              <w:rPr>
                <w:rFonts w:ascii="Arial"/>
                <w:sz w:val="20"/>
              </w:rPr>
              <w:t>,22</w:t>
            </w:r>
          </w:p>
          <w:p>
            <w:pPr>
              <w:pStyle w:val="TableParagraph"/>
              <w:spacing w:line="240" w:lineRule="auto" w:before="82"/>
              <w:ind w:left="196" w:right="0"/>
              <w:jc w:val="left"/>
              <w:rPr>
                <w:rFonts w:ascii="Arial" w:hAnsi="Arial" w:cs="Arial" w:eastAsia="Arial" w:hint="default"/>
                <w:sz w:val="20"/>
                <w:szCs w:val="20"/>
              </w:rPr>
            </w:pPr>
            <w:r>
              <w:rPr>
                <w:rFonts w:ascii="Arial"/>
                <w:sz w:val="20"/>
              </w:rPr>
              <w:t>6,7</w:t>
            </w:r>
          </w:p>
          <w:p>
            <w:pPr>
              <w:pStyle w:val="TableParagraph"/>
              <w:spacing w:line="240" w:lineRule="auto" w:before="82"/>
              <w:ind w:left="196" w:right="0"/>
              <w:jc w:val="left"/>
              <w:rPr>
                <w:rFonts w:ascii="Arial" w:hAnsi="Arial" w:cs="Arial" w:eastAsia="Arial" w:hint="default"/>
                <w:sz w:val="20"/>
                <w:szCs w:val="20"/>
              </w:rPr>
            </w:pPr>
            <w:r>
              <w:rPr>
                <w:rFonts w:ascii="Arial"/>
                <w:spacing w:val="-2"/>
                <w:sz w:val="20"/>
              </w:rPr>
              <w:t>54.</w:t>
            </w:r>
            <w:r>
              <w:rPr>
                <w:rFonts w:ascii="Arial"/>
                <w:sz w:val="20"/>
              </w:rPr>
            </w:r>
          </w:p>
          <w:p>
            <w:pPr>
              <w:pStyle w:val="TableParagraph"/>
              <w:spacing w:line="240" w:lineRule="auto" w:before="87"/>
              <w:ind w:left="152" w:right="0"/>
              <w:jc w:val="center"/>
              <w:rPr>
                <w:rFonts w:ascii="Arial" w:hAnsi="Arial" w:cs="Arial" w:eastAsia="Arial" w:hint="default"/>
                <w:sz w:val="20"/>
                <w:szCs w:val="20"/>
              </w:rPr>
            </w:pPr>
            <w:r>
              <w:rPr>
                <w:rFonts w:ascii="Arial"/>
                <w:sz w:val="20"/>
              </w:rPr>
              <w:t>27</w:t>
            </w: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58"/>
              <w:ind w:left="28" w:right="0"/>
              <w:jc w:val="center"/>
              <w:rPr>
                <w:rFonts w:ascii="Arial" w:hAnsi="Arial" w:cs="Arial" w:eastAsia="Arial" w:hint="default"/>
                <w:sz w:val="20"/>
                <w:szCs w:val="20"/>
              </w:rPr>
            </w:pPr>
            <w:r>
              <w:rPr>
                <w:rFonts w:ascii="Arial"/>
                <w:spacing w:val="-2"/>
                <w:sz w:val="20"/>
              </w:rPr>
              <w:t>182</w:t>
            </w:r>
            <w:r>
              <w:rPr>
                <w:rFonts w:ascii="Arial"/>
                <w:sz w:val="20"/>
              </w:rPr>
            </w:r>
          </w:p>
          <w:p>
            <w:pPr>
              <w:pStyle w:val="TableParagraph"/>
              <w:spacing w:line="240" w:lineRule="auto" w:before="82"/>
              <w:ind w:left="192" w:right="0"/>
              <w:jc w:val="left"/>
              <w:rPr>
                <w:rFonts w:ascii="Arial" w:hAnsi="Arial" w:cs="Arial" w:eastAsia="Arial" w:hint="default"/>
                <w:sz w:val="20"/>
                <w:szCs w:val="20"/>
              </w:rPr>
            </w:pPr>
            <w:r>
              <w:rPr>
                <w:rFonts w:ascii="Arial"/>
                <w:sz w:val="20"/>
              </w:rPr>
              <w:t>,84</w:t>
            </w:r>
          </w:p>
          <w:p>
            <w:pPr>
              <w:pStyle w:val="TableParagraph"/>
              <w:spacing w:line="240" w:lineRule="auto" w:before="82"/>
              <w:ind w:left="192" w:right="0"/>
              <w:jc w:val="left"/>
              <w:rPr>
                <w:rFonts w:ascii="Arial" w:hAnsi="Arial" w:cs="Arial" w:eastAsia="Arial" w:hint="default"/>
                <w:sz w:val="20"/>
                <w:szCs w:val="20"/>
              </w:rPr>
            </w:pPr>
            <w:r>
              <w:rPr>
                <w:rFonts w:ascii="Arial"/>
                <w:sz w:val="20"/>
              </w:rPr>
              <w:t>8,5</w:t>
            </w:r>
          </w:p>
          <w:p>
            <w:pPr>
              <w:pStyle w:val="TableParagraph"/>
              <w:spacing w:line="240" w:lineRule="auto" w:before="82"/>
              <w:ind w:left="192" w:right="0"/>
              <w:jc w:val="left"/>
              <w:rPr>
                <w:rFonts w:ascii="Arial" w:hAnsi="Arial" w:cs="Arial" w:eastAsia="Arial" w:hint="default"/>
                <w:sz w:val="20"/>
                <w:szCs w:val="20"/>
              </w:rPr>
            </w:pPr>
            <w:r>
              <w:rPr>
                <w:rFonts w:ascii="Arial"/>
                <w:spacing w:val="-2"/>
                <w:sz w:val="20"/>
              </w:rPr>
              <w:t>86.</w:t>
            </w:r>
            <w:r>
              <w:rPr>
                <w:rFonts w:ascii="Arial"/>
                <w:sz w:val="20"/>
              </w:rPr>
            </w:r>
          </w:p>
          <w:p>
            <w:pPr>
              <w:pStyle w:val="TableParagraph"/>
              <w:spacing w:line="240" w:lineRule="auto" w:before="87"/>
              <w:ind w:left="148" w:right="0"/>
              <w:jc w:val="center"/>
              <w:rPr>
                <w:rFonts w:ascii="Arial" w:hAnsi="Arial" w:cs="Arial" w:eastAsia="Arial" w:hint="default"/>
                <w:sz w:val="20"/>
                <w:szCs w:val="20"/>
              </w:rPr>
            </w:pPr>
            <w:r>
              <w:rPr>
                <w:rFonts w:ascii="Arial"/>
                <w:sz w:val="20"/>
              </w:rPr>
              <w:t>04</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27"/>
                <w:szCs w:val="27"/>
              </w:rPr>
            </w:pPr>
          </w:p>
          <w:p>
            <w:pPr>
              <w:pStyle w:val="TableParagraph"/>
              <w:spacing w:line="240" w:lineRule="auto"/>
              <w:ind w:left="139" w:right="0"/>
              <w:jc w:val="left"/>
              <w:rPr>
                <w:rFonts w:ascii="Arial" w:hAnsi="Arial" w:cs="Arial" w:eastAsia="Arial" w:hint="default"/>
                <w:sz w:val="20"/>
                <w:szCs w:val="20"/>
              </w:rPr>
            </w:pPr>
            <w:r>
              <w:rPr>
                <w:rFonts w:ascii="Arial"/>
                <w:spacing w:val="-2"/>
                <w:sz w:val="20"/>
              </w:rPr>
              <w:t>745</w:t>
            </w:r>
            <w:r>
              <w:rPr>
                <w:rFonts w:ascii="Arial"/>
                <w:sz w:val="20"/>
              </w:rPr>
            </w:r>
          </w:p>
          <w:p>
            <w:pPr>
              <w:pStyle w:val="TableParagraph"/>
              <w:spacing w:line="240" w:lineRule="auto" w:before="82"/>
              <w:ind w:left="97" w:right="0"/>
              <w:jc w:val="center"/>
              <w:rPr>
                <w:rFonts w:ascii="Arial" w:hAnsi="Arial" w:cs="Arial" w:eastAsia="Arial" w:hint="default"/>
                <w:sz w:val="20"/>
                <w:szCs w:val="20"/>
              </w:rPr>
            </w:pPr>
            <w:r>
              <w:rPr>
                <w:rFonts w:ascii="Arial"/>
                <w:sz w:val="20"/>
              </w:rPr>
              <w:t>,60</w:t>
            </w:r>
          </w:p>
          <w:p>
            <w:pPr>
              <w:pStyle w:val="TableParagraph"/>
              <w:spacing w:line="240" w:lineRule="auto" w:before="82"/>
              <w:ind w:left="97" w:right="0"/>
              <w:jc w:val="center"/>
              <w:rPr>
                <w:rFonts w:ascii="Arial" w:hAnsi="Arial" w:cs="Arial" w:eastAsia="Arial" w:hint="default"/>
                <w:sz w:val="20"/>
                <w:szCs w:val="20"/>
              </w:rPr>
            </w:pPr>
            <w:r>
              <w:rPr>
                <w:rFonts w:ascii="Arial"/>
                <w:sz w:val="20"/>
              </w:rPr>
              <w:t>0.2</w:t>
            </w:r>
          </w:p>
          <w:p>
            <w:pPr>
              <w:pStyle w:val="TableParagraph"/>
              <w:spacing w:line="240" w:lineRule="auto" w:before="87"/>
              <w:ind w:left="265" w:right="0"/>
              <w:jc w:val="center"/>
              <w:rPr>
                <w:rFonts w:ascii="Arial" w:hAnsi="Arial" w:cs="Arial" w:eastAsia="Arial" w:hint="default"/>
                <w:sz w:val="20"/>
                <w:szCs w:val="20"/>
              </w:rPr>
            </w:pPr>
            <w:r>
              <w:rPr>
                <w:rFonts w:ascii="Arial"/>
                <w:w w:val="100"/>
                <w:sz w:val="20"/>
              </w:rPr>
              <w:t>1</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58"/>
              <w:ind w:left="23" w:right="0"/>
              <w:jc w:val="center"/>
              <w:rPr>
                <w:rFonts w:ascii="Arial" w:hAnsi="Arial" w:cs="Arial" w:eastAsia="Arial" w:hint="default"/>
                <w:sz w:val="20"/>
                <w:szCs w:val="20"/>
              </w:rPr>
            </w:pPr>
            <w:r>
              <w:rPr>
                <w:rFonts w:ascii="Arial"/>
                <w:spacing w:val="-2"/>
                <w:sz w:val="20"/>
              </w:rPr>
              <w:t>183</w:t>
            </w:r>
            <w:r>
              <w:rPr>
                <w:rFonts w:ascii="Arial"/>
                <w:sz w:val="20"/>
              </w:rPr>
            </w:r>
          </w:p>
          <w:p>
            <w:pPr>
              <w:pStyle w:val="TableParagraph"/>
              <w:spacing w:line="240" w:lineRule="auto" w:before="82"/>
              <w:ind w:left="187" w:right="0"/>
              <w:jc w:val="left"/>
              <w:rPr>
                <w:rFonts w:ascii="Arial" w:hAnsi="Arial" w:cs="Arial" w:eastAsia="Arial" w:hint="default"/>
                <w:sz w:val="20"/>
                <w:szCs w:val="20"/>
              </w:rPr>
            </w:pPr>
            <w:r>
              <w:rPr>
                <w:rFonts w:ascii="Arial"/>
                <w:sz w:val="20"/>
              </w:rPr>
              <w:t>,59</w:t>
            </w:r>
          </w:p>
          <w:p>
            <w:pPr>
              <w:pStyle w:val="TableParagraph"/>
              <w:spacing w:line="240" w:lineRule="auto" w:before="82"/>
              <w:ind w:left="187" w:right="0"/>
              <w:jc w:val="left"/>
              <w:rPr>
                <w:rFonts w:ascii="Arial" w:hAnsi="Arial" w:cs="Arial" w:eastAsia="Arial" w:hint="default"/>
                <w:sz w:val="20"/>
                <w:szCs w:val="20"/>
              </w:rPr>
            </w:pPr>
            <w:r>
              <w:rPr>
                <w:rFonts w:ascii="Arial"/>
                <w:sz w:val="20"/>
              </w:rPr>
              <w:t>4,1</w:t>
            </w:r>
          </w:p>
          <w:p>
            <w:pPr>
              <w:pStyle w:val="TableParagraph"/>
              <w:spacing w:line="240" w:lineRule="auto" w:before="82"/>
              <w:ind w:left="187" w:right="0"/>
              <w:jc w:val="left"/>
              <w:rPr>
                <w:rFonts w:ascii="Arial" w:hAnsi="Arial" w:cs="Arial" w:eastAsia="Arial" w:hint="default"/>
                <w:sz w:val="20"/>
                <w:szCs w:val="20"/>
              </w:rPr>
            </w:pPr>
            <w:r>
              <w:rPr>
                <w:rFonts w:ascii="Arial"/>
                <w:spacing w:val="-2"/>
                <w:sz w:val="20"/>
              </w:rPr>
              <w:t>86.</w:t>
            </w:r>
            <w:r>
              <w:rPr>
                <w:rFonts w:ascii="Arial"/>
                <w:sz w:val="20"/>
              </w:rPr>
            </w:r>
          </w:p>
          <w:p>
            <w:pPr>
              <w:pStyle w:val="TableParagraph"/>
              <w:spacing w:line="240" w:lineRule="auto" w:before="87"/>
              <w:ind w:left="143" w:right="0"/>
              <w:jc w:val="center"/>
              <w:rPr>
                <w:rFonts w:ascii="Arial" w:hAnsi="Arial" w:cs="Arial" w:eastAsia="Arial" w:hint="default"/>
                <w:sz w:val="20"/>
                <w:szCs w:val="20"/>
              </w:rPr>
            </w:pPr>
            <w:r>
              <w:rPr>
                <w:rFonts w:ascii="Arial"/>
                <w:sz w:val="20"/>
              </w:rPr>
              <w:t>25</w:t>
            </w:r>
          </w:p>
        </w:tc>
      </w:tr>
      <w:tr>
        <w:trPr>
          <w:trHeight w:val="1959"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21" w:lineRule="auto" w:before="105"/>
              <w:ind w:left="105" w:right="94"/>
              <w:jc w:val="left"/>
              <w:rPr>
                <w:rFonts w:ascii="宋体" w:hAnsi="宋体" w:cs="宋体" w:eastAsia="宋体" w:hint="default"/>
                <w:sz w:val="18"/>
                <w:szCs w:val="18"/>
              </w:rPr>
            </w:pPr>
            <w:r>
              <w:rPr>
                <w:rFonts w:ascii="宋体" w:hAnsi="宋体" w:cs="宋体" w:eastAsia="宋体" w:hint="default"/>
                <w:spacing w:val="-9"/>
                <w:sz w:val="18"/>
                <w:szCs w:val="18"/>
              </w:rPr>
              <w:t>（二）所有者</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投入和减少</w:t>
            </w:r>
            <w:r>
              <w:rPr>
                <w:rFonts w:ascii="宋体" w:hAnsi="宋体" w:cs="宋体" w:eastAsia="宋体" w:hint="default"/>
                <w:w w:val="101"/>
                <w:sz w:val="18"/>
                <w:szCs w:val="18"/>
              </w:rPr>
              <w:t> </w:t>
            </w:r>
            <w:r>
              <w:rPr>
                <w:rFonts w:ascii="宋体" w:hAnsi="宋体" w:cs="宋体" w:eastAsia="宋体" w:hint="default"/>
                <w:sz w:val="18"/>
                <w:szCs w:val="18"/>
              </w:rPr>
              <w:t>资本</w:t>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left="19" w:right="0"/>
              <w:jc w:val="center"/>
              <w:rPr>
                <w:rFonts w:ascii="Times New Roman" w:hAnsi="Times New Roman" w:cs="Times New Roman" w:eastAsia="Times New Roman" w:hint="default"/>
                <w:sz w:val="18"/>
                <w:szCs w:val="18"/>
              </w:rPr>
            </w:pPr>
            <w:r>
              <w:rPr>
                <w:rFonts w:ascii="Times New Roman"/>
                <w:sz w:val="18"/>
              </w:rPr>
              <w:t>822</w:t>
            </w:r>
          </w:p>
          <w:p>
            <w:pPr>
              <w:pStyle w:val="TableParagraph"/>
              <w:spacing w:line="240" w:lineRule="auto" w:before="100"/>
              <w:ind w:left="62" w:right="0"/>
              <w:jc w:val="center"/>
              <w:rPr>
                <w:rFonts w:ascii="Times New Roman" w:hAnsi="Times New Roman" w:cs="Times New Roman" w:eastAsia="Times New Roman" w:hint="default"/>
                <w:sz w:val="18"/>
                <w:szCs w:val="18"/>
              </w:rPr>
            </w:pPr>
            <w:r>
              <w:rPr>
                <w:rFonts w:ascii="Times New Roman"/>
                <w:sz w:val="18"/>
              </w:rPr>
              <w:t>,25</w:t>
            </w:r>
          </w:p>
          <w:p>
            <w:pPr>
              <w:pStyle w:val="TableParagraph"/>
              <w:spacing w:line="240" w:lineRule="auto" w:before="105"/>
              <w:ind w:left="62" w:right="0"/>
              <w:jc w:val="center"/>
              <w:rPr>
                <w:rFonts w:ascii="Times New Roman" w:hAnsi="Times New Roman" w:cs="Times New Roman" w:eastAsia="Times New Roman" w:hint="default"/>
                <w:sz w:val="18"/>
                <w:szCs w:val="18"/>
              </w:rPr>
            </w:pPr>
            <w:r>
              <w:rPr>
                <w:rFonts w:ascii="Times New Roman"/>
                <w:sz w:val="18"/>
              </w:rPr>
              <w:t>0.0</w:t>
            </w:r>
          </w:p>
          <w:p>
            <w:pPr>
              <w:pStyle w:val="TableParagraph"/>
              <w:spacing w:line="240" w:lineRule="auto" w:before="110"/>
              <w:ind w:left="192" w:right="0"/>
              <w:jc w:val="center"/>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left="149" w:right="0"/>
              <w:jc w:val="left"/>
              <w:rPr>
                <w:rFonts w:ascii="Times New Roman" w:hAnsi="Times New Roman" w:cs="Times New Roman" w:eastAsia="Times New Roman" w:hint="default"/>
                <w:sz w:val="18"/>
                <w:szCs w:val="18"/>
              </w:rPr>
            </w:pPr>
            <w:r>
              <w:rPr>
                <w:rFonts w:ascii="Times New Roman"/>
                <w:sz w:val="18"/>
              </w:rPr>
              <w:t>3,71</w:t>
            </w:r>
          </w:p>
          <w:p>
            <w:pPr>
              <w:pStyle w:val="TableParagraph"/>
              <w:spacing w:line="240" w:lineRule="auto" w:before="105"/>
              <w:ind w:left="149" w:right="0"/>
              <w:jc w:val="left"/>
              <w:rPr>
                <w:rFonts w:ascii="Times New Roman" w:hAnsi="Times New Roman" w:cs="Times New Roman" w:eastAsia="Times New Roman" w:hint="default"/>
                <w:sz w:val="18"/>
                <w:szCs w:val="18"/>
              </w:rPr>
            </w:pPr>
            <w:r>
              <w:rPr>
                <w:rFonts w:ascii="Times New Roman"/>
                <w:sz w:val="18"/>
              </w:rPr>
              <w:t>0,60</w:t>
            </w:r>
          </w:p>
          <w:p>
            <w:pPr>
              <w:pStyle w:val="TableParagraph"/>
              <w:spacing w:line="240" w:lineRule="auto" w:before="110"/>
              <w:ind w:left="149" w:right="0"/>
              <w:jc w:val="left"/>
              <w:rPr>
                <w:rFonts w:ascii="Times New Roman" w:hAnsi="Times New Roman" w:cs="Times New Roman" w:eastAsia="Times New Roman" w:hint="default"/>
                <w:sz w:val="18"/>
                <w:szCs w:val="18"/>
              </w:rPr>
            </w:pPr>
            <w:r>
              <w:rPr>
                <w:rFonts w:ascii="Times New Roman"/>
                <w:sz w:val="18"/>
              </w:rPr>
              <w:t>2.94</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left="95" w:right="0"/>
              <w:jc w:val="center"/>
              <w:rPr>
                <w:rFonts w:ascii="Times New Roman" w:hAnsi="Times New Roman" w:cs="Times New Roman" w:eastAsia="Times New Roman" w:hint="default"/>
                <w:sz w:val="18"/>
                <w:szCs w:val="18"/>
              </w:rPr>
            </w:pPr>
            <w:r>
              <w:rPr>
                <w:rFonts w:ascii="Times New Roman"/>
                <w:sz w:val="18"/>
              </w:rPr>
              <w:t>-5,1</w:t>
            </w:r>
          </w:p>
          <w:p>
            <w:pPr>
              <w:pStyle w:val="TableParagraph"/>
              <w:spacing w:line="240" w:lineRule="auto" w:before="100"/>
              <w:ind w:left="158" w:right="0"/>
              <w:jc w:val="left"/>
              <w:rPr>
                <w:rFonts w:ascii="Times New Roman" w:hAnsi="Times New Roman" w:cs="Times New Roman" w:eastAsia="Times New Roman" w:hint="default"/>
                <w:sz w:val="18"/>
                <w:szCs w:val="18"/>
              </w:rPr>
            </w:pPr>
            <w:r>
              <w:rPr>
                <w:rFonts w:ascii="Times New Roman"/>
                <w:sz w:val="18"/>
              </w:rPr>
              <w:t>35,2</w:t>
            </w:r>
          </w:p>
          <w:p>
            <w:pPr>
              <w:pStyle w:val="TableParagraph"/>
              <w:spacing w:line="240" w:lineRule="auto" w:before="105"/>
              <w:ind w:left="158" w:right="0"/>
              <w:jc w:val="left"/>
              <w:rPr>
                <w:rFonts w:ascii="Times New Roman" w:hAnsi="Times New Roman" w:cs="Times New Roman" w:eastAsia="Times New Roman" w:hint="default"/>
                <w:sz w:val="18"/>
                <w:szCs w:val="18"/>
              </w:rPr>
            </w:pPr>
            <w:r>
              <w:rPr>
                <w:rFonts w:ascii="Times New Roman"/>
                <w:sz w:val="18"/>
              </w:rPr>
              <w:t>80.0</w:t>
            </w:r>
          </w:p>
          <w:p>
            <w:pPr>
              <w:pStyle w:val="TableParagraph"/>
              <w:spacing w:line="240" w:lineRule="auto" w:before="110"/>
              <w:ind w:left="283" w:right="0"/>
              <w:jc w:val="center"/>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27"/>
                <w:szCs w:val="27"/>
              </w:rPr>
            </w:pPr>
          </w:p>
          <w:p>
            <w:pPr>
              <w:pStyle w:val="TableParagraph"/>
              <w:spacing w:line="240" w:lineRule="auto"/>
              <w:ind w:left="192" w:right="0"/>
              <w:jc w:val="left"/>
              <w:rPr>
                <w:rFonts w:ascii="Arial" w:hAnsi="Arial" w:cs="Arial" w:eastAsia="Arial" w:hint="default"/>
                <w:sz w:val="20"/>
                <w:szCs w:val="20"/>
              </w:rPr>
            </w:pPr>
            <w:r>
              <w:rPr>
                <w:rFonts w:ascii="Arial"/>
                <w:sz w:val="20"/>
              </w:rPr>
              <w:t>9,6</w:t>
            </w:r>
          </w:p>
          <w:p>
            <w:pPr>
              <w:pStyle w:val="TableParagraph"/>
              <w:spacing w:line="240" w:lineRule="auto" w:before="82"/>
              <w:ind w:left="192" w:right="0"/>
              <w:jc w:val="left"/>
              <w:rPr>
                <w:rFonts w:ascii="Arial" w:hAnsi="Arial" w:cs="Arial" w:eastAsia="Arial" w:hint="default"/>
                <w:sz w:val="20"/>
                <w:szCs w:val="20"/>
              </w:rPr>
            </w:pPr>
            <w:r>
              <w:rPr>
                <w:rFonts w:ascii="Arial"/>
                <w:spacing w:val="-2"/>
                <w:sz w:val="20"/>
              </w:rPr>
              <w:t>68,</w:t>
            </w:r>
            <w:r>
              <w:rPr>
                <w:rFonts w:ascii="Arial"/>
                <w:sz w:val="20"/>
              </w:rPr>
            </w:r>
          </w:p>
          <w:p>
            <w:pPr>
              <w:pStyle w:val="TableParagraph"/>
              <w:spacing w:line="240" w:lineRule="auto" w:before="82"/>
              <w:ind w:left="134" w:right="0"/>
              <w:jc w:val="left"/>
              <w:rPr>
                <w:rFonts w:ascii="Arial" w:hAnsi="Arial" w:cs="Arial" w:eastAsia="Arial" w:hint="default"/>
                <w:sz w:val="20"/>
                <w:szCs w:val="20"/>
              </w:rPr>
            </w:pPr>
            <w:r>
              <w:rPr>
                <w:rFonts w:ascii="Arial"/>
                <w:spacing w:val="-2"/>
                <w:sz w:val="20"/>
              </w:rPr>
              <w:t>132</w:t>
            </w:r>
            <w:r>
              <w:rPr>
                <w:rFonts w:ascii="Arial"/>
                <w:sz w:val="20"/>
              </w:rPr>
            </w:r>
          </w:p>
          <w:p>
            <w:pPr>
              <w:pStyle w:val="TableParagraph"/>
              <w:spacing w:line="240" w:lineRule="auto" w:before="87"/>
              <w:ind w:left="192" w:right="0"/>
              <w:jc w:val="left"/>
              <w:rPr>
                <w:rFonts w:ascii="Arial" w:hAnsi="Arial" w:cs="Arial" w:eastAsia="Arial" w:hint="default"/>
                <w:sz w:val="20"/>
                <w:szCs w:val="20"/>
              </w:rPr>
            </w:pPr>
            <w:r>
              <w:rPr>
                <w:rFonts w:ascii="Arial"/>
                <w:sz w:val="20"/>
              </w:rPr>
              <w:t>.94</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27"/>
                <w:szCs w:val="27"/>
              </w:rPr>
            </w:pPr>
          </w:p>
          <w:p>
            <w:pPr>
              <w:pStyle w:val="TableParagraph"/>
              <w:spacing w:line="240" w:lineRule="auto"/>
              <w:ind w:left="196" w:right="0"/>
              <w:jc w:val="left"/>
              <w:rPr>
                <w:rFonts w:ascii="Arial" w:hAnsi="Arial" w:cs="Arial" w:eastAsia="Arial" w:hint="default"/>
                <w:sz w:val="20"/>
                <w:szCs w:val="20"/>
              </w:rPr>
            </w:pPr>
            <w:r>
              <w:rPr>
                <w:rFonts w:ascii="Arial"/>
                <w:sz w:val="20"/>
              </w:rPr>
              <w:t>1,2</w:t>
            </w:r>
          </w:p>
          <w:p>
            <w:pPr>
              <w:pStyle w:val="TableParagraph"/>
              <w:spacing w:line="240" w:lineRule="auto" w:before="82"/>
              <w:ind w:left="196" w:right="0"/>
              <w:jc w:val="left"/>
              <w:rPr>
                <w:rFonts w:ascii="Arial" w:hAnsi="Arial" w:cs="Arial" w:eastAsia="Arial" w:hint="default"/>
                <w:sz w:val="20"/>
                <w:szCs w:val="20"/>
              </w:rPr>
            </w:pPr>
            <w:r>
              <w:rPr>
                <w:rFonts w:ascii="Arial"/>
                <w:spacing w:val="-2"/>
                <w:sz w:val="20"/>
              </w:rPr>
              <w:t>36,</w:t>
            </w:r>
            <w:r>
              <w:rPr>
                <w:rFonts w:ascii="Arial"/>
                <w:sz w:val="20"/>
              </w:rPr>
            </w:r>
          </w:p>
          <w:p>
            <w:pPr>
              <w:pStyle w:val="TableParagraph"/>
              <w:spacing w:line="240" w:lineRule="auto" w:before="82"/>
              <w:ind w:left="139" w:right="0"/>
              <w:jc w:val="left"/>
              <w:rPr>
                <w:rFonts w:ascii="Arial" w:hAnsi="Arial" w:cs="Arial" w:eastAsia="Arial" w:hint="default"/>
                <w:sz w:val="20"/>
                <w:szCs w:val="20"/>
              </w:rPr>
            </w:pPr>
            <w:r>
              <w:rPr>
                <w:rFonts w:ascii="Arial"/>
                <w:spacing w:val="-2"/>
                <w:sz w:val="20"/>
              </w:rPr>
              <w:t>779</w:t>
            </w:r>
            <w:r>
              <w:rPr>
                <w:rFonts w:ascii="Arial"/>
                <w:sz w:val="20"/>
              </w:rPr>
            </w:r>
          </w:p>
          <w:p>
            <w:pPr>
              <w:pStyle w:val="TableParagraph"/>
              <w:spacing w:line="240" w:lineRule="auto" w:before="87"/>
              <w:ind w:left="196" w:right="0"/>
              <w:jc w:val="left"/>
              <w:rPr>
                <w:rFonts w:ascii="Arial" w:hAnsi="Arial" w:cs="Arial" w:eastAsia="Arial" w:hint="default"/>
                <w:sz w:val="20"/>
                <w:szCs w:val="20"/>
              </w:rPr>
            </w:pPr>
            <w:r>
              <w:rPr>
                <w:rFonts w:ascii="Arial"/>
                <w:sz w:val="20"/>
              </w:rPr>
              <w:t>.00</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58"/>
              <w:ind w:left="83" w:right="0"/>
              <w:jc w:val="center"/>
              <w:rPr>
                <w:rFonts w:ascii="Arial" w:hAnsi="Arial" w:cs="Arial" w:eastAsia="Arial" w:hint="default"/>
                <w:sz w:val="20"/>
                <w:szCs w:val="20"/>
              </w:rPr>
            </w:pPr>
            <w:r>
              <w:rPr>
                <w:rFonts w:ascii="Arial"/>
                <w:spacing w:val="-2"/>
                <w:sz w:val="20"/>
              </w:rPr>
              <w:t>10,</w:t>
            </w:r>
            <w:r>
              <w:rPr>
                <w:rFonts w:ascii="Arial"/>
                <w:sz w:val="20"/>
              </w:rPr>
            </w:r>
          </w:p>
          <w:p>
            <w:pPr>
              <w:pStyle w:val="TableParagraph"/>
              <w:spacing w:line="240" w:lineRule="auto" w:before="82"/>
              <w:ind w:left="129" w:right="0"/>
              <w:jc w:val="left"/>
              <w:rPr>
                <w:rFonts w:ascii="Arial" w:hAnsi="Arial" w:cs="Arial" w:eastAsia="Arial" w:hint="default"/>
                <w:sz w:val="20"/>
                <w:szCs w:val="20"/>
              </w:rPr>
            </w:pPr>
            <w:r>
              <w:rPr>
                <w:rFonts w:ascii="Arial"/>
                <w:spacing w:val="-2"/>
                <w:sz w:val="20"/>
              </w:rPr>
              <w:t>904</w:t>
            </w:r>
            <w:r>
              <w:rPr>
                <w:rFonts w:ascii="Arial"/>
                <w:sz w:val="20"/>
              </w:rPr>
            </w:r>
          </w:p>
          <w:p>
            <w:pPr>
              <w:pStyle w:val="TableParagraph"/>
              <w:spacing w:line="240" w:lineRule="auto" w:before="82"/>
              <w:ind w:left="116" w:right="0"/>
              <w:jc w:val="center"/>
              <w:rPr>
                <w:rFonts w:ascii="Arial" w:hAnsi="Arial" w:cs="Arial" w:eastAsia="Arial" w:hint="default"/>
                <w:sz w:val="20"/>
                <w:szCs w:val="20"/>
              </w:rPr>
            </w:pPr>
            <w:r>
              <w:rPr>
                <w:rFonts w:ascii="Arial"/>
                <w:sz w:val="20"/>
              </w:rPr>
              <w:t>,91</w:t>
            </w:r>
          </w:p>
          <w:p>
            <w:pPr>
              <w:pStyle w:val="TableParagraph"/>
              <w:spacing w:line="240" w:lineRule="auto" w:before="82"/>
              <w:ind w:left="88" w:right="0"/>
              <w:jc w:val="center"/>
              <w:rPr>
                <w:rFonts w:ascii="Arial" w:hAnsi="Arial" w:cs="Arial" w:eastAsia="Arial" w:hint="default"/>
                <w:sz w:val="20"/>
                <w:szCs w:val="20"/>
              </w:rPr>
            </w:pPr>
            <w:r>
              <w:rPr>
                <w:rFonts w:ascii="Arial"/>
                <w:sz w:val="20"/>
              </w:rPr>
              <w:t>1.9</w:t>
            </w:r>
          </w:p>
          <w:p>
            <w:pPr>
              <w:pStyle w:val="TableParagraph"/>
              <w:spacing w:line="240" w:lineRule="auto" w:before="87"/>
              <w:ind w:left="256" w:right="0"/>
              <w:jc w:val="center"/>
              <w:rPr>
                <w:rFonts w:ascii="Arial" w:hAnsi="Arial" w:cs="Arial" w:eastAsia="Arial" w:hint="default"/>
                <w:sz w:val="20"/>
                <w:szCs w:val="20"/>
              </w:rPr>
            </w:pPr>
            <w:r>
              <w:rPr>
                <w:rFonts w:ascii="Arial"/>
                <w:w w:val="100"/>
                <w:sz w:val="20"/>
              </w:rPr>
              <w:t>4</w:t>
            </w:r>
          </w:p>
        </w:tc>
      </w:tr>
      <w:tr>
        <w:trPr>
          <w:trHeight w:val="1340"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300" w:lineRule="auto"/>
              <w:ind w:left="105" w:right="142"/>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．所有者投</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入的普通股</w:t>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58" w:right="0"/>
              <w:jc w:val="left"/>
              <w:rPr>
                <w:rFonts w:ascii="Times New Roman" w:hAnsi="Times New Roman" w:cs="Times New Roman" w:eastAsia="Times New Roman" w:hint="default"/>
                <w:sz w:val="18"/>
                <w:szCs w:val="18"/>
              </w:rPr>
            </w:pPr>
            <w:r>
              <w:rPr>
                <w:rFonts w:ascii="Times New Roman"/>
                <w:sz w:val="18"/>
              </w:rPr>
              <w:t>1,0</w:t>
            </w:r>
          </w:p>
          <w:p>
            <w:pPr>
              <w:pStyle w:val="TableParagraph"/>
              <w:spacing w:line="240" w:lineRule="auto" w:before="101"/>
              <w:ind w:left="158" w:right="0"/>
              <w:jc w:val="left"/>
              <w:rPr>
                <w:rFonts w:ascii="Times New Roman" w:hAnsi="Times New Roman" w:cs="Times New Roman" w:eastAsia="Times New Roman" w:hint="default"/>
                <w:sz w:val="18"/>
                <w:szCs w:val="18"/>
              </w:rPr>
            </w:pPr>
            <w:r>
              <w:rPr>
                <w:rFonts w:ascii="Times New Roman"/>
                <w:sz w:val="18"/>
              </w:rPr>
              <w:t>00,</w:t>
            </w:r>
          </w:p>
          <w:p>
            <w:pPr>
              <w:pStyle w:val="TableParagraph"/>
              <w:spacing w:line="240" w:lineRule="auto" w:before="105"/>
              <w:ind w:left="115" w:right="0"/>
              <w:jc w:val="left"/>
              <w:rPr>
                <w:rFonts w:ascii="Times New Roman" w:hAnsi="Times New Roman" w:cs="Times New Roman" w:eastAsia="Times New Roman" w:hint="default"/>
                <w:sz w:val="18"/>
                <w:szCs w:val="18"/>
              </w:rPr>
            </w:pPr>
            <w:r>
              <w:rPr>
                <w:rFonts w:ascii="Times New Roman"/>
                <w:sz w:val="18"/>
              </w:rPr>
              <w:t>000</w:t>
            </w:r>
          </w:p>
          <w:p>
            <w:pPr>
              <w:pStyle w:val="TableParagraph"/>
              <w:spacing w:line="240" w:lineRule="auto" w:before="110"/>
              <w:ind w:left="158" w:right="0"/>
              <w:jc w:val="left"/>
              <w:rPr>
                <w:rFonts w:ascii="Times New Roman" w:hAnsi="Times New Roman" w:cs="Times New Roman" w:eastAsia="Times New Roman" w:hint="default"/>
                <w:sz w:val="18"/>
                <w:szCs w:val="18"/>
              </w:rPr>
            </w:pPr>
            <w:r>
              <w:rPr>
                <w:rFonts w:ascii="Times New Roman"/>
                <w:sz w:val="18"/>
              </w:rPr>
              <w:t>.00</w:t>
            </w: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149" w:right="0"/>
              <w:jc w:val="left"/>
              <w:rPr>
                <w:rFonts w:ascii="Times New Roman" w:hAnsi="Times New Roman" w:cs="Times New Roman" w:eastAsia="Times New Roman" w:hint="default"/>
                <w:sz w:val="18"/>
                <w:szCs w:val="18"/>
              </w:rPr>
            </w:pPr>
            <w:r>
              <w:rPr>
                <w:rFonts w:ascii="Times New Roman"/>
                <w:sz w:val="18"/>
              </w:rPr>
              <w:t>1,94</w:t>
            </w:r>
          </w:p>
          <w:p>
            <w:pPr>
              <w:pStyle w:val="TableParagraph"/>
              <w:spacing w:line="240" w:lineRule="auto" w:before="101"/>
              <w:ind w:left="149" w:right="0"/>
              <w:jc w:val="left"/>
              <w:rPr>
                <w:rFonts w:ascii="Times New Roman" w:hAnsi="Times New Roman" w:cs="Times New Roman" w:eastAsia="Times New Roman" w:hint="default"/>
                <w:sz w:val="18"/>
                <w:szCs w:val="18"/>
              </w:rPr>
            </w:pPr>
            <w:r>
              <w:rPr>
                <w:rFonts w:ascii="Times New Roman"/>
                <w:sz w:val="18"/>
              </w:rPr>
              <w:t>0,00</w:t>
            </w:r>
          </w:p>
          <w:p>
            <w:pPr>
              <w:pStyle w:val="TableParagraph"/>
              <w:spacing w:line="240" w:lineRule="auto" w:before="110"/>
              <w:ind w:left="149" w:right="0"/>
              <w:jc w:val="left"/>
              <w:rPr>
                <w:rFonts w:ascii="Times New Roman" w:hAnsi="Times New Roman" w:cs="Times New Roman" w:eastAsia="Times New Roman" w:hint="default"/>
                <w:sz w:val="18"/>
                <w:szCs w:val="18"/>
              </w:rPr>
            </w:pPr>
            <w:r>
              <w:rPr>
                <w:rFonts w:ascii="Times New Roman"/>
                <w:sz w:val="18"/>
              </w:rPr>
              <w:t>0.00</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158" w:right="0"/>
              <w:jc w:val="left"/>
              <w:rPr>
                <w:rFonts w:ascii="Times New Roman" w:hAnsi="Times New Roman" w:cs="Times New Roman" w:eastAsia="Times New Roman" w:hint="default"/>
                <w:sz w:val="18"/>
                <w:szCs w:val="18"/>
              </w:rPr>
            </w:pPr>
            <w:r>
              <w:rPr>
                <w:rFonts w:ascii="Times New Roman"/>
                <w:sz w:val="18"/>
              </w:rPr>
              <w:t>2,94</w:t>
            </w:r>
          </w:p>
          <w:p>
            <w:pPr>
              <w:pStyle w:val="TableParagraph"/>
              <w:spacing w:line="240" w:lineRule="auto" w:before="101"/>
              <w:ind w:left="158" w:right="0"/>
              <w:jc w:val="left"/>
              <w:rPr>
                <w:rFonts w:ascii="Times New Roman" w:hAnsi="Times New Roman" w:cs="Times New Roman" w:eastAsia="Times New Roman" w:hint="default"/>
                <w:sz w:val="18"/>
                <w:szCs w:val="18"/>
              </w:rPr>
            </w:pPr>
            <w:r>
              <w:rPr>
                <w:rFonts w:ascii="Times New Roman"/>
                <w:sz w:val="18"/>
              </w:rPr>
              <w:t>0,00</w:t>
            </w:r>
          </w:p>
          <w:p>
            <w:pPr>
              <w:pStyle w:val="TableParagraph"/>
              <w:spacing w:line="240" w:lineRule="auto" w:before="110"/>
              <w:ind w:left="158" w:right="0"/>
              <w:jc w:val="left"/>
              <w:rPr>
                <w:rFonts w:ascii="Times New Roman" w:hAnsi="Times New Roman" w:cs="Times New Roman" w:eastAsia="Times New Roman" w:hint="default"/>
                <w:sz w:val="18"/>
                <w:szCs w:val="18"/>
              </w:rPr>
            </w:pPr>
            <w:r>
              <w:rPr>
                <w:rFonts w:ascii="Times New Roman"/>
                <w:sz w:val="18"/>
              </w:rPr>
              <w:t>0.00</w:t>
            </w: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158" w:right="0"/>
              <w:jc w:val="left"/>
              <w:rPr>
                <w:rFonts w:ascii="Times New Roman" w:hAnsi="Times New Roman" w:cs="Times New Roman" w:eastAsia="Times New Roman" w:hint="default"/>
                <w:sz w:val="18"/>
                <w:szCs w:val="18"/>
              </w:rPr>
            </w:pPr>
            <w:r>
              <w:rPr>
                <w:rFonts w:ascii="Times New Roman"/>
                <w:sz w:val="18"/>
              </w:rPr>
              <w:t>1,23</w:t>
            </w:r>
          </w:p>
          <w:p>
            <w:pPr>
              <w:pStyle w:val="TableParagraph"/>
              <w:spacing w:line="240" w:lineRule="auto" w:before="101"/>
              <w:ind w:left="158" w:right="0"/>
              <w:jc w:val="left"/>
              <w:rPr>
                <w:rFonts w:ascii="Times New Roman" w:hAnsi="Times New Roman" w:cs="Times New Roman" w:eastAsia="Times New Roman" w:hint="default"/>
                <w:sz w:val="18"/>
                <w:szCs w:val="18"/>
              </w:rPr>
            </w:pPr>
            <w:r>
              <w:rPr>
                <w:rFonts w:ascii="Times New Roman"/>
                <w:sz w:val="18"/>
              </w:rPr>
              <w:t>6,77</w:t>
            </w:r>
          </w:p>
          <w:p>
            <w:pPr>
              <w:pStyle w:val="TableParagraph"/>
              <w:spacing w:line="240" w:lineRule="auto" w:before="110"/>
              <w:ind w:left="158" w:right="0"/>
              <w:jc w:val="left"/>
              <w:rPr>
                <w:rFonts w:ascii="Times New Roman" w:hAnsi="Times New Roman" w:cs="Times New Roman" w:eastAsia="Times New Roman" w:hint="default"/>
                <w:sz w:val="18"/>
                <w:szCs w:val="18"/>
              </w:rPr>
            </w:pPr>
            <w:r>
              <w:rPr>
                <w:rFonts w:ascii="Times New Roman"/>
                <w:sz w:val="18"/>
              </w:rPr>
              <w:t>9.00</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1,23</w:t>
            </w:r>
          </w:p>
          <w:p>
            <w:pPr>
              <w:pStyle w:val="TableParagraph"/>
              <w:spacing w:line="240" w:lineRule="auto" w:before="101"/>
              <w:ind w:left="148" w:right="0"/>
              <w:jc w:val="left"/>
              <w:rPr>
                <w:rFonts w:ascii="Times New Roman" w:hAnsi="Times New Roman" w:cs="Times New Roman" w:eastAsia="Times New Roman" w:hint="default"/>
                <w:sz w:val="18"/>
                <w:szCs w:val="18"/>
              </w:rPr>
            </w:pPr>
            <w:r>
              <w:rPr>
                <w:rFonts w:ascii="Times New Roman"/>
                <w:sz w:val="18"/>
              </w:rPr>
              <w:t>6,77</w:t>
            </w:r>
          </w:p>
          <w:p>
            <w:pPr>
              <w:pStyle w:val="TableParagraph"/>
              <w:spacing w:line="240" w:lineRule="auto" w:before="110"/>
              <w:ind w:left="148" w:right="0"/>
              <w:jc w:val="left"/>
              <w:rPr>
                <w:rFonts w:ascii="Times New Roman" w:hAnsi="Times New Roman" w:cs="Times New Roman" w:eastAsia="Times New Roman" w:hint="default"/>
                <w:sz w:val="18"/>
                <w:szCs w:val="18"/>
              </w:rPr>
            </w:pPr>
            <w:r>
              <w:rPr>
                <w:rFonts w:ascii="Times New Roman"/>
                <w:sz w:val="18"/>
              </w:rPr>
              <w:t>9.00</w:t>
            </w:r>
          </w:p>
        </w:tc>
      </w:tr>
      <w:tr>
        <w:trPr>
          <w:trHeight w:val="1028"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2" w:lineRule="auto" w:before="53"/>
              <w:ind w:left="105" w:right="142"/>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．其他权益</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工具持有者</w:t>
            </w:r>
            <w:r>
              <w:rPr>
                <w:rFonts w:ascii="宋体" w:hAnsi="宋体" w:cs="宋体" w:eastAsia="宋体" w:hint="default"/>
                <w:w w:val="101"/>
                <w:sz w:val="18"/>
                <w:szCs w:val="18"/>
              </w:rPr>
              <w:t> </w:t>
            </w:r>
            <w:r>
              <w:rPr>
                <w:rFonts w:ascii="宋体" w:hAnsi="宋体" w:cs="宋体" w:eastAsia="宋体" w:hint="default"/>
                <w:sz w:val="18"/>
                <w:szCs w:val="18"/>
              </w:rPr>
              <w:t>投入资本</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3"/>
              <w:ind w:left="105" w:right="142"/>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．股份支付</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4"/>
                <w:sz w:val="18"/>
                <w:szCs w:val="18"/>
              </w:rPr>
              <w:t>计入所有者</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权益的金额</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49" w:right="0"/>
              <w:jc w:val="left"/>
              <w:rPr>
                <w:rFonts w:ascii="Times New Roman" w:hAnsi="Times New Roman" w:cs="Times New Roman" w:eastAsia="Times New Roman" w:hint="default"/>
                <w:sz w:val="18"/>
                <w:szCs w:val="18"/>
              </w:rPr>
            </w:pPr>
            <w:r>
              <w:rPr>
                <w:rFonts w:ascii="Times New Roman"/>
                <w:sz w:val="18"/>
              </w:rPr>
              <w:t>2,26</w:t>
            </w:r>
          </w:p>
          <w:p>
            <w:pPr>
              <w:pStyle w:val="TableParagraph"/>
              <w:spacing w:line="240" w:lineRule="auto" w:before="100"/>
              <w:ind w:left="149" w:right="0"/>
              <w:jc w:val="left"/>
              <w:rPr>
                <w:rFonts w:ascii="Times New Roman" w:hAnsi="Times New Roman" w:cs="Times New Roman" w:eastAsia="Times New Roman" w:hint="default"/>
                <w:sz w:val="18"/>
                <w:szCs w:val="18"/>
              </w:rPr>
            </w:pPr>
            <w:r>
              <w:rPr>
                <w:rFonts w:ascii="Times New Roman"/>
                <w:sz w:val="18"/>
              </w:rPr>
              <w:t>8,43</w:t>
            </w:r>
          </w:p>
          <w:p>
            <w:pPr>
              <w:pStyle w:val="TableParagraph"/>
              <w:spacing w:line="240" w:lineRule="auto" w:before="110"/>
              <w:ind w:left="149" w:right="0"/>
              <w:jc w:val="left"/>
              <w:rPr>
                <w:rFonts w:ascii="Times New Roman" w:hAnsi="Times New Roman" w:cs="Times New Roman" w:eastAsia="Times New Roman" w:hint="default"/>
                <w:sz w:val="18"/>
                <w:szCs w:val="18"/>
              </w:rPr>
            </w:pPr>
            <w:r>
              <w:rPr>
                <w:rFonts w:ascii="Times New Roman"/>
                <w:sz w:val="18"/>
              </w:rPr>
              <w:t>3.34</w:t>
            </w: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53" w:right="0"/>
              <w:jc w:val="left"/>
              <w:rPr>
                <w:rFonts w:ascii="Times New Roman" w:hAnsi="Times New Roman" w:cs="Times New Roman" w:eastAsia="Times New Roman" w:hint="default"/>
                <w:sz w:val="18"/>
                <w:szCs w:val="18"/>
              </w:rPr>
            </w:pPr>
            <w:r>
              <w:rPr>
                <w:rFonts w:ascii="Times New Roman"/>
                <w:sz w:val="18"/>
              </w:rPr>
              <w:t>2,26</w:t>
            </w:r>
          </w:p>
          <w:p>
            <w:pPr>
              <w:pStyle w:val="TableParagraph"/>
              <w:spacing w:line="240" w:lineRule="auto" w:before="100"/>
              <w:ind w:left="153" w:right="0"/>
              <w:jc w:val="left"/>
              <w:rPr>
                <w:rFonts w:ascii="Times New Roman" w:hAnsi="Times New Roman" w:cs="Times New Roman" w:eastAsia="Times New Roman" w:hint="default"/>
                <w:sz w:val="18"/>
                <w:szCs w:val="18"/>
              </w:rPr>
            </w:pPr>
            <w:r>
              <w:rPr>
                <w:rFonts w:ascii="Times New Roman"/>
                <w:sz w:val="18"/>
              </w:rPr>
              <w:t>8,43</w:t>
            </w:r>
          </w:p>
          <w:p>
            <w:pPr>
              <w:pStyle w:val="TableParagraph"/>
              <w:spacing w:line="240" w:lineRule="auto" w:before="110"/>
              <w:ind w:left="153" w:right="0"/>
              <w:jc w:val="left"/>
              <w:rPr>
                <w:rFonts w:ascii="Times New Roman" w:hAnsi="Times New Roman" w:cs="Times New Roman" w:eastAsia="Times New Roman" w:hint="default"/>
                <w:sz w:val="18"/>
                <w:szCs w:val="18"/>
              </w:rPr>
            </w:pPr>
            <w:r>
              <w:rPr>
                <w:rFonts w:ascii="Times New Roman"/>
                <w:sz w:val="18"/>
              </w:rPr>
              <w:t>3.34</w:t>
            </w:r>
          </w:p>
        </w:tc>
        <w:tc>
          <w:tcPr>
            <w:tcW w:w="58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48" w:right="0"/>
              <w:jc w:val="left"/>
              <w:rPr>
                <w:rFonts w:ascii="Times New Roman" w:hAnsi="Times New Roman" w:cs="Times New Roman" w:eastAsia="Times New Roman" w:hint="default"/>
                <w:sz w:val="18"/>
                <w:szCs w:val="18"/>
              </w:rPr>
            </w:pPr>
            <w:r>
              <w:rPr>
                <w:rFonts w:ascii="Times New Roman"/>
                <w:sz w:val="18"/>
              </w:rPr>
              <w:t>2,26</w:t>
            </w:r>
          </w:p>
          <w:p>
            <w:pPr>
              <w:pStyle w:val="TableParagraph"/>
              <w:spacing w:line="240" w:lineRule="auto" w:before="100"/>
              <w:ind w:left="148" w:right="0"/>
              <w:jc w:val="left"/>
              <w:rPr>
                <w:rFonts w:ascii="Times New Roman" w:hAnsi="Times New Roman" w:cs="Times New Roman" w:eastAsia="Times New Roman" w:hint="default"/>
                <w:sz w:val="18"/>
                <w:szCs w:val="18"/>
              </w:rPr>
            </w:pPr>
            <w:r>
              <w:rPr>
                <w:rFonts w:ascii="Times New Roman"/>
                <w:sz w:val="18"/>
              </w:rPr>
              <w:t>8,43</w:t>
            </w:r>
          </w:p>
          <w:p>
            <w:pPr>
              <w:pStyle w:val="TableParagraph"/>
              <w:spacing w:line="240" w:lineRule="auto" w:before="110"/>
              <w:ind w:left="148" w:right="0"/>
              <w:jc w:val="left"/>
              <w:rPr>
                <w:rFonts w:ascii="Times New Roman" w:hAnsi="Times New Roman" w:cs="Times New Roman" w:eastAsia="Times New Roman" w:hint="default"/>
                <w:sz w:val="18"/>
                <w:szCs w:val="18"/>
              </w:rPr>
            </w:pPr>
            <w:r>
              <w:rPr>
                <w:rFonts w:ascii="Times New Roman"/>
                <w:sz w:val="18"/>
              </w:rPr>
              <w:t>3.34</w:t>
            </w:r>
          </w:p>
        </w:tc>
      </w:tr>
      <w:tr>
        <w:trPr>
          <w:trHeight w:val="1335"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43" w:right="0"/>
              <w:jc w:val="left"/>
              <w:rPr>
                <w:rFonts w:ascii="Times New Roman" w:hAnsi="Times New Roman" w:cs="Times New Roman" w:eastAsia="Times New Roman" w:hint="default"/>
                <w:sz w:val="18"/>
                <w:szCs w:val="18"/>
              </w:rPr>
            </w:pPr>
            <w:r>
              <w:rPr>
                <w:rFonts w:ascii="Times New Roman"/>
                <w:sz w:val="18"/>
              </w:rPr>
              <w:t>-17</w:t>
            </w:r>
          </w:p>
          <w:p>
            <w:pPr>
              <w:pStyle w:val="TableParagraph"/>
              <w:spacing w:line="240" w:lineRule="auto" w:before="100"/>
              <w:ind w:left="158" w:right="0"/>
              <w:jc w:val="left"/>
              <w:rPr>
                <w:rFonts w:ascii="Times New Roman" w:hAnsi="Times New Roman" w:cs="Times New Roman" w:eastAsia="Times New Roman" w:hint="default"/>
                <w:sz w:val="18"/>
                <w:szCs w:val="18"/>
              </w:rPr>
            </w:pPr>
            <w:r>
              <w:rPr>
                <w:rFonts w:ascii="Times New Roman"/>
                <w:sz w:val="18"/>
              </w:rPr>
              <w:t>7,7</w:t>
            </w:r>
          </w:p>
          <w:p>
            <w:pPr>
              <w:pStyle w:val="TableParagraph"/>
              <w:spacing w:line="240" w:lineRule="auto" w:before="105"/>
              <w:ind w:left="158" w:right="0"/>
              <w:jc w:val="left"/>
              <w:rPr>
                <w:rFonts w:ascii="Times New Roman" w:hAnsi="Times New Roman" w:cs="Times New Roman" w:eastAsia="Times New Roman" w:hint="default"/>
                <w:sz w:val="18"/>
                <w:szCs w:val="18"/>
              </w:rPr>
            </w:pPr>
            <w:r>
              <w:rPr>
                <w:rFonts w:ascii="Times New Roman"/>
                <w:sz w:val="18"/>
              </w:rPr>
              <w:t>50.</w:t>
            </w:r>
          </w:p>
          <w:p>
            <w:pPr>
              <w:pStyle w:val="TableParagraph"/>
              <w:spacing w:line="240" w:lineRule="auto" w:before="110"/>
              <w:ind w:left="206" w:right="0"/>
              <w:jc w:val="left"/>
              <w:rPr>
                <w:rFonts w:ascii="Times New Roman" w:hAnsi="Times New Roman" w:cs="Times New Roman" w:eastAsia="Times New Roman" w:hint="default"/>
                <w:sz w:val="18"/>
                <w:szCs w:val="18"/>
              </w:rPr>
            </w:pPr>
            <w:r>
              <w:rPr>
                <w:rFonts w:ascii="Times New Roman"/>
                <w:sz w:val="18"/>
              </w:rPr>
              <w:t>00</w:t>
            </w: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29" w:right="0"/>
              <w:jc w:val="center"/>
              <w:rPr>
                <w:rFonts w:ascii="Times New Roman" w:hAnsi="Times New Roman" w:cs="Times New Roman" w:eastAsia="Times New Roman" w:hint="default"/>
                <w:sz w:val="18"/>
                <w:szCs w:val="18"/>
              </w:rPr>
            </w:pPr>
            <w:r>
              <w:rPr>
                <w:rFonts w:ascii="Times New Roman"/>
                <w:sz w:val="18"/>
              </w:rPr>
              <w:t>-497</w:t>
            </w:r>
          </w:p>
          <w:p>
            <w:pPr>
              <w:pStyle w:val="TableParagraph"/>
              <w:spacing w:line="240" w:lineRule="auto" w:before="105"/>
              <w:ind w:left="1" w:right="0"/>
              <w:jc w:val="center"/>
              <w:rPr>
                <w:rFonts w:ascii="Times New Roman" w:hAnsi="Times New Roman" w:cs="Times New Roman" w:eastAsia="Times New Roman" w:hint="default"/>
                <w:sz w:val="18"/>
                <w:szCs w:val="18"/>
              </w:rPr>
            </w:pPr>
            <w:r>
              <w:rPr>
                <w:rFonts w:ascii="Times New Roman"/>
                <w:sz w:val="18"/>
              </w:rPr>
              <w:t>,830.</w:t>
            </w:r>
          </w:p>
          <w:p>
            <w:pPr>
              <w:pStyle w:val="TableParagraph"/>
              <w:spacing w:line="240" w:lineRule="auto" w:before="110"/>
              <w:ind w:left="187" w:right="0"/>
              <w:jc w:val="center"/>
              <w:rPr>
                <w:rFonts w:ascii="Times New Roman" w:hAnsi="Times New Roman" w:cs="Times New Roman" w:eastAsia="Times New Roman" w:hint="default"/>
                <w:sz w:val="18"/>
                <w:szCs w:val="18"/>
              </w:rPr>
            </w:pPr>
            <w:r>
              <w:rPr>
                <w:rFonts w:ascii="Times New Roman"/>
                <w:sz w:val="18"/>
              </w:rPr>
              <w:t>40</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95" w:right="0"/>
              <w:jc w:val="center"/>
              <w:rPr>
                <w:rFonts w:ascii="Times New Roman" w:hAnsi="Times New Roman" w:cs="Times New Roman" w:eastAsia="Times New Roman" w:hint="default"/>
                <w:sz w:val="18"/>
                <w:szCs w:val="18"/>
              </w:rPr>
            </w:pPr>
            <w:r>
              <w:rPr>
                <w:rFonts w:ascii="Times New Roman"/>
                <w:sz w:val="18"/>
              </w:rPr>
              <w:t>-8,0</w:t>
            </w:r>
          </w:p>
          <w:p>
            <w:pPr>
              <w:pStyle w:val="TableParagraph"/>
              <w:spacing w:line="240" w:lineRule="auto" w:before="100"/>
              <w:ind w:left="158" w:right="0"/>
              <w:jc w:val="left"/>
              <w:rPr>
                <w:rFonts w:ascii="Times New Roman" w:hAnsi="Times New Roman" w:cs="Times New Roman" w:eastAsia="Times New Roman" w:hint="default"/>
                <w:sz w:val="18"/>
                <w:szCs w:val="18"/>
              </w:rPr>
            </w:pPr>
            <w:r>
              <w:rPr>
                <w:rFonts w:ascii="Times New Roman"/>
                <w:sz w:val="18"/>
              </w:rPr>
              <w:t>75,2</w:t>
            </w:r>
          </w:p>
          <w:p>
            <w:pPr>
              <w:pStyle w:val="TableParagraph"/>
              <w:spacing w:line="240" w:lineRule="auto" w:before="105"/>
              <w:ind w:left="158" w:right="0"/>
              <w:jc w:val="left"/>
              <w:rPr>
                <w:rFonts w:ascii="Times New Roman" w:hAnsi="Times New Roman" w:cs="Times New Roman" w:eastAsia="Times New Roman" w:hint="default"/>
                <w:sz w:val="18"/>
                <w:szCs w:val="18"/>
              </w:rPr>
            </w:pPr>
            <w:r>
              <w:rPr>
                <w:rFonts w:ascii="Times New Roman"/>
                <w:sz w:val="18"/>
              </w:rPr>
              <w:t>80.0</w:t>
            </w:r>
          </w:p>
          <w:p>
            <w:pPr>
              <w:pStyle w:val="TableParagraph"/>
              <w:spacing w:line="240" w:lineRule="auto" w:before="110"/>
              <w:ind w:left="283" w:right="0"/>
              <w:jc w:val="center"/>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53" w:right="0"/>
              <w:jc w:val="left"/>
              <w:rPr>
                <w:rFonts w:ascii="Times New Roman" w:hAnsi="Times New Roman" w:cs="Times New Roman" w:eastAsia="Times New Roman" w:hint="default"/>
                <w:sz w:val="18"/>
                <w:szCs w:val="18"/>
              </w:rPr>
            </w:pPr>
            <w:r>
              <w:rPr>
                <w:rFonts w:ascii="Times New Roman"/>
                <w:sz w:val="18"/>
              </w:rPr>
              <w:t>7,39</w:t>
            </w:r>
          </w:p>
          <w:p>
            <w:pPr>
              <w:pStyle w:val="TableParagraph"/>
              <w:spacing w:line="240" w:lineRule="auto" w:before="105"/>
              <w:ind w:left="153" w:right="0"/>
              <w:jc w:val="left"/>
              <w:rPr>
                <w:rFonts w:ascii="Times New Roman" w:hAnsi="Times New Roman" w:cs="Times New Roman" w:eastAsia="Times New Roman" w:hint="default"/>
                <w:sz w:val="18"/>
                <w:szCs w:val="18"/>
              </w:rPr>
            </w:pPr>
            <w:r>
              <w:rPr>
                <w:rFonts w:ascii="Times New Roman"/>
                <w:sz w:val="18"/>
              </w:rPr>
              <w:t>9,69</w:t>
            </w:r>
          </w:p>
          <w:p>
            <w:pPr>
              <w:pStyle w:val="TableParagraph"/>
              <w:spacing w:line="240" w:lineRule="auto" w:before="110"/>
              <w:ind w:left="153" w:right="0"/>
              <w:jc w:val="left"/>
              <w:rPr>
                <w:rFonts w:ascii="Times New Roman" w:hAnsi="Times New Roman" w:cs="Times New Roman" w:eastAsia="Times New Roman" w:hint="default"/>
                <w:sz w:val="18"/>
                <w:szCs w:val="18"/>
              </w:rPr>
            </w:pPr>
            <w:r>
              <w:rPr>
                <w:rFonts w:ascii="Times New Roman"/>
                <w:sz w:val="18"/>
              </w:rPr>
              <w:t>9.60</w:t>
            </w:r>
          </w:p>
        </w:tc>
        <w:tc>
          <w:tcPr>
            <w:tcW w:w="58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7,39</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9,69</w:t>
            </w:r>
          </w:p>
          <w:p>
            <w:pPr>
              <w:pStyle w:val="TableParagraph"/>
              <w:spacing w:line="240" w:lineRule="auto" w:before="110"/>
              <w:ind w:left="148" w:right="0"/>
              <w:jc w:val="left"/>
              <w:rPr>
                <w:rFonts w:ascii="Times New Roman" w:hAnsi="Times New Roman" w:cs="Times New Roman" w:eastAsia="Times New Roman" w:hint="default"/>
                <w:sz w:val="18"/>
                <w:szCs w:val="18"/>
              </w:rPr>
            </w:pPr>
            <w:r>
              <w:rPr>
                <w:rFonts w:ascii="Times New Roman"/>
                <w:sz w:val="18"/>
              </w:rPr>
              <w:t>9.60</w:t>
            </w:r>
          </w:p>
        </w:tc>
      </w:tr>
      <w:tr>
        <w:trPr>
          <w:trHeight w:val="1340"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319" w:lineRule="auto"/>
              <w:ind w:left="105" w:right="94"/>
              <w:jc w:val="left"/>
              <w:rPr>
                <w:rFonts w:ascii="宋体" w:hAnsi="宋体" w:cs="宋体" w:eastAsia="宋体" w:hint="default"/>
                <w:sz w:val="18"/>
                <w:szCs w:val="18"/>
              </w:rPr>
            </w:pPr>
            <w:r>
              <w:rPr>
                <w:rFonts w:ascii="宋体" w:hAnsi="宋体" w:cs="宋体" w:eastAsia="宋体" w:hint="default"/>
                <w:spacing w:val="-9"/>
                <w:sz w:val="18"/>
                <w:szCs w:val="18"/>
              </w:rPr>
              <w:t>（三）利润分</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配</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53" w:right="0"/>
              <w:jc w:val="left"/>
              <w:rPr>
                <w:rFonts w:ascii="Times New Roman" w:hAnsi="Times New Roman" w:cs="Times New Roman" w:eastAsia="Times New Roman" w:hint="default"/>
                <w:sz w:val="18"/>
                <w:szCs w:val="18"/>
              </w:rPr>
            </w:pPr>
            <w:r>
              <w:rPr>
                <w:rFonts w:ascii="Times New Roman"/>
                <w:sz w:val="18"/>
              </w:rPr>
              <w:t>16,9</w:t>
            </w:r>
          </w:p>
          <w:p>
            <w:pPr>
              <w:pStyle w:val="TableParagraph"/>
              <w:spacing w:line="240" w:lineRule="auto" w:before="100"/>
              <w:ind w:left="153" w:right="0"/>
              <w:jc w:val="left"/>
              <w:rPr>
                <w:rFonts w:ascii="Times New Roman" w:hAnsi="Times New Roman" w:cs="Times New Roman" w:eastAsia="Times New Roman" w:hint="default"/>
                <w:sz w:val="18"/>
                <w:szCs w:val="18"/>
              </w:rPr>
            </w:pPr>
            <w:r>
              <w:rPr>
                <w:rFonts w:ascii="Times New Roman"/>
                <w:sz w:val="18"/>
              </w:rPr>
              <w:t>12,1</w:t>
            </w:r>
          </w:p>
          <w:p>
            <w:pPr>
              <w:pStyle w:val="TableParagraph"/>
              <w:spacing w:line="240" w:lineRule="auto" w:before="105"/>
              <w:ind w:left="153" w:right="0"/>
              <w:jc w:val="left"/>
              <w:rPr>
                <w:rFonts w:ascii="Times New Roman" w:hAnsi="Times New Roman" w:cs="Times New Roman" w:eastAsia="Times New Roman" w:hint="default"/>
                <w:sz w:val="18"/>
                <w:szCs w:val="18"/>
              </w:rPr>
            </w:pPr>
            <w:r>
              <w:rPr>
                <w:rFonts w:ascii="Times New Roman"/>
                <w:sz w:val="18"/>
              </w:rPr>
              <w:t>39.7</w:t>
            </w:r>
          </w:p>
          <w:p>
            <w:pPr>
              <w:pStyle w:val="TableParagraph"/>
              <w:spacing w:line="240" w:lineRule="auto" w:before="110"/>
              <w:ind w:left="379" w:right="0"/>
              <w:jc w:val="left"/>
              <w:rPr>
                <w:rFonts w:ascii="Times New Roman" w:hAnsi="Times New Roman" w:cs="Times New Roman" w:eastAsia="Times New Roman" w:hint="default"/>
                <w:sz w:val="18"/>
                <w:szCs w:val="18"/>
              </w:rPr>
            </w:pPr>
            <w:r>
              <w:rPr>
                <w:rFonts w:ascii="Times New Roman"/>
                <w:w w:val="101"/>
                <w:sz w:val="18"/>
              </w:rPr>
              <w:t>4</w:t>
            </w:r>
            <w:r>
              <w:rPr>
                <w:rFonts w:ascii="Times New Roman"/>
                <w:sz w:val="18"/>
              </w:rPr>
            </w: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92" w:right="0"/>
              <w:jc w:val="center"/>
              <w:rPr>
                <w:rFonts w:ascii="Times New Roman" w:hAnsi="Times New Roman" w:cs="Times New Roman" w:eastAsia="Times New Roman" w:hint="default"/>
                <w:sz w:val="18"/>
                <w:szCs w:val="18"/>
              </w:rPr>
            </w:pPr>
            <w:r>
              <w:rPr>
                <w:rFonts w:ascii="Times New Roman"/>
                <w:sz w:val="18"/>
              </w:rPr>
              <w:t>-79,</w:t>
            </w:r>
          </w:p>
          <w:p>
            <w:pPr>
              <w:pStyle w:val="TableParagraph"/>
              <w:spacing w:line="240" w:lineRule="auto" w:before="100"/>
              <w:ind w:left="59" w:right="0"/>
              <w:jc w:val="center"/>
              <w:rPr>
                <w:rFonts w:ascii="Times New Roman" w:hAnsi="Times New Roman" w:cs="Times New Roman" w:eastAsia="Times New Roman" w:hint="default"/>
                <w:sz w:val="18"/>
                <w:szCs w:val="18"/>
              </w:rPr>
            </w:pPr>
            <w:r>
              <w:rPr>
                <w:rFonts w:ascii="Times New Roman"/>
                <w:sz w:val="18"/>
              </w:rPr>
              <w:t>446,</w:t>
            </w:r>
          </w:p>
          <w:p>
            <w:pPr>
              <w:pStyle w:val="TableParagraph"/>
              <w:spacing w:line="240" w:lineRule="auto" w:before="105"/>
              <w:ind w:left="59" w:right="0"/>
              <w:jc w:val="center"/>
              <w:rPr>
                <w:rFonts w:ascii="Times New Roman" w:hAnsi="Times New Roman" w:cs="Times New Roman" w:eastAsia="Times New Roman" w:hint="default"/>
                <w:sz w:val="18"/>
                <w:szCs w:val="18"/>
              </w:rPr>
            </w:pPr>
            <w:r>
              <w:rPr>
                <w:rFonts w:ascii="Times New Roman"/>
                <w:sz w:val="18"/>
              </w:rPr>
              <w:t>963.</w:t>
            </w:r>
          </w:p>
          <w:p>
            <w:pPr>
              <w:pStyle w:val="TableParagraph"/>
              <w:spacing w:line="240" w:lineRule="auto" w:before="110"/>
              <w:ind w:left="200" w:right="0"/>
              <w:jc w:val="center"/>
              <w:rPr>
                <w:rFonts w:ascii="Times New Roman" w:hAnsi="Times New Roman" w:cs="Times New Roman" w:eastAsia="Times New Roman" w:hint="default"/>
                <w:sz w:val="18"/>
                <w:szCs w:val="18"/>
              </w:rPr>
            </w:pPr>
            <w:r>
              <w:rPr>
                <w:rFonts w:ascii="Times New Roman"/>
                <w:sz w:val="18"/>
              </w:rPr>
              <w:t>94</w:t>
            </w: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88" w:right="0"/>
              <w:jc w:val="center"/>
              <w:rPr>
                <w:rFonts w:ascii="Times New Roman" w:hAnsi="Times New Roman" w:cs="Times New Roman" w:eastAsia="Times New Roman" w:hint="default"/>
                <w:sz w:val="18"/>
                <w:szCs w:val="18"/>
              </w:rPr>
            </w:pPr>
            <w:r>
              <w:rPr>
                <w:rFonts w:ascii="Times New Roman"/>
                <w:sz w:val="18"/>
              </w:rPr>
              <w:t>-62,</w:t>
            </w:r>
          </w:p>
          <w:p>
            <w:pPr>
              <w:pStyle w:val="TableParagraph"/>
              <w:spacing w:line="240" w:lineRule="auto" w:before="100"/>
              <w:ind w:left="54" w:right="0"/>
              <w:jc w:val="center"/>
              <w:rPr>
                <w:rFonts w:ascii="Times New Roman" w:hAnsi="Times New Roman" w:cs="Times New Roman" w:eastAsia="Times New Roman" w:hint="default"/>
                <w:sz w:val="18"/>
                <w:szCs w:val="18"/>
              </w:rPr>
            </w:pPr>
            <w:r>
              <w:rPr>
                <w:rFonts w:ascii="Times New Roman"/>
                <w:sz w:val="18"/>
              </w:rPr>
              <w:t>534,</w:t>
            </w:r>
          </w:p>
          <w:p>
            <w:pPr>
              <w:pStyle w:val="TableParagraph"/>
              <w:spacing w:line="240" w:lineRule="auto" w:before="105"/>
              <w:ind w:left="54" w:right="0"/>
              <w:jc w:val="center"/>
              <w:rPr>
                <w:rFonts w:ascii="Times New Roman" w:hAnsi="Times New Roman" w:cs="Times New Roman" w:eastAsia="Times New Roman" w:hint="default"/>
                <w:sz w:val="18"/>
                <w:szCs w:val="18"/>
              </w:rPr>
            </w:pPr>
            <w:r>
              <w:rPr>
                <w:rFonts w:ascii="Times New Roman"/>
                <w:sz w:val="18"/>
              </w:rPr>
              <w:t>824.</w:t>
            </w:r>
          </w:p>
          <w:p>
            <w:pPr>
              <w:pStyle w:val="TableParagraph"/>
              <w:spacing w:line="240" w:lineRule="auto" w:before="110"/>
              <w:ind w:left="196" w:right="0"/>
              <w:jc w:val="center"/>
              <w:rPr>
                <w:rFonts w:ascii="Times New Roman" w:hAnsi="Times New Roman" w:cs="Times New Roman" w:eastAsia="Times New Roman" w:hint="default"/>
                <w:sz w:val="18"/>
                <w:szCs w:val="18"/>
              </w:rPr>
            </w:pPr>
            <w:r>
              <w:rPr>
                <w:rFonts w:ascii="Times New Roman"/>
                <w:sz w:val="18"/>
              </w:rPr>
              <w:t>20</w:t>
            </w:r>
          </w:p>
        </w:tc>
        <w:tc>
          <w:tcPr>
            <w:tcW w:w="58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84" w:right="0"/>
              <w:jc w:val="center"/>
              <w:rPr>
                <w:rFonts w:ascii="Times New Roman" w:hAnsi="Times New Roman" w:cs="Times New Roman" w:eastAsia="Times New Roman" w:hint="default"/>
                <w:sz w:val="18"/>
                <w:szCs w:val="18"/>
              </w:rPr>
            </w:pPr>
            <w:r>
              <w:rPr>
                <w:rFonts w:ascii="Times New Roman"/>
                <w:sz w:val="18"/>
              </w:rPr>
              <w:t>-62,</w:t>
            </w:r>
          </w:p>
          <w:p>
            <w:pPr>
              <w:pStyle w:val="TableParagraph"/>
              <w:spacing w:line="240" w:lineRule="auto" w:before="100"/>
              <w:ind w:left="50" w:right="0"/>
              <w:jc w:val="center"/>
              <w:rPr>
                <w:rFonts w:ascii="Times New Roman" w:hAnsi="Times New Roman" w:cs="Times New Roman" w:eastAsia="Times New Roman" w:hint="default"/>
                <w:sz w:val="18"/>
                <w:szCs w:val="18"/>
              </w:rPr>
            </w:pPr>
            <w:r>
              <w:rPr>
                <w:rFonts w:ascii="Times New Roman"/>
                <w:sz w:val="18"/>
              </w:rPr>
              <w:t>534,</w:t>
            </w:r>
          </w:p>
          <w:p>
            <w:pPr>
              <w:pStyle w:val="TableParagraph"/>
              <w:spacing w:line="240" w:lineRule="auto" w:before="105"/>
              <w:ind w:left="50" w:right="0"/>
              <w:jc w:val="center"/>
              <w:rPr>
                <w:rFonts w:ascii="Times New Roman" w:hAnsi="Times New Roman" w:cs="Times New Roman" w:eastAsia="Times New Roman" w:hint="default"/>
                <w:sz w:val="18"/>
                <w:szCs w:val="18"/>
              </w:rPr>
            </w:pPr>
            <w:r>
              <w:rPr>
                <w:rFonts w:ascii="Times New Roman"/>
                <w:sz w:val="18"/>
              </w:rPr>
              <w:t>824.</w:t>
            </w:r>
          </w:p>
          <w:p>
            <w:pPr>
              <w:pStyle w:val="TableParagraph"/>
              <w:spacing w:line="240" w:lineRule="auto" w:before="110"/>
              <w:ind w:left="192" w:right="0"/>
              <w:jc w:val="center"/>
              <w:rPr>
                <w:rFonts w:ascii="Times New Roman" w:hAnsi="Times New Roman" w:cs="Times New Roman" w:eastAsia="Times New Roman" w:hint="default"/>
                <w:sz w:val="18"/>
                <w:szCs w:val="18"/>
              </w:rPr>
            </w:pPr>
            <w:r>
              <w:rPr>
                <w:rFonts w:ascii="Times New Roman"/>
                <w:sz w:val="18"/>
              </w:rPr>
              <w:t>20</w:t>
            </w:r>
          </w:p>
        </w:tc>
      </w:tr>
      <w:tr>
        <w:trPr>
          <w:trHeight w:val="1340"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4" w:lineRule="auto" w:before="158"/>
              <w:ind w:left="105" w:right="142"/>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．提取盈余</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公积</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53" w:right="0"/>
              <w:jc w:val="left"/>
              <w:rPr>
                <w:rFonts w:ascii="Times New Roman" w:hAnsi="Times New Roman" w:cs="Times New Roman" w:eastAsia="Times New Roman" w:hint="default"/>
                <w:sz w:val="18"/>
                <w:szCs w:val="18"/>
              </w:rPr>
            </w:pPr>
            <w:r>
              <w:rPr>
                <w:rFonts w:ascii="Times New Roman"/>
                <w:sz w:val="18"/>
              </w:rPr>
              <w:t>16,9</w:t>
            </w:r>
          </w:p>
          <w:p>
            <w:pPr>
              <w:pStyle w:val="TableParagraph"/>
              <w:spacing w:line="240" w:lineRule="auto" w:before="105"/>
              <w:ind w:left="153" w:right="0"/>
              <w:jc w:val="left"/>
              <w:rPr>
                <w:rFonts w:ascii="Times New Roman" w:hAnsi="Times New Roman" w:cs="Times New Roman" w:eastAsia="Times New Roman" w:hint="default"/>
                <w:sz w:val="18"/>
                <w:szCs w:val="18"/>
              </w:rPr>
            </w:pPr>
            <w:r>
              <w:rPr>
                <w:rFonts w:ascii="Times New Roman"/>
                <w:sz w:val="18"/>
              </w:rPr>
              <w:t>12,1</w:t>
            </w:r>
          </w:p>
          <w:p>
            <w:pPr>
              <w:pStyle w:val="TableParagraph"/>
              <w:spacing w:line="240" w:lineRule="auto" w:before="105"/>
              <w:ind w:left="153" w:right="0"/>
              <w:jc w:val="left"/>
              <w:rPr>
                <w:rFonts w:ascii="Times New Roman" w:hAnsi="Times New Roman" w:cs="Times New Roman" w:eastAsia="Times New Roman" w:hint="default"/>
                <w:sz w:val="18"/>
                <w:szCs w:val="18"/>
              </w:rPr>
            </w:pPr>
            <w:r>
              <w:rPr>
                <w:rFonts w:ascii="Times New Roman"/>
                <w:sz w:val="18"/>
              </w:rPr>
              <w:t>39.7</w:t>
            </w:r>
          </w:p>
          <w:p>
            <w:pPr>
              <w:pStyle w:val="TableParagraph"/>
              <w:spacing w:line="240" w:lineRule="auto" w:before="110"/>
              <w:ind w:left="379" w:right="0"/>
              <w:jc w:val="left"/>
              <w:rPr>
                <w:rFonts w:ascii="Times New Roman" w:hAnsi="Times New Roman" w:cs="Times New Roman" w:eastAsia="Times New Roman" w:hint="default"/>
                <w:sz w:val="18"/>
                <w:szCs w:val="18"/>
              </w:rPr>
            </w:pPr>
            <w:r>
              <w:rPr>
                <w:rFonts w:ascii="Times New Roman"/>
                <w:w w:val="101"/>
                <w:sz w:val="18"/>
              </w:rPr>
              <w:t>4</w:t>
            </w:r>
            <w:r>
              <w:rPr>
                <w:rFonts w:ascii="Times New Roman"/>
                <w:sz w:val="18"/>
              </w:rPr>
            </w: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92" w:right="0"/>
              <w:jc w:val="center"/>
              <w:rPr>
                <w:rFonts w:ascii="Times New Roman" w:hAnsi="Times New Roman" w:cs="Times New Roman" w:eastAsia="Times New Roman" w:hint="default"/>
                <w:sz w:val="18"/>
                <w:szCs w:val="18"/>
              </w:rPr>
            </w:pPr>
            <w:r>
              <w:rPr>
                <w:rFonts w:ascii="Times New Roman"/>
                <w:sz w:val="18"/>
              </w:rPr>
              <w:t>-16,</w:t>
            </w:r>
          </w:p>
          <w:p>
            <w:pPr>
              <w:pStyle w:val="TableParagraph"/>
              <w:spacing w:line="240" w:lineRule="auto" w:before="105"/>
              <w:ind w:left="59" w:right="0"/>
              <w:jc w:val="center"/>
              <w:rPr>
                <w:rFonts w:ascii="Times New Roman" w:hAnsi="Times New Roman" w:cs="Times New Roman" w:eastAsia="Times New Roman" w:hint="default"/>
                <w:sz w:val="18"/>
                <w:szCs w:val="18"/>
              </w:rPr>
            </w:pPr>
            <w:r>
              <w:rPr>
                <w:rFonts w:ascii="Times New Roman"/>
                <w:sz w:val="18"/>
              </w:rPr>
              <w:t>912,</w:t>
            </w:r>
          </w:p>
          <w:p>
            <w:pPr>
              <w:pStyle w:val="TableParagraph"/>
              <w:spacing w:line="240" w:lineRule="auto" w:before="105"/>
              <w:ind w:left="59" w:right="0"/>
              <w:jc w:val="center"/>
              <w:rPr>
                <w:rFonts w:ascii="Times New Roman" w:hAnsi="Times New Roman" w:cs="Times New Roman" w:eastAsia="Times New Roman" w:hint="default"/>
                <w:sz w:val="18"/>
                <w:szCs w:val="18"/>
              </w:rPr>
            </w:pPr>
            <w:r>
              <w:rPr>
                <w:rFonts w:ascii="Times New Roman"/>
                <w:sz w:val="18"/>
              </w:rPr>
              <w:t>139.</w:t>
            </w:r>
          </w:p>
          <w:p>
            <w:pPr>
              <w:pStyle w:val="TableParagraph"/>
              <w:spacing w:line="240" w:lineRule="auto" w:before="110"/>
              <w:ind w:left="200" w:right="0"/>
              <w:jc w:val="center"/>
              <w:rPr>
                <w:rFonts w:ascii="Times New Roman" w:hAnsi="Times New Roman" w:cs="Times New Roman" w:eastAsia="Times New Roman" w:hint="default"/>
                <w:sz w:val="18"/>
                <w:szCs w:val="18"/>
              </w:rPr>
            </w:pPr>
            <w:r>
              <w:rPr>
                <w:rFonts w:ascii="Times New Roman"/>
                <w:sz w:val="18"/>
              </w:rPr>
              <w:t>74</w:t>
            </w: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105" w:right="142"/>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．提取一般</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风险准备</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r>
      <w:tr>
        <w:trPr>
          <w:trHeight w:val="1335"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w:t>
            </w:r>
          </w:p>
          <w:p>
            <w:pPr>
              <w:pStyle w:val="TableParagraph"/>
              <w:spacing w:line="324" w:lineRule="auto" w:before="63"/>
              <w:ind w:left="105" w:right="94"/>
              <w:jc w:val="left"/>
              <w:rPr>
                <w:rFonts w:ascii="宋体" w:hAnsi="宋体" w:cs="宋体" w:eastAsia="宋体" w:hint="default"/>
                <w:sz w:val="18"/>
                <w:szCs w:val="18"/>
              </w:rPr>
            </w:pPr>
            <w:r>
              <w:rPr>
                <w:rFonts w:ascii="宋体" w:hAnsi="宋体" w:cs="宋体" w:eastAsia="宋体" w:hint="default"/>
                <w:spacing w:val="-9"/>
                <w:sz w:val="18"/>
                <w:szCs w:val="18"/>
              </w:rPr>
              <w:t>（或股东）的</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分配</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92" w:right="0"/>
              <w:jc w:val="center"/>
              <w:rPr>
                <w:rFonts w:ascii="Times New Roman" w:hAnsi="Times New Roman" w:cs="Times New Roman" w:eastAsia="Times New Roman" w:hint="default"/>
                <w:sz w:val="18"/>
                <w:szCs w:val="18"/>
              </w:rPr>
            </w:pPr>
            <w:r>
              <w:rPr>
                <w:rFonts w:ascii="Times New Roman"/>
                <w:sz w:val="18"/>
              </w:rPr>
              <w:t>-62,</w:t>
            </w:r>
          </w:p>
          <w:p>
            <w:pPr>
              <w:pStyle w:val="TableParagraph"/>
              <w:spacing w:line="240" w:lineRule="auto" w:before="100"/>
              <w:ind w:left="59" w:right="0"/>
              <w:jc w:val="center"/>
              <w:rPr>
                <w:rFonts w:ascii="Times New Roman" w:hAnsi="Times New Roman" w:cs="Times New Roman" w:eastAsia="Times New Roman" w:hint="default"/>
                <w:sz w:val="18"/>
                <w:szCs w:val="18"/>
              </w:rPr>
            </w:pPr>
            <w:r>
              <w:rPr>
                <w:rFonts w:ascii="Times New Roman"/>
                <w:sz w:val="18"/>
              </w:rPr>
              <w:t>534,</w:t>
            </w:r>
          </w:p>
          <w:p>
            <w:pPr>
              <w:pStyle w:val="TableParagraph"/>
              <w:spacing w:line="240" w:lineRule="auto" w:before="105"/>
              <w:ind w:left="59" w:right="0"/>
              <w:jc w:val="center"/>
              <w:rPr>
                <w:rFonts w:ascii="Times New Roman" w:hAnsi="Times New Roman" w:cs="Times New Roman" w:eastAsia="Times New Roman" w:hint="default"/>
                <w:sz w:val="18"/>
                <w:szCs w:val="18"/>
              </w:rPr>
            </w:pPr>
            <w:r>
              <w:rPr>
                <w:rFonts w:ascii="Times New Roman"/>
                <w:sz w:val="18"/>
              </w:rPr>
              <w:t>824.</w:t>
            </w:r>
          </w:p>
          <w:p>
            <w:pPr>
              <w:pStyle w:val="TableParagraph"/>
              <w:spacing w:line="240" w:lineRule="auto" w:before="110"/>
              <w:ind w:left="200" w:right="0"/>
              <w:jc w:val="center"/>
              <w:rPr>
                <w:rFonts w:ascii="Times New Roman" w:hAnsi="Times New Roman" w:cs="Times New Roman" w:eastAsia="Times New Roman" w:hint="default"/>
                <w:sz w:val="18"/>
                <w:szCs w:val="18"/>
              </w:rPr>
            </w:pPr>
            <w:r>
              <w:rPr>
                <w:rFonts w:ascii="Times New Roman"/>
                <w:sz w:val="18"/>
              </w:rPr>
              <w:t>20</w:t>
            </w: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88" w:right="0"/>
              <w:jc w:val="center"/>
              <w:rPr>
                <w:rFonts w:ascii="Times New Roman" w:hAnsi="Times New Roman" w:cs="Times New Roman" w:eastAsia="Times New Roman" w:hint="default"/>
                <w:sz w:val="18"/>
                <w:szCs w:val="18"/>
              </w:rPr>
            </w:pPr>
            <w:r>
              <w:rPr>
                <w:rFonts w:ascii="Times New Roman"/>
                <w:sz w:val="18"/>
              </w:rPr>
              <w:t>-62,</w:t>
            </w:r>
          </w:p>
          <w:p>
            <w:pPr>
              <w:pStyle w:val="TableParagraph"/>
              <w:spacing w:line="240" w:lineRule="auto" w:before="100"/>
              <w:ind w:left="54" w:right="0"/>
              <w:jc w:val="center"/>
              <w:rPr>
                <w:rFonts w:ascii="Times New Roman" w:hAnsi="Times New Roman" w:cs="Times New Roman" w:eastAsia="Times New Roman" w:hint="default"/>
                <w:sz w:val="18"/>
                <w:szCs w:val="18"/>
              </w:rPr>
            </w:pPr>
            <w:r>
              <w:rPr>
                <w:rFonts w:ascii="Times New Roman"/>
                <w:sz w:val="18"/>
              </w:rPr>
              <w:t>534,</w:t>
            </w:r>
          </w:p>
          <w:p>
            <w:pPr>
              <w:pStyle w:val="TableParagraph"/>
              <w:spacing w:line="240" w:lineRule="auto" w:before="105"/>
              <w:ind w:left="54" w:right="0"/>
              <w:jc w:val="center"/>
              <w:rPr>
                <w:rFonts w:ascii="Times New Roman" w:hAnsi="Times New Roman" w:cs="Times New Roman" w:eastAsia="Times New Roman" w:hint="default"/>
                <w:sz w:val="18"/>
                <w:szCs w:val="18"/>
              </w:rPr>
            </w:pPr>
            <w:r>
              <w:rPr>
                <w:rFonts w:ascii="Times New Roman"/>
                <w:sz w:val="18"/>
              </w:rPr>
              <w:t>824.</w:t>
            </w:r>
          </w:p>
          <w:p>
            <w:pPr>
              <w:pStyle w:val="TableParagraph"/>
              <w:spacing w:line="240" w:lineRule="auto" w:before="110"/>
              <w:ind w:left="196" w:right="0"/>
              <w:jc w:val="center"/>
              <w:rPr>
                <w:rFonts w:ascii="Times New Roman" w:hAnsi="Times New Roman" w:cs="Times New Roman" w:eastAsia="Times New Roman" w:hint="default"/>
                <w:sz w:val="18"/>
                <w:szCs w:val="18"/>
              </w:rPr>
            </w:pPr>
            <w:r>
              <w:rPr>
                <w:rFonts w:ascii="Times New Roman"/>
                <w:sz w:val="18"/>
              </w:rPr>
              <w:t>20</w:t>
            </w:r>
          </w:p>
        </w:tc>
        <w:tc>
          <w:tcPr>
            <w:tcW w:w="58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84" w:right="0"/>
              <w:jc w:val="center"/>
              <w:rPr>
                <w:rFonts w:ascii="Times New Roman" w:hAnsi="Times New Roman" w:cs="Times New Roman" w:eastAsia="Times New Roman" w:hint="default"/>
                <w:sz w:val="18"/>
                <w:szCs w:val="18"/>
              </w:rPr>
            </w:pPr>
            <w:r>
              <w:rPr>
                <w:rFonts w:ascii="Times New Roman"/>
                <w:sz w:val="18"/>
              </w:rPr>
              <w:t>-62,</w:t>
            </w:r>
          </w:p>
          <w:p>
            <w:pPr>
              <w:pStyle w:val="TableParagraph"/>
              <w:spacing w:line="240" w:lineRule="auto" w:before="100"/>
              <w:ind w:left="50" w:right="0"/>
              <w:jc w:val="center"/>
              <w:rPr>
                <w:rFonts w:ascii="Times New Roman" w:hAnsi="Times New Roman" w:cs="Times New Roman" w:eastAsia="Times New Roman" w:hint="default"/>
                <w:sz w:val="18"/>
                <w:szCs w:val="18"/>
              </w:rPr>
            </w:pPr>
            <w:r>
              <w:rPr>
                <w:rFonts w:ascii="Times New Roman"/>
                <w:sz w:val="18"/>
              </w:rPr>
              <w:t>534,</w:t>
            </w:r>
          </w:p>
          <w:p>
            <w:pPr>
              <w:pStyle w:val="TableParagraph"/>
              <w:spacing w:line="240" w:lineRule="auto" w:before="105"/>
              <w:ind w:left="50" w:right="0"/>
              <w:jc w:val="center"/>
              <w:rPr>
                <w:rFonts w:ascii="Times New Roman" w:hAnsi="Times New Roman" w:cs="Times New Roman" w:eastAsia="Times New Roman" w:hint="default"/>
                <w:sz w:val="18"/>
                <w:szCs w:val="18"/>
              </w:rPr>
            </w:pPr>
            <w:r>
              <w:rPr>
                <w:rFonts w:ascii="Times New Roman"/>
                <w:sz w:val="18"/>
              </w:rPr>
              <w:t>824.</w:t>
            </w:r>
          </w:p>
          <w:p>
            <w:pPr>
              <w:pStyle w:val="TableParagraph"/>
              <w:spacing w:line="240" w:lineRule="auto" w:before="110"/>
              <w:ind w:left="192" w:right="0"/>
              <w:jc w:val="center"/>
              <w:rPr>
                <w:rFonts w:ascii="Times New Roman" w:hAnsi="Times New Roman" w:cs="Times New Roman" w:eastAsia="Times New Roman" w:hint="default"/>
                <w:sz w:val="18"/>
                <w:szCs w:val="18"/>
              </w:rPr>
            </w:pPr>
            <w:r>
              <w:rPr>
                <w:rFonts w:ascii="Times New Roman"/>
                <w:sz w:val="18"/>
              </w:rPr>
              <w:t>20</w:t>
            </w:r>
          </w:p>
        </w:tc>
      </w:tr>
      <w:tr>
        <w:trPr>
          <w:trHeight w:val="403"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84" w:footer="1022" w:top="1100" w:bottom="1220" w:left="980" w:right="0"/>
        </w:sectPr>
      </w:pPr>
    </w:p>
    <w:p>
      <w:pPr>
        <w:spacing w:line="240" w:lineRule="auto" w:before="1"/>
        <w:rPr>
          <w:rFonts w:ascii="Times New Roman" w:hAnsi="Times New Roman" w:cs="Times New Roman" w:eastAsia="Times New Roman" w:hint="default"/>
          <w:sz w:val="29"/>
          <w:szCs w:val="29"/>
        </w:rPr>
      </w:pPr>
    </w:p>
    <w:tbl>
      <w:tblPr>
        <w:tblW w:w="0" w:type="auto"/>
        <w:jc w:val="left"/>
        <w:tblInd w:w="148" w:type="dxa"/>
        <w:tblLayout w:type="fixed"/>
        <w:tblCellMar>
          <w:top w:w="0" w:type="dxa"/>
          <w:left w:w="0" w:type="dxa"/>
          <w:bottom w:w="0" w:type="dxa"/>
          <w:right w:w="0" w:type="dxa"/>
        </w:tblCellMar>
        <w:tblLook w:val="01E0"/>
      </w:tblPr>
      <w:tblGrid>
        <w:gridCol w:w="1253"/>
        <w:gridCol w:w="494"/>
        <w:gridCol w:w="466"/>
        <w:gridCol w:w="466"/>
        <w:gridCol w:w="470"/>
        <w:gridCol w:w="581"/>
        <w:gridCol w:w="586"/>
        <w:gridCol w:w="581"/>
        <w:gridCol w:w="586"/>
        <w:gridCol w:w="586"/>
        <w:gridCol w:w="581"/>
        <w:gridCol w:w="586"/>
        <w:gridCol w:w="586"/>
        <w:gridCol w:w="581"/>
        <w:gridCol w:w="586"/>
        <w:gridCol w:w="576"/>
      </w:tblGrid>
      <w:tr>
        <w:trPr>
          <w:trHeight w:val="1027"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05" w:right="94"/>
              <w:jc w:val="left"/>
              <w:rPr>
                <w:rFonts w:ascii="宋体" w:hAnsi="宋体" w:cs="宋体" w:eastAsia="宋体" w:hint="default"/>
                <w:sz w:val="18"/>
                <w:szCs w:val="18"/>
              </w:rPr>
            </w:pPr>
            <w:r>
              <w:rPr>
                <w:rFonts w:ascii="宋体" w:hAnsi="宋体" w:cs="宋体" w:eastAsia="宋体" w:hint="default"/>
                <w:spacing w:val="-9"/>
                <w:sz w:val="18"/>
                <w:szCs w:val="18"/>
              </w:rPr>
              <w:t>（四）所有者</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权益内部结</w:t>
            </w:r>
            <w:r>
              <w:rPr>
                <w:rFonts w:ascii="宋体" w:hAnsi="宋体" w:cs="宋体" w:eastAsia="宋体" w:hint="default"/>
                <w:w w:val="101"/>
                <w:sz w:val="18"/>
                <w:szCs w:val="18"/>
              </w:rPr>
              <w:t> </w:t>
            </w:r>
            <w:r>
              <w:rPr>
                <w:rFonts w:ascii="宋体" w:hAnsi="宋体" w:cs="宋体" w:eastAsia="宋体" w:hint="default"/>
                <w:sz w:val="18"/>
                <w:szCs w:val="18"/>
              </w:rPr>
              <w:t>转</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r>
      <w:tr>
        <w:trPr>
          <w:trHeight w:val="1023"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4"/>
              <w:ind w:left="105" w:right="94"/>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9"/>
                <w:sz w:val="18"/>
                <w:szCs w:val="18"/>
              </w:rPr>
              <w:t>转增资本（或</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股本）</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r>
      <w:tr>
        <w:trPr>
          <w:trHeight w:val="1028"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8"/>
              <w:ind w:left="105" w:right="94"/>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9"/>
                <w:sz w:val="18"/>
                <w:szCs w:val="18"/>
              </w:rPr>
              <w:t>转增资本（或</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股本）</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4" w:lineRule="auto" w:before="53"/>
              <w:ind w:left="105" w:right="142"/>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．盈余公积</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弥补亏损</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r>
      <w:tr>
        <w:trPr>
          <w:trHeight w:val="1340"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2" w:lineRule="auto" w:before="53"/>
              <w:ind w:left="105" w:right="142"/>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4</w:t>
            </w:r>
            <w:r>
              <w:rPr>
                <w:rFonts w:ascii="宋体" w:hAnsi="宋体" w:cs="宋体" w:eastAsia="宋体" w:hint="default"/>
                <w:spacing w:val="-2"/>
                <w:sz w:val="18"/>
                <w:szCs w:val="18"/>
              </w:rPr>
              <w:t>．设定受益</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计划变动额</w:t>
            </w:r>
            <w:r>
              <w:rPr>
                <w:rFonts w:ascii="宋体" w:hAnsi="宋体" w:cs="宋体" w:eastAsia="宋体" w:hint="default"/>
                <w:w w:val="101"/>
                <w:sz w:val="18"/>
                <w:szCs w:val="18"/>
              </w:rPr>
              <w:t> </w:t>
            </w:r>
            <w:r>
              <w:rPr>
                <w:rFonts w:ascii="宋体" w:hAnsi="宋体" w:cs="宋体" w:eastAsia="宋体" w:hint="default"/>
                <w:sz w:val="18"/>
                <w:szCs w:val="18"/>
              </w:rPr>
              <w:t>结转留存收</w:t>
            </w:r>
            <w:r>
              <w:rPr>
                <w:rFonts w:ascii="宋体" w:hAnsi="宋体" w:cs="宋体" w:eastAsia="宋体" w:hint="default"/>
                <w:w w:val="101"/>
                <w:sz w:val="18"/>
                <w:szCs w:val="18"/>
              </w:rPr>
              <w:t> </w:t>
            </w:r>
            <w:r>
              <w:rPr>
                <w:rFonts w:ascii="宋体" w:hAnsi="宋体" w:cs="宋体" w:eastAsia="宋体" w:hint="default"/>
                <w:sz w:val="18"/>
                <w:szCs w:val="18"/>
              </w:rPr>
              <w:t>益</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r>
      <w:tr>
        <w:trPr>
          <w:trHeight w:val="1023"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3"/>
              <w:ind w:left="105" w:right="142"/>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5</w:t>
            </w:r>
            <w:r>
              <w:rPr>
                <w:rFonts w:ascii="宋体" w:hAnsi="宋体" w:cs="宋体" w:eastAsia="宋体" w:hint="default"/>
                <w:spacing w:val="-2"/>
                <w:sz w:val="18"/>
                <w:szCs w:val="18"/>
              </w:rPr>
              <w:t>．其他综合</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收益结转留</w:t>
            </w:r>
            <w:r>
              <w:rPr>
                <w:rFonts w:ascii="宋体" w:hAnsi="宋体" w:cs="宋体" w:eastAsia="宋体" w:hint="default"/>
                <w:w w:val="101"/>
                <w:sz w:val="18"/>
                <w:szCs w:val="18"/>
              </w:rPr>
              <w:t> </w:t>
            </w:r>
            <w:r>
              <w:rPr>
                <w:rFonts w:ascii="宋体" w:hAnsi="宋体" w:cs="宋体" w:eastAsia="宋体" w:hint="default"/>
                <w:sz w:val="18"/>
                <w:szCs w:val="18"/>
              </w:rPr>
              <w:t>存收益</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05" w:right="94"/>
              <w:jc w:val="left"/>
              <w:rPr>
                <w:rFonts w:ascii="宋体" w:hAnsi="宋体" w:cs="宋体" w:eastAsia="宋体" w:hint="default"/>
                <w:sz w:val="18"/>
                <w:szCs w:val="18"/>
              </w:rPr>
            </w:pPr>
            <w:r>
              <w:rPr>
                <w:rFonts w:ascii="宋体" w:hAnsi="宋体" w:cs="宋体" w:eastAsia="宋体" w:hint="default"/>
                <w:spacing w:val="-9"/>
                <w:sz w:val="18"/>
                <w:szCs w:val="18"/>
              </w:rPr>
              <w:t>（五）专项储</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备</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r>
      <w:tr>
        <w:trPr>
          <w:trHeight w:val="399"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r>
      <w:tr>
        <w:trPr>
          <w:trHeight w:val="1339"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0"/>
              <w:ind w:left="105"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58" w:right="0"/>
              <w:jc w:val="left"/>
              <w:rPr>
                <w:rFonts w:ascii="Times New Roman" w:hAnsi="Times New Roman" w:cs="Times New Roman" w:eastAsia="Times New Roman" w:hint="default"/>
                <w:sz w:val="18"/>
                <w:szCs w:val="18"/>
              </w:rPr>
            </w:pPr>
            <w:r>
              <w:rPr>
                <w:rFonts w:ascii="Times New Roman"/>
                <w:sz w:val="18"/>
              </w:rPr>
              <w:t>35,1</w:t>
            </w:r>
          </w:p>
          <w:p>
            <w:pPr>
              <w:pStyle w:val="TableParagraph"/>
              <w:spacing w:line="240" w:lineRule="auto" w:before="100"/>
              <w:ind w:left="158" w:right="0"/>
              <w:jc w:val="left"/>
              <w:rPr>
                <w:rFonts w:ascii="Times New Roman" w:hAnsi="Times New Roman" w:cs="Times New Roman" w:eastAsia="Times New Roman" w:hint="default"/>
                <w:sz w:val="18"/>
                <w:szCs w:val="18"/>
              </w:rPr>
            </w:pPr>
            <w:r>
              <w:rPr>
                <w:rFonts w:ascii="Times New Roman"/>
                <w:sz w:val="18"/>
              </w:rPr>
              <w:t>94,0</w:t>
            </w:r>
          </w:p>
          <w:p>
            <w:pPr>
              <w:pStyle w:val="TableParagraph"/>
              <w:spacing w:line="240" w:lineRule="auto" w:before="105"/>
              <w:ind w:left="158" w:right="0"/>
              <w:jc w:val="left"/>
              <w:rPr>
                <w:rFonts w:ascii="Times New Roman" w:hAnsi="Times New Roman" w:cs="Times New Roman" w:eastAsia="Times New Roman" w:hint="default"/>
                <w:sz w:val="18"/>
                <w:szCs w:val="18"/>
              </w:rPr>
            </w:pPr>
            <w:r>
              <w:rPr>
                <w:rFonts w:ascii="Times New Roman"/>
                <w:sz w:val="18"/>
              </w:rPr>
              <w:t>70.1</w:t>
            </w:r>
          </w:p>
          <w:p>
            <w:pPr>
              <w:pStyle w:val="TableParagraph"/>
              <w:spacing w:line="240" w:lineRule="auto" w:before="110"/>
              <w:ind w:left="383" w:right="0"/>
              <w:jc w:val="left"/>
              <w:rPr>
                <w:rFonts w:ascii="Times New Roman" w:hAnsi="Times New Roman" w:cs="Times New Roman" w:eastAsia="Times New Roman" w:hint="default"/>
                <w:sz w:val="18"/>
                <w:szCs w:val="18"/>
              </w:rPr>
            </w:pPr>
            <w:r>
              <w:rPr>
                <w:rFonts w:ascii="Times New Roman"/>
                <w:w w:val="101"/>
                <w:sz w:val="18"/>
              </w:rPr>
              <w:t>3</w:t>
            </w:r>
            <w:r>
              <w:rPr>
                <w:rFonts w:ascii="Times New Roman"/>
                <w:sz w:val="18"/>
              </w:rPr>
            </w: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88" w:right="0"/>
              <w:jc w:val="center"/>
              <w:rPr>
                <w:rFonts w:ascii="Times New Roman" w:hAnsi="Times New Roman" w:cs="Times New Roman" w:eastAsia="Times New Roman" w:hint="default"/>
                <w:sz w:val="18"/>
                <w:szCs w:val="18"/>
              </w:rPr>
            </w:pPr>
            <w:r>
              <w:rPr>
                <w:rFonts w:ascii="Times New Roman"/>
                <w:sz w:val="18"/>
              </w:rPr>
              <w:t>-35,</w:t>
            </w:r>
          </w:p>
          <w:p>
            <w:pPr>
              <w:pStyle w:val="TableParagraph"/>
              <w:spacing w:line="240" w:lineRule="auto" w:before="100"/>
              <w:ind w:left="54" w:right="0"/>
              <w:jc w:val="center"/>
              <w:rPr>
                <w:rFonts w:ascii="Times New Roman" w:hAnsi="Times New Roman" w:cs="Times New Roman" w:eastAsia="Times New Roman" w:hint="default"/>
                <w:sz w:val="18"/>
                <w:szCs w:val="18"/>
              </w:rPr>
            </w:pPr>
            <w:r>
              <w:rPr>
                <w:rFonts w:ascii="Times New Roman"/>
                <w:sz w:val="18"/>
              </w:rPr>
              <w:t>194,</w:t>
            </w:r>
          </w:p>
          <w:p>
            <w:pPr>
              <w:pStyle w:val="TableParagraph"/>
              <w:spacing w:line="240" w:lineRule="auto" w:before="105"/>
              <w:ind w:left="54" w:right="0"/>
              <w:jc w:val="center"/>
              <w:rPr>
                <w:rFonts w:ascii="Times New Roman" w:hAnsi="Times New Roman" w:cs="Times New Roman" w:eastAsia="Times New Roman" w:hint="default"/>
                <w:sz w:val="18"/>
                <w:szCs w:val="18"/>
              </w:rPr>
            </w:pPr>
            <w:r>
              <w:rPr>
                <w:rFonts w:ascii="Times New Roman"/>
                <w:sz w:val="18"/>
              </w:rPr>
              <w:t>070.</w:t>
            </w:r>
          </w:p>
          <w:p>
            <w:pPr>
              <w:pStyle w:val="TableParagraph"/>
              <w:spacing w:line="240" w:lineRule="auto" w:before="110"/>
              <w:ind w:left="196" w:right="0"/>
              <w:jc w:val="center"/>
              <w:rPr>
                <w:rFonts w:ascii="Times New Roman" w:hAnsi="Times New Roman" w:cs="Times New Roman" w:eastAsia="Times New Roman" w:hint="default"/>
                <w:sz w:val="18"/>
                <w:szCs w:val="18"/>
              </w:rPr>
            </w:pPr>
            <w:r>
              <w:rPr>
                <w:rFonts w:ascii="Times New Roman"/>
                <w:sz w:val="18"/>
              </w:rPr>
              <w:t>13</w:t>
            </w:r>
          </w:p>
        </w:tc>
        <w:tc>
          <w:tcPr>
            <w:tcW w:w="58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84" w:right="0"/>
              <w:jc w:val="center"/>
              <w:rPr>
                <w:rFonts w:ascii="Times New Roman" w:hAnsi="Times New Roman" w:cs="Times New Roman" w:eastAsia="Times New Roman" w:hint="default"/>
                <w:sz w:val="18"/>
                <w:szCs w:val="18"/>
              </w:rPr>
            </w:pPr>
            <w:r>
              <w:rPr>
                <w:rFonts w:ascii="Times New Roman"/>
                <w:sz w:val="18"/>
              </w:rPr>
              <w:t>-35,</w:t>
            </w:r>
          </w:p>
          <w:p>
            <w:pPr>
              <w:pStyle w:val="TableParagraph"/>
              <w:spacing w:line="240" w:lineRule="auto" w:before="100"/>
              <w:ind w:left="50" w:right="0"/>
              <w:jc w:val="center"/>
              <w:rPr>
                <w:rFonts w:ascii="Times New Roman" w:hAnsi="Times New Roman" w:cs="Times New Roman" w:eastAsia="Times New Roman" w:hint="default"/>
                <w:sz w:val="18"/>
                <w:szCs w:val="18"/>
              </w:rPr>
            </w:pPr>
            <w:r>
              <w:rPr>
                <w:rFonts w:ascii="Times New Roman"/>
                <w:sz w:val="18"/>
              </w:rPr>
              <w:t>194,</w:t>
            </w:r>
          </w:p>
          <w:p>
            <w:pPr>
              <w:pStyle w:val="TableParagraph"/>
              <w:spacing w:line="240" w:lineRule="auto" w:before="105"/>
              <w:ind w:left="50" w:right="0"/>
              <w:jc w:val="center"/>
              <w:rPr>
                <w:rFonts w:ascii="Times New Roman" w:hAnsi="Times New Roman" w:cs="Times New Roman" w:eastAsia="Times New Roman" w:hint="default"/>
                <w:sz w:val="18"/>
                <w:szCs w:val="18"/>
              </w:rPr>
            </w:pPr>
            <w:r>
              <w:rPr>
                <w:rFonts w:ascii="Times New Roman"/>
                <w:sz w:val="18"/>
              </w:rPr>
              <w:t>070.</w:t>
            </w:r>
          </w:p>
          <w:p>
            <w:pPr>
              <w:pStyle w:val="TableParagraph"/>
              <w:spacing w:line="240" w:lineRule="auto" w:before="110"/>
              <w:ind w:left="192" w:right="0"/>
              <w:jc w:val="center"/>
              <w:rPr>
                <w:rFonts w:ascii="Times New Roman" w:hAnsi="Times New Roman" w:cs="Times New Roman" w:eastAsia="Times New Roman" w:hint="default"/>
                <w:sz w:val="18"/>
                <w:szCs w:val="18"/>
              </w:rPr>
            </w:pPr>
            <w:r>
              <w:rPr>
                <w:rFonts w:ascii="Times New Roman"/>
                <w:sz w:val="18"/>
              </w:rPr>
              <w:t>13</w:t>
            </w:r>
          </w:p>
        </w:tc>
      </w:tr>
      <w:tr>
        <w:trPr>
          <w:trHeight w:val="1652"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11"/>
              <w:ind w:left="105" w:right="94"/>
              <w:jc w:val="left"/>
              <w:rPr>
                <w:rFonts w:ascii="宋体" w:hAnsi="宋体" w:cs="宋体" w:eastAsia="宋体" w:hint="default"/>
                <w:sz w:val="18"/>
                <w:szCs w:val="18"/>
              </w:rPr>
            </w:pPr>
            <w:r>
              <w:rPr>
                <w:rFonts w:ascii="宋体" w:hAnsi="宋体" w:cs="宋体" w:eastAsia="宋体" w:hint="default"/>
                <w:spacing w:val="-9"/>
                <w:sz w:val="18"/>
                <w:szCs w:val="18"/>
              </w:rPr>
              <w:t>四、本期期末</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余额</w:t>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15" w:right="0"/>
              <w:jc w:val="left"/>
              <w:rPr>
                <w:rFonts w:ascii="Times New Roman" w:hAnsi="Times New Roman" w:cs="Times New Roman" w:eastAsia="Times New Roman" w:hint="default"/>
                <w:sz w:val="18"/>
                <w:szCs w:val="18"/>
              </w:rPr>
            </w:pPr>
            <w:r>
              <w:rPr>
                <w:rFonts w:ascii="Times New Roman"/>
                <w:sz w:val="18"/>
              </w:rPr>
              <w:t>620</w:t>
            </w:r>
          </w:p>
          <w:p>
            <w:pPr>
              <w:pStyle w:val="TableParagraph"/>
              <w:spacing w:line="240" w:lineRule="auto" w:before="105"/>
              <w:ind w:left="158" w:right="0"/>
              <w:jc w:val="left"/>
              <w:rPr>
                <w:rFonts w:ascii="Times New Roman" w:hAnsi="Times New Roman" w:cs="Times New Roman" w:eastAsia="Times New Roman" w:hint="default"/>
                <w:sz w:val="18"/>
                <w:szCs w:val="18"/>
              </w:rPr>
            </w:pPr>
            <w:r>
              <w:rPr>
                <w:rFonts w:ascii="Times New Roman"/>
                <w:sz w:val="18"/>
              </w:rPr>
              <w:t>,03</w:t>
            </w:r>
          </w:p>
          <w:p>
            <w:pPr>
              <w:pStyle w:val="TableParagraph"/>
              <w:spacing w:line="240" w:lineRule="auto" w:before="105"/>
              <w:ind w:left="158" w:right="0"/>
              <w:jc w:val="left"/>
              <w:rPr>
                <w:rFonts w:ascii="Times New Roman" w:hAnsi="Times New Roman" w:cs="Times New Roman" w:eastAsia="Times New Roman" w:hint="default"/>
                <w:sz w:val="18"/>
                <w:szCs w:val="18"/>
              </w:rPr>
            </w:pPr>
            <w:r>
              <w:rPr>
                <w:rFonts w:ascii="Times New Roman"/>
                <w:sz w:val="18"/>
              </w:rPr>
              <w:t>7,0</w:t>
            </w:r>
          </w:p>
          <w:p>
            <w:pPr>
              <w:pStyle w:val="TableParagraph"/>
              <w:spacing w:line="240" w:lineRule="auto" w:before="105"/>
              <w:ind w:left="158" w:right="0"/>
              <w:jc w:val="left"/>
              <w:rPr>
                <w:rFonts w:ascii="Times New Roman" w:hAnsi="Times New Roman" w:cs="Times New Roman" w:eastAsia="Times New Roman" w:hint="default"/>
                <w:sz w:val="18"/>
                <w:szCs w:val="18"/>
              </w:rPr>
            </w:pPr>
            <w:r>
              <w:rPr>
                <w:rFonts w:ascii="Times New Roman"/>
                <w:sz w:val="18"/>
              </w:rPr>
              <w:t>84.</w:t>
            </w:r>
          </w:p>
          <w:p>
            <w:pPr>
              <w:pStyle w:val="TableParagraph"/>
              <w:spacing w:line="240" w:lineRule="auto" w:before="110"/>
              <w:ind w:left="206" w:right="0"/>
              <w:jc w:val="left"/>
              <w:rPr>
                <w:rFonts w:ascii="Times New Roman" w:hAnsi="Times New Roman" w:cs="Times New Roman" w:eastAsia="Times New Roman" w:hint="default"/>
                <w:sz w:val="18"/>
                <w:szCs w:val="18"/>
              </w:rPr>
            </w:pPr>
            <w:r>
              <w:rPr>
                <w:rFonts w:ascii="Times New Roman"/>
                <w:sz w:val="18"/>
              </w:rPr>
              <w:t>00</w:t>
            </w: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left="46" w:right="0"/>
              <w:jc w:val="center"/>
              <w:rPr>
                <w:rFonts w:ascii="Times New Roman" w:hAnsi="Times New Roman" w:cs="Times New Roman" w:eastAsia="Times New Roman" w:hint="default"/>
                <w:sz w:val="18"/>
                <w:szCs w:val="18"/>
              </w:rPr>
            </w:pPr>
            <w:r>
              <w:rPr>
                <w:rFonts w:ascii="Times New Roman"/>
                <w:sz w:val="18"/>
              </w:rPr>
              <w:t>212,</w:t>
            </w:r>
          </w:p>
          <w:p>
            <w:pPr>
              <w:pStyle w:val="TableParagraph"/>
              <w:spacing w:line="240" w:lineRule="auto" w:before="100"/>
              <w:ind w:left="46" w:right="0"/>
              <w:jc w:val="center"/>
              <w:rPr>
                <w:rFonts w:ascii="Times New Roman" w:hAnsi="Times New Roman" w:cs="Times New Roman" w:eastAsia="Times New Roman" w:hint="default"/>
                <w:sz w:val="18"/>
                <w:szCs w:val="18"/>
              </w:rPr>
            </w:pPr>
            <w:r>
              <w:rPr>
                <w:rFonts w:ascii="Times New Roman"/>
                <w:sz w:val="18"/>
              </w:rPr>
              <w:t>551,</w:t>
            </w:r>
          </w:p>
          <w:p>
            <w:pPr>
              <w:pStyle w:val="TableParagraph"/>
              <w:spacing w:line="240" w:lineRule="auto" w:before="105"/>
              <w:ind w:left="46" w:right="0"/>
              <w:jc w:val="center"/>
              <w:rPr>
                <w:rFonts w:ascii="Times New Roman" w:hAnsi="Times New Roman" w:cs="Times New Roman" w:eastAsia="Times New Roman" w:hint="default"/>
                <w:sz w:val="18"/>
                <w:szCs w:val="18"/>
              </w:rPr>
            </w:pPr>
            <w:r>
              <w:rPr>
                <w:rFonts w:ascii="Times New Roman"/>
                <w:sz w:val="18"/>
              </w:rPr>
              <w:t>827.</w:t>
            </w:r>
          </w:p>
          <w:p>
            <w:pPr>
              <w:pStyle w:val="TableParagraph"/>
              <w:spacing w:line="240" w:lineRule="auto" w:before="110"/>
              <w:ind w:left="187" w:right="0"/>
              <w:jc w:val="center"/>
              <w:rPr>
                <w:rFonts w:ascii="Times New Roman" w:hAnsi="Times New Roman" w:cs="Times New Roman" w:eastAsia="Times New Roman" w:hint="default"/>
                <w:sz w:val="18"/>
                <w:szCs w:val="18"/>
              </w:rPr>
            </w:pPr>
            <w:r>
              <w:rPr>
                <w:rFonts w:ascii="Times New Roman"/>
                <w:sz w:val="18"/>
              </w:rPr>
              <w:t>78</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left="158" w:right="0"/>
              <w:jc w:val="left"/>
              <w:rPr>
                <w:rFonts w:ascii="Times New Roman" w:hAnsi="Times New Roman" w:cs="Times New Roman" w:eastAsia="Times New Roman" w:hint="default"/>
                <w:sz w:val="18"/>
                <w:szCs w:val="18"/>
              </w:rPr>
            </w:pPr>
            <w:r>
              <w:rPr>
                <w:rFonts w:ascii="Times New Roman"/>
                <w:sz w:val="18"/>
              </w:rPr>
              <w:t>65,3</w:t>
            </w:r>
          </w:p>
          <w:p>
            <w:pPr>
              <w:pStyle w:val="TableParagraph"/>
              <w:spacing w:line="240" w:lineRule="auto" w:before="100"/>
              <w:ind w:left="158" w:right="0"/>
              <w:jc w:val="left"/>
              <w:rPr>
                <w:rFonts w:ascii="Times New Roman" w:hAnsi="Times New Roman" w:cs="Times New Roman" w:eastAsia="Times New Roman" w:hint="default"/>
                <w:sz w:val="18"/>
                <w:szCs w:val="18"/>
              </w:rPr>
            </w:pPr>
            <w:r>
              <w:rPr>
                <w:rFonts w:ascii="Times New Roman"/>
                <w:sz w:val="18"/>
              </w:rPr>
              <w:t>41,4</w:t>
            </w:r>
          </w:p>
          <w:p>
            <w:pPr>
              <w:pStyle w:val="TableParagraph"/>
              <w:spacing w:line="240" w:lineRule="auto" w:before="105"/>
              <w:ind w:left="158" w:right="0"/>
              <w:jc w:val="left"/>
              <w:rPr>
                <w:rFonts w:ascii="Times New Roman" w:hAnsi="Times New Roman" w:cs="Times New Roman" w:eastAsia="Times New Roman" w:hint="default"/>
                <w:sz w:val="18"/>
                <w:szCs w:val="18"/>
              </w:rPr>
            </w:pPr>
            <w:r>
              <w:rPr>
                <w:rFonts w:ascii="Times New Roman"/>
                <w:sz w:val="18"/>
              </w:rPr>
              <w:t>98.2</w:t>
            </w:r>
          </w:p>
          <w:p>
            <w:pPr>
              <w:pStyle w:val="TableParagraph"/>
              <w:spacing w:line="240" w:lineRule="auto" w:before="110"/>
              <w:ind w:left="383" w:right="0"/>
              <w:jc w:val="left"/>
              <w:rPr>
                <w:rFonts w:ascii="Times New Roman" w:hAnsi="Times New Roman" w:cs="Times New Roman" w:eastAsia="Times New Roman" w:hint="default"/>
                <w:sz w:val="18"/>
                <w:szCs w:val="18"/>
              </w:rPr>
            </w:pPr>
            <w:r>
              <w:rPr>
                <w:rFonts w:ascii="Times New Roman"/>
                <w:w w:val="101"/>
                <w:sz w:val="18"/>
              </w:rPr>
              <w:t>3</w:t>
            </w:r>
            <w:r>
              <w:rPr>
                <w:rFonts w:ascii="Times New Roman"/>
                <w:sz w:val="18"/>
              </w:rPr>
            </w:r>
          </w:p>
        </w:tc>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7"/>
                <w:szCs w:val="17"/>
              </w:rPr>
            </w:pPr>
          </w:p>
          <w:p>
            <w:pPr>
              <w:pStyle w:val="TableParagraph"/>
              <w:spacing w:line="240" w:lineRule="auto"/>
              <w:ind w:left="54" w:right="0"/>
              <w:jc w:val="center"/>
              <w:rPr>
                <w:rFonts w:ascii="Times New Roman" w:hAnsi="Times New Roman" w:cs="Times New Roman" w:eastAsia="Times New Roman" w:hint="default"/>
                <w:sz w:val="18"/>
                <w:szCs w:val="18"/>
              </w:rPr>
            </w:pPr>
            <w:r>
              <w:rPr>
                <w:rFonts w:ascii="Times New Roman"/>
                <w:sz w:val="18"/>
              </w:rPr>
              <w:t>680,</w:t>
            </w:r>
          </w:p>
          <w:p>
            <w:pPr>
              <w:pStyle w:val="TableParagraph"/>
              <w:spacing w:line="240" w:lineRule="auto" w:before="105"/>
              <w:ind w:left="54" w:right="0"/>
              <w:jc w:val="center"/>
              <w:rPr>
                <w:rFonts w:ascii="Times New Roman" w:hAnsi="Times New Roman" w:cs="Times New Roman" w:eastAsia="Times New Roman" w:hint="default"/>
                <w:sz w:val="18"/>
                <w:szCs w:val="18"/>
              </w:rPr>
            </w:pPr>
            <w:r>
              <w:rPr>
                <w:rFonts w:ascii="Times New Roman"/>
                <w:sz w:val="18"/>
              </w:rPr>
              <w:t>358.</w:t>
            </w:r>
          </w:p>
          <w:p>
            <w:pPr>
              <w:pStyle w:val="TableParagraph"/>
              <w:spacing w:line="240" w:lineRule="auto" w:before="110"/>
              <w:ind w:left="197" w:right="0"/>
              <w:jc w:val="center"/>
              <w:rPr>
                <w:rFonts w:ascii="Times New Roman" w:hAnsi="Times New Roman" w:cs="Times New Roman" w:eastAsia="Times New Roman" w:hint="default"/>
                <w:sz w:val="18"/>
                <w:szCs w:val="18"/>
              </w:rPr>
            </w:pPr>
            <w:r>
              <w:rPr>
                <w:rFonts w:ascii="Times New Roman"/>
                <w:sz w:val="18"/>
              </w:rPr>
              <w:t>95</w:t>
            </w:r>
          </w:p>
        </w:tc>
        <w:tc>
          <w:tcPr>
            <w:tcW w:w="586"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left="153" w:right="0"/>
              <w:jc w:val="left"/>
              <w:rPr>
                <w:rFonts w:ascii="Times New Roman" w:hAnsi="Times New Roman" w:cs="Times New Roman" w:eastAsia="Times New Roman" w:hint="default"/>
                <w:sz w:val="18"/>
                <w:szCs w:val="18"/>
              </w:rPr>
            </w:pPr>
            <w:r>
              <w:rPr>
                <w:rFonts w:ascii="Times New Roman"/>
                <w:sz w:val="18"/>
              </w:rPr>
              <w:t>64,1</w:t>
            </w:r>
          </w:p>
          <w:p>
            <w:pPr>
              <w:pStyle w:val="TableParagraph"/>
              <w:spacing w:line="240" w:lineRule="auto" w:before="100"/>
              <w:ind w:left="153" w:right="0"/>
              <w:jc w:val="left"/>
              <w:rPr>
                <w:rFonts w:ascii="Times New Roman" w:hAnsi="Times New Roman" w:cs="Times New Roman" w:eastAsia="Times New Roman" w:hint="default"/>
                <w:sz w:val="18"/>
                <w:szCs w:val="18"/>
              </w:rPr>
            </w:pPr>
            <w:r>
              <w:rPr>
                <w:rFonts w:ascii="Times New Roman"/>
                <w:sz w:val="18"/>
              </w:rPr>
              <w:t>35,1</w:t>
            </w:r>
          </w:p>
          <w:p>
            <w:pPr>
              <w:pStyle w:val="TableParagraph"/>
              <w:spacing w:line="240" w:lineRule="auto" w:before="105"/>
              <w:ind w:left="153" w:right="0"/>
              <w:jc w:val="left"/>
              <w:rPr>
                <w:rFonts w:ascii="Times New Roman" w:hAnsi="Times New Roman" w:cs="Times New Roman" w:eastAsia="Times New Roman" w:hint="default"/>
                <w:sz w:val="18"/>
                <w:szCs w:val="18"/>
              </w:rPr>
            </w:pPr>
            <w:r>
              <w:rPr>
                <w:rFonts w:ascii="Times New Roman"/>
                <w:sz w:val="18"/>
              </w:rPr>
              <w:t>53.5</w:t>
            </w:r>
          </w:p>
          <w:p>
            <w:pPr>
              <w:pStyle w:val="TableParagraph"/>
              <w:spacing w:line="240" w:lineRule="auto" w:before="110"/>
              <w:ind w:left="379" w:right="0"/>
              <w:jc w:val="left"/>
              <w:rPr>
                <w:rFonts w:ascii="Times New Roman" w:hAnsi="Times New Roman" w:cs="Times New Roman" w:eastAsia="Times New Roman" w:hint="default"/>
                <w:sz w:val="18"/>
                <w:szCs w:val="18"/>
              </w:rPr>
            </w:pPr>
            <w:r>
              <w:rPr>
                <w:rFonts w:ascii="Times New Roman"/>
                <w:w w:val="101"/>
                <w:sz w:val="18"/>
              </w:rPr>
              <w:t>8</w:t>
            </w:r>
            <w:r>
              <w:rPr>
                <w:rFonts w:ascii="Times New Roman"/>
                <w:sz w:val="18"/>
              </w:rPr>
            </w:r>
          </w:p>
        </w:tc>
        <w:tc>
          <w:tcPr>
            <w:tcW w:w="581"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left="59" w:right="0"/>
              <w:jc w:val="center"/>
              <w:rPr>
                <w:rFonts w:ascii="Times New Roman" w:hAnsi="Times New Roman" w:cs="Times New Roman" w:eastAsia="Times New Roman" w:hint="default"/>
                <w:sz w:val="18"/>
                <w:szCs w:val="18"/>
              </w:rPr>
            </w:pPr>
            <w:r>
              <w:rPr>
                <w:rFonts w:ascii="Times New Roman"/>
                <w:sz w:val="18"/>
              </w:rPr>
              <w:t>532,</w:t>
            </w:r>
          </w:p>
          <w:p>
            <w:pPr>
              <w:pStyle w:val="TableParagraph"/>
              <w:spacing w:line="240" w:lineRule="auto" w:before="100"/>
              <w:ind w:left="59" w:right="0"/>
              <w:jc w:val="center"/>
              <w:rPr>
                <w:rFonts w:ascii="Times New Roman" w:hAnsi="Times New Roman" w:cs="Times New Roman" w:eastAsia="Times New Roman" w:hint="default"/>
                <w:sz w:val="18"/>
                <w:szCs w:val="18"/>
              </w:rPr>
            </w:pPr>
            <w:r>
              <w:rPr>
                <w:rFonts w:ascii="Times New Roman"/>
                <w:sz w:val="18"/>
              </w:rPr>
              <w:t>162,</w:t>
            </w:r>
          </w:p>
          <w:p>
            <w:pPr>
              <w:pStyle w:val="TableParagraph"/>
              <w:spacing w:line="240" w:lineRule="auto" w:before="105"/>
              <w:ind w:left="59" w:right="0"/>
              <w:jc w:val="center"/>
              <w:rPr>
                <w:rFonts w:ascii="Times New Roman" w:hAnsi="Times New Roman" w:cs="Times New Roman" w:eastAsia="Times New Roman" w:hint="default"/>
                <w:sz w:val="18"/>
                <w:szCs w:val="18"/>
              </w:rPr>
            </w:pPr>
            <w:r>
              <w:rPr>
                <w:rFonts w:ascii="Times New Roman"/>
                <w:sz w:val="18"/>
              </w:rPr>
              <w:t>292.</w:t>
            </w:r>
          </w:p>
          <w:p>
            <w:pPr>
              <w:pStyle w:val="TableParagraph"/>
              <w:spacing w:line="240" w:lineRule="auto" w:before="110"/>
              <w:ind w:left="200" w:right="0"/>
              <w:jc w:val="center"/>
              <w:rPr>
                <w:rFonts w:ascii="Times New Roman" w:hAnsi="Times New Roman" w:cs="Times New Roman" w:eastAsia="Times New Roman" w:hint="default"/>
                <w:sz w:val="18"/>
                <w:szCs w:val="18"/>
              </w:rPr>
            </w:pPr>
            <w:r>
              <w:rPr>
                <w:rFonts w:ascii="Times New Roman"/>
                <w:sz w:val="18"/>
              </w:rPr>
              <w:t>70</w:t>
            </w:r>
          </w:p>
        </w:tc>
        <w:tc>
          <w:tcPr>
            <w:tcW w:w="58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left="153" w:right="0"/>
              <w:jc w:val="left"/>
              <w:rPr>
                <w:rFonts w:ascii="Times New Roman" w:hAnsi="Times New Roman" w:cs="Times New Roman" w:eastAsia="Times New Roman" w:hint="default"/>
                <w:sz w:val="18"/>
                <w:szCs w:val="18"/>
              </w:rPr>
            </w:pPr>
            <w:r>
              <w:rPr>
                <w:rFonts w:ascii="Times New Roman"/>
                <w:sz w:val="18"/>
              </w:rPr>
              <w:t>1,36</w:t>
            </w:r>
          </w:p>
          <w:p>
            <w:pPr>
              <w:pStyle w:val="TableParagraph"/>
              <w:spacing w:line="240" w:lineRule="auto" w:before="100"/>
              <w:ind w:left="153" w:right="0"/>
              <w:jc w:val="left"/>
              <w:rPr>
                <w:rFonts w:ascii="Times New Roman" w:hAnsi="Times New Roman" w:cs="Times New Roman" w:eastAsia="Times New Roman" w:hint="default"/>
                <w:sz w:val="18"/>
                <w:szCs w:val="18"/>
              </w:rPr>
            </w:pPr>
            <w:r>
              <w:rPr>
                <w:rFonts w:ascii="Times New Roman"/>
                <w:sz w:val="18"/>
              </w:rPr>
              <w:t>4,22</w:t>
            </w:r>
          </w:p>
          <w:p>
            <w:pPr>
              <w:pStyle w:val="TableParagraph"/>
              <w:spacing w:line="240" w:lineRule="auto" w:before="105"/>
              <w:ind w:left="153" w:right="0"/>
              <w:jc w:val="left"/>
              <w:rPr>
                <w:rFonts w:ascii="Times New Roman" w:hAnsi="Times New Roman" w:cs="Times New Roman" w:eastAsia="Times New Roman" w:hint="default"/>
                <w:sz w:val="18"/>
                <w:szCs w:val="18"/>
              </w:rPr>
            </w:pPr>
            <w:r>
              <w:rPr>
                <w:rFonts w:ascii="Times New Roman"/>
                <w:sz w:val="18"/>
              </w:rPr>
              <w:t>5,21</w:t>
            </w:r>
          </w:p>
          <w:p>
            <w:pPr>
              <w:pStyle w:val="TableParagraph"/>
              <w:spacing w:line="240" w:lineRule="auto" w:before="110"/>
              <w:ind w:left="153" w:right="0"/>
              <w:jc w:val="left"/>
              <w:rPr>
                <w:rFonts w:ascii="Times New Roman" w:hAnsi="Times New Roman" w:cs="Times New Roman" w:eastAsia="Times New Roman" w:hint="default"/>
                <w:sz w:val="18"/>
                <w:szCs w:val="18"/>
              </w:rPr>
            </w:pPr>
            <w:r>
              <w:rPr>
                <w:rFonts w:ascii="Times New Roman"/>
                <w:sz w:val="18"/>
              </w:rPr>
              <w:t>8.78</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left="158" w:right="0"/>
              <w:jc w:val="left"/>
              <w:rPr>
                <w:rFonts w:ascii="Times New Roman" w:hAnsi="Times New Roman" w:cs="Times New Roman" w:eastAsia="Times New Roman" w:hint="default"/>
                <w:sz w:val="18"/>
                <w:szCs w:val="18"/>
              </w:rPr>
            </w:pPr>
            <w:r>
              <w:rPr>
                <w:rFonts w:ascii="Times New Roman"/>
                <w:sz w:val="18"/>
              </w:rPr>
              <w:t>25,9</w:t>
            </w:r>
          </w:p>
          <w:p>
            <w:pPr>
              <w:pStyle w:val="TableParagraph"/>
              <w:spacing w:line="240" w:lineRule="auto" w:before="100"/>
              <w:ind w:left="158" w:right="0"/>
              <w:jc w:val="left"/>
              <w:rPr>
                <w:rFonts w:ascii="Times New Roman" w:hAnsi="Times New Roman" w:cs="Times New Roman" w:eastAsia="Times New Roman" w:hint="default"/>
                <w:sz w:val="18"/>
                <w:szCs w:val="18"/>
              </w:rPr>
            </w:pPr>
            <w:r>
              <w:rPr>
                <w:rFonts w:ascii="Times New Roman"/>
                <w:sz w:val="18"/>
              </w:rPr>
              <w:t>93,4</w:t>
            </w:r>
          </w:p>
          <w:p>
            <w:pPr>
              <w:pStyle w:val="TableParagraph"/>
              <w:spacing w:line="240" w:lineRule="auto" w:before="105"/>
              <w:ind w:left="158" w:right="0"/>
              <w:jc w:val="left"/>
              <w:rPr>
                <w:rFonts w:ascii="Times New Roman" w:hAnsi="Times New Roman" w:cs="Times New Roman" w:eastAsia="Times New Roman" w:hint="default"/>
                <w:sz w:val="18"/>
                <w:szCs w:val="18"/>
              </w:rPr>
            </w:pPr>
            <w:r>
              <w:rPr>
                <w:rFonts w:ascii="Times New Roman"/>
                <w:sz w:val="18"/>
              </w:rPr>
              <w:t>96.5</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5</w:t>
            </w:r>
            <w:r>
              <w:rPr>
                <w:rFonts w:ascii="Times New Roman"/>
                <w:sz w:val="18"/>
              </w:rPr>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1,39</w:t>
            </w:r>
          </w:p>
          <w:p>
            <w:pPr>
              <w:pStyle w:val="TableParagraph"/>
              <w:spacing w:line="240" w:lineRule="auto" w:before="100"/>
              <w:ind w:left="148" w:right="0"/>
              <w:jc w:val="left"/>
              <w:rPr>
                <w:rFonts w:ascii="Times New Roman" w:hAnsi="Times New Roman" w:cs="Times New Roman" w:eastAsia="Times New Roman" w:hint="default"/>
                <w:sz w:val="18"/>
                <w:szCs w:val="18"/>
              </w:rPr>
            </w:pPr>
            <w:r>
              <w:rPr>
                <w:rFonts w:ascii="Times New Roman"/>
                <w:sz w:val="18"/>
              </w:rPr>
              <w:t>0,21</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8,71</w:t>
            </w:r>
          </w:p>
          <w:p>
            <w:pPr>
              <w:pStyle w:val="TableParagraph"/>
              <w:spacing w:line="240" w:lineRule="auto" w:before="110"/>
              <w:ind w:left="148" w:right="0"/>
              <w:jc w:val="left"/>
              <w:rPr>
                <w:rFonts w:ascii="Times New Roman" w:hAnsi="Times New Roman" w:cs="Times New Roman" w:eastAsia="Times New Roman" w:hint="default"/>
                <w:sz w:val="18"/>
                <w:szCs w:val="18"/>
              </w:rPr>
            </w:pPr>
            <w:r>
              <w:rPr>
                <w:rFonts w:ascii="Times New Roman"/>
                <w:sz w:val="18"/>
              </w:rPr>
              <w:t>5.33</w:t>
            </w:r>
          </w:p>
        </w:tc>
      </w:tr>
    </w:tbl>
    <w:p>
      <w:pPr>
        <w:pStyle w:val="BodyText"/>
        <w:spacing w:line="240" w:lineRule="auto" w:before="54"/>
        <w:ind w:right="0"/>
        <w:jc w:val="left"/>
      </w:pPr>
      <w:r>
        <w:rPr/>
        <w:t>上期金额</w:t>
      </w:r>
    </w:p>
    <w:p>
      <w:pPr>
        <w:pStyle w:val="BodyText"/>
        <w:spacing w:line="240" w:lineRule="auto" w:before="119"/>
        <w:ind w:left="0" w:right="1122"/>
        <w:jc w:val="right"/>
      </w:pPr>
      <w:r>
        <w:rPr>
          <w:spacing w:val="-2"/>
        </w:rPr>
        <w:t>单位：元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215"/>
        <w:gridCol w:w="490"/>
        <w:gridCol w:w="447"/>
        <w:gridCol w:w="451"/>
        <w:gridCol w:w="490"/>
        <w:gridCol w:w="577"/>
        <w:gridCol w:w="576"/>
        <w:gridCol w:w="576"/>
        <w:gridCol w:w="581"/>
        <w:gridCol w:w="576"/>
        <w:gridCol w:w="576"/>
        <w:gridCol w:w="591"/>
        <w:gridCol w:w="566"/>
        <w:gridCol w:w="566"/>
        <w:gridCol w:w="644"/>
        <w:gridCol w:w="648"/>
      </w:tblGrid>
      <w:tr>
        <w:trPr>
          <w:trHeight w:val="403" w:hRule="exact"/>
        </w:trPr>
        <w:tc>
          <w:tcPr>
            <w:tcW w:w="121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6"/>
                <w:szCs w:val="26"/>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8355" w:type="dxa"/>
            <w:gridSpan w:val="1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7"/>
                <w:sz w:val="18"/>
                <w:szCs w:val="18"/>
              </w:rPr>
              <w:t> </w:t>
            </w:r>
            <w:r>
              <w:rPr>
                <w:rFonts w:ascii="宋体" w:hAnsi="宋体" w:cs="宋体" w:eastAsia="宋体" w:hint="default"/>
                <w:spacing w:val="-5"/>
                <w:sz w:val="18"/>
                <w:szCs w:val="18"/>
              </w:rPr>
              <w:t>年度</w:t>
            </w:r>
            <w:r>
              <w:rPr>
                <w:rFonts w:ascii="宋体" w:hAnsi="宋体" w:cs="宋体" w:eastAsia="宋体" w:hint="default"/>
                <w:sz w:val="18"/>
                <w:szCs w:val="18"/>
              </w:rPr>
            </w:r>
          </w:p>
        </w:tc>
      </w:tr>
      <w:tr>
        <w:trPr>
          <w:trHeight w:val="403" w:hRule="exact"/>
        </w:trPr>
        <w:tc>
          <w:tcPr>
            <w:tcW w:w="1215" w:type="dxa"/>
            <w:vMerge/>
            <w:tcBorders>
              <w:left w:val="single" w:sz="4" w:space="0" w:color="000000"/>
              <w:right w:val="single" w:sz="4" w:space="0" w:color="000000"/>
            </w:tcBorders>
            <w:shd w:val="clear" w:color="auto" w:fill="D2D2D2"/>
          </w:tcPr>
          <w:p>
            <w:pPr/>
          </w:p>
        </w:tc>
        <w:tc>
          <w:tcPr>
            <w:tcW w:w="7063" w:type="dxa"/>
            <w:gridSpan w:val="1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pacing w:val="-3"/>
                <w:sz w:val="18"/>
                <w:szCs w:val="18"/>
              </w:rPr>
              <w:t>归属于母公司所有者权益</w:t>
            </w:r>
          </w:p>
        </w:tc>
        <w:tc>
          <w:tcPr>
            <w:tcW w:w="64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22"/>
                <w:szCs w:val="22"/>
              </w:rPr>
            </w:pPr>
          </w:p>
          <w:p>
            <w:pPr>
              <w:pStyle w:val="TableParagraph"/>
              <w:spacing w:line="319" w:lineRule="auto"/>
              <w:ind w:left="134" w:right="132"/>
              <w:jc w:val="both"/>
              <w:rPr>
                <w:rFonts w:ascii="宋体" w:hAnsi="宋体" w:cs="宋体" w:eastAsia="宋体" w:hint="default"/>
                <w:sz w:val="18"/>
                <w:szCs w:val="18"/>
              </w:rPr>
            </w:pPr>
            <w:r>
              <w:rPr>
                <w:rFonts w:ascii="宋体" w:hAnsi="宋体" w:cs="宋体" w:eastAsia="宋体" w:hint="default"/>
                <w:sz w:val="18"/>
                <w:szCs w:val="18"/>
              </w:rPr>
              <w:t>少数</w:t>
            </w:r>
            <w:r>
              <w:rPr>
                <w:rFonts w:ascii="宋体" w:hAnsi="宋体" w:cs="宋体" w:eastAsia="宋体" w:hint="default"/>
                <w:spacing w:val="-86"/>
                <w:sz w:val="18"/>
                <w:szCs w:val="18"/>
              </w:rPr>
              <w:t> </w:t>
            </w:r>
            <w:r>
              <w:rPr>
                <w:rFonts w:ascii="宋体" w:hAnsi="宋体" w:cs="宋体" w:eastAsia="宋体" w:hint="default"/>
                <w:sz w:val="18"/>
                <w:szCs w:val="18"/>
              </w:rPr>
              <w:t>股东</w:t>
            </w:r>
            <w:r>
              <w:rPr>
                <w:rFonts w:ascii="宋体" w:hAnsi="宋体" w:cs="宋体" w:eastAsia="宋体" w:hint="default"/>
                <w:spacing w:val="-86"/>
                <w:sz w:val="18"/>
                <w:szCs w:val="18"/>
              </w:rPr>
              <w:t> </w:t>
            </w:r>
            <w:r>
              <w:rPr>
                <w:rFonts w:ascii="宋体" w:hAnsi="宋体" w:cs="宋体" w:eastAsia="宋体" w:hint="default"/>
                <w:sz w:val="18"/>
                <w:szCs w:val="18"/>
              </w:rPr>
              <w:t>权益</w:t>
            </w:r>
          </w:p>
        </w:tc>
        <w:tc>
          <w:tcPr>
            <w:tcW w:w="648"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145"/>
              <w:ind w:left="139" w:right="132"/>
              <w:jc w:val="both"/>
              <w:rPr>
                <w:rFonts w:ascii="宋体" w:hAnsi="宋体" w:cs="宋体" w:eastAsia="宋体" w:hint="default"/>
                <w:sz w:val="18"/>
                <w:szCs w:val="18"/>
              </w:rPr>
            </w:pPr>
            <w:r>
              <w:rPr>
                <w:rFonts w:ascii="宋体" w:hAnsi="宋体" w:cs="宋体" w:eastAsia="宋体" w:hint="default"/>
                <w:sz w:val="18"/>
                <w:szCs w:val="18"/>
              </w:rPr>
              <w:t>所有</w:t>
            </w:r>
            <w:r>
              <w:rPr>
                <w:rFonts w:ascii="宋体" w:hAnsi="宋体" w:cs="宋体" w:eastAsia="宋体" w:hint="default"/>
                <w:spacing w:val="-86"/>
                <w:sz w:val="18"/>
                <w:szCs w:val="18"/>
              </w:rPr>
              <w:t> </w:t>
            </w:r>
            <w:r>
              <w:rPr>
                <w:rFonts w:ascii="宋体" w:hAnsi="宋体" w:cs="宋体" w:eastAsia="宋体" w:hint="default"/>
                <w:sz w:val="18"/>
                <w:szCs w:val="18"/>
              </w:rPr>
              <w:t>者权</w:t>
            </w:r>
            <w:r>
              <w:rPr>
                <w:rFonts w:ascii="宋体" w:hAnsi="宋体" w:cs="宋体" w:eastAsia="宋体" w:hint="default"/>
                <w:spacing w:val="-86"/>
                <w:sz w:val="18"/>
                <w:szCs w:val="18"/>
              </w:rPr>
              <w:t> </w:t>
            </w:r>
            <w:r>
              <w:rPr>
                <w:rFonts w:ascii="宋体" w:hAnsi="宋体" w:cs="宋体" w:eastAsia="宋体" w:hint="default"/>
                <w:sz w:val="18"/>
                <w:szCs w:val="18"/>
              </w:rPr>
              <w:t>益合</w:t>
            </w:r>
            <w:r>
              <w:rPr>
                <w:rFonts w:ascii="宋体" w:hAnsi="宋体" w:cs="宋体" w:eastAsia="宋体" w:hint="default"/>
                <w:spacing w:val="-86"/>
                <w:sz w:val="18"/>
                <w:szCs w:val="18"/>
              </w:rPr>
              <w:t> </w:t>
            </w:r>
            <w:r>
              <w:rPr>
                <w:rFonts w:ascii="宋体" w:hAnsi="宋体" w:cs="宋体" w:eastAsia="宋体" w:hint="default"/>
                <w:sz w:val="18"/>
                <w:szCs w:val="18"/>
              </w:rPr>
              <w:t>计</w:t>
            </w:r>
          </w:p>
        </w:tc>
      </w:tr>
      <w:tr>
        <w:trPr>
          <w:trHeight w:val="399" w:hRule="exact"/>
        </w:trPr>
        <w:tc>
          <w:tcPr>
            <w:tcW w:w="1215" w:type="dxa"/>
            <w:vMerge/>
            <w:tcBorders>
              <w:left w:val="single" w:sz="4" w:space="0" w:color="000000"/>
              <w:right w:val="single" w:sz="4" w:space="0" w:color="000000"/>
            </w:tcBorders>
            <w:shd w:val="clear" w:color="auto" w:fill="D2D2D2"/>
          </w:tcPr>
          <w:p>
            <w:pPr/>
          </w:p>
        </w:tc>
        <w:tc>
          <w:tcPr>
            <w:tcW w:w="49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316" w:lineRule="auto"/>
              <w:ind w:left="148" w:right="146"/>
              <w:jc w:val="left"/>
              <w:rPr>
                <w:rFonts w:ascii="宋体" w:hAnsi="宋体" w:cs="宋体" w:eastAsia="宋体" w:hint="default"/>
                <w:sz w:val="18"/>
                <w:szCs w:val="18"/>
              </w:rPr>
            </w:pPr>
            <w:r>
              <w:rPr>
                <w:rFonts w:ascii="宋体" w:hAnsi="宋体" w:cs="宋体" w:eastAsia="宋体" w:hint="default"/>
                <w:sz w:val="18"/>
                <w:szCs w:val="18"/>
              </w:rPr>
              <w:t>股</w:t>
            </w:r>
            <w:r>
              <w:rPr>
                <w:rFonts w:ascii="宋体" w:hAnsi="宋体" w:cs="宋体" w:eastAsia="宋体" w:hint="default"/>
                <w:spacing w:val="-88"/>
                <w:sz w:val="18"/>
                <w:szCs w:val="18"/>
              </w:rPr>
              <w:t> </w:t>
            </w:r>
            <w:r>
              <w:rPr>
                <w:rFonts w:ascii="宋体" w:hAnsi="宋体" w:cs="宋体" w:eastAsia="宋体" w:hint="default"/>
                <w:sz w:val="18"/>
                <w:szCs w:val="18"/>
              </w:rPr>
              <w:t>本</w:t>
            </w:r>
          </w:p>
        </w:tc>
        <w:tc>
          <w:tcPr>
            <w:tcW w:w="1388"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43"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57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316" w:lineRule="auto"/>
              <w:ind w:left="105" w:right="94"/>
              <w:jc w:val="left"/>
              <w:rPr>
                <w:rFonts w:ascii="宋体" w:hAnsi="宋体" w:cs="宋体" w:eastAsia="宋体" w:hint="default"/>
                <w:sz w:val="18"/>
                <w:szCs w:val="18"/>
              </w:rPr>
            </w:pPr>
            <w:r>
              <w:rPr>
                <w:rFonts w:ascii="宋体" w:hAnsi="宋体" w:cs="宋体" w:eastAsia="宋体" w:hint="default"/>
                <w:sz w:val="18"/>
                <w:szCs w:val="18"/>
              </w:rPr>
              <w:t>资本</w:t>
            </w:r>
            <w:r>
              <w:rPr>
                <w:rFonts w:ascii="宋体" w:hAnsi="宋体" w:cs="宋体" w:eastAsia="宋体" w:hint="default"/>
                <w:spacing w:val="-86"/>
                <w:sz w:val="18"/>
                <w:szCs w:val="18"/>
              </w:rPr>
              <w:t> </w:t>
            </w:r>
            <w:r>
              <w:rPr>
                <w:rFonts w:ascii="宋体" w:hAnsi="宋体" w:cs="宋体" w:eastAsia="宋体" w:hint="default"/>
                <w:sz w:val="18"/>
                <w:szCs w:val="18"/>
              </w:rPr>
              <w:t>公积</w:t>
            </w:r>
          </w:p>
        </w:tc>
        <w:tc>
          <w:tcPr>
            <w:tcW w:w="57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7"/>
              <w:ind w:left="105" w:right="95"/>
              <w:jc w:val="both"/>
              <w:rPr>
                <w:rFonts w:ascii="宋体" w:hAnsi="宋体" w:cs="宋体" w:eastAsia="宋体" w:hint="default"/>
                <w:sz w:val="18"/>
                <w:szCs w:val="18"/>
              </w:rPr>
            </w:pPr>
            <w:r>
              <w:rPr>
                <w:rFonts w:ascii="宋体" w:hAnsi="宋体" w:cs="宋体" w:eastAsia="宋体" w:hint="default"/>
                <w:sz w:val="18"/>
                <w:szCs w:val="18"/>
              </w:rPr>
              <w:t>减：</w:t>
            </w:r>
            <w:r>
              <w:rPr>
                <w:rFonts w:ascii="宋体" w:hAnsi="宋体" w:cs="宋体" w:eastAsia="宋体" w:hint="default"/>
                <w:spacing w:val="-86"/>
                <w:sz w:val="18"/>
                <w:szCs w:val="18"/>
              </w:rPr>
              <w:t> </w:t>
            </w:r>
            <w:r>
              <w:rPr>
                <w:rFonts w:ascii="宋体" w:hAnsi="宋体" w:cs="宋体" w:eastAsia="宋体" w:hint="default"/>
                <w:sz w:val="18"/>
                <w:szCs w:val="18"/>
              </w:rPr>
              <w:t>库存</w:t>
            </w:r>
            <w:r>
              <w:rPr>
                <w:rFonts w:ascii="宋体" w:hAnsi="宋体" w:cs="宋体" w:eastAsia="宋体" w:hint="default"/>
                <w:spacing w:val="-86"/>
                <w:sz w:val="18"/>
                <w:szCs w:val="18"/>
              </w:rPr>
              <w:t> </w:t>
            </w:r>
            <w:r>
              <w:rPr>
                <w:rFonts w:ascii="宋体" w:hAnsi="宋体" w:cs="宋体" w:eastAsia="宋体" w:hint="default"/>
                <w:sz w:val="18"/>
                <w:szCs w:val="18"/>
              </w:rPr>
              <w:t>股</w:t>
            </w:r>
          </w:p>
        </w:tc>
        <w:tc>
          <w:tcPr>
            <w:tcW w:w="57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7"/>
              <w:ind w:left="105" w:right="94"/>
              <w:jc w:val="both"/>
              <w:rPr>
                <w:rFonts w:ascii="宋体" w:hAnsi="宋体" w:cs="宋体" w:eastAsia="宋体" w:hint="default"/>
                <w:sz w:val="18"/>
                <w:szCs w:val="18"/>
              </w:rPr>
            </w:pPr>
            <w:r>
              <w:rPr>
                <w:rFonts w:ascii="宋体" w:hAnsi="宋体" w:cs="宋体" w:eastAsia="宋体" w:hint="default"/>
                <w:sz w:val="18"/>
                <w:szCs w:val="18"/>
              </w:rPr>
              <w:t>其他</w:t>
            </w:r>
            <w:r>
              <w:rPr>
                <w:rFonts w:ascii="宋体" w:hAnsi="宋体" w:cs="宋体" w:eastAsia="宋体" w:hint="default"/>
                <w:spacing w:val="-86"/>
                <w:sz w:val="18"/>
                <w:szCs w:val="18"/>
              </w:rPr>
              <w:t> </w:t>
            </w:r>
            <w:r>
              <w:rPr>
                <w:rFonts w:ascii="宋体" w:hAnsi="宋体" w:cs="宋体" w:eastAsia="宋体" w:hint="default"/>
                <w:sz w:val="18"/>
                <w:szCs w:val="18"/>
              </w:rPr>
              <w:t>综合</w:t>
            </w:r>
            <w:r>
              <w:rPr>
                <w:rFonts w:ascii="宋体" w:hAnsi="宋体" w:cs="宋体" w:eastAsia="宋体" w:hint="default"/>
                <w:spacing w:val="-86"/>
                <w:sz w:val="18"/>
                <w:szCs w:val="18"/>
              </w:rPr>
              <w:t> </w:t>
            </w:r>
            <w:r>
              <w:rPr>
                <w:rFonts w:ascii="宋体" w:hAnsi="宋体" w:cs="宋体" w:eastAsia="宋体" w:hint="default"/>
                <w:sz w:val="18"/>
                <w:szCs w:val="18"/>
              </w:rPr>
              <w:t>收益</w:t>
            </w:r>
          </w:p>
        </w:tc>
        <w:tc>
          <w:tcPr>
            <w:tcW w:w="58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316" w:lineRule="auto"/>
              <w:ind w:left="105" w:right="98"/>
              <w:jc w:val="left"/>
              <w:rPr>
                <w:rFonts w:ascii="宋体" w:hAnsi="宋体" w:cs="宋体" w:eastAsia="宋体" w:hint="default"/>
                <w:sz w:val="18"/>
                <w:szCs w:val="18"/>
              </w:rPr>
            </w:pPr>
            <w:r>
              <w:rPr>
                <w:rFonts w:ascii="宋体" w:hAnsi="宋体" w:cs="宋体" w:eastAsia="宋体" w:hint="default"/>
                <w:sz w:val="18"/>
                <w:szCs w:val="18"/>
              </w:rPr>
              <w:t>专项</w:t>
            </w:r>
            <w:r>
              <w:rPr>
                <w:rFonts w:ascii="宋体" w:hAnsi="宋体" w:cs="宋体" w:eastAsia="宋体" w:hint="default"/>
                <w:spacing w:val="-86"/>
                <w:sz w:val="18"/>
                <w:szCs w:val="18"/>
              </w:rPr>
              <w:t> </w:t>
            </w:r>
            <w:r>
              <w:rPr>
                <w:rFonts w:ascii="宋体" w:hAnsi="宋体" w:cs="宋体" w:eastAsia="宋体" w:hint="default"/>
                <w:sz w:val="18"/>
                <w:szCs w:val="18"/>
              </w:rPr>
              <w:t>储备</w:t>
            </w:r>
          </w:p>
        </w:tc>
        <w:tc>
          <w:tcPr>
            <w:tcW w:w="57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316" w:lineRule="auto"/>
              <w:ind w:left="100" w:right="99"/>
              <w:jc w:val="left"/>
              <w:rPr>
                <w:rFonts w:ascii="宋体" w:hAnsi="宋体" w:cs="宋体" w:eastAsia="宋体" w:hint="default"/>
                <w:sz w:val="18"/>
                <w:szCs w:val="18"/>
              </w:rPr>
            </w:pPr>
            <w:r>
              <w:rPr>
                <w:rFonts w:ascii="宋体" w:hAnsi="宋体" w:cs="宋体" w:eastAsia="宋体" w:hint="default"/>
                <w:sz w:val="18"/>
                <w:szCs w:val="18"/>
              </w:rPr>
              <w:t>盈余</w:t>
            </w:r>
            <w:r>
              <w:rPr>
                <w:rFonts w:ascii="宋体" w:hAnsi="宋体" w:cs="宋体" w:eastAsia="宋体" w:hint="default"/>
                <w:spacing w:val="-86"/>
                <w:sz w:val="18"/>
                <w:szCs w:val="18"/>
              </w:rPr>
              <w:t> </w:t>
            </w:r>
            <w:r>
              <w:rPr>
                <w:rFonts w:ascii="宋体" w:hAnsi="宋体" w:cs="宋体" w:eastAsia="宋体" w:hint="default"/>
                <w:sz w:val="18"/>
                <w:szCs w:val="18"/>
              </w:rPr>
              <w:t>公积</w:t>
            </w:r>
          </w:p>
        </w:tc>
        <w:tc>
          <w:tcPr>
            <w:tcW w:w="57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7"/>
              <w:ind w:left="100" w:right="98"/>
              <w:jc w:val="both"/>
              <w:rPr>
                <w:rFonts w:ascii="宋体" w:hAnsi="宋体" w:cs="宋体" w:eastAsia="宋体" w:hint="default"/>
                <w:sz w:val="18"/>
                <w:szCs w:val="18"/>
              </w:rPr>
            </w:pPr>
            <w:r>
              <w:rPr>
                <w:rFonts w:ascii="宋体" w:hAnsi="宋体" w:cs="宋体" w:eastAsia="宋体" w:hint="default"/>
                <w:sz w:val="18"/>
                <w:szCs w:val="18"/>
              </w:rPr>
              <w:t>一般</w:t>
            </w:r>
            <w:r>
              <w:rPr>
                <w:rFonts w:ascii="宋体" w:hAnsi="宋体" w:cs="宋体" w:eastAsia="宋体" w:hint="default"/>
                <w:spacing w:val="-86"/>
                <w:sz w:val="18"/>
                <w:szCs w:val="18"/>
              </w:rPr>
              <w:t> </w:t>
            </w:r>
            <w:r>
              <w:rPr>
                <w:rFonts w:ascii="宋体" w:hAnsi="宋体" w:cs="宋体" w:eastAsia="宋体" w:hint="default"/>
                <w:sz w:val="18"/>
                <w:szCs w:val="18"/>
              </w:rPr>
              <w:t>风险</w:t>
            </w:r>
            <w:r>
              <w:rPr>
                <w:rFonts w:ascii="宋体" w:hAnsi="宋体" w:cs="宋体" w:eastAsia="宋体" w:hint="default"/>
                <w:spacing w:val="-86"/>
                <w:sz w:val="18"/>
                <w:szCs w:val="18"/>
              </w:rPr>
              <w:t> </w:t>
            </w:r>
            <w:r>
              <w:rPr>
                <w:rFonts w:ascii="宋体" w:hAnsi="宋体" w:cs="宋体" w:eastAsia="宋体" w:hint="default"/>
                <w:sz w:val="18"/>
                <w:szCs w:val="18"/>
              </w:rPr>
              <w:t>准备</w:t>
            </w:r>
          </w:p>
        </w:tc>
        <w:tc>
          <w:tcPr>
            <w:tcW w:w="591"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7"/>
              <w:ind w:left="110" w:right="104"/>
              <w:jc w:val="both"/>
              <w:rPr>
                <w:rFonts w:ascii="宋体" w:hAnsi="宋体" w:cs="宋体" w:eastAsia="宋体" w:hint="default"/>
                <w:sz w:val="18"/>
                <w:szCs w:val="18"/>
              </w:rPr>
            </w:pPr>
            <w:r>
              <w:rPr>
                <w:rFonts w:ascii="宋体" w:hAnsi="宋体" w:cs="宋体" w:eastAsia="宋体" w:hint="default"/>
                <w:sz w:val="18"/>
                <w:szCs w:val="18"/>
              </w:rPr>
              <w:t>未分</w:t>
            </w:r>
            <w:r>
              <w:rPr>
                <w:rFonts w:ascii="宋体" w:hAnsi="宋体" w:cs="宋体" w:eastAsia="宋体" w:hint="default"/>
                <w:spacing w:val="-86"/>
                <w:sz w:val="18"/>
                <w:szCs w:val="18"/>
              </w:rPr>
              <w:t> </w:t>
            </w:r>
            <w:r>
              <w:rPr>
                <w:rFonts w:ascii="宋体" w:hAnsi="宋体" w:cs="宋体" w:eastAsia="宋体" w:hint="default"/>
                <w:sz w:val="18"/>
                <w:szCs w:val="18"/>
              </w:rPr>
              <w:t>配利</w:t>
            </w:r>
            <w:r>
              <w:rPr>
                <w:rFonts w:ascii="宋体" w:hAnsi="宋体" w:cs="宋体" w:eastAsia="宋体" w:hint="default"/>
                <w:spacing w:val="-86"/>
                <w:sz w:val="18"/>
                <w:szCs w:val="18"/>
              </w:rPr>
              <w:t> </w:t>
            </w:r>
            <w:r>
              <w:rPr>
                <w:rFonts w:ascii="宋体" w:hAnsi="宋体" w:cs="宋体" w:eastAsia="宋体" w:hint="default"/>
                <w:sz w:val="18"/>
                <w:szCs w:val="18"/>
              </w:rPr>
              <w:t>润</w:t>
            </w:r>
          </w:p>
        </w:tc>
        <w:tc>
          <w:tcPr>
            <w:tcW w:w="5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316" w:lineRule="auto"/>
              <w:ind w:left="187" w:right="185"/>
              <w:jc w:val="center"/>
              <w:rPr>
                <w:rFonts w:ascii="宋体" w:hAnsi="宋体" w:cs="宋体" w:eastAsia="宋体" w:hint="default"/>
                <w:sz w:val="18"/>
                <w:szCs w:val="18"/>
              </w:rPr>
            </w:pPr>
            <w:r>
              <w:rPr>
                <w:rFonts w:ascii="宋体" w:hAnsi="宋体" w:cs="宋体" w:eastAsia="宋体" w:hint="default"/>
                <w:sz w:val="18"/>
                <w:szCs w:val="18"/>
              </w:rPr>
              <w:t>其</w:t>
            </w:r>
            <w:r>
              <w:rPr>
                <w:rFonts w:ascii="宋体" w:hAnsi="宋体" w:cs="宋体" w:eastAsia="宋体" w:hint="default"/>
                <w:w w:val="101"/>
                <w:sz w:val="18"/>
                <w:szCs w:val="18"/>
              </w:rPr>
              <w:t> </w:t>
            </w:r>
            <w:r>
              <w:rPr>
                <w:rFonts w:ascii="宋体" w:hAnsi="宋体" w:cs="宋体" w:eastAsia="宋体" w:hint="default"/>
                <w:sz w:val="18"/>
                <w:szCs w:val="18"/>
              </w:rPr>
              <w:t>他</w:t>
            </w:r>
          </w:p>
        </w:tc>
        <w:tc>
          <w:tcPr>
            <w:tcW w:w="5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316" w:lineRule="auto"/>
              <w:ind w:left="187" w:right="185"/>
              <w:jc w:val="center"/>
              <w:rPr>
                <w:rFonts w:ascii="宋体" w:hAnsi="宋体" w:cs="宋体" w:eastAsia="宋体" w:hint="default"/>
                <w:sz w:val="18"/>
                <w:szCs w:val="18"/>
              </w:rPr>
            </w:pPr>
            <w:r>
              <w:rPr>
                <w:rFonts w:ascii="宋体" w:hAnsi="宋体" w:cs="宋体" w:eastAsia="宋体" w:hint="default"/>
                <w:sz w:val="18"/>
                <w:szCs w:val="18"/>
              </w:rPr>
              <w:t>小</w:t>
            </w:r>
            <w:r>
              <w:rPr>
                <w:rFonts w:ascii="宋体" w:hAnsi="宋体" w:cs="宋体" w:eastAsia="宋体" w:hint="default"/>
                <w:w w:val="101"/>
                <w:sz w:val="18"/>
                <w:szCs w:val="18"/>
              </w:rPr>
              <w:t> </w:t>
            </w:r>
            <w:r>
              <w:rPr>
                <w:rFonts w:ascii="宋体" w:hAnsi="宋体" w:cs="宋体" w:eastAsia="宋体" w:hint="default"/>
                <w:sz w:val="18"/>
                <w:szCs w:val="18"/>
              </w:rPr>
              <w:t>计</w:t>
            </w:r>
          </w:p>
        </w:tc>
        <w:tc>
          <w:tcPr>
            <w:tcW w:w="644" w:type="dxa"/>
            <w:vMerge/>
            <w:tcBorders>
              <w:left w:val="single" w:sz="4" w:space="0" w:color="000000"/>
              <w:right w:val="single" w:sz="4" w:space="0" w:color="000000"/>
            </w:tcBorders>
            <w:shd w:val="clear" w:color="auto" w:fill="D2D2D2"/>
          </w:tcPr>
          <w:p>
            <w:pPr/>
          </w:p>
        </w:tc>
        <w:tc>
          <w:tcPr>
            <w:tcW w:w="648" w:type="dxa"/>
            <w:vMerge/>
            <w:tcBorders>
              <w:left w:val="single" w:sz="4" w:space="0" w:color="000000"/>
              <w:right w:val="single" w:sz="4" w:space="0" w:color="000000"/>
            </w:tcBorders>
            <w:shd w:val="clear" w:color="auto" w:fill="D2D2D2"/>
          </w:tcPr>
          <w:p>
            <w:pPr/>
          </w:p>
        </w:tc>
      </w:tr>
      <w:tr>
        <w:trPr>
          <w:trHeight w:val="715" w:hRule="exact"/>
        </w:trPr>
        <w:tc>
          <w:tcPr>
            <w:tcW w:w="1215" w:type="dxa"/>
            <w:vMerge/>
            <w:tcBorders>
              <w:left w:val="single" w:sz="4" w:space="0" w:color="000000"/>
              <w:bottom w:val="single" w:sz="4" w:space="0" w:color="000000"/>
              <w:right w:val="single" w:sz="4" w:space="0" w:color="000000"/>
            </w:tcBorders>
            <w:shd w:val="clear" w:color="auto" w:fill="D2D2D2"/>
          </w:tcPr>
          <w:p>
            <w:pPr/>
          </w:p>
        </w:tc>
        <w:tc>
          <w:tcPr>
            <w:tcW w:w="490" w:type="dxa"/>
            <w:vMerge/>
            <w:tcBorders>
              <w:left w:val="single" w:sz="4" w:space="0" w:color="000000"/>
              <w:bottom w:val="single" w:sz="4" w:space="0" w:color="000000"/>
              <w:right w:val="single" w:sz="4" w:space="0" w:color="000000"/>
            </w:tcBorders>
            <w:shd w:val="clear" w:color="auto" w:fill="D2D2D2"/>
          </w:tcPr>
          <w:p>
            <w:pPr/>
          </w:p>
        </w:tc>
        <w:tc>
          <w:tcPr>
            <w:tcW w:w="4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2" w:lineRule="auto" w:before="77"/>
              <w:ind w:left="129" w:right="123"/>
              <w:jc w:val="left"/>
              <w:rPr>
                <w:rFonts w:ascii="宋体" w:hAnsi="宋体" w:cs="宋体" w:eastAsia="宋体" w:hint="default"/>
                <w:sz w:val="18"/>
                <w:szCs w:val="18"/>
              </w:rPr>
            </w:pPr>
            <w:r>
              <w:rPr>
                <w:rFonts w:ascii="宋体" w:hAnsi="宋体" w:cs="宋体" w:eastAsia="宋体" w:hint="default"/>
                <w:sz w:val="18"/>
                <w:szCs w:val="18"/>
              </w:rPr>
              <w:t>优</w:t>
            </w:r>
            <w:r>
              <w:rPr>
                <w:rFonts w:ascii="宋体" w:hAnsi="宋体" w:cs="宋体" w:eastAsia="宋体" w:hint="default"/>
                <w:spacing w:val="-88"/>
                <w:sz w:val="18"/>
                <w:szCs w:val="18"/>
              </w:rPr>
              <w:t> </w:t>
            </w:r>
            <w:r>
              <w:rPr>
                <w:rFonts w:ascii="宋体" w:hAnsi="宋体" w:cs="宋体" w:eastAsia="宋体" w:hint="default"/>
                <w:sz w:val="18"/>
                <w:szCs w:val="18"/>
              </w:rPr>
              <w:t>先</w:t>
            </w:r>
          </w:p>
        </w:tc>
        <w:tc>
          <w:tcPr>
            <w:tcW w:w="4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2" w:lineRule="auto" w:before="77"/>
              <w:ind w:left="134" w:right="122"/>
              <w:jc w:val="left"/>
              <w:rPr>
                <w:rFonts w:ascii="宋体" w:hAnsi="宋体" w:cs="宋体" w:eastAsia="宋体" w:hint="default"/>
                <w:sz w:val="18"/>
                <w:szCs w:val="18"/>
              </w:rPr>
            </w:pPr>
            <w:r>
              <w:rPr>
                <w:rFonts w:ascii="宋体" w:hAnsi="宋体" w:cs="宋体" w:eastAsia="宋体" w:hint="default"/>
                <w:sz w:val="18"/>
                <w:szCs w:val="18"/>
              </w:rPr>
              <w:t>永</w:t>
            </w:r>
            <w:r>
              <w:rPr>
                <w:rFonts w:ascii="宋体" w:hAnsi="宋体" w:cs="宋体" w:eastAsia="宋体" w:hint="default"/>
                <w:spacing w:val="-88"/>
                <w:sz w:val="18"/>
                <w:szCs w:val="18"/>
              </w:rPr>
              <w:t> </w:t>
            </w:r>
            <w:r>
              <w:rPr>
                <w:rFonts w:ascii="宋体" w:hAnsi="宋体" w:cs="宋体" w:eastAsia="宋体" w:hint="default"/>
                <w:sz w:val="18"/>
                <w:szCs w:val="18"/>
              </w:rPr>
              <w:t>续</w:t>
            </w:r>
          </w:p>
        </w:tc>
        <w:tc>
          <w:tcPr>
            <w:tcW w:w="4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48" w:right="146"/>
              <w:jc w:val="left"/>
              <w:rPr>
                <w:rFonts w:ascii="宋体" w:hAnsi="宋体" w:cs="宋体" w:eastAsia="宋体" w:hint="default"/>
                <w:sz w:val="18"/>
                <w:szCs w:val="18"/>
              </w:rPr>
            </w:pPr>
            <w:r>
              <w:rPr>
                <w:rFonts w:ascii="宋体" w:hAnsi="宋体" w:cs="宋体" w:eastAsia="宋体" w:hint="default"/>
                <w:sz w:val="18"/>
                <w:szCs w:val="18"/>
              </w:rPr>
              <w:t>其</w:t>
            </w:r>
            <w:r>
              <w:rPr>
                <w:rFonts w:ascii="宋体" w:hAnsi="宋体" w:cs="宋体" w:eastAsia="宋体" w:hint="default"/>
                <w:spacing w:val="-88"/>
                <w:sz w:val="18"/>
                <w:szCs w:val="18"/>
              </w:rPr>
              <w:t> </w:t>
            </w:r>
            <w:r>
              <w:rPr>
                <w:rFonts w:ascii="宋体" w:hAnsi="宋体" w:cs="宋体" w:eastAsia="宋体" w:hint="default"/>
                <w:sz w:val="18"/>
                <w:szCs w:val="18"/>
              </w:rPr>
              <w:t>他</w:t>
            </w:r>
          </w:p>
        </w:tc>
        <w:tc>
          <w:tcPr>
            <w:tcW w:w="577" w:type="dxa"/>
            <w:vMerge/>
            <w:tcBorders>
              <w:left w:val="single" w:sz="4" w:space="0" w:color="000000"/>
              <w:bottom w:val="single" w:sz="4" w:space="0" w:color="000000"/>
              <w:right w:val="single" w:sz="4" w:space="0" w:color="000000"/>
            </w:tcBorders>
            <w:shd w:val="clear" w:color="auto" w:fill="D2D2D2"/>
          </w:tcPr>
          <w:p>
            <w:pPr/>
          </w:p>
        </w:tc>
        <w:tc>
          <w:tcPr>
            <w:tcW w:w="576" w:type="dxa"/>
            <w:vMerge/>
            <w:tcBorders>
              <w:left w:val="single" w:sz="4" w:space="0" w:color="000000"/>
              <w:bottom w:val="single" w:sz="4" w:space="0" w:color="000000"/>
              <w:right w:val="single" w:sz="4" w:space="0" w:color="000000"/>
            </w:tcBorders>
            <w:shd w:val="clear" w:color="auto" w:fill="D2D2D2"/>
          </w:tcPr>
          <w:p>
            <w:pPr/>
          </w:p>
        </w:tc>
        <w:tc>
          <w:tcPr>
            <w:tcW w:w="576" w:type="dxa"/>
            <w:vMerge/>
            <w:tcBorders>
              <w:left w:val="single" w:sz="4" w:space="0" w:color="000000"/>
              <w:bottom w:val="single" w:sz="4" w:space="0" w:color="000000"/>
              <w:right w:val="single" w:sz="4" w:space="0" w:color="000000"/>
            </w:tcBorders>
            <w:shd w:val="clear" w:color="auto" w:fill="D2D2D2"/>
          </w:tcPr>
          <w:p>
            <w:pPr/>
          </w:p>
        </w:tc>
        <w:tc>
          <w:tcPr>
            <w:tcW w:w="581" w:type="dxa"/>
            <w:vMerge/>
            <w:tcBorders>
              <w:left w:val="single" w:sz="4" w:space="0" w:color="000000"/>
              <w:bottom w:val="single" w:sz="4" w:space="0" w:color="000000"/>
              <w:right w:val="single" w:sz="4" w:space="0" w:color="000000"/>
            </w:tcBorders>
            <w:shd w:val="clear" w:color="auto" w:fill="D2D2D2"/>
          </w:tcPr>
          <w:p>
            <w:pPr/>
          </w:p>
        </w:tc>
        <w:tc>
          <w:tcPr>
            <w:tcW w:w="576" w:type="dxa"/>
            <w:vMerge/>
            <w:tcBorders>
              <w:left w:val="single" w:sz="4" w:space="0" w:color="000000"/>
              <w:bottom w:val="single" w:sz="4" w:space="0" w:color="000000"/>
              <w:right w:val="single" w:sz="4" w:space="0" w:color="000000"/>
            </w:tcBorders>
            <w:shd w:val="clear" w:color="auto" w:fill="D2D2D2"/>
          </w:tcPr>
          <w:p>
            <w:pPr/>
          </w:p>
        </w:tc>
        <w:tc>
          <w:tcPr>
            <w:tcW w:w="576" w:type="dxa"/>
            <w:vMerge/>
            <w:tcBorders>
              <w:left w:val="single" w:sz="4" w:space="0" w:color="000000"/>
              <w:bottom w:val="single" w:sz="4" w:space="0" w:color="000000"/>
              <w:right w:val="single" w:sz="4" w:space="0" w:color="000000"/>
            </w:tcBorders>
            <w:shd w:val="clear" w:color="auto" w:fill="D2D2D2"/>
          </w:tcPr>
          <w:p>
            <w:pPr/>
          </w:p>
        </w:tc>
        <w:tc>
          <w:tcPr>
            <w:tcW w:w="591" w:type="dxa"/>
            <w:vMerge/>
            <w:tcBorders>
              <w:left w:val="single" w:sz="4" w:space="0" w:color="000000"/>
              <w:bottom w:val="single" w:sz="4" w:space="0" w:color="000000"/>
              <w:right w:val="single" w:sz="4" w:space="0" w:color="000000"/>
            </w:tcBorders>
            <w:shd w:val="clear" w:color="auto" w:fill="D2D2D2"/>
          </w:tcPr>
          <w:p>
            <w:pPr/>
          </w:p>
        </w:tc>
        <w:tc>
          <w:tcPr>
            <w:tcW w:w="566" w:type="dxa"/>
            <w:vMerge/>
            <w:tcBorders>
              <w:left w:val="single" w:sz="4" w:space="0" w:color="000000"/>
              <w:bottom w:val="single" w:sz="4" w:space="0" w:color="000000"/>
              <w:right w:val="single" w:sz="4" w:space="0" w:color="000000"/>
            </w:tcBorders>
            <w:shd w:val="clear" w:color="auto" w:fill="D2D2D2"/>
          </w:tcPr>
          <w:p>
            <w:pPr/>
          </w:p>
        </w:tc>
        <w:tc>
          <w:tcPr>
            <w:tcW w:w="566" w:type="dxa"/>
            <w:vMerge/>
            <w:tcBorders>
              <w:left w:val="single" w:sz="4" w:space="0" w:color="000000"/>
              <w:bottom w:val="single" w:sz="4" w:space="0" w:color="000000"/>
              <w:right w:val="single" w:sz="4" w:space="0" w:color="000000"/>
            </w:tcBorders>
            <w:shd w:val="clear" w:color="auto" w:fill="D2D2D2"/>
          </w:tcPr>
          <w:p>
            <w:pPr/>
          </w:p>
        </w:tc>
        <w:tc>
          <w:tcPr>
            <w:tcW w:w="644" w:type="dxa"/>
            <w:vMerge/>
            <w:tcBorders>
              <w:left w:val="single" w:sz="4" w:space="0" w:color="000000"/>
              <w:bottom w:val="single" w:sz="4" w:space="0" w:color="000000"/>
              <w:right w:val="single" w:sz="4" w:space="0" w:color="000000"/>
            </w:tcBorders>
            <w:shd w:val="clear" w:color="auto" w:fill="D2D2D2"/>
          </w:tcPr>
          <w:p>
            <w:pPr/>
          </w:p>
        </w:tc>
        <w:tc>
          <w:tcPr>
            <w:tcW w:w="648" w:type="dxa"/>
            <w:vMerge/>
            <w:tcBorders>
              <w:left w:val="single" w:sz="4" w:space="0" w:color="000000"/>
              <w:bottom w:val="single" w:sz="4" w:space="0" w:color="000000"/>
              <w:right w:val="single" w:sz="4" w:space="0" w:color="000000"/>
            </w:tcBorders>
            <w:shd w:val="clear" w:color="auto" w:fill="D2D2D2"/>
          </w:tcPr>
          <w:p>
            <w:pPr/>
          </w:p>
        </w:tc>
      </w:tr>
    </w:tbl>
    <w:p>
      <w:pPr>
        <w:spacing w:after="0"/>
        <w:sectPr>
          <w:pgSz w:w="11910" w:h="16840"/>
          <w:pgMar w:header="784" w:footer="1022" w:top="1100" w:bottom="1220" w:left="980" w:right="0"/>
        </w:sectPr>
      </w:pPr>
    </w:p>
    <w:p>
      <w:pPr>
        <w:spacing w:line="240" w:lineRule="auto" w:before="1"/>
        <w:rPr>
          <w:rFonts w:ascii="Times New Roman" w:hAnsi="Times New Roman" w:cs="Times New Roman" w:eastAsia="Times New Roman" w:hint="default"/>
          <w:sz w:val="29"/>
          <w:szCs w:val="29"/>
        </w:rPr>
      </w:pPr>
    </w:p>
    <w:tbl>
      <w:tblPr>
        <w:tblW w:w="0" w:type="auto"/>
        <w:jc w:val="left"/>
        <w:tblInd w:w="148" w:type="dxa"/>
        <w:tblLayout w:type="fixed"/>
        <w:tblCellMar>
          <w:top w:w="0" w:type="dxa"/>
          <w:left w:w="0" w:type="dxa"/>
          <w:bottom w:w="0" w:type="dxa"/>
          <w:right w:w="0" w:type="dxa"/>
        </w:tblCellMar>
        <w:tblLook w:val="01E0"/>
      </w:tblPr>
      <w:tblGrid>
        <w:gridCol w:w="1215"/>
        <w:gridCol w:w="490"/>
        <w:gridCol w:w="447"/>
        <w:gridCol w:w="451"/>
        <w:gridCol w:w="490"/>
        <w:gridCol w:w="577"/>
        <w:gridCol w:w="576"/>
        <w:gridCol w:w="576"/>
        <w:gridCol w:w="581"/>
        <w:gridCol w:w="576"/>
        <w:gridCol w:w="576"/>
        <w:gridCol w:w="591"/>
        <w:gridCol w:w="566"/>
        <w:gridCol w:w="566"/>
        <w:gridCol w:w="644"/>
        <w:gridCol w:w="648"/>
      </w:tblGrid>
      <w:tr>
        <w:trPr>
          <w:trHeight w:val="360"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4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4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129" w:right="0"/>
              <w:jc w:val="left"/>
              <w:rPr>
                <w:rFonts w:ascii="宋体" w:hAnsi="宋体" w:cs="宋体" w:eastAsia="宋体" w:hint="default"/>
                <w:sz w:val="18"/>
                <w:szCs w:val="18"/>
              </w:rPr>
            </w:pPr>
            <w:r>
              <w:rPr>
                <w:rFonts w:ascii="宋体" w:hAnsi="宋体" w:cs="宋体" w:eastAsia="宋体" w:hint="default"/>
                <w:w w:val="101"/>
                <w:sz w:val="18"/>
                <w:szCs w:val="18"/>
              </w:rPr>
              <w:t>股</w:t>
            </w:r>
            <w:r>
              <w:rPr>
                <w:rFonts w:ascii="宋体" w:hAnsi="宋体" w:cs="宋体" w:eastAsia="宋体" w:hint="default"/>
                <w:sz w:val="18"/>
                <w:szCs w:val="18"/>
              </w:rPr>
            </w:r>
          </w:p>
        </w:tc>
        <w:tc>
          <w:tcPr>
            <w:tcW w:w="4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134" w:right="0"/>
              <w:jc w:val="left"/>
              <w:rPr>
                <w:rFonts w:ascii="宋体" w:hAnsi="宋体" w:cs="宋体" w:eastAsia="宋体" w:hint="default"/>
                <w:sz w:val="18"/>
                <w:szCs w:val="18"/>
              </w:rPr>
            </w:pPr>
            <w:r>
              <w:rPr>
                <w:rFonts w:ascii="宋体" w:hAnsi="宋体" w:cs="宋体" w:eastAsia="宋体" w:hint="default"/>
                <w:w w:val="101"/>
                <w:sz w:val="18"/>
                <w:szCs w:val="18"/>
              </w:rPr>
              <w:t>债</w:t>
            </w:r>
            <w:r>
              <w:rPr>
                <w:rFonts w:ascii="宋体" w:hAnsi="宋体" w:cs="宋体" w:eastAsia="宋体" w:hint="default"/>
                <w:sz w:val="18"/>
                <w:szCs w:val="18"/>
              </w:rPr>
            </w:r>
          </w:p>
        </w:tc>
        <w:tc>
          <w:tcPr>
            <w:tcW w:w="4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57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57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57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58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57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57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59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56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56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64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64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1652"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11"/>
              <w:ind w:left="105" w:right="99"/>
              <w:jc w:val="left"/>
              <w:rPr>
                <w:rFonts w:ascii="宋体" w:hAnsi="宋体" w:cs="宋体" w:eastAsia="宋体" w:hint="default"/>
                <w:sz w:val="18"/>
                <w:szCs w:val="18"/>
              </w:rPr>
            </w:pPr>
            <w:r>
              <w:rPr>
                <w:rFonts w:ascii="宋体" w:hAnsi="宋体" w:cs="宋体" w:eastAsia="宋体" w:hint="default"/>
                <w:spacing w:val="-16"/>
                <w:w w:val="101"/>
                <w:sz w:val="18"/>
                <w:szCs w:val="18"/>
              </w:rPr>
              <w:t>一、上年期末</w:t>
            </w:r>
            <w:r>
              <w:rPr>
                <w:rFonts w:ascii="宋体" w:hAnsi="宋体" w:cs="宋体" w:eastAsia="宋体" w:hint="default"/>
                <w:w w:val="101"/>
                <w:sz w:val="18"/>
                <w:szCs w:val="18"/>
              </w:rPr>
              <w:t> </w:t>
            </w:r>
            <w:r>
              <w:rPr>
                <w:rFonts w:ascii="宋体" w:hAnsi="宋体" w:cs="宋体" w:eastAsia="宋体" w:hint="default"/>
                <w:sz w:val="18"/>
                <w:szCs w:val="18"/>
              </w:rPr>
              <w:t>余额</w:t>
            </w: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10" w:right="0"/>
              <w:jc w:val="left"/>
              <w:rPr>
                <w:rFonts w:ascii="Times New Roman" w:hAnsi="Times New Roman" w:cs="Times New Roman" w:eastAsia="Times New Roman" w:hint="default"/>
                <w:sz w:val="18"/>
                <w:szCs w:val="18"/>
              </w:rPr>
            </w:pPr>
            <w:r>
              <w:rPr>
                <w:rFonts w:ascii="Times New Roman"/>
                <w:sz w:val="18"/>
              </w:rPr>
              <w:t>611</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,38</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5,8</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34.</w:t>
            </w:r>
          </w:p>
          <w:p>
            <w:pPr>
              <w:pStyle w:val="TableParagraph"/>
              <w:spacing w:line="240" w:lineRule="auto" w:before="110"/>
              <w:ind w:left="196" w:right="0"/>
              <w:jc w:val="left"/>
              <w:rPr>
                <w:rFonts w:ascii="Times New Roman" w:hAnsi="Times New Roman" w:cs="Times New Roman" w:eastAsia="Times New Roman" w:hint="default"/>
                <w:sz w:val="18"/>
                <w:szCs w:val="18"/>
              </w:rPr>
            </w:pPr>
            <w:r>
              <w:rPr>
                <w:rFonts w:ascii="Times New Roman"/>
                <w:sz w:val="18"/>
              </w:rPr>
              <w:t>00</w:t>
            </w: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49" w:right="0"/>
              <w:jc w:val="center"/>
              <w:rPr>
                <w:rFonts w:ascii="Times New Roman" w:hAnsi="Times New Roman" w:cs="Times New Roman" w:eastAsia="Times New Roman" w:hint="default"/>
                <w:sz w:val="18"/>
                <w:szCs w:val="18"/>
              </w:rPr>
            </w:pPr>
            <w:r>
              <w:rPr>
                <w:rFonts w:ascii="Times New Roman"/>
                <w:sz w:val="18"/>
              </w:rPr>
              <w:t>190,</w:t>
            </w:r>
          </w:p>
          <w:p>
            <w:pPr>
              <w:pStyle w:val="TableParagraph"/>
              <w:spacing w:line="240" w:lineRule="auto" w:before="101"/>
              <w:ind w:left="49" w:right="0"/>
              <w:jc w:val="center"/>
              <w:rPr>
                <w:rFonts w:ascii="Times New Roman" w:hAnsi="Times New Roman" w:cs="Times New Roman" w:eastAsia="Times New Roman" w:hint="default"/>
                <w:sz w:val="18"/>
                <w:szCs w:val="18"/>
              </w:rPr>
            </w:pPr>
            <w:r>
              <w:rPr>
                <w:rFonts w:ascii="Times New Roman"/>
                <w:sz w:val="18"/>
              </w:rPr>
              <w:t>445,</w:t>
            </w:r>
          </w:p>
          <w:p>
            <w:pPr>
              <w:pStyle w:val="TableParagraph"/>
              <w:spacing w:line="240" w:lineRule="auto" w:before="105"/>
              <w:ind w:left="49" w:right="0"/>
              <w:jc w:val="center"/>
              <w:rPr>
                <w:rFonts w:ascii="Times New Roman" w:hAnsi="Times New Roman" w:cs="Times New Roman" w:eastAsia="Times New Roman" w:hint="default"/>
                <w:sz w:val="18"/>
                <w:szCs w:val="18"/>
              </w:rPr>
            </w:pPr>
            <w:r>
              <w:rPr>
                <w:rFonts w:ascii="Times New Roman"/>
                <w:sz w:val="18"/>
              </w:rPr>
              <w:t>838.</w:t>
            </w:r>
          </w:p>
          <w:p>
            <w:pPr>
              <w:pStyle w:val="TableParagraph"/>
              <w:spacing w:line="240" w:lineRule="auto" w:before="110"/>
              <w:ind w:left="192" w:right="0"/>
              <w:jc w:val="center"/>
              <w:rPr>
                <w:rFonts w:ascii="Times New Roman" w:hAnsi="Times New Roman" w:cs="Times New Roman" w:eastAsia="Times New Roman" w:hint="default"/>
                <w:sz w:val="18"/>
                <w:szCs w:val="18"/>
              </w:rPr>
            </w:pPr>
            <w:r>
              <w:rPr>
                <w:rFonts w:ascii="Times New Roman"/>
                <w:sz w:val="18"/>
              </w:rPr>
              <w:t>18</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17,6</w:t>
            </w:r>
          </w:p>
          <w:p>
            <w:pPr>
              <w:pStyle w:val="TableParagraph"/>
              <w:spacing w:line="240" w:lineRule="auto" w:before="101"/>
              <w:ind w:left="148" w:right="0"/>
              <w:jc w:val="left"/>
              <w:rPr>
                <w:rFonts w:ascii="Times New Roman" w:hAnsi="Times New Roman" w:cs="Times New Roman" w:eastAsia="Times New Roman" w:hint="default"/>
                <w:sz w:val="18"/>
                <w:szCs w:val="18"/>
              </w:rPr>
            </w:pPr>
            <w:r>
              <w:rPr>
                <w:rFonts w:ascii="Times New Roman"/>
                <w:sz w:val="18"/>
              </w:rPr>
              <w:t>42,2</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20.0</w:t>
            </w:r>
          </w:p>
          <w:p>
            <w:pPr>
              <w:pStyle w:val="TableParagraph"/>
              <w:spacing w:line="240" w:lineRule="auto" w:before="110"/>
              <w:ind w:left="374" w:right="0"/>
              <w:jc w:val="lef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left="33" w:right="0"/>
              <w:jc w:val="center"/>
              <w:rPr>
                <w:rFonts w:ascii="Times New Roman" w:hAnsi="Times New Roman" w:cs="Times New Roman" w:eastAsia="Times New Roman" w:hint="default"/>
                <w:sz w:val="18"/>
                <w:szCs w:val="18"/>
              </w:rPr>
            </w:pPr>
            <w:r>
              <w:rPr>
                <w:rFonts w:ascii="Times New Roman"/>
                <w:sz w:val="18"/>
              </w:rPr>
              <w:t>-898</w:t>
            </w:r>
          </w:p>
          <w:p>
            <w:pPr>
              <w:pStyle w:val="TableParagraph"/>
              <w:spacing w:line="240" w:lineRule="auto" w:before="105"/>
              <w:ind w:left="6" w:right="0"/>
              <w:jc w:val="center"/>
              <w:rPr>
                <w:rFonts w:ascii="Times New Roman" w:hAnsi="Times New Roman" w:cs="Times New Roman" w:eastAsia="Times New Roman" w:hint="default"/>
                <w:sz w:val="18"/>
                <w:szCs w:val="18"/>
              </w:rPr>
            </w:pPr>
            <w:r>
              <w:rPr>
                <w:rFonts w:ascii="Times New Roman"/>
                <w:sz w:val="18"/>
              </w:rPr>
              <w:t>,462.</w:t>
            </w:r>
          </w:p>
          <w:p>
            <w:pPr>
              <w:pStyle w:val="TableParagraph"/>
              <w:spacing w:line="240" w:lineRule="auto" w:before="110"/>
              <w:ind w:left="192" w:right="0"/>
              <w:jc w:val="center"/>
              <w:rPr>
                <w:rFonts w:ascii="Times New Roman" w:hAnsi="Times New Roman" w:cs="Times New Roman" w:eastAsia="Times New Roman" w:hint="default"/>
                <w:sz w:val="18"/>
                <w:szCs w:val="18"/>
              </w:rPr>
            </w:pPr>
            <w:r>
              <w:rPr>
                <w:rFonts w:ascii="Times New Roman"/>
                <w:sz w:val="18"/>
              </w:rPr>
              <w:t>10</w:t>
            </w: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143" w:right="0"/>
              <w:jc w:val="left"/>
              <w:rPr>
                <w:rFonts w:ascii="Times New Roman" w:hAnsi="Times New Roman" w:cs="Times New Roman" w:eastAsia="Times New Roman" w:hint="default"/>
                <w:sz w:val="18"/>
                <w:szCs w:val="18"/>
              </w:rPr>
            </w:pPr>
            <w:r>
              <w:rPr>
                <w:rFonts w:ascii="Times New Roman"/>
                <w:sz w:val="18"/>
              </w:rPr>
              <w:t>44,3</w:t>
            </w:r>
          </w:p>
          <w:p>
            <w:pPr>
              <w:pStyle w:val="TableParagraph"/>
              <w:spacing w:line="240" w:lineRule="auto" w:before="101"/>
              <w:ind w:left="143" w:right="0"/>
              <w:jc w:val="left"/>
              <w:rPr>
                <w:rFonts w:ascii="Times New Roman" w:hAnsi="Times New Roman" w:cs="Times New Roman" w:eastAsia="Times New Roman" w:hint="default"/>
                <w:sz w:val="18"/>
                <w:szCs w:val="18"/>
              </w:rPr>
            </w:pPr>
            <w:r>
              <w:rPr>
                <w:rFonts w:ascii="Times New Roman"/>
                <w:sz w:val="18"/>
              </w:rPr>
              <w:t>00,2</w:t>
            </w:r>
          </w:p>
          <w:p>
            <w:pPr>
              <w:pStyle w:val="TableParagraph"/>
              <w:spacing w:line="240" w:lineRule="auto" w:before="105"/>
              <w:ind w:left="143" w:right="0"/>
              <w:jc w:val="left"/>
              <w:rPr>
                <w:rFonts w:ascii="Times New Roman" w:hAnsi="Times New Roman" w:cs="Times New Roman" w:eastAsia="Times New Roman" w:hint="default"/>
                <w:sz w:val="18"/>
                <w:szCs w:val="18"/>
              </w:rPr>
            </w:pPr>
            <w:r>
              <w:rPr>
                <w:rFonts w:ascii="Times New Roman"/>
                <w:sz w:val="18"/>
              </w:rPr>
              <w:t>66.1</w:t>
            </w:r>
          </w:p>
          <w:p>
            <w:pPr>
              <w:pStyle w:val="TableParagraph"/>
              <w:spacing w:line="240" w:lineRule="auto" w:before="110"/>
              <w:ind w:left="369" w:right="0"/>
              <w:jc w:val="left"/>
              <w:rPr>
                <w:rFonts w:ascii="Times New Roman" w:hAnsi="Times New Roman" w:cs="Times New Roman" w:eastAsia="Times New Roman" w:hint="default"/>
                <w:sz w:val="18"/>
                <w:szCs w:val="18"/>
              </w:rPr>
            </w:pPr>
            <w:r>
              <w:rPr>
                <w:rFonts w:ascii="Times New Roman"/>
                <w:w w:val="101"/>
                <w:sz w:val="18"/>
              </w:rPr>
              <w:t>3</w:t>
            </w:r>
            <w:r>
              <w:rPr>
                <w:rFonts w:ascii="Times New Roman"/>
                <w:sz w:val="18"/>
              </w:rPr>
            </w: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64" w:right="0"/>
              <w:jc w:val="center"/>
              <w:rPr>
                <w:rFonts w:ascii="Times New Roman" w:hAnsi="Times New Roman" w:cs="Times New Roman" w:eastAsia="Times New Roman" w:hint="default"/>
                <w:sz w:val="18"/>
                <w:szCs w:val="18"/>
              </w:rPr>
            </w:pPr>
            <w:r>
              <w:rPr>
                <w:rFonts w:ascii="Times New Roman"/>
                <w:sz w:val="18"/>
              </w:rPr>
              <w:t>314,</w:t>
            </w:r>
          </w:p>
          <w:p>
            <w:pPr>
              <w:pStyle w:val="TableParagraph"/>
              <w:spacing w:line="240" w:lineRule="auto" w:before="101"/>
              <w:ind w:left="64" w:right="0"/>
              <w:jc w:val="center"/>
              <w:rPr>
                <w:rFonts w:ascii="Times New Roman" w:hAnsi="Times New Roman" w:cs="Times New Roman" w:eastAsia="Times New Roman" w:hint="default"/>
                <w:sz w:val="18"/>
                <w:szCs w:val="18"/>
              </w:rPr>
            </w:pPr>
            <w:r>
              <w:rPr>
                <w:rFonts w:ascii="Times New Roman"/>
                <w:sz w:val="18"/>
              </w:rPr>
              <w:t>661,</w:t>
            </w:r>
          </w:p>
          <w:p>
            <w:pPr>
              <w:pStyle w:val="TableParagraph"/>
              <w:spacing w:line="240" w:lineRule="auto" w:before="105"/>
              <w:ind w:left="64" w:right="0"/>
              <w:jc w:val="center"/>
              <w:rPr>
                <w:rFonts w:ascii="Times New Roman" w:hAnsi="Times New Roman" w:cs="Times New Roman" w:eastAsia="Times New Roman" w:hint="default"/>
                <w:sz w:val="18"/>
                <w:szCs w:val="18"/>
              </w:rPr>
            </w:pPr>
            <w:r>
              <w:rPr>
                <w:rFonts w:ascii="Times New Roman"/>
                <w:sz w:val="18"/>
              </w:rPr>
              <w:t>234.</w:t>
            </w:r>
          </w:p>
          <w:p>
            <w:pPr>
              <w:pStyle w:val="TableParagraph"/>
              <w:spacing w:line="240" w:lineRule="auto" w:before="110"/>
              <w:ind w:left="205" w:right="0"/>
              <w:jc w:val="center"/>
              <w:rPr>
                <w:rFonts w:ascii="Times New Roman" w:hAnsi="Times New Roman" w:cs="Times New Roman" w:eastAsia="Times New Roman" w:hint="default"/>
                <w:sz w:val="18"/>
                <w:szCs w:val="18"/>
              </w:rPr>
            </w:pPr>
            <w:r>
              <w:rPr>
                <w:rFonts w:ascii="Times New Roman"/>
                <w:sz w:val="18"/>
              </w:rPr>
              <w:t>52</w:t>
            </w: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134" w:right="0"/>
              <w:jc w:val="left"/>
              <w:rPr>
                <w:rFonts w:ascii="Times New Roman" w:hAnsi="Times New Roman" w:cs="Times New Roman" w:eastAsia="Times New Roman" w:hint="default"/>
                <w:sz w:val="18"/>
                <w:szCs w:val="18"/>
              </w:rPr>
            </w:pPr>
            <w:r>
              <w:rPr>
                <w:rFonts w:ascii="Times New Roman"/>
                <w:sz w:val="18"/>
              </w:rPr>
              <w:t>1,14</w:t>
            </w:r>
          </w:p>
          <w:p>
            <w:pPr>
              <w:pStyle w:val="TableParagraph"/>
              <w:spacing w:line="240" w:lineRule="auto" w:before="101"/>
              <w:ind w:left="134" w:right="0"/>
              <w:jc w:val="left"/>
              <w:rPr>
                <w:rFonts w:ascii="Times New Roman" w:hAnsi="Times New Roman" w:cs="Times New Roman" w:eastAsia="Times New Roman" w:hint="default"/>
                <w:sz w:val="18"/>
                <w:szCs w:val="18"/>
              </w:rPr>
            </w:pPr>
            <w:r>
              <w:rPr>
                <w:rFonts w:ascii="Times New Roman"/>
                <w:sz w:val="18"/>
              </w:rPr>
              <w:t>2,25</w:t>
            </w:r>
          </w:p>
          <w:p>
            <w:pPr>
              <w:pStyle w:val="TableParagraph"/>
              <w:spacing w:line="240" w:lineRule="auto" w:before="105"/>
              <w:ind w:left="134" w:right="0"/>
              <w:jc w:val="left"/>
              <w:rPr>
                <w:rFonts w:ascii="Times New Roman" w:hAnsi="Times New Roman" w:cs="Times New Roman" w:eastAsia="Times New Roman" w:hint="default"/>
                <w:sz w:val="18"/>
                <w:szCs w:val="18"/>
              </w:rPr>
            </w:pPr>
            <w:r>
              <w:rPr>
                <w:rFonts w:ascii="Times New Roman"/>
                <w:sz w:val="18"/>
              </w:rPr>
              <w:t>2,49</w:t>
            </w:r>
          </w:p>
          <w:p>
            <w:pPr>
              <w:pStyle w:val="TableParagraph"/>
              <w:spacing w:line="240" w:lineRule="auto" w:before="110"/>
              <w:ind w:left="134" w:right="0"/>
              <w:jc w:val="left"/>
              <w:rPr>
                <w:rFonts w:ascii="Times New Roman" w:hAnsi="Times New Roman" w:cs="Times New Roman" w:eastAsia="Times New Roman" w:hint="default"/>
                <w:sz w:val="18"/>
                <w:szCs w:val="18"/>
              </w:rPr>
            </w:pPr>
            <w:r>
              <w:rPr>
                <w:rFonts w:ascii="Times New Roman"/>
                <w:sz w:val="18"/>
              </w:rPr>
              <w:t>0.73</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left="24" w:right="0"/>
              <w:jc w:val="center"/>
              <w:rPr>
                <w:rFonts w:ascii="Times New Roman" w:hAnsi="Times New Roman" w:cs="Times New Roman" w:eastAsia="Times New Roman" w:hint="default"/>
                <w:sz w:val="18"/>
                <w:szCs w:val="18"/>
              </w:rPr>
            </w:pPr>
            <w:r>
              <w:rPr>
                <w:rFonts w:ascii="Times New Roman"/>
                <w:sz w:val="18"/>
              </w:rPr>
              <w:t>19,08</w:t>
            </w:r>
          </w:p>
          <w:p>
            <w:pPr>
              <w:pStyle w:val="TableParagraph"/>
              <w:spacing w:line="240" w:lineRule="auto" w:before="105"/>
              <w:ind w:left="24" w:right="0"/>
              <w:jc w:val="center"/>
              <w:rPr>
                <w:rFonts w:ascii="Times New Roman" w:hAnsi="Times New Roman" w:cs="Times New Roman" w:eastAsia="Times New Roman" w:hint="default"/>
                <w:sz w:val="18"/>
                <w:szCs w:val="18"/>
              </w:rPr>
            </w:pPr>
            <w:r>
              <w:rPr>
                <w:rFonts w:ascii="Times New Roman"/>
                <w:sz w:val="18"/>
              </w:rPr>
              <w:t>5,671</w:t>
            </w:r>
          </w:p>
          <w:p>
            <w:pPr>
              <w:pStyle w:val="TableParagraph"/>
              <w:spacing w:line="240" w:lineRule="auto" w:before="110"/>
              <w:ind w:left="201" w:right="0"/>
              <w:jc w:val="center"/>
              <w:rPr>
                <w:rFonts w:ascii="Times New Roman" w:hAnsi="Times New Roman" w:cs="Times New Roman" w:eastAsia="Times New Roman" w:hint="default"/>
                <w:sz w:val="18"/>
                <w:szCs w:val="18"/>
              </w:rPr>
            </w:pPr>
            <w:r>
              <w:rPr>
                <w:rFonts w:ascii="Times New Roman"/>
                <w:sz w:val="18"/>
              </w:rPr>
              <w:t>.69</w:t>
            </w:r>
          </w:p>
        </w:tc>
        <w:tc>
          <w:tcPr>
            <w:tcW w:w="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134" w:right="0"/>
              <w:jc w:val="left"/>
              <w:rPr>
                <w:rFonts w:ascii="Times New Roman" w:hAnsi="Times New Roman" w:cs="Times New Roman" w:eastAsia="Times New Roman" w:hint="default"/>
                <w:sz w:val="18"/>
                <w:szCs w:val="18"/>
              </w:rPr>
            </w:pPr>
            <w:r>
              <w:rPr>
                <w:rFonts w:ascii="Times New Roman"/>
                <w:sz w:val="18"/>
              </w:rPr>
              <w:t>1,161</w:t>
            </w:r>
          </w:p>
          <w:p>
            <w:pPr>
              <w:pStyle w:val="TableParagraph"/>
              <w:spacing w:line="240" w:lineRule="auto" w:before="101"/>
              <w:ind w:left="177" w:right="0"/>
              <w:jc w:val="left"/>
              <w:rPr>
                <w:rFonts w:ascii="Times New Roman" w:hAnsi="Times New Roman" w:cs="Times New Roman" w:eastAsia="Times New Roman" w:hint="default"/>
                <w:sz w:val="18"/>
                <w:szCs w:val="18"/>
              </w:rPr>
            </w:pPr>
            <w:r>
              <w:rPr>
                <w:rFonts w:ascii="Times New Roman"/>
                <w:sz w:val="18"/>
              </w:rPr>
              <w:t>,338,</w:t>
            </w:r>
          </w:p>
          <w:p>
            <w:pPr>
              <w:pStyle w:val="TableParagraph"/>
              <w:spacing w:line="240" w:lineRule="auto" w:before="105"/>
              <w:ind w:left="134" w:right="0"/>
              <w:jc w:val="left"/>
              <w:rPr>
                <w:rFonts w:ascii="Times New Roman" w:hAnsi="Times New Roman" w:cs="Times New Roman" w:eastAsia="Times New Roman" w:hint="default"/>
                <w:sz w:val="18"/>
                <w:szCs w:val="18"/>
              </w:rPr>
            </w:pPr>
            <w:r>
              <w:rPr>
                <w:rFonts w:ascii="Times New Roman"/>
                <w:sz w:val="18"/>
              </w:rPr>
              <w:t>162.4</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2</w:t>
            </w:r>
            <w:r>
              <w:rPr>
                <w:rFonts w:ascii="Times New Roman"/>
                <w:sz w:val="18"/>
              </w:rPr>
            </w:r>
          </w:p>
        </w:tc>
      </w:tr>
      <w:tr>
        <w:trPr>
          <w:trHeight w:val="715"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05" w:right="99" w:firstLine="360"/>
              <w:jc w:val="left"/>
              <w:rPr>
                <w:rFonts w:ascii="宋体" w:hAnsi="宋体" w:cs="宋体" w:eastAsia="宋体" w:hint="default"/>
                <w:sz w:val="18"/>
                <w:szCs w:val="18"/>
              </w:rPr>
            </w:pPr>
            <w:r>
              <w:rPr>
                <w:rFonts w:ascii="宋体" w:hAnsi="宋体" w:cs="宋体" w:eastAsia="宋体" w:hint="default"/>
                <w:spacing w:val="-23"/>
                <w:w w:val="101"/>
                <w:sz w:val="18"/>
                <w:szCs w:val="18"/>
              </w:rPr>
              <w:t>加：会计</w:t>
            </w:r>
            <w:r>
              <w:rPr>
                <w:rFonts w:ascii="宋体" w:hAnsi="宋体" w:cs="宋体" w:eastAsia="宋体" w:hint="default"/>
                <w:w w:val="101"/>
                <w:sz w:val="18"/>
                <w:szCs w:val="18"/>
              </w:rPr>
              <w:t> </w:t>
            </w:r>
            <w:r>
              <w:rPr>
                <w:rFonts w:ascii="宋体" w:hAnsi="宋体" w:cs="宋体" w:eastAsia="宋体" w:hint="default"/>
                <w:sz w:val="18"/>
                <w:szCs w:val="18"/>
              </w:rPr>
              <w:t>政策变更</w:t>
            </w:r>
          </w:p>
        </w:tc>
        <w:tc>
          <w:tcPr>
            <w:tcW w:w="490" w:type="dxa"/>
            <w:tcBorders>
              <w:top w:val="single" w:sz="4" w:space="0" w:color="000000"/>
              <w:left w:val="single" w:sz="4" w:space="0" w:color="000000"/>
              <w:bottom w:val="single" w:sz="4" w:space="0" w:color="000000"/>
              <w:right w:val="single" w:sz="4" w:space="0" w:color="000000"/>
            </w:tcBorders>
          </w:tcPr>
          <w:p>
            <w:pP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644" w:type="dxa"/>
            <w:tcBorders>
              <w:top w:val="single" w:sz="4" w:space="0" w:color="000000"/>
              <w:left w:val="single" w:sz="4" w:space="0" w:color="000000"/>
              <w:bottom w:val="single" w:sz="4" w:space="0" w:color="000000"/>
              <w:right w:val="single" w:sz="4" w:space="0" w:color="000000"/>
            </w:tcBorders>
          </w:tcPr>
          <w:p>
            <w:pPr/>
          </w:p>
        </w:tc>
        <w:tc>
          <w:tcPr>
            <w:tcW w:w="648"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4"/>
              <w:ind w:left="105" w:right="194" w:firstLine="72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w w:val="101"/>
                <w:sz w:val="18"/>
                <w:szCs w:val="18"/>
              </w:rPr>
              <w:t> </w:t>
            </w:r>
            <w:r>
              <w:rPr>
                <w:rFonts w:ascii="宋体" w:hAnsi="宋体" w:cs="宋体" w:eastAsia="宋体" w:hint="default"/>
                <w:spacing w:val="-2"/>
                <w:sz w:val="18"/>
                <w:szCs w:val="18"/>
              </w:rPr>
              <w:t>期差错更正</w:t>
            </w:r>
          </w:p>
        </w:tc>
        <w:tc>
          <w:tcPr>
            <w:tcW w:w="490" w:type="dxa"/>
            <w:tcBorders>
              <w:top w:val="single" w:sz="4" w:space="0" w:color="000000"/>
              <w:left w:val="single" w:sz="4" w:space="0" w:color="000000"/>
              <w:bottom w:val="single" w:sz="4" w:space="0" w:color="000000"/>
              <w:right w:val="single" w:sz="4" w:space="0" w:color="000000"/>
            </w:tcBorders>
          </w:tcPr>
          <w:p>
            <w:pP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644" w:type="dxa"/>
            <w:tcBorders>
              <w:top w:val="single" w:sz="4" w:space="0" w:color="000000"/>
              <w:left w:val="single" w:sz="4" w:space="0" w:color="000000"/>
              <w:bottom w:val="single" w:sz="4" w:space="0" w:color="000000"/>
              <w:right w:val="single" w:sz="4" w:space="0" w:color="000000"/>
            </w:tcBorders>
          </w:tcPr>
          <w:p>
            <w:pPr/>
          </w:p>
        </w:tc>
        <w:tc>
          <w:tcPr>
            <w:tcW w:w="648" w:type="dxa"/>
            <w:tcBorders>
              <w:top w:val="single" w:sz="4" w:space="0" w:color="000000"/>
              <w:left w:val="single" w:sz="4" w:space="0" w:color="000000"/>
              <w:bottom w:val="single" w:sz="4" w:space="0" w:color="000000"/>
              <w:right w:val="single" w:sz="4" w:space="0" w:color="000000"/>
            </w:tcBorders>
          </w:tcPr>
          <w:p>
            <w:pPr/>
          </w:p>
        </w:tc>
      </w:tr>
      <w:tr>
        <w:trPr>
          <w:trHeight w:val="1023"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05" w:right="194" w:firstLine="720"/>
              <w:jc w:val="both"/>
              <w:rPr>
                <w:rFonts w:ascii="宋体" w:hAnsi="宋体" w:cs="宋体" w:eastAsia="宋体" w:hint="default"/>
                <w:sz w:val="18"/>
                <w:szCs w:val="18"/>
              </w:rPr>
            </w:pPr>
            <w:r>
              <w:rPr>
                <w:rFonts w:ascii="宋体" w:hAnsi="宋体" w:cs="宋体" w:eastAsia="宋体" w:hint="default"/>
                <w:sz w:val="18"/>
                <w:szCs w:val="18"/>
              </w:rPr>
              <w:t>同</w:t>
            </w:r>
            <w:r>
              <w:rPr>
                <w:rFonts w:ascii="宋体" w:hAnsi="宋体" w:cs="宋体" w:eastAsia="宋体" w:hint="default"/>
                <w:w w:val="101"/>
                <w:sz w:val="18"/>
                <w:szCs w:val="18"/>
              </w:rPr>
              <w:t> </w:t>
            </w:r>
            <w:r>
              <w:rPr>
                <w:rFonts w:ascii="宋体" w:hAnsi="宋体" w:cs="宋体" w:eastAsia="宋体" w:hint="default"/>
                <w:spacing w:val="-2"/>
                <w:sz w:val="18"/>
                <w:szCs w:val="18"/>
              </w:rPr>
              <w:t>一控制下企</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业合并</w:t>
            </w:r>
          </w:p>
        </w:tc>
        <w:tc>
          <w:tcPr>
            <w:tcW w:w="490" w:type="dxa"/>
            <w:tcBorders>
              <w:top w:val="single" w:sz="4" w:space="0" w:color="000000"/>
              <w:left w:val="single" w:sz="4" w:space="0" w:color="000000"/>
              <w:bottom w:val="single" w:sz="4" w:space="0" w:color="000000"/>
              <w:right w:val="single" w:sz="4" w:space="0" w:color="000000"/>
            </w:tcBorders>
          </w:tcPr>
          <w:p>
            <w:pP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644" w:type="dxa"/>
            <w:tcBorders>
              <w:top w:val="single" w:sz="4" w:space="0" w:color="000000"/>
              <w:left w:val="single" w:sz="4" w:space="0" w:color="000000"/>
              <w:bottom w:val="single" w:sz="4" w:space="0" w:color="000000"/>
              <w:right w:val="single" w:sz="4" w:space="0" w:color="000000"/>
            </w:tcBorders>
          </w:tcPr>
          <w:p>
            <w:pPr/>
          </w:p>
        </w:tc>
        <w:tc>
          <w:tcPr>
            <w:tcW w:w="64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194"/>
              <w:jc w:val="right"/>
              <w:rPr>
                <w:rFonts w:ascii="宋体" w:hAnsi="宋体" w:cs="宋体" w:eastAsia="宋体" w:hint="default"/>
                <w:sz w:val="18"/>
                <w:szCs w:val="18"/>
              </w:rPr>
            </w:pPr>
            <w:r>
              <w:rPr>
                <w:rFonts w:ascii="宋体" w:hAnsi="宋体" w:cs="宋体" w:eastAsia="宋体" w:hint="default"/>
                <w:w w:val="101"/>
                <w:sz w:val="18"/>
                <w:szCs w:val="18"/>
              </w:rPr>
              <w:t>其</w:t>
            </w:r>
            <w:r>
              <w:rPr>
                <w:rFonts w:ascii="宋体" w:hAnsi="宋体" w:cs="宋体" w:eastAsia="宋体" w:hint="default"/>
                <w:sz w:val="18"/>
                <w:szCs w:val="18"/>
              </w:rPr>
            </w:r>
          </w:p>
          <w:p>
            <w:pPr>
              <w:pStyle w:val="TableParagraph"/>
              <w:spacing w:line="240" w:lineRule="auto" w:before="81"/>
              <w:ind w:left="105" w:right="0"/>
              <w:jc w:val="left"/>
              <w:rPr>
                <w:rFonts w:ascii="宋体" w:hAnsi="宋体" w:cs="宋体" w:eastAsia="宋体" w:hint="default"/>
                <w:sz w:val="18"/>
                <w:szCs w:val="18"/>
              </w:rPr>
            </w:pPr>
            <w:r>
              <w:rPr>
                <w:rFonts w:ascii="宋体" w:hAnsi="宋体" w:cs="宋体" w:eastAsia="宋体" w:hint="default"/>
                <w:w w:val="101"/>
                <w:sz w:val="18"/>
                <w:szCs w:val="18"/>
              </w:rPr>
              <w:t>他</w:t>
            </w:r>
            <w:r>
              <w:rPr>
                <w:rFonts w:ascii="宋体" w:hAnsi="宋体" w:cs="宋体" w:eastAsia="宋体" w:hint="default"/>
                <w:sz w:val="18"/>
                <w:szCs w:val="18"/>
              </w:rPr>
            </w:r>
          </w:p>
        </w:tc>
        <w:tc>
          <w:tcPr>
            <w:tcW w:w="490" w:type="dxa"/>
            <w:tcBorders>
              <w:top w:val="single" w:sz="4" w:space="0" w:color="000000"/>
              <w:left w:val="single" w:sz="4" w:space="0" w:color="000000"/>
              <w:bottom w:val="single" w:sz="4" w:space="0" w:color="000000"/>
              <w:right w:val="single" w:sz="4" w:space="0" w:color="000000"/>
            </w:tcBorders>
          </w:tcPr>
          <w:p>
            <w:pP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644" w:type="dxa"/>
            <w:tcBorders>
              <w:top w:val="single" w:sz="4" w:space="0" w:color="000000"/>
              <w:left w:val="single" w:sz="4" w:space="0" w:color="000000"/>
              <w:bottom w:val="single" w:sz="4" w:space="0" w:color="000000"/>
              <w:right w:val="single" w:sz="4" w:space="0" w:color="000000"/>
            </w:tcBorders>
          </w:tcPr>
          <w:p>
            <w:pPr/>
          </w:p>
        </w:tc>
        <w:tc>
          <w:tcPr>
            <w:tcW w:w="648" w:type="dxa"/>
            <w:tcBorders>
              <w:top w:val="single" w:sz="4" w:space="0" w:color="000000"/>
              <w:left w:val="single" w:sz="4" w:space="0" w:color="000000"/>
              <w:bottom w:val="single" w:sz="4" w:space="0" w:color="000000"/>
              <w:right w:val="single" w:sz="4" w:space="0" w:color="000000"/>
            </w:tcBorders>
          </w:tcPr>
          <w:p>
            <w:pPr/>
          </w:p>
        </w:tc>
      </w:tr>
      <w:tr>
        <w:trPr>
          <w:trHeight w:val="1652"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10"/>
              <w:ind w:left="105" w:right="99"/>
              <w:jc w:val="left"/>
              <w:rPr>
                <w:rFonts w:ascii="宋体" w:hAnsi="宋体" w:cs="宋体" w:eastAsia="宋体" w:hint="default"/>
                <w:sz w:val="18"/>
                <w:szCs w:val="18"/>
              </w:rPr>
            </w:pPr>
            <w:r>
              <w:rPr>
                <w:rFonts w:ascii="宋体" w:hAnsi="宋体" w:cs="宋体" w:eastAsia="宋体" w:hint="default"/>
                <w:spacing w:val="-16"/>
                <w:w w:val="101"/>
                <w:sz w:val="18"/>
                <w:szCs w:val="18"/>
              </w:rPr>
              <w:t>二、本年期初</w:t>
            </w:r>
            <w:r>
              <w:rPr>
                <w:rFonts w:ascii="宋体" w:hAnsi="宋体" w:cs="宋体" w:eastAsia="宋体" w:hint="default"/>
                <w:w w:val="101"/>
                <w:sz w:val="18"/>
                <w:szCs w:val="18"/>
              </w:rPr>
              <w:t> </w:t>
            </w:r>
            <w:r>
              <w:rPr>
                <w:rFonts w:ascii="宋体" w:hAnsi="宋体" w:cs="宋体" w:eastAsia="宋体" w:hint="default"/>
                <w:sz w:val="18"/>
                <w:szCs w:val="18"/>
              </w:rPr>
              <w:t>余额</w:t>
            </w: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10" w:right="0"/>
              <w:jc w:val="left"/>
              <w:rPr>
                <w:rFonts w:ascii="Times New Roman" w:hAnsi="Times New Roman" w:cs="Times New Roman" w:eastAsia="Times New Roman" w:hint="default"/>
                <w:sz w:val="18"/>
                <w:szCs w:val="18"/>
              </w:rPr>
            </w:pPr>
            <w:r>
              <w:rPr>
                <w:rFonts w:ascii="Times New Roman"/>
                <w:sz w:val="18"/>
              </w:rPr>
              <w:t>611</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,38</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5,8</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34.</w:t>
            </w:r>
          </w:p>
          <w:p>
            <w:pPr>
              <w:pStyle w:val="TableParagraph"/>
              <w:spacing w:line="240" w:lineRule="auto" w:before="110"/>
              <w:ind w:left="196" w:right="0"/>
              <w:jc w:val="left"/>
              <w:rPr>
                <w:rFonts w:ascii="Times New Roman" w:hAnsi="Times New Roman" w:cs="Times New Roman" w:eastAsia="Times New Roman" w:hint="default"/>
                <w:sz w:val="18"/>
                <w:szCs w:val="18"/>
              </w:rPr>
            </w:pPr>
            <w:r>
              <w:rPr>
                <w:rFonts w:ascii="Times New Roman"/>
                <w:sz w:val="18"/>
              </w:rPr>
              <w:t>00</w:t>
            </w: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49" w:right="0"/>
              <w:jc w:val="center"/>
              <w:rPr>
                <w:rFonts w:ascii="Times New Roman" w:hAnsi="Times New Roman" w:cs="Times New Roman" w:eastAsia="Times New Roman" w:hint="default"/>
                <w:sz w:val="18"/>
                <w:szCs w:val="18"/>
              </w:rPr>
            </w:pPr>
            <w:r>
              <w:rPr>
                <w:rFonts w:ascii="Times New Roman"/>
                <w:sz w:val="18"/>
              </w:rPr>
              <w:t>190,</w:t>
            </w:r>
          </w:p>
          <w:p>
            <w:pPr>
              <w:pStyle w:val="TableParagraph"/>
              <w:spacing w:line="240" w:lineRule="auto" w:before="100"/>
              <w:ind w:left="49" w:right="0"/>
              <w:jc w:val="center"/>
              <w:rPr>
                <w:rFonts w:ascii="Times New Roman" w:hAnsi="Times New Roman" w:cs="Times New Roman" w:eastAsia="Times New Roman" w:hint="default"/>
                <w:sz w:val="18"/>
                <w:szCs w:val="18"/>
              </w:rPr>
            </w:pPr>
            <w:r>
              <w:rPr>
                <w:rFonts w:ascii="Times New Roman"/>
                <w:sz w:val="18"/>
              </w:rPr>
              <w:t>445,</w:t>
            </w:r>
          </w:p>
          <w:p>
            <w:pPr>
              <w:pStyle w:val="TableParagraph"/>
              <w:spacing w:line="240" w:lineRule="auto" w:before="105"/>
              <w:ind w:left="49" w:right="0"/>
              <w:jc w:val="center"/>
              <w:rPr>
                <w:rFonts w:ascii="Times New Roman" w:hAnsi="Times New Roman" w:cs="Times New Roman" w:eastAsia="Times New Roman" w:hint="default"/>
                <w:sz w:val="18"/>
                <w:szCs w:val="18"/>
              </w:rPr>
            </w:pPr>
            <w:r>
              <w:rPr>
                <w:rFonts w:ascii="Times New Roman"/>
                <w:sz w:val="18"/>
              </w:rPr>
              <w:t>838.</w:t>
            </w:r>
          </w:p>
          <w:p>
            <w:pPr>
              <w:pStyle w:val="TableParagraph"/>
              <w:spacing w:line="240" w:lineRule="auto" w:before="110"/>
              <w:ind w:left="192" w:right="0"/>
              <w:jc w:val="center"/>
              <w:rPr>
                <w:rFonts w:ascii="Times New Roman" w:hAnsi="Times New Roman" w:cs="Times New Roman" w:eastAsia="Times New Roman" w:hint="default"/>
                <w:sz w:val="18"/>
                <w:szCs w:val="18"/>
              </w:rPr>
            </w:pPr>
            <w:r>
              <w:rPr>
                <w:rFonts w:ascii="Times New Roman"/>
                <w:sz w:val="18"/>
              </w:rPr>
              <w:t>18</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17,6</w:t>
            </w:r>
          </w:p>
          <w:p>
            <w:pPr>
              <w:pStyle w:val="TableParagraph"/>
              <w:spacing w:line="240" w:lineRule="auto" w:before="100"/>
              <w:ind w:left="148" w:right="0"/>
              <w:jc w:val="left"/>
              <w:rPr>
                <w:rFonts w:ascii="Times New Roman" w:hAnsi="Times New Roman" w:cs="Times New Roman" w:eastAsia="Times New Roman" w:hint="default"/>
                <w:sz w:val="18"/>
                <w:szCs w:val="18"/>
              </w:rPr>
            </w:pPr>
            <w:r>
              <w:rPr>
                <w:rFonts w:ascii="Times New Roman"/>
                <w:sz w:val="18"/>
              </w:rPr>
              <w:t>42,2</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20.0</w:t>
            </w:r>
          </w:p>
          <w:p>
            <w:pPr>
              <w:pStyle w:val="TableParagraph"/>
              <w:spacing w:line="240" w:lineRule="auto" w:before="110"/>
              <w:ind w:left="374" w:right="0"/>
              <w:jc w:val="lef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left="33" w:right="0"/>
              <w:jc w:val="center"/>
              <w:rPr>
                <w:rFonts w:ascii="Times New Roman" w:hAnsi="Times New Roman" w:cs="Times New Roman" w:eastAsia="Times New Roman" w:hint="default"/>
                <w:sz w:val="18"/>
                <w:szCs w:val="18"/>
              </w:rPr>
            </w:pPr>
            <w:r>
              <w:rPr>
                <w:rFonts w:ascii="Times New Roman"/>
                <w:sz w:val="18"/>
              </w:rPr>
              <w:t>-898</w:t>
            </w:r>
          </w:p>
          <w:p>
            <w:pPr>
              <w:pStyle w:val="TableParagraph"/>
              <w:spacing w:line="240" w:lineRule="auto" w:before="105"/>
              <w:ind w:left="6" w:right="0"/>
              <w:jc w:val="center"/>
              <w:rPr>
                <w:rFonts w:ascii="Times New Roman" w:hAnsi="Times New Roman" w:cs="Times New Roman" w:eastAsia="Times New Roman" w:hint="default"/>
                <w:sz w:val="18"/>
                <w:szCs w:val="18"/>
              </w:rPr>
            </w:pPr>
            <w:r>
              <w:rPr>
                <w:rFonts w:ascii="Times New Roman"/>
                <w:sz w:val="18"/>
              </w:rPr>
              <w:t>,462.</w:t>
            </w:r>
          </w:p>
          <w:p>
            <w:pPr>
              <w:pStyle w:val="TableParagraph"/>
              <w:spacing w:line="240" w:lineRule="auto" w:before="110"/>
              <w:ind w:left="192" w:right="0"/>
              <w:jc w:val="center"/>
              <w:rPr>
                <w:rFonts w:ascii="Times New Roman" w:hAnsi="Times New Roman" w:cs="Times New Roman" w:eastAsia="Times New Roman" w:hint="default"/>
                <w:sz w:val="18"/>
                <w:szCs w:val="18"/>
              </w:rPr>
            </w:pPr>
            <w:r>
              <w:rPr>
                <w:rFonts w:ascii="Times New Roman"/>
                <w:sz w:val="18"/>
              </w:rPr>
              <w:t>10</w:t>
            </w: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143" w:right="0"/>
              <w:jc w:val="left"/>
              <w:rPr>
                <w:rFonts w:ascii="Times New Roman" w:hAnsi="Times New Roman" w:cs="Times New Roman" w:eastAsia="Times New Roman" w:hint="default"/>
                <w:sz w:val="18"/>
                <w:szCs w:val="18"/>
              </w:rPr>
            </w:pPr>
            <w:r>
              <w:rPr>
                <w:rFonts w:ascii="Times New Roman"/>
                <w:sz w:val="18"/>
              </w:rPr>
              <w:t>44,3</w:t>
            </w:r>
          </w:p>
          <w:p>
            <w:pPr>
              <w:pStyle w:val="TableParagraph"/>
              <w:spacing w:line="240" w:lineRule="auto" w:before="100"/>
              <w:ind w:left="143" w:right="0"/>
              <w:jc w:val="left"/>
              <w:rPr>
                <w:rFonts w:ascii="Times New Roman" w:hAnsi="Times New Roman" w:cs="Times New Roman" w:eastAsia="Times New Roman" w:hint="default"/>
                <w:sz w:val="18"/>
                <w:szCs w:val="18"/>
              </w:rPr>
            </w:pPr>
            <w:r>
              <w:rPr>
                <w:rFonts w:ascii="Times New Roman"/>
                <w:sz w:val="18"/>
              </w:rPr>
              <w:t>00,2</w:t>
            </w:r>
          </w:p>
          <w:p>
            <w:pPr>
              <w:pStyle w:val="TableParagraph"/>
              <w:spacing w:line="240" w:lineRule="auto" w:before="105"/>
              <w:ind w:left="143" w:right="0"/>
              <w:jc w:val="left"/>
              <w:rPr>
                <w:rFonts w:ascii="Times New Roman" w:hAnsi="Times New Roman" w:cs="Times New Roman" w:eastAsia="Times New Roman" w:hint="default"/>
                <w:sz w:val="18"/>
                <w:szCs w:val="18"/>
              </w:rPr>
            </w:pPr>
            <w:r>
              <w:rPr>
                <w:rFonts w:ascii="Times New Roman"/>
                <w:sz w:val="18"/>
              </w:rPr>
              <w:t>66.1</w:t>
            </w:r>
          </w:p>
          <w:p>
            <w:pPr>
              <w:pStyle w:val="TableParagraph"/>
              <w:spacing w:line="240" w:lineRule="auto" w:before="110"/>
              <w:ind w:left="369" w:right="0"/>
              <w:jc w:val="left"/>
              <w:rPr>
                <w:rFonts w:ascii="Times New Roman" w:hAnsi="Times New Roman" w:cs="Times New Roman" w:eastAsia="Times New Roman" w:hint="default"/>
                <w:sz w:val="18"/>
                <w:szCs w:val="18"/>
              </w:rPr>
            </w:pPr>
            <w:r>
              <w:rPr>
                <w:rFonts w:ascii="Times New Roman"/>
                <w:w w:val="101"/>
                <w:sz w:val="18"/>
              </w:rPr>
              <w:t>3</w:t>
            </w:r>
            <w:r>
              <w:rPr>
                <w:rFonts w:ascii="Times New Roman"/>
                <w:sz w:val="18"/>
              </w:rPr>
            </w: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64" w:right="0"/>
              <w:jc w:val="center"/>
              <w:rPr>
                <w:rFonts w:ascii="Times New Roman" w:hAnsi="Times New Roman" w:cs="Times New Roman" w:eastAsia="Times New Roman" w:hint="default"/>
                <w:sz w:val="18"/>
                <w:szCs w:val="18"/>
              </w:rPr>
            </w:pPr>
            <w:r>
              <w:rPr>
                <w:rFonts w:ascii="Times New Roman"/>
                <w:sz w:val="18"/>
              </w:rPr>
              <w:t>314,</w:t>
            </w:r>
          </w:p>
          <w:p>
            <w:pPr>
              <w:pStyle w:val="TableParagraph"/>
              <w:spacing w:line="240" w:lineRule="auto" w:before="100"/>
              <w:ind w:left="64" w:right="0"/>
              <w:jc w:val="center"/>
              <w:rPr>
                <w:rFonts w:ascii="Times New Roman" w:hAnsi="Times New Roman" w:cs="Times New Roman" w:eastAsia="Times New Roman" w:hint="default"/>
                <w:sz w:val="18"/>
                <w:szCs w:val="18"/>
              </w:rPr>
            </w:pPr>
            <w:r>
              <w:rPr>
                <w:rFonts w:ascii="Times New Roman"/>
                <w:sz w:val="18"/>
              </w:rPr>
              <w:t>661,</w:t>
            </w:r>
          </w:p>
          <w:p>
            <w:pPr>
              <w:pStyle w:val="TableParagraph"/>
              <w:spacing w:line="240" w:lineRule="auto" w:before="105"/>
              <w:ind w:left="64" w:right="0"/>
              <w:jc w:val="center"/>
              <w:rPr>
                <w:rFonts w:ascii="Times New Roman" w:hAnsi="Times New Roman" w:cs="Times New Roman" w:eastAsia="Times New Roman" w:hint="default"/>
                <w:sz w:val="18"/>
                <w:szCs w:val="18"/>
              </w:rPr>
            </w:pPr>
            <w:r>
              <w:rPr>
                <w:rFonts w:ascii="Times New Roman"/>
                <w:sz w:val="18"/>
              </w:rPr>
              <w:t>234.</w:t>
            </w:r>
          </w:p>
          <w:p>
            <w:pPr>
              <w:pStyle w:val="TableParagraph"/>
              <w:spacing w:line="240" w:lineRule="auto" w:before="110"/>
              <w:ind w:left="205" w:right="0"/>
              <w:jc w:val="center"/>
              <w:rPr>
                <w:rFonts w:ascii="Times New Roman" w:hAnsi="Times New Roman" w:cs="Times New Roman" w:eastAsia="Times New Roman" w:hint="default"/>
                <w:sz w:val="18"/>
                <w:szCs w:val="18"/>
              </w:rPr>
            </w:pPr>
            <w:r>
              <w:rPr>
                <w:rFonts w:ascii="Times New Roman"/>
                <w:sz w:val="18"/>
              </w:rPr>
              <w:t>52</w:t>
            </w: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134" w:right="0"/>
              <w:jc w:val="left"/>
              <w:rPr>
                <w:rFonts w:ascii="Times New Roman" w:hAnsi="Times New Roman" w:cs="Times New Roman" w:eastAsia="Times New Roman" w:hint="default"/>
                <w:sz w:val="18"/>
                <w:szCs w:val="18"/>
              </w:rPr>
            </w:pPr>
            <w:r>
              <w:rPr>
                <w:rFonts w:ascii="Times New Roman"/>
                <w:sz w:val="18"/>
              </w:rPr>
              <w:t>1,14</w:t>
            </w:r>
          </w:p>
          <w:p>
            <w:pPr>
              <w:pStyle w:val="TableParagraph"/>
              <w:spacing w:line="240" w:lineRule="auto" w:before="100"/>
              <w:ind w:left="134" w:right="0"/>
              <w:jc w:val="left"/>
              <w:rPr>
                <w:rFonts w:ascii="Times New Roman" w:hAnsi="Times New Roman" w:cs="Times New Roman" w:eastAsia="Times New Roman" w:hint="default"/>
                <w:sz w:val="18"/>
                <w:szCs w:val="18"/>
              </w:rPr>
            </w:pPr>
            <w:r>
              <w:rPr>
                <w:rFonts w:ascii="Times New Roman"/>
                <w:sz w:val="18"/>
              </w:rPr>
              <w:t>2,25</w:t>
            </w:r>
          </w:p>
          <w:p>
            <w:pPr>
              <w:pStyle w:val="TableParagraph"/>
              <w:spacing w:line="240" w:lineRule="auto" w:before="105"/>
              <w:ind w:left="134" w:right="0"/>
              <w:jc w:val="left"/>
              <w:rPr>
                <w:rFonts w:ascii="Times New Roman" w:hAnsi="Times New Roman" w:cs="Times New Roman" w:eastAsia="Times New Roman" w:hint="default"/>
                <w:sz w:val="18"/>
                <w:szCs w:val="18"/>
              </w:rPr>
            </w:pPr>
            <w:r>
              <w:rPr>
                <w:rFonts w:ascii="Times New Roman"/>
                <w:sz w:val="18"/>
              </w:rPr>
              <w:t>2,49</w:t>
            </w:r>
          </w:p>
          <w:p>
            <w:pPr>
              <w:pStyle w:val="TableParagraph"/>
              <w:spacing w:line="240" w:lineRule="auto" w:before="110"/>
              <w:ind w:left="134" w:right="0"/>
              <w:jc w:val="left"/>
              <w:rPr>
                <w:rFonts w:ascii="Times New Roman" w:hAnsi="Times New Roman" w:cs="Times New Roman" w:eastAsia="Times New Roman" w:hint="default"/>
                <w:sz w:val="18"/>
                <w:szCs w:val="18"/>
              </w:rPr>
            </w:pPr>
            <w:r>
              <w:rPr>
                <w:rFonts w:ascii="Times New Roman"/>
                <w:sz w:val="18"/>
              </w:rPr>
              <w:t>0.73</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left="24" w:right="0"/>
              <w:jc w:val="center"/>
              <w:rPr>
                <w:rFonts w:ascii="Times New Roman" w:hAnsi="Times New Roman" w:cs="Times New Roman" w:eastAsia="Times New Roman" w:hint="default"/>
                <w:sz w:val="18"/>
                <w:szCs w:val="18"/>
              </w:rPr>
            </w:pPr>
            <w:r>
              <w:rPr>
                <w:rFonts w:ascii="Times New Roman"/>
                <w:sz w:val="18"/>
              </w:rPr>
              <w:t>19,08</w:t>
            </w:r>
          </w:p>
          <w:p>
            <w:pPr>
              <w:pStyle w:val="TableParagraph"/>
              <w:spacing w:line="240" w:lineRule="auto" w:before="105"/>
              <w:ind w:left="24" w:right="0"/>
              <w:jc w:val="center"/>
              <w:rPr>
                <w:rFonts w:ascii="Times New Roman" w:hAnsi="Times New Roman" w:cs="Times New Roman" w:eastAsia="Times New Roman" w:hint="default"/>
                <w:sz w:val="18"/>
                <w:szCs w:val="18"/>
              </w:rPr>
            </w:pPr>
            <w:r>
              <w:rPr>
                <w:rFonts w:ascii="Times New Roman"/>
                <w:sz w:val="18"/>
              </w:rPr>
              <w:t>5,671</w:t>
            </w:r>
          </w:p>
          <w:p>
            <w:pPr>
              <w:pStyle w:val="TableParagraph"/>
              <w:spacing w:line="240" w:lineRule="auto" w:before="110"/>
              <w:ind w:left="201" w:right="0"/>
              <w:jc w:val="center"/>
              <w:rPr>
                <w:rFonts w:ascii="Times New Roman" w:hAnsi="Times New Roman" w:cs="Times New Roman" w:eastAsia="Times New Roman" w:hint="default"/>
                <w:sz w:val="18"/>
                <w:szCs w:val="18"/>
              </w:rPr>
            </w:pPr>
            <w:r>
              <w:rPr>
                <w:rFonts w:ascii="Times New Roman"/>
                <w:sz w:val="18"/>
              </w:rPr>
              <w:t>.69</w:t>
            </w:r>
          </w:p>
        </w:tc>
        <w:tc>
          <w:tcPr>
            <w:tcW w:w="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134" w:right="0"/>
              <w:jc w:val="left"/>
              <w:rPr>
                <w:rFonts w:ascii="Times New Roman" w:hAnsi="Times New Roman" w:cs="Times New Roman" w:eastAsia="Times New Roman" w:hint="default"/>
                <w:sz w:val="18"/>
                <w:szCs w:val="18"/>
              </w:rPr>
            </w:pPr>
            <w:r>
              <w:rPr>
                <w:rFonts w:ascii="Times New Roman"/>
                <w:sz w:val="18"/>
              </w:rPr>
              <w:t>1,161</w:t>
            </w:r>
          </w:p>
          <w:p>
            <w:pPr>
              <w:pStyle w:val="TableParagraph"/>
              <w:spacing w:line="240" w:lineRule="auto" w:before="100"/>
              <w:ind w:left="177" w:right="0"/>
              <w:jc w:val="left"/>
              <w:rPr>
                <w:rFonts w:ascii="Times New Roman" w:hAnsi="Times New Roman" w:cs="Times New Roman" w:eastAsia="Times New Roman" w:hint="default"/>
                <w:sz w:val="18"/>
                <w:szCs w:val="18"/>
              </w:rPr>
            </w:pPr>
            <w:r>
              <w:rPr>
                <w:rFonts w:ascii="Times New Roman"/>
                <w:sz w:val="18"/>
              </w:rPr>
              <w:t>,338,</w:t>
            </w:r>
          </w:p>
          <w:p>
            <w:pPr>
              <w:pStyle w:val="TableParagraph"/>
              <w:spacing w:line="240" w:lineRule="auto" w:before="105"/>
              <w:ind w:left="134" w:right="0"/>
              <w:jc w:val="left"/>
              <w:rPr>
                <w:rFonts w:ascii="Times New Roman" w:hAnsi="Times New Roman" w:cs="Times New Roman" w:eastAsia="Times New Roman" w:hint="default"/>
                <w:sz w:val="18"/>
                <w:szCs w:val="18"/>
              </w:rPr>
            </w:pPr>
            <w:r>
              <w:rPr>
                <w:rFonts w:ascii="Times New Roman"/>
                <w:sz w:val="18"/>
              </w:rPr>
              <w:t>162.4</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2</w:t>
            </w:r>
            <w:r>
              <w:rPr>
                <w:rFonts w:ascii="Times New Roman"/>
                <w:sz w:val="18"/>
              </w:rPr>
            </w:r>
          </w:p>
        </w:tc>
      </w:tr>
      <w:tr>
        <w:trPr>
          <w:trHeight w:val="1340"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105" w:right="99"/>
              <w:jc w:val="both"/>
              <w:rPr>
                <w:rFonts w:ascii="宋体" w:hAnsi="宋体" w:cs="宋体" w:eastAsia="宋体" w:hint="default"/>
                <w:sz w:val="18"/>
                <w:szCs w:val="18"/>
              </w:rPr>
            </w:pPr>
            <w:r>
              <w:rPr>
                <w:rFonts w:ascii="宋体" w:hAnsi="宋体" w:cs="宋体" w:eastAsia="宋体" w:hint="default"/>
                <w:spacing w:val="-16"/>
                <w:w w:val="101"/>
                <w:sz w:val="18"/>
                <w:szCs w:val="18"/>
              </w:rPr>
              <w:t>三、本期增减</w:t>
            </w:r>
            <w:r>
              <w:rPr>
                <w:rFonts w:ascii="宋体" w:hAnsi="宋体" w:cs="宋体" w:eastAsia="宋体" w:hint="default"/>
                <w:w w:val="101"/>
                <w:sz w:val="18"/>
                <w:szCs w:val="18"/>
              </w:rPr>
              <w:t> </w:t>
            </w:r>
            <w:r>
              <w:rPr>
                <w:rFonts w:ascii="宋体" w:hAnsi="宋体" w:cs="宋体" w:eastAsia="宋体" w:hint="default"/>
                <w:spacing w:val="-16"/>
                <w:w w:val="101"/>
                <w:sz w:val="18"/>
                <w:szCs w:val="18"/>
              </w:rPr>
              <w:t>变动金额（减</w:t>
            </w:r>
            <w:r>
              <w:rPr>
                <w:rFonts w:ascii="宋体" w:hAnsi="宋体" w:cs="宋体" w:eastAsia="宋体" w:hint="default"/>
                <w:w w:val="101"/>
                <w:sz w:val="18"/>
                <w:szCs w:val="18"/>
              </w:rPr>
              <w:t> </w:t>
            </w:r>
            <w:r>
              <w:rPr>
                <w:rFonts w:ascii="宋体" w:hAnsi="宋体" w:cs="宋体" w:eastAsia="宋体" w:hint="default"/>
                <w:spacing w:val="-17"/>
                <w:sz w:val="18"/>
                <w:szCs w:val="18"/>
              </w:rPr>
              <w:t>少以“－”号</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填列）</w:t>
            </w: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48" w:right="0"/>
              <w:jc w:val="left"/>
              <w:rPr>
                <w:rFonts w:ascii="Times New Roman" w:hAnsi="Times New Roman" w:cs="Times New Roman" w:eastAsia="Times New Roman" w:hint="default"/>
                <w:sz w:val="18"/>
                <w:szCs w:val="18"/>
              </w:rPr>
            </w:pPr>
            <w:r>
              <w:rPr>
                <w:rFonts w:ascii="Times New Roman"/>
                <w:sz w:val="18"/>
              </w:rPr>
              <w:t>7,8</w:t>
            </w:r>
          </w:p>
          <w:p>
            <w:pPr>
              <w:pStyle w:val="TableParagraph"/>
              <w:spacing w:line="240" w:lineRule="auto" w:before="100"/>
              <w:ind w:left="148" w:right="0"/>
              <w:jc w:val="left"/>
              <w:rPr>
                <w:rFonts w:ascii="Times New Roman" w:hAnsi="Times New Roman" w:cs="Times New Roman" w:eastAsia="Times New Roman" w:hint="default"/>
                <w:sz w:val="18"/>
                <w:szCs w:val="18"/>
              </w:rPr>
            </w:pPr>
            <w:r>
              <w:rPr>
                <w:rFonts w:ascii="Times New Roman"/>
                <w:sz w:val="18"/>
              </w:rPr>
              <w:t>29,</w:t>
            </w:r>
          </w:p>
          <w:p>
            <w:pPr>
              <w:pStyle w:val="TableParagraph"/>
              <w:spacing w:line="240" w:lineRule="auto" w:before="105"/>
              <w:ind w:left="105" w:right="0"/>
              <w:jc w:val="left"/>
              <w:rPr>
                <w:rFonts w:ascii="Times New Roman" w:hAnsi="Times New Roman" w:cs="Times New Roman" w:eastAsia="Times New Roman" w:hint="default"/>
                <w:sz w:val="18"/>
                <w:szCs w:val="18"/>
              </w:rPr>
            </w:pPr>
            <w:r>
              <w:rPr>
                <w:rFonts w:ascii="Times New Roman"/>
                <w:sz w:val="18"/>
              </w:rPr>
              <w:t>000</w:t>
            </w:r>
          </w:p>
          <w:p>
            <w:pPr>
              <w:pStyle w:val="TableParagraph"/>
              <w:spacing w:line="240" w:lineRule="auto" w:before="110"/>
              <w:ind w:left="148" w:right="0"/>
              <w:jc w:val="left"/>
              <w:rPr>
                <w:rFonts w:ascii="Times New Roman" w:hAnsi="Times New Roman" w:cs="Times New Roman" w:eastAsia="Times New Roman" w:hint="default"/>
                <w:sz w:val="18"/>
                <w:szCs w:val="18"/>
              </w:rPr>
            </w:pPr>
            <w:r>
              <w:rPr>
                <w:rFonts w:ascii="Times New Roman"/>
                <w:sz w:val="18"/>
              </w:rPr>
              <w:t>.00</w:t>
            </w: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48" w:right="0"/>
              <w:jc w:val="left"/>
              <w:rPr>
                <w:rFonts w:ascii="Times New Roman" w:hAnsi="Times New Roman" w:cs="Times New Roman" w:eastAsia="Times New Roman" w:hint="default"/>
                <w:sz w:val="18"/>
                <w:szCs w:val="18"/>
              </w:rPr>
            </w:pPr>
            <w:r>
              <w:rPr>
                <w:rFonts w:ascii="Times New Roman"/>
                <w:sz w:val="18"/>
              </w:rPr>
              <w:t>18,3</w:t>
            </w:r>
          </w:p>
          <w:p>
            <w:pPr>
              <w:pStyle w:val="TableParagraph"/>
              <w:spacing w:line="240" w:lineRule="auto" w:before="100"/>
              <w:ind w:left="148" w:right="0"/>
              <w:jc w:val="left"/>
              <w:rPr>
                <w:rFonts w:ascii="Times New Roman" w:hAnsi="Times New Roman" w:cs="Times New Roman" w:eastAsia="Times New Roman" w:hint="default"/>
                <w:sz w:val="18"/>
                <w:szCs w:val="18"/>
              </w:rPr>
            </w:pPr>
            <w:r>
              <w:rPr>
                <w:rFonts w:ascii="Times New Roman"/>
                <w:sz w:val="18"/>
              </w:rPr>
              <w:t>95,3</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86.6</w:t>
            </w:r>
          </w:p>
          <w:p>
            <w:pPr>
              <w:pStyle w:val="TableParagraph"/>
              <w:spacing w:line="240" w:lineRule="auto" w:before="110"/>
              <w:ind w:left="374" w:right="0"/>
              <w:jc w:val="left"/>
              <w:rPr>
                <w:rFonts w:ascii="Times New Roman" w:hAnsi="Times New Roman" w:cs="Times New Roman" w:eastAsia="Times New Roman" w:hint="default"/>
                <w:sz w:val="18"/>
                <w:szCs w:val="18"/>
              </w:rPr>
            </w:pPr>
            <w:r>
              <w:rPr>
                <w:rFonts w:ascii="Times New Roman"/>
                <w:w w:val="101"/>
                <w:sz w:val="18"/>
              </w:rPr>
              <w:t>6</w:t>
            </w:r>
            <w:r>
              <w:rPr>
                <w:rFonts w:ascii="Times New Roman"/>
                <w:sz w:val="18"/>
              </w:rPr>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48" w:right="0"/>
              <w:jc w:val="left"/>
              <w:rPr>
                <w:rFonts w:ascii="Times New Roman" w:hAnsi="Times New Roman" w:cs="Times New Roman" w:eastAsia="Times New Roman" w:hint="default"/>
                <w:sz w:val="18"/>
                <w:szCs w:val="18"/>
              </w:rPr>
            </w:pPr>
            <w:r>
              <w:rPr>
                <w:rFonts w:ascii="Times New Roman"/>
                <w:sz w:val="18"/>
              </w:rPr>
              <w:t>17,6</w:t>
            </w:r>
          </w:p>
          <w:p>
            <w:pPr>
              <w:pStyle w:val="TableParagraph"/>
              <w:spacing w:line="240" w:lineRule="auto" w:before="100"/>
              <w:ind w:left="148" w:right="0"/>
              <w:jc w:val="left"/>
              <w:rPr>
                <w:rFonts w:ascii="Times New Roman" w:hAnsi="Times New Roman" w:cs="Times New Roman" w:eastAsia="Times New Roman" w:hint="default"/>
                <w:sz w:val="18"/>
                <w:szCs w:val="18"/>
              </w:rPr>
            </w:pPr>
            <w:r>
              <w:rPr>
                <w:rFonts w:ascii="Times New Roman"/>
                <w:sz w:val="18"/>
              </w:rPr>
              <w:t>40,4</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88.1</w:t>
            </w:r>
          </w:p>
          <w:p>
            <w:pPr>
              <w:pStyle w:val="TableParagraph"/>
              <w:spacing w:line="240" w:lineRule="auto" w:before="110"/>
              <w:ind w:left="374" w:right="0"/>
              <w:jc w:val="lef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9" w:right="0"/>
              <w:jc w:val="center"/>
              <w:rPr>
                <w:rFonts w:ascii="Times New Roman" w:hAnsi="Times New Roman" w:cs="Times New Roman" w:eastAsia="Times New Roman" w:hint="default"/>
                <w:sz w:val="18"/>
                <w:szCs w:val="18"/>
              </w:rPr>
            </w:pPr>
            <w:r>
              <w:rPr>
                <w:rFonts w:ascii="Times New Roman"/>
                <w:sz w:val="18"/>
              </w:rPr>
              <w:t>956,</w:t>
            </w:r>
          </w:p>
          <w:p>
            <w:pPr>
              <w:pStyle w:val="TableParagraph"/>
              <w:spacing w:line="240" w:lineRule="auto" w:before="105"/>
              <w:ind w:left="49" w:right="0"/>
              <w:jc w:val="center"/>
              <w:rPr>
                <w:rFonts w:ascii="Times New Roman" w:hAnsi="Times New Roman" w:cs="Times New Roman" w:eastAsia="Times New Roman" w:hint="default"/>
                <w:sz w:val="18"/>
                <w:szCs w:val="18"/>
              </w:rPr>
            </w:pPr>
            <w:r>
              <w:rPr>
                <w:rFonts w:ascii="Times New Roman"/>
                <w:sz w:val="18"/>
              </w:rPr>
              <w:t>989.</w:t>
            </w:r>
          </w:p>
          <w:p>
            <w:pPr>
              <w:pStyle w:val="TableParagraph"/>
              <w:spacing w:line="240" w:lineRule="auto" w:before="110"/>
              <w:ind w:left="192" w:right="0"/>
              <w:jc w:val="center"/>
              <w:rPr>
                <w:rFonts w:ascii="Times New Roman" w:hAnsi="Times New Roman" w:cs="Times New Roman" w:eastAsia="Times New Roman" w:hint="default"/>
                <w:sz w:val="18"/>
                <w:szCs w:val="18"/>
              </w:rPr>
            </w:pPr>
            <w:r>
              <w:rPr>
                <w:rFonts w:ascii="Times New Roman"/>
                <w:sz w:val="18"/>
              </w:rPr>
              <w:t>28</w:t>
            </w: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43" w:right="0"/>
              <w:jc w:val="left"/>
              <w:rPr>
                <w:rFonts w:ascii="Times New Roman" w:hAnsi="Times New Roman" w:cs="Times New Roman" w:eastAsia="Times New Roman" w:hint="default"/>
                <w:sz w:val="18"/>
                <w:szCs w:val="18"/>
              </w:rPr>
            </w:pPr>
            <w:r>
              <w:rPr>
                <w:rFonts w:ascii="Times New Roman"/>
                <w:sz w:val="18"/>
              </w:rPr>
              <w:t>2,92</w:t>
            </w:r>
          </w:p>
          <w:p>
            <w:pPr>
              <w:pStyle w:val="TableParagraph"/>
              <w:spacing w:line="240" w:lineRule="auto" w:before="105"/>
              <w:ind w:left="143" w:right="0"/>
              <w:jc w:val="left"/>
              <w:rPr>
                <w:rFonts w:ascii="Times New Roman" w:hAnsi="Times New Roman" w:cs="Times New Roman" w:eastAsia="Times New Roman" w:hint="default"/>
                <w:sz w:val="18"/>
                <w:szCs w:val="18"/>
              </w:rPr>
            </w:pPr>
            <w:r>
              <w:rPr>
                <w:rFonts w:ascii="Times New Roman"/>
                <w:sz w:val="18"/>
              </w:rPr>
              <w:t>2,74</w:t>
            </w:r>
          </w:p>
          <w:p>
            <w:pPr>
              <w:pStyle w:val="TableParagraph"/>
              <w:spacing w:line="240" w:lineRule="auto" w:before="110"/>
              <w:ind w:left="143" w:right="0"/>
              <w:jc w:val="left"/>
              <w:rPr>
                <w:rFonts w:ascii="Times New Roman" w:hAnsi="Times New Roman" w:cs="Times New Roman" w:eastAsia="Times New Roman" w:hint="default"/>
                <w:sz w:val="18"/>
                <w:szCs w:val="18"/>
              </w:rPr>
            </w:pPr>
            <w:r>
              <w:rPr>
                <w:rFonts w:ascii="Times New Roman"/>
                <w:sz w:val="18"/>
              </w:rPr>
              <w:t>7.71</w:t>
            </w: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73" w:right="0"/>
              <w:jc w:val="center"/>
              <w:rPr>
                <w:rFonts w:ascii="Times New Roman" w:hAnsi="Times New Roman" w:cs="Times New Roman" w:eastAsia="Times New Roman" w:hint="default"/>
                <w:sz w:val="18"/>
                <w:szCs w:val="18"/>
              </w:rPr>
            </w:pPr>
            <w:r>
              <w:rPr>
                <w:rFonts w:ascii="Times New Roman"/>
                <w:spacing w:val="-3"/>
                <w:sz w:val="18"/>
              </w:rPr>
              <w:t>115,</w:t>
            </w:r>
          </w:p>
          <w:p>
            <w:pPr>
              <w:pStyle w:val="TableParagraph"/>
              <w:spacing w:line="240" w:lineRule="auto" w:before="100"/>
              <w:ind w:left="64" w:right="0"/>
              <w:jc w:val="center"/>
              <w:rPr>
                <w:rFonts w:ascii="Times New Roman" w:hAnsi="Times New Roman" w:cs="Times New Roman" w:eastAsia="Times New Roman" w:hint="default"/>
                <w:sz w:val="18"/>
                <w:szCs w:val="18"/>
              </w:rPr>
            </w:pPr>
            <w:r>
              <w:rPr>
                <w:rFonts w:ascii="Times New Roman"/>
                <w:sz w:val="18"/>
              </w:rPr>
              <w:t>023,</w:t>
            </w:r>
          </w:p>
          <w:p>
            <w:pPr>
              <w:pStyle w:val="TableParagraph"/>
              <w:spacing w:line="240" w:lineRule="auto" w:before="105"/>
              <w:ind w:left="64" w:right="0"/>
              <w:jc w:val="center"/>
              <w:rPr>
                <w:rFonts w:ascii="Times New Roman" w:hAnsi="Times New Roman" w:cs="Times New Roman" w:eastAsia="Times New Roman" w:hint="default"/>
                <w:sz w:val="18"/>
                <w:szCs w:val="18"/>
              </w:rPr>
            </w:pPr>
            <w:r>
              <w:rPr>
                <w:rFonts w:ascii="Times New Roman"/>
                <w:sz w:val="18"/>
              </w:rPr>
              <w:t>349.</w:t>
            </w:r>
          </w:p>
          <w:p>
            <w:pPr>
              <w:pStyle w:val="TableParagraph"/>
              <w:spacing w:line="240" w:lineRule="auto" w:before="110"/>
              <w:ind w:left="205" w:right="0"/>
              <w:jc w:val="center"/>
              <w:rPr>
                <w:rFonts w:ascii="Times New Roman" w:hAnsi="Times New Roman" w:cs="Times New Roman" w:eastAsia="Times New Roman" w:hint="default"/>
                <w:sz w:val="18"/>
                <w:szCs w:val="18"/>
              </w:rPr>
            </w:pPr>
            <w:r>
              <w:rPr>
                <w:rFonts w:ascii="Times New Roman"/>
                <w:sz w:val="18"/>
              </w:rPr>
              <w:t>05</w:t>
            </w: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31" w:right="0"/>
              <w:jc w:val="center"/>
              <w:rPr>
                <w:rFonts w:ascii="Times New Roman" w:hAnsi="Times New Roman" w:cs="Times New Roman" w:eastAsia="Times New Roman" w:hint="default"/>
                <w:sz w:val="18"/>
                <w:szCs w:val="18"/>
              </w:rPr>
            </w:pPr>
            <w:r>
              <w:rPr>
                <w:rFonts w:ascii="Times New Roman"/>
                <w:sz w:val="18"/>
              </w:rPr>
              <w:t>127,</w:t>
            </w:r>
          </w:p>
          <w:p>
            <w:pPr>
              <w:pStyle w:val="TableParagraph"/>
              <w:spacing w:line="240" w:lineRule="auto" w:before="100"/>
              <w:ind w:left="31" w:right="0"/>
              <w:jc w:val="center"/>
              <w:rPr>
                <w:rFonts w:ascii="Times New Roman" w:hAnsi="Times New Roman" w:cs="Times New Roman" w:eastAsia="Times New Roman" w:hint="default"/>
                <w:sz w:val="18"/>
                <w:szCs w:val="18"/>
              </w:rPr>
            </w:pPr>
            <w:r>
              <w:rPr>
                <w:rFonts w:ascii="Times New Roman"/>
                <w:sz w:val="18"/>
              </w:rPr>
              <w:t>486,</w:t>
            </w:r>
          </w:p>
          <w:p>
            <w:pPr>
              <w:pStyle w:val="TableParagraph"/>
              <w:spacing w:line="240" w:lineRule="auto" w:before="105"/>
              <w:ind w:left="31" w:right="0"/>
              <w:jc w:val="center"/>
              <w:rPr>
                <w:rFonts w:ascii="Times New Roman" w:hAnsi="Times New Roman" w:cs="Times New Roman" w:eastAsia="Times New Roman" w:hint="default"/>
                <w:sz w:val="18"/>
                <w:szCs w:val="18"/>
              </w:rPr>
            </w:pPr>
            <w:r>
              <w:rPr>
                <w:rFonts w:ascii="Times New Roman"/>
                <w:sz w:val="18"/>
              </w:rPr>
              <w:t>984.</w:t>
            </w:r>
          </w:p>
          <w:p>
            <w:pPr>
              <w:pStyle w:val="TableParagraph"/>
              <w:spacing w:line="240" w:lineRule="auto" w:before="110"/>
              <w:ind w:left="172" w:right="0"/>
              <w:jc w:val="center"/>
              <w:rPr>
                <w:rFonts w:ascii="Times New Roman" w:hAnsi="Times New Roman" w:cs="Times New Roman" w:eastAsia="Times New Roman" w:hint="default"/>
                <w:sz w:val="18"/>
                <w:szCs w:val="18"/>
              </w:rPr>
            </w:pPr>
            <w:r>
              <w:rPr>
                <w:rFonts w:ascii="Times New Roman"/>
                <w:sz w:val="18"/>
              </w:rPr>
              <w:t>60</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25" w:right="0"/>
              <w:jc w:val="left"/>
              <w:rPr>
                <w:rFonts w:ascii="Times New Roman" w:hAnsi="Times New Roman" w:cs="Times New Roman" w:eastAsia="Times New Roman" w:hint="default"/>
                <w:sz w:val="18"/>
                <w:szCs w:val="18"/>
              </w:rPr>
            </w:pPr>
            <w:r>
              <w:rPr>
                <w:rFonts w:ascii="Times New Roman"/>
                <w:sz w:val="18"/>
              </w:rPr>
              <w:t>4,925</w:t>
            </w:r>
          </w:p>
          <w:p>
            <w:pPr>
              <w:pStyle w:val="TableParagraph"/>
              <w:spacing w:line="240" w:lineRule="auto" w:before="105"/>
              <w:ind w:left="65" w:right="0"/>
              <w:jc w:val="center"/>
              <w:rPr>
                <w:rFonts w:ascii="Times New Roman" w:hAnsi="Times New Roman" w:cs="Times New Roman" w:eastAsia="Times New Roman" w:hint="default"/>
                <w:sz w:val="18"/>
                <w:szCs w:val="18"/>
              </w:rPr>
            </w:pPr>
            <w:r>
              <w:rPr>
                <w:rFonts w:ascii="Times New Roman"/>
                <w:sz w:val="18"/>
              </w:rPr>
              <w:t>,445.</w:t>
            </w:r>
          </w:p>
          <w:p>
            <w:pPr>
              <w:pStyle w:val="TableParagraph"/>
              <w:spacing w:line="240" w:lineRule="auto" w:before="110"/>
              <w:ind w:left="249" w:right="0"/>
              <w:jc w:val="center"/>
              <w:rPr>
                <w:rFonts w:ascii="Times New Roman" w:hAnsi="Times New Roman" w:cs="Times New Roman" w:eastAsia="Times New Roman" w:hint="default"/>
                <w:sz w:val="18"/>
                <w:szCs w:val="18"/>
              </w:rPr>
            </w:pPr>
            <w:r>
              <w:rPr>
                <w:rFonts w:ascii="Times New Roman"/>
                <w:sz w:val="18"/>
              </w:rPr>
              <w:t>65</w:t>
            </w:r>
          </w:p>
        </w:tc>
        <w:tc>
          <w:tcPr>
            <w:tcW w:w="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34" w:right="0"/>
              <w:jc w:val="left"/>
              <w:rPr>
                <w:rFonts w:ascii="Times New Roman" w:hAnsi="Times New Roman" w:cs="Times New Roman" w:eastAsia="Times New Roman" w:hint="default"/>
                <w:sz w:val="18"/>
                <w:szCs w:val="18"/>
              </w:rPr>
            </w:pPr>
            <w:r>
              <w:rPr>
                <w:rFonts w:ascii="Times New Roman"/>
                <w:sz w:val="18"/>
              </w:rPr>
              <w:t>132,4</w:t>
            </w:r>
          </w:p>
          <w:p>
            <w:pPr>
              <w:pStyle w:val="TableParagraph"/>
              <w:spacing w:line="240" w:lineRule="auto" w:before="105"/>
              <w:ind w:left="134" w:right="0"/>
              <w:jc w:val="left"/>
              <w:rPr>
                <w:rFonts w:ascii="Times New Roman" w:hAnsi="Times New Roman" w:cs="Times New Roman" w:eastAsia="Times New Roman" w:hint="default"/>
                <w:sz w:val="18"/>
                <w:szCs w:val="18"/>
              </w:rPr>
            </w:pPr>
            <w:r>
              <w:rPr>
                <w:rFonts w:ascii="Times New Roman"/>
                <w:sz w:val="18"/>
              </w:rPr>
              <w:t>12,43</w:t>
            </w:r>
          </w:p>
          <w:p>
            <w:pPr>
              <w:pStyle w:val="TableParagraph"/>
              <w:spacing w:line="240" w:lineRule="auto" w:before="110"/>
              <w:ind w:left="220" w:right="0"/>
              <w:jc w:val="left"/>
              <w:rPr>
                <w:rFonts w:ascii="Times New Roman" w:hAnsi="Times New Roman" w:cs="Times New Roman" w:eastAsia="Times New Roman" w:hint="default"/>
                <w:sz w:val="18"/>
                <w:szCs w:val="18"/>
              </w:rPr>
            </w:pPr>
            <w:r>
              <w:rPr>
                <w:rFonts w:ascii="Times New Roman"/>
                <w:sz w:val="18"/>
              </w:rPr>
              <w:t>0.25</w:t>
            </w:r>
          </w:p>
        </w:tc>
      </w:tr>
      <w:tr>
        <w:trPr>
          <w:trHeight w:val="1335"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8"/>
              <w:ind w:left="105" w:right="99"/>
              <w:jc w:val="left"/>
              <w:rPr>
                <w:rFonts w:ascii="宋体" w:hAnsi="宋体" w:cs="宋体" w:eastAsia="宋体" w:hint="default"/>
                <w:sz w:val="18"/>
                <w:szCs w:val="18"/>
              </w:rPr>
            </w:pPr>
            <w:r>
              <w:rPr>
                <w:rFonts w:ascii="宋体" w:hAnsi="宋体" w:cs="宋体" w:eastAsia="宋体" w:hint="default"/>
                <w:spacing w:val="-16"/>
                <w:w w:val="101"/>
                <w:sz w:val="18"/>
                <w:szCs w:val="18"/>
              </w:rPr>
              <w:t>（一）综合收</w:t>
            </w:r>
            <w:r>
              <w:rPr>
                <w:rFonts w:ascii="宋体" w:hAnsi="宋体" w:cs="宋体" w:eastAsia="宋体" w:hint="default"/>
                <w:w w:val="101"/>
                <w:sz w:val="18"/>
                <w:szCs w:val="18"/>
              </w:rPr>
              <w:t> </w:t>
            </w:r>
            <w:r>
              <w:rPr>
                <w:rFonts w:ascii="宋体" w:hAnsi="宋体" w:cs="宋体" w:eastAsia="宋体" w:hint="default"/>
                <w:sz w:val="18"/>
                <w:szCs w:val="18"/>
              </w:rPr>
              <w:t>益总额</w:t>
            </w:r>
          </w:p>
        </w:tc>
        <w:tc>
          <w:tcPr>
            <w:tcW w:w="490" w:type="dxa"/>
            <w:tcBorders>
              <w:top w:val="single" w:sz="4" w:space="0" w:color="000000"/>
              <w:left w:val="single" w:sz="4" w:space="0" w:color="000000"/>
              <w:bottom w:val="single" w:sz="4" w:space="0" w:color="000000"/>
              <w:right w:val="single" w:sz="4" w:space="0" w:color="000000"/>
            </w:tcBorders>
          </w:tcPr>
          <w:p>
            <w:pP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9" w:right="0"/>
              <w:jc w:val="center"/>
              <w:rPr>
                <w:rFonts w:ascii="Times New Roman" w:hAnsi="Times New Roman" w:cs="Times New Roman" w:eastAsia="Times New Roman" w:hint="default"/>
                <w:sz w:val="18"/>
                <w:szCs w:val="18"/>
              </w:rPr>
            </w:pPr>
            <w:r>
              <w:rPr>
                <w:rFonts w:ascii="Times New Roman"/>
                <w:sz w:val="18"/>
              </w:rPr>
              <w:t>956,</w:t>
            </w:r>
          </w:p>
          <w:p>
            <w:pPr>
              <w:pStyle w:val="TableParagraph"/>
              <w:spacing w:line="240" w:lineRule="auto" w:before="105"/>
              <w:ind w:left="49" w:right="0"/>
              <w:jc w:val="center"/>
              <w:rPr>
                <w:rFonts w:ascii="Times New Roman" w:hAnsi="Times New Roman" w:cs="Times New Roman" w:eastAsia="Times New Roman" w:hint="default"/>
                <w:sz w:val="18"/>
                <w:szCs w:val="18"/>
              </w:rPr>
            </w:pPr>
            <w:r>
              <w:rPr>
                <w:rFonts w:ascii="Times New Roman"/>
                <w:sz w:val="18"/>
              </w:rPr>
              <w:t>989.</w:t>
            </w:r>
          </w:p>
          <w:p>
            <w:pPr>
              <w:pStyle w:val="TableParagraph"/>
              <w:spacing w:line="240" w:lineRule="auto" w:before="110"/>
              <w:ind w:left="192" w:right="0"/>
              <w:jc w:val="center"/>
              <w:rPr>
                <w:rFonts w:ascii="Times New Roman" w:hAnsi="Times New Roman" w:cs="Times New Roman" w:eastAsia="Times New Roman" w:hint="default"/>
                <w:sz w:val="18"/>
                <w:szCs w:val="18"/>
              </w:rPr>
            </w:pPr>
            <w:r>
              <w:rPr>
                <w:rFonts w:ascii="Times New Roman"/>
                <w:sz w:val="18"/>
              </w:rPr>
              <w:t>28</w:t>
            </w: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64" w:right="0"/>
              <w:jc w:val="center"/>
              <w:rPr>
                <w:rFonts w:ascii="Times New Roman" w:hAnsi="Times New Roman" w:cs="Times New Roman" w:eastAsia="Times New Roman" w:hint="default"/>
                <w:sz w:val="18"/>
                <w:szCs w:val="18"/>
              </w:rPr>
            </w:pPr>
            <w:r>
              <w:rPr>
                <w:rFonts w:ascii="Times New Roman"/>
                <w:sz w:val="18"/>
              </w:rPr>
              <w:t>179,</w:t>
            </w:r>
          </w:p>
          <w:p>
            <w:pPr>
              <w:pStyle w:val="TableParagraph"/>
              <w:spacing w:line="240" w:lineRule="auto" w:before="100"/>
              <w:ind w:left="64" w:right="0"/>
              <w:jc w:val="center"/>
              <w:rPr>
                <w:rFonts w:ascii="Times New Roman" w:hAnsi="Times New Roman" w:cs="Times New Roman" w:eastAsia="Times New Roman" w:hint="default"/>
                <w:sz w:val="18"/>
                <w:szCs w:val="18"/>
              </w:rPr>
            </w:pPr>
            <w:r>
              <w:rPr>
                <w:rFonts w:ascii="Times New Roman"/>
                <w:sz w:val="18"/>
              </w:rPr>
              <w:t>662,</w:t>
            </w:r>
          </w:p>
          <w:p>
            <w:pPr>
              <w:pStyle w:val="TableParagraph"/>
              <w:spacing w:line="240" w:lineRule="auto" w:before="105"/>
              <w:ind w:left="64" w:right="0"/>
              <w:jc w:val="center"/>
              <w:rPr>
                <w:rFonts w:ascii="Times New Roman" w:hAnsi="Times New Roman" w:cs="Times New Roman" w:eastAsia="Times New Roman" w:hint="default"/>
                <w:sz w:val="18"/>
                <w:szCs w:val="18"/>
              </w:rPr>
            </w:pPr>
            <w:r>
              <w:rPr>
                <w:rFonts w:ascii="Times New Roman"/>
                <w:sz w:val="18"/>
              </w:rPr>
              <w:t>312.</w:t>
            </w:r>
          </w:p>
          <w:p>
            <w:pPr>
              <w:pStyle w:val="TableParagraph"/>
              <w:spacing w:line="240" w:lineRule="auto" w:before="110"/>
              <w:ind w:left="205" w:right="0"/>
              <w:jc w:val="center"/>
              <w:rPr>
                <w:rFonts w:ascii="Times New Roman" w:hAnsi="Times New Roman" w:cs="Times New Roman" w:eastAsia="Times New Roman" w:hint="default"/>
                <w:sz w:val="18"/>
                <w:szCs w:val="18"/>
              </w:rPr>
            </w:pPr>
            <w:r>
              <w:rPr>
                <w:rFonts w:ascii="Times New Roman"/>
                <w:sz w:val="18"/>
              </w:rPr>
              <w:t>16</w:t>
            </w: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31" w:right="0"/>
              <w:jc w:val="center"/>
              <w:rPr>
                <w:rFonts w:ascii="Times New Roman" w:hAnsi="Times New Roman" w:cs="Times New Roman" w:eastAsia="Times New Roman" w:hint="default"/>
                <w:sz w:val="18"/>
                <w:szCs w:val="18"/>
              </w:rPr>
            </w:pPr>
            <w:r>
              <w:rPr>
                <w:rFonts w:ascii="Times New Roman"/>
                <w:sz w:val="18"/>
              </w:rPr>
              <w:t>180,</w:t>
            </w:r>
          </w:p>
          <w:p>
            <w:pPr>
              <w:pStyle w:val="TableParagraph"/>
              <w:spacing w:line="240" w:lineRule="auto" w:before="100"/>
              <w:ind w:left="31" w:right="0"/>
              <w:jc w:val="center"/>
              <w:rPr>
                <w:rFonts w:ascii="Times New Roman" w:hAnsi="Times New Roman" w:cs="Times New Roman" w:eastAsia="Times New Roman" w:hint="default"/>
                <w:sz w:val="18"/>
                <w:szCs w:val="18"/>
              </w:rPr>
            </w:pPr>
            <w:r>
              <w:rPr>
                <w:rFonts w:ascii="Times New Roman"/>
                <w:sz w:val="18"/>
              </w:rPr>
              <w:t>619,</w:t>
            </w:r>
          </w:p>
          <w:p>
            <w:pPr>
              <w:pStyle w:val="TableParagraph"/>
              <w:spacing w:line="240" w:lineRule="auto" w:before="105"/>
              <w:ind w:left="31" w:right="0"/>
              <w:jc w:val="center"/>
              <w:rPr>
                <w:rFonts w:ascii="Times New Roman" w:hAnsi="Times New Roman" w:cs="Times New Roman" w:eastAsia="Times New Roman" w:hint="default"/>
                <w:sz w:val="18"/>
                <w:szCs w:val="18"/>
              </w:rPr>
            </w:pPr>
            <w:r>
              <w:rPr>
                <w:rFonts w:ascii="Times New Roman"/>
                <w:sz w:val="18"/>
              </w:rPr>
              <w:t>301.</w:t>
            </w:r>
          </w:p>
          <w:p>
            <w:pPr>
              <w:pStyle w:val="TableParagraph"/>
              <w:spacing w:line="240" w:lineRule="auto" w:before="110"/>
              <w:ind w:left="172" w:right="0"/>
              <w:jc w:val="center"/>
              <w:rPr>
                <w:rFonts w:ascii="Times New Roman" w:hAnsi="Times New Roman" w:cs="Times New Roman" w:eastAsia="Times New Roman" w:hint="default"/>
                <w:sz w:val="18"/>
                <w:szCs w:val="18"/>
              </w:rPr>
            </w:pPr>
            <w:r>
              <w:rPr>
                <w:rFonts w:ascii="Times New Roman"/>
                <w:sz w:val="18"/>
              </w:rPr>
              <w:t>44</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25" w:right="0"/>
              <w:jc w:val="left"/>
              <w:rPr>
                <w:rFonts w:ascii="Times New Roman" w:hAnsi="Times New Roman" w:cs="Times New Roman" w:eastAsia="Times New Roman" w:hint="default"/>
                <w:sz w:val="18"/>
                <w:szCs w:val="18"/>
              </w:rPr>
            </w:pPr>
            <w:r>
              <w:rPr>
                <w:rFonts w:ascii="Times New Roman"/>
                <w:sz w:val="18"/>
              </w:rPr>
              <w:t>4,630</w:t>
            </w:r>
          </w:p>
          <w:p>
            <w:pPr>
              <w:pStyle w:val="TableParagraph"/>
              <w:spacing w:line="240" w:lineRule="auto" w:before="105"/>
              <w:ind w:left="65" w:right="0"/>
              <w:jc w:val="center"/>
              <w:rPr>
                <w:rFonts w:ascii="Times New Roman" w:hAnsi="Times New Roman" w:cs="Times New Roman" w:eastAsia="Times New Roman" w:hint="default"/>
                <w:sz w:val="18"/>
                <w:szCs w:val="18"/>
              </w:rPr>
            </w:pPr>
            <w:r>
              <w:rPr>
                <w:rFonts w:ascii="Times New Roman"/>
                <w:sz w:val="18"/>
              </w:rPr>
              <w:t>,445.</w:t>
            </w:r>
          </w:p>
          <w:p>
            <w:pPr>
              <w:pStyle w:val="TableParagraph"/>
              <w:spacing w:line="240" w:lineRule="auto" w:before="110"/>
              <w:ind w:left="249" w:right="0"/>
              <w:jc w:val="center"/>
              <w:rPr>
                <w:rFonts w:ascii="Times New Roman" w:hAnsi="Times New Roman" w:cs="Times New Roman" w:eastAsia="Times New Roman" w:hint="default"/>
                <w:sz w:val="18"/>
                <w:szCs w:val="18"/>
              </w:rPr>
            </w:pPr>
            <w:r>
              <w:rPr>
                <w:rFonts w:ascii="Times New Roman"/>
                <w:sz w:val="18"/>
              </w:rPr>
              <w:t>65</w:t>
            </w:r>
          </w:p>
        </w:tc>
        <w:tc>
          <w:tcPr>
            <w:tcW w:w="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34" w:right="0"/>
              <w:jc w:val="left"/>
              <w:rPr>
                <w:rFonts w:ascii="Times New Roman" w:hAnsi="Times New Roman" w:cs="Times New Roman" w:eastAsia="Times New Roman" w:hint="default"/>
                <w:sz w:val="18"/>
                <w:szCs w:val="18"/>
              </w:rPr>
            </w:pPr>
            <w:r>
              <w:rPr>
                <w:rFonts w:ascii="Times New Roman"/>
                <w:sz w:val="18"/>
              </w:rPr>
              <w:t>185,2</w:t>
            </w:r>
          </w:p>
          <w:p>
            <w:pPr>
              <w:pStyle w:val="TableParagraph"/>
              <w:spacing w:line="240" w:lineRule="auto" w:before="105"/>
              <w:ind w:left="134" w:right="0"/>
              <w:jc w:val="left"/>
              <w:rPr>
                <w:rFonts w:ascii="Times New Roman" w:hAnsi="Times New Roman" w:cs="Times New Roman" w:eastAsia="Times New Roman" w:hint="default"/>
                <w:sz w:val="18"/>
                <w:szCs w:val="18"/>
              </w:rPr>
            </w:pPr>
            <w:r>
              <w:rPr>
                <w:rFonts w:ascii="Times New Roman"/>
                <w:sz w:val="18"/>
              </w:rPr>
              <w:t>49,74</w:t>
            </w:r>
          </w:p>
          <w:p>
            <w:pPr>
              <w:pStyle w:val="TableParagraph"/>
              <w:spacing w:line="240" w:lineRule="auto" w:before="110"/>
              <w:ind w:left="220" w:right="0"/>
              <w:jc w:val="left"/>
              <w:rPr>
                <w:rFonts w:ascii="Times New Roman" w:hAnsi="Times New Roman" w:cs="Times New Roman" w:eastAsia="Times New Roman" w:hint="default"/>
                <w:sz w:val="18"/>
                <w:szCs w:val="18"/>
              </w:rPr>
            </w:pPr>
            <w:r>
              <w:rPr>
                <w:rFonts w:ascii="Times New Roman"/>
                <w:sz w:val="18"/>
              </w:rPr>
              <w:t>7.09</w:t>
            </w:r>
          </w:p>
        </w:tc>
      </w:tr>
      <w:tr>
        <w:trPr>
          <w:trHeight w:val="1339"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316" w:lineRule="auto"/>
              <w:ind w:left="105" w:right="99"/>
              <w:jc w:val="left"/>
              <w:rPr>
                <w:rFonts w:ascii="宋体" w:hAnsi="宋体" w:cs="宋体" w:eastAsia="宋体" w:hint="default"/>
                <w:sz w:val="18"/>
                <w:szCs w:val="18"/>
              </w:rPr>
            </w:pPr>
            <w:r>
              <w:rPr>
                <w:rFonts w:ascii="宋体" w:hAnsi="宋体" w:cs="宋体" w:eastAsia="宋体" w:hint="default"/>
                <w:spacing w:val="-16"/>
                <w:w w:val="101"/>
                <w:sz w:val="18"/>
                <w:szCs w:val="18"/>
              </w:rPr>
              <w:t>（二）所有者</w:t>
            </w:r>
            <w:r>
              <w:rPr>
                <w:rFonts w:ascii="宋体" w:hAnsi="宋体" w:cs="宋体" w:eastAsia="宋体" w:hint="default"/>
                <w:w w:val="101"/>
                <w:sz w:val="18"/>
                <w:szCs w:val="18"/>
              </w:rPr>
              <w:t> </w:t>
            </w:r>
            <w:r>
              <w:rPr>
                <w:rFonts w:ascii="宋体" w:hAnsi="宋体" w:cs="宋体" w:eastAsia="宋体" w:hint="default"/>
                <w:sz w:val="18"/>
                <w:szCs w:val="18"/>
              </w:rPr>
              <w:t>投入和减少</w:t>
            </w:r>
            <w:r>
              <w:rPr>
                <w:rFonts w:ascii="宋体" w:hAnsi="宋体" w:cs="宋体" w:eastAsia="宋体" w:hint="default"/>
                <w:w w:val="101"/>
                <w:sz w:val="18"/>
                <w:szCs w:val="18"/>
              </w:rPr>
              <w:t> </w:t>
            </w:r>
            <w:r>
              <w:rPr>
                <w:rFonts w:ascii="宋体" w:hAnsi="宋体" w:cs="宋体" w:eastAsia="宋体" w:hint="default"/>
                <w:sz w:val="18"/>
                <w:szCs w:val="18"/>
              </w:rPr>
              <w:t>资本</w:t>
            </w: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48" w:right="0"/>
              <w:jc w:val="left"/>
              <w:rPr>
                <w:rFonts w:ascii="Times New Roman" w:hAnsi="Times New Roman" w:cs="Times New Roman" w:eastAsia="Times New Roman" w:hint="default"/>
                <w:sz w:val="18"/>
                <w:szCs w:val="18"/>
              </w:rPr>
            </w:pPr>
            <w:r>
              <w:rPr>
                <w:rFonts w:ascii="Times New Roman"/>
                <w:sz w:val="18"/>
              </w:rPr>
              <w:t>7,8</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29,</w:t>
            </w:r>
          </w:p>
          <w:p>
            <w:pPr>
              <w:pStyle w:val="TableParagraph"/>
              <w:spacing w:line="240" w:lineRule="auto" w:before="105"/>
              <w:ind w:left="105" w:right="0"/>
              <w:jc w:val="left"/>
              <w:rPr>
                <w:rFonts w:ascii="Times New Roman" w:hAnsi="Times New Roman" w:cs="Times New Roman" w:eastAsia="Times New Roman" w:hint="default"/>
                <w:sz w:val="18"/>
                <w:szCs w:val="18"/>
              </w:rPr>
            </w:pPr>
            <w:r>
              <w:rPr>
                <w:rFonts w:ascii="Times New Roman"/>
                <w:sz w:val="18"/>
              </w:rPr>
              <w:t>000</w:t>
            </w:r>
          </w:p>
          <w:p>
            <w:pPr>
              <w:pStyle w:val="TableParagraph"/>
              <w:spacing w:line="240" w:lineRule="auto" w:before="110"/>
              <w:ind w:left="148" w:right="0"/>
              <w:jc w:val="left"/>
              <w:rPr>
                <w:rFonts w:ascii="Times New Roman" w:hAnsi="Times New Roman" w:cs="Times New Roman" w:eastAsia="Times New Roman" w:hint="default"/>
                <w:sz w:val="18"/>
                <w:szCs w:val="18"/>
              </w:rPr>
            </w:pPr>
            <w:r>
              <w:rPr>
                <w:rFonts w:ascii="Times New Roman"/>
                <w:sz w:val="18"/>
              </w:rPr>
              <w:t>.00</w:t>
            </w: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48" w:right="0"/>
              <w:jc w:val="left"/>
              <w:rPr>
                <w:rFonts w:ascii="Times New Roman" w:hAnsi="Times New Roman" w:cs="Times New Roman" w:eastAsia="Times New Roman" w:hint="default"/>
                <w:sz w:val="18"/>
                <w:szCs w:val="18"/>
              </w:rPr>
            </w:pPr>
            <w:r>
              <w:rPr>
                <w:rFonts w:ascii="Times New Roman"/>
                <w:sz w:val="18"/>
              </w:rPr>
              <w:t>18,3</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95,3</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86.6</w:t>
            </w:r>
          </w:p>
          <w:p>
            <w:pPr>
              <w:pStyle w:val="TableParagraph"/>
              <w:spacing w:line="240" w:lineRule="auto" w:before="110"/>
              <w:ind w:left="374" w:right="0"/>
              <w:jc w:val="left"/>
              <w:rPr>
                <w:rFonts w:ascii="Times New Roman" w:hAnsi="Times New Roman" w:cs="Times New Roman" w:eastAsia="Times New Roman" w:hint="default"/>
                <w:sz w:val="18"/>
                <w:szCs w:val="18"/>
              </w:rPr>
            </w:pPr>
            <w:r>
              <w:rPr>
                <w:rFonts w:ascii="Times New Roman"/>
                <w:w w:val="101"/>
                <w:sz w:val="18"/>
              </w:rPr>
              <w:t>6</w:t>
            </w:r>
            <w:r>
              <w:rPr>
                <w:rFonts w:ascii="Times New Roman"/>
                <w:sz w:val="18"/>
              </w:rPr>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48" w:right="0"/>
              <w:jc w:val="left"/>
              <w:rPr>
                <w:rFonts w:ascii="Times New Roman" w:hAnsi="Times New Roman" w:cs="Times New Roman" w:eastAsia="Times New Roman" w:hint="default"/>
                <w:sz w:val="18"/>
                <w:szCs w:val="18"/>
              </w:rPr>
            </w:pPr>
            <w:r>
              <w:rPr>
                <w:rFonts w:ascii="Times New Roman"/>
                <w:sz w:val="18"/>
              </w:rPr>
              <w:t>17,6</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40,4</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88.1</w:t>
            </w:r>
          </w:p>
          <w:p>
            <w:pPr>
              <w:pStyle w:val="TableParagraph"/>
              <w:spacing w:line="240" w:lineRule="auto" w:before="110"/>
              <w:ind w:left="374" w:right="0"/>
              <w:jc w:val="lef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57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134" w:right="0"/>
              <w:jc w:val="left"/>
              <w:rPr>
                <w:rFonts w:ascii="Times New Roman" w:hAnsi="Times New Roman" w:cs="Times New Roman" w:eastAsia="Times New Roman" w:hint="default"/>
                <w:sz w:val="18"/>
                <w:szCs w:val="18"/>
              </w:rPr>
            </w:pPr>
            <w:r>
              <w:rPr>
                <w:rFonts w:ascii="Times New Roman"/>
                <w:sz w:val="18"/>
              </w:rPr>
              <w:t>8,58</w:t>
            </w:r>
          </w:p>
          <w:p>
            <w:pPr>
              <w:pStyle w:val="TableParagraph"/>
              <w:spacing w:line="240" w:lineRule="auto" w:before="100"/>
              <w:ind w:left="134" w:right="0"/>
              <w:jc w:val="left"/>
              <w:rPr>
                <w:rFonts w:ascii="Times New Roman" w:hAnsi="Times New Roman" w:cs="Times New Roman" w:eastAsia="Times New Roman" w:hint="default"/>
                <w:sz w:val="18"/>
                <w:szCs w:val="18"/>
              </w:rPr>
            </w:pPr>
            <w:r>
              <w:rPr>
                <w:rFonts w:ascii="Times New Roman"/>
                <w:sz w:val="18"/>
              </w:rPr>
              <w:t>3,89</w:t>
            </w:r>
          </w:p>
          <w:p>
            <w:pPr>
              <w:pStyle w:val="TableParagraph"/>
              <w:spacing w:line="240" w:lineRule="auto" w:before="110"/>
              <w:ind w:left="134" w:right="0"/>
              <w:jc w:val="left"/>
              <w:rPr>
                <w:rFonts w:ascii="Times New Roman" w:hAnsi="Times New Roman" w:cs="Times New Roman" w:eastAsia="Times New Roman" w:hint="default"/>
                <w:sz w:val="18"/>
                <w:szCs w:val="18"/>
              </w:rPr>
            </w:pPr>
            <w:r>
              <w:rPr>
                <w:rFonts w:ascii="Times New Roman"/>
                <w:sz w:val="18"/>
              </w:rPr>
              <w:t>8.56</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left="125" w:right="0"/>
              <w:jc w:val="left"/>
              <w:rPr>
                <w:rFonts w:ascii="Times New Roman" w:hAnsi="Times New Roman" w:cs="Times New Roman" w:eastAsia="Times New Roman" w:hint="default"/>
                <w:sz w:val="18"/>
                <w:szCs w:val="18"/>
              </w:rPr>
            </w:pPr>
            <w:r>
              <w:rPr>
                <w:rFonts w:ascii="Times New Roman"/>
                <w:sz w:val="18"/>
              </w:rPr>
              <w:t>295,0</w:t>
            </w:r>
          </w:p>
          <w:p>
            <w:pPr>
              <w:pStyle w:val="TableParagraph"/>
              <w:spacing w:line="240" w:lineRule="auto" w:before="110"/>
              <w:ind w:left="125" w:right="0"/>
              <w:jc w:val="left"/>
              <w:rPr>
                <w:rFonts w:ascii="Times New Roman" w:hAnsi="Times New Roman" w:cs="Times New Roman" w:eastAsia="Times New Roman" w:hint="default"/>
                <w:sz w:val="18"/>
                <w:szCs w:val="18"/>
              </w:rPr>
            </w:pPr>
            <w:r>
              <w:rPr>
                <w:rFonts w:ascii="Times New Roman"/>
                <w:sz w:val="18"/>
              </w:rPr>
              <w:t>00.00</w:t>
            </w:r>
          </w:p>
        </w:tc>
        <w:tc>
          <w:tcPr>
            <w:tcW w:w="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134" w:right="0"/>
              <w:jc w:val="left"/>
              <w:rPr>
                <w:rFonts w:ascii="Times New Roman" w:hAnsi="Times New Roman" w:cs="Times New Roman" w:eastAsia="Times New Roman" w:hint="default"/>
                <w:sz w:val="18"/>
                <w:szCs w:val="18"/>
              </w:rPr>
            </w:pPr>
            <w:r>
              <w:rPr>
                <w:rFonts w:ascii="Times New Roman"/>
                <w:sz w:val="18"/>
              </w:rPr>
              <w:t>8,878</w:t>
            </w:r>
          </w:p>
          <w:p>
            <w:pPr>
              <w:pStyle w:val="TableParagraph"/>
              <w:spacing w:line="240" w:lineRule="auto" w:before="100"/>
              <w:ind w:left="79" w:right="0"/>
              <w:jc w:val="center"/>
              <w:rPr>
                <w:rFonts w:ascii="Times New Roman" w:hAnsi="Times New Roman" w:cs="Times New Roman" w:eastAsia="Times New Roman" w:hint="default"/>
                <w:sz w:val="18"/>
                <w:szCs w:val="18"/>
              </w:rPr>
            </w:pPr>
            <w:r>
              <w:rPr>
                <w:rFonts w:ascii="Times New Roman"/>
                <w:sz w:val="18"/>
              </w:rPr>
              <w:t>,898.</w:t>
            </w:r>
          </w:p>
          <w:p>
            <w:pPr>
              <w:pStyle w:val="TableParagraph"/>
              <w:spacing w:line="240" w:lineRule="auto" w:before="110"/>
              <w:ind w:left="263" w:right="0"/>
              <w:jc w:val="center"/>
              <w:rPr>
                <w:rFonts w:ascii="Times New Roman" w:hAnsi="Times New Roman" w:cs="Times New Roman" w:eastAsia="Times New Roman" w:hint="default"/>
                <w:sz w:val="18"/>
                <w:szCs w:val="18"/>
              </w:rPr>
            </w:pPr>
            <w:r>
              <w:rPr>
                <w:rFonts w:ascii="Times New Roman"/>
                <w:sz w:val="18"/>
              </w:rPr>
              <w:t>56</w:t>
            </w:r>
          </w:p>
        </w:tc>
      </w:tr>
      <w:tr>
        <w:trPr>
          <w:trHeight w:val="1340"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4" w:lineRule="auto" w:before="159"/>
              <w:ind w:left="105" w:right="104"/>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．所有者投</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入的普通股</w:t>
            </w: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48" w:right="0"/>
              <w:jc w:val="left"/>
              <w:rPr>
                <w:rFonts w:ascii="Times New Roman" w:hAnsi="Times New Roman" w:cs="Times New Roman" w:eastAsia="Times New Roman" w:hint="default"/>
                <w:sz w:val="18"/>
                <w:szCs w:val="18"/>
              </w:rPr>
            </w:pPr>
            <w:r>
              <w:rPr>
                <w:rFonts w:ascii="Times New Roman"/>
                <w:sz w:val="18"/>
              </w:rPr>
              <w:t>8,0</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00,</w:t>
            </w:r>
          </w:p>
          <w:p>
            <w:pPr>
              <w:pStyle w:val="TableParagraph"/>
              <w:spacing w:line="240" w:lineRule="auto" w:before="105"/>
              <w:ind w:left="105" w:right="0"/>
              <w:jc w:val="left"/>
              <w:rPr>
                <w:rFonts w:ascii="Times New Roman" w:hAnsi="Times New Roman" w:cs="Times New Roman" w:eastAsia="Times New Roman" w:hint="default"/>
                <w:sz w:val="18"/>
                <w:szCs w:val="18"/>
              </w:rPr>
            </w:pPr>
            <w:r>
              <w:rPr>
                <w:rFonts w:ascii="Times New Roman"/>
                <w:sz w:val="18"/>
              </w:rPr>
              <w:t>000</w:t>
            </w:r>
          </w:p>
          <w:p>
            <w:pPr>
              <w:pStyle w:val="TableParagraph"/>
              <w:spacing w:line="240" w:lineRule="auto" w:before="110"/>
              <w:ind w:left="148" w:right="0"/>
              <w:jc w:val="left"/>
              <w:rPr>
                <w:rFonts w:ascii="Times New Roman" w:hAnsi="Times New Roman" w:cs="Times New Roman" w:eastAsia="Times New Roman" w:hint="default"/>
                <w:sz w:val="18"/>
                <w:szCs w:val="18"/>
              </w:rPr>
            </w:pPr>
            <w:r>
              <w:rPr>
                <w:rFonts w:ascii="Times New Roman"/>
                <w:sz w:val="18"/>
              </w:rPr>
              <w:t>.00</w:t>
            </w: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48" w:right="0"/>
              <w:jc w:val="left"/>
              <w:rPr>
                <w:rFonts w:ascii="Times New Roman" w:hAnsi="Times New Roman" w:cs="Times New Roman" w:eastAsia="Times New Roman" w:hint="default"/>
                <w:sz w:val="18"/>
                <w:szCs w:val="18"/>
              </w:rPr>
            </w:pPr>
            <w:r>
              <w:rPr>
                <w:rFonts w:ascii="Times New Roman"/>
                <w:sz w:val="18"/>
              </w:rPr>
              <w:t>13,6</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00,0</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00.0</w:t>
            </w:r>
          </w:p>
          <w:p>
            <w:pPr>
              <w:pStyle w:val="TableParagraph"/>
              <w:spacing w:line="240" w:lineRule="auto" w:before="110"/>
              <w:ind w:left="374" w:right="0"/>
              <w:jc w:val="lef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4" w:right="0"/>
              <w:jc w:val="left"/>
              <w:rPr>
                <w:rFonts w:ascii="Times New Roman" w:hAnsi="Times New Roman" w:cs="Times New Roman" w:eastAsia="Times New Roman" w:hint="default"/>
                <w:sz w:val="18"/>
                <w:szCs w:val="18"/>
              </w:rPr>
            </w:pPr>
            <w:r>
              <w:rPr>
                <w:rFonts w:ascii="Times New Roman"/>
                <w:sz w:val="18"/>
              </w:rPr>
              <w:t>21,6</w:t>
            </w:r>
          </w:p>
          <w:p>
            <w:pPr>
              <w:pStyle w:val="TableParagraph"/>
              <w:spacing w:line="240" w:lineRule="auto" w:before="105"/>
              <w:ind w:left="134" w:right="0"/>
              <w:jc w:val="left"/>
              <w:rPr>
                <w:rFonts w:ascii="Times New Roman" w:hAnsi="Times New Roman" w:cs="Times New Roman" w:eastAsia="Times New Roman" w:hint="default"/>
                <w:sz w:val="18"/>
                <w:szCs w:val="18"/>
              </w:rPr>
            </w:pPr>
            <w:r>
              <w:rPr>
                <w:rFonts w:ascii="Times New Roman"/>
                <w:sz w:val="18"/>
              </w:rPr>
              <w:t>00,0</w:t>
            </w:r>
          </w:p>
          <w:p>
            <w:pPr>
              <w:pStyle w:val="TableParagraph"/>
              <w:spacing w:line="240" w:lineRule="auto" w:before="105"/>
              <w:ind w:left="134" w:right="0"/>
              <w:jc w:val="left"/>
              <w:rPr>
                <w:rFonts w:ascii="Times New Roman" w:hAnsi="Times New Roman" w:cs="Times New Roman" w:eastAsia="Times New Roman" w:hint="default"/>
                <w:sz w:val="18"/>
                <w:szCs w:val="18"/>
              </w:rPr>
            </w:pPr>
            <w:r>
              <w:rPr>
                <w:rFonts w:ascii="Times New Roman"/>
                <w:sz w:val="18"/>
              </w:rPr>
              <w:t>00.0</w:t>
            </w:r>
          </w:p>
          <w:p>
            <w:pPr>
              <w:pStyle w:val="TableParagraph"/>
              <w:spacing w:line="240" w:lineRule="auto" w:before="110"/>
              <w:ind w:left="359" w:right="0"/>
              <w:jc w:val="lef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7"/>
                <w:szCs w:val="17"/>
              </w:rPr>
            </w:pPr>
          </w:p>
          <w:p>
            <w:pPr>
              <w:pStyle w:val="TableParagraph"/>
              <w:spacing w:line="240" w:lineRule="auto"/>
              <w:ind w:left="125" w:right="0"/>
              <w:jc w:val="left"/>
              <w:rPr>
                <w:rFonts w:ascii="Times New Roman" w:hAnsi="Times New Roman" w:cs="Times New Roman" w:eastAsia="Times New Roman" w:hint="default"/>
                <w:sz w:val="18"/>
                <w:szCs w:val="18"/>
              </w:rPr>
            </w:pPr>
            <w:r>
              <w:rPr>
                <w:rFonts w:ascii="Times New Roman"/>
                <w:sz w:val="18"/>
              </w:rPr>
              <w:t>295,0</w:t>
            </w:r>
          </w:p>
          <w:p>
            <w:pPr>
              <w:pStyle w:val="TableParagraph"/>
              <w:spacing w:line="240" w:lineRule="auto" w:before="110"/>
              <w:ind w:left="125" w:right="0"/>
              <w:jc w:val="left"/>
              <w:rPr>
                <w:rFonts w:ascii="Times New Roman" w:hAnsi="Times New Roman" w:cs="Times New Roman" w:eastAsia="Times New Roman" w:hint="default"/>
                <w:sz w:val="18"/>
                <w:szCs w:val="18"/>
              </w:rPr>
            </w:pPr>
            <w:r>
              <w:rPr>
                <w:rFonts w:ascii="Times New Roman"/>
                <w:sz w:val="18"/>
              </w:rPr>
              <w:t>00.00</w:t>
            </w:r>
          </w:p>
        </w:tc>
        <w:tc>
          <w:tcPr>
            <w:tcW w:w="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left="38" w:right="0"/>
              <w:jc w:val="center"/>
              <w:rPr>
                <w:rFonts w:ascii="Times New Roman" w:hAnsi="Times New Roman" w:cs="Times New Roman" w:eastAsia="Times New Roman" w:hint="default"/>
                <w:sz w:val="18"/>
                <w:szCs w:val="18"/>
              </w:rPr>
            </w:pPr>
            <w:r>
              <w:rPr>
                <w:rFonts w:ascii="Times New Roman"/>
                <w:sz w:val="18"/>
              </w:rPr>
              <w:t>21,89</w:t>
            </w:r>
          </w:p>
          <w:p>
            <w:pPr>
              <w:pStyle w:val="TableParagraph"/>
              <w:spacing w:line="240" w:lineRule="auto" w:before="100"/>
              <w:ind w:left="38" w:right="0"/>
              <w:jc w:val="center"/>
              <w:rPr>
                <w:rFonts w:ascii="Times New Roman" w:hAnsi="Times New Roman" w:cs="Times New Roman" w:eastAsia="Times New Roman" w:hint="default"/>
                <w:sz w:val="18"/>
                <w:szCs w:val="18"/>
              </w:rPr>
            </w:pPr>
            <w:r>
              <w:rPr>
                <w:rFonts w:ascii="Times New Roman"/>
                <w:sz w:val="18"/>
              </w:rPr>
              <w:t>5,000</w:t>
            </w:r>
          </w:p>
          <w:p>
            <w:pPr>
              <w:pStyle w:val="TableParagraph"/>
              <w:spacing w:line="240" w:lineRule="auto" w:before="110"/>
              <w:ind w:left="215" w:right="0"/>
              <w:jc w:val="center"/>
              <w:rPr>
                <w:rFonts w:ascii="Times New Roman" w:hAnsi="Times New Roman" w:cs="Times New Roman" w:eastAsia="Times New Roman" w:hint="default"/>
                <w:sz w:val="18"/>
                <w:szCs w:val="18"/>
              </w:rPr>
            </w:pPr>
            <w:r>
              <w:rPr>
                <w:rFonts w:ascii="Times New Roman"/>
                <w:sz w:val="18"/>
              </w:rPr>
              <w:t>.00</w:t>
            </w:r>
          </w:p>
        </w:tc>
      </w:tr>
      <w:tr>
        <w:trPr>
          <w:trHeight w:val="1028"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3"/>
              <w:ind w:left="105" w:right="104"/>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．其他权益</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工具持有者</w:t>
            </w:r>
            <w:r>
              <w:rPr>
                <w:rFonts w:ascii="宋体" w:hAnsi="宋体" w:cs="宋体" w:eastAsia="宋体" w:hint="default"/>
                <w:w w:val="101"/>
                <w:sz w:val="18"/>
                <w:szCs w:val="18"/>
              </w:rPr>
              <w:t> </w:t>
            </w:r>
            <w:r>
              <w:rPr>
                <w:rFonts w:ascii="宋体" w:hAnsi="宋体" w:cs="宋体" w:eastAsia="宋体" w:hint="default"/>
                <w:sz w:val="18"/>
                <w:szCs w:val="18"/>
              </w:rPr>
              <w:t>投入资本</w:t>
            </w:r>
          </w:p>
        </w:tc>
        <w:tc>
          <w:tcPr>
            <w:tcW w:w="490" w:type="dxa"/>
            <w:tcBorders>
              <w:top w:val="single" w:sz="4" w:space="0" w:color="000000"/>
              <w:left w:val="single" w:sz="4" w:space="0" w:color="000000"/>
              <w:bottom w:val="single" w:sz="4" w:space="0" w:color="000000"/>
              <w:right w:val="single" w:sz="4" w:space="0" w:color="000000"/>
            </w:tcBorders>
          </w:tcPr>
          <w:p>
            <w:pP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644" w:type="dxa"/>
            <w:tcBorders>
              <w:top w:val="single" w:sz="4" w:space="0" w:color="000000"/>
              <w:left w:val="single" w:sz="4" w:space="0" w:color="000000"/>
              <w:bottom w:val="single" w:sz="4" w:space="0" w:color="000000"/>
              <w:right w:val="single" w:sz="4" w:space="0" w:color="000000"/>
            </w:tcBorders>
          </w:tcPr>
          <w:p>
            <w:pPr/>
          </w:p>
        </w:tc>
        <w:tc>
          <w:tcPr>
            <w:tcW w:w="648" w:type="dxa"/>
            <w:tcBorders>
              <w:top w:val="single" w:sz="4" w:space="0" w:color="000000"/>
              <w:left w:val="single" w:sz="4" w:space="0" w:color="000000"/>
              <w:bottom w:val="single" w:sz="4" w:space="0" w:color="000000"/>
              <w:right w:val="single" w:sz="4" w:space="0" w:color="000000"/>
            </w:tcBorders>
          </w:tcPr>
          <w:p>
            <w:pPr/>
          </w:p>
        </w:tc>
      </w:tr>
      <w:tr>
        <w:trPr>
          <w:trHeight w:val="672"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5" w:lineRule="auto" w:before="53"/>
              <w:ind w:left="105" w:right="104"/>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．股份支付</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计入所有者</w:t>
            </w: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4" w:right="0"/>
              <w:jc w:val="left"/>
              <w:rPr>
                <w:rFonts w:ascii="Times New Roman" w:hAnsi="Times New Roman" w:cs="Times New Roman" w:eastAsia="Times New Roman" w:hint="default"/>
                <w:sz w:val="18"/>
                <w:szCs w:val="18"/>
              </w:rPr>
            </w:pPr>
            <w:r>
              <w:rPr>
                <w:rFonts w:ascii="Times New Roman"/>
                <w:sz w:val="18"/>
              </w:rPr>
              <w:t>-17</w:t>
            </w:r>
          </w:p>
          <w:p>
            <w:pPr>
              <w:pStyle w:val="TableParagraph"/>
              <w:spacing w:line="240" w:lineRule="auto" w:before="100"/>
              <w:ind w:left="148" w:right="0"/>
              <w:jc w:val="left"/>
              <w:rPr>
                <w:rFonts w:ascii="Times New Roman" w:hAnsi="Times New Roman" w:cs="Times New Roman" w:eastAsia="Times New Roman" w:hint="default"/>
                <w:sz w:val="18"/>
                <w:szCs w:val="18"/>
              </w:rPr>
            </w:pPr>
            <w:r>
              <w:rPr>
                <w:rFonts w:ascii="Times New Roman"/>
                <w:sz w:val="18"/>
              </w:rPr>
              <w:t>1,0</w:t>
            </w: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48" w:right="0"/>
              <w:jc w:val="left"/>
              <w:rPr>
                <w:rFonts w:ascii="Times New Roman" w:hAnsi="Times New Roman" w:cs="Times New Roman" w:eastAsia="Times New Roman" w:hint="default"/>
                <w:sz w:val="18"/>
                <w:szCs w:val="18"/>
              </w:rPr>
            </w:pPr>
            <w:r>
              <w:rPr>
                <w:rFonts w:ascii="Times New Roman"/>
                <w:sz w:val="18"/>
              </w:rPr>
              <w:t>4,79</w:t>
            </w:r>
          </w:p>
          <w:p>
            <w:pPr>
              <w:pStyle w:val="TableParagraph"/>
              <w:spacing w:line="240" w:lineRule="auto" w:before="100"/>
              <w:ind w:left="148" w:right="0"/>
              <w:jc w:val="left"/>
              <w:rPr>
                <w:rFonts w:ascii="Times New Roman" w:hAnsi="Times New Roman" w:cs="Times New Roman" w:eastAsia="Times New Roman" w:hint="default"/>
                <w:sz w:val="18"/>
                <w:szCs w:val="18"/>
              </w:rPr>
            </w:pPr>
            <w:r>
              <w:rPr>
                <w:rFonts w:ascii="Times New Roman"/>
                <w:sz w:val="18"/>
              </w:rPr>
              <w:t>5,38</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48" w:right="0"/>
              <w:jc w:val="left"/>
              <w:rPr>
                <w:rFonts w:ascii="Times New Roman" w:hAnsi="Times New Roman" w:cs="Times New Roman" w:eastAsia="Times New Roman" w:hint="default"/>
                <w:sz w:val="18"/>
                <w:szCs w:val="18"/>
              </w:rPr>
            </w:pPr>
            <w:r>
              <w:rPr>
                <w:rFonts w:ascii="Times New Roman"/>
                <w:sz w:val="18"/>
              </w:rPr>
              <w:t>17,6</w:t>
            </w:r>
          </w:p>
          <w:p>
            <w:pPr>
              <w:pStyle w:val="TableParagraph"/>
              <w:spacing w:line="240" w:lineRule="auto" w:before="100"/>
              <w:ind w:left="148" w:right="0"/>
              <w:jc w:val="left"/>
              <w:rPr>
                <w:rFonts w:ascii="Times New Roman" w:hAnsi="Times New Roman" w:cs="Times New Roman" w:eastAsia="Times New Roman" w:hint="default"/>
                <w:sz w:val="18"/>
                <w:szCs w:val="18"/>
              </w:rPr>
            </w:pPr>
            <w:r>
              <w:rPr>
                <w:rFonts w:ascii="Times New Roman"/>
                <w:sz w:val="18"/>
              </w:rPr>
              <w:t>40,4</w:t>
            </w:r>
          </w:p>
        </w:tc>
        <w:tc>
          <w:tcPr>
            <w:tcW w:w="57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67" w:right="0"/>
              <w:jc w:val="left"/>
              <w:rPr>
                <w:rFonts w:ascii="Times New Roman" w:hAnsi="Times New Roman" w:cs="Times New Roman" w:eastAsia="Times New Roman" w:hint="default"/>
                <w:sz w:val="18"/>
                <w:szCs w:val="18"/>
              </w:rPr>
            </w:pPr>
            <w:r>
              <w:rPr>
                <w:rFonts w:ascii="Times New Roman"/>
                <w:sz w:val="18"/>
              </w:rPr>
              <w:t>-13,</w:t>
            </w:r>
          </w:p>
          <w:p>
            <w:pPr>
              <w:pStyle w:val="TableParagraph"/>
              <w:spacing w:line="240" w:lineRule="auto" w:before="100"/>
              <w:ind w:left="134" w:right="0"/>
              <w:jc w:val="left"/>
              <w:rPr>
                <w:rFonts w:ascii="Times New Roman" w:hAnsi="Times New Roman" w:cs="Times New Roman" w:eastAsia="Times New Roman" w:hint="default"/>
                <w:sz w:val="18"/>
                <w:szCs w:val="18"/>
              </w:rPr>
            </w:pPr>
            <w:r>
              <w:rPr>
                <w:rFonts w:ascii="Times New Roman"/>
                <w:sz w:val="18"/>
              </w:rPr>
              <w:t>016,</w:t>
            </w:r>
          </w:p>
        </w:tc>
        <w:tc>
          <w:tcPr>
            <w:tcW w:w="644" w:type="dxa"/>
            <w:tcBorders>
              <w:top w:val="single" w:sz="4" w:space="0" w:color="000000"/>
              <w:left w:val="single" w:sz="4" w:space="0" w:color="000000"/>
              <w:bottom w:val="single" w:sz="4" w:space="0" w:color="000000"/>
              <w:right w:val="single" w:sz="4" w:space="0" w:color="000000"/>
            </w:tcBorders>
          </w:tcPr>
          <w:p>
            <w:pPr/>
          </w:p>
        </w:tc>
        <w:tc>
          <w:tcPr>
            <w:tcW w:w="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63" w:right="0"/>
              <w:jc w:val="left"/>
              <w:rPr>
                <w:rFonts w:ascii="Times New Roman" w:hAnsi="Times New Roman" w:cs="Times New Roman" w:eastAsia="Times New Roman" w:hint="default"/>
                <w:sz w:val="18"/>
                <w:szCs w:val="18"/>
              </w:rPr>
            </w:pPr>
            <w:r>
              <w:rPr>
                <w:rFonts w:ascii="Times New Roman"/>
                <w:sz w:val="18"/>
              </w:rPr>
              <w:t>-13,0</w:t>
            </w:r>
          </w:p>
          <w:p>
            <w:pPr>
              <w:pStyle w:val="TableParagraph"/>
              <w:spacing w:line="240" w:lineRule="auto" w:before="100"/>
              <w:ind w:left="134" w:right="0"/>
              <w:jc w:val="left"/>
              <w:rPr>
                <w:rFonts w:ascii="Times New Roman" w:hAnsi="Times New Roman" w:cs="Times New Roman" w:eastAsia="Times New Roman" w:hint="default"/>
                <w:sz w:val="18"/>
                <w:szCs w:val="18"/>
              </w:rPr>
            </w:pPr>
            <w:r>
              <w:rPr>
                <w:rFonts w:ascii="Times New Roman"/>
                <w:sz w:val="18"/>
              </w:rPr>
              <w:t>16,10</w:t>
            </w:r>
          </w:p>
        </w:tc>
      </w:tr>
    </w:tbl>
    <w:p>
      <w:pPr>
        <w:spacing w:after="0" w:line="240" w:lineRule="auto"/>
        <w:jc w:val="left"/>
        <w:rPr>
          <w:rFonts w:ascii="Times New Roman" w:hAnsi="Times New Roman" w:cs="Times New Roman" w:eastAsia="Times New Roman" w:hint="default"/>
          <w:sz w:val="18"/>
          <w:szCs w:val="18"/>
        </w:rPr>
        <w:sectPr>
          <w:pgSz w:w="11910" w:h="16840"/>
          <w:pgMar w:header="784" w:footer="1022" w:top="1100" w:bottom="1220" w:left="980" w:right="0"/>
        </w:sectPr>
      </w:pPr>
    </w:p>
    <w:p>
      <w:pPr>
        <w:spacing w:line="240" w:lineRule="auto" w:before="1"/>
        <w:rPr>
          <w:rFonts w:ascii="Times New Roman" w:hAnsi="Times New Roman" w:cs="Times New Roman" w:eastAsia="Times New Roman" w:hint="default"/>
          <w:sz w:val="29"/>
          <w:szCs w:val="29"/>
        </w:rPr>
      </w:pPr>
    </w:p>
    <w:tbl>
      <w:tblPr>
        <w:tblW w:w="0" w:type="auto"/>
        <w:jc w:val="left"/>
        <w:tblInd w:w="148" w:type="dxa"/>
        <w:tblLayout w:type="fixed"/>
        <w:tblCellMar>
          <w:top w:w="0" w:type="dxa"/>
          <w:left w:w="0" w:type="dxa"/>
          <w:bottom w:w="0" w:type="dxa"/>
          <w:right w:w="0" w:type="dxa"/>
        </w:tblCellMar>
        <w:tblLook w:val="01E0"/>
      </w:tblPr>
      <w:tblGrid>
        <w:gridCol w:w="1215"/>
        <w:gridCol w:w="490"/>
        <w:gridCol w:w="447"/>
        <w:gridCol w:w="451"/>
        <w:gridCol w:w="490"/>
        <w:gridCol w:w="577"/>
        <w:gridCol w:w="576"/>
        <w:gridCol w:w="576"/>
        <w:gridCol w:w="581"/>
        <w:gridCol w:w="576"/>
        <w:gridCol w:w="576"/>
        <w:gridCol w:w="591"/>
        <w:gridCol w:w="566"/>
        <w:gridCol w:w="566"/>
        <w:gridCol w:w="644"/>
        <w:gridCol w:w="648"/>
      </w:tblGrid>
      <w:tr>
        <w:trPr>
          <w:trHeight w:val="672"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105" w:right="0"/>
              <w:jc w:val="left"/>
              <w:rPr>
                <w:rFonts w:ascii="宋体" w:hAnsi="宋体" w:cs="宋体" w:eastAsia="宋体" w:hint="default"/>
                <w:sz w:val="18"/>
                <w:szCs w:val="18"/>
              </w:rPr>
            </w:pPr>
            <w:r>
              <w:rPr>
                <w:rFonts w:ascii="宋体" w:hAnsi="宋体" w:cs="宋体" w:eastAsia="宋体" w:hint="default"/>
                <w:sz w:val="18"/>
                <w:szCs w:val="18"/>
              </w:rPr>
              <w:t>权益的金额</w:t>
            </w: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48" w:right="0"/>
              <w:jc w:val="left"/>
              <w:rPr>
                <w:rFonts w:ascii="Times New Roman" w:hAnsi="Times New Roman" w:cs="Times New Roman" w:eastAsia="Times New Roman" w:hint="default"/>
                <w:sz w:val="18"/>
                <w:szCs w:val="18"/>
              </w:rPr>
            </w:pPr>
            <w:r>
              <w:rPr>
                <w:rFonts w:ascii="Times New Roman"/>
                <w:sz w:val="18"/>
              </w:rPr>
              <w:t>00.</w:t>
            </w:r>
          </w:p>
          <w:p>
            <w:pPr>
              <w:pStyle w:val="TableParagraph"/>
              <w:spacing w:line="240" w:lineRule="auto" w:before="110"/>
              <w:ind w:left="196" w:right="0"/>
              <w:jc w:val="left"/>
              <w:rPr>
                <w:rFonts w:ascii="Times New Roman" w:hAnsi="Times New Roman" w:cs="Times New Roman" w:eastAsia="Times New Roman" w:hint="default"/>
                <w:sz w:val="18"/>
                <w:szCs w:val="18"/>
              </w:rPr>
            </w:pPr>
            <w:r>
              <w:rPr>
                <w:rFonts w:ascii="Times New Roman"/>
                <w:sz w:val="18"/>
              </w:rPr>
              <w:t>00</w:t>
            </w: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48" w:right="0"/>
              <w:jc w:val="left"/>
              <w:rPr>
                <w:rFonts w:ascii="Times New Roman" w:hAnsi="Times New Roman" w:cs="Times New Roman" w:eastAsia="Times New Roman" w:hint="default"/>
                <w:sz w:val="18"/>
                <w:szCs w:val="18"/>
              </w:rPr>
            </w:pPr>
            <w:r>
              <w:rPr>
                <w:rFonts w:ascii="Times New Roman"/>
                <w:sz w:val="18"/>
              </w:rPr>
              <w:t>6.66</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48" w:right="0"/>
              <w:jc w:val="left"/>
              <w:rPr>
                <w:rFonts w:ascii="Times New Roman" w:hAnsi="Times New Roman" w:cs="Times New Roman" w:eastAsia="Times New Roman" w:hint="default"/>
                <w:sz w:val="18"/>
                <w:szCs w:val="18"/>
              </w:rPr>
            </w:pPr>
            <w:r>
              <w:rPr>
                <w:rFonts w:ascii="Times New Roman"/>
                <w:sz w:val="18"/>
              </w:rPr>
              <w:t>88.1</w:t>
            </w:r>
          </w:p>
          <w:p>
            <w:pPr>
              <w:pStyle w:val="TableParagraph"/>
              <w:spacing w:line="240" w:lineRule="auto" w:before="110"/>
              <w:ind w:left="374" w:right="0"/>
              <w:jc w:val="lef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57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31" w:right="0"/>
              <w:jc w:val="center"/>
              <w:rPr>
                <w:rFonts w:ascii="Times New Roman" w:hAnsi="Times New Roman" w:cs="Times New Roman" w:eastAsia="Times New Roman" w:hint="default"/>
                <w:sz w:val="18"/>
                <w:szCs w:val="18"/>
              </w:rPr>
            </w:pPr>
            <w:r>
              <w:rPr>
                <w:rFonts w:ascii="Times New Roman"/>
                <w:sz w:val="18"/>
              </w:rPr>
              <w:t>101.</w:t>
            </w:r>
          </w:p>
          <w:p>
            <w:pPr>
              <w:pStyle w:val="TableParagraph"/>
              <w:spacing w:line="240" w:lineRule="auto" w:before="110"/>
              <w:ind w:left="172" w:right="0"/>
              <w:jc w:val="center"/>
              <w:rPr>
                <w:rFonts w:ascii="Times New Roman" w:hAnsi="Times New Roman" w:cs="Times New Roman" w:eastAsia="Times New Roman" w:hint="default"/>
                <w:sz w:val="18"/>
                <w:szCs w:val="18"/>
              </w:rPr>
            </w:pPr>
            <w:r>
              <w:rPr>
                <w:rFonts w:ascii="Times New Roman"/>
                <w:sz w:val="18"/>
              </w:rPr>
              <w:t>44</w:t>
            </w:r>
          </w:p>
        </w:tc>
        <w:tc>
          <w:tcPr>
            <w:tcW w:w="644" w:type="dxa"/>
            <w:tcBorders>
              <w:top w:val="single" w:sz="4" w:space="0" w:color="000000"/>
              <w:left w:val="single" w:sz="4" w:space="0" w:color="000000"/>
              <w:bottom w:val="single" w:sz="4" w:space="0" w:color="000000"/>
              <w:right w:val="single" w:sz="4" w:space="0" w:color="000000"/>
            </w:tcBorders>
          </w:tcPr>
          <w:p>
            <w:pPr/>
          </w:p>
        </w:tc>
        <w:tc>
          <w:tcPr>
            <w:tcW w:w="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20" w:right="0"/>
              <w:jc w:val="left"/>
              <w:rPr>
                <w:rFonts w:ascii="Times New Roman" w:hAnsi="Times New Roman" w:cs="Times New Roman" w:eastAsia="Times New Roman" w:hint="default"/>
                <w:sz w:val="18"/>
                <w:szCs w:val="18"/>
              </w:rPr>
            </w:pPr>
            <w:r>
              <w:rPr>
                <w:rFonts w:ascii="Times New Roman"/>
                <w:sz w:val="18"/>
              </w:rPr>
              <w:t>1.44</w:t>
            </w:r>
          </w:p>
        </w:tc>
      </w:tr>
      <w:tr>
        <w:trPr>
          <w:trHeight w:val="404"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490" w:type="dxa"/>
            <w:tcBorders>
              <w:top w:val="single" w:sz="4" w:space="0" w:color="000000"/>
              <w:left w:val="single" w:sz="4" w:space="0" w:color="000000"/>
              <w:bottom w:val="single" w:sz="4" w:space="0" w:color="000000"/>
              <w:right w:val="single" w:sz="4" w:space="0" w:color="000000"/>
            </w:tcBorders>
          </w:tcPr>
          <w:p>
            <w:pP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644" w:type="dxa"/>
            <w:tcBorders>
              <w:top w:val="single" w:sz="4" w:space="0" w:color="000000"/>
              <w:left w:val="single" w:sz="4" w:space="0" w:color="000000"/>
              <w:bottom w:val="single" w:sz="4" w:space="0" w:color="000000"/>
              <w:right w:val="single" w:sz="4" w:space="0" w:color="000000"/>
            </w:tcBorders>
          </w:tcPr>
          <w:p>
            <w:pPr/>
          </w:p>
        </w:tc>
        <w:tc>
          <w:tcPr>
            <w:tcW w:w="648" w:type="dxa"/>
            <w:tcBorders>
              <w:top w:val="single" w:sz="4" w:space="0" w:color="000000"/>
              <w:left w:val="single" w:sz="4" w:space="0" w:color="000000"/>
              <w:bottom w:val="single" w:sz="4" w:space="0" w:color="000000"/>
              <w:right w:val="single" w:sz="4" w:space="0" w:color="000000"/>
            </w:tcBorders>
          </w:tcPr>
          <w:p>
            <w:pPr/>
          </w:p>
        </w:tc>
      </w:tr>
      <w:tr>
        <w:trPr>
          <w:trHeight w:val="1339"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21" w:lineRule="auto" w:before="158"/>
              <w:ind w:left="105" w:right="99"/>
              <w:jc w:val="left"/>
              <w:rPr>
                <w:rFonts w:ascii="宋体" w:hAnsi="宋体" w:cs="宋体" w:eastAsia="宋体" w:hint="default"/>
                <w:sz w:val="18"/>
                <w:szCs w:val="18"/>
              </w:rPr>
            </w:pPr>
            <w:r>
              <w:rPr>
                <w:rFonts w:ascii="宋体" w:hAnsi="宋体" w:cs="宋体" w:eastAsia="宋体" w:hint="default"/>
                <w:spacing w:val="-16"/>
                <w:w w:val="101"/>
                <w:sz w:val="18"/>
                <w:szCs w:val="18"/>
              </w:rPr>
              <w:t>（三）利润分</w:t>
            </w:r>
            <w:r>
              <w:rPr>
                <w:rFonts w:ascii="宋体" w:hAnsi="宋体" w:cs="宋体" w:eastAsia="宋体" w:hint="default"/>
                <w:w w:val="101"/>
                <w:sz w:val="18"/>
                <w:szCs w:val="18"/>
              </w:rPr>
              <w:t> </w:t>
            </w:r>
            <w:r>
              <w:rPr>
                <w:rFonts w:ascii="宋体" w:hAnsi="宋体" w:cs="宋体" w:eastAsia="宋体" w:hint="default"/>
                <w:sz w:val="18"/>
                <w:szCs w:val="18"/>
              </w:rPr>
              <w:t>配</w:t>
            </w:r>
          </w:p>
        </w:tc>
        <w:tc>
          <w:tcPr>
            <w:tcW w:w="490" w:type="dxa"/>
            <w:tcBorders>
              <w:top w:val="single" w:sz="4" w:space="0" w:color="000000"/>
              <w:left w:val="single" w:sz="4" w:space="0" w:color="000000"/>
              <w:bottom w:val="single" w:sz="4" w:space="0" w:color="000000"/>
              <w:right w:val="single" w:sz="4" w:space="0" w:color="000000"/>
            </w:tcBorders>
          </w:tcPr>
          <w:p>
            <w:pP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143" w:right="0"/>
              <w:jc w:val="left"/>
              <w:rPr>
                <w:rFonts w:ascii="Times New Roman" w:hAnsi="Times New Roman" w:cs="Times New Roman" w:eastAsia="Times New Roman" w:hint="default"/>
                <w:sz w:val="18"/>
                <w:szCs w:val="18"/>
              </w:rPr>
            </w:pPr>
            <w:r>
              <w:rPr>
                <w:rFonts w:ascii="Times New Roman"/>
                <w:sz w:val="18"/>
              </w:rPr>
              <w:t>2,92</w:t>
            </w:r>
          </w:p>
          <w:p>
            <w:pPr>
              <w:pStyle w:val="TableParagraph"/>
              <w:spacing w:line="240" w:lineRule="auto" w:before="100"/>
              <w:ind w:left="143" w:right="0"/>
              <w:jc w:val="left"/>
              <w:rPr>
                <w:rFonts w:ascii="Times New Roman" w:hAnsi="Times New Roman" w:cs="Times New Roman" w:eastAsia="Times New Roman" w:hint="default"/>
                <w:sz w:val="18"/>
                <w:szCs w:val="18"/>
              </w:rPr>
            </w:pPr>
            <w:r>
              <w:rPr>
                <w:rFonts w:ascii="Times New Roman"/>
                <w:sz w:val="18"/>
              </w:rPr>
              <w:t>2,74</w:t>
            </w:r>
          </w:p>
          <w:p>
            <w:pPr>
              <w:pStyle w:val="TableParagraph"/>
              <w:spacing w:line="240" w:lineRule="auto" w:before="110"/>
              <w:ind w:left="143" w:right="0"/>
              <w:jc w:val="left"/>
              <w:rPr>
                <w:rFonts w:ascii="Times New Roman" w:hAnsi="Times New Roman" w:cs="Times New Roman" w:eastAsia="Times New Roman" w:hint="default"/>
                <w:sz w:val="18"/>
                <w:szCs w:val="18"/>
              </w:rPr>
            </w:pPr>
            <w:r>
              <w:rPr>
                <w:rFonts w:ascii="Times New Roman"/>
                <w:sz w:val="18"/>
              </w:rPr>
              <w:t>7.71</w:t>
            </w: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97" w:right="0"/>
              <w:jc w:val="center"/>
              <w:rPr>
                <w:rFonts w:ascii="Times New Roman" w:hAnsi="Times New Roman" w:cs="Times New Roman" w:eastAsia="Times New Roman" w:hint="default"/>
                <w:sz w:val="18"/>
                <w:szCs w:val="18"/>
              </w:rPr>
            </w:pPr>
            <w:r>
              <w:rPr>
                <w:rFonts w:ascii="Times New Roman"/>
                <w:sz w:val="18"/>
              </w:rPr>
              <w:t>-64,</w:t>
            </w:r>
          </w:p>
          <w:p>
            <w:pPr>
              <w:pStyle w:val="TableParagraph"/>
              <w:spacing w:line="240" w:lineRule="auto" w:before="105"/>
              <w:ind w:left="64" w:right="0"/>
              <w:jc w:val="center"/>
              <w:rPr>
                <w:rFonts w:ascii="Times New Roman" w:hAnsi="Times New Roman" w:cs="Times New Roman" w:eastAsia="Times New Roman" w:hint="default"/>
                <w:sz w:val="18"/>
                <w:szCs w:val="18"/>
              </w:rPr>
            </w:pPr>
            <w:r>
              <w:rPr>
                <w:rFonts w:ascii="Times New Roman"/>
                <w:sz w:val="18"/>
              </w:rPr>
              <w:t>638,</w:t>
            </w:r>
          </w:p>
          <w:p>
            <w:pPr>
              <w:pStyle w:val="TableParagraph"/>
              <w:spacing w:line="240" w:lineRule="auto" w:before="105"/>
              <w:ind w:left="64" w:right="0"/>
              <w:jc w:val="center"/>
              <w:rPr>
                <w:rFonts w:ascii="Times New Roman" w:hAnsi="Times New Roman" w:cs="Times New Roman" w:eastAsia="Times New Roman" w:hint="default"/>
                <w:sz w:val="18"/>
                <w:szCs w:val="18"/>
              </w:rPr>
            </w:pPr>
            <w:r>
              <w:rPr>
                <w:rFonts w:ascii="Times New Roman"/>
                <w:sz w:val="18"/>
              </w:rPr>
              <w:t>963.</w:t>
            </w:r>
          </w:p>
          <w:p>
            <w:pPr>
              <w:pStyle w:val="TableParagraph"/>
              <w:spacing w:line="240" w:lineRule="auto" w:before="110"/>
              <w:ind w:left="205" w:right="0"/>
              <w:jc w:val="center"/>
              <w:rPr>
                <w:rFonts w:ascii="Times New Roman" w:hAnsi="Times New Roman" w:cs="Times New Roman" w:eastAsia="Times New Roman" w:hint="default"/>
                <w:sz w:val="18"/>
                <w:szCs w:val="18"/>
              </w:rPr>
            </w:pPr>
            <w:r>
              <w:rPr>
                <w:rFonts w:ascii="Times New Roman"/>
                <w:spacing w:val="-5"/>
                <w:sz w:val="18"/>
              </w:rPr>
              <w:t>11</w:t>
            </w:r>
            <w:r>
              <w:rPr>
                <w:rFonts w:ascii="Times New Roman"/>
                <w:sz w:val="18"/>
              </w:rPr>
            </w: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64" w:right="0"/>
              <w:jc w:val="center"/>
              <w:rPr>
                <w:rFonts w:ascii="Times New Roman" w:hAnsi="Times New Roman" w:cs="Times New Roman" w:eastAsia="Times New Roman" w:hint="default"/>
                <w:sz w:val="18"/>
                <w:szCs w:val="18"/>
              </w:rPr>
            </w:pPr>
            <w:r>
              <w:rPr>
                <w:rFonts w:ascii="Times New Roman"/>
                <w:sz w:val="18"/>
              </w:rPr>
              <w:t>-61,</w:t>
            </w:r>
          </w:p>
          <w:p>
            <w:pPr>
              <w:pStyle w:val="TableParagraph"/>
              <w:spacing w:line="240" w:lineRule="auto" w:before="105"/>
              <w:ind w:left="31" w:right="0"/>
              <w:jc w:val="center"/>
              <w:rPr>
                <w:rFonts w:ascii="Times New Roman" w:hAnsi="Times New Roman" w:cs="Times New Roman" w:eastAsia="Times New Roman" w:hint="default"/>
                <w:sz w:val="18"/>
                <w:szCs w:val="18"/>
              </w:rPr>
            </w:pPr>
            <w:r>
              <w:rPr>
                <w:rFonts w:ascii="Times New Roman"/>
                <w:sz w:val="18"/>
              </w:rPr>
              <w:t>716,</w:t>
            </w:r>
          </w:p>
          <w:p>
            <w:pPr>
              <w:pStyle w:val="TableParagraph"/>
              <w:spacing w:line="240" w:lineRule="auto" w:before="105"/>
              <w:ind w:left="31" w:right="0"/>
              <w:jc w:val="center"/>
              <w:rPr>
                <w:rFonts w:ascii="Times New Roman" w:hAnsi="Times New Roman" w:cs="Times New Roman" w:eastAsia="Times New Roman" w:hint="default"/>
                <w:sz w:val="18"/>
                <w:szCs w:val="18"/>
              </w:rPr>
            </w:pPr>
            <w:r>
              <w:rPr>
                <w:rFonts w:ascii="Times New Roman"/>
                <w:sz w:val="18"/>
              </w:rPr>
              <w:t>215.</w:t>
            </w:r>
          </w:p>
          <w:p>
            <w:pPr>
              <w:pStyle w:val="TableParagraph"/>
              <w:spacing w:line="240" w:lineRule="auto" w:before="110"/>
              <w:ind w:left="172" w:right="0"/>
              <w:jc w:val="center"/>
              <w:rPr>
                <w:rFonts w:ascii="Times New Roman" w:hAnsi="Times New Roman" w:cs="Times New Roman" w:eastAsia="Times New Roman" w:hint="default"/>
                <w:sz w:val="18"/>
                <w:szCs w:val="18"/>
              </w:rPr>
            </w:pPr>
            <w:r>
              <w:rPr>
                <w:rFonts w:ascii="Times New Roman"/>
                <w:sz w:val="18"/>
              </w:rPr>
              <w:t>40</w:t>
            </w:r>
          </w:p>
        </w:tc>
        <w:tc>
          <w:tcPr>
            <w:tcW w:w="644" w:type="dxa"/>
            <w:tcBorders>
              <w:top w:val="single" w:sz="4" w:space="0" w:color="000000"/>
              <w:left w:val="single" w:sz="4" w:space="0" w:color="000000"/>
              <w:bottom w:val="single" w:sz="4" w:space="0" w:color="000000"/>
              <w:right w:val="single" w:sz="4" w:space="0" w:color="000000"/>
            </w:tcBorders>
          </w:tcPr>
          <w:p>
            <w:pPr/>
          </w:p>
        </w:tc>
        <w:tc>
          <w:tcPr>
            <w:tcW w:w="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163" w:right="0"/>
              <w:jc w:val="left"/>
              <w:rPr>
                <w:rFonts w:ascii="Times New Roman" w:hAnsi="Times New Roman" w:cs="Times New Roman" w:eastAsia="Times New Roman" w:hint="default"/>
                <w:sz w:val="18"/>
                <w:szCs w:val="18"/>
              </w:rPr>
            </w:pPr>
            <w:r>
              <w:rPr>
                <w:rFonts w:ascii="Times New Roman"/>
                <w:sz w:val="18"/>
              </w:rPr>
              <w:t>-61,7</w:t>
            </w:r>
          </w:p>
          <w:p>
            <w:pPr>
              <w:pStyle w:val="TableParagraph"/>
              <w:spacing w:line="240" w:lineRule="auto" w:before="100"/>
              <w:ind w:left="134" w:right="0"/>
              <w:jc w:val="left"/>
              <w:rPr>
                <w:rFonts w:ascii="Times New Roman" w:hAnsi="Times New Roman" w:cs="Times New Roman" w:eastAsia="Times New Roman" w:hint="default"/>
                <w:sz w:val="18"/>
                <w:szCs w:val="18"/>
              </w:rPr>
            </w:pPr>
            <w:r>
              <w:rPr>
                <w:rFonts w:ascii="Times New Roman"/>
                <w:sz w:val="18"/>
              </w:rPr>
              <w:t>16,21</w:t>
            </w:r>
          </w:p>
          <w:p>
            <w:pPr>
              <w:pStyle w:val="TableParagraph"/>
              <w:spacing w:line="240" w:lineRule="auto" w:before="110"/>
              <w:ind w:left="220" w:right="0"/>
              <w:jc w:val="left"/>
              <w:rPr>
                <w:rFonts w:ascii="Times New Roman" w:hAnsi="Times New Roman" w:cs="Times New Roman" w:eastAsia="Times New Roman" w:hint="default"/>
                <w:sz w:val="18"/>
                <w:szCs w:val="18"/>
              </w:rPr>
            </w:pPr>
            <w:r>
              <w:rPr>
                <w:rFonts w:ascii="Times New Roman"/>
                <w:sz w:val="18"/>
              </w:rPr>
              <w:t>5.40</w:t>
            </w:r>
          </w:p>
        </w:tc>
      </w:tr>
      <w:tr>
        <w:trPr>
          <w:trHeight w:val="1340"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0" w:lineRule="auto" w:before="159"/>
              <w:ind w:left="105" w:right="104"/>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．提取盈余</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公积</w:t>
            </w:r>
          </w:p>
        </w:tc>
        <w:tc>
          <w:tcPr>
            <w:tcW w:w="490" w:type="dxa"/>
            <w:tcBorders>
              <w:top w:val="single" w:sz="4" w:space="0" w:color="000000"/>
              <w:left w:val="single" w:sz="4" w:space="0" w:color="000000"/>
              <w:bottom w:val="single" w:sz="4" w:space="0" w:color="000000"/>
              <w:right w:val="single" w:sz="4" w:space="0" w:color="000000"/>
            </w:tcBorders>
          </w:tcPr>
          <w:p>
            <w:pP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43" w:right="0"/>
              <w:jc w:val="left"/>
              <w:rPr>
                <w:rFonts w:ascii="Times New Roman" w:hAnsi="Times New Roman" w:cs="Times New Roman" w:eastAsia="Times New Roman" w:hint="default"/>
                <w:sz w:val="18"/>
                <w:szCs w:val="18"/>
              </w:rPr>
            </w:pPr>
            <w:r>
              <w:rPr>
                <w:rFonts w:ascii="Times New Roman"/>
                <w:sz w:val="18"/>
              </w:rPr>
              <w:t>2,92</w:t>
            </w:r>
          </w:p>
          <w:p>
            <w:pPr>
              <w:pStyle w:val="TableParagraph"/>
              <w:spacing w:line="240" w:lineRule="auto" w:before="105"/>
              <w:ind w:left="143" w:right="0"/>
              <w:jc w:val="left"/>
              <w:rPr>
                <w:rFonts w:ascii="Times New Roman" w:hAnsi="Times New Roman" w:cs="Times New Roman" w:eastAsia="Times New Roman" w:hint="default"/>
                <w:sz w:val="18"/>
                <w:szCs w:val="18"/>
              </w:rPr>
            </w:pPr>
            <w:r>
              <w:rPr>
                <w:rFonts w:ascii="Times New Roman"/>
                <w:sz w:val="18"/>
              </w:rPr>
              <w:t>2,74</w:t>
            </w:r>
          </w:p>
          <w:p>
            <w:pPr>
              <w:pStyle w:val="TableParagraph"/>
              <w:spacing w:line="240" w:lineRule="auto" w:before="110"/>
              <w:ind w:left="143" w:right="0"/>
              <w:jc w:val="left"/>
              <w:rPr>
                <w:rFonts w:ascii="Times New Roman" w:hAnsi="Times New Roman" w:cs="Times New Roman" w:eastAsia="Times New Roman" w:hint="default"/>
                <w:sz w:val="18"/>
                <w:szCs w:val="18"/>
              </w:rPr>
            </w:pPr>
            <w:r>
              <w:rPr>
                <w:rFonts w:ascii="Times New Roman"/>
                <w:sz w:val="18"/>
              </w:rPr>
              <w:t>7.71</w:t>
            </w: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99" w:right="0"/>
              <w:jc w:val="center"/>
              <w:rPr>
                <w:rFonts w:ascii="Times New Roman" w:hAnsi="Times New Roman" w:cs="Times New Roman" w:eastAsia="Times New Roman" w:hint="default"/>
                <w:sz w:val="18"/>
                <w:szCs w:val="18"/>
              </w:rPr>
            </w:pPr>
            <w:r>
              <w:rPr>
                <w:rFonts w:ascii="Times New Roman"/>
                <w:sz w:val="18"/>
              </w:rPr>
              <w:t>-2,9</w:t>
            </w:r>
          </w:p>
          <w:p>
            <w:pPr>
              <w:pStyle w:val="TableParagraph"/>
              <w:spacing w:line="240" w:lineRule="auto" w:before="100"/>
              <w:ind w:left="163" w:right="0"/>
              <w:jc w:val="left"/>
              <w:rPr>
                <w:rFonts w:ascii="Times New Roman" w:hAnsi="Times New Roman" w:cs="Times New Roman" w:eastAsia="Times New Roman" w:hint="default"/>
                <w:sz w:val="18"/>
                <w:szCs w:val="18"/>
              </w:rPr>
            </w:pPr>
            <w:r>
              <w:rPr>
                <w:rFonts w:ascii="Times New Roman"/>
                <w:sz w:val="18"/>
              </w:rPr>
              <w:t>22,7</w:t>
            </w:r>
          </w:p>
          <w:p>
            <w:pPr>
              <w:pStyle w:val="TableParagraph"/>
              <w:spacing w:line="240" w:lineRule="auto" w:before="105"/>
              <w:ind w:left="163" w:right="0"/>
              <w:jc w:val="left"/>
              <w:rPr>
                <w:rFonts w:ascii="Times New Roman" w:hAnsi="Times New Roman" w:cs="Times New Roman" w:eastAsia="Times New Roman" w:hint="default"/>
                <w:sz w:val="18"/>
                <w:szCs w:val="18"/>
              </w:rPr>
            </w:pPr>
            <w:r>
              <w:rPr>
                <w:rFonts w:ascii="Times New Roman"/>
                <w:sz w:val="18"/>
              </w:rPr>
              <w:t>47.7</w:t>
            </w:r>
          </w:p>
          <w:p>
            <w:pPr>
              <w:pStyle w:val="TableParagraph"/>
              <w:spacing w:line="240" w:lineRule="auto" w:before="110"/>
              <w:ind w:right="99"/>
              <w:jc w:val="right"/>
              <w:rPr>
                <w:rFonts w:ascii="Times New Roman" w:hAnsi="Times New Roman" w:cs="Times New Roman" w:eastAsia="Times New Roman" w:hint="default"/>
                <w:sz w:val="18"/>
                <w:szCs w:val="18"/>
              </w:rPr>
            </w:pPr>
            <w:r>
              <w:rPr>
                <w:rFonts w:ascii="Times New Roman"/>
                <w:w w:val="101"/>
                <w:sz w:val="18"/>
              </w:rPr>
              <w:t>1</w:t>
            </w:r>
            <w:r>
              <w:rPr>
                <w:rFonts w:ascii="Times New Roman"/>
                <w:sz w:val="18"/>
              </w:rPr>
            </w: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644" w:type="dxa"/>
            <w:tcBorders>
              <w:top w:val="single" w:sz="4" w:space="0" w:color="000000"/>
              <w:left w:val="single" w:sz="4" w:space="0" w:color="000000"/>
              <w:bottom w:val="single" w:sz="4" w:space="0" w:color="000000"/>
              <w:right w:val="single" w:sz="4" w:space="0" w:color="000000"/>
            </w:tcBorders>
          </w:tcPr>
          <w:p>
            <w:pPr/>
          </w:p>
        </w:tc>
        <w:tc>
          <w:tcPr>
            <w:tcW w:w="648" w:type="dxa"/>
            <w:tcBorders>
              <w:top w:val="single" w:sz="4" w:space="0" w:color="000000"/>
              <w:left w:val="single" w:sz="4" w:space="0" w:color="000000"/>
              <w:bottom w:val="single" w:sz="4" w:space="0" w:color="000000"/>
              <w:right w:val="single" w:sz="4" w:space="0" w:color="000000"/>
            </w:tcBorders>
          </w:tcPr>
          <w:p>
            <w:pPr/>
          </w:p>
        </w:tc>
      </w:tr>
      <w:tr>
        <w:trPr>
          <w:trHeight w:val="711"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105" w:right="104"/>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．提取一般</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风险准备</w:t>
            </w:r>
          </w:p>
        </w:tc>
        <w:tc>
          <w:tcPr>
            <w:tcW w:w="490" w:type="dxa"/>
            <w:tcBorders>
              <w:top w:val="single" w:sz="4" w:space="0" w:color="000000"/>
              <w:left w:val="single" w:sz="4" w:space="0" w:color="000000"/>
              <w:bottom w:val="single" w:sz="4" w:space="0" w:color="000000"/>
              <w:right w:val="single" w:sz="4" w:space="0" w:color="000000"/>
            </w:tcBorders>
          </w:tcPr>
          <w:p>
            <w:pP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644" w:type="dxa"/>
            <w:tcBorders>
              <w:top w:val="single" w:sz="4" w:space="0" w:color="000000"/>
              <w:left w:val="single" w:sz="4" w:space="0" w:color="000000"/>
              <w:bottom w:val="single" w:sz="4" w:space="0" w:color="000000"/>
              <w:right w:val="single" w:sz="4" w:space="0" w:color="000000"/>
            </w:tcBorders>
          </w:tcPr>
          <w:p>
            <w:pPr/>
          </w:p>
        </w:tc>
        <w:tc>
          <w:tcPr>
            <w:tcW w:w="648" w:type="dxa"/>
            <w:tcBorders>
              <w:top w:val="single" w:sz="4" w:space="0" w:color="000000"/>
              <w:left w:val="single" w:sz="4" w:space="0" w:color="000000"/>
              <w:bottom w:val="single" w:sz="4" w:space="0" w:color="000000"/>
              <w:right w:val="single" w:sz="4" w:space="0" w:color="000000"/>
            </w:tcBorders>
          </w:tcPr>
          <w:p>
            <w:pPr/>
          </w:p>
        </w:tc>
      </w:tr>
      <w:tr>
        <w:trPr>
          <w:trHeight w:val="1339"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w:t>
            </w:r>
          </w:p>
          <w:p>
            <w:pPr>
              <w:pStyle w:val="TableParagraph"/>
              <w:spacing w:line="321" w:lineRule="auto" w:before="58"/>
              <w:ind w:left="105" w:right="99"/>
              <w:jc w:val="left"/>
              <w:rPr>
                <w:rFonts w:ascii="宋体" w:hAnsi="宋体" w:cs="宋体" w:eastAsia="宋体" w:hint="default"/>
                <w:sz w:val="18"/>
                <w:szCs w:val="18"/>
              </w:rPr>
            </w:pPr>
            <w:r>
              <w:rPr>
                <w:rFonts w:ascii="宋体" w:hAnsi="宋体" w:cs="宋体" w:eastAsia="宋体" w:hint="default"/>
                <w:spacing w:val="-16"/>
                <w:w w:val="101"/>
                <w:sz w:val="18"/>
                <w:szCs w:val="18"/>
              </w:rPr>
              <w:t>（或股东）的</w:t>
            </w:r>
            <w:r>
              <w:rPr>
                <w:rFonts w:ascii="宋体" w:hAnsi="宋体" w:cs="宋体" w:eastAsia="宋体" w:hint="default"/>
                <w:w w:val="101"/>
                <w:sz w:val="18"/>
                <w:szCs w:val="18"/>
              </w:rPr>
              <w:t> </w:t>
            </w:r>
            <w:r>
              <w:rPr>
                <w:rFonts w:ascii="宋体" w:hAnsi="宋体" w:cs="宋体" w:eastAsia="宋体" w:hint="default"/>
                <w:sz w:val="18"/>
                <w:szCs w:val="18"/>
              </w:rPr>
              <w:t>分配</w:t>
            </w:r>
          </w:p>
        </w:tc>
        <w:tc>
          <w:tcPr>
            <w:tcW w:w="490" w:type="dxa"/>
            <w:tcBorders>
              <w:top w:val="single" w:sz="4" w:space="0" w:color="000000"/>
              <w:left w:val="single" w:sz="4" w:space="0" w:color="000000"/>
              <w:bottom w:val="single" w:sz="4" w:space="0" w:color="000000"/>
              <w:right w:val="single" w:sz="4" w:space="0" w:color="000000"/>
            </w:tcBorders>
          </w:tcPr>
          <w:p>
            <w:pP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97" w:right="0"/>
              <w:jc w:val="center"/>
              <w:rPr>
                <w:rFonts w:ascii="Times New Roman" w:hAnsi="Times New Roman" w:cs="Times New Roman" w:eastAsia="Times New Roman" w:hint="default"/>
                <w:sz w:val="18"/>
                <w:szCs w:val="18"/>
              </w:rPr>
            </w:pPr>
            <w:r>
              <w:rPr>
                <w:rFonts w:ascii="Times New Roman"/>
                <w:sz w:val="18"/>
              </w:rPr>
              <w:t>-61,</w:t>
            </w:r>
          </w:p>
          <w:p>
            <w:pPr>
              <w:pStyle w:val="TableParagraph"/>
              <w:spacing w:line="240" w:lineRule="auto" w:before="105"/>
              <w:ind w:left="64" w:right="0"/>
              <w:jc w:val="center"/>
              <w:rPr>
                <w:rFonts w:ascii="Times New Roman" w:hAnsi="Times New Roman" w:cs="Times New Roman" w:eastAsia="Times New Roman" w:hint="default"/>
                <w:sz w:val="18"/>
                <w:szCs w:val="18"/>
              </w:rPr>
            </w:pPr>
            <w:r>
              <w:rPr>
                <w:rFonts w:ascii="Times New Roman"/>
                <w:sz w:val="18"/>
              </w:rPr>
              <w:t>716,</w:t>
            </w:r>
          </w:p>
          <w:p>
            <w:pPr>
              <w:pStyle w:val="TableParagraph"/>
              <w:spacing w:line="240" w:lineRule="auto" w:before="105"/>
              <w:ind w:left="64" w:right="0"/>
              <w:jc w:val="center"/>
              <w:rPr>
                <w:rFonts w:ascii="Times New Roman" w:hAnsi="Times New Roman" w:cs="Times New Roman" w:eastAsia="Times New Roman" w:hint="default"/>
                <w:sz w:val="18"/>
                <w:szCs w:val="18"/>
              </w:rPr>
            </w:pPr>
            <w:r>
              <w:rPr>
                <w:rFonts w:ascii="Times New Roman"/>
                <w:sz w:val="18"/>
              </w:rPr>
              <w:t>215.</w:t>
            </w:r>
          </w:p>
          <w:p>
            <w:pPr>
              <w:pStyle w:val="TableParagraph"/>
              <w:spacing w:line="240" w:lineRule="auto" w:before="110"/>
              <w:ind w:left="205" w:right="0"/>
              <w:jc w:val="center"/>
              <w:rPr>
                <w:rFonts w:ascii="Times New Roman" w:hAnsi="Times New Roman" w:cs="Times New Roman" w:eastAsia="Times New Roman" w:hint="default"/>
                <w:sz w:val="18"/>
                <w:szCs w:val="18"/>
              </w:rPr>
            </w:pPr>
            <w:r>
              <w:rPr>
                <w:rFonts w:ascii="Times New Roman"/>
                <w:sz w:val="18"/>
              </w:rPr>
              <w:t>40</w:t>
            </w: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64" w:right="0"/>
              <w:jc w:val="center"/>
              <w:rPr>
                <w:rFonts w:ascii="Times New Roman" w:hAnsi="Times New Roman" w:cs="Times New Roman" w:eastAsia="Times New Roman" w:hint="default"/>
                <w:sz w:val="18"/>
                <w:szCs w:val="18"/>
              </w:rPr>
            </w:pPr>
            <w:r>
              <w:rPr>
                <w:rFonts w:ascii="Times New Roman"/>
                <w:sz w:val="18"/>
              </w:rPr>
              <w:t>-61,</w:t>
            </w:r>
          </w:p>
          <w:p>
            <w:pPr>
              <w:pStyle w:val="TableParagraph"/>
              <w:spacing w:line="240" w:lineRule="auto" w:before="105"/>
              <w:ind w:left="31" w:right="0"/>
              <w:jc w:val="center"/>
              <w:rPr>
                <w:rFonts w:ascii="Times New Roman" w:hAnsi="Times New Roman" w:cs="Times New Roman" w:eastAsia="Times New Roman" w:hint="default"/>
                <w:sz w:val="18"/>
                <w:szCs w:val="18"/>
              </w:rPr>
            </w:pPr>
            <w:r>
              <w:rPr>
                <w:rFonts w:ascii="Times New Roman"/>
                <w:sz w:val="18"/>
              </w:rPr>
              <w:t>716,</w:t>
            </w:r>
          </w:p>
          <w:p>
            <w:pPr>
              <w:pStyle w:val="TableParagraph"/>
              <w:spacing w:line="240" w:lineRule="auto" w:before="105"/>
              <w:ind w:left="31" w:right="0"/>
              <w:jc w:val="center"/>
              <w:rPr>
                <w:rFonts w:ascii="Times New Roman" w:hAnsi="Times New Roman" w:cs="Times New Roman" w:eastAsia="Times New Roman" w:hint="default"/>
                <w:sz w:val="18"/>
                <w:szCs w:val="18"/>
              </w:rPr>
            </w:pPr>
            <w:r>
              <w:rPr>
                <w:rFonts w:ascii="Times New Roman"/>
                <w:sz w:val="18"/>
              </w:rPr>
              <w:t>215.</w:t>
            </w:r>
          </w:p>
          <w:p>
            <w:pPr>
              <w:pStyle w:val="TableParagraph"/>
              <w:spacing w:line="240" w:lineRule="auto" w:before="110"/>
              <w:ind w:left="172" w:right="0"/>
              <w:jc w:val="center"/>
              <w:rPr>
                <w:rFonts w:ascii="Times New Roman" w:hAnsi="Times New Roman" w:cs="Times New Roman" w:eastAsia="Times New Roman" w:hint="default"/>
                <w:sz w:val="18"/>
                <w:szCs w:val="18"/>
              </w:rPr>
            </w:pPr>
            <w:r>
              <w:rPr>
                <w:rFonts w:ascii="Times New Roman"/>
                <w:sz w:val="18"/>
              </w:rPr>
              <w:t>40</w:t>
            </w:r>
          </w:p>
        </w:tc>
        <w:tc>
          <w:tcPr>
            <w:tcW w:w="644" w:type="dxa"/>
            <w:tcBorders>
              <w:top w:val="single" w:sz="4" w:space="0" w:color="000000"/>
              <w:left w:val="single" w:sz="4" w:space="0" w:color="000000"/>
              <w:bottom w:val="single" w:sz="4" w:space="0" w:color="000000"/>
              <w:right w:val="single" w:sz="4" w:space="0" w:color="000000"/>
            </w:tcBorders>
          </w:tcPr>
          <w:p>
            <w:pPr/>
          </w:p>
        </w:tc>
        <w:tc>
          <w:tcPr>
            <w:tcW w:w="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163" w:right="0"/>
              <w:jc w:val="left"/>
              <w:rPr>
                <w:rFonts w:ascii="Times New Roman" w:hAnsi="Times New Roman" w:cs="Times New Roman" w:eastAsia="Times New Roman" w:hint="default"/>
                <w:sz w:val="18"/>
                <w:szCs w:val="18"/>
              </w:rPr>
            </w:pPr>
            <w:r>
              <w:rPr>
                <w:rFonts w:ascii="Times New Roman"/>
                <w:sz w:val="18"/>
              </w:rPr>
              <w:t>-61,7</w:t>
            </w:r>
          </w:p>
          <w:p>
            <w:pPr>
              <w:pStyle w:val="TableParagraph"/>
              <w:spacing w:line="240" w:lineRule="auto" w:before="100"/>
              <w:ind w:left="134" w:right="0"/>
              <w:jc w:val="left"/>
              <w:rPr>
                <w:rFonts w:ascii="Times New Roman" w:hAnsi="Times New Roman" w:cs="Times New Roman" w:eastAsia="Times New Roman" w:hint="default"/>
                <w:sz w:val="18"/>
                <w:szCs w:val="18"/>
              </w:rPr>
            </w:pPr>
            <w:r>
              <w:rPr>
                <w:rFonts w:ascii="Times New Roman"/>
                <w:sz w:val="18"/>
              </w:rPr>
              <w:t>16,21</w:t>
            </w:r>
          </w:p>
          <w:p>
            <w:pPr>
              <w:pStyle w:val="TableParagraph"/>
              <w:spacing w:line="240" w:lineRule="auto" w:before="110"/>
              <w:ind w:left="220" w:right="0"/>
              <w:jc w:val="left"/>
              <w:rPr>
                <w:rFonts w:ascii="Times New Roman" w:hAnsi="Times New Roman" w:cs="Times New Roman" w:eastAsia="Times New Roman" w:hint="default"/>
                <w:sz w:val="18"/>
                <w:szCs w:val="18"/>
              </w:rPr>
            </w:pPr>
            <w:r>
              <w:rPr>
                <w:rFonts w:ascii="Times New Roman"/>
                <w:sz w:val="18"/>
              </w:rPr>
              <w:t>5.40</w:t>
            </w:r>
          </w:p>
        </w:tc>
      </w:tr>
      <w:tr>
        <w:trPr>
          <w:trHeight w:val="404"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490" w:type="dxa"/>
            <w:tcBorders>
              <w:top w:val="single" w:sz="4" w:space="0" w:color="000000"/>
              <w:left w:val="single" w:sz="4" w:space="0" w:color="000000"/>
              <w:bottom w:val="single" w:sz="4" w:space="0" w:color="000000"/>
              <w:right w:val="single" w:sz="4" w:space="0" w:color="000000"/>
            </w:tcBorders>
          </w:tcPr>
          <w:p>
            <w:pP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644" w:type="dxa"/>
            <w:tcBorders>
              <w:top w:val="single" w:sz="4" w:space="0" w:color="000000"/>
              <w:left w:val="single" w:sz="4" w:space="0" w:color="000000"/>
              <w:bottom w:val="single" w:sz="4" w:space="0" w:color="000000"/>
              <w:right w:val="single" w:sz="4" w:space="0" w:color="000000"/>
            </w:tcBorders>
          </w:tcPr>
          <w:p>
            <w:pPr/>
          </w:p>
        </w:tc>
        <w:tc>
          <w:tcPr>
            <w:tcW w:w="648"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05" w:right="99"/>
              <w:jc w:val="left"/>
              <w:rPr>
                <w:rFonts w:ascii="宋体" w:hAnsi="宋体" w:cs="宋体" w:eastAsia="宋体" w:hint="default"/>
                <w:sz w:val="18"/>
                <w:szCs w:val="18"/>
              </w:rPr>
            </w:pPr>
            <w:r>
              <w:rPr>
                <w:rFonts w:ascii="宋体" w:hAnsi="宋体" w:cs="宋体" w:eastAsia="宋体" w:hint="default"/>
                <w:spacing w:val="-16"/>
                <w:w w:val="101"/>
                <w:sz w:val="18"/>
                <w:szCs w:val="18"/>
              </w:rPr>
              <w:t>（四）所有者</w:t>
            </w:r>
            <w:r>
              <w:rPr>
                <w:rFonts w:ascii="宋体" w:hAnsi="宋体" w:cs="宋体" w:eastAsia="宋体" w:hint="default"/>
                <w:w w:val="101"/>
                <w:sz w:val="18"/>
                <w:szCs w:val="18"/>
              </w:rPr>
              <w:t> </w:t>
            </w:r>
            <w:r>
              <w:rPr>
                <w:rFonts w:ascii="宋体" w:hAnsi="宋体" w:cs="宋体" w:eastAsia="宋体" w:hint="default"/>
                <w:sz w:val="18"/>
                <w:szCs w:val="18"/>
              </w:rPr>
              <w:t>权益内部结</w:t>
            </w:r>
            <w:r>
              <w:rPr>
                <w:rFonts w:ascii="宋体" w:hAnsi="宋体" w:cs="宋体" w:eastAsia="宋体" w:hint="default"/>
                <w:w w:val="101"/>
                <w:sz w:val="18"/>
                <w:szCs w:val="18"/>
              </w:rPr>
              <w:t> </w:t>
            </w:r>
            <w:r>
              <w:rPr>
                <w:rFonts w:ascii="宋体" w:hAnsi="宋体" w:cs="宋体" w:eastAsia="宋体" w:hint="default"/>
                <w:sz w:val="18"/>
                <w:szCs w:val="18"/>
              </w:rPr>
              <w:t>转</w:t>
            </w:r>
          </w:p>
        </w:tc>
        <w:tc>
          <w:tcPr>
            <w:tcW w:w="490" w:type="dxa"/>
            <w:tcBorders>
              <w:top w:val="single" w:sz="4" w:space="0" w:color="000000"/>
              <w:left w:val="single" w:sz="4" w:space="0" w:color="000000"/>
              <w:bottom w:val="single" w:sz="4" w:space="0" w:color="000000"/>
              <w:right w:val="single" w:sz="4" w:space="0" w:color="000000"/>
            </w:tcBorders>
          </w:tcPr>
          <w:p>
            <w:pP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644" w:type="dxa"/>
            <w:tcBorders>
              <w:top w:val="single" w:sz="4" w:space="0" w:color="000000"/>
              <w:left w:val="single" w:sz="4" w:space="0" w:color="000000"/>
              <w:bottom w:val="single" w:sz="4" w:space="0" w:color="000000"/>
              <w:right w:val="single" w:sz="4" w:space="0" w:color="000000"/>
            </w:tcBorders>
          </w:tcPr>
          <w:p>
            <w:pPr/>
          </w:p>
        </w:tc>
        <w:tc>
          <w:tcPr>
            <w:tcW w:w="648" w:type="dxa"/>
            <w:tcBorders>
              <w:top w:val="single" w:sz="4" w:space="0" w:color="000000"/>
              <w:left w:val="single" w:sz="4" w:space="0" w:color="000000"/>
              <w:bottom w:val="single" w:sz="4" w:space="0" w:color="000000"/>
              <w:right w:val="single" w:sz="4" w:space="0" w:color="000000"/>
            </w:tcBorders>
          </w:tcPr>
          <w:p>
            <w:pPr/>
          </w:p>
        </w:tc>
      </w:tr>
      <w:tr>
        <w:trPr>
          <w:trHeight w:val="1023"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3"/>
              <w:ind w:left="105" w:right="99"/>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16"/>
                <w:w w:val="101"/>
                <w:sz w:val="18"/>
                <w:szCs w:val="18"/>
              </w:rPr>
              <w:t>转增资本（或</w:t>
            </w:r>
            <w:r>
              <w:rPr>
                <w:rFonts w:ascii="宋体" w:hAnsi="宋体" w:cs="宋体" w:eastAsia="宋体" w:hint="default"/>
                <w:w w:val="101"/>
                <w:sz w:val="18"/>
                <w:szCs w:val="18"/>
              </w:rPr>
              <w:t> </w:t>
            </w:r>
            <w:r>
              <w:rPr>
                <w:rFonts w:ascii="宋体" w:hAnsi="宋体" w:cs="宋体" w:eastAsia="宋体" w:hint="default"/>
                <w:sz w:val="18"/>
                <w:szCs w:val="18"/>
              </w:rPr>
              <w:t>股本）</w:t>
            </w:r>
          </w:p>
        </w:tc>
        <w:tc>
          <w:tcPr>
            <w:tcW w:w="490" w:type="dxa"/>
            <w:tcBorders>
              <w:top w:val="single" w:sz="4" w:space="0" w:color="000000"/>
              <w:left w:val="single" w:sz="4" w:space="0" w:color="000000"/>
              <w:bottom w:val="single" w:sz="4" w:space="0" w:color="000000"/>
              <w:right w:val="single" w:sz="4" w:space="0" w:color="000000"/>
            </w:tcBorders>
          </w:tcPr>
          <w:p>
            <w:pP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644" w:type="dxa"/>
            <w:tcBorders>
              <w:top w:val="single" w:sz="4" w:space="0" w:color="000000"/>
              <w:left w:val="single" w:sz="4" w:space="0" w:color="000000"/>
              <w:bottom w:val="single" w:sz="4" w:space="0" w:color="000000"/>
              <w:right w:val="single" w:sz="4" w:space="0" w:color="000000"/>
            </w:tcBorders>
          </w:tcPr>
          <w:p>
            <w:pPr/>
          </w:p>
        </w:tc>
        <w:tc>
          <w:tcPr>
            <w:tcW w:w="648"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2" w:lineRule="auto" w:before="53"/>
              <w:ind w:left="105" w:right="99"/>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16"/>
                <w:w w:val="101"/>
                <w:sz w:val="18"/>
                <w:szCs w:val="18"/>
              </w:rPr>
              <w:t>转增资本（或</w:t>
            </w:r>
            <w:r>
              <w:rPr>
                <w:rFonts w:ascii="宋体" w:hAnsi="宋体" w:cs="宋体" w:eastAsia="宋体" w:hint="default"/>
                <w:w w:val="101"/>
                <w:sz w:val="18"/>
                <w:szCs w:val="18"/>
              </w:rPr>
              <w:t> </w:t>
            </w:r>
            <w:r>
              <w:rPr>
                <w:rFonts w:ascii="宋体" w:hAnsi="宋体" w:cs="宋体" w:eastAsia="宋体" w:hint="default"/>
                <w:sz w:val="18"/>
                <w:szCs w:val="18"/>
              </w:rPr>
              <w:t>股本）</w:t>
            </w:r>
          </w:p>
        </w:tc>
        <w:tc>
          <w:tcPr>
            <w:tcW w:w="490" w:type="dxa"/>
            <w:tcBorders>
              <w:top w:val="single" w:sz="4" w:space="0" w:color="000000"/>
              <w:left w:val="single" w:sz="4" w:space="0" w:color="000000"/>
              <w:bottom w:val="single" w:sz="4" w:space="0" w:color="000000"/>
              <w:right w:val="single" w:sz="4" w:space="0" w:color="000000"/>
            </w:tcBorders>
          </w:tcPr>
          <w:p>
            <w:pP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644" w:type="dxa"/>
            <w:tcBorders>
              <w:top w:val="single" w:sz="4" w:space="0" w:color="000000"/>
              <w:left w:val="single" w:sz="4" w:space="0" w:color="000000"/>
              <w:bottom w:val="single" w:sz="4" w:space="0" w:color="000000"/>
              <w:right w:val="single" w:sz="4" w:space="0" w:color="000000"/>
            </w:tcBorders>
          </w:tcPr>
          <w:p>
            <w:pPr/>
          </w:p>
        </w:tc>
        <w:tc>
          <w:tcPr>
            <w:tcW w:w="648"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4" w:lineRule="auto" w:before="54"/>
              <w:ind w:left="105" w:right="104"/>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．盈余公积</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弥补亏损</w:t>
            </w:r>
          </w:p>
        </w:tc>
        <w:tc>
          <w:tcPr>
            <w:tcW w:w="490" w:type="dxa"/>
            <w:tcBorders>
              <w:top w:val="single" w:sz="4" w:space="0" w:color="000000"/>
              <w:left w:val="single" w:sz="4" w:space="0" w:color="000000"/>
              <w:bottom w:val="single" w:sz="4" w:space="0" w:color="000000"/>
              <w:right w:val="single" w:sz="4" w:space="0" w:color="000000"/>
            </w:tcBorders>
          </w:tcPr>
          <w:p>
            <w:pP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644" w:type="dxa"/>
            <w:tcBorders>
              <w:top w:val="single" w:sz="4" w:space="0" w:color="000000"/>
              <w:left w:val="single" w:sz="4" w:space="0" w:color="000000"/>
              <w:bottom w:val="single" w:sz="4" w:space="0" w:color="000000"/>
              <w:right w:val="single" w:sz="4" w:space="0" w:color="000000"/>
            </w:tcBorders>
          </w:tcPr>
          <w:p>
            <w:pPr/>
          </w:p>
        </w:tc>
        <w:tc>
          <w:tcPr>
            <w:tcW w:w="648" w:type="dxa"/>
            <w:tcBorders>
              <w:top w:val="single" w:sz="4" w:space="0" w:color="000000"/>
              <w:left w:val="single" w:sz="4" w:space="0" w:color="000000"/>
              <w:bottom w:val="single" w:sz="4" w:space="0" w:color="000000"/>
              <w:right w:val="single" w:sz="4" w:space="0" w:color="000000"/>
            </w:tcBorders>
          </w:tcPr>
          <w:p>
            <w:pPr/>
          </w:p>
        </w:tc>
      </w:tr>
      <w:tr>
        <w:trPr>
          <w:trHeight w:val="1340"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2" w:lineRule="auto" w:before="53"/>
              <w:ind w:left="105" w:right="104"/>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4</w:t>
            </w:r>
            <w:r>
              <w:rPr>
                <w:rFonts w:ascii="宋体" w:hAnsi="宋体" w:cs="宋体" w:eastAsia="宋体" w:hint="default"/>
                <w:spacing w:val="-2"/>
                <w:sz w:val="18"/>
                <w:szCs w:val="18"/>
              </w:rPr>
              <w:t>．设定受益</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计划变动额</w:t>
            </w:r>
            <w:r>
              <w:rPr>
                <w:rFonts w:ascii="宋体" w:hAnsi="宋体" w:cs="宋体" w:eastAsia="宋体" w:hint="default"/>
                <w:w w:val="101"/>
                <w:sz w:val="18"/>
                <w:szCs w:val="18"/>
              </w:rPr>
              <w:t> </w:t>
            </w:r>
            <w:r>
              <w:rPr>
                <w:rFonts w:ascii="宋体" w:hAnsi="宋体" w:cs="宋体" w:eastAsia="宋体" w:hint="default"/>
                <w:sz w:val="18"/>
                <w:szCs w:val="18"/>
              </w:rPr>
              <w:t>结转留存收</w:t>
            </w:r>
            <w:r>
              <w:rPr>
                <w:rFonts w:ascii="宋体" w:hAnsi="宋体" w:cs="宋体" w:eastAsia="宋体" w:hint="default"/>
                <w:w w:val="101"/>
                <w:sz w:val="18"/>
                <w:szCs w:val="18"/>
              </w:rPr>
              <w:t> </w:t>
            </w:r>
            <w:r>
              <w:rPr>
                <w:rFonts w:ascii="宋体" w:hAnsi="宋体" w:cs="宋体" w:eastAsia="宋体" w:hint="default"/>
                <w:sz w:val="18"/>
                <w:szCs w:val="18"/>
              </w:rPr>
              <w:t>益</w:t>
            </w:r>
          </w:p>
        </w:tc>
        <w:tc>
          <w:tcPr>
            <w:tcW w:w="490" w:type="dxa"/>
            <w:tcBorders>
              <w:top w:val="single" w:sz="4" w:space="0" w:color="000000"/>
              <w:left w:val="single" w:sz="4" w:space="0" w:color="000000"/>
              <w:bottom w:val="single" w:sz="4" w:space="0" w:color="000000"/>
              <w:right w:val="single" w:sz="4" w:space="0" w:color="000000"/>
            </w:tcBorders>
          </w:tcPr>
          <w:p>
            <w:pP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644" w:type="dxa"/>
            <w:tcBorders>
              <w:top w:val="single" w:sz="4" w:space="0" w:color="000000"/>
              <w:left w:val="single" w:sz="4" w:space="0" w:color="000000"/>
              <w:bottom w:val="single" w:sz="4" w:space="0" w:color="000000"/>
              <w:right w:val="single" w:sz="4" w:space="0" w:color="000000"/>
            </w:tcBorders>
          </w:tcPr>
          <w:p>
            <w:pPr/>
          </w:p>
        </w:tc>
        <w:tc>
          <w:tcPr>
            <w:tcW w:w="648" w:type="dxa"/>
            <w:tcBorders>
              <w:top w:val="single" w:sz="4" w:space="0" w:color="000000"/>
              <w:left w:val="single" w:sz="4" w:space="0" w:color="000000"/>
              <w:bottom w:val="single" w:sz="4" w:space="0" w:color="000000"/>
              <w:right w:val="single" w:sz="4" w:space="0" w:color="000000"/>
            </w:tcBorders>
          </w:tcPr>
          <w:p>
            <w:pPr/>
          </w:p>
        </w:tc>
      </w:tr>
      <w:tr>
        <w:trPr>
          <w:trHeight w:val="1022"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3"/>
              <w:ind w:left="105" w:right="104"/>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5</w:t>
            </w:r>
            <w:r>
              <w:rPr>
                <w:rFonts w:ascii="宋体" w:hAnsi="宋体" w:cs="宋体" w:eastAsia="宋体" w:hint="default"/>
                <w:spacing w:val="-2"/>
                <w:sz w:val="18"/>
                <w:szCs w:val="18"/>
              </w:rPr>
              <w:t>．其他综合</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收益结转留</w:t>
            </w:r>
            <w:r>
              <w:rPr>
                <w:rFonts w:ascii="宋体" w:hAnsi="宋体" w:cs="宋体" w:eastAsia="宋体" w:hint="default"/>
                <w:w w:val="101"/>
                <w:sz w:val="18"/>
                <w:szCs w:val="18"/>
              </w:rPr>
              <w:t> </w:t>
            </w:r>
            <w:r>
              <w:rPr>
                <w:rFonts w:ascii="宋体" w:hAnsi="宋体" w:cs="宋体" w:eastAsia="宋体" w:hint="default"/>
                <w:sz w:val="18"/>
                <w:szCs w:val="18"/>
              </w:rPr>
              <w:t>存收益</w:t>
            </w:r>
          </w:p>
        </w:tc>
        <w:tc>
          <w:tcPr>
            <w:tcW w:w="490" w:type="dxa"/>
            <w:tcBorders>
              <w:top w:val="single" w:sz="4" w:space="0" w:color="000000"/>
              <w:left w:val="single" w:sz="4" w:space="0" w:color="000000"/>
              <w:bottom w:val="single" w:sz="4" w:space="0" w:color="000000"/>
              <w:right w:val="single" w:sz="4" w:space="0" w:color="000000"/>
            </w:tcBorders>
          </w:tcPr>
          <w:p>
            <w:pP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644" w:type="dxa"/>
            <w:tcBorders>
              <w:top w:val="single" w:sz="4" w:space="0" w:color="000000"/>
              <w:left w:val="single" w:sz="4" w:space="0" w:color="000000"/>
              <w:bottom w:val="single" w:sz="4" w:space="0" w:color="000000"/>
              <w:right w:val="single" w:sz="4" w:space="0" w:color="000000"/>
            </w:tcBorders>
          </w:tcPr>
          <w:p>
            <w:pPr/>
          </w:p>
        </w:tc>
        <w:tc>
          <w:tcPr>
            <w:tcW w:w="64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490" w:type="dxa"/>
            <w:tcBorders>
              <w:top w:val="single" w:sz="4" w:space="0" w:color="000000"/>
              <w:left w:val="single" w:sz="4" w:space="0" w:color="000000"/>
              <w:bottom w:val="single" w:sz="4" w:space="0" w:color="000000"/>
              <w:right w:val="single" w:sz="4" w:space="0" w:color="000000"/>
            </w:tcBorders>
          </w:tcPr>
          <w:p>
            <w:pP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644" w:type="dxa"/>
            <w:tcBorders>
              <w:top w:val="single" w:sz="4" w:space="0" w:color="000000"/>
              <w:left w:val="single" w:sz="4" w:space="0" w:color="000000"/>
              <w:bottom w:val="single" w:sz="4" w:space="0" w:color="000000"/>
              <w:right w:val="single" w:sz="4" w:space="0" w:color="000000"/>
            </w:tcBorders>
          </w:tcPr>
          <w:p>
            <w:pPr/>
          </w:p>
        </w:tc>
        <w:tc>
          <w:tcPr>
            <w:tcW w:w="648"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4"/>
              <w:ind w:left="105" w:right="99"/>
              <w:jc w:val="left"/>
              <w:rPr>
                <w:rFonts w:ascii="宋体" w:hAnsi="宋体" w:cs="宋体" w:eastAsia="宋体" w:hint="default"/>
                <w:sz w:val="18"/>
                <w:szCs w:val="18"/>
              </w:rPr>
            </w:pPr>
            <w:r>
              <w:rPr>
                <w:rFonts w:ascii="宋体" w:hAnsi="宋体" w:cs="宋体" w:eastAsia="宋体" w:hint="default"/>
                <w:spacing w:val="-16"/>
                <w:w w:val="101"/>
                <w:sz w:val="18"/>
                <w:szCs w:val="18"/>
              </w:rPr>
              <w:t>（五）专项储</w:t>
            </w:r>
            <w:r>
              <w:rPr>
                <w:rFonts w:ascii="宋体" w:hAnsi="宋体" w:cs="宋体" w:eastAsia="宋体" w:hint="default"/>
                <w:w w:val="101"/>
                <w:sz w:val="18"/>
                <w:szCs w:val="18"/>
              </w:rPr>
              <w:t> </w:t>
            </w:r>
            <w:r>
              <w:rPr>
                <w:rFonts w:ascii="宋体" w:hAnsi="宋体" w:cs="宋体" w:eastAsia="宋体" w:hint="default"/>
                <w:sz w:val="18"/>
                <w:szCs w:val="18"/>
              </w:rPr>
              <w:t>备</w:t>
            </w:r>
          </w:p>
        </w:tc>
        <w:tc>
          <w:tcPr>
            <w:tcW w:w="490" w:type="dxa"/>
            <w:tcBorders>
              <w:top w:val="single" w:sz="4" w:space="0" w:color="000000"/>
              <w:left w:val="single" w:sz="4" w:space="0" w:color="000000"/>
              <w:bottom w:val="single" w:sz="4" w:space="0" w:color="000000"/>
              <w:right w:val="single" w:sz="4" w:space="0" w:color="000000"/>
            </w:tcBorders>
          </w:tcPr>
          <w:p>
            <w:pP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644" w:type="dxa"/>
            <w:tcBorders>
              <w:top w:val="single" w:sz="4" w:space="0" w:color="000000"/>
              <w:left w:val="single" w:sz="4" w:space="0" w:color="000000"/>
              <w:bottom w:val="single" w:sz="4" w:space="0" w:color="000000"/>
              <w:right w:val="single" w:sz="4" w:space="0" w:color="000000"/>
            </w:tcBorders>
          </w:tcPr>
          <w:p>
            <w:pPr/>
          </w:p>
        </w:tc>
        <w:tc>
          <w:tcPr>
            <w:tcW w:w="64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490" w:type="dxa"/>
            <w:tcBorders>
              <w:top w:val="single" w:sz="4" w:space="0" w:color="000000"/>
              <w:left w:val="single" w:sz="4" w:space="0" w:color="000000"/>
              <w:bottom w:val="single" w:sz="4" w:space="0" w:color="000000"/>
              <w:right w:val="single" w:sz="4" w:space="0" w:color="000000"/>
            </w:tcBorders>
          </w:tcPr>
          <w:p>
            <w:pP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644" w:type="dxa"/>
            <w:tcBorders>
              <w:top w:val="single" w:sz="4" w:space="0" w:color="000000"/>
              <w:left w:val="single" w:sz="4" w:space="0" w:color="000000"/>
              <w:bottom w:val="single" w:sz="4" w:space="0" w:color="000000"/>
              <w:right w:val="single" w:sz="4" w:space="0" w:color="000000"/>
            </w:tcBorders>
          </w:tcPr>
          <w:p>
            <w:pPr/>
          </w:p>
        </w:tc>
        <w:tc>
          <w:tcPr>
            <w:tcW w:w="64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84" w:footer="1022" w:top="1100" w:bottom="1220" w:left="980" w:right="0"/>
        </w:sectPr>
      </w:pPr>
    </w:p>
    <w:p>
      <w:pPr>
        <w:spacing w:line="240" w:lineRule="auto" w:before="1"/>
        <w:rPr>
          <w:rFonts w:ascii="Times New Roman" w:hAnsi="Times New Roman" w:cs="Times New Roman" w:eastAsia="Times New Roman" w:hint="default"/>
          <w:sz w:val="29"/>
          <w:szCs w:val="29"/>
        </w:rPr>
      </w:pPr>
    </w:p>
    <w:tbl>
      <w:tblPr>
        <w:tblW w:w="0" w:type="auto"/>
        <w:jc w:val="left"/>
        <w:tblInd w:w="148" w:type="dxa"/>
        <w:tblLayout w:type="fixed"/>
        <w:tblCellMar>
          <w:top w:w="0" w:type="dxa"/>
          <w:left w:w="0" w:type="dxa"/>
          <w:bottom w:w="0" w:type="dxa"/>
          <w:right w:w="0" w:type="dxa"/>
        </w:tblCellMar>
        <w:tblLook w:val="01E0"/>
      </w:tblPr>
      <w:tblGrid>
        <w:gridCol w:w="1215"/>
        <w:gridCol w:w="490"/>
        <w:gridCol w:w="447"/>
        <w:gridCol w:w="451"/>
        <w:gridCol w:w="490"/>
        <w:gridCol w:w="577"/>
        <w:gridCol w:w="576"/>
        <w:gridCol w:w="576"/>
        <w:gridCol w:w="581"/>
        <w:gridCol w:w="576"/>
        <w:gridCol w:w="576"/>
        <w:gridCol w:w="591"/>
        <w:gridCol w:w="566"/>
        <w:gridCol w:w="566"/>
        <w:gridCol w:w="644"/>
        <w:gridCol w:w="648"/>
      </w:tblGrid>
      <w:tr>
        <w:trPr>
          <w:trHeight w:val="403"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490" w:type="dxa"/>
            <w:tcBorders>
              <w:top w:val="single" w:sz="4" w:space="0" w:color="000000"/>
              <w:left w:val="single" w:sz="4" w:space="0" w:color="000000"/>
              <w:bottom w:val="single" w:sz="4" w:space="0" w:color="000000"/>
              <w:right w:val="single" w:sz="4" w:space="0" w:color="000000"/>
            </w:tcBorders>
          </w:tcPr>
          <w:p>
            <w:pP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644" w:type="dxa"/>
            <w:tcBorders>
              <w:top w:val="single" w:sz="4" w:space="0" w:color="000000"/>
              <w:left w:val="single" w:sz="4" w:space="0" w:color="000000"/>
              <w:bottom w:val="single" w:sz="4" w:space="0" w:color="000000"/>
              <w:right w:val="single" w:sz="4" w:space="0" w:color="000000"/>
            </w:tcBorders>
          </w:tcPr>
          <w:p>
            <w:pPr/>
          </w:p>
        </w:tc>
        <w:tc>
          <w:tcPr>
            <w:tcW w:w="648"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490" w:type="dxa"/>
            <w:tcBorders>
              <w:top w:val="single" w:sz="4" w:space="0" w:color="000000"/>
              <w:left w:val="single" w:sz="4" w:space="0" w:color="000000"/>
              <w:bottom w:val="single" w:sz="4" w:space="0" w:color="000000"/>
              <w:right w:val="single" w:sz="4" w:space="0" w:color="000000"/>
            </w:tcBorders>
          </w:tcPr>
          <w:p>
            <w:pP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644" w:type="dxa"/>
            <w:tcBorders>
              <w:top w:val="single" w:sz="4" w:space="0" w:color="000000"/>
              <w:left w:val="single" w:sz="4" w:space="0" w:color="000000"/>
              <w:bottom w:val="single" w:sz="4" w:space="0" w:color="000000"/>
              <w:right w:val="single" w:sz="4" w:space="0" w:color="000000"/>
            </w:tcBorders>
          </w:tcPr>
          <w:p>
            <w:pPr/>
          </w:p>
        </w:tc>
        <w:tc>
          <w:tcPr>
            <w:tcW w:w="648" w:type="dxa"/>
            <w:tcBorders>
              <w:top w:val="single" w:sz="4" w:space="0" w:color="000000"/>
              <w:left w:val="single" w:sz="4" w:space="0" w:color="000000"/>
              <w:bottom w:val="single" w:sz="4" w:space="0" w:color="000000"/>
              <w:right w:val="single" w:sz="4" w:space="0" w:color="000000"/>
            </w:tcBorders>
          </w:tcPr>
          <w:p>
            <w:pPr/>
          </w:p>
        </w:tc>
      </w:tr>
      <w:tr>
        <w:trPr>
          <w:trHeight w:val="1652"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11"/>
              <w:ind w:left="105" w:right="99"/>
              <w:jc w:val="left"/>
              <w:rPr>
                <w:rFonts w:ascii="宋体" w:hAnsi="宋体" w:cs="宋体" w:eastAsia="宋体" w:hint="default"/>
                <w:sz w:val="18"/>
                <w:szCs w:val="18"/>
              </w:rPr>
            </w:pPr>
            <w:r>
              <w:rPr>
                <w:rFonts w:ascii="宋体" w:hAnsi="宋体" w:cs="宋体" w:eastAsia="宋体" w:hint="default"/>
                <w:spacing w:val="-16"/>
                <w:w w:val="101"/>
                <w:sz w:val="18"/>
                <w:szCs w:val="18"/>
              </w:rPr>
              <w:t>四、本期期末</w:t>
            </w:r>
            <w:r>
              <w:rPr>
                <w:rFonts w:ascii="宋体" w:hAnsi="宋体" w:cs="宋体" w:eastAsia="宋体" w:hint="default"/>
                <w:w w:val="101"/>
                <w:sz w:val="18"/>
                <w:szCs w:val="18"/>
              </w:rPr>
              <w:t> </w:t>
            </w:r>
            <w:r>
              <w:rPr>
                <w:rFonts w:ascii="宋体" w:hAnsi="宋体" w:cs="宋体" w:eastAsia="宋体" w:hint="default"/>
                <w:sz w:val="18"/>
                <w:szCs w:val="18"/>
              </w:rPr>
              <w:t>余额</w:t>
            </w: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5" w:right="0"/>
              <w:jc w:val="left"/>
              <w:rPr>
                <w:rFonts w:ascii="Times New Roman" w:hAnsi="Times New Roman" w:cs="Times New Roman" w:eastAsia="Times New Roman" w:hint="default"/>
                <w:sz w:val="18"/>
                <w:szCs w:val="18"/>
              </w:rPr>
            </w:pPr>
            <w:r>
              <w:rPr>
                <w:rFonts w:ascii="Times New Roman"/>
                <w:sz w:val="18"/>
              </w:rPr>
              <w:t>619</w:t>
            </w:r>
          </w:p>
          <w:p>
            <w:pPr>
              <w:pStyle w:val="TableParagraph"/>
              <w:spacing w:line="240" w:lineRule="auto" w:before="101"/>
              <w:ind w:left="148" w:right="0"/>
              <w:jc w:val="left"/>
              <w:rPr>
                <w:rFonts w:ascii="Times New Roman" w:hAnsi="Times New Roman" w:cs="Times New Roman" w:eastAsia="Times New Roman" w:hint="default"/>
                <w:sz w:val="18"/>
                <w:szCs w:val="18"/>
              </w:rPr>
            </w:pPr>
            <w:r>
              <w:rPr>
                <w:rFonts w:ascii="Times New Roman"/>
                <w:sz w:val="18"/>
              </w:rPr>
              <w:t>,21</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4,8</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34.</w:t>
            </w:r>
          </w:p>
          <w:p>
            <w:pPr>
              <w:pStyle w:val="TableParagraph"/>
              <w:spacing w:line="240" w:lineRule="auto" w:before="110"/>
              <w:ind w:left="196" w:right="0"/>
              <w:jc w:val="left"/>
              <w:rPr>
                <w:rFonts w:ascii="Times New Roman" w:hAnsi="Times New Roman" w:cs="Times New Roman" w:eastAsia="Times New Roman" w:hint="default"/>
                <w:sz w:val="18"/>
                <w:szCs w:val="18"/>
              </w:rPr>
            </w:pPr>
            <w:r>
              <w:rPr>
                <w:rFonts w:ascii="Times New Roman"/>
                <w:sz w:val="18"/>
              </w:rPr>
              <w:t>00</w:t>
            </w:r>
          </w:p>
        </w:tc>
        <w:tc>
          <w:tcPr>
            <w:tcW w:w="447" w:type="dxa"/>
            <w:tcBorders>
              <w:top w:val="single" w:sz="4" w:space="0" w:color="000000"/>
              <w:left w:val="single" w:sz="4" w:space="0" w:color="000000"/>
              <w:bottom w:val="single" w:sz="4" w:space="0" w:color="000000"/>
              <w:right w:val="single" w:sz="4" w:space="0" w:color="000000"/>
            </w:tcBorders>
          </w:tcPr>
          <w:p>
            <w:pPr/>
          </w:p>
        </w:tc>
        <w:tc>
          <w:tcPr>
            <w:tcW w:w="45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left="49" w:right="0"/>
              <w:jc w:val="center"/>
              <w:rPr>
                <w:rFonts w:ascii="Times New Roman" w:hAnsi="Times New Roman" w:cs="Times New Roman" w:eastAsia="Times New Roman" w:hint="default"/>
                <w:sz w:val="18"/>
                <w:szCs w:val="18"/>
              </w:rPr>
            </w:pPr>
            <w:r>
              <w:rPr>
                <w:rFonts w:ascii="Times New Roman"/>
                <w:sz w:val="18"/>
              </w:rPr>
              <w:t>208,</w:t>
            </w:r>
          </w:p>
          <w:p>
            <w:pPr>
              <w:pStyle w:val="TableParagraph"/>
              <w:spacing w:line="240" w:lineRule="auto" w:before="100"/>
              <w:ind w:left="49" w:right="0"/>
              <w:jc w:val="center"/>
              <w:rPr>
                <w:rFonts w:ascii="Times New Roman" w:hAnsi="Times New Roman" w:cs="Times New Roman" w:eastAsia="Times New Roman" w:hint="default"/>
                <w:sz w:val="18"/>
                <w:szCs w:val="18"/>
              </w:rPr>
            </w:pPr>
            <w:r>
              <w:rPr>
                <w:rFonts w:ascii="Times New Roman"/>
                <w:sz w:val="18"/>
              </w:rPr>
              <w:t>841,</w:t>
            </w:r>
          </w:p>
          <w:p>
            <w:pPr>
              <w:pStyle w:val="TableParagraph"/>
              <w:spacing w:line="240" w:lineRule="auto" w:before="105"/>
              <w:ind w:left="49" w:right="0"/>
              <w:jc w:val="center"/>
              <w:rPr>
                <w:rFonts w:ascii="Times New Roman" w:hAnsi="Times New Roman" w:cs="Times New Roman" w:eastAsia="Times New Roman" w:hint="default"/>
                <w:sz w:val="18"/>
                <w:szCs w:val="18"/>
              </w:rPr>
            </w:pPr>
            <w:r>
              <w:rPr>
                <w:rFonts w:ascii="Times New Roman"/>
                <w:sz w:val="18"/>
              </w:rPr>
              <w:t>224.</w:t>
            </w:r>
          </w:p>
          <w:p>
            <w:pPr>
              <w:pStyle w:val="TableParagraph"/>
              <w:spacing w:line="240" w:lineRule="auto" w:before="110"/>
              <w:ind w:left="192" w:right="0"/>
              <w:jc w:val="center"/>
              <w:rPr>
                <w:rFonts w:ascii="Times New Roman" w:hAnsi="Times New Roman" w:cs="Times New Roman" w:eastAsia="Times New Roman" w:hint="default"/>
                <w:sz w:val="18"/>
                <w:szCs w:val="18"/>
              </w:rPr>
            </w:pPr>
            <w:r>
              <w:rPr>
                <w:rFonts w:ascii="Times New Roman"/>
                <w:sz w:val="18"/>
              </w:rPr>
              <w:t>84</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35,2</w:t>
            </w:r>
          </w:p>
          <w:p>
            <w:pPr>
              <w:pStyle w:val="TableParagraph"/>
              <w:spacing w:line="240" w:lineRule="auto" w:before="100"/>
              <w:ind w:left="148" w:right="0"/>
              <w:jc w:val="left"/>
              <w:rPr>
                <w:rFonts w:ascii="Times New Roman" w:hAnsi="Times New Roman" w:cs="Times New Roman" w:eastAsia="Times New Roman" w:hint="default"/>
                <w:sz w:val="18"/>
                <w:szCs w:val="18"/>
              </w:rPr>
            </w:pPr>
            <w:r>
              <w:rPr>
                <w:rFonts w:ascii="Times New Roman"/>
                <w:sz w:val="18"/>
              </w:rPr>
              <w:t>82,7</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08.1</w:t>
            </w:r>
          </w:p>
          <w:p>
            <w:pPr>
              <w:pStyle w:val="TableParagraph"/>
              <w:spacing w:line="240" w:lineRule="auto" w:before="110"/>
              <w:ind w:left="374" w:right="0"/>
              <w:jc w:val="lef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58,5</w:t>
            </w:r>
          </w:p>
          <w:p>
            <w:pPr>
              <w:pStyle w:val="TableParagraph"/>
              <w:spacing w:line="240" w:lineRule="auto" w:before="100"/>
              <w:ind w:left="148" w:right="0"/>
              <w:jc w:val="left"/>
              <w:rPr>
                <w:rFonts w:ascii="Times New Roman" w:hAnsi="Times New Roman" w:cs="Times New Roman" w:eastAsia="Times New Roman" w:hint="default"/>
                <w:sz w:val="18"/>
                <w:szCs w:val="18"/>
              </w:rPr>
            </w:pPr>
            <w:r>
              <w:rPr>
                <w:rFonts w:ascii="Times New Roman"/>
                <w:sz w:val="18"/>
              </w:rPr>
              <w:t>27.1</w:t>
            </w:r>
          </w:p>
          <w:p>
            <w:pPr>
              <w:pStyle w:val="TableParagraph"/>
              <w:spacing w:line="240" w:lineRule="auto" w:before="110"/>
              <w:ind w:left="374" w:right="0"/>
              <w:jc w:val="left"/>
              <w:rPr>
                <w:rFonts w:ascii="Times New Roman" w:hAnsi="Times New Roman" w:cs="Times New Roman" w:eastAsia="Times New Roman" w:hint="default"/>
                <w:sz w:val="18"/>
                <w:szCs w:val="18"/>
              </w:rPr>
            </w:pPr>
            <w:r>
              <w:rPr>
                <w:rFonts w:ascii="Times New Roman"/>
                <w:w w:val="101"/>
                <w:sz w:val="18"/>
              </w:rPr>
              <w:t>8</w:t>
            </w:r>
            <w:r>
              <w:rPr>
                <w:rFonts w:ascii="Times New Roman"/>
                <w:sz w:val="18"/>
              </w:rPr>
            </w:r>
          </w:p>
        </w:tc>
        <w:tc>
          <w:tcPr>
            <w:tcW w:w="58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left="143" w:right="0"/>
              <w:jc w:val="left"/>
              <w:rPr>
                <w:rFonts w:ascii="Times New Roman" w:hAnsi="Times New Roman" w:cs="Times New Roman" w:eastAsia="Times New Roman" w:hint="default"/>
                <w:sz w:val="18"/>
                <w:szCs w:val="18"/>
              </w:rPr>
            </w:pPr>
            <w:r>
              <w:rPr>
                <w:rFonts w:ascii="Times New Roman"/>
                <w:sz w:val="18"/>
              </w:rPr>
              <w:t>47,2</w:t>
            </w:r>
          </w:p>
          <w:p>
            <w:pPr>
              <w:pStyle w:val="TableParagraph"/>
              <w:spacing w:line="240" w:lineRule="auto" w:before="100"/>
              <w:ind w:left="143" w:right="0"/>
              <w:jc w:val="left"/>
              <w:rPr>
                <w:rFonts w:ascii="Times New Roman" w:hAnsi="Times New Roman" w:cs="Times New Roman" w:eastAsia="Times New Roman" w:hint="default"/>
                <w:sz w:val="18"/>
                <w:szCs w:val="18"/>
              </w:rPr>
            </w:pPr>
            <w:r>
              <w:rPr>
                <w:rFonts w:ascii="Times New Roman"/>
                <w:sz w:val="18"/>
              </w:rPr>
              <w:t>23,0</w:t>
            </w:r>
          </w:p>
          <w:p>
            <w:pPr>
              <w:pStyle w:val="TableParagraph"/>
              <w:spacing w:line="240" w:lineRule="auto" w:before="105"/>
              <w:ind w:left="143" w:right="0"/>
              <w:jc w:val="left"/>
              <w:rPr>
                <w:rFonts w:ascii="Times New Roman" w:hAnsi="Times New Roman" w:cs="Times New Roman" w:eastAsia="Times New Roman" w:hint="default"/>
                <w:sz w:val="18"/>
                <w:szCs w:val="18"/>
              </w:rPr>
            </w:pPr>
            <w:r>
              <w:rPr>
                <w:rFonts w:ascii="Times New Roman"/>
                <w:sz w:val="18"/>
              </w:rPr>
              <w:t>13.8</w:t>
            </w:r>
          </w:p>
          <w:p>
            <w:pPr>
              <w:pStyle w:val="TableParagraph"/>
              <w:spacing w:line="240" w:lineRule="auto" w:before="110"/>
              <w:ind w:left="369" w:right="0"/>
              <w:jc w:val="left"/>
              <w:rPr>
                <w:rFonts w:ascii="Times New Roman" w:hAnsi="Times New Roman" w:cs="Times New Roman" w:eastAsia="Times New Roman" w:hint="default"/>
                <w:sz w:val="18"/>
                <w:szCs w:val="18"/>
              </w:rPr>
            </w:pPr>
            <w:r>
              <w:rPr>
                <w:rFonts w:ascii="Times New Roman"/>
                <w:w w:val="101"/>
                <w:sz w:val="18"/>
              </w:rPr>
              <w:t>4</w:t>
            </w:r>
            <w:r>
              <w:rPr>
                <w:rFonts w:ascii="Times New Roman"/>
                <w:sz w:val="18"/>
              </w:rPr>
            </w:r>
          </w:p>
        </w:tc>
        <w:tc>
          <w:tcPr>
            <w:tcW w:w="576" w:type="dxa"/>
            <w:tcBorders>
              <w:top w:val="single" w:sz="4" w:space="0" w:color="000000"/>
              <w:left w:val="single" w:sz="4" w:space="0" w:color="000000"/>
              <w:bottom w:val="single" w:sz="4" w:space="0" w:color="000000"/>
              <w:right w:val="single" w:sz="4" w:space="0" w:color="000000"/>
            </w:tcBorders>
          </w:tcPr>
          <w:p>
            <w:pPr/>
          </w:p>
        </w:tc>
        <w:tc>
          <w:tcPr>
            <w:tcW w:w="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left="64" w:right="0"/>
              <w:jc w:val="center"/>
              <w:rPr>
                <w:rFonts w:ascii="Times New Roman" w:hAnsi="Times New Roman" w:cs="Times New Roman" w:eastAsia="Times New Roman" w:hint="default"/>
                <w:sz w:val="18"/>
                <w:szCs w:val="18"/>
              </w:rPr>
            </w:pPr>
            <w:r>
              <w:rPr>
                <w:rFonts w:ascii="Times New Roman"/>
                <w:sz w:val="18"/>
              </w:rPr>
              <w:t>429,</w:t>
            </w:r>
          </w:p>
          <w:p>
            <w:pPr>
              <w:pStyle w:val="TableParagraph"/>
              <w:spacing w:line="240" w:lineRule="auto" w:before="100"/>
              <w:ind w:left="64" w:right="0"/>
              <w:jc w:val="center"/>
              <w:rPr>
                <w:rFonts w:ascii="Times New Roman" w:hAnsi="Times New Roman" w:cs="Times New Roman" w:eastAsia="Times New Roman" w:hint="default"/>
                <w:sz w:val="18"/>
                <w:szCs w:val="18"/>
              </w:rPr>
            </w:pPr>
            <w:r>
              <w:rPr>
                <w:rFonts w:ascii="Times New Roman"/>
                <w:sz w:val="18"/>
              </w:rPr>
              <w:t>684,</w:t>
            </w:r>
          </w:p>
          <w:p>
            <w:pPr>
              <w:pStyle w:val="TableParagraph"/>
              <w:spacing w:line="240" w:lineRule="auto" w:before="105"/>
              <w:ind w:left="64" w:right="0"/>
              <w:jc w:val="center"/>
              <w:rPr>
                <w:rFonts w:ascii="Times New Roman" w:hAnsi="Times New Roman" w:cs="Times New Roman" w:eastAsia="Times New Roman" w:hint="default"/>
                <w:sz w:val="18"/>
                <w:szCs w:val="18"/>
              </w:rPr>
            </w:pPr>
            <w:r>
              <w:rPr>
                <w:rFonts w:ascii="Times New Roman"/>
                <w:sz w:val="18"/>
              </w:rPr>
              <w:t>583.</w:t>
            </w:r>
          </w:p>
          <w:p>
            <w:pPr>
              <w:pStyle w:val="TableParagraph"/>
              <w:spacing w:line="240" w:lineRule="auto" w:before="110"/>
              <w:ind w:left="205" w:right="0"/>
              <w:jc w:val="center"/>
              <w:rPr>
                <w:rFonts w:ascii="Times New Roman" w:hAnsi="Times New Roman" w:cs="Times New Roman" w:eastAsia="Times New Roman" w:hint="default"/>
                <w:sz w:val="18"/>
                <w:szCs w:val="18"/>
              </w:rPr>
            </w:pPr>
            <w:r>
              <w:rPr>
                <w:rFonts w:ascii="Times New Roman"/>
                <w:sz w:val="18"/>
              </w:rPr>
              <w:t>57</w:t>
            </w: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left="134" w:right="0"/>
              <w:jc w:val="left"/>
              <w:rPr>
                <w:rFonts w:ascii="Times New Roman" w:hAnsi="Times New Roman" w:cs="Times New Roman" w:eastAsia="Times New Roman" w:hint="default"/>
                <w:sz w:val="18"/>
                <w:szCs w:val="18"/>
              </w:rPr>
            </w:pPr>
            <w:r>
              <w:rPr>
                <w:rFonts w:ascii="Times New Roman"/>
                <w:sz w:val="18"/>
              </w:rPr>
              <w:t>1,26</w:t>
            </w:r>
          </w:p>
          <w:p>
            <w:pPr>
              <w:pStyle w:val="TableParagraph"/>
              <w:spacing w:line="240" w:lineRule="auto" w:before="100"/>
              <w:ind w:left="134" w:right="0"/>
              <w:jc w:val="left"/>
              <w:rPr>
                <w:rFonts w:ascii="Times New Roman" w:hAnsi="Times New Roman" w:cs="Times New Roman" w:eastAsia="Times New Roman" w:hint="default"/>
                <w:sz w:val="18"/>
                <w:szCs w:val="18"/>
              </w:rPr>
            </w:pPr>
            <w:r>
              <w:rPr>
                <w:rFonts w:ascii="Times New Roman"/>
                <w:sz w:val="18"/>
              </w:rPr>
              <w:t>9,73</w:t>
            </w:r>
          </w:p>
          <w:p>
            <w:pPr>
              <w:pStyle w:val="TableParagraph"/>
              <w:spacing w:line="240" w:lineRule="auto" w:before="105"/>
              <w:ind w:left="134" w:right="0"/>
              <w:jc w:val="left"/>
              <w:rPr>
                <w:rFonts w:ascii="Times New Roman" w:hAnsi="Times New Roman" w:cs="Times New Roman" w:eastAsia="Times New Roman" w:hint="default"/>
                <w:sz w:val="18"/>
                <w:szCs w:val="18"/>
              </w:rPr>
            </w:pPr>
            <w:r>
              <w:rPr>
                <w:rFonts w:ascii="Times New Roman"/>
                <w:sz w:val="18"/>
              </w:rPr>
              <w:t>9,47</w:t>
            </w:r>
          </w:p>
          <w:p>
            <w:pPr>
              <w:pStyle w:val="TableParagraph"/>
              <w:spacing w:line="240" w:lineRule="auto" w:before="110"/>
              <w:ind w:left="134" w:right="0"/>
              <w:jc w:val="left"/>
              <w:rPr>
                <w:rFonts w:ascii="Times New Roman" w:hAnsi="Times New Roman" w:cs="Times New Roman" w:eastAsia="Times New Roman" w:hint="default"/>
                <w:sz w:val="18"/>
                <w:szCs w:val="18"/>
              </w:rPr>
            </w:pPr>
            <w:r>
              <w:rPr>
                <w:rFonts w:ascii="Times New Roman"/>
                <w:sz w:val="18"/>
              </w:rPr>
              <w:t>5.33</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33" w:right="0"/>
              <w:jc w:val="center"/>
              <w:rPr>
                <w:rFonts w:ascii="Times New Roman" w:hAnsi="Times New Roman" w:cs="Times New Roman" w:eastAsia="Times New Roman" w:hint="default"/>
                <w:sz w:val="18"/>
                <w:szCs w:val="18"/>
              </w:rPr>
            </w:pPr>
            <w:r>
              <w:rPr>
                <w:rFonts w:ascii="Times New Roman"/>
                <w:sz w:val="18"/>
              </w:rPr>
              <w:t>24,01</w:t>
            </w:r>
          </w:p>
          <w:p>
            <w:pPr>
              <w:pStyle w:val="TableParagraph"/>
              <w:spacing w:line="240" w:lineRule="auto" w:before="100"/>
              <w:ind w:left="29" w:right="0"/>
              <w:jc w:val="center"/>
              <w:rPr>
                <w:rFonts w:ascii="Times New Roman" w:hAnsi="Times New Roman" w:cs="Times New Roman" w:eastAsia="Times New Roman" w:hint="default"/>
                <w:sz w:val="18"/>
                <w:szCs w:val="18"/>
              </w:rPr>
            </w:pPr>
            <w:r>
              <w:rPr>
                <w:rFonts w:ascii="Times New Roman"/>
                <w:sz w:val="18"/>
              </w:rPr>
              <w:t>1,117</w:t>
            </w:r>
          </w:p>
          <w:p>
            <w:pPr>
              <w:pStyle w:val="TableParagraph"/>
              <w:spacing w:line="240" w:lineRule="auto" w:before="110"/>
              <w:ind w:left="201" w:right="0"/>
              <w:jc w:val="center"/>
              <w:rPr>
                <w:rFonts w:ascii="Times New Roman" w:hAnsi="Times New Roman" w:cs="Times New Roman" w:eastAsia="Times New Roman" w:hint="default"/>
                <w:sz w:val="18"/>
                <w:szCs w:val="18"/>
              </w:rPr>
            </w:pPr>
            <w:r>
              <w:rPr>
                <w:rFonts w:ascii="Times New Roman"/>
                <w:sz w:val="18"/>
              </w:rPr>
              <w:t>.34</w:t>
            </w:r>
          </w:p>
        </w:tc>
        <w:tc>
          <w:tcPr>
            <w:tcW w:w="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left="134" w:right="0"/>
              <w:jc w:val="left"/>
              <w:rPr>
                <w:rFonts w:ascii="Times New Roman" w:hAnsi="Times New Roman" w:cs="Times New Roman" w:eastAsia="Times New Roman" w:hint="default"/>
                <w:sz w:val="18"/>
                <w:szCs w:val="18"/>
              </w:rPr>
            </w:pPr>
            <w:r>
              <w:rPr>
                <w:rFonts w:ascii="Times New Roman"/>
                <w:sz w:val="18"/>
              </w:rPr>
              <w:t>1,293</w:t>
            </w:r>
          </w:p>
          <w:p>
            <w:pPr>
              <w:pStyle w:val="TableParagraph"/>
              <w:spacing w:line="240" w:lineRule="auto" w:before="100"/>
              <w:ind w:left="177" w:right="0"/>
              <w:jc w:val="left"/>
              <w:rPr>
                <w:rFonts w:ascii="Times New Roman" w:hAnsi="Times New Roman" w:cs="Times New Roman" w:eastAsia="Times New Roman" w:hint="default"/>
                <w:sz w:val="18"/>
                <w:szCs w:val="18"/>
              </w:rPr>
            </w:pPr>
            <w:r>
              <w:rPr>
                <w:rFonts w:ascii="Times New Roman"/>
                <w:sz w:val="18"/>
              </w:rPr>
              <w:t>,750,</w:t>
            </w:r>
          </w:p>
          <w:p>
            <w:pPr>
              <w:pStyle w:val="TableParagraph"/>
              <w:spacing w:line="240" w:lineRule="auto" w:before="105"/>
              <w:ind w:left="134" w:right="0"/>
              <w:jc w:val="left"/>
              <w:rPr>
                <w:rFonts w:ascii="Times New Roman" w:hAnsi="Times New Roman" w:cs="Times New Roman" w:eastAsia="Times New Roman" w:hint="default"/>
                <w:sz w:val="18"/>
                <w:szCs w:val="18"/>
              </w:rPr>
            </w:pPr>
            <w:r>
              <w:rPr>
                <w:rFonts w:ascii="Times New Roman"/>
                <w:sz w:val="18"/>
              </w:rPr>
              <w:t>592.6</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7</w:t>
            </w:r>
            <w:r>
              <w:rPr>
                <w:rFonts w:ascii="Times New Roman"/>
                <w:sz w:val="18"/>
              </w:rPr>
            </w:r>
          </w:p>
        </w:tc>
      </w:tr>
    </w:tbl>
    <w:p>
      <w:pPr>
        <w:spacing w:line="240" w:lineRule="auto" w:before="10"/>
        <w:rPr>
          <w:rFonts w:ascii="Times New Roman" w:hAnsi="Times New Roman" w:cs="Times New Roman" w:eastAsia="Times New Roman" w:hint="default"/>
          <w:sz w:val="21"/>
          <w:szCs w:val="21"/>
        </w:rPr>
      </w:pPr>
    </w:p>
    <w:p>
      <w:pPr>
        <w:pStyle w:val="Heading4"/>
        <w:spacing w:line="240" w:lineRule="auto" w:before="36"/>
        <w:ind w:right="0"/>
        <w:jc w:val="left"/>
        <w:rPr>
          <w:b w:val="0"/>
          <w:bCs w:val="0"/>
        </w:rPr>
      </w:pPr>
      <w:bookmarkStart w:name="8、母公司所有者权益变动表" w:id="169"/>
      <w:bookmarkEnd w:id="169"/>
      <w:r>
        <w:rPr>
          <w:b w:val="0"/>
          <w:bCs w:val="0"/>
        </w:rPr>
      </w:r>
      <w:r>
        <w:rPr>
          <w:rFonts w:ascii="Times New Roman" w:hAnsi="Times New Roman" w:cs="Times New Roman" w:eastAsia="Times New Roman" w:hint="default"/>
        </w:rPr>
        <w:t>8</w:t>
      </w:r>
      <w:r>
        <w:rPr/>
        <w:t>、母公司所有者权益变动表</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right="0"/>
        <w:jc w:val="left"/>
      </w:pPr>
      <w:r>
        <w:rPr/>
        <w:t>本期金额</w:t>
      </w:r>
    </w:p>
    <w:p>
      <w:pPr>
        <w:pStyle w:val="BodyText"/>
        <w:spacing w:line="240" w:lineRule="auto" w:before="115"/>
        <w:ind w:left="0" w:right="1122"/>
        <w:jc w:val="right"/>
      </w:pPr>
      <w:r>
        <w:rPr>
          <w:spacing w:val="-2"/>
        </w:rPr>
        <w:t>单位：元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306"/>
        <w:gridCol w:w="629"/>
        <w:gridCol w:w="605"/>
        <w:gridCol w:w="605"/>
        <w:gridCol w:w="605"/>
        <w:gridCol w:w="725"/>
        <w:gridCol w:w="725"/>
        <w:gridCol w:w="730"/>
        <w:gridCol w:w="725"/>
        <w:gridCol w:w="725"/>
        <w:gridCol w:w="614"/>
        <w:gridCol w:w="711"/>
        <w:gridCol w:w="864"/>
      </w:tblGrid>
      <w:tr>
        <w:trPr>
          <w:trHeight w:val="399" w:hRule="exact"/>
        </w:trPr>
        <w:tc>
          <w:tcPr>
            <w:tcW w:w="130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5"/>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8264"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7"/>
                <w:sz w:val="18"/>
                <w:szCs w:val="18"/>
              </w:rPr>
              <w:t> </w:t>
            </w:r>
            <w:r>
              <w:rPr>
                <w:rFonts w:ascii="宋体" w:hAnsi="宋体" w:cs="宋体" w:eastAsia="宋体" w:hint="default"/>
                <w:spacing w:val="-5"/>
                <w:sz w:val="18"/>
                <w:szCs w:val="18"/>
              </w:rPr>
              <w:t>年度</w:t>
            </w:r>
            <w:r>
              <w:rPr>
                <w:rFonts w:ascii="宋体" w:hAnsi="宋体" w:cs="宋体" w:eastAsia="宋体" w:hint="default"/>
                <w:sz w:val="18"/>
                <w:szCs w:val="18"/>
              </w:rPr>
            </w:r>
          </w:p>
        </w:tc>
      </w:tr>
      <w:tr>
        <w:trPr>
          <w:trHeight w:val="408" w:hRule="exact"/>
        </w:trPr>
        <w:tc>
          <w:tcPr>
            <w:tcW w:w="1306" w:type="dxa"/>
            <w:vMerge/>
            <w:tcBorders>
              <w:left w:val="single" w:sz="4" w:space="0" w:color="000000"/>
              <w:right w:val="single" w:sz="4" w:space="0" w:color="000000"/>
            </w:tcBorders>
            <w:shd w:val="clear" w:color="auto" w:fill="D2D2D2"/>
          </w:tcPr>
          <w:p>
            <w:pPr/>
          </w:p>
        </w:tc>
        <w:tc>
          <w:tcPr>
            <w:tcW w:w="62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129"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815"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365"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72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9"/>
                <w:szCs w:val="19"/>
              </w:rPr>
            </w:pPr>
          </w:p>
          <w:p>
            <w:pPr>
              <w:pStyle w:val="TableParagraph"/>
              <w:spacing w:line="316" w:lineRule="auto"/>
              <w:ind w:left="172" w:right="175"/>
              <w:jc w:val="left"/>
              <w:rPr>
                <w:rFonts w:ascii="宋体" w:hAnsi="宋体" w:cs="宋体" w:eastAsia="宋体" w:hint="default"/>
                <w:sz w:val="18"/>
                <w:szCs w:val="18"/>
              </w:rPr>
            </w:pPr>
            <w:r>
              <w:rPr>
                <w:rFonts w:ascii="宋体" w:hAnsi="宋体" w:cs="宋体" w:eastAsia="宋体" w:hint="default"/>
                <w:sz w:val="18"/>
                <w:szCs w:val="18"/>
              </w:rPr>
              <w:t>资本</w:t>
            </w:r>
            <w:r>
              <w:rPr>
                <w:rFonts w:ascii="宋体" w:hAnsi="宋体" w:cs="宋体" w:eastAsia="宋体" w:hint="default"/>
                <w:spacing w:val="-86"/>
                <w:sz w:val="18"/>
                <w:szCs w:val="18"/>
              </w:rPr>
              <w:t> </w:t>
            </w:r>
            <w:r>
              <w:rPr>
                <w:rFonts w:ascii="宋体" w:hAnsi="宋体" w:cs="宋体" w:eastAsia="宋体" w:hint="default"/>
                <w:sz w:val="18"/>
                <w:szCs w:val="18"/>
              </w:rPr>
              <w:t>公积</w:t>
            </w:r>
          </w:p>
        </w:tc>
        <w:tc>
          <w:tcPr>
            <w:tcW w:w="72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9"/>
                <w:szCs w:val="19"/>
              </w:rPr>
            </w:pPr>
          </w:p>
          <w:p>
            <w:pPr>
              <w:pStyle w:val="TableParagraph"/>
              <w:spacing w:line="316" w:lineRule="auto"/>
              <w:ind w:left="177" w:right="93" w:hanging="72"/>
              <w:jc w:val="left"/>
              <w:rPr>
                <w:rFonts w:ascii="宋体" w:hAnsi="宋体" w:cs="宋体" w:eastAsia="宋体" w:hint="default"/>
                <w:sz w:val="18"/>
                <w:szCs w:val="18"/>
              </w:rPr>
            </w:pPr>
            <w:r>
              <w:rPr>
                <w:rFonts w:ascii="宋体" w:hAnsi="宋体" w:cs="宋体" w:eastAsia="宋体" w:hint="default"/>
                <w:spacing w:val="-12"/>
                <w:sz w:val="18"/>
                <w:szCs w:val="18"/>
              </w:rPr>
              <w:t>减：库</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存股</w:t>
            </w:r>
          </w:p>
        </w:tc>
        <w:tc>
          <w:tcPr>
            <w:tcW w:w="730"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101"/>
              <w:ind w:left="177" w:right="177"/>
              <w:jc w:val="both"/>
              <w:rPr>
                <w:rFonts w:ascii="宋体" w:hAnsi="宋体" w:cs="宋体" w:eastAsia="宋体" w:hint="default"/>
                <w:sz w:val="18"/>
                <w:szCs w:val="18"/>
              </w:rPr>
            </w:pPr>
            <w:r>
              <w:rPr>
                <w:rFonts w:ascii="宋体" w:hAnsi="宋体" w:cs="宋体" w:eastAsia="宋体" w:hint="default"/>
                <w:sz w:val="18"/>
                <w:szCs w:val="18"/>
              </w:rPr>
              <w:t>其他</w:t>
            </w:r>
            <w:r>
              <w:rPr>
                <w:rFonts w:ascii="宋体" w:hAnsi="宋体" w:cs="宋体" w:eastAsia="宋体" w:hint="default"/>
                <w:spacing w:val="-86"/>
                <w:sz w:val="18"/>
                <w:szCs w:val="18"/>
              </w:rPr>
              <w:t> </w:t>
            </w:r>
            <w:r>
              <w:rPr>
                <w:rFonts w:ascii="宋体" w:hAnsi="宋体" w:cs="宋体" w:eastAsia="宋体" w:hint="default"/>
                <w:sz w:val="18"/>
                <w:szCs w:val="18"/>
              </w:rPr>
              <w:t>综合</w:t>
            </w:r>
            <w:r>
              <w:rPr>
                <w:rFonts w:ascii="宋体" w:hAnsi="宋体" w:cs="宋体" w:eastAsia="宋体" w:hint="default"/>
                <w:spacing w:val="-86"/>
                <w:sz w:val="18"/>
                <w:szCs w:val="18"/>
              </w:rPr>
              <w:t> </w:t>
            </w:r>
            <w:r>
              <w:rPr>
                <w:rFonts w:ascii="宋体" w:hAnsi="宋体" w:cs="宋体" w:eastAsia="宋体" w:hint="default"/>
                <w:sz w:val="18"/>
                <w:szCs w:val="18"/>
              </w:rPr>
              <w:t>收益</w:t>
            </w:r>
          </w:p>
        </w:tc>
        <w:tc>
          <w:tcPr>
            <w:tcW w:w="72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9"/>
                <w:szCs w:val="19"/>
              </w:rPr>
            </w:pPr>
          </w:p>
          <w:p>
            <w:pPr>
              <w:pStyle w:val="TableParagraph"/>
              <w:spacing w:line="316" w:lineRule="auto"/>
              <w:ind w:left="172" w:right="175"/>
              <w:jc w:val="left"/>
              <w:rPr>
                <w:rFonts w:ascii="宋体" w:hAnsi="宋体" w:cs="宋体" w:eastAsia="宋体" w:hint="default"/>
                <w:sz w:val="18"/>
                <w:szCs w:val="18"/>
              </w:rPr>
            </w:pPr>
            <w:r>
              <w:rPr>
                <w:rFonts w:ascii="宋体" w:hAnsi="宋体" w:cs="宋体" w:eastAsia="宋体" w:hint="default"/>
                <w:sz w:val="18"/>
                <w:szCs w:val="18"/>
              </w:rPr>
              <w:t>专项</w:t>
            </w:r>
            <w:r>
              <w:rPr>
                <w:rFonts w:ascii="宋体" w:hAnsi="宋体" w:cs="宋体" w:eastAsia="宋体" w:hint="default"/>
                <w:spacing w:val="-86"/>
                <w:sz w:val="18"/>
                <w:szCs w:val="18"/>
              </w:rPr>
              <w:t> </w:t>
            </w:r>
            <w:r>
              <w:rPr>
                <w:rFonts w:ascii="宋体" w:hAnsi="宋体" w:cs="宋体" w:eastAsia="宋体" w:hint="default"/>
                <w:sz w:val="18"/>
                <w:szCs w:val="18"/>
              </w:rPr>
              <w:t>储备</w:t>
            </w:r>
          </w:p>
        </w:tc>
        <w:tc>
          <w:tcPr>
            <w:tcW w:w="72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9"/>
                <w:szCs w:val="19"/>
              </w:rPr>
            </w:pPr>
          </w:p>
          <w:p>
            <w:pPr>
              <w:pStyle w:val="TableParagraph"/>
              <w:spacing w:line="316" w:lineRule="auto"/>
              <w:ind w:left="177" w:right="171"/>
              <w:jc w:val="left"/>
              <w:rPr>
                <w:rFonts w:ascii="宋体" w:hAnsi="宋体" w:cs="宋体" w:eastAsia="宋体" w:hint="default"/>
                <w:sz w:val="18"/>
                <w:szCs w:val="18"/>
              </w:rPr>
            </w:pPr>
            <w:r>
              <w:rPr>
                <w:rFonts w:ascii="宋体" w:hAnsi="宋体" w:cs="宋体" w:eastAsia="宋体" w:hint="default"/>
                <w:sz w:val="18"/>
                <w:szCs w:val="18"/>
              </w:rPr>
              <w:t>盈余</w:t>
            </w:r>
            <w:r>
              <w:rPr>
                <w:rFonts w:ascii="宋体" w:hAnsi="宋体" w:cs="宋体" w:eastAsia="宋体" w:hint="default"/>
                <w:spacing w:val="-86"/>
                <w:sz w:val="18"/>
                <w:szCs w:val="18"/>
              </w:rPr>
              <w:t> </w:t>
            </w:r>
            <w:r>
              <w:rPr>
                <w:rFonts w:ascii="宋体" w:hAnsi="宋体" w:cs="宋体" w:eastAsia="宋体" w:hint="default"/>
                <w:sz w:val="18"/>
                <w:szCs w:val="18"/>
              </w:rPr>
              <w:t>公积</w:t>
            </w:r>
          </w:p>
        </w:tc>
        <w:tc>
          <w:tcPr>
            <w:tcW w:w="614"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101"/>
              <w:ind w:left="124" w:right="113"/>
              <w:jc w:val="both"/>
              <w:rPr>
                <w:rFonts w:ascii="宋体" w:hAnsi="宋体" w:cs="宋体" w:eastAsia="宋体" w:hint="default"/>
                <w:sz w:val="18"/>
                <w:szCs w:val="18"/>
              </w:rPr>
            </w:pPr>
            <w:r>
              <w:rPr>
                <w:rFonts w:ascii="宋体" w:hAnsi="宋体" w:cs="宋体" w:eastAsia="宋体" w:hint="default"/>
                <w:sz w:val="18"/>
                <w:szCs w:val="18"/>
              </w:rPr>
              <w:t>未分</w:t>
            </w:r>
            <w:r>
              <w:rPr>
                <w:rFonts w:ascii="宋体" w:hAnsi="宋体" w:cs="宋体" w:eastAsia="宋体" w:hint="default"/>
                <w:spacing w:val="-86"/>
                <w:sz w:val="18"/>
                <w:szCs w:val="18"/>
              </w:rPr>
              <w:t> </w:t>
            </w:r>
            <w:r>
              <w:rPr>
                <w:rFonts w:ascii="宋体" w:hAnsi="宋体" w:cs="宋体" w:eastAsia="宋体" w:hint="default"/>
                <w:sz w:val="18"/>
                <w:szCs w:val="18"/>
              </w:rPr>
              <w:t>配利</w:t>
            </w:r>
            <w:r>
              <w:rPr>
                <w:rFonts w:ascii="宋体" w:hAnsi="宋体" w:cs="宋体" w:eastAsia="宋体" w:hint="default"/>
                <w:spacing w:val="-86"/>
                <w:sz w:val="18"/>
                <w:szCs w:val="18"/>
              </w:rPr>
              <w:t> </w:t>
            </w:r>
            <w:r>
              <w:rPr>
                <w:rFonts w:ascii="宋体" w:hAnsi="宋体" w:cs="宋体" w:eastAsia="宋体" w:hint="default"/>
                <w:sz w:val="18"/>
                <w:szCs w:val="18"/>
              </w:rPr>
              <w:t>润</w:t>
            </w:r>
          </w:p>
        </w:tc>
        <w:tc>
          <w:tcPr>
            <w:tcW w:w="71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17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64"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101"/>
              <w:ind w:left="158" w:right="151"/>
              <w:jc w:val="center"/>
              <w:rPr>
                <w:rFonts w:ascii="宋体" w:hAnsi="宋体" w:cs="宋体" w:eastAsia="宋体" w:hint="default"/>
                <w:sz w:val="18"/>
                <w:szCs w:val="18"/>
              </w:rPr>
            </w:pPr>
            <w:r>
              <w:rPr>
                <w:rFonts w:ascii="宋体" w:hAnsi="宋体" w:cs="宋体" w:eastAsia="宋体" w:hint="default"/>
                <w:spacing w:val="-2"/>
                <w:sz w:val="18"/>
                <w:szCs w:val="18"/>
              </w:rPr>
              <w:t>所有者</w:t>
            </w:r>
            <w:r>
              <w:rPr>
                <w:rFonts w:ascii="宋体" w:hAnsi="宋体" w:cs="宋体" w:eastAsia="宋体" w:hint="default"/>
                <w:w w:val="101"/>
                <w:sz w:val="18"/>
                <w:szCs w:val="18"/>
              </w:rPr>
              <w:t> </w:t>
            </w:r>
            <w:r>
              <w:rPr>
                <w:rFonts w:ascii="宋体" w:hAnsi="宋体" w:cs="宋体" w:eastAsia="宋体" w:hint="default"/>
                <w:spacing w:val="-2"/>
                <w:sz w:val="18"/>
                <w:szCs w:val="18"/>
              </w:rPr>
              <w:t>权益合</w:t>
            </w:r>
            <w:r>
              <w:rPr>
                <w:rFonts w:ascii="宋体" w:hAnsi="宋体" w:cs="宋体" w:eastAsia="宋体" w:hint="default"/>
                <w:w w:val="101"/>
                <w:sz w:val="18"/>
                <w:szCs w:val="18"/>
              </w:rPr>
              <w:t> </w:t>
            </w:r>
            <w:r>
              <w:rPr>
                <w:rFonts w:ascii="宋体" w:hAnsi="宋体" w:cs="宋体" w:eastAsia="宋体" w:hint="default"/>
                <w:sz w:val="18"/>
                <w:szCs w:val="18"/>
              </w:rPr>
              <w:t>计</w:t>
            </w:r>
          </w:p>
        </w:tc>
      </w:tr>
      <w:tr>
        <w:trPr>
          <w:trHeight w:val="715" w:hRule="exact"/>
        </w:trPr>
        <w:tc>
          <w:tcPr>
            <w:tcW w:w="1306" w:type="dxa"/>
            <w:vMerge/>
            <w:tcBorders>
              <w:left w:val="single" w:sz="4" w:space="0" w:color="000000"/>
              <w:bottom w:val="single" w:sz="4" w:space="0" w:color="000000"/>
              <w:right w:val="single" w:sz="4" w:space="0" w:color="000000"/>
            </w:tcBorders>
            <w:shd w:val="clear" w:color="auto" w:fill="D2D2D2"/>
          </w:tcPr>
          <w:p>
            <w:pPr/>
          </w:p>
        </w:tc>
        <w:tc>
          <w:tcPr>
            <w:tcW w:w="629" w:type="dxa"/>
            <w:vMerge/>
            <w:tcBorders>
              <w:left w:val="single" w:sz="4" w:space="0" w:color="000000"/>
              <w:bottom w:val="single" w:sz="4" w:space="0" w:color="000000"/>
              <w:right w:val="single" w:sz="4" w:space="0" w:color="000000"/>
            </w:tcBorders>
            <w:shd w:val="clear" w:color="auto" w:fill="D2D2D2"/>
          </w:tcPr>
          <w:p>
            <w:pPr/>
          </w:p>
        </w:tc>
        <w:tc>
          <w:tcPr>
            <w:tcW w:w="6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211" w:right="108" w:hanging="92"/>
              <w:jc w:val="left"/>
              <w:rPr>
                <w:rFonts w:ascii="宋体" w:hAnsi="宋体" w:cs="宋体" w:eastAsia="宋体" w:hint="default"/>
                <w:sz w:val="18"/>
                <w:szCs w:val="18"/>
              </w:rPr>
            </w:pPr>
            <w:r>
              <w:rPr>
                <w:rFonts w:ascii="宋体" w:hAnsi="宋体" w:cs="宋体" w:eastAsia="宋体" w:hint="default"/>
                <w:sz w:val="18"/>
                <w:szCs w:val="18"/>
              </w:rPr>
              <w:t>优先</w:t>
            </w:r>
            <w:r>
              <w:rPr>
                <w:rFonts w:ascii="宋体" w:hAnsi="宋体" w:cs="宋体" w:eastAsia="宋体" w:hint="default"/>
                <w:spacing w:val="-86"/>
                <w:sz w:val="18"/>
                <w:szCs w:val="18"/>
              </w:rPr>
              <w:t> </w:t>
            </w:r>
            <w:r>
              <w:rPr>
                <w:rFonts w:ascii="宋体" w:hAnsi="宋体" w:cs="宋体" w:eastAsia="宋体" w:hint="default"/>
                <w:sz w:val="18"/>
                <w:szCs w:val="18"/>
              </w:rPr>
              <w:t>股</w:t>
            </w:r>
          </w:p>
        </w:tc>
        <w:tc>
          <w:tcPr>
            <w:tcW w:w="6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206" w:right="113" w:hanging="92"/>
              <w:jc w:val="left"/>
              <w:rPr>
                <w:rFonts w:ascii="宋体" w:hAnsi="宋体" w:cs="宋体" w:eastAsia="宋体" w:hint="default"/>
                <w:sz w:val="18"/>
                <w:szCs w:val="18"/>
              </w:rPr>
            </w:pPr>
            <w:r>
              <w:rPr>
                <w:rFonts w:ascii="宋体" w:hAnsi="宋体" w:cs="宋体" w:eastAsia="宋体" w:hint="default"/>
                <w:sz w:val="18"/>
                <w:szCs w:val="18"/>
              </w:rPr>
              <w:t>永续</w:t>
            </w:r>
            <w:r>
              <w:rPr>
                <w:rFonts w:ascii="宋体" w:hAnsi="宋体" w:cs="宋体" w:eastAsia="宋体" w:hint="default"/>
                <w:spacing w:val="-86"/>
                <w:sz w:val="18"/>
                <w:szCs w:val="18"/>
              </w:rPr>
              <w:t> </w:t>
            </w:r>
            <w:r>
              <w:rPr>
                <w:rFonts w:ascii="宋体" w:hAnsi="宋体" w:cs="宋体" w:eastAsia="宋体" w:hint="default"/>
                <w:sz w:val="18"/>
                <w:szCs w:val="18"/>
              </w:rPr>
              <w:t>债</w:t>
            </w:r>
          </w:p>
        </w:tc>
        <w:tc>
          <w:tcPr>
            <w:tcW w:w="6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1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25" w:type="dxa"/>
            <w:vMerge/>
            <w:tcBorders>
              <w:left w:val="single" w:sz="4" w:space="0" w:color="000000"/>
              <w:bottom w:val="single" w:sz="4" w:space="0" w:color="000000"/>
              <w:right w:val="single" w:sz="4" w:space="0" w:color="000000"/>
            </w:tcBorders>
            <w:shd w:val="clear" w:color="auto" w:fill="D2D2D2"/>
          </w:tcPr>
          <w:p>
            <w:pPr/>
          </w:p>
        </w:tc>
        <w:tc>
          <w:tcPr>
            <w:tcW w:w="725" w:type="dxa"/>
            <w:vMerge/>
            <w:tcBorders>
              <w:left w:val="single" w:sz="4" w:space="0" w:color="000000"/>
              <w:bottom w:val="single" w:sz="4" w:space="0" w:color="000000"/>
              <w:right w:val="single" w:sz="4" w:space="0" w:color="000000"/>
            </w:tcBorders>
            <w:shd w:val="clear" w:color="auto" w:fill="D2D2D2"/>
          </w:tcPr>
          <w:p>
            <w:pPr/>
          </w:p>
        </w:tc>
        <w:tc>
          <w:tcPr>
            <w:tcW w:w="730" w:type="dxa"/>
            <w:vMerge/>
            <w:tcBorders>
              <w:left w:val="single" w:sz="4" w:space="0" w:color="000000"/>
              <w:bottom w:val="single" w:sz="4" w:space="0" w:color="000000"/>
              <w:right w:val="single" w:sz="4" w:space="0" w:color="000000"/>
            </w:tcBorders>
            <w:shd w:val="clear" w:color="auto" w:fill="D2D2D2"/>
          </w:tcPr>
          <w:p>
            <w:pPr/>
          </w:p>
        </w:tc>
        <w:tc>
          <w:tcPr>
            <w:tcW w:w="725" w:type="dxa"/>
            <w:vMerge/>
            <w:tcBorders>
              <w:left w:val="single" w:sz="4" w:space="0" w:color="000000"/>
              <w:bottom w:val="single" w:sz="4" w:space="0" w:color="000000"/>
              <w:right w:val="single" w:sz="4" w:space="0" w:color="000000"/>
            </w:tcBorders>
            <w:shd w:val="clear" w:color="auto" w:fill="D2D2D2"/>
          </w:tcPr>
          <w:p>
            <w:pPr/>
          </w:p>
        </w:tc>
        <w:tc>
          <w:tcPr>
            <w:tcW w:w="725" w:type="dxa"/>
            <w:vMerge/>
            <w:tcBorders>
              <w:left w:val="single" w:sz="4" w:space="0" w:color="000000"/>
              <w:bottom w:val="single" w:sz="4" w:space="0" w:color="000000"/>
              <w:right w:val="single" w:sz="4" w:space="0" w:color="000000"/>
            </w:tcBorders>
            <w:shd w:val="clear" w:color="auto" w:fill="D2D2D2"/>
          </w:tcPr>
          <w:p>
            <w:pPr/>
          </w:p>
        </w:tc>
        <w:tc>
          <w:tcPr>
            <w:tcW w:w="614" w:type="dxa"/>
            <w:vMerge/>
            <w:tcBorders>
              <w:left w:val="single" w:sz="4" w:space="0" w:color="000000"/>
              <w:bottom w:val="single" w:sz="4" w:space="0" w:color="000000"/>
              <w:right w:val="single" w:sz="4" w:space="0" w:color="000000"/>
            </w:tcBorders>
            <w:shd w:val="clear" w:color="auto" w:fill="D2D2D2"/>
          </w:tcPr>
          <w:p>
            <w:pPr/>
          </w:p>
        </w:tc>
        <w:tc>
          <w:tcPr>
            <w:tcW w:w="711" w:type="dxa"/>
            <w:vMerge/>
            <w:tcBorders>
              <w:left w:val="single" w:sz="4" w:space="0" w:color="000000"/>
              <w:bottom w:val="single" w:sz="4" w:space="0" w:color="000000"/>
              <w:right w:val="single" w:sz="4" w:space="0" w:color="000000"/>
            </w:tcBorders>
            <w:shd w:val="clear" w:color="auto" w:fill="D2D2D2"/>
          </w:tcPr>
          <w:p>
            <w:pPr/>
          </w:p>
        </w:tc>
        <w:tc>
          <w:tcPr>
            <w:tcW w:w="864" w:type="dxa"/>
            <w:vMerge/>
            <w:tcBorders>
              <w:left w:val="single" w:sz="4" w:space="0" w:color="000000"/>
              <w:bottom w:val="single" w:sz="4" w:space="0" w:color="000000"/>
              <w:right w:val="single" w:sz="4" w:space="0" w:color="000000"/>
            </w:tcBorders>
            <w:shd w:val="clear" w:color="auto" w:fill="D2D2D2"/>
          </w:tcPr>
          <w:p>
            <w:pPr/>
          </w:p>
        </w:tc>
      </w:tr>
      <w:tr>
        <w:trPr>
          <w:trHeight w:val="1335"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30"/>
              <w:ind w:left="105" w:right="103"/>
              <w:jc w:val="left"/>
              <w:rPr>
                <w:rFonts w:ascii="宋体" w:hAnsi="宋体" w:cs="宋体" w:eastAsia="宋体" w:hint="default"/>
                <w:sz w:val="18"/>
                <w:szCs w:val="18"/>
              </w:rPr>
            </w:pPr>
            <w:r>
              <w:rPr>
                <w:rFonts w:ascii="宋体" w:hAnsi="宋体" w:cs="宋体" w:eastAsia="宋体" w:hint="default"/>
                <w:spacing w:val="-2"/>
                <w:sz w:val="18"/>
                <w:szCs w:val="18"/>
              </w:rPr>
              <w:t>一、上年期末</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余额</w:t>
            </w:r>
          </w:p>
        </w:tc>
        <w:tc>
          <w:tcPr>
            <w:tcW w:w="6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15" w:right="0"/>
              <w:jc w:val="left"/>
              <w:rPr>
                <w:rFonts w:ascii="Times New Roman" w:hAnsi="Times New Roman" w:cs="Times New Roman" w:eastAsia="Times New Roman" w:hint="default"/>
                <w:sz w:val="18"/>
                <w:szCs w:val="18"/>
              </w:rPr>
            </w:pPr>
            <w:r>
              <w:rPr>
                <w:rFonts w:ascii="Times New Roman"/>
                <w:sz w:val="18"/>
              </w:rPr>
              <w:t>619,2</w:t>
            </w:r>
          </w:p>
          <w:p>
            <w:pPr>
              <w:pStyle w:val="TableParagraph"/>
              <w:spacing w:line="240" w:lineRule="auto" w:before="100"/>
              <w:ind w:left="115" w:right="0"/>
              <w:jc w:val="left"/>
              <w:rPr>
                <w:rFonts w:ascii="Times New Roman" w:hAnsi="Times New Roman" w:cs="Times New Roman" w:eastAsia="Times New Roman" w:hint="default"/>
                <w:sz w:val="18"/>
                <w:szCs w:val="18"/>
              </w:rPr>
            </w:pPr>
            <w:r>
              <w:rPr>
                <w:rFonts w:ascii="Times New Roman"/>
                <w:sz w:val="18"/>
              </w:rPr>
              <w:t>14,83</w:t>
            </w:r>
          </w:p>
          <w:p>
            <w:pPr>
              <w:pStyle w:val="TableParagraph"/>
              <w:spacing w:line="240" w:lineRule="auto" w:before="110"/>
              <w:ind w:left="201" w:right="0"/>
              <w:jc w:val="left"/>
              <w:rPr>
                <w:rFonts w:ascii="Times New Roman" w:hAnsi="Times New Roman" w:cs="Times New Roman" w:eastAsia="Times New Roman" w:hint="default"/>
                <w:sz w:val="18"/>
                <w:szCs w:val="18"/>
              </w:rPr>
            </w:pPr>
            <w:r>
              <w:rPr>
                <w:rFonts w:ascii="Times New Roman"/>
                <w:sz w:val="18"/>
              </w:rPr>
              <w:t>4.00</w:t>
            </w: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15" w:right="0"/>
              <w:jc w:val="left"/>
              <w:rPr>
                <w:rFonts w:ascii="Times New Roman" w:hAnsi="Times New Roman" w:cs="Times New Roman" w:eastAsia="Times New Roman" w:hint="default"/>
                <w:sz w:val="18"/>
                <w:szCs w:val="18"/>
              </w:rPr>
            </w:pPr>
            <w:r>
              <w:rPr>
                <w:rFonts w:ascii="Times New Roman"/>
                <w:sz w:val="18"/>
              </w:rPr>
              <w:t>206,54</w:t>
            </w:r>
          </w:p>
          <w:p>
            <w:pPr>
              <w:pStyle w:val="TableParagraph"/>
              <w:spacing w:line="240" w:lineRule="auto" w:before="100"/>
              <w:ind w:left="158" w:right="0"/>
              <w:jc w:val="left"/>
              <w:rPr>
                <w:rFonts w:ascii="Times New Roman" w:hAnsi="Times New Roman" w:cs="Times New Roman" w:eastAsia="Times New Roman" w:hint="default"/>
                <w:sz w:val="18"/>
                <w:szCs w:val="18"/>
              </w:rPr>
            </w:pPr>
            <w:r>
              <w:rPr>
                <w:rFonts w:ascii="Times New Roman"/>
                <w:sz w:val="18"/>
              </w:rPr>
              <w:t>6,194.</w:t>
            </w:r>
          </w:p>
          <w:p>
            <w:pPr>
              <w:pStyle w:val="TableParagraph"/>
              <w:spacing w:line="240" w:lineRule="auto" w:before="110"/>
              <w:ind w:left="431" w:right="0"/>
              <w:jc w:val="left"/>
              <w:rPr>
                <w:rFonts w:ascii="Times New Roman" w:hAnsi="Times New Roman" w:cs="Times New Roman" w:eastAsia="Times New Roman" w:hint="default"/>
                <w:sz w:val="18"/>
                <w:szCs w:val="18"/>
              </w:rPr>
            </w:pPr>
            <w:r>
              <w:rPr>
                <w:rFonts w:ascii="Times New Roman"/>
                <w:sz w:val="18"/>
              </w:rPr>
              <w:t>45</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35,282</w:t>
            </w:r>
          </w:p>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,708.1</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30"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47,223</w:t>
            </w:r>
          </w:p>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,013.8</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4</w:t>
            </w:r>
            <w:r>
              <w:rPr>
                <w:rFonts w:ascii="Times New Roman"/>
                <w:sz w:val="18"/>
              </w:rPr>
            </w:r>
          </w:p>
        </w:tc>
        <w:tc>
          <w:tcPr>
            <w:tcW w:w="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88" w:right="0"/>
              <w:jc w:val="center"/>
              <w:rPr>
                <w:rFonts w:ascii="Times New Roman" w:hAnsi="Times New Roman" w:cs="Times New Roman" w:eastAsia="Times New Roman" w:hint="default"/>
                <w:sz w:val="18"/>
                <w:szCs w:val="18"/>
              </w:rPr>
            </w:pPr>
            <w:r>
              <w:rPr>
                <w:rFonts w:ascii="Times New Roman"/>
                <w:sz w:val="18"/>
              </w:rPr>
              <w:t>165,</w:t>
            </w:r>
          </w:p>
          <w:p>
            <w:pPr>
              <w:pStyle w:val="TableParagraph"/>
              <w:spacing w:line="240" w:lineRule="auto" w:before="100"/>
              <w:ind w:left="88" w:right="0"/>
              <w:jc w:val="center"/>
              <w:rPr>
                <w:rFonts w:ascii="Times New Roman" w:hAnsi="Times New Roman" w:cs="Times New Roman" w:eastAsia="Times New Roman" w:hint="default"/>
                <w:sz w:val="18"/>
                <w:szCs w:val="18"/>
              </w:rPr>
            </w:pPr>
            <w:r>
              <w:rPr>
                <w:rFonts w:ascii="Times New Roman"/>
                <w:sz w:val="18"/>
              </w:rPr>
              <w:t>138,</w:t>
            </w:r>
          </w:p>
          <w:p>
            <w:pPr>
              <w:pStyle w:val="TableParagraph"/>
              <w:spacing w:line="240" w:lineRule="auto" w:before="105"/>
              <w:ind w:left="88" w:right="0"/>
              <w:jc w:val="center"/>
              <w:rPr>
                <w:rFonts w:ascii="Times New Roman" w:hAnsi="Times New Roman" w:cs="Times New Roman" w:eastAsia="Times New Roman" w:hint="default"/>
                <w:sz w:val="18"/>
                <w:szCs w:val="18"/>
              </w:rPr>
            </w:pPr>
            <w:r>
              <w:rPr>
                <w:rFonts w:ascii="Times New Roman"/>
                <w:sz w:val="18"/>
              </w:rPr>
              <w:t>774.</w:t>
            </w:r>
          </w:p>
          <w:p>
            <w:pPr>
              <w:pStyle w:val="TableParagraph"/>
              <w:spacing w:line="240" w:lineRule="auto" w:before="110"/>
              <w:ind w:left="230" w:right="0"/>
              <w:jc w:val="center"/>
              <w:rPr>
                <w:rFonts w:ascii="Times New Roman" w:hAnsi="Times New Roman" w:cs="Times New Roman" w:eastAsia="Times New Roman" w:hint="default"/>
                <w:sz w:val="18"/>
                <w:szCs w:val="18"/>
              </w:rPr>
            </w:pPr>
            <w:r>
              <w:rPr>
                <w:rFonts w:ascii="Times New Roman"/>
                <w:sz w:val="18"/>
              </w:rPr>
              <w:t>50</w:t>
            </w:r>
          </w:p>
        </w:tc>
        <w:tc>
          <w:tcPr>
            <w:tcW w:w="711"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124" w:right="0"/>
              <w:jc w:val="left"/>
              <w:rPr>
                <w:rFonts w:ascii="Times New Roman" w:hAnsi="Times New Roman" w:cs="Times New Roman" w:eastAsia="Times New Roman" w:hint="default"/>
                <w:sz w:val="18"/>
                <w:szCs w:val="18"/>
              </w:rPr>
            </w:pPr>
            <w:r>
              <w:rPr>
                <w:rFonts w:ascii="Times New Roman"/>
                <w:sz w:val="18"/>
              </w:rPr>
              <w:t>1,002,84</w:t>
            </w:r>
          </w:p>
          <w:p>
            <w:pPr>
              <w:pStyle w:val="TableParagraph"/>
              <w:spacing w:line="240" w:lineRule="auto" w:before="105"/>
              <w:ind w:left="124" w:right="0"/>
              <w:jc w:val="left"/>
              <w:rPr>
                <w:rFonts w:ascii="Times New Roman" w:hAnsi="Times New Roman" w:cs="Times New Roman" w:eastAsia="Times New Roman" w:hint="default"/>
                <w:sz w:val="18"/>
                <w:szCs w:val="18"/>
              </w:rPr>
            </w:pPr>
            <w:r>
              <w:rPr>
                <w:rFonts w:ascii="Times New Roman"/>
                <w:sz w:val="18"/>
              </w:rPr>
              <w:t>0,108.69</w:t>
            </w:r>
          </w:p>
        </w:tc>
      </w:tr>
      <w:tr>
        <w:trPr>
          <w:trHeight w:val="715"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05" w:right="104" w:firstLine="360"/>
              <w:jc w:val="left"/>
              <w:rPr>
                <w:rFonts w:ascii="宋体" w:hAnsi="宋体" w:cs="宋体" w:eastAsia="宋体" w:hint="default"/>
                <w:sz w:val="18"/>
                <w:szCs w:val="18"/>
              </w:rPr>
            </w:pPr>
            <w:r>
              <w:rPr>
                <w:rFonts w:ascii="宋体" w:hAnsi="宋体" w:cs="宋体" w:eastAsia="宋体" w:hint="default"/>
                <w:sz w:val="18"/>
                <w:szCs w:val="18"/>
              </w:rPr>
              <w:t>加：会计</w:t>
            </w:r>
            <w:r>
              <w:rPr>
                <w:rFonts w:ascii="宋体" w:hAnsi="宋体" w:cs="宋体" w:eastAsia="宋体" w:hint="default"/>
                <w:w w:val="101"/>
                <w:sz w:val="18"/>
                <w:szCs w:val="18"/>
              </w:rPr>
              <w:t> </w:t>
            </w:r>
            <w:r>
              <w:rPr>
                <w:rFonts w:ascii="宋体" w:hAnsi="宋体" w:cs="宋体" w:eastAsia="宋体" w:hint="default"/>
                <w:sz w:val="18"/>
                <w:szCs w:val="18"/>
              </w:rPr>
              <w:t>政策变更</w:t>
            </w:r>
          </w:p>
        </w:tc>
        <w:tc>
          <w:tcPr>
            <w:tcW w:w="629"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614"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4"/>
              <w:ind w:left="105" w:right="103" w:firstLine="720"/>
              <w:jc w:val="left"/>
              <w:rPr>
                <w:rFonts w:ascii="宋体" w:hAnsi="宋体" w:cs="宋体" w:eastAsia="宋体" w:hint="default"/>
                <w:sz w:val="18"/>
                <w:szCs w:val="18"/>
              </w:rPr>
            </w:pPr>
            <w:r>
              <w:rPr>
                <w:rFonts w:ascii="宋体" w:hAnsi="宋体" w:cs="宋体" w:eastAsia="宋体" w:hint="default"/>
                <w:sz w:val="18"/>
                <w:szCs w:val="18"/>
              </w:rPr>
              <w:t>前期</w:t>
            </w:r>
            <w:r>
              <w:rPr>
                <w:rFonts w:ascii="宋体" w:hAnsi="宋体" w:cs="宋体" w:eastAsia="宋体" w:hint="default"/>
                <w:w w:val="101"/>
                <w:sz w:val="18"/>
                <w:szCs w:val="18"/>
              </w:rPr>
              <w:t> </w:t>
            </w:r>
            <w:r>
              <w:rPr>
                <w:rFonts w:ascii="宋体" w:hAnsi="宋体" w:cs="宋体" w:eastAsia="宋体" w:hint="default"/>
                <w:sz w:val="18"/>
                <w:szCs w:val="18"/>
              </w:rPr>
              <w:t>差错更正</w:t>
            </w:r>
          </w:p>
        </w:tc>
        <w:tc>
          <w:tcPr>
            <w:tcW w:w="629"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614"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826"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29"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614"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r>
      <w:tr>
        <w:trPr>
          <w:trHeight w:val="1335"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30"/>
              <w:ind w:left="105" w:right="104"/>
              <w:jc w:val="left"/>
              <w:rPr>
                <w:rFonts w:ascii="宋体" w:hAnsi="宋体" w:cs="宋体" w:eastAsia="宋体" w:hint="default"/>
                <w:sz w:val="18"/>
                <w:szCs w:val="18"/>
              </w:rPr>
            </w:pPr>
            <w:r>
              <w:rPr>
                <w:rFonts w:ascii="宋体" w:hAnsi="宋体" w:cs="宋体" w:eastAsia="宋体" w:hint="default"/>
                <w:spacing w:val="-2"/>
                <w:sz w:val="18"/>
                <w:szCs w:val="18"/>
              </w:rPr>
              <w:t>二、本年期初</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余额</w:t>
            </w:r>
          </w:p>
        </w:tc>
        <w:tc>
          <w:tcPr>
            <w:tcW w:w="6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15" w:right="0"/>
              <w:jc w:val="left"/>
              <w:rPr>
                <w:rFonts w:ascii="Times New Roman" w:hAnsi="Times New Roman" w:cs="Times New Roman" w:eastAsia="Times New Roman" w:hint="default"/>
                <w:sz w:val="18"/>
                <w:szCs w:val="18"/>
              </w:rPr>
            </w:pPr>
            <w:r>
              <w:rPr>
                <w:rFonts w:ascii="Times New Roman"/>
                <w:sz w:val="18"/>
              </w:rPr>
              <w:t>619,2</w:t>
            </w:r>
          </w:p>
          <w:p>
            <w:pPr>
              <w:pStyle w:val="TableParagraph"/>
              <w:spacing w:line="240" w:lineRule="auto" w:before="101"/>
              <w:ind w:left="115" w:right="0"/>
              <w:jc w:val="left"/>
              <w:rPr>
                <w:rFonts w:ascii="Times New Roman" w:hAnsi="Times New Roman" w:cs="Times New Roman" w:eastAsia="Times New Roman" w:hint="default"/>
                <w:sz w:val="18"/>
                <w:szCs w:val="18"/>
              </w:rPr>
            </w:pPr>
            <w:r>
              <w:rPr>
                <w:rFonts w:ascii="Times New Roman"/>
                <w:sz w:val="18"/>
              </w:rPr>
              <w:t>14,83</w:t>
            </w:r>
          </w:p>
          <w:p>
            <w:pPr>
              <w:pStyle w:val="TableParagraph"/>
              <w:spacing w:line="240" w:lineRule="auto" w:before="110"/>
              <w:ind w:left="201" w:right="0"/>
              <w:jc w:val="left"/>
              <w:rPr>
                <w:rFonts w:ascii="Times New Roman" w:hAnsi="Times New Roman" w:cs="Times New Roman" w:eastAsia="Times New Roman" w:hint="default"/>
                <w:sz w:val="18"/>
                <w:szCs w:val="18"/>
              </w:rPr>
            </w:pPr>
            <w:r>
              <w:rPr>
                <w:rFonts w:ascii="Times New Roman"/>
                <w:sz w:val="18"/>
              </w:rPr>
              <w:t>4.00</w:t>
            </w: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15" w:right="0"/>
              <w:jc w:val="left"/>
              <w:rPr>
                <w:rFonts w:ascii="Times New Roman" w:hAnsi="Times New Roman" w:cs="Times New Roman" w:eastAsia="Times New Roman" w:hint="default"/>
                <w:sz w:val="18"/>
                <w:szCs w:val="18"/>
              </w:rPr>
            </w:pPr>
            <w:r>
              <w:rPr>
                <w:rFonts w:ascii="Times New Roman"/>
                <w:sz w:val="18"/>
              </w:rPr>
              <w:t>206,54</w:t>
            </w:r>
          </w:p>
          <w:p>
            <w:pPr>
              <w:pStyle w:val="TableParagraph"/>
              <w:spacing w:line="240" w:lineRule="auto" w:before="101"/>
              <w:ind w:left="158" w:right="0"/>
              <w:jc w:val="left"/>
              <w:rPr>
                <w:rFonts w:ascii="Times New Roman" w:hAnsi="Times New Roman" w:cs="Times New Roman" w:eastAsia="Times New Roman" w:hint="default"/>
                <w:sz w:val="18"/>
                <w:szCs w:val="18"/>
              </w:rPr>
            </w:pPr>
            <w:r>
              <w:rPr>
                <w:rFonts w:ascii="Times New Roman"/>
                <w:sz w:val="18"/>
              </w:rPr>
              <w:t>6,194.</w:t>
            </w:r>
          </w:p>
          <w:p>
            <w:pPr>
              <w:pStyle w:val="TableParagraph"/>
              <w:spacing w:line="240" w:lineRule="auto" w:before="110"/>
              <w:ind w:left="431" w:right="0"/>
              <w:jc w:val="left"/>
              <w:rPr>
                <w:rFonts w:ascii="Times New Roman" w:hAnsi="Times New Roman" w:cs="Times New Roman" w:eastAsia="Times New Roman" w:hint="default"/>
                <w:sz w:val="18"/>
                <w:szCs w:val="18"/>
              </w:rPr>
            </w:pPr>
            <w:r>
              <w:rPr>
                <w:rFonts w:ascii="Times New Roman"/>
                <w:sz w:val="18"/>
              </w:rPr>
              <w:t>45</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35,282</w:t>
            </w:r>
          </w:p>
          <w:p>
            <w:pPr>
              <w:pStyle w:val="TableParagraph"/>
              <w:spacing w:line="240" w:lineRule="auto" w:before="101"/>
              <w:ind w:right="94"/>
              <w:jc w:val="right"/>
              <w:rPr>
                <w:rFonts w:ascii="Times New Roman" w:hAnsi="Times New Roman" w:cs="Times New Roman" w:eastAsia="Times New Roman" w:hint="default"/>
                <w:sz w:val="18"/>
                <w:szCs w:val="18"/>
              </w:rPr>
            </w:pPr>
            <w:r>
              <w:rPr>
                <w:rFonts w:ascii="Times New Roman"/>
                <w:spacing w:val="-1"/>
                <w:sz w:val="18"/>
              </w:rPr>
              <w:t>,708.1</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30"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47,223</w:t>
            </w:r>
          </w:p>
          <w:p>
            <w:pPr>
              <w:pStyle w:val="TableParagraph"/>
              <w:spacing w:line="240" w:lineRule="auto" w:before="101"/>
              <w:ind w:right="94"/>
              <w:jc w:val="right"/>
              <w:rPr>
                <w:rFonts w:ascii="Times New Roman" w:hAnsi="Times New Roman" w:cs="Times New Roman" w:eastAsia="Times New Roman" w:hint="default"/>
                <w:sz w:val="18"/>
                <w:szCs w:val="18"/>
              </w:rPr>
            </w:pPr>
            <w:r>
              <w:rPr>
                <w:rFonts w:ascii="Times New Roman"/>
                <w:spacing w:val="-1"/>
                <w:sz w:val="18"/>
              </w:rPr>
              <w:t>,013.8</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4</w:t>
            </w:r>
            <w:r>
              <w:rPr>
                <w:rFonts w:ascii="Times New Roman"/>
                <w:sz w:val="18"/>
              </w:rPr>
            </w:r>
          </w:p>
        </w:tc>
        <w:tc>
          <w:tcPr>
            <w:tcW w:w="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88" w:right="0"/>
              <w:jc w:val="center"/>
              <w:rPr>
                <w:rFonts w:ascii="Times New Roman" w:hAnsi="Times New Roman" w:cs="Times New Roman" w:eastAsia="Times New Roman" w:hint="default"/>
                <w:sz w:val="18"/>
                <w:szCs w:val="18"/>
              </w:rPr>
            </w:pPr>
            <w:r>
              <w:rPr>
                <w:rFonts w:ascii="Times New Roman"/>
                <w:sz w:val="18"/>
              </w:rPr>
              <w:t>165,</w:t>
            </w:r>
          </w:p>
          <w:p>
            <w:pPr>
              <w:pStyle w:val="TableParagraph"/>
              <w:spacing w:line="240" w:lineRule="auto" w:before="100"/>
              <w:ind w:left="88" w:right="0"/>
              <w:jc w:val="center"/>
              <w:rPr>
                <w:rFonts w:ascii="Times New Roman" w:hAnsi="Times New Roman" w:cs="Times New Roman" w:eastAsia="Times New Roman" w:hint="default"/>
                <w:sz w:val="18"/>
                <w:szCs w:val="18"/>
              </w:rPr>
            </w:pPr>
            <w:r>
              <w:rPr>
                <w:rFonts w:ascii="Times New Roman"/>
                <w:sz w:val="18"/>
              </w:rPr>
              <w:t>138,</w:t>
            </w:r>
          </w:p>
          <w:p>
            <w:pPr>
              <w:pStyle w:val="TableParagraph"/>
              <w:spacing w:line="240" w:lineRule="auto" w:before="105"/>
              <w:ind w:left="88" w:right="0"/>
              <w:jc w:val="center"/>
              <w:rPr>
                <w:rFonts w:ascii="Times New Roman" w:hAnsi="Times New Roman" w:cs="Times New Roman" w:eastAsia="Times New Roman" w:hint="default"/>
                <w:sz w:val="18"/>
                <w:szCs w:val="18"/>
              </w:rPr>
            </w:pPr>
            <w:r>
              <w:rPr>
                <w:rFonts w:ascii="Times New Roman"/>
                <w:sz w:val="18"/>
              </w:rPr>
              <w:t>774.</w:t>
            </w:r>
          </w:p>
          <w:p>
            <w:pPr>
              <w:pStyle w:val="TableParagraph"/>
              <w:spacing w:line="240" w:lineRule="auto" w:before="110"/>
              <w:ind w:left="230" w:right="0"/>
              <w:jc w:val="center"/>
              <w:rPr>
                <w:rFonts w:ascii="Times New Roman" w:hAnsi="Times New Roman" w:cs="Times New Roman" w:eastAsia="Times New Roman" w:hint="default"/>
                <w:sz w:val="18"/>
                <w:szCs w:val="18"/>
              </w:rPr>
            </w:pPr>
            <w:r>
              <w:rPr>
                <w:rFonts w:ascii="Times New Roman"/>
                <w:sz w:val="18"/>
              </w:rPr>
              <w:t>50</w:t>
            </w:r>
          </w:p>
        </w:tc>
        <w:tc>
          <w:tcPr>
            <w:tcW w:w="711"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124" w:right="0"/>
              <w:jc w:val="left"/>
              <w:rPr>
                <w:rFonts w:ascii="Times New Roman" w:hAnsi="Times New Roman" w:cs="Times New Roman" w:eastAsia="Times New Roman" w:hint="default"/>
                <w:sz w:val="18"/>
                <w:szCs w:val="18"/>
              </w:rPr>
            </w:pPr>
            <w:r>
              <w:rPr>
                <w:rFonts w:ascii="Times New Roman"/>
                <w:sz w:val="18"/>
              </w:rPr>
              <w:t>1,002,84</w:t>
            </w:r>
          </w:p>
          <w:p>
            <w:pPr>
              <w:pStyle w:val="TableParagraph"/>
              <w:spacing w:line="240" w:lineRule="auto" w:before="105"/>
              <w:ind w:left="124" w:right="0"/>
              <w:jc w:val="left"/>
              <w:rPr>
                <w:rFonts w:ascii="Times New Roman" w:hAnsi="Times New Roman" w:cs="Times New Roman" w:eastAsia="Times New Roman" w:hint="default"/>
                <w:sz w:val="18"/>
                <w:szCs w:val="18"/>
              </w:rPr>
            </w:pPr>
            <w:r>
              <w:rPr>
                <w:rFonts w:ascii="Times New Roman"/>
                <w:sz w:val="18"/>
              </w:rPr>
              <w:t>0,108.69</w:t>
            </w:r>
          </w:p>
        </w:tc>
      </w:tr>
      <w:tr>
        <w:trPr>
          <w:trHeight w:val="1340"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105" w:right="104"/>
              <w:jc w:val="both"/>
              <w:rPr>
                <w:rFonts w:ascii="宋体" w:hAnsi="宋体" w:cs="宋体" w:eastAsia="宋体" w:hint="default"/>
                <w:sz w:val="18"/>
                <w:szCs w:val="18"/>
              </w:rPr>
            </w:pPr>
            <w:r>
              <w:rPr>
                <w:rFonts w:ascii="宋体" w:hAnsi="宋体" w:cs="宋体" w:eastAsia="宋体" w:hint="default"/>
                <w:spacing w:val="-2"/>
                <w:sz w:val="18"/>
                <w:szCs w:val="18"/>
              </w:rPr>
              <w:t>三、本期增减</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变动金额（减</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少以“－”号</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填列）</w:t>
            </w:r>
          </w:p>
        </w:tc>
        <w:tc>
          <w:tcPr>
            <w:tcW w:w="6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115" w:right="0"/>
              <w:jc w:val="left"/>
              <w:rPr>
                <w:rFonts w:ascii="Times New Roman" w:hAnsi="Times New Roman" w:cs="Times New Roman" w:eastAsia="Times New Roman" w:hint="default"/>
                <w:sz w:val="18"/>
                <w:szCs w:val="18"/>
              </w:rPr>
            </w:pPr>
            <w:r>
              <w:rPr>
                <w:rFonts w:ascii="Times New Roman"/>
                <w:sz w:val="18"/>
              </w:rPr>
              <w:t>822,2</w:t>
            </w:r>
          </w:p>
          <w:p>
            <w:pPr>
              <w:pStyle w:val="TableParagraph"/>
              <w:spacing w:line="240" w:lineRule="auto" w:before="110"/>
              <w:ind w:left="115" w:right="0"/>
              <w:jc w:val="left"/>
              <w:rPr>
                <w:rFonts w:ascii="Times New Roman" w:hAnsi="Times New Roman" w:cs="Times New Roman" w:eastAsia="Times New Roman" w:hint="default"/>
                <w:sz w:val="18"/>
                <w:szCs w:val="18"/>
              </w:rPr>
            </w:pPr>
            <w:r>
              <w:rPr>
                <w:rFonts w:ascii="Times New Roman"/>
                <w:sz w:val="18"/>
              </w:rPr>
              <w:t>50.00</w:t>
            </w: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158" w:right="0"/>
              <w:jc w:val="left"/>
              <w:rPr>
                <w:rFonts w:ascii="Times New Roman" w:hAnsi="Times New Roman" w:cs="Times New Roman" w:eastAsia="Times New Roman" w:hint="default"/>
                <w:sz w:val="18"/>
                <w:szCs w:val="18"/>
              </w:rPr>
            </w:pPr>
            <w:r>
              <w:rPr>
                <w:rFonts w:ascii="Times New Roman"/>
                <w:sz w:val="18"/>
              </w:rPr>
              <w:t>3,710,</w:t>
            </w:r>
          </w:p>
          <w:p>
            <w:pPr>
              <w:pStyle w:val="TableParagraph"/>
              <w:spacing w:line="240" w:lineRule="auto" w:before="110"/>
              <w:ind w:left="115" w:right="0"/>
              <w:jc w:val="left"/>
              <w:rPr>
                <w:rFonts w:ascii="Times New Roman" w:hAnsi="Times New Roman" w:cs="Times New Roman" w:eastAsia="Times New Roman" w:hint="default"/>
                <w:sz w:val="18"/>
                <w:szCs w:val="18"/>
              </w:rPr>
            </w:pPr>
            <w:r>
              <w:rPr>
                <w:rFonts w:ascii="Times New Roman"/>
                <w:sz w:val="18"/>
              </w:rPr>
              <w:t>602.94</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30,058</w:t>
            </w:r>
          </w:p>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,790.1</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3</w:t>
            </w:r>
            <w:r>
              <w:rPr>
                <w:rFonts w:ascii="Times New Roman"/>
                <w:sz w:val="18"/>
              </w:rPr>
            </w:r>
          </w:p>
        </w:tc>
        <w:tc>
          <w:tcPr>
            <w:tcW w:w="730"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16,912</w:t>
            </w:r>
          </w:p>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,139.7</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4</w:t>
            </w:r>
            <w:r>
              <w:rPr>
                <w:rFonts w:ascii="Times New Roman"/>
                <w:sz w:val="18"/>
              </w:rPr>
            </w:r>
          </w:p>
        </w:tc>
        <w:tc>
          <w:tcPr>
            <w:tcW w:w="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87" w:right="0"/>
              <w:jc w:val="left"/>
              <w:rPr>
                <w:rFonts w:ascii="Times New Roman" w:hAnsi="Times New Roman" w:cs="Times New Roman" w:eastAsia="Times New Roman" w:hint="default"/>
                <w:sz w:val="18"/>
                <w:szCs w:val="18"/>
              </w:rPr>
            </w:pPr>
            <w:r>
              <w:rPr>
                <w:rFonts w:ascii="Times New Roman"/>
                <w:sz w:val="18"/>
              </w:rPr>
              <w:t>90,7</w:t>
            </w:r>
          </w:p>
          <w:p>
            <w:pPr>
              <w:pStyle w:val="TableParagraph"/>
              <w:spacing w:line="240" w:lineRule="auto" w:before="105"/>
              <w:ind w:left="187" w:right="0"/>
              <w:jc w:val="left"/>
              <w:rPr>
                <w:rFonts w:ascii="Times New Roman" w:hAnsi="Times New Roman" w:cs="Times New Roman" w:eastAsia="Times New Roman" w:hint="default"/>
                <w:sz w:val="18"/>
                <w:szCs w:val="18"/>
              </w:rPr>
            </w:pPr>
            <w:r>
              <w:rPr>
                <w:rFonts w:ascii="Times New Roman"/>
                <w:sz w:val="18"/>
              </w:rPr>
              <w:t>15,2</w:t>
            </w:r>
          </w:p>
          <w:p>
            <w:pPr>
              <w:pStyle w:val="TableParagraph"/>
              <w:spacing w:line="240" w:lineRule="auto" w:before="105"/>
              <w:ind w:left="187" w:right="0"/>
              <w:jc w:val="left"/>
              <w:rPr>
                <w:rFonts w:ascii="Times New Roman" w:hAnsi="Times New Roman" w:cs="Times New Roman" w:eastAsia="Times New Roman" w:hint="default"/>
                <w:sz w:val="18"/>
                <w:szCs w:val="18"/>
              </w:rPr>
            </w:pPr>
            <w:r>
              <w:rPr>
                <w:rFonts w:ascii="Times New Roman"/>
                <w:sz w:val="18"/>
              </w:rPr>
              <w:t>14.4</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7</w:t>
            </w:r>
            <w:r>
              <w:rPr>
                <w:rFonts w:ascii="Times New Roman"/>
                <w:sz w:val="18"/>
              </w:rPr>
            </w:r>
          </w:p>
        </w:tc>
        <w:tc>
          <w:tcPr>
            <w:tcW w:w="711"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124" w:right="0"/>
              <w:jc w:val="left"/>
              <w:rPr>
                <w:rFonts w:ascii="Times New Roman" w:hAnsi="Times New Roman" w:cs="Times New Roman" w:eastAsia="Times New Roman" w:hint="default"/>
                <w:sz w:val="18"/>
                <w:szCs w:val="18"/>
              </w:rPr>
            </w:pPr>
            <w:r>
              <w:rPr>
                <w:rFonts w:ascii="Times New Roman"/>
                <w:sz w:val="18"/>
              </w:rPr>
              <w:t>82,101,4</w:t>
            </w:r>
          </w:p>
          <w:p>
            <w:pPr>
              <w:pStyle w:val="TableParagraph"/>
              <w:spacing w:line="240" w:lineRule="auto" w:before="110"/>
              <w:ind w:left="350" w:right="0"/>
              <w:jc w:val="left"/>
              <w:rPr>
                <w:rFonts w:ascii="Times New Roman" w:hAnsi="Times New Roman" w:cs="Times New Roman" w:eastAsia="Times New Roman" w:hint="default"/>
                <w:sz w:val="18"/>
                <w:szCs w:val="18"/>
              </w:rPr>
            </w:pPr>
            <w:r>
              <w:rPr>
                <w:rFonts w:ascii="Times New Roman"/>
                <w:sz w:val="18"/>
              </w:rPr>
              <w:t>17.02</w:t>
            </w:r>
          </w:p>
        </w:tc>
      </w:tr>
      <w:tr>
        <w:trPr>
          <w:trHeight w:val="1339"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30"/>
              <w:ind w:left="105" w:right="104"/>
              <w:jc w:val="left"/>
              <w:rPr>
                <w:rFonts w:ascii="宋体" w:hAnsi="宋体" w:cs="宋体" w:eastAsia="宋体" w:hint="default"/>
                <w:sz w:val="18"/>
                <w:szCs w:val="18"/>
              </w:rPr>
            </w:pPr>
            <w:r>
              <w:rPr>
                <w:rFonts w:ascii="宋体" w:hAnsi="宋体" w:cs="宋体" w:eastAsia="宋体" w:hint="default"/>
                <w:spacing w:val="-2"/>
                <w:sz w:val="18"/>
                <w:szCs w:val="18"/>
              </w:rPr>
              <w:t>（一）综合收</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益总额</w:t>
            </w:r>
          </w:p>
        </w:tc>
        <w:tc>
          <w:tcPr>
            <w:tcW w:w="629"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88" w:right="0"/>
              <w:jc w:val="center"/>
              <w:rPr>
                <w:rFonts w:ascii="Times New Roman" w:hAnsi="Times New Roman" w:cs="Times New Roman" w:eastAsia="Times New Roman" w:hint="default"/>
                <w:sz w:val="18"/>
                <w:szCs w:val="18"/>
              </w:rPr>
            </w:pPr>
            <w:r>
              <w:rPr>
                <w:rFonts w:ascii="Times New Roman"/>
                <w:sz w:val="18"/>
              </w:rPr>
              <w:t>169,</w:t>
            </w:r>
          </w:p>
          <w:p>
            <w:pPr>
              <w:pStyle w:val="TableParagraph"/>
              <w:spacing w:line="240" w:lineRule="auto" w:before="100"/>
              <w:ind w:left="88" w:right="0"/>
              <w:jc w:val="center"/>
              <w:rPr>
                <w:rFonts w:ascii="Times New Roman" w:hAnsi="Times New Roman" w:cs="Times New Roman" w:eastAsia="Times New Roman" w:hint="default"/>
                <w:sz w:val="18"/>
                <w:szCs w:val="18"/>
              </w:rPr>
            </w:pPr>
            <w:r>
              <w:rPr>
                <w:rFonts w:ascii="Times New Roman"/>
                <w:sz w:val="18"/>
              </w:rPr>
              <w:t>121,</w:t>
            </w:r>
          </w:p>
          <w:p>
            <w:pPr>
              <w:pStyle w:val="TableParagraph"/>
              <w:spacing w:line="240" w:lineRule="auto" w:before="105"/>
              <w:ind w:left="88" w:right="0"/>
              <w:jc w:val="center"/>
              <w:rPr>
                <w:rFonts w:ascii="Times New Roman" w:hAnsi="Times New Roman" w:cs="Times New Roman" w:eastAsia="Times New Roman" w:hint="default"/>
                <w:sz w:val="18"/>
                <w:szCs w:val="18"/>
              </w:rPr>
            </w:pPr>
            <w:r>
              <w:rPr>
                <w:rFonts w:ascii="Times New Roman"/>
                <w:sz w:val="18"/>
              </w:rPr>
              <w:t>397.</w:t>
            </w:r>
          </w:p>
          <w:p>
            <w:pPr>
              <w:pStyle w:val="TableParagraph"/>
              <w:spacing w:line="240" w:lineRule="auto" w:before="110"/>
              <w:ind w:left="230" w:right="0"/>
              <w:jc w:val="center"/>
              <w:rPr>
                <w:rFonts w:ascii="Times New Roman" w:hAnsi="Times New Roman" w:cs="Times New Roman" w:eastAsia="Times New Roman" w:hint="default"/>
                <w:sz w:val="18"/>
                <w:szCs w:val="18"/>
              </w:rPr>
            </w:pPr>
            <w:r>
              <w:rPr>
                <w:rFonts w:ascii="Times New Roman"/>
                <w:sz w:val="18"/>
              </w:rPr>
              <w:t>41</w:t>
            </w:r>
          </w:p>
        </w:tc>
        <w:tc>
          <w:tcPr>
            <w:tcW w:w="711"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26" w:right="0"/>
              <w:jc w:val="center"/>
              <w:rPr>
                <w:rFonts w:ascii="Times New Roman" w:hAnsi="Times New Roman" w:cs="Times New Roman" w:eastAsia="Times New Roman" w:hint="default"/>
                <w:sz w:val="18"/>
                <w:szCs w:val="18"/>
              </w:rPr>
            </w:pPr>
            <w:r>
              <w:rPr>
                <w:rFonts w:ascii="Times New Roman"/>
                <w:sz w:val="18"/>
              </w:rPr>
              <w:t>169,121,</w:t>
            </w:r>
          </w:p>
          <w:p>
            <w:pPr>
              <w:pStyle w:val="TableParagraph"/>
              <w:spacing w:line="240" w:lineRule="auto" w:before="105"/>
              <w:ind w:left="163" w:right="0"/>
              <w:jc w:val="center"/>
              <w:rPr>
                <w:rFonts w:ascii="Times New Roman" w:hAnsi="Times New Roman" w:cs="Times New Roman" w:eastAsia="Times New Roman" w:hint="default"/>
                <w:sz w:val="18"/>
                <w:szCs w:val="18"/>
              </w:rPr>
            </w:pPr>
            <w:r>
              <w:rPr>
                <w:rFonts w:ascii="Times New Roman"/>
                <w:sz w:val="18"/>
              </w:rPr>
              <w:t>397.41</w:t>
            </w:r>
          </w:p>
        </w:tc>
      </w:tr>
      <w:tr>
        <w:trPr>
          <w:trHeight w:val="1028"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4"/>
              <w:ind w:left="105" w:right="104"/>
              <w:jc w:val="both"/>
              <w:rPr>
                <w:rFonts w:ascii="宋体" w:hAnsi="宋体" w:cs="宋体" w:eastAsia="宋体" w:hint="default"/>
                <w:sz w:val="18"/>
                <w:szCs w:val="18"/>
              </w:rPr>
            </w:pPr>
            <w:r>
              <w:rPr>
                <w:rFonts w:ascii="宋体" w:hAnsi="宋体" w:cs="宋体" w:eastAsia="宋体" w:hint="default"/>
                <w:spacing w:val="-2"/>
                <w:sz w:val="18"/>
                <w:szCs w:val="18"/>
              </w:rPr>
              <w:t>（二）所有者</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投入和减少资</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本</w:t>
            </w:r>
          </w:p>
        </w:tc>
        <w:tc>
          <w:tcPr>
            <w:tcW w:w="6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115" w:right="0"/>
              <w:jc w:val="left"/>
              <w:rPr>
                <w:rFonts w:ascii="Times New Roman" w:hAnsi="Times New Roman" w:cs="Times New Roman" w:eastAsia="Times New Roman" w:hint="default"/>
                <w:sz w:val="18"/>
                <w:szCs w:val="18"/>
              </w:rPr>
            </w:pPr>
            <w:r>
              <w:rPr>
                <w:rFonts w:ascii="Times New Roman"/>
                <w:sz w:val="18"/>
              </w:rPr>
              <w:t>822,2</w:t>
            </w:r>
          </w:p>
          <w:p>
            <w:pPr>
              <w:pStyle w:val="TableParagraph"/>
              <w:spacing w:line="240" w:lineRule="auto" w:before="109"/>
              <w:ind w:left="115" w:right="0"/>
              <w:jc w:val="left"/>
              <w:rPr>
                <w:rFonts w:ascii="Times New Roman" w:hAnsi="Times New Roman" w:cs="Times New Roman" w:eastAsia="Times New Roman" w:hint="default"/>
                <w:sz w:val="18"/>
                <w:szCs w:val="18"/>
              </w:rPr>
            </w:pPr>
            <w:r>
              <w:rPr>
                <w:rFonts w:ascii="Times New Roman"/>
                <w:sz w:val="18"/>
              </w:rPr>
              <w:t>50.00</w:t>
            </w: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158" w:right="0"/>
              <w:jc w:val="left"/>
              <w:rPr>
                <w:rFonts w:ascii="Times New Roman" w:hAnsi="Times New Roman" w:cs="Times New Roman" w:eastAsia="Times New Roman" w:hint="default"/>
                <w:sz w:val="18"/>
                <w:szCs w:val="18"/>
              </w:rPr>
            </w:pPr>
            <w:r>
              <w:rPr>
                <w:rFonts w:ascii="Times New Roman"/>
                <w:sz w:val="18"/>
              </w:rPr>
              <w:t>3,710,</w:t>
            </w:r>
          </w:p>
          <w:p>
            <w:pPr>
              <w:pStyle w:val="TableParagraph"/>
              <w:spacing w:line="240" w:lineRule="auto" w:before="109"/>
              <w:ind w:left="115" w:right="0"/>
              <w:jc w:val="left"/>
              <w:rPr>
                <w:rFonts w:ascii="Times New Roman" w:hAnsi="Times New Roman" w:cs="Times New Roman" w:eastAsia="Times New Roman" w:hint="default"/>
                <w:sz w:val="18"/>
                <w:szCs w:val="18"/>
              </w:rPr>
            </w:pPr>
            <w:r>
              <w:rPr>
                <w:rFonts w:ascii="Times New Roman"/>
                <w:sz w:val="18"/>
              </w:rPr>
              <w:t>602.94</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105" w:right="0"/>
              <w:jc w:val="left"/>
              <w:rPr>
                <w:rFonts w:ascii="Times New Roman" w:hAnsi="Times New Roman" w:cs="Times New Roman" w:eastAsia="Times New Roman" w:hint="default"/>
                <w:sz w:val="18"/>
                <w:szCs w:val="18"/>
              </w:rPr>
            </w:pPr>
            <w:r>
              <w:rPr>
                <w:rFonts w:ascii="Times New Roman"/>
                <w:sz w:val="18"/>
              </w:rPr>
              <w:t>-5,135,</w:t>
            </w:r>
          </w:p>
          <w:p>
            <w:pPr>
              <w:pStyle w:val="TableParagraph"/>
              <w:spacing w:line="240" w:lineRule="auto" w:before="109"/>
              <w:ind w:left="120" w:right="0"/>
              <w:jc w:val="left"/>
              <w:rPr>
                <w:rFonts w:ascii="Times New Roman" w:hAnsi="Times New Roman" w:cs="Times New Roman" w:eastAsia="Times New Roman" w:hint="default"/>
                <w:sz w:val="18"/>
                <w:szCs w:val="18"/>
              </w:rPr>
            </w:pPr>
            <w:r>
              <w:rPr>
                <w:rFonts w:ascii="Times New Roman"/>
                <w:sz w:val="18"/>
              </w:rPr>
              <w:t>280.00</w:t>
            </w:r>
          </w:p>
        </w:tc>
        <w:tc>
          <w:tcPr>
            <w:tcW w:w="730"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614"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124" w:right="0"/>
              <w:jc w:val="left"/>
              <w:rPr>
                <w:rFonts w:ascii="Times New Roman" w:hAnsi="Times New Roman" w:cs="Times New Roman" w:eastAsia="Times New Roman" w:hint="default"/>
                <w:sz w:val="18"/>
                <w:szCs w:val="18"/>
              </w:rPr>
            </w:pPr>
            <w:r>
              <w:rPr>
                <w:rFonts w:ascii="Times New Roman"/>
                <w:sz w:val="18"/>
              </w:rPr>
              <w:t>9,668,13</w:t>
            </w:r>
          </w:p>
          <w:p>
            <w:pPr>
              <w:pStyle w:val="TableParagraph"/>
              <w:spacing w:line="240" w:lineRule="auto" w:before="109"/>
              <w:ind w:left="436" w:right="0"/>
              <w:jc w:val="left"/>
              <w:rPr>
                <w:rFonts w:ascii="Times New Roman" w:hAnsi="Times New Roman" w:cs="Times New Roman" w:eastAsia="Times New Roman" w:hint="default"/>
                <w:sz w:val="18"/>
                <w:szCs w:val="18"/>
              </w:rPr>
            </w:pPr>
            <w:r>
              <w:rPr>
                <w:rFonts w:ascii="Times New Roman"/>
                <w:sz w:val="18"/>
              </w:rPr>
              <w:t>2.94</w:t>
            </w:r>
          </w:p>
        </w:tc>
      </w:tr>
    </w:tbl>
    <w:p>
      <w:pPr>
        <w:spacing w:after="0" w:line="240" w:lineRule="auto"/>
        <w:jc w:val="left"/>
        <w:rPr>
          <w:rFonts w:ascii="Times New Roman" w:hAnsi="Times New Roman" w:cs="Times New Roman" w:eastAsia="Times New Roman" w:hint="default"/>
          <w:sz w:val="18"/>
          <w:szCs w:val="18"/>
        </w:rPr>
        <w:sectPr>
          <w:pgSz w:w="11910" w:h="16840"/>
          <w:pgMar w:header="784" w:footer="1022" w:top="1100" w:bottom="1220" w:left="980" w:right="0"/>
        </w:sectPr>
      </w:pPr>
    </w:p>
    <w:p>
      <w:pPr>
        <w:spacing w:line="240" w:lineRule="auto" w:before="1"/>
        <w:rPr>
          <w:rFonts w:ascii="Times New Roman" w:hAnsi="Times New Roman" w:cs="Times New Roman" w:eastAsia="Times New Roman" w:hint="default"/>
          <w:sz w:val="29"/>
          <w:szCs w:val="29"/>
        </w:rPr>
      </w:pPr>
    </w:p>
    <w:tbl>
      <w:tblPr>
        <w:tblW w:w="0" w:type="auto"/>
        <w:jc w:val="left"/>
        <w:tblInd w:w="148" w:type="dxa"/>
        <w:tblLayout w:type="fixed"/>
        <w:tblCellMar>
          <w:top w:w="0" w:type="dxa"/>
          <w:left w:w="0" w:type="dxa"/>
          <w:bottom w:w="0" w:type="dxa"/>
          <w:right w:w="0" w:type="dxa"/>
        </w:tblCellMar>
        <w:tblLook w:val="01E0"/>
      </w:tblPr>
      <w:tblGrid>
        <w:gridCol w:w="1306"/>
        <w:gridCol w:w="629"/>
        <w:gridCol w:w="605"/>
        <w:gridCol w:w="605"/>
        <w:gridCol w:w="605"/>
        <w:gridCol w:w="725"/>
        <w:gridCol w:w="725"/>
        <w:gridCol w:w="730"/>
        <w:gridCol w:w="725"/>
        <w:gridCol w:w="725"/>
        <w:gridCol w:w="614"/>
        <w:gridCol w:w="711"/>
        <w:gridCol w:w="864"/>
      </w:tblGrid>
      <w:tr>
        <w:trPr>
          <w:trHeight w:val="1027"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300" w:lineRule="auto"/>
              <w:ind w:left="105" w:right="94"/>
              <w:jc w:val="left"/>
              <w:rPr>
                <w:rFonts w:ascii="宋体" w:hAnsi="宋体" w:cs="宋体" w:eastAsia="宋体" w:hint="default"/>
                <w:sz w:val="18"/>
                <w:szCs w:val="18"/>
              </w:rPr>
            </w:pPr>
            <w:r>
              <w:rPr>
                <w:rFonts w:ascii="Times New Roman" w:hAnsi="Times New Roman" w:cs="Times New Roman" w:eastAsia="Times New Roman" w:hint="default"/>
                <w:spacing w:val="-13"/>
                <w:w w:val="101"/>
                <w:sz w:val="18"/>
                <w:szCs w:val="18"/>
              </w:rPr>
              <w:t>1</w:t>
            </w:r>
            <w:r>
              <w:rPr>
                <w:rFonts w:ascii="宋体" w:hAnsi="宋体" w:cs="宋体" w:eastAsia="宋体" w:hint="default"/>
                <w:spacing w:val="-13"/>
                <w:w w:val="101"/>
                <w:sz w:val="18"/>
                <w:szCs w:val="18"/>
              </w:rPr>
              <w:t>．所有者投入</w:t>
            </w:r>
            <w:r>
              <w:rPr>
                <w:rFonts w:ascii="宋体" w:hAnsi="宋体" w:cs="宋体" w:eastAsia="宋体" w:hint="default"/>
                <w:w w:val="101"/>
                <w:sz w:val="18"/>
                <w:szCs w:val="18"/>
              </w:rPr>
              <w:t> </w:t>
            </w:r>
            <w:r>
              <w:rPr>
                <w:rFonts w:ascii="宋体" w:hAnsi="宋体" w:cs="宋体" w:eastAsia="宋体" w:hint="default"/>
                <w:sz w:val="18"/>
                <w:szCs w:val="18"/>
              </w:rPr>
              <w:t>的普通股</w:t>
            </w:r>
          </w:p>
        </w:tc>
        <w:tc>
          <w:tcPr>
            <w:tcW w:w="6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15" w:right="0"/>
              <w:jc w:val="left"/>
              <w:rPr>
                <w:rFonts w:ascii="Times New Roman" w:hAnsi="Times New Roman" w:cs="Times New Roman" w:eastAsia="Times New Roman" w:hint="default"/>
                <w:sz w:val="18"/>
                <w:szCs w:val="18"/>
              </w:rPr>
            </w:pPr>
            <w:r>
              <w:rPr>
                <w:rFonts w:ascii="Times New Roman"/>
                <w:sz w:val="18"/>
              </w:rPr>
              <w:t>1,000</w:t>
            </w:r>
          </w:p>
          <w:p>
            <w:pPr>
              <w:pStyle w:val="TableParagraph"/>
              <w:spacing w:line="240" w:lineRule="auto" w:before="100"/>
              <w:ind w:left="59" w:right="0"/>
              <w:jc w:val="center"/>
              <w:rPr>
                <w:rFonts w:ascii="Times New Roman" w:hAnsi="Times New Roman" w:cs="Times New Roman" w:eastAsia="Times New Roman" w:hint="default"/>
                <w:sz w:val="18"/>
                <w:szCs w:val="18"/>
              </w:rPr>
            </w:pPr>
            <w:r>
              <w:rPr>
                <w:rFonts w:ascii="Times New Roman"/>
                <w:sz w:val="18"/>
              </w:rPr>
              <w:t>,000.</w:t>
            </w:r>
          </w:p>
          <w:p>
            <w:pPr>
              <w:pStyle w:val="TableParagraph"/>
              <w:spacing w:line="240" w:lineRule="auto" w:before="110"/>
              <w:ind w:left="244" w:right="0"/>
              <w:jc w:val="center"/>
              <w:rPr>
                <w:rFonts w:ascii="Times New Roman" w:hAnsi="Times New Roman" w:cs="Times New Roman" w:eastAsia="Times New Roman" w:hint="default"/>
                <w:sz w:val="18"/>
                <w:szCs w:val="18"/>
              </w:rPr>
            </w:pPr>
            <w:r>
              <w:rPr>
                <w:rFonts w:ascii="Times New Roman"/>
                <w:sz w:val="18"/>
              </w:rPr>
              <w:t>00</w:t>
            </w: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158" w:right="0"/>
              <w:jc w:val="left"/>
              <w:rPr>
                <w:rFonts w:ascii="Times New Roman" w:hAnsi="Times New Roman" w:cs="Times New Roman" w:eastAsia="Times New Roman" w:hint="default"/>
                <w:sz w:val="18"/>
                <w:szCs w:val="18"/>
              </w:rPr>
            </w:pPr>
            <w:r>
              <w:rPr>
                <w:rFonts w:ascii="Times New Roman"/>
                <w:sz w:val="18"/>
              </w:rPr>
              <w:t>1,940,</w:t>
            </w:r>
          </w:p>
          <w:p>
            <w:pPr>
              <w:pStyle w:val="TableParagraph"/>
              <w:spacing w:line="240" w:lineRule="auto" w:before="105"/>
              <w:ind w:left="115" w:right="0"/>
              <w:jc w:val="left"/>
              <w:rPr>
                <w:rFonts w:ascii="Times New Roman" w:hAnsi="Times New Roman" w:cs="Times New Roman" w:eastAsia="Times New Roman" w:hint="default"/>
                <w:sz w:val="18"/>
                <w:szCs w:val="18"/>
              </w:rPr>
            </w:pPr>
            <w:r>
              <w:rPr>
                <w:rFonts w:ascii="Times New Roman"/>
                <w:sz w:val="18"/>
              </w:rPr>
              <w:t>000.00</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163" w:right="0"/>
              <w:jc w:val="left"/>
              <w:rPr>
                <w:rFonts w:ascii="Times New Roman" w:hAnsi="Times New Roman" w:cs="Times New Roman" w:eastAsia="Times New Roman" w:hint="default"/>
                <w:sz w:val="18"/>
                <w:szCs w:val="18"/>
              </w:rPr>
            </w:pPr>
            <w:r>
              <w:rPr>
                <w:rFonts w:ascii="Times New Roman"/>
                <w:sz w:val="18"/>
              </w:rPr>
              <w:t>2,940,</w:t>
            </w:r>
          </w:p>
          <w:p>
            <w:pPr>
              <w:pStyle w:val="TableParagraph"/>
              <w:spacing w:line="240" w:lineRule="auto" w:before="105"/>
              <w:ind w:left="120" w:right="0"/>
              <w:jc w:val="left"/>
              <w:rPr>
                <w:rFonts w:ascii="Times New Roman" w:hAnsi="Times New Roman" w:cs="Times New Roman" w:eastAsia="Times New Roman" w:hint="default"/>
                <w:sz w:val="18"/>
                <w:szCs w:val="18"/>
              </w:rPr>
            </w:pPr>
            <w:r>
              <w:rPr>
                <w:rFonts w:ascii="Times New Roman"/>
                <w:sz w:val="18"/>
              </w:rPr>
              <w:t>000.00</w:t>
            </w:r>
          </w:p>
        </w:tc>
        <w:tc>
          <w:tcPr>
            <w:tcW w:w="730"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614"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r>
      <w:tr>
        <w:trPr>
          <w:trHeight w:val="1023"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4"/>
              <w:ind w:left="105" w:right="94"/>
              <w:jc w:val="both"/>
              <w:rPr>
                <w:rFonts w:ascii="宋体" w:hAnsi="宋体" w:cs="宋体" w:eastAsia="宋体" w:hint="default"/>
                <w:sz w:val="18"/>
                <w:szCs w:val="18"/>
              </w:rPr>
            </w:pPr>
            <w:r>
              <w:rPr>
                <w:rFonts w:ascii="Times New Roman" w:hAnsi="Times New Roman" w:cs="Times New Roman" w:eastAsia="Times New Roman" w:hint="default"/>
                <w:spacing w:val="-13"/>
                <w:w w:val="101"/>
                <w:sz w:val="18"/>
                <w:szCs w:val="18"/>
              </w:rPr>
              <w:t>2</w:t>
            </w:r>
            <w:r>
              <w:rPr>
                <w:rFonts w:ascii="宋体" w:hAnsi="宋体" w:cs="宋体" w:eastAsia="宋体" w:hint="default"/>
                <w:spacing w:val="-13"/>
                <w:w w:val="101"/>
                <w:sz w:val="18"/>
                <w:szCs w:val="18"/>
              </w:rPr>
              <w:t>．其他权益工</w:t>
            </w:r>
            <w:r>
              <w:rPr>
                <w:rFonts w:ascii="宋体" w:hAnsi="宋体" w:cs="宋体" w:eastAsia="宋体" w:hint="default"/>
                <w:w w:val="101"/>
                <w:sz w:val="18"/>
                <w:szCs w:val="18"/>
              </w:rPr>
              <w:t> </w:t>
            </w:r>
            <w:r>
              <w:rPr>
                <w:rFonts w:ascii="宋体" w:hAnsi="宋体" w:cs="宋体" w:eastAsia="宋体" w:hint="default"/>
                <w:sz w:val="18"/>
                <w:szCs w:val="18"/>
              </w:rPr>
              <w:t>具持有者投入</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资本</w:t>
            </w:r>
          </w:p>
        </w:tc>
        <w:tc>
          <w:tcPr>
            <w:tcW w:w="629"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614"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r>
      <w:tr>
        <w:trPr>
          <w:trHeight w:val="1028"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8"/>
              <w:ind w:left="105" w:right="94"/>
              <w:jc w:val="both"/>
              <w:rPr>
                <w:rFonts w:ascii="宋体" w:hAnsi="宋体" w:cs="宋体" w:eastAsia="宋体" w:hint="default"/>
                <w:sz w:val="18"/>
                <w:szCs w:val="18"/>
              </w:rPr>
            </w:pPr>
            <w:r>
              <w:rPr>
                <w:rFonts w:ascii="Times New Roman" w:hAnsi="Times New Roman" w:cs="Times New Roman" w:eastAsia="Times New Roman" w:hint="default"/>
                <w:spacing w:val="-13"/>
                <w:w w:val="101"/>
                <w:sz w:val="18"/>
                <w:szCs w:val="18"/>
              </w:rPr>
              <w:t>3</w:t>
            </w:r>
            <w:r>
              <w:rPr>
                <w:rFonts w:ascii="宋体" w:hAnsi="宋体" w:cs="宋体" w:eastAsia="宋体" w:hint="default"/>
                <w:spacing w:val="-13"/>
                <w:w w:val="101"/>
                <w:sz w:val="18"/>
                <w:szCs w:val="18"/>
              </w:rPr>
              <w:t>．股份支付计</w:t>
            </w:r>
            <w:r>
              <w:rPr>
                <w:rFonts w:ascii="宋体" w:hAnsi="宋体" w:cs="宋体" w:eastAsia="宋体" w:hint="default"/>
                <w:w w:val="101"/>
                <w:sz w:val="18"/>
                <w:szCs w:val="18"/>
              </w:rPr>
              <w:t> </w:t>
            </w:r>
            <w:r>
              <w:rPr>
                <w:rFonts w:ascii="宋体" w:hAnsi="宋体" w:cs="宋体" w:eastAsia="宋体" w:hint="default"/>
                <w:sz w:val="18"/>
                <w:szCs w:val="18"/>
              </w:rPr>
              <w:t>入所有者权益</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的金额</w:t>
            </w:r>
          </w:p>
        </w:tc>
        <w:tc>
          <w:tcPr>
            <w:tcW w:w="629"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158" w:right="0"/>
              <w:jc w:val="left"/>
              <w:rPr>
                <w:rFonts w:ascii="Times New Roman" w:hAnsi="Times New Roman" w:cs="Times New Roman" w:eastAsia="Times New Roman" w:hint="default"/>
                <w:sz w:val="18"/>
                <w:szCs w:val="18"/>
              </w:rPr>
            </w:pPr>
            <w:r>
              <w:rPr>
                <w:rFonts w:ascii="Times New Roman"/>
                <w:sz w:val="18"/>
              </w:rPr>
              <w:t>2,268,</w:t>
            </w:r>
          </w:p>
          <w:p>
            <w:pPr>
              <w:pStyle w:val="TableParagraph"/>
              <w:spacing w:line="240" w:lineRule="auto" w:before="105"/>
              <w:ind w:left="115" w:right="0"/>
              <w:jc w:val="left"/>
              <w:rPr>
                <w:rFonts w:ascii="Times New Roman" w:hAnsi="Times New Roman" w:cs="Times New Roman" w:eastAsia="Times New Roman" w:hint="default"/>
                <w:sz w:val="18"/>
                <w:szCs w:val="18"/>
              </w:rPr>
            </w:pPr>
            <w:r>
              <w:rPr>
                <w:rFonts w:ascii="Times New Roman"/>
                <w:sz w:val="18"/>
              </w:rPr>
              <w:t>433.34</w:t>
            </w:r>
          </w:p>
        </w:tc>
        <w:tc>
          <w:tcPr>
            <w:tcW w:w="725"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614"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124" w:right="0"/>
              <w:jc w:val="left"/>
              <w:rPr>
                <w:rFonts w:ascii="Times New Roman" w:hAnsi="Times New Roman" w:cs="Times New Roman" w:eastAsia="Times New Roman" w:hint="default"/>
                <w:sz w:val="18"/>
                <w:szCs w:val="18"/>
              </w:rPr>
            </w:pPr>
            <w:r>
              <w:rPr>
                <w:rFonts w:ascii="Times New Roman"/>
                <w:sz w:val="18"/>
              </w:rPr>
              <w:t>2,268,43</w:t>
            </w:r>
          </w:p>
          <w:p>
            <w:pPr>
              <w:pStyle w:val="TableParagraph"/>
              <w:spacing w:line="240" w:lineRule="auto" w:before="105"/>
              <w:ind w:left="436" w:right="0"/>
              <w:jc w:val="left"/>
              <w:rPr>
                <w:rFonts w:ascii="Times New Roman" w:hAnsi="Times New Roman" w:cs="Times New Roman" w:eastAsia="Times New Roman" w:hint="default"/>
                <w:sz w:val="18"/>
                <w:szCs w:val="18"/>
              </w:rPr>
            </w:pPr>
            <w:r>
              <w:rPr>
                <w:rFonts w:ascii="Times New Roman"/>
                <w:sz w:val="18"/>
              </w:rPr>
              <w:t>3.34</w:t>
            </w:r>
          </w:p>
        </w:tc>
      </w:tr>
      <w:tr>
        <w:trPr>
          <w:trHeight w:val="1027"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8"/>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6"/>
              <w:jc w:val="right"/>
              <w:rPr>
                <w:rFonts w:ascii="Times New Roman" w:hAnsi="Times New Roman" w:cs="Times New Roman" w:eastAsia="Times New Roman" w:hint="default"/>
                <w:sz w:val="18"/>
                <w:szCs w:val="18"/>
              </w:rPr>
            </w:pPr>
            <w:r>
              <w:rPr>
                <w:rFonts w:ascii="Times New Roman"/>
                <w:spacing w:val="-1"/>
                <w:sz w:val="18"/>
              </w:rPr>
              <w:t>-177,</w:t>
            </w:r>
          </w:p>
          <w:p>
            <w:pPr>
              <w:pStyle w:val="TableParagraph"/>
              <w:spacing w:line="240" w:lineRule="auto" w:before="105"/>
              <w:ind w:right="93"/>
              <w:jc w:val="right"/>
              <w:rPr>
                <w:rFonts w:ascii="Times New Roman" w:hAnsi="Times New Roman" w:cs="Times New Roman" w:eastAsia="Times New Roman" w:hint="default"/>
                <w:sz w:val="18"/>
                <w:szCs w:val="18"/>
              </w:rPr>
            </w:pPr>
            <w:r>
              <w:rPr>
                <w:rFonts w:ascii="Times New Roman"/>
                <w:spacing w:val="-1"/>
                <w:sz w:val="18"/>
              </w:rPr>
              <w:t>750.0</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143" w:right="0"/>
              <w:jc w:val="left"/>
              <w:rPr>
                <w:rFonts w:ascii="Times New Roman" w:hAnsi="Times New Roman" w:cs="Times New Roman" w:eastAsia="Times New Roman" w:hint="default"/>
                <w:sz w:val="18"/>
                <w:szCs w:val="18"/>
              </w:rPr>
            </w:pPr>
            <w:r>
              <w:rPr>
                <w:rFonts w:ascii="Times New Roman"/>
                <w:sz w:val="18"/>
              </w:rPr>
              <w:t>-497,8</w:t>
            </w:r>
          </w:p>
          <w:p>
            <w:pPr>
              <w:pStyle w:val="TableParagraph"/>
              <w:spacing w:line="240" w:lineRule="auto" w:before="105"/>
              <w:ind w:left="206" w:right="0"/>
              <w:jc w:val="left"/>
              <w:rPr>
                <w:rFonts w:ascii="Times New Roman" w:hAnsi="Times New Roman" w:cs="Times New Roman" w:eastAsia="Times New Roman" w:hint="default"/>
                <w:sz w:val="18"/>
                <w:szCs w:val="18"/>
              </w:rPr>
            </w:pPr>
            <w:r>
              <w:rPr>
                <w:rFonts w:ascii="Times New Roman"/>
                <w:sz w:val="18"/>
              </w:rPr>
              <w:t>30.40</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105" w:right="0"/>
              <w:jc w:val="left"/>
              <w:rPr>
                <w:rFonts w:ascii="Times New Roman" w:hAnsi="Times New Roman" w:cs="Times New Roman" w:eastAsia="Times New Roman" w:hint="default"/>
                <w:sz w:val="18"/>
                <w:szCs w:val="18"/>
              </w:rPr>
            </w:pPr>
            <w:r>
              <w:rPr>
                <w:rFonts w:ascii="Times New Roman"/>
                <w:sz w:val="18"/>
              </w:rPr>
              <w:t>-8,075,</w:t>
            </w:r>
          </w:p>
          <w:p>
            <w:pPr>
              <w:pStyle w:val="TableParagraph"/>
              <w:spacing w:line="240" w:lineRule="auto" w:before="105"/>
              <w:ind w:left="120" w:right="0"/>
              <w:jc w:val="left"/>
              <w:rPr>
                <w:rFonts w:ascii="Times New Roman" w:hAnsi="Times New Roman" w:cs="Times New Roman" w:eastAsia="Times New Roman" w:hint="default"/>
                <w:sz w:val="18"/>
                <w:szCs w:val="18"/>
              </w:rPr>
            </w:pPr>
            <w:r>
              <w:rPr>
                <w:rFonts w:ascii="Times New Roman"/>
                <w:sz w:val="18"/>
              </w:rPr>
              <w:t>280.00</w:t>
            </w:r>
          </w:p>
        </w:tc>
        <w:tc>
          <w:tcPr>
            <w:tcW w:w="730"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614"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124" w:right="0"/>
              <w:jc w:val="left"/>
              <w:rPr>
                <w:rFonts w:ascii="Times New Roman" w:hAnsi="Times New Roman" w:cs="Times New Roman" w:eastAsia="Times New Roman" w:hint="default"/>
                <w:sz w:val="18"/>
                <w:szCs w:val="18"/>
              </w:rPr>
            </w:pPr>
            <w:r>
              <w:rPr>
                <w:rFonts w:ascii="Times New Roman"/>
                <w:sz w:val="18"/>
              </w:rPr>
              <w:t>7,399,69</w:t>
            </w:r>
          </w:p>
          <w:p>
            <w:pPr>
              <w:pStyle w:val="TableParagraph"/>
              <w:spacing w:line="240" w:lineRule="auto" w:before="105"/>
              <w:ind w:left="436" w:right="0"/>
              <w:jc w:val="left"/>
              <w:rPr>
                <w:rFonts w:ascii="Times New Roman" w:hAnsi="Times New Roman" w:cs="Times New Roman" w:eastAsia="Times New Roman" w:hint="default"/>
                <w:sz w:val="18"/>
                <w:szCs w:val="18"/>
              </w:rPr>
            </w:pPr>
            <w:r>
              <w:rPr>
                <w:rFonts w:ascii="Times New Roman"/>
                <w:sz w:val="18"/>
              </w:rPr>
              <w:t>9.60</w:t>
            </w:r>
          </w:p>
        </w:tc>
      </w:tr>
      <w:tr>
        <w:trPr>
          <w:trHeight w:val="1340"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9"/>
              <w:ind w:left="105" w:right="104"/>
              <w:jc w:val="left"/>
              <w:rPr>
                <w:rFonts w:ascii="宋体" w:hAnsi="宋体" w:cs="宋体" w:eastAsia="宋体" w:hint="default"/>
                <w:sz w:val="18"/>
                <w:szCs w:val="18"/>
              </w:rPr>
            </w:pPr>
            <w:r>
              <w:rPr>
                <w:rFonts w:ascii="宋体" w:hAnsi="宋体" w:cs="宋体" w:eastAsia="宋体" w:hint="default"/>
                <w:spacing w:val="-2"/>
                <w:sz w:val="18"/>
                <w:szCs w:val="18"/>
              </w:rPr>
              <w:t>（三）利润分</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配</w:t>
            </w:r>
          </w:p>
        </w:tc>
        <w:tc>
          <w:tcPr>
            <w:tcW w:w="629"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16,912</w:t>
            </w:r>
          </w:p>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,139.7</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4</w:t>
            </w:r>
            <w:r>
              <w:rPr>
                <w:rFonts w:ascii="Times New Roman"/>
                <w:sz w:val="18"/>
              </w:rPr>
            </w:r>
          </w:p>
        </w:tc>
        <w:tc>
          <w:tcPr>
            <w:tcW w:w="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29" w:right="0"/>
              <w:jc w:val="left"/>
              <w:rPr>
                <w:rFonts w:ascii="Times New Roman" w:hAnsi="Times New Roman" w:cs="Times New Roman" w:eastAsia="Times New Roman" w:hint="default"/>
                <w:sz w:val="18"/>
                <w:szCs w:val="18"/>
              </w:rPr>
            </w:pPr>
            <w:r>
              <w:rPr>
                <w:rFonts w:ascii="Times New Roman"/>
                <w:sz w:val="18"/>
              </w:rPr>
              <w:t>-78,4</w:t>
            </w:r>
          </w:p>
          <w:p>
            <w:pPr>
              <w:pStyle w:val="TableParagraph"/>
              <w:spacing w:line="240" w:lineRule="auto" w:before="101"/>
              <w:ind w:left="187" w:right="0"/>
              <w:jc w:val="left"/>
              <w:rPr>
                <w:rFonts w:ascii="Times New Roman" w:hAnsi="Times New Roman" w:cs="Times New Roman" w:eastAsia="Times New Roman" w:hint="default"/>
                <w:sz w:val="18"/>
                <w:szCs w:val="18"/>
              </w:rPr>
            </w:pPr>
            <w:r>
              <w:rPr>
                <w:rFonts w:ascii="Times New Roman"/>
                <w:sz w:val="18"/>
              </w:rPr>
              <w:t>06,1</w:t>
            </w:r>
          </w:p>
          <w:p>
            <w:pPr>
              <w:pStyle w:val="TableParagraph"/>
              <w:spacing w:line="240" w:lineRule="auto" w:before="105"/>
              <w:ind w:left="187" w:right="0"/>
              <w:jc w:val="left"/>
              <w:rPr>
                <w:rFonts w:ascii="Times New Roman" w:hAnsi="Times New Roman" w:cs="Times New Roman" w:eastAsia="Times New Roman" w:hint="default"/>
                <w:sz w:val="18"/>
                <w:szCs w:val="18"/>
              </w:rPr>
            </w:pPr>
            <w:r>
              <w:rPr>
                <w:rFonts w:ascii="Times New Roman"/>
                <w:sz w:val="18"/>
              </w:rPr>
              <w:t>82.9</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4</w:t>
            </w:r>
            <w:r>
              <w:rPr>
                <w:rFonts w:ascii="Times New Roman"/>
                <w:sz w:val="18"/>
              </w:rPr>
            </w:r>
          </w:p>
        </w:tc>
        <w:tc>
          <w:tcPr>
            <w:tcW w:w="711"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7"/>
                <w:szCs w:val="17"/>
              </w:rPr>
            </w:pPr>
          </w:p>
          <w:p>
            <w:pPr>
              <w:pStyle w:val="TableParagraph"/>
              <w:spacing w:line="240" w:lineRule="auto"/>
              <w:ind w:left="55" w:right="0"/>
              <w:jc w:val="center"/>
              <w:rPr>
                <w:rFonts w:ascii="Times New Roman" w:hAnsi="Times New Roman" w:cs="Times New Roman" w:eastAsia="Times New Roman" w:hint="default"/>
                <w:sz w:val="18"/>
                <w:szCs w:val="18"/>
              </w:rPr>
            </w:pPr>
            <w:r>
              <w:rPr>
                <w:rFonts w:ascii="Times New Roman"/>
                <w:sz w:val="18"/>
              </w:rPr>
              <w:t>-61,494,</w:t>
            </w:r>
          </w:p>
          <w:p>
            <w:pPr>
              <w:pStyle w:val="TableParagraph"/>
              <w:spacing w:line="240" w:lineRule="auto" w:before="105"/>
              <w:ind w:left="163" w:right="0"/>
              <w:jc w:val="center"/>
              <w:rPr>
                <w:rFonts w:ascii="Times New Roman" w:hAnsi="Times New Roman" w:cs="Times New Roman" w:eastAsia="Times New Roman" w:hint="default"/>
                <w:sz w:val="18"/>
                <w:szCs w:val="18"/>
              </w:rPr>
            </w:pPr>
            <w:r>
              <w:rPr>
                <w:rFonts w:ascii="Times New Roman"/>
                <w:sz w:val="18"/>
              </w:rPr>
              <w:t>043.20</w:t>
            </w:r>
          </w:p>
        </w:tc>
      </w:tr>
      <w:tr>
        <w:trPr>
          <w:trHeight w:val="1335"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0" w:lineRule="auto" w:before="158"/>
              <w:ind w:left="105" w:right="94"/>
              <w:jc w:val="left"/>
              <w:rPr>
                <w:rFonts w:ascii="宋体" w:hAnsi="宋体" w:cs="宋体" w:eastAsia="宋体" w:hint="default"/>
                <w:sz w:val="18"/>
                <w:szCs w:val="18"/>
              </w:rPr>
            </w:pPr>
            <w:r>
              <w:rPr>
                <w:rFonts w:ascii="Times New Roman" w:hAnsi="Times New Roman" w:cs="Times New Roman" w:eastAsia="Times New Roman" w:hint="default"/>
                <w:spacing w:val="-13"/>
                <w:w w:val="101"/>
                <w:sz w:val="18"/>
                <w:szCs w:val="18"/>
              </w:rPr>
              <w:t>1</w:t>
            </w:r>
            <w:r>
              <w:rPr>
                <w:rFonts w:ascii="宋体" w:hAnsi="宋体" w:cs="宋体" w:eastAsia="宋体" w:hint="default"/>
                <w:spacing w:val="-13"/>
                <w:w w:val="101"/>
                <w:sz w:val="18"/>
                <w:szCs w:val="18"/>
              </w:rPr>
              <w:t>．提取盈余公</w:t>
            </w:r>
            <w:r>
              <w:rPr>
                <w:rFonts w:ascii="宋体" w:hAnsi="宋体" w:cs="宋体" w:eastAsia="宋体" w:hint="default"/>
                <w:w w:val="101"/>
                <w:sz w:val="18"/>
                <w:szCs w:val="18"/>
              </w:rPr>
              <w:t> </w:t>
            </w:r>
            <w:r>
              <w:rPr>
                <w:rFonts w:ascii="宋体" w:hAnsi="宋体" w:cs="宋体" w:eastAsia="宋体" w:hint="default"/>
                <w:sz w:val="18"/>
                <w:szCs w:val="18"/>
              </w:rPr>
              <w:t>积</w:t>
            </w:r>
          </w:p>
        </w:tc>
        <w:tc>
          <w:tcPr>
            <w:tcW w:w="629"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16,912</w:t>
            </w:r>
          </w:p>
          <w:p>
            <w:pPr>
              <w:pStyle w:val="TableParagraph"/>
              <w:spacing w:line="240" w:lineRule="auto" w:before="105"/>
              <w:ind w:right="94"/>
              <w:jc w:val="right"/>
              <w:rPr>
                <w:rFonts w:ascii="Times New Roman" w:hAnsi="Times New Roman" w:cs="Times New Roman" w:eastAsia="Times New Roman" w:hint="default"/>
                <w:sz w:val="18"/>
                <w:szCs w:val="18"/>
              </w:rPr>
            </w:pPr>
            <w:r>
              <w:rPr>
                <w:rFonts w:ascii="Times New Roman"/>
                <w:spacing w:val="-1"/>
                <w:sz w:val="18"/>
              </w:rPr>
              <w:t>,139.7</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4</w:t>
            </w:r>
            <w:r>
              <w:rPr>
                <w:rFonts w:ascii="Times New Roman"/>
                <w:sz w:val="18"/>
              </w:rPr>
            </w:r>
          </w:p>
        </w:tc>
        <w:tc>
          <w:tcPr>
            <w:tcW w:w="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29" w:right="0"/>
              <w:jc w:val="left"/>
              <w:rPr>
                <w:rFonts w:ascii="Times New Roman" w:hAnsi="Times New Roman" w:cs="Times New Roman" w:eastAsia="Times New Roman" w:hint="default"/>
                <w:sz w:val="18"/>
                <w:szCs w:val="18"/>
              </w:rPr>
            </w:pPr>
            <w:r>
              <w:rPr>
                <w:rFonts w:ascii="Times New Roman"/>
                <w:sz w:val="18"/>
              </w:rPr>
              <w:t>-16,9</w:t>
            </w:r>
          </w:p>
          <w:p>
            <w:pPr>
              <w:pStyle w:val="TableParagraph"/>
              <w:spacing w:line="240" w:lineRule="auto" w:before="100"/>
              <w:ind w:left="187" w:right="0"/>
              <w:jc w:val="left"/>
              <w:rPr>
                <w:rFonts w:ascii="Times New Roman" w:hAnsi="Times New Roman" w:cs="Times New Roman" w:eastAsia="Times New Roman" w:hint="default"/>
                <w:sz w:val="18"/>
                <w:szCs w:val="18"/>
              </w:rPr>
            </w:pPr>
            <w:r>
              <w:rPr>
                <w:rFonts w:ascii="Times New Roman"/>
                <w:sz w:val="18"/>
              </w:rPr>
              <w:t>12,1</w:t>
            </w:r>
          </w:p>
          <w:p>
            <w:pPr>
              <w:pStyle w:val="TableParagraph"/>
              <w:spacing w:line="240" w:lineRule="auto" w:before="105"/>
              <w:ind w:left="187" w:right="0"/>
              <w:jc w:val="left"/>
              <w:rPr>
                <w:rFonts w:ascii="Times New Roman" w:hAnsi="Times New Roman" w:cs="Times New Roman" w:eastAsia="Times New Roman" w:hint="default"/>
                <w:sz w:val="18"/>
                <w:szCs w:val="18"/>
              </w:rPr>
            </w:pPr>
            <w:r>
              <w:rPr>
                <w:rFonts w:ascii="Times New Roman"/>
                <w:sz w:val="18"/>
              </w:rPr>
              <w:t>39.7</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4</w:t>
            </w:r>
            <w:r>
              <w:rPr>
                <w:rFonts w:ascii="Times New Roman"/>
                <w:sz w:val="18"/>
              </w:rPr>
            </w:r>
          </w:p>
        </w:tc>
        <w:tc>
          <w:tcPr>
            <w:tcW w:w="711"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r>
      <w:tr>
        <w:trPr>
          <w:trHeight w:val="1340"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．对所有者</w:t>
            </w:r>
          </w:p>
          <w:p>
            <w:pPr>
              <w:pStyle w:val="TableParagraph"/>
              <w:spacing w:line="324" w:lineRule="auto" w:before="58"/>
              <w:ind w:left="105" w:right="104"/>
              <w:jc w:val="left"/>
              <w:rPr>
                <w:rFonts w:ascii="宋体" w:hAnsi="宋体" w:cs="宋体" w:eastAsia="宋体" w:hint="default"/>
                <w:sz w:val="18"/>
                <w:szCs w:val="18"/>
              </w:rPr>
            </w:pPr>
            <w:r>
              <w:rPr>
                <w:rFonts w:ascii="宋体" w:hAnsi="宋体" w:cs="宋体" w:eastAsia="宋体" w:hint="default"/>
                <w:spacing w:val="-2"/>
                <w:sz w:val="18"/>
                <w:szCs w:val="18"/>
              </w:rPr>
              <w:t>（或股东）的</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分配</w:t>
            </w:r>
          </w:p>
        </w:tc>
        <w:tc>
          <w:tcPr>
            <w:tcW w:w="629"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29" w:right="0"/>
              <w:jc w:val="left"/>
              <w:rPr>
                <w:rFonts w:ascii="Times New Roman" w:hAnsi="Times New Roman" w:cs="Times New Roman" w:eastAsia="Times New Roman" w:hint="default"/>
                <w:sz w:val="18"/>
                <w:szCs w:val="18"/>
              </w:rPr>
            </w:pPr>
            <w:r>
              <w:rPr>
                <w:rFonts w:ascii="Times New Roman"/>
                <w:sz w:val="18"/>
              </w:rPr>
              <w:t>-61,4</w:t>
            </w:r>
          </w:p>
          <w:p>
            <w:pPr>
              <w:pStyle w:val="TableParagraph"/>
              <w:spacing w:line="240" w:lineRule="auto" w:before="100"/>
              <w:ind w:left="187" w:right="0"/>
              <w:jc w:val="left"/>
              <w:rPr>
                <w:rFonts w:ascii="Times New Roman" w:hAnsi="Times New Roman" w:cs="Times New Roman" w:eastAsia="Times New Roman" w:hint="default"/>
                <w:sz w:val="18"/>
                <w:szCs w:val="18"/>
              </w:rPr>
            </w:pPr>
            <w:r>
              <w:rPr>
                <w:rFonts w:ascii="Times New Roman"/>
                <w:sz w:val="18"/>
              </w:rPr>
              <w:t>94,0</w:t>
            </w:r>
          </w:p>
          <w:p>
            <w:pPr>
              <w:pStyle w:val="TableParagraph"/>
              <w:spacing w:line="240" w:lineRule="auto" w:before="105"/>
              <w:ind w:left="187" w:right="0"/>
              <w:jc w:val="left"/>
              <w:rPr>
                <w:rFonts w:ascii="Times New Roman" w:hAnsi="Times New Roman" w:cs="Times New Roman" w:eastAsia="Times New Roman" w:hint="default"/>
                <w:sz w:val="18"/>
                <w:szCs w:val="18"/>
              </w:rPr>
            </w:pPr>
            <w:r>
              <w:rPr>
                <w:rFonts w:ascii="Times New Roman"/>
                <w:sz w:val="18"/>
              </w:rPr>
              <w:t>43.2</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11"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55" w:right="0"/>
              <w:jc w:val="center"/>
              <w:rPr>
                <w:rFonts w:ascii="Times New Roman" w:hAnsi="Times New Roman" w:cs="Times New Roman" w:eastAsia="Times New Roman" w:hint="default"/>
                <w:sz w:val="18"/>
                <w:szCs w:val="18"/>
              </w:rPr>
            </w:pPr>
            <w:r>
              <w:rPr>
                <w:rFonts w:ascii="Times New Roman"/>
                <w:sz w:val="18"/>
              </w:rPr>
              <w:t>-61,494,</w:t>
            </w:r>
          </w:p>
          <w:p>
            <w:pPr>
              <w:pStyle w:val="TableParagraph"/>
              <w:spacing w:line="240" w:lineRule="auto" w:before="105"/>
              <w:ind w:left="163" w:right="0"/>
              <w:jc w:val="center"/>
              <w:rPr>
                <w:rFonts w:ascii="Times New Roman" w:hAnsi="Times New Roman" w:cs="Times New Roman" w:eastAsia="Times New Roman" w:hint="default"/>
                <w:sz w:val="18"/>
                <w:szCs w:val="18"/>
              </w:rPr>
            </w:pPr>
            <w:r>
              <w:rPr>
                <w:rFonts w:ascii="Times New Roman"/>
                <w:sz w:val="18"/>
              </w:rPr>
              <w:t>043.20</w:t>
            </w:r>
          </w:p>
        </w:tc>
      </w:tr>
      <w:tr>
        <w:trPr>
          <w:trHeight w:val="403"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629"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614"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05" w:right="104"/>
              <w:jc w:val="left"/>
              <w:rPr>
                <w:rFonts w:ascii="宋体" w:hAnsi="宋体" w:cs="宋体" w:eastAsia="宋体" w:hint="default"/>
                <w:sz w:val="18"/>
                <w:szCs w:val="18"/>
              </w:rPr>
            </w:pPr>
            <w:r>
              <w:rPr>
                <w:rFonts w:ascii="宋体" w:hAnsi="宋体" w:cs="宋体" w:eastAsia="宋体" w:hint="default"/>
                <w:spacing w:val="-2"/>
                <w:sz w:val="18"/>
                <w:szCs w:val="18"/>
              </w:rPr>
              <w:t>（四）所有者</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权益内部结转</w:t>
            </w:r>
          </w:p>
        </w:tc>
        <w:tc>
          <w:tcPr>
            <w:tcW w:w="629"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614"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r>
      <w:tr>
        <w:trPr>
          <w:trHeight w:val="1023"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4"/>
              <w:ind w:left="105" w:right="94"/>
              <w:jc w:val="both"/>
              <w:rPr>
                <w:rFonts w:ascii="宋体" w:hAnsi="宋体" w:cs="宋体" w:eastAsia="宋体" w:hint="default"/>
                <w:sz w:val="18"/>
                <w:szCs w:val="18"/>
              </w:rPr>
            </w:pPr>
            <w:r>
              <w:rPr>
                <w:rFonts w:ascii="Times New Roman" w:hAnsi="Times New Roman" w:cs="Times New Roman" w:eastAsia="Times New Roman" w:hint="default"/>
                <w:spacing w:val="-13"/>
                <w:w w:val="101"/>
                <w:sz w:val="18"/>
                <w:szCs w:val="18"/>
              </w:rPr>
              <w:t>1</w:t>
            </w:r>
            <w:r>
              <w:rPr>
                <w:rFonts w:ascii="宋体" w:hAnsi="宋体" w:cs="宋体" w:eastAsia="宋体" w:hint="default"/>
                <w:spacing w:val="-13"/>
                <w:w w:val="101"/>
                <w:sz w:val="18"/>
                <w:szCs w:val="18"/>
              </w:rPr>
              <w:t>．资本公积转</w:t>
            </w:r>
            <w:r>
              <w:rPr>
                <w:rFonts w:ascii="宋体" w:hAnsi="宋体" w:cs="宋体" w:eastAsia="宋体" w:hint="default"/>
                <w:w w:val="101"/>
                <w:sz w:val="18"/>
                <w:szCs w:val="18"/>
              </w:rPr>
              <w:t> </w:t>
            </w:r>
            <w:r>
              <w:rPr>
                <w:rFonts w:ascii="宋体" w:hAnsi="宋体" w:cs="宋体" w:eastAsia="宋体" w:hint="default"/>
                <w:sz w:val="18"/>
                <w:szCs w:val="18"/>
              </w:rPr>
              <w:t>增资本（或股</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本）</w:t>
            </w:r>
          </w:p>
        </w:tc>
        <w:tc>
          <w:tcPr>
            <w:tcW w:w="629"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614"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r>
      <w:tr>
        <w:trPr>
          <w:trHeight w:val="1028"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8"/>
              <w:ind w:left="105" w:right="94"/>
              <w:jc w:val="both"/>
              <w:rPr>
                <w:rFonts w:ascii="宋体" w:hAnsi="宋体" w:cs="宋体" w:eastAsia="宋体" w:hint="default"/>
                <w:sz w:val="18"/>
                <w:szCs w:val="18"/>
              </w:rPr>
            </w:pPr>
            <w:r>
              <w:rPr>
                <w:rFonts w:ascii="Times New Roman" w:hAnsi="Times New Roman" w:cs="Times New Roman" w:eastAsia="Times New Roman" w:hint="default"/>
                <w:spacing w:val="-13"/>
                <w:w w:val="101"/>
                <w:sz w:val="18"/>
                <w:szCs w:val="18"/>
              </w:rPr>
              <w:t>2</w:t>
            </w:r>
            <w:r>
              <w:rPr>
                <w:rFonts w:ascii="宋体" w:hAnsi="宋体" w:cs="宋体" w:eastAsia="宋体" w:hint="default"/>
                <w:spacing w:val="-13"/>
                <w:w w:val="101"/>
                <w:sz w:val="18"/>
                <w:szCs w:val="18"/>
              </w:rPr>
              <w:t>．盈余公积转</w:t>
            </w:r>
            <w:r>
              <w:rPr>
                <w:rFonts w:ascii="宋体" w:hAnsi="宋体" w:cs="宋体" w:eastAsia="宋体" w:hint="default"/>
                <w:w w:val="101"/>
                <w:sz w:val="18"/>
                <w:szCs w:val="18"/>
              </w:rPr>
              <w:t> </w:t>
            </w:r>
            <w:r>
              <w:rPr>
                <w:rFonts w:ascii="宋体" w:hAnsi="宋体" w:cs="宋体" w:eastAsia="宋体" w:hint="default"/>
                <w:sz w:val="18"/>
                <w:szCs w:val="18"/>
              </w:rPr>
              <w:t>增资本（或股</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本）</w:t>
            </w:r>
          </w:p>
        </w:tc>
        <w:tc>
          <w:tcPr>
            <w:tcW w:w="629"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614"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4" w:lineRule="auto" w:before="53"/>
              <w:ind w:left="105" w:right="94"/>
              <w:jc w:val="left"/>
              <w:rPr>
                <w:rFonts w:ascii="宋体" w:hAnsi="宋体" w:cs="宋体" w:eastAsia="宋体" w:hint="default"/>
                <w:sz w:val="18"/>
                <w:szCs w:val="18"/>
              </w:rPr>
            </w:pPr>
            <w:r>
              <w:rPr>
                <w:rFonts w:ascii="Times New Roman" w:hAnsi="Times New Roman" w:cs="Times New Roman" w:eastAsia="Times New Roman" w:hint="default"/>
                <w:spacing w:val="-13"/>
                <w:w w:val="101"/>
                <w:sz w:val="18"/>
                <w:szCs w:val="18"/>
              </w:rPr>
              <w:t>3</w:t>
            </w:r>
            <w:r>
              <w:rPr>
                <w:rFonts w:ascii="宋体" w:hAnsi="宋体" w:cs="宋体" w:eastAsia="宋体" w:hint="default"/>
                <w:spacing w:val="-13"/>
                <w:w w:val="101"/>
                <w:sz w:val="18"/>
                <w:szCs w:val="18"/>
              </w:rPr>
              <w:t>．盈余公积弥</w:t>
            </w:r>
            <w:r>
              <w:rPr>
                <w:rFonts w:ascii="宋体" w:hAnsi="宋体" w:cs="宋体" w:eastAsia="宋体" w:hint="default"/>
                <w:w w:val="101"/>
                <w:sz w:val="18"/>
                <w:szCs w:val="18"/>
              </w:rPr>
              <w:t> </w:t>
            </w:r>
            <w:r>
              <w:rPr>
                <w:rFonts w:ascii="宋体" w:hAnsi="宋体" w:cs="宋体" w:eastAsia="宋体" w:hint="default"/>
                <w:sz w:val="18"/>
                <w:szCs w:val="18"/>
              </w:rPr>
              <w:t>补亏损</w:t>
            </w:r>
          </w:p>
        </w:tc>
        <w:tc>
          <w:tcPr>
            <w:tcW w:w="629"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614"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r>
      <w:tr>
        <w:trPr>
          <w:trHeight w:val="1028"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3"/>
              <w:ind w:left="105" w:right="94"/>
              <w:jc w:val="both"/>
              <w:rPr>
                <w:rFonts w:ascii="宋体" w:hAnsi="宋体" w:cs="宋体" w:eastAsia="宋体" w:hint="default"/>
                <w:sz w:val="18"/>
                <w:szCs w:val="18"/>
              </w:rPr>
            </w:pPr>
            <w:r>
              <w:rPr>
                <w:rFonts w:ascii="Times New Roman" w:hAnsi="Times New Roman" w:cs="Times New Roman" w:eastAsia="Times New Roman" w:hint="default"/>
                <w:spacing w:val="-13"/>
                <w:w w:val="101"/>
                <w:sz w:val="18"/>
                <w:szCs w:val="18"/>
              </w:rPr>
              <w:t>4</w:t>
            </w:r>
            <w:r>
              <w:rPr>
                <w:rFonts w:ascii="宋体" w:hAnsi="宋体" w:cs="宋体" w:eastAsia="宋体" w:hint="default"/>
                <w:spacing w:val="-13"/>
                <w:w w:val="101"/>
                <w:sz w:val="18"/>
                <w:szCs w:val="18"/>
              </w:rPr>
              <w:t>．设定受益计</w:t>
            </w:r>
            <w:r>
              <w:rPr>
                <w:rFonts w:ascii="宋体" w:hAnsi="宋体" w:cs="宋体" w:eastAsia="宋体" w:hint="default"/>
                <w:w w:val="101"/>
                <w:sz w:val="18"/>
                <w:szCs w:val="18"/>
              </w:rPr>
              <w:t> </w:t>
            </w:r>
            <w:r>
              <w:rPr>
                <w:rFonts w:ascii="宋体" w:hAnsi="宋体" w:cs="宋体" w:eastAsia="宋体" w:hint="default"/>
                <w:sz w:val="18"/>
                <w:szCs w:val="18"/>
              </w:rPr>
              <w:t>划变动额结转</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留存收益</w:t>
            </w:r>
          </w:p>
        </w:tc>
        <w:tc>
          <w:tcPr>
            <w:tcW w:w="629"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614"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r>
      <w:tr>
        <w:trPr>
          <w:trHeight w:val="672"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5" w:lineRule="auto" w:before="53"/>
              <w:ind w:left="105" w:right="94"/>
              <w:jc w:val="left"/>
              <w:rPr>
                <w:rFonts w:ascii="宋体" w:hAnsi="宋体" w:cs="宋体" w:eastAsia="宋体" w:hint="default"/>
                <w:sz w:val="18"/>
                <w:szCs w:val="18"/>
              </w:rPr>
            </w:pPr>
            <w:r>
              <w:rPr>
                <w:rFonts w:ascii="Times New Roman" w:hAnsi="Times New Roman" w:cs="Times New Roman" w:eastAsia="Times New Roman" w:hint="default"/>
                <w:spacing w:val="-13"/>
                <w:w w:val="101"/>
                <w:sz w:val="18"/>
                <w:szCs w:val="18"/>
              </w:rPr>
              <w:t>5</w:t>
            </w:r>
            <w:r>
              <w:rPr>
                <w:rFonts w:ascii="宋体" w:hAnsi="宋体" w:cs="宋体" w:eastAsia="宋体" w:hint="default"/>
                <w:spacing w:val="-13"/>
                <w:w w:val="101"/>
                <w:sz w:val="18"/>
                <w:szCs w:val="18"/>
              </w:rPr>
              <w:t>．其他综合收</w:t>
            </w:r>
            <w:r>
              <w:rPr>
                <w:rFonts w:ascii="宋体" w:hAnsi="宋体" w:cs="宋体" w:eastAsia="宋体" w:hint="default"/>
                <w:w w:val="101"/>
                <w:sz w:val="18"/>
                <w:szCs w:val="18"/>
              </w:rPr>
              <w:t> </w:t>
            </w:r>
            <w:r>
              <w:rPr>
                <w:rFonts w:ascii="宋体" w:hAnsi="宋体" w:cs="宋体" w:eastAsia="宋体" w:hint="default"/>
                <w:sz w:val="18"/>
                <w:szCs w:val="18"/>
              </w:rPr>
              <w:t>益结转留存收</w:t>
            </w:r>
          </w:p>
        </w:tc>
        <w:tc>
          <w:tcPr>
            <w:tcW w:w="629"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614"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84" w:footer="1022" w:top="1100" w:bottom="1220" w:left="980" w:right="0"/>
        </w:sectPr>
      </w:pPr>
    </w:p>
    <w:p>
      <w:pPr>
        <w:spacing w:line="240" w:lineRule="auto" w:before="1"/>
        <w:rPr>
          <w:rFonts w:ascii="Times New Roman" w:hAnsi="Times New Roman" w:cs="Times New Roman" w:eastAsia="Times New Roman" w:hint="default"/>
          <w:sz w:val="29"/>
          <w:szCs w:val="29"/>
        </w:rPr>
      </w:pPr>
    </w:p>
    <w:tbl>
      <w:tblPr>
        <w:tblW w:w="0" w:type="auto"/>
        <w:jc w:val="left"/>
        <w:tblInd w:w="148" w:type="dxa"/>
        <w:tblLayout w:type="fixed"/>
        <w:tblCellMar>
          <w:top w:w="0" w:type="dxa"/>
          <w:left w:w="0" w:type="dxa"/>
          <w:bottom w:w="0" w:type="dxa"/>
          <w:right w:w="0" w:type="dxa"/>
        </w:tblCellMar>
        <w:tblLook w:val="01E0"/>
      </w:tblPr>
      <w:tblGrid>
        <w:gridCol w:w="1306"/>
        <w:gridCol w:w="629"/>
        <w:gridCol w:w="605"/>
        <w:gridCol w:w="605"/>
        <w:gridCol w:w="605"/>
        <w:gridCol w:w="725"/>
        <w:gridCol w:w="725"/>
        <w:gridCol w:w="730"/>
        <w:gridCol w:w="725"/>
        <w:gridCol w:w="725"/>
        <w:gridCol w:w="614"/>
        <w:gridCol w:w="711"/>
        <w:gridCol w:w="864"/>
      </w:tblGrid>
      <w:tr>
        <w:trPr>
          <w:trHeight w:val="360"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105" w:right="0"/>
              <w:jc w:val="left"/>
              <w:rPr>
                <w:rFonts w:ascii="宋体" w:hAnsi="宋体" w:cs="宋体" w:eastAsia="宋体" w:hint="default"/>
                <w:sz w:val="18"/>
                <w:szCs w:val="18"/>
              </w:rPr>
            </w:pPr>
            <w:r>
              <w:rPr>
                <w:rFonts w:ascii="宋体" w:hAnsi="宋体" w:cs="宋体" w:eastAsia="宋体" w:hint="default"/>
                <w:w w:val="101"/>
                <w:sz w:val="18"/>
                <w:szCs w:val="18"/>
              </w:rPr>
              <w:t>益</w:t>
            </w:r>
            <w:r>
              <w:rPr>
                <w:rFonts w:ascii="宋体" w:hAnsi="宋体" w:cs="宋体" w:eastAsia="宋体" w:hint="default"/>
                <w:sz w:val="18"/>
                <w:szCs w:val="18"/>
              </w:rPr>
            </w:r>
          </w:p>
        </w:tc>
        <w:tc>
          <w:tcPr>
            <w:tcW w:w="629"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614"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629"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614"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4" w:lineRule="auto" w:before="53"/>
              <w:ind w:left="105" w:right="104"/>
              <w:jc w:val="left"/>
              <w:rPr>
                <w:rFonts w:ascii="宋体" w:hAnsi="宋体" w:cs="宋体" w:eastAsia="宋体" w:hint="default"/>
                <w:sz w:val="18"/>
                <w:szCs w:val="18"/>
              </w:rPr>
            </w:pPr>
            <w:r>
              <w:rPr>
                <w:rFonts w:ascii="宋体" w:hAnsi="宋体" w:cs="宋体" w:eastAsia="宋体" w:hint="default"/>
                <w:spacing w:val="-2"/>
                <w:sz w:val="18"/>
                <w:szCs w:val="18"/>
              </w:rPr>
              <w:t>（五）专项储</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备</w:t>
            </w:r>
          </w:p>
        </w:tc>
        <w:tc>
          <w:tcPr>
            <w:tcW w:w="629"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614"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629"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614"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629"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614"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r>
      <w:tr>
        <w:trPr>
          <w:trHeight w:val="1028"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5"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629"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35,194</w:t>
            </w:r>
          </w:p>
          <w:p>
            <w:pPr>
              <w:pStyle w:val="TableParagraph"/>
              <w:spacing w:line="240" w:lineRule="auto" w:before="105"/>
              <w:ind w:right="94"/>
              <w:jc w:val="right"/>
              <w:rPr>
                <w:rFonts w:ascii="Times New Roman" w:hAnsi="Times New Roman" w:cs="Times New Roman" w:eastAsia="Times New Roman" w:hint="default"/>
                <w:sz w:val="18"/>
                <w:szCs w:val="18"/>
              </w:rPr>
            </w:pPr>
            <w:r>
              <w:rPr>
                <w:rFonts w:ascii="Times New Roman"/>
                <w:spacing w:val="-1"/>
                <w:sz w:val="18"/>
              </w:rPr>
              <w:t>,070.1</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3</w:t>
            </w:r>
            <w:r>
              <w:rPr>
                <w:rFonts w:ascii="Times New Roman"/>
                <w:sz w:val="18"/>
              </w:rPr>
            </w:r>
          </w:p>
        </w:tc>
        <w:tc>
          <w:tcPr>
            <w:tcW w:w="730"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614"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55" w:right="0"/>
              <w:jc w:val="center"/>
              <w:rPr>
                <w:rFonts w:ascii="Times New Roman" w:hAnsi="Times New Roman" w:cs="Times New Roman" w:eastAsia="Times New Roman" w:hint="default"/>
                <w:sz w:val="18"/>
                <w:szCs w:val="18"/>
              </w:rPr>
            </w:pPr>
            <w:r>
              <w:rPr>
                <w:rFonts w:ascii="Times New Roman"/>
                <w:sz w:val="18"/>
              </w:rPr>
              <w:t>-35,194,</w:t>
            </w:r>
          </w:p>
          <w:p>
            <w:pPr>
              <w:pStyle w:val="TableParagraph"/>
              <w:spacing w:line="240" w:lineRule="auto" w:before="105"/>
              <w:ind w:left="163" w:right="0"/>
              <w:jc w:val="center"/>
              <w:rPr>
                <w:rFonts w:ascii="Times New Roman" w:hAnsi="Times New Roman" w:cs="Times New Roman" w:eastAsia="Times New Roman" w:hint="default"/>
                <w:sz w:val="18"/>
                <w:szCs w:val="18"/>
              </w:rPr>
            </w:pPr>
            <w:r>
              <w:rPr>
                <w:rFonts w:ascii="Times New Roman"/>
                <w:sz w:val="18"/>
              </w:rPr>
              <w:t>070.13</w:t>
            </w:r>
          </w:p>
        </w:tc>
      </w:tr>
      <w:tr>
        <w:trPr>
          <w:trHeight w:val="1340"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21" w:lineRule="auto" w:before="158"/>
              <w:ind w:left="105" w:right="104"/>
              <w:jc w:val="left"/>
              <w:rPr>
                <w:rFonts w:ascii="宋体" w:hAnsi="宋体" w:cs="宋体" w:eastAsia="宋体" w:hint="default"/>
                <w:sz w:val="18"/>
                <w:szCs w:val="18"/>
              </w:rPr>
            </w:pPr>
            <w:r>
              <w:rPr>
                <w:rFonts w:ascii="宋体" w:hAnsi="宋体" w:cs="宋体" w:eastAsia="宋体" w:hint="default"/>
                <w:spacing w:val="-2"/>
                <w:sz w:val="18"/>
                <w:szCs w:val="18"/>
              </w:rPr>
              <w:t>四、本期期末</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余额</w:t>
            </w:r>
          </w:p>
        </w:tc>
        <w:tc>
          <w:tcPr>
            <w:tcW w:w="6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115" w:right="0"/>
              <w:jc w:val="left"/>
              <w:rPr>
                <w:rFonts w:ascii="Times New Roman" w:hAnsi="Times New Roman" w:cs="Times New Roman" w:eastAsia="Times New Roman" w:hint="default"/>
                <w:sz w:val="18"/>
                <w:szCs w:val="18"/>
              </w:rPr>
            </w:pPr>
            <w:r>
              <w:rPr>
                <w:rFonts w:ascii="Times New Roman"/>
                <w:sz w:val="18"/>
              </w:rPr>
              <w:t>620,0</w:t>
            </w:r>
          </w:p>
          <w:p>
            <w:pPr>
              <w:pStyle w:val="TableParagraph"/>
              <w:spacing w:line="240" w:lineRule="auto" w:before="100"/>
              <w:ind w:left="115" w:right="0"/>
              <w:jc w:val="left"/>
              <w:rPr>
                <w:rFonts w:ascii="Times New Roman" w:hAnsi="Times New Roman" w:cs="Times New Roman" w:eastAsia="Times New Roman" w:hint="default"/>
                <w:sz w:val="18"/>
                <w:szCs w:val="18"/>
              </w:rPr>
            </w:pPr>
            <w:r>
              <w:rPr>
                <w:rFonts w:ascii="Times New Roman"/>
                <w:sz w:val="18"/>
              </w:rPr>
              <w:t>37,08</w:t>
            </w:r>
          </w:p>
          <w:p>
            <w:pPr>
              <w:pStyle w:val="TableParagraph"/>
              <w:spacing w:line="240" w:lineRule="auto" w:before="110"/>
              <w:ind w:left="201" w:right="0"/>
              <w:jc w:val="left"/>
              <w:rPr>
                <w:rFonts w:ascii="Times New Roman" w:hAnsi="Times New Roman" w:cs="Times New Roman" w:eastAsia="Times New Roman" w:hint="default"/>
                <w:sz w:val="18"/>
                <w:szCs w:val="18"/>
              </w:rPr>
            </w:pPr>
            <w:r>
              <w:rPr>
                <w:rFonts w:ascii="Times New Roman"/>
                <w:sz w:val="18"/>
              </w:rPr>
              <w:t>4.00</w:t>
            </w: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115" w:right="0"/>
              <w:jc w:val="left"/>
              <w:rPr>
                <w:rFonts w:ascii="Times New Roman" w:hAnsi="Times New Roman" w:cs="Times New Roman" w:eastAsia="Times New Roman" w:hint="default"/>
                <w:sz w:val="18"/>
                <w:szCs w:val="18"/>
              </w:rPr>
            </w:pPr>
            <w:r>
              <w:rPr>
                <w:rFonts w:ascii="Times New Roman"/>
                <w:sz w:val="18"/>
              </w:rPr>
              <w:t>210,25</w:t>
            </w:r>
          </w:p>
          <w:p>
            <w:pPr>
              <w:pStyle w:val="TableParagraph"/>
              <w:spacing w:line="240" w:lineRule="auto" w:before="100"/>
              <w:ind w:left="158" w:right="0"/>
              <w:jc w:val="left"/>
              <w:rPr>
                <w:rFonts w:ascii="Times New Roman" w:hAnsi="Times New Roman" w:cs="Times New Roman" w:eastAsia="Times New Roman" w:hint="default"/>
                <w:sz w:val="18"/>
                <w:szCs w:val="18"/>
              </w:rPr>
            </w:pPr>
            <w:r>
              <w:rPr>
                <w:rFonts w:ascii="Times New Roman"/>
                <w:sz w:val="18"/>
              </w:rPr>
              <w:t>6,797.</w:t>
            </w:r>
          </w:p>
          <w:p>
            <w:pPr>
              <w:pStyle w:val="TableParagraph"/>
              <w:spacing w:line="240" w:lineRule="auto" w:before="110"/>
              <w:ind w:left="431" w:right="0"/>
              <w:jc w:val="left"/>
              <w:rPr>
                <w:rFonts w:ascii="Times New Roman" w:hAnsi="Times New Roman" w:cs="Times New Roman" w:eastAsia="Times New Roman" w:hint="default"/>
                <w:sz w:val="18"/>
                <w:szCs w:val="18"/>
              </w:rPr>
            </w:pPr>
            <w:r>
              <w:rPr>
                <w:rFonts w:ascii="Times New Roman"/>
                <w:sz w:val="18"/>
              </w:rPr>
              <w:t>39</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65,341</w:t>
            </w:r>
          </w:p>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,498.2</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3</w:t>
            </w:r>
            <w:r>
              <w:rPr>
                <w:rFonts w:ascii="Times New Roman"/>
                <w:sz w:val="18"/>
              </w:rPr>
            </w:r>
          </w:p>
        </w:tc>
        <w:tc>
          <w:tcPr>
            <w:tcW w:w="730"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64,135</w:t>
            </w:r>
          </w:p>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,153.5</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8</w:t>
            </w:r>
            <w:r>
              <w:rPr>
                <w:rFonts w:ascii="Times New Roman"/>
                <w:sz w:val="18"/>
              </w:rPr>
            </w:r>
          </w:p>
        </w:tc>
        <w:tc>
          <w:tcPr>
            <w:tcW w:w="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88" w:right="0"/>
              <w:jc w:val="center"/>
              <w:rPr>
                <w:rFonts w:ascii="Times New Roman" w:hAnsi="Times New Roman" w:cs="Times New Roman" w:eastAsia="Times New Roman" w:hint="default"/>
                <w:sz w:val="18"/>
                <w:szCs w:val="18"/>
              </w:rPr>
            </w:pPr>
            <w:r>
              <w:rPr>
                <w:rFonts w:ascii="Times New Roman"/>
                <w:sz w:val="18"/>
              </w:rPr>
              <w:t>255,</w:t>
            </w:r>
          </w:p>
          <w:p>
            <w:pPr>
              <w:pStyle w:val="TableParagraph"/>
              <w:spacing w:line="240" w:lineRule="auto" w:before="105"/>
              <w:ind w:left="88" w:right="0"/>
              <w:jc w:val="center"/>
              <w:rPr>
                <w:rFonts w:ascii="Times New Roman" w:hAnsi="Times New Roman" w:cs="Times New Roman" w:eastAsia="Times New Roman" w:hint="default"/>
                <w:sz w:val="18"/>
                <w:szCs w:val="18"/>
              </w:rPr>
            </w:pPr>
            <w:r>
              <w:rPr>
                <w:rFonts w:ascii="Times New Roman"/>
                <w:sz w:val="18"/>
              </w:rPr>
              <w:t>853,</w:t>
            </w:r>
          </w:p>
          <w:p>
            <w:pPr>
              <w:pStyle w:val="TableParagraph"/>
              <w:spacing w:line="240" w:lineRule="auto" w:before="105"/>
              <w:ind w:left="88" w:right="0"/>
              <w:jc w:val="center"/>
              <w:rPr>
                <w:rFonts w:ascii="Times New Roman" w:hAnsi="Times New Roman" w:cs="Times New Roman" w:eastAsia="Times New Roman" w:hint="default"/>
                <w:sz w:val="18"/>
                <w:szCs w:val="18"/>
              </w:rPr>
            </w:pPr>
            <w:r>
              <w:rPr>
                <w:rFonts w:ascii="Times New Roman"/>
                <w:sz w:val="18"/>
              </w:rPr>
              <w:t>988.</w:t>
            </w:r>
          </w:p>
          <w:p>
            <w:pPr>
              <w:pStyle w:val="TableParagraph"/>
              <w:spacing w:line="240" w:lineRule="auto" w:before="110"/>
              <w:ind w:left="230" w:right="0"/>
              <w:jc w:val="center"/>
              <w:rPr>
                <w:rFonts w:ascii="Times New Roman" w:hAnsi="Times New Roman" w:cs="Times New Roman" w:eastAsia="Times New Roman" w:hint="default"/>
                <w:sz w:val="18"/>
                <w:szCs w:val="18"/>
              </w:rPr>
            </w:pPr>
            <w:r>
              <w:rPr>
                <w:rFonts w:ascii="Times New Roman"/>
                <w:sz w:val="18"/>
              </w:rPr>
              <w:t>97</w:t>
            </w:r>
          </w:p>
        </w:tc>
        <w:tc>
          <w:tcPr>
            <w:tcW w:w="711"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left="124" w:right="0"/>
              <w:jc w:val="left"/>
              <w:rPr>
                <w:rFonts w:ascii="Times New Roman" w:hAnsi="Times New Roman" w:cs="Times New Roman" w:eastAsia="Times New Roman" w:hint="default"/>
                <w:sz w:val="18"/>
                <w:szCs w:val="18"/>
              </w:rPr>
            </w:pPr>
            <w:r>
              <w:rPr>
                <w:rFonts w:ascii="Times New Roman"/>
                <w:sz w:val="18"/>
              </w:rPr>
              <w:t>1,084,94</w:t>
            </w:r>
          </w:p>
          <w:p>
            <w:pPr>
              <w:pStyle w:val="TableParagraph"/>
              <w:spacing w:line="240" w:lineRule="auto" w:before="110"/>
              <w:ind w:left="124" w:right="0"/>
              <w:jc w:val="left"/>
              <w:rPr>
                <w:rFonts w:ascii="Times New Roman" w:hAnsi="Times New Roman" w:cs="Times New Roman" w:eastAsia="Times New Roman" w:hint="default"/>
                <w:sz w:val="18"/>
                <w:szCs w:val="18"/>
              </w:rPr>
            </w:pPr>
            <w:r>
              <w:rPr>
                <w:rFonts w:ascii="Times New Roman"/>
                <w:sz w:val="18"/>
              </w:rPr>
              <w:t>1,525.71</w:t>
            </w:r>
          </w:p>
        </w:tc>
      </w:tr>
    </w:tbl>
    <w:p>
      <w:pPr>
        <w:pStyle w:val="BodyText"/>
        <w:spacing w:line="240" w:lineRule="auto" w:before="53"/>
        <w:ind w:right="0"/>
        <w:jc w:val="left"/>
      </w:pPr>
      <w:r>
        <w:rPr/>
        <w:t>上期金额</w:t>
      </w:r>
    </w:p>
    <w:p>
      <w:pPr>
        <w:pStyle w:val="BodyText"/>
        <w:spacing w:line="240" w:lineRule="auto" w:before="119"/>
        <w:ind w:left="0" w:right="1122"/>
        <w:jc w:val="right"/>
      </w:pPr>
      <w:r>
        <w:rPr>
          <w:spacing w:val="-2"/>
        </w:rPr>
        <w:t>单位：元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229"/>
        <w:gridCol w:w="595"/>
        <w:gridCol w:w="572"/>
        <w:gridCol w:w="576"/>
        <w:gridCol w:w="572"/>
        <w:gridCol w:w="682"/>
        <w:gridCol w:w="687"/>
        <w:gridCol w:w="686"/>
        <w:gridCol w:w="783"/>
        <w:gridCol w:w="662"/>
        <w:gridCol w:w="802"/>
        <w:gridCol w:w="797"/>
        <w:gridCol w:w="926"/>
      </w:tblGrid>
      <w:tr>
        <w:trPr>
          <w:trHeight w:val="398" w:hRule="exact"/>
        </w:trPr>
        <w:tc>
          <w:tcPr>
            <w:tcW w:w="122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8340"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8"/>
                <w:sz w:val="18"/>
                <w:szCs w:val="18"/>
              </w:rPr>
              <w:t> </w:t>
            </w:r>
            <w:r>
              <w:rPr>
                <w:rFonts w:ascii="宋体" w:hAnsi="宋体" w:cs="宋体" w:eastAsia="宋体" w:hint="default"/>
                <w:spacing w:val="-3"/>
                <w:sz w:val="18"/>
                <w:szCs w:val="18"/>
              </w:rPr>
              <w:t>年度</w:t>
            </w:r>
          </w:p>
        </w:tc>
      </w:tr>
      <w:tr>
        <w:trPr>
          <w:trHeight w:val="406" w:hRule="exact"/>
        </w:trPr>
        <w:tc>
          <w:tcPr>
            <w:tcW w:w="1229" w:type="dxa"/>
            <w:vMerge/>
            <w:tcBorders>
              <w:left w:val="single" w:sz="4" w:space="0" w:color="000000"/>
              <w:right w:val="single" w:sz="4" w:space="0" w:color="000000"/>
            </w:tcBorders>
            <w:shd w:val="clear" w:color="auto" w:fill="D2D2D2"/>
          </w:tcPr>
          <w:p>
            <w:pPr/>
          </w:p>
        </w:tc>
        <w:tc>
          <w:tcPr>
            <w:tcW w:w="5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5"/>
                <w:szCs w:val="25"/>
              </w:rPr>
            </w:pPr>
          </w:p>
          <w:p>
            <w:pPr>
              <w:pStyle w:val="TableParagraph"/>
              <w:spacing w:line="240" w:lineRule="auto"/>
              <w:ind w:left="115"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719"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317"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68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3"/>
                <w:szCs w:val="13"/>
              </w:rPr>
            </w:pPr>
          </w:p>
          <w:p>
            <w:pPr>
              <w:pStyle w:val="TableParagraph"/>
              <w:spacing w:line="321" w:lineRule="auto"/>
              <w:ind w:left="153" w:right="151"/>
              <w:jc w:val="left"/>
              <w:rPr>
                <w:rFonts w:ascii="宋体" w:hAnsi="宋体" w:cs="宋体" w:eastAsia="宋体" w:hint="default"/>
                <w:sz w:val="18"/>
                <w:szCs w:val="18"/>
              </w:rPr>
            </w:pPr>
            <w:r>
              <w:rPr>
                <w:rFonts w:ascii="宋体" w:hAnsi="宋体" w:cs="宋体" w:eastAsia="宋体" w:hint="default"/>
                <w:sz w:val="18"/>
                <w:szCs w:val="18"/>
              </w:rPr>
              <w:t>资本</w:t>
            </w:r>
            <w:r>
              <w:rPr>
                <w:rFonts w:ascii="宋体" w:hAnsi="宋体" w:cs="宋体" w:eastAsia="宋体" w:hint="default"/>
                <w:spacing w:val="-86"/>
                <w:sz w:val="18"/>
                <w:szCs w:val="18"/>
              </w:rPr>
              <w:t> </w:t>
            </w:r>
            <w:r>
              <w:rPr>
                <w:rFonts w:ascii="宋体" w:hAnsi="宋体" w:cs="宋体" w:eastAsia="宋体" w:hint="default"/>
                <w:sz w:val="18"/>
                <w:szCs w:val="18"/>
              </w:rPr>
              <w:t>公积</w:t>
            </w:r>
          </w:p>
        </w:tc>
        <w:tc>
          <w:tcPr>
            <w:tcW w:w="68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3"/>
                <w:szCs w:val="13"/>
              </w:rPr>
            </w:pPr>
          </w:p>
          <w:p>
            <w:pPr>
              <w:pStyle w:val="TableParagraph"/>
              <w:spacing w:line="321" w:lineRule="auto"/>
              <w:ind w:left="158" w:right="94" w:hanging="53"/>
              <w:jc w:val="left"/>
              <w:rPr>
                <w:rFonts w:ascii="宋体" w:hAnsi="宋体" w:cs="宋体" w:eastAsia="宋体" w:hint="default"/>
                <w:sz w:val="18"/>
                <w:szCs w:val="18"/>
              </w:rPr>
            </w:pPr>
            <w:r>
              <w:rPr>
                <w:rFonts w:ascii="宋体" w:hAnsi="宋体" w:cs="宋体" w:eastAsia="宋体" w:hint="default"/>
                <w:spacing w:val="-24"/>
                <w:w w:val="101"/>
                <w:sz w:val="18"/>
                <w:szCs w:val="18"/>
              </w:rPr>
              <w:t>减：库</w:t>
            </w:r>
            <w:r>
              <w:rPr>
                <w:rFonts w:ascii="宋体" w:hAnsi="宋体" w:cs="宋体" w:eastAsia="宋体" w:hint="default"/>
                <w:w w:val="101"/>
                <w:sz w:val="18"/>
                <w:szCs w:val="18"/>
              </w:rPr>
              <w:t> </w:t>
            </w:r>
            <w:r>
              <w:rPr>
                <w:rFonts w:ascii="宋体" w:hAnsi="宋体" w:cs="宋体" w:eastAsia="宋体" w:hint="default"/>
                <w:sz w:val="18"/>
                <w:szCs w:val="18"/>
              </w:rPr>
              <w:t>存股</w:t>
            </w:r>
          </w:p>
        </w:tc>
        <w:tc>
          <w:tcPr>
            <w:tcW w:w="68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9"/>
                <w:szCs w:val="19"/>
              </w:rPr>
            </w:pPr>
          </w:p>
          <w:p>
            <w:pPr>
              <w:pStyle w:val="TableParagraph"/>
              <w:spacing w:line="316" w:lineRule="auto"/>
              <w:ind w:left="158" w:right="151"/>
              <w:jc w:val="both"/>
              <w:rPr>
                <w:rFonts w:ascii="宋体" w:hAnsi="宋体" w:cs="宋体" w:eastAsia="宋体" w:hint="default"/>
                <w:sz w:val="18"/>
                <w:szCs w:val="18"/>
              </w:rPr>
            </w:pPr>
            <w:r>
              <w:rPr>
                <w:rFonts w:ascii="宋体" w:hAnsi="宋体" w:cs="宋体" w:eastAsia="宋体" w:hint="default"/>
                <w:sz w:val="18"/>
                <w:szCs w:val="18"/>
              </w:rPr>
              <w:t>其他</w:t>
            </w:r>
            <w:r>
              <w:rPr>
                <w:rFonts w:ascii="宋体" w:hAnsi="宋体" w:cs="宋体" w:eastAsia="宋体" w:hint="default"/>
                <w:spacing w:val="-86"/>
                <w:sz w:val="18"/>
                <w:szCs w:val="18"/>
              </w:rPr>
              <w:t> </w:t>
            </w:r>
            <w:r>
              <w:rPr>
                <w:rFonts w:ascii="宋体" w:hAnsi="宋体" w:cs="宋体" w:eastAsia="宋体" w:hint="default"/>
                <w:sz w:val="18"/>
                <w:szCs w:val="18"/>
              </w:rPr>
              <w:t>综合</w:t>
            </w:r>
            <w:r>
              <w:rPr>
                <w:rFonts w:ascii="宋体" w:hAnsi="宋体" w:cs="宋体" w:eastAsia="宋体" w:hint="default"/>
                <w:spacing w:val="-86"/>
                <w:sz w:val="18"/>
                <w:szCs w:val="18"/>
              </w:rPr>
              <w:t> </w:t>
            </w:r>
            <w:r>
              <w:rPr>
                <w:rFonts w:ascii="宋体" w:hAnsi="宋体" w:cs="宋体" w:eastAsia="宋体" w:hint="default"/>
                <w:sz w:val="18"/>
                <w:szCs w:val="18"/>
              </w:rPr>
              <w:t>收益</w:t>
            </w:r>
          </w:p>
        </w:tc>
        <w:tc>
          <w:tcPr>
            <w:tcW w:w="78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3"/>
                <w:szCs w:val="13"/>
              </w:rPr>
            </w:pPr>
          </w:p>
          <w:p>
            <w:pPr>
              <w:pStyle w:val="TableParagraph"/>
              <w:spacing w:line="321" w:lineRule="auto"/>
              <w:ind w:left="298" w:right="108" w:hanging="178"/>
              <w:jc w:val="left"/>
              <w:rPr>
                <w:rFonts w:ascii="宋体" w:hAnsi="宋体" w:cs="宋体" w:eastAsia="宋体" w:hint="default"/>
                <w:sz w:val="18"/>
                <w:szCs w:val="18"/>
              </w:rPr>
            </w:pPr>
            <w:r>
              <w:rPr>
                <w:rFonts w:ascii="宋体" w:hAnsi="宋体" w:cs="宋体" w:eastAsia="宋体" w:hint="default"/>
                <w:sz w:val="18"/>
                <w:szCs w:val="18"/>
              </w:rPr>
              <w:t>专项储</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备</w:t>
            </w:r>
          </w:p>
        </w:tc>
        <w:tc>
          <w:tcPr>
            <w:tcW w:w="66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3"/>
                <w:szCs w:val="13"/>
              </w:rPr>
            </w:pPr>
          </w:p>
          <w:p>
            <w:pPr>
              <w:pStyle w:val="TableParagraph"/>
              <w:spacing w:line="321" w:lineRule="auto"/>
              <w:ind w:left="143" w:right="143"/>
              <w:jc w:val="left"/>
              <w:rPr>
                <w:rFonts w:ascii="宋体" w:hAnsi="宋体" w:cs="宋体" w:eastAsia="宋体" w:hint="default"/>
                <w:sz w:val="18"/>
                <w:szCs w:val="18"/>
              </w:rPr>
            </w:pPr>
            <w:r>
              <w:rPr>
                <w:rFonts w:ascii="宋体" w:hAnsi="宋体" w:cs="宋体" w:eastAsia="宋体" w:hint="default"/>
                <w:sz w:val="18"/>
                <w:szCs w:val="18"/>
              </w:rPr>
              <w:t>盈余</w:t>
            </w:r>
            <w:r>
              <w:rPr>
                <w:rFonts w:ascii="宋体" w:hAnsi="宋体" w:cs="宋体" w:eastAsia="宋体" w:hint="default"/>
                <w:spacing w:val="-86"/>
                <w:sz w:val="18"/>
                <w:szCs w:val="18"/>
              </w:rPr>
              <w:t> </w:t>
            </w:r>
            <w:r>
              <w:rPr>
                <w:rFonts w:ascii="宋体" w:hAnsi="宋体" w:cs="宋体" w:eastAsia="宋体" w:hint="default"/>
                <w:sz w:val="18"/>
                <w:szCs w:val="18"/>
              </w:rPr>
              <w:t>公积</w:t>
            </w:r>
          </w:p>
        </w:tc>
        <w:tc>
          <w:tcPr>
            <w:tcW w:w="80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3"/>
                <w:szCs w:val="13"/>
              </w:rPr>
            </w:pPr>
          </w:p>
          <w:p>
            <w:pPr>
              <w:pStyle w:val="TableParagraph"/>
              <w:spacing w:line="321" w:lineRule="auto"/>
              <w:ind w:left="216" w:right="122" w:hanging="92"/>
              <w:jc w:val="left"/>
              <w:rPr>
                <w:rFonts w:ascii="宋体" w:hAnsi="宋体" w:cs="宋体" w:eastAsia="宋体" w:hint="default"/>
                <w:sz w:val="18"/>
                <w:szCs w:val="18"/>
              </w:rPr>
            </w:pPr>
            <w:r>
              <w:rPr>
                <w:rFonts w:ascii="宋体" w:hAnsi="宋体" w:cs="宋体" w:eastAsia="宋体" w:hint="default"/>
                <w:sz w:val="18"/>
                <w:szCs w:val="18"/>
              </w:rPr>
              <w:t>未分配</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利润</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5"/>
                <w:szCs w:val="25"/>
              </w:rPr>
            </w:pPr>
          </w:p>
          <w:p>
            <w:pPr>
              <w:pStyle w:val="TableParagraph"/>
              <w:spacing w:line="240" w:lineRule="auto"/>
              <w:ind w:left="21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92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9"/>
                <w:szCs w:val="19"/>
              </w:rPr>
            </w:pPr>
          </w:p>
          <w:p>
            <w:pPr>
              <w:pStyle w:val="TableParagraph"/>
              <w:spacing w:line="316" w:lineRule="auto"/>
              <w:ind w:left="187" w:right="185"/>
              <w:jc w:val="center"/>
              <w:rPr>
                <w:rFonts w:ascii="宋体" w:hAnsi="宋体" w:cs="宋体" w:eastAsia="宋体" w:hint="default"/>
                <w:sz w:val="18"/>
                <w:szCs w:val="18"/>
              </w:rPr>
            </w:pPr>
            <w:r>
              <w:rPr>
                <w:rFonts w:ascii="宋体" w:hAnsi="宋体" w:cs="宋体" w:eastAsia="宋体" w:hint="default"/>
                <w:spacing w:val="-2"/>
                <w:sz w:val="18"/>
                <w:szCs w:val="18"/>
              </w:rPr>
              <w:t>所有者</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2"/>
                <w:sz w:val="18"/>
                <w:szCs w:val="18"/>
              </w:rPr>
              <w:t>权益合</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计</w:t>
            </w:r>
          </w:p>
        </w:tc>
      </w:tr>
      <w:tr>
        <w:trPr>
          <w:trHeight w:val="1025" w:hRule="exact"/>
        </w:trPr>
        <w:tc>
          <w:tcPr>
            <w:tcW w:w="1229" w:type="dxa"/>
            <w:vMerge/>
            <w:tcBorders>
              <w:left w:val="single" w:sz="4" w:space="0" w:color="000000"/>
              <w:bottom w:val="single" w:sz="4" w:space="0" w:color="000000"/>
              <w:right w:val="single" w:sz="4" w:space="0" w:color="000000"/>
            </w:tcBorders>
            <w:shd w:val="clear" w:color="auto" w:fill="D2D2D2"/>
          </w:tcPr>
          <w:p>
            <w:pPr/>
          </w:p>
        </w:tc>
        <w:tc>
          <w:tcPr>
            <w:tcW w:w="595" w:type="dxa"/>
            <w:vMerge/>
            <w:tcBorders>
              <w:left w:val="single" w:sz="4" w:space="0" w:color="000000"/>
              <w:bottom w:val="single" w:sz="4" w:space="0" w:color="000000"/>
              <w:right w:val="single" w:sz="4" w:space="0" w:color="000000"/>
            </w:tcBorders>
            <w:shd w:val="clear" w:color="auto" w:fill="D2D2D2"/>
          </w:tcPr>
          <w:p>
            <w:pPr/>
          </w:p>
        </w:tc>
        <w:tc>
          <w:tcPr>
            <w:tcW w:w="5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6"/>
              <w:ind w:left="192" w:right="185"/>
              <w:jc w:val="both"/>
              <w:rPr>
                <w:rFonts w:ascii="宋体" w:hAnsi="宋体" w:cs="宋体" w:eastAsia="宋体" w:hint="default"/>
                <w:sz w:val="18"/>
                <w:szCs w:val="18"/>
              </w:rPr>
            </w:pPr>
            <w:r>
              <w:rPr>
                <w:rFonts w:ascii="宋体" w:hAnsi="宋体" w:cs="宋体" w:eastAsia="宋体" w:hint="default"/>
                <w:sz w:val="18"/>
                <w:szCs w:val="18"/>
              </w:rPr>
              <w:t>优</w:t>
            </w:r>
            <w:r>
              <w:rPr>
                <w:rFonts w:ascii="宋体" w:hAnsi="宋体" w:cs="宋体" w:eastAsia="宋体" w:hint="default"/>
                <w:spacing w:val="-88"/>
                <w:sz w:val="18"/>
                <w:szCs w:val="18"/>
              </w:rPr>
              <w:t> </w:t>
            </w:r>
            <w:r>
              <w:rPr>
                <w:rFonts w:ascii="宋体" w:hAnsi="宋体" w:cs="宋体" w:eastAsia="宋体" w:hint="default"/>
                <w:sz w:val="18"/>
                <w:szCs w:val="18"/>
              </w:rPr>
              <w:t>先</w:t>
            </w:r>
            <w:r>
              <w:rPr>
                <w:rFonts w:ascii="宋体" w:hAnsi="宋体" w:cs="宋体" w:eastAsia="宋体" w:hint="default"/>
                <w:spacing w:val="-88"/>
                <w:sz w:val="18"/>
                <w:szCs w:val="18"/>
              </w:rPr>
              <w:t> </w:t>
            </w:r>
            <w:r>
              <w:rPr>
                <w:rFonts w:ascii="宋体" w:hAnsi="宋体" w:cs="宋体" w:eastAsia="宋体" w:hint="default"/>
                <w:sz w:val="18"/>
                <w:szCs w:val="18"/>
              </w:rPr>
              <w:t>股</w:t>
            </w:r>
          </w:p>
        </w:tc>
        <w:tc>
          <w:tcPr>
            <w:tcW w:w="5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6"/>
              <w:ind w:left="191" w:right="191"/>
              <w:jc w:val="both"/>
              <w:rPr>
                <w:rFonts w:ascii="宋体" w:hAnsi="宋体" w:cs="宋体" w:eastAsia="宋体" w:hint="default"/>
                <w:sz w:val="18"/>
                <w:szCs w:val="18"/>
              </w:rPr>
            </w:pPr>
            <w:r>
              <w:rPr>
                <w:rFonts w:ascii="宋体" w:hAnsi="宋体" w:cs="宋体" w:eastAsia="宋体" w:hint="default"/>
                <w:sz w:val="18"/>
                <w:szCs w:val="18"/>
              </w:rPr>
              <w:t>永</w:t>
            </w:r>
            <w:r>
              <w:rPr>
                <w:rFonts w:ascii="宋体" w:hAnsi="宋体" w:cs="宋体" w:eastAsia="宋体" w:hint="default"/>
                <w:spacing w:val="-88"/>
                <w:sz w:val="18"/>
                <w:szCs w:val="18"/>
              </w:rPr>
              <w:t> </w:t>
            </w:r>
            <w:r>
              <w:rPr>
                <w:rFonts w:ascii="宋体" w:hAnsi="宋体" w:cs="宋体" w:eastAsia="宋体" w:hint="default"/>
                <w:sz w:val="18"/>
                <w:szCs w:val="18"/>
              </w:rPr>
              <w:t>续</w:t>
            </w:r>
            <w:r>
              <w:rPr>
                <w:rFonts w:ascii="宋体" w:hAnsi="宋体" w:cs="宋体" w:eastAsia="宋体" w:hint="default"/>
                <w:spacing w:val="-88"/>
                <w:sz w:val="18"/>
                <w:szCs w:val="18"/>
              </w:rPr>
              <w:t> </w:t>
            </w:r>
            <w:r>
              <w:rPr>
                <w:rFonts w:ascii="宋体" w:hAnsi="宋体" w:cs="宋体" w:eastAsia="宋体" w:hint="default"/>
                <w:sz w:val="18"/>
                <w:szCs w:val="18"/>
              </w:rPr>
              <w:t>债</w:t>
            </w:r>
          </w:p>
        </w:tc>
        <w:tc>
          <w:tcPr>
            <w:tcW w:w="5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宋体" w:hAnsi="宋体" w:cs="宋体" w:eastAsia="宋体" w:hint="default"/>
                <w:sz w:val="16"/>
                <w:szCs w:val="16"/>
              </w:rPr>
            </w:pPr>
          </w:p>
          <w:p>
            <w:pPr>
              <w:pStyle w:val="TableParagraph"/>
              <w:spacing w:line="316" w:lineRule="auto"/>
              <w:ind w:left="187" w:right="190"/>
              <w:jc w:val="left"/>
              <w:rPr>
                <w:rFonts w:ascii="宋体" w:hAnsi="宋体" w:cs="宋体" w:eastAsia="宋体" w:hint="default"/>
                <w:sz w:val="18"/>
                <w:szCs w:val="18"/>
              </w:rPr>
            </w:pPr>
            <w:r>
              <w:rPr>
                <w:rFonts w:ascii="宋体" w:hAnsi="宋体" w:cs="宋体" w:eastAsia="宋体" w:hint="default"/>
                <w:sz w:val="18"/>
                <w:szCs w:val="18"/>
              </w:rPr>
              <w:t>其</w:t>
            </w:r>
            <w:r>
              <w:rPr>
                <w:rFonts w:ascii="宋体" w:hAnsi="宋体" w:cs="宋体" w:eastAsia="宋体" w:hint="default"/>
                <w:spacing w:val="-88"/>
                <w:sz w:val="18"/>
                <w:szCs w:val="18"/>
              </w:rPr>
              <w:t> </w:t>
            </w:r>
            <w:r>
              <w:rPr>
                <w:rFonts w:ascii="宋体" w:hAnsi="宋体" w:cs="宋体" w:eastAsia="宋体" w:hint="default"/>
                <w:sz w:val="18"/>
                <w:szCs w:val="18"/>
              </w:rPr>
              <w:t>他</w:t>
            </w:r>
          </w:p>
        </w:tc>
        <w:tc>
          <w:tcPr>
            <w:tcW w:w="682" w:type="dxa"/>
            <w:vMerge/>
            <w:tcBorders>
              <w:left w:val="single" w:sz="4" w:space="0" w:color="000000"/>
              <w:bottom w:val="single" w:sz="4" w:space="0" w:color="000000"/>
              <w:right w:val="single" w:sz="4" w:space="0" w:color="000000"/>
            </w:tcBorders>
            <w:shd w:val="clear" w:color="auto" w:fill="D2D2D2"/>
          </w:tcPr>
          <w:p>
            <w:pPr/>
          </w:p>
        </w:tc>
        <w:tc>
          <w:tcPr>
            <w:tcW w:w="687" w:type="dxa"/>
            <w:vMerge/>
            <w:tcBorders>
              <w:left w:val="single" w:sz="4" w:space="0" w:color="000000"/>
              <w:bottom w:val="single" w:sz="4" w:space="0" w:color="000000"/>
              <w:right w:val="single" w:sz="4" w:space="0" w:color="000000"/>
            </w:tcBorders>
            <w:shd w:val="clear" w:color="auto" w:fill="D2D2D2"/>
          </w:tcPr>
          <w:p>
            <w:pPr/>
          </w:p>
        </w:tc>
        <w:tc>
          <w:tcPr>
            <w:tcW w:w="686" w:type="dxa"/>
            <w:vMerge/>
            <w:tcBorders>
              <w:left w:val="single" w:sz="4" w:space="0" w:color="000000"/>
              <w:bottom w:val="single" w:sz="4" w:space="0" w:color="000000"/>
              <w:right w:val="single" w:sz="4" w:space="0" w:color="000000"/>
            </w:tcBorders>
            <w:shd w:val="clear" w:color="auto" w:fill="D2D2D2"/>
          </w:tcPr>
          <w:p>
            <w:pPr/>
          </w:p>
        </w:tc>
        <w:tc>
          <w:tcPr>
            <w:tcW w:w="783" w:type="dxa"/>
            <w:vMerge/>
            <w:tcBorders>
              <w:left w:val="single" w:sz="4" w:space="0" w:color="000000"/>
              <w:bottom w:val="single" w:sz="4" w:space="0" w:color="000000"/>
              <w:right w:val="single" w:sz="4" w:space="0" w:color="000000"/>
            </w:tcBorders>
            <w:shd w:val="clear" w:color="auto" w:fill="D2D2D2"/>
          </w:tcPr>
          <w:p>
            <w:pPr/>
          </w:p>
        </w:tc>
        <w:tc>
          <w:tcPr>
            <w:tcW w:w="662" w:type="dxa"/>
            <w:vMerge/>
            <w:tcBorders>
              <w:left w:val="single" w:sz="4" w:space="0" w:color="000000"/>
              <w:bottom w:val="single" w:sz="4" w:space="0" w:color="000000"/>
              <w:right w:val="single" w:sz="4" w:space="0" w:color="000000"/>
            </w:tcBorders>
            <w:shd w:val="clear" w:color="auto" w:fill="D2D2D2"/>
          </w:tcPr>
          <w:p>
            <w:pPr/>
          </w:p>
        </w:tc>
        <w:tc>
          <w:tcPr>
            <w:tcW w:w="802"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926" w:type="dxa"/>
            <w:vMerge/>
            <w:tcBorders>
              <w:left w:val="single" w:sz="4" w:space="0" w:color="000000"/>
              <w:bottom w:val="single" w:sz="4" w:space="0" w:color="000000"/>
              <w:right w:val="single" w:sz="4" w:space="0" w:color="000000"/>
            </w:tcBorders>
            <w:shd w:val="clear" w:color="auto" w:fill="D2D2D2"/>
          </w:tcPr>
          <w:p>
            <w:pPr/>
          </w:p>
        </w:tc>
      </w:tr>
      <w:tr>
        <w:trPr>
          <w:trHeight w:val="1340"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24" w:lineRule="auto" w:before="130"/>
              <w:ind w:left="105" w:right="94"/>
              <w:jc w:val="left"/>
              <w:rPr>
                <w:rFonts w:ascii="宋体" w:hAnsi="宋体" w:cs="宋体" w:eastAsia="宋体" w:hint="default"/>
                <w:sz w:val="18"/>
                <w:szCs w:val="18"/>
              </w:rPr>
            </w:pPr>
            <w:r>
              <w:rPr>
                <w:rFonts w:ascii="宋体" w:hAnsi="宋体" w:cs="宋体" w:eastAsia="宋体" w:hint="default"/>
                <w:spacing w:val="-13"/>
                <w:sz w:val="18"/>
                <w:szCs w:val="18"/>
              </w:rPr>
              <w:t>一、上年期末</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余额</w:t>
            </w:r>
          </w:p>
        </w:tc>
        <w:tc>
          <w:tcPr>
            <w:tcW w:w="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79" w:right="0"/>
              <w:jc w:val="center"/>
              <w:rPr>
                <w:rFonts w:ascii="Times New Roman" w:hAnsi="Times New Roman" w:cs="Times New Roman" w:eastAsia="Times New Roman" w:hint="default"/>
                <w:sz w:val="18"/>
                <w:szCs w:val="18"/>
              </w:rPr>
            </w:pPr>
            <w:r>
              <w:rPr>
                <w:rFonts w:ascii="Times New Roman"/>
                <w:spacing w:val="-3"/>
                <w:sz w:val="18"/>
              </w:rPr>
              <w:t>611,</w:t>
            </w:r>
          </w:p>
          <w:p>
            <w:pPr>
              <w:pStyle w:val="TableParagraph"/>
              <w:spacing w:line="240" w:lineRule="auto" w:before="105"/>
              <w:ind w:left="69" w:right="0"/>
              <w:jc w:val="center"/>
              <w:rPr>
                <w:rFonts w:ascii="Times New Roman" w:hAnsi="Times New Roman" w:cs="Times New Roman" w:eastAsia="Times New Roman" w:hint="default"/>
                <w:sz w:val="18"/>
                <w:szCs w:val="18"/>
              </w:rPr>
            </w:pPr>
            <w:r>
              <w:rPr>
                <w:rFonts w:ascii="Times New Roman"/>
                <w:sz w:val="18"/>
              </w:rPr>
              <w:t>385,</w:t>
            </w:r>
          </w:p>
          <w:p>
            <w:pPr>
              <w:pStyle w:val="TableParagraph"/>
              <w:spacing w:line="240" w:lineRule="auto" w:before="105"/>
              <w:ind w:left="69" w:right="0"/>
              <w:jc w:val="center"/>
              <w:rPr>
                <w:rFonts w:ascii="Times New Roman" w:hAnsi="Times New Roman" w:cs="Times New Roman" w:eastAsia="Times New Roman" w:hint="default"/>
                <w:sz w:val="18"/>
                <w:szCs w:val="18"/>
              </w:rPr>
            </w:pPr>
            <w:r>
              <w:rPr>
                <w:rFonts w:ascii="Times New Roman"/>
                <w:sz w:val="18"/>
              </w:rPr>
              <w:t>834.</w:t>
            </w:r>
          </w:p>
          <w:p>
            <w:pPr>
              <w:pStyle w:val="TableParagraph"/>
              <w:spacing w:line="240" w:lineRule="auto" w:before="110"/>
              <w:ind w:left="211" w:right="0"/>
              <w:jc w:val="center"/>
              <w:rPr>
                <w:rFonts w:ascii="Times New Roman" w:hAnsi="Times New Roman" w:cs="Times New Roman" w:eastAsia="Times New Roman" w:hint="default"/>
                <w:sz w:val="18"/>
                <w:szCs w:val="18"/>
              </w:rPr>
            </w:pPr>
            <w:r>
              <w:rPr>
                <w:rFonts w:ascii="Times New Roman"/>
                <w:sz w:val="18"/>
              </w:rPr>
              <w:t>00</w:t>
            </w: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67" w:right="0"/>
              <w:jc w:val="left"/>
              <w:rPr>
                <w:rFonts w:ascii="Times New Roman" w:hAnsi="Times New Roman" w:cs="Times New Roman" w:eastAsia="Times New Roman" w:hint="default"/>
                <w:sz w:val="18"/>
                <w:szCs w:val="18"/>
              </w:rPr>
            </w:pPr>
            <w:r>
              <w:rPr>
                <w:rFonts w:ascii="Times New Roman"/>
                <w:sz w:val="18"/>
              </w:rPr>
              <w:t>188,1</w:t>
            </w:r>
          </w:p>
          <w:p>
            <w:pPr>
              <w:pStyle w:val="TableParagraph"/>
              <w:spacing w:line="240" w:lineRule="auto" w:before="100"/>
              <w:ind w:left="167" w:right="0"/>
              <w:jc w:val="left"/>
              <w:rPr>
                <w:rFonts w:ascii="Times New Roman" w:hAnsi="Times New Roman" w:cs="Times New Roman" w:eastAsia="Times New Roman" w:hint="default"/>
                <w:sz w:val="18"/>
                <w:szCs w:val="18"/>
              </w:rPr>
            </w:pPr>
            <w:r>
              <w:rPr>
                <w:rFonts w:ascii="Times New Roman"/>
                <w:sz w:val="18"/>
              </w:rPr>
              <w:t>50,80</w:t>
            </w:r>
          </w:p>
          <w:p>
            <w:pPr>
              <w:pStyle w:val="TableParagraph"/>
              <w:spacing w:line="240" w:lineRule="auto" w:before="110"/>
              <w:ind w:left="254" w:right="0"/>
              <w:jc w:val="left"/>
              <w:rPr>
                <w:rFonts w:ascii="Times New Roman" w:hAnsi="Times New Roman" w:cs="Times New Roman" w:eastAsia="Times New Roman" w:hint="default"/>
                <w:sz w:val="18"/>
                <w:szCs w:val="18"/>
              </w:rPr>
            </w:pPr>
            <w:r>
              <w:rPr>
                <w:rFonts w:ascii="Times New Roman"/>
                <w:sz w:val="18"/>
              </w:rPr>
              <w:t>7.79</w:t>
            </w:r>
          </w:p>
        </w:tc>
        <w:tc>
          <w:tcPr>
            <w:tcW w:w="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72" w:right="0"/>
              <w:jc w:val="left"/>
              <w:rPr>
                <w:rFonts w:ascii="Times New Roman" w:hAnsi="Times New Roman" w:cs="Times New Roman" w:eastAsia="Times New Roman" w:hint="default"/>
                <w:sz w:val="18"/>
                <w:szCs w:val="18"/>
              </w:rPr>
            </w:pPr>
            <w:r>
              <w:rPr>
                <w:rFonts w:ascii="Times New Roman"/>
                <w:sz w:val="18"/>
              </w:rPr>
              <w:t>17,64</w:t>
            </w:r>
          </w:p>
          <w:p>
            <w:pPr>
              <w:pStyle w:val="TableParagraph"/>
              <w:spacing w:line="240" w:lineRule="auto" w:before="100"/>
              <w:ind w:left="124" w:right="0"/>
              <w:jc w:val="left"/>
              <w:rPr>
                <w:rFonts w:ascii="Times New Roman" w:hAnsi="Times New Roman" w:cs="Times New Roman" w:eastAsia="Times New Roman" w:hint="default"/>
                <w:sz w:val="18"/>
                <w:szCs w:val="18"/>
              </w:rPr>
            </w:pPr>
            <w:r>
              <w:rPr>
                <w:rFonts w:ascii="Times New Roman"/>
                <w:sz w:val="18"/>
              </w:rPr>
              <w:t>2,220.</w:t>
            </w:r>
          </w:p>
          <w:p>
            <w:pPr>
              <w:pStyle w:val="TableParagraph"/>
              <w:spacing w:line="240" w:lineRule="auto" w:before="110"/>
              <w:ind w:left="398" w:right="0"/>
              <w:jc w:val="left"/>
              <w:rPr>
                <w:rFonts w:ascii="Times New Roman" w:hAnsi="Times New Roman" w:cs="Times New Roman" w:eastAsia="Times New Roman" w:hint="default"/>
                <w:sz w:val="18"/>
                <w:szCs w:val="18"/>
              </w:rPr>
            </w:pPr>
            <w:r>
              <w:rPr>
                <w:rFonts w:ascii="Times New Roman"/>
                <w:sz w:val="18"/>
              </w:rPr>
              <w:t>00</w:t>
            </w:r>
          </w:p>
        </w:tc>
        <w:tc>
          <w:tcPr>
            <w:tcW w:w="686" w:type="dxa"/>
            <w:tcBorders>
              <w:top w:val="single" w:sz="4" w:space="0" w:color="000000"/>
              <w:left w:val="single" w:sz="4" w:space="0" w:color="000000"/>
              <w:bottom w:val="single" w:sz="4" w:space="0" w:color="000000"/>
              <w:right w:val="single" w:sz="4" w:space="0" w:color="000000"/>
            </w:tcBorders>
          </w:tcPr>
          <w:p>
            <w:pPr/>
          </w:p>
        </w:tc>
        <w:tc>
          <w:tcPr>
            <w:tcW w:w="78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52" w:right="0"/>
              <w:jc w:val="center"/>
              <w:rPr>
                <w:rFonts w:ascii="Times New Roman" w:hAnsi="Times New Roman" w:cs="Times New Roman" w:eastAsia="Times New Roman" w:hint="default"/>
                <w:sz w:val="18"/>
                <w:szCs w:val="18"/>
              </w:rPr>
            </w:pPr>
            <w:r>
              <w:rPr>
                <w:rFonts w:ascii="Times New Roman"/>
                <w:sz w:val="18"/>
              </w:rPr>
              <w:t>44,30</w:t>
            </w:r>
          </w:p>
          <w:p>
            <w:pPr>
              <w:pStyle w:val="TableParagraph"/>
              <w:spacing w:line="240" w:lineRule="auto" w:before="100"/>
              <w:ind w:left="52" w:right="0"/>
              <w:jc w:val="center"/>
              <w:rPr>
                <w:rFonts w:ascii="Times New Roman" w:hAnsi="Times New Roman" w:cs="Times New Roman" w:eastAsia="Times New Roman" w:hint="default"/>
                <w:sz w:val="18"/>
                <w:szCs w:val="18"/>
              </w:rPr>
            </w:pPr>
            <w:r>
              <w:rPr>
                <w:rFonts w:ascii="Times New Roman"/>
                <w:sz w:val="18"/>
              </w:rPr>
              <w:t>0,266</w:t>
            </w:r>
          </w:p>
          <w:p>
            <w:pPr>
              <w:pStyle w:val="TableParagraph"/>
              <w:spacing w:line="240" w:lineRule="auto" w:before="110"/>
              <w:ind w:left="230" w:right="0"/>
              <w:jc w:val="center"/>
              <w:rPr>
                <w:rFonts w:ascii="Times New Roman" w:hAnsi="Times New Roman" w:cs="Times New Roman" w:eastAsia="Times New Roman" w:hint="default"/>
                <w:sz w:val="18"/>
                <w:szCs w:val="18"/>
              </w:rPr>
            </w:pPr>
            <w:r>
              <w:rPr>
                <w:rFonts w:ascii="Times New Roman"/>
                <w:sz w:val="18"/>
              </w:rPr>
              <w:t>.13</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199,95</w:t>
            </w:r>
          </w:p>
          <w:p>
            <w:pPr>
              <w:pStyle w:val="TableParagraph"/>
              <w:spacing w:line="240" w:lineRule="auto" w:before="100"/>
              <w:ind w:right="98"/>
              <w:jc w:val="right"/>
              <w:rPr>
                <w:rFonts w:ascii="Times New Roman" w:hAnsi="Times New Roman" w:cs="Times New Roman" w:eastAsia="Times New Roman" w:hint="default"/>
                <w:sz w:val="18"/>
                <w:szCs w:val="18"/>
              </w:rPr>
            </w:pPr>
            <w:r>
              <w:rPr>
                <w:rFonts w:ascii="Times New Roman"/>
                <w:spacing w:val="-1"/>
                <w:sz w:val="18"/>
              </w:rPr>
              <w:t>5,528.4</w:t>
            </w:r>
          </w:p>
          <w:p>
            <w:pPr>
              <w:pStyle w:val="TableParagraph"/>
              <w:spacing w:line="240" w:lineRule="auto" w:before="110"/>
              <w:ind w:right="103"/>
              <w:jc w:val="right"/>
              <w:rPr>
                <w:rFonts w:ascii="Times New Roman" w:hAnsi="Times New Roman" w:cs="Times New Roman" w:eastAsia="Times New Roman" w:hint="default"/>
                <w:sz w:val="18"/>
                <w:szCs w:val="18"/>
              </w:rPr>
            </w:pPr>
            <w:r>
              <w:rPr>
                <w:rFonts w:ascii="Times New Roman"/>
                <w:w w:val="101"/>
                <w:sz w:val="18"/>
              </w:rPr>
              <w:t>8</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187" w:right="0"/>
              <w:jc w:val="left"/>
              <w:rPr>
                <w:rFonts w:ascii="Times New Roman" w:hAnsi="Times New Roman" w:cs="Times New Roman" w:eastAsia="Times New Roman" w:hint="default"/>
                <w:sz w:val="18"/>
                <w:szCs w:val="18"/>
              </w:rPr>
            </w:pPr>
            <w:r>
              <w:rPr>
                <w:rFonts w:ascii="Times New Roman"/>
                <w:sz w:val="18"/>
              </w:rPr>
              <w:t>1,026,15</w:t>
            </w:r>
          </w:p>
          <w:p>
            <w:pPr>
              <w:pStyle w:val="TableParagraph"/>
              <w:spacing w:line="240" w:lineRule="auto" w:before="110"/>
              <w:ind w:left="187" w:right="0"/>
              <w:jc w:val="left"/>
              <w:rPr>
                <w:rFonts w:ascii="Times New Roman" w:hAnsi="Times New Roman" w:cs="Times New Roman" w:eastAsia="Times New Roman" w:hint="default"/>
                <w:sz w:val="18"/>
                <w:szCs w:val="18"/>
              </w:rPr>
            </w:pPr>
            <w:r>
              <w:rPr>
                <w:rFonts w:ascii="Times New Roman"/>
                <w:sz w:val="18"/>
              </w:rPr>
              <w:t>0,216.40</w:t>
            </w:r>
          </w:p>
        </w:tc>
      </w:tr>
      <w:tr>
        <w:trPr>
          <w:trHeight w:val="715"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05" w:right="94" w:firstLine="360"/>
              <w:jc w:val="left"/>
              <w:rPr>
                <w:rFonts w:ascii="宋体" w:hAnsi="宋体" w:cs="宋体" w:eastAsia="宋体" w:hint="default"/>
                <w:sz w:val="18"/>
                <w:szCs w:val="18"/>
              </w:rPr>
            </w:pPr>
            <w:r>
              <w:rPr>
                <w:rFonts w:ascii="宋体" w:hAnsi="宋体" w:cs="宋体" w:eastAsia="宋体" w:hint="default"/>
                <w:spacing w:val="-19"/>
                <w:sz w:val="18"/>
                <w:szCs w:val="18"/>
              </w:rPr>
              <w:t>加：会计</w:t>
            </w:r>
            <w:r>
              <w:rPr>
                <w:rFonts w:ascii="宋体" w:hAnsi="宋体" w:cs="宋体" w:eastAsia="宋体" w:hint="default"/>
                <w:w w:val="101"/>
                <w:sz w:val="18"/>
                <w:szCs w:val="18"/>
              </w:rPr>
              <w:t> </w:t>
            </w:r>
            <w:r>
              <w:rPr>
                <w:rFonts w:ascii="宋体" w:hAnsi="宋体" w:cs="宋体" w:eastAsia="宋体" w:hint="default"/>
                <w:sz w:val="18"/>
                <w:szCs w:val="18"/>
              </w:rPr>
              <w:t>政策变更</w:t>
            </w:r>
          </w:p>
        </w:tc>
        <w:tc>
          <w:tcPr>
            <w:tcW w:w="595"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78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26" w:type="dxa"/>
            <w:tcBorders>
              <w:top w:val="single" w:sz="4" w:space="0" w:color="000000"/>
              <w:left w:val="single" w:sz="4" w:space="0" w:color="000000"/>
              <w:bottom w:val="single" w:sz="4" w:space="0" w:color="000000"/>
              <w:right w:val="single" w:sz="4" w:space="0" w:color="000000"/>
            </w:tcBorders>
          </w:tcPr>
          <w:p>
            <w:pPr/>
          </w:p>
        </w:tc>
      </w:tr>
      <w:tr>
        <w:trPr>
          <w:trHeight w:val="711"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4"/>
              <w:ind w:left="105" w:right="209" w:firstLine="72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w w:val="101"/>
                <w:sz w:val="18"/>
                <w:szCs w:val="18"/>
              </w:rPr>
              <w:t> </w:t>
            </w:r>
            <w:r>
              <w:rPr>
                <w:rFonts w:ascii="宋体" w:hAnsi="宋体" w:cs="宋体" w:eastAsia="宋体" w:hint="default"/>
                <w:spacing w:val="-2"/>
                <w:sz w:val="18"/>
                <w:szCs w:val="18"/>
              </w:rPr>
              <w:t>期差错更正</w:t>
            </w:r>
          </w:p>
        </w:tc>
        <w:tc>
          <w:tcPr>
            <w:tcW w:w="595"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78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26"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right="209"/>
              <w:jc w:val="right"/>
              <w:rPr>
                <w:rFonts w:ascii="宋体" w:hAnsi="宋体" w:cs="宋体" w:eastAsia="宋体" w:hint="default"/>
                <w:sz w:val="18"/>
                <w:szCs w:val="18"/>
              </w:rPr>
            </w:pPr>
            <w:r>
              <w:rPr>
                <w:rFonts w:ascii="宋体" w:hAnsi="宋体" w:cs="宋体" w:eastAsia="宋体" w:hint="default"/>
                <w:w w:val="101"/>
                <w:sz w:val="18"/>
                <w:szCs w:val="18"/>
              </w:rPr>
              <w:t>其</w:t>
            </w:r>
            <w:r>
              <w:rPr>
                <w:rFonts w:ascii="宋体" w:hAnsi="宋体" w:cs="宋体" w:eastAsia="宋体" w:hint="default"/>
                <w:sz w:val="18"/>
                <w:szCs w:val="18"/>
              </w:rPr>
            </w:r>
          </w:p>
          <w:p>
            <w:pPr>
              <w:pStyle w:val="TableParagraph"/>
              <w:spacing w:line="240" w:lineRule="auto" w:before="76"/>
              <w:ind w:left="105" w:right="0"/>
              <w:jc w:val="left"/>
              <w:rPr>
                <w:rFonts w:ascii="宋体" w:hAnsi="宋体" w:cs="宋体" w:eastAsia="宋体" w:hint="default"/>
                <w:sz w:val="18"/>
                <w:szCs w:val="18"/>
              </w:rPr>
            </w:pPr>
            <w:r>
              <w:rPr>
                <w:rFonts w:ascii="宋体" w:hAnsi="宋体" w:cs="宋体" w:eastAsia="宋体" w:hint="default"/>
                <w:w w:val="101"/>
                <w:sz w:val="18"/>
                <w:szCs w:val="18"/>
              </w:rPr>
              <w:t>他</w:t>
            </w:r>
            <w:r>
              <w:rPr>
                <w:rFonts w:ascii="宋体" w:hAnsi="宋体" w:cs="宋体" w:eastAsia="宋体" w:hint="default"/>
                <w:sz w:val="18"/>
                <w:szCs w:val="18"/>
              </w:rPr>
            </w:r>
          </w:p>
        </w:tc>
        <w:tc>
          <w:tcPr>
            <w:tcW w:w="595"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78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26" w:type="dxa"/>
            <w:tcBorders>
              <w:top w:val="single" w:sz="4" w:space="0" w:color="000000"/>
              <w:left w:val="single" w:sz="4" w:space="0" w:color="000000"/>
              <w:bottom w:val="single" w:sz="4" w:space="0" w:color="000000"/>
              <w:right w:val="single" w:sz="4" w:space="0" w:color="000000"/>
            </w:tcBorders>
          </w:tcPr>
          <w:p>
            <w:pPr/>
          </w:p>
        </w:tc>
      </w:tr>
      <w:tr>
        <w:trPr>
          <w:trHeight w:val="1340"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21" w:lineRule="auto" w:before="130"/>
              <w:ind w:left="105" w:right="94"/>
              <w:jc w:val="left"/>
              <w:rPr>
                <w:rFonts w:ascii="宋体" w:hAnsi="宋体" w:cs="宋体" w:eastAsia="宋体" w:hint="default"/>
                <w:sz w:val="18"/>
                <w:szCs w:val="18"/>
              </w:rPr>
            </w:pPr>
            <w:r>
              <w:rPr>
                <w:rFonts w:ascii="宋体" w:hAnsi="宋体" w:cs="宋体" w:eastAsia="宋体" w:hint="default"/>
                <w:spacing w:val="-13"/>
                <w:sz w:val="18"/>
                <w:szCs w:val="18"/>
              </w:rPr>
              <w:t>二、本年期初</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余额</w:t>
            </w:r>
          </w:p>
        </w:tc>
        <w:tc>
          <w:tcPr>
            <w:tcW w:w="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79" w:right="0"/>
              <w:jc w:val="center"/>
              <w:rPr>
                <w:rFonts w:ascii="Times New Roman" w:hAnsi="Times New Roman" w:cs="Times New Roman" w:eastAsia="Times New Roman" w:hint="default"/>
                <w:sz w:val="18"/>
                <w:szCs w:val="18"/>
              </w:rPr>
            </w:pPr>
            <w:r>
              <w:rPr>
                <w:rFonts w:ascii="Times New Roman"/>
                <w:spacing w:val="-3"/>
                <w:sz w:val="18"/>
              </w:rPr>
              <w:t>611,</w:t>
            </w:r>
          </w:p>
          <w:p>
            <w:pPr>
              <w:pStyle w:val="TableParagraph"/>
              <w:spacing w:line="240" w:lineRule="auto" w:before="105"/>
              <w:ind w:left="69" w:right="0"/>
              <w:jc w:val="center"/>
              <w:rPr>
                <w:rFonts w:ascii="Times New Roman" w:hAnsi="Times New Roman" w:cs="Times New Roman" w:eastAsia="Times New Roman" w:hint="default"/>
                <w:sz w:val="18"/>
                <w:szCs w:val="18"/>
              </w:rPr>
            </w:pPr>
            <w:r>
              <w:rPr>
                <w:rFonts w:ascii="Times New Roman"/>
                <w:sz w:val="18"/>
              </w:rPr>
              <w:t>385,</w:t>
            </w:r>
          </w:p>
          <w:p>
            <w:pPr>
              <w:pStyle w:val="TableParagraph"/>
              <w:spacing w:line="240" w:lineRule="auto" w:before="105"/>
              <w:ind w:left="69" w:right="0"/>
              <w:jc w:val="center"/>
              <w:rPr>
                <w:rFonts w:ascii="Times New Roman" w:hAnsi="Times New Roman" w:cs="Times New Roman" w:eastAsia="Times New Roman" w:hint="default"/>
                <w:sz w:val="18"/>
                <w:szCs w:val="18"/>
              </w:rPr>
            </w:pPr>
            <w:r>
              <w:rPr>
                <w:rFonts w:ascii="Times New Roman"/>
                <w:sz w:val="18"/>
              </w:rPr>
              <w:t>834.</w:t>
            </w:r>
          </w:p>
          <w:p>
            <w:pPr>
              <w:pStyle w:val="TableParagraph"/>
              <w:spacing w:line="240" w:lineRule="auto" w:before="110"/>
              <w:ind w:left="211" w:right="0"/>
              <w:jc w:val="center"/>
              <w:rPr>
                <w:rFonts w:ascii="Times New Roman" w:hAnsi="Times New Roman" w:cs="Times New Roman" w:eastAsia="Times New Roman" w:hint="default"/>
                <w:sz w:val="18"/>
                <w:szCs w:val="18"/>
              </w:rPr>
            </w:pPr>
            <w:r>
              <w:rPr>
                <w:rFonts w:ascii="Times New Roman"/>
                <w:sz w:val="18"/>
              </w:rPr>
              <w:t>00</w:t>
            </w: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67" w:right="0"/>
              <w:jc w:val="left"/>
              <w:rPr>
                <w:rFonts w:ascii="Times New Roman" w:hAnsi="Times New Roman" w:cs="Times New Roman" w:eastAsia="Times New Roman" w:hint="default"/>
                <w:sz w:val="18"/>
                <w:szCs w:val="18"/>
              </w:rPr>
            </w:pPr>
            <w:r>
              <w:rPr>
                <w:rFonts w:ascii="Times New Roman"/>
                <w:sz w:val="18"/>
              </w:rPr>
              <w:t>188,1</w:t>
            </w:r>
          </w:p>
          <w:p>
            <w:pPr>
              <w:pStyle w:val="TableParagraph"/>
              <w:spacing w:line="240" w:lineRule="auto" w:before="100"/>
              <w:ind w:left="167" w:right="0"/>
              <w:jc w:val="left"/>
              <w:rPr>
                <w:rFonts w:ascii="Times New Roman" w:hAnsi="Times New Roman" w:cs="Times New Roman" w:eastAsia="Times New Roman" w:hint="default"/>
                <w:sz w:val="18"/>
                <w:szCs w:val="18"/>
              </w:rPr>
            </w:pPr>
            <w:r>
              <w:rPr>
                <w:rFonts w:ascii="Times New Roman"/>
                <w:sz w:val="18"/>
              </w:rPr>
              <w:t>50,80</w:t>
            </w:r>
          </w:p>
          <w:p>
            <w:pPr>
              <w:pStyle w:val="TableParagraph"/>
              <w:spacing w:line="240" w:lineRule="auto" w:before="110"/>
              <w:ind w:left="254" w:right="0"/>
              <w:jc w:val="left"/>
              <w:rPr>
                <w:rFonts w:ascii="Times New Roman" w:hAnsi="Times New Roman" w:cs="Times New Roman" w:eastAsia="Times New Roman" w:hint="default"/>
                <w:sz w:val="18"/>
                <w:szCs w:val="18"/>
              </w:rPr>
            </w:pPr>
            <w:r>
              <w:rPr>
                <w:rFonts w:ascii="Times New Roman"/>
                <w:sz w:val="18"/>
              </w:rPr>
              <w:t>7.79</w:t>
            </w:r>
          </w:p>
        </w:tc>
        <w:tc>
          <w:tcPr>
            <w:tcW w:w="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72" w:right="0"/>
              <w:jc w:val="left"/>
              <w:rPr>
                <w:rFonts w:ascii="Times New Roman" w:hAnsi="Times New Roman" w:cs="Times New Roman" w:eastAsia="Times New Roman" w:hint="default"/>
                <w:sz w:val="18"/>
                <w:szCs w:val="18"/>
              </w:rPr>
            </w:pPr>
            <w:r>
              <w:rPr>
                <w:rFonts w:ascii="Times New Roman"/>
                <w:sz w:val="18"/>
              </w:rPr>
              <w:t>17,64</w:t>
            </w:r>
          </w:p>
          <w:p>
            <w:pPr>
              <w:pStyle w:val="TableParagraph"/>
              <w:spacing w:line="240" w:lineRule="auto" w:before="100"/>
              <w:ind w:left="124" w:right="0"/>
              <w:jc w:val="left"/>
              <w:rPr>
                <w:rFonts w:ascii="Times New Roman" w:hAnsi="Times New Roman" w:cs="Times New Roman" w:eastAsia="Times New Roman" w:hint="default"/>
                <w:sz w:val="18"/>
                <w:szCs w:val="18"/>
              </w:rPr>
            </w:pPr>
            <w:r>
              <w:rPr>
                <w:rFonts w:ascii="Times New Roman"/>
                <w:sz w:val="18"/>
              </w:rPr>
              <w:t>2,220.</w:t>
            </w:r>
          </w:p>
          <w:p>
            <w:pPr>
              <w:pStyle w:val="TableParagraph"/>
              <w:spacing w:line="240" w:lineRule="auto" w:before="110"/>
              <w:ind w:left="398" w:right="0"/>
              <w:jc w:val="left"/>
              <w:rPr>
                <w:rFonts w:ascii="Times New Roman" w:hAnsi="Times New Roman" w:cs="Times New Roman" w:eastAsia="Times New Roman" w:hint="default"/>
                <w:sz w:val="18"/>
                <w:szCs w:val="18"/>
              </w:rPr>
            </w:pPr>
            <w:r>
              <w:rPr>
                <w:rFonts w:ascii="Times New Roman"/>
                <w:sz w:val="18"/>
              </w:rPr>
              <w:t>00</w:t>
            </w:r>
          </w:p>
        </w:tc>
        <w:tc>
          <w:tcPr>
            <w:tcW w:w="686" w:type="dxa"/>
            <w:tcBorders>
              <w:top w:val="single" w:sz="4" w:space="0" w:color="000000"/>
              <w:left w:val="single" w:sz="4" w:space="0" w:color="000000"/>
              <w:bottom w:val="single" w:sz="4" w:space="0" w:color="000000"/>
              <w:right w:val="single" w:sz="4" w:space="0" w:color="000000"/>
            </w:tcBorders>
          </w:tcPr>
          <w:p>
            <w:pPr/>
          </w:p>
        </w:tc>
        <w:tc>
          <w:tcPr>
            <w:tcW w:w="78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52" w:right="0"/>
              <w:jc w:val="center"/>
              <w:rPr>
                <w:rFonts w:ascii="Times New Roman" w:hAnsi="Times New Roman" w:cs="Times New Roman" w:eastAsia="Times New Roman" w:hint="default"/>
                <w:sz w:val="18"/>
                <w:szCs w:val="18"/>
              </w:rPr>
            </w:pPr>
            <w:r>
              <w:rPr>
                <w:rFonts w:ascii="Times New Roman"/>
                <w:sz w:val="18"/>
              </w:rPr>
              <w:t>44,30</w:t>
            </w:r>
          </w:p>
          <w:p>
            <w:pPr>
              <w:pStyle w:val="TableParagraph"/>
              <w:spacing w:line="240" w:lineRule="auto" w:before="100"/>
              <w:ind w:left="52" w:right="0"/>
              <w:jc w:val="center"/>
              <w:rPr>
                <w:rFonts w:ascii="Times New Roman" w:hAnsi="Times New Roman" w:cs="Times New Roman" w:eastAsia="Times New Roman" w:hint="default"/>
                <w:sz w:val="18"/>
                <w:szCs w:val="18"/>
              </w:rPr>
            </w:pPr>
            <w:r>
              <w:rPr>
                <w:rFonts w:ascii="Times New Roman"/>
                <w:sz w:val="18"/>
              </w:rPr>
              <w:t>0,266</w:t>
            </w:r>
          </w:p>
          <w:p>
            <w:pPr>
              <w:pStyle w:val="TableParagraph"/>
              <w:spacing w:line="240" w:lineRule="auto" w:before="110"/>
              <w:ind w:left="230" w:right="0"/>
              <w:jc w:val="center"/>
              <w:rPr>
                <w:rFonts w:ascii="Times New Roman" w:hAnsi="Times New Roman" w:cs="Times New Roman" w:eastAsia="Times New Roman" w:hint="default"/>
                <w:sz w:val="18"/>
                <w:szCs w:val="18"/>
              </w:rPr>
            </w:pPr>
            <w:r>
              <w:rPr>
                <w:rFonts w:ascii="Times New Roman"/>
                <w:sz w:val="18"/>
              </w:rPr>
              <w:t>.13</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199,95</w:t>
            </w:r>
          </w:p>
          <w:p>
            <w:pPr>
              <w:pStyle w:val="TableParagraph"/>
              <w:spacing w:line="240" w:lineRule="auto" w:before="100"/>
              <w:ind w:right="98"/>
              <w:jc w:val="right"/>
              <w:rPr>
                <w:rFonts w:ascii="Times New Roman" w:hAnsi="Times New Roman" w:cs="Times New Roman" w:eastAsia="Times New Roman" w:hint="default"/>
                <w:sz w:val="18"/>
                <w:szCs w:val="18"/>
              </w:rPr>
            </w:pPr>
            <w:r>
              <w:rPr>
                <w:rFonts w:ascii="Times New Roman"/>
                <w:spacing w:val="-1"/>
                <w:sz w:val="18"/>
              </w:rPr>
              <w:t>5,528.4</w:t>
            </w:r>
          </w:p>
          <w:p>
            <w:pPr>
              <w:pStyle w:val="TableParagraph"/>
              <w:spacing w:line="240" w:lineRule="auto" w:before="110"/>
              <w:ind w:right="103"/>
              <w:jc w:val="right"/>
              <w:rPr>
                <w:rFonts w:ascii="Times New Roman" w:hAnsi="Times New Roman" w:cs="Times New Roman" w:eastAsia="Times New Roman" w:hint="default"/>
                <w:sz w:val="18"/>
                <w:szCs w:val="18"/>
              </w:rPr>
            </w:pPr>
            <w:r>
              <w:rPr>
                <w:rFonts w:ascii="Times New Roman"/>
                <w:w w:val="101"/>
                <w:sz w:val="18"/>
              </w:rPr>
              <w:t>8</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187" w:right="0"/>
              <w:jc w:val="left"/>
              <w:rPr>
                <w:rFonts w:ascii="Times New Roman" w:hAnsi="Times New Roman" w:cs="Times New Roman" w:eastAsia="Times New Roman" w:hint="default"/>
                <w:sz w:val="18"/>
                <w:szCs w:val="18"/>
              </w:rPr>
            </w:pPr>
            <w:r>
              <w:rPr>
                <w:rFonts w:ascii="Times New Roman"/>
                <w:sz w:val="18"/>
              </w:rPr>
              <w:t>1,026,15</w:t>
            </w:r>
          </w:p>
          <w:p>
            <w:pPr>
              <w:pStyle w:val="TableParagraph"/>
              <w:spacing w:line="240" w:lineRule="auto" w:before="110"/>
              <w:ind w:left="187" w:right="0"/>
              <w:jc w:val="left"/>
              <w:rPr>
                <w:rFonts w:ascii="Times New Roman" w:hAnsi="Times New Roman" w:cs="Times New Roman" w:eastAsia="Times New Roman" w:hint="default"/>
                <w:sz w:val="18"/>
                <w:szCs w:val="18"/>
              </w:rPr>
            </w:pPr>
            <w:r>
              <w:rPr>
                <w:rFonts w:ascii="Times New Roman"/>
                <w:sz w:val="18"/>
              </w:rPr>
              <w:t>0,216.40</w:t>
            </w:r>
          </w:p>
        </w:tc>
      </w:tr>
      <w:tr>
        <w:trPr>
          <w:trHeight w:val="1340"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105" w:right="94"/>
              <w:jc w:val="both"/>
              <w:rPr>
                <w:rFonts w:ascii="宋体" w:hAnsi="宋体" w:cs="宋体" w:eastAsia="宋体" w:hint="default"/>
                <w:sz w:val="18"/>
                <w:szCs w:val="18"/>
              </w:rPr>
            </w:pPr>
            <w:r>
              <w:rPr>
                <w:rFonts w:ascii="宋体" w:hAnsi="宋体" w:cs="宋体" w:eastAsia="宋体" w:hint="default"/>
                <w:spacing w:val="-13"/>
                <w:sz w:val="18"/>
                <w:szCs w:val="18"/>
              </w:rPr>
              <w:t>三、本期增减</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pacing w:val="-13"/>
                <w:sz w:val="18"/>
                <w:szCs w:val="18"/>
              </w:rPr>
              <w:t>变动金额（减</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pacing w:val="-13"/>
                <w:sz w:val="18"/>
                <w:szCs w:val="18"/>
              </w:rPr>
              <w:t>少以“－”号</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填列）</w:t>
            </w:r>
          </w:p>
        </w:tc>
        <w:tc>
          <w:tcPr>
            <w:tcW w:w="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67" w:right="0"/>
              <w:jc w:val="left"/>
              <w:rPr>
                <w:rFonts w:ascii="Times New Roman" w:hAnsi="Times New Roman" w:cs="Times New Roman" w:eastAsia="Times New Roman" w:hint="default"/>
                <w:sz w:val="18"/>
                <w:szCs w:val="18"/>
              </w:rPr>
            </w:pPr>
            <w:r>
              <w:rPr>
                <w:rFonts w:ascii="Times New Roman"/>
                <w:sz w:val="18"/>
              </w:rPr>
              <w:t>7,82</w:t>
            </w:r>
          </w:p>
          <w:p>
            <w:pPr>
              <w:pStyle w:val="TableParagraph"/>
              <w:spacing w:line="240" w:lineRule="auto" w:before="100"/>
              <w:ind w:left="167" w:right="0"/>
              <w:jc w:val="left"/>
              <w:rPr>
                <w:rFonts w:ascii="Times New Roman" w:hAnsi="Times New Roman" w:cs="Times New Roman" w:eastAsia="Times New Roman" w:hint="default"/>
                <w:sz w:val="18"/>
                <w:szCs w:val="18"/>
              </w:rPr>
            </w:pPr>
            <w:r>
              <w:rPr>
                <w:rFonts w:ascii="Times New Roman"/>
                <w:sz w:val="18"/>
              </w:rPr>
              <w:t>9,00</w:t>
            </w:r>
          </w:p>
          <w:p>
            <w:pPr>
              <w:pStyle w:val="TableParagraph"/>
              <w:spacing w:line="240" w:lineRule="auto" w:before="110"/>
              <w:ind w:left="167" w:right="0"/>
              <w:jc w:val="left"/>
              <w:rPr>
                <w:rFonts w:ascii="Times New Roman" w:hAnsi="Times New Roman" w:cs="Times New Roman" w:eastAsia="Times New Roman" w:hint="default"/>
                <w:sz w:val="18"/>
                <w:szCs w:val="18"/>
              </w:rPr>
            </w:pPr>
            <w:r>
              <w:rPr>
                <w:rFonts w:ascii="Times New Roman"/>
                <w:sz w:val="18"/>
              </w:rPr>
              <w:t>0.00</w:t>
            </w: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67" w:right="0"/>
              <w:jc w:val="left"/>
              <w:rPr>
                <w:rFonts w:ascii="Times New Roman" w:hAnsi="Times New Roman" w:cs="Times New Roman" w:eastAsia="Times New Roman" w:hint="default"/>
                <w:sz w:val="18"/>
                <w:szCs w:val="18"/>
              </w:rPr>
            </w:pPr>
            <w:r>
              <w:rPr>
                <w:rFonts w:ascii="Times New Roman"/>
                <w:sz w:val="18"/>
              </w:rPr>
              <w:t>18,39</w:t>
            </w:r>
          </w:p>
          <w:p>
            <w:pPr>
              <w:pStyle w:val="TableParagraph"/>
              <w:spacing w:line="240" w:lineRule="auto" w:before="100"/>
              <w:ind w:left="119" w:right="0"/>
              <w:jc w:val="left"/>
              <w:rPr>
                <w:rFonts w:ascii="Times New Roman" w:hAnsi="Times New Roman" w:cs="Times New Roman" w:eastAsia="Times New Roman" w:hint="default"/>
                <w:sz w:val="18"/>
                <w:szCs w:val="18"/>
              </w:rPr>
            </w:pPr>
            <w:r>
              <w:rPr>
                <w:rFonts w:ascii="Times New Roman"/>
                <w:sz w:val="18"/>
              </w:rPr>
              <w:t>5,386.</w:t>
            </w:r>
          </w:p>
          <w:p>
            <w:pPr>
              <w:pStyle w:val="TableParagraph"/>
              <w:spacing w:line="240" w:lineRule="auto" w:before="110"/>
              <w:ind w:left="393" w:right="0"/>
              <w:jc w:val="left"/>
              <w:rPr>
                <w:rFonts w:ascii="Times New Roman" w:hAnsi="Times New Roman" w:cs="Times New Roman" w:eastAsia="Times New Roman" w:hint="default"/>
                <w:sz w:val="18"/>
                <w:szCs w:val="18"/>
              </w:rPr>
            </w:pPr>
            <w:r>
              <w:rPr>
                <w:rFonts w:ascii="Times New Roman"/>
                <w:sz w:val="18"/>
              </w:rPr>
              <w:t>66</w:t>
            </w:r>
          </w:p>
        </w:tc>
        <w:tc>
          <w:tcPr>
            <w:tcW w:w="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72" w:right="0"/>
              <w:jc w:val="left"/>
              <w:rPr>
                <w:rFonts w:ascii="Times New Roman" w:hAnsi="Times New Roman" w:cs="Times New Roman" w:eastAsia="Times New Roman" w:hint="default"/>
                <w:sz w:val="18"/>
                <w:szCs w:val="18"/>
              </w:rPr>
            </w:pPr>
            <w:r>
              <w:rPr>
                <w:rFonts w:ascii="Times New Roman"/>
                <w:sz w:val="18"/>
              </w:rPr>
              <w:t>17,64</w:t>
            </w:r>
          </w:p>
          <w:p>
            <w:pPr>
              <w:pStyle w:val="TableParagraph"/>
              <w:spacing w:line="240" w:lineRule="auto" w:before="100"/>
              <w:ind w:left="124" w:right="0"/>
              <w:jc w:val="left"/>
              <w:rPr>
                <w:rFonts w:ascii="Times New Roman" w:hAnsi="Times New Roman" w:cs="Times New Roman" w:eastAsia="Times New Roman" w:hint="default"/>
                <w:sz w:val="18"/>
                <w:szCs w:val="18"/>
              </w:rPr>
            </w:pPr>
            <w:r>
              <w:rPr>
                <w:rFonts w:ascii="Times New Roman"/>
                <w:sz w:val="18"/>
              </w:rPr>
              <w:t>0,488.</w:t>
            </w:r>
          </w:p>
          <w:p>
            <w:pPr>
              <w:pStyle w:val="TableParagraph"/>
              <w:spacing w:line="240" w:lineRule="auto" w:before="110"/>
              <w:ind w:left="398" w:right="0"/>
              <w:jc w:val="left"/>
              <w:rPr>
                <w:rFonts w:ascii="Times New Roman" w:hAnsi="Times New Roman" w:cs="Times New Roman" w:eastAsia="Times New Roman" w:hint="default"/>
                <w:sz w:val="18"/>
                <w:szCs w:val="18"/>
              </w:rPr>
            </w:pPr>
            <w:r>
              <w:rPr>
                <w:rFonts w:ascii="Times New Roman"/>
                <w:sz w:val="18"/>
              </w:rPr>
              <w:t>10</w:t>
            </w:r>
          </w:p>
        </w:tc>
        <w:tc>
          <w:tcPr>
            <w:tcW w:w="686" w:type="dxa"/>
            <w:tcBorders>
              <w:top w:val="single" w:sz="4" w:space="0" w:color="000000"/>
              <w:left w:val="single" w:sz="4" w:space="0" w:color="000000"/>
              <w:bottom w:val="single" w:sz="4" w:space="0" w:color="000000"/>
              <w:right w:val="single" w:sz="4" w:space="0" w:color="000000"/>
            </w:tcBorders>
          </w:tcPr>
          <w:p>
            <w:pPr/>
          </w:p>
        </w:tc>
        <w:tc>
          <w:tcPr>
            <w:tcW w:w="78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2,922</w:t>
            </w:r>
          </w:p>
          <w:p>
            <w:pPr>
              <w:pStyle w:val="TableParagraph"/>
              <w:spacing w:line="240" w:lineRule="auto" w:before="100"/>
              <w:ind w:left="93" w:right="0"/>
              <w:jc w:val="center"/>
              <w:rPr>
                <w:rFonts w:ascii="Times New Roman" w:hAnsi="Times New Roman" w:cs="Times New Roman" w:eastAsia="Times New Roman" w:hint="default"/>
                <w:sz w:val="18"/>
                <w:szCs w:val="18"/>
              </w:rPr>
            </w:pPr>
            <w:r>
              <w:rPr>
                <w:rFonts w:ascii="Times New Roman"/>
                <w:sz w:val="18"/>
              </w:rPr>
              <w:t>,747.</w:t>
            </w:r>
          </w:p>
          <w:p>
            <w:pPr>
              <w:pStyle w:val="TableParagraph"/>
              <w:spacing w:line="240" w:lineRule="auto" w:before="110"/>
              <w:ind w:left="278" w:right="0"/>
              <w:jc w:val="center"/>
              <w:rPr>
                <w:rFonts w:ascii="Times New Roman" w:hAnsi="Times New Roman" w:cs="Times New Roman" w:eastAsia="Times New Roman" w:hint="default"/>
                <w:sz w:val="18"/>
                <w:szCs w:val="18"/>
              </w:rPr>
            </w:pPr>
            <w:r>
              <w:rPr>
                <w:rFonts w:ascii="Times New Roman"/>
                <w:sz w:val="18"/>
              </w:rPr>
              <w:t>71</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130" w:right="0"/>
              <w:jc w:val="left"/>
              <w:rPr>
                <w:rFonts w:ascii="Times New Roman" w:hAnsi="Times New Roman" w:cs="Times New Roman" w:eastAsia="Times New Roman" w:hint="default"/>
                <w:sz w:val="18"/>
                <w:szCs w:val="18"/>
              </w:rPr>
            </w:pPr>
            <w:r>
              <w:rPr>
                <w:rFonts w:ascii="Times New Roman"/>
                <w:sz w:val="18"/>
              </w:rPr>
              <w:t>-34,816</w:t>
            </w:r>
          </w:p>
          <w:p>
            <w:pPr>
              <w:pStyle w:val="TableParagraph"/>
              <w:spacing w:line="240" w:lineRule="auto" w:before="105"/>
              <w:ind w:left="149" w:right="0"/>
              <w:jc w:val="left"/>
              <w:rPr>
                <w:rFonts w:ascii="Times New Roman" w:hAnsi="Times New Roman" w:cs="Times New Roman" w:eastAsia="Times New Roman" w:hint="default"/>
                <w:sz w:val="18"/>
                <w:szCs w:val="18"/>
              </w:rPr>
            </w:pPr>
            <w:r>
              <w:rPr>
                <w:rFonts w:ascii="Times New Roman"/>
                <w:sz w:val="18"/>
              </w:rPr>
              <w:t>,753.98</w:t>
            </w:r>
          </w:p>
        </w:tc>
        <w:tc>
          <w:tcPr>
            <w:tcW w:w="797" w:type="dxa"/>
            <w:tcBorders>
              <w:top w:val="single" w:sz="4" w:space="0" w:color="000000"/>
              <w:left w:val="single" w:sz="4" w:space="0" w:color="000000"/>
              <w:bottom w:val="single" w:sz="4" w:space="0" w:color="000000"/>
              <w:right w:val="single" w:sz="4" w:space="0" w:color="000000"/>
            </w:tcBorders>
          </w:tcPr>
          <w:p>
            <w:pP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124" w:right="0"/>
              <w:jc w:val="left"/>
              <w:rPr>
                <w:rFonts w:ascii="Times New Roman" w:hAnsi="Times New Roman" w:cs="Times New Roman" w:eastAsia="Times New Roman" w:hint="default"/>
                <w:sz w:val="18"/>
                <w:szCs w:val="18"/>
              </w:rPr>
            </w:pPr>
            <w:r>
              <w:rPr>
                <w:rFonts w:ascii="Times New Roman"/>
                <w:sz w:val="18"/>
              </w:rPr>
              <w:t>-23,310,1</w:t>
            </w:r>
          </w:p>
          <w:p>
            <w:pPr>
              <w:pStyle w:val="TableParagraph"/>
              <w:spacing w:line="240" w:lineRule="auto" w:before="105"/>
              <w:ind w:left="412" w:right="0"/>
              <w:jc w:val="left"/>
              <w:rPr>
                <w:rFonts w:ascii="Times New Roman" w:hAnsi="Times New Roman" w:cs="Times New Roman" w:eastAsia="Times New Roman" w:hint="default"/>
                <w:sz w:val="18"/>
                <w:szCs w:val="18"/>
              </w:rPr>
            </w:pPr>
            <w:r>
              <w:rPr>
                <w:rFonts w:ascii="Times New Roman"/>
                <w:sz w:val="18"/>
              </w:rPr>
              <w:t>07.71</w:t>
            </w:r>
          </w:p>
        </w:tc>
      </w:tr>
      <w:tr>
        <w:trPr>
          <w:trHeight w:val="403"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3"/>
              <w:ind w:left="105" w:right="0"/>
              <w:jc w:val="left"/>
              <w:rPr>
                <w:rFonts w:ascii="宋体" w:hAnsi="宋体" w:cs="宋体" w:eastAsia="宋体" w:hint="default"/>
                <w:sz w:val="18"/>
                <w:szCs w:val="18"/>
              </w:rPr>
            </w:pPr>
            <w:r>
              <w:rPr>
                <w:rFonts w:ascii="宋体" w:hAnsi="宋体" w:cs="宋体" w:eastAsia="宋体" w:hint="default"/>
                <w:w w:val="101"/>
                <w:sz w:val="18"/>
                <w:szCs w:val="18"/>
              </w:rPr>
              <w:t>（一</w:t>
            </w:r>
            <w:r>
              <w:rPr>
                <w:rFonts w:ascii="宋体" w:hAnsi="宋体" w:cs="宋体" w:eastAsia="宋体" w:hint="default"/>
                <w:spacing w:val="-73"/>
                <w:w w:val="101"/>
                <w:sz w:val="18"/>
                <w:szCs w:val="18"/>
              </w:rPr>
              <w:t>）</w:t>
            </w:r>
            <w:r>
              <w:rPr>
                <w:rFonts w:ascii="宋体" w:hAnsi="宋体" w:cs="宋体" w:eastAsia="宋体" w:hint="default"/>
                <w:w w:val="101"/>
                <w:sz w:val="18"/>
                <w:szCs w:val="18"/>
              </w:rPr>
              <w:t>综</w:t>
            </w:r>
            <w:r>
              <w:rPr>
                <w:rFonts w:ascii="宋体" w:hAnsi="宋体" w:cs="宋体" w:eastAsia="宋体" w:hint="default"/>
                <w:spacing w:val="-5"/>
                <w:w w:val="101"/>
                <w:sz w:val="18"/>
                <w:szCs w:val="18"/>
              </w:rPr>
              <w:t>合</w:t>
            </w:r>
            <w:r>
              <w:rPr>
                <w:rFonts w:ascii="宋体" w:hAnsi="宋体" w:cs="宋体" w:eastAsia="宋体" w:hint="default"/>
                <w:w w:val="101"/>
                <w:sz w:val="18"/>
                <w:szCs w:val="18"/>
              </w:rPr>
              <w:t>收</w:t>
            </w:r>
            <w:r>
              <w:rPr>
                <w:rFonts w:ascii="宋体" w:hAnsi="宋体" w:cs="宋体" w:eastAsia="宋体" w:hint="default"/>
                <w:sz w:val="18"/>
                <w:szCs w:val="18"/>
              </w:rPr>
            </w:r>
          </w:p>
        </w:tc>
        <w:tc>
          <w:tcPr>
            <w:tcW w:w="595"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78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149" w:right="0"/>
              <w:jc w:val="left"/>
              <w:rPr>
                <w:rFonts w:ascii="Times New Roman" w:hAnsi="Times New Roman" w:cs="Times New Roman" w:eastAsia="Times New Roman" w:hint="default"/>
                <w:sz w:val="18"/>
                <w:szCs w:val="18"/>
              </w:rPr>
            </w:pPr>
            <w:r>
              <w:rPr>
                <w:rFonts w:ascii="Times New Roman"/>
                <w:sz w:val="18"/>
              </w:rPr>
              <w:t>29,227,</w:t>
            </w:r>
          </w:p>
        </w:tc>
        <w:tc>
          <w:tcPr>
            <w:tcW w:w="797" w:type="dxa"/>
            <w:tcBorders>
              <w:top w:val="single" w:sz="4" w:space="0" w:color="000000"/>
              <w:left w:val="single" w:sz="4" w:space="0" w:color="000000"/>
              <w:bottom w:val="single" w:sz="4" w:space="0" w:color="000000"/>
              <w:right w:val="single" w:sz="4" w:space="0" w:color="000000"/>
            </w:tcBorders>
          </w:tcPr>
          <w:p>
            <w:pP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187" w:right="0"/>
              <w:jc w:val="left"/>
              <w:rPr>
                <w:rFonts w:ascii="Times New Roman" w:hAnsi="Times New Roman" w:cs="Times New Roman" w:eastAsia="Times New Roman" w:hint="default"/>
                <w:sz w:val="18"/>
                <w:szCs w:val="18"/>
              </w:rPr>
            </w:pPr>
            <w:r>
              <w:rPr>
                <w:rFonts w:ascii="Times New Roman"/>
                <w:sz w:val="18"/>
              </w:rPr>
              <w:t>29,227,4</w:t>
            </w:r>
          </w:p>
        </w:tc>
      </w:tr>
    </w:tbl>
    <w:p>
      <w:pPr>
        <w:spacing w:after="0" w:line="240" w:lineRule="auto"/>
        <w:jc w:val="left"/>
        <w:rPr>
          <w:rFonts w:ascii="Times New Roman" w:hAnsi="Times New Roman" w:cs="Times New Roman" w:eastAsia="Times New Roman" w:hint="default"/>
          <w:sz w:val="18"/>
          <w:szCs w:val="18"/>
        </w:rPr>
        <w:sectPr>
          <w:pgSz w:w="11910" w:h="16840"/>
          <w:pgMar w:header="784" w:footer="1022" w:top="1100" w:bottom="1220" w:left="980" w:right="0"/>
        </w:sectPr>
      </w:pPr>
    </w:p>
    <w:p>
      <w:pPr>
        <w:spacing w:line="240" w:lineRule="auto" w:before="1"/>
        <w:rPr>
          <w:rFonts w:ascii="Times New Roman" w:hAnsi="Times New Roman" w:cs="Times New Roman" w:eastAsia="Times New Roman" w:hint="default"/>
          <w:sz w:val="29"/>
          <w:szCs w:val="29"/>
        </w:rPr>
      </w:pPr>
    </w:p>
    <w:tbl>
      <w:tblPr>
        <w:tblW w:w="0" w:type="auto"/>
        <w:jc w:val="left"/>
        <w:tblInd w:w="148" w:type="dxa"/>
        <w:tblLayout w:type="fixed"/>
        <w:tblCellMar>
          <w:top w:w="0" w:type="dxa"/>
          <w:left w:w="0" w:type="dxa"/>
          <w:bottom w:w="0" w:type="dxa"/>
          <w:right w:w="0" w:type="dxa"/>
        </w:tblCellMar>
        <w:tblLook w:val="01E0"/>
      </w:tblPr>
      <w:tblGrid>
        <w:gridCol w:w="1229"/>
        <w:gridCol w:w="595"/>
        <w:gridCol w:w="572"/>
        <w:gridCol w:w="576"/>
        <w:gridCol w:w="572"/>
        <w:gridCol w:w="682"/>
        <w:gridCol w:w="687"/>
        <w:gridCol w:w="686"/>
        <w:gridCol w:w="783"/>
        <w:gridCol w:w="662"/>
        <w:gridCol w:w="802"/>
        <w:gridCol w:w="797"/>
        <w:gridCol w:w="926"/>
      </w:tblGrid>
      <w:tr>
        <w:trPr>
          <w:trHeight w:val="360"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105" w:right="0"/>
              <w:jc w:val="left"/>
              <w:rPr>
                <w:rFonts w:ascii="宋体" w:hAnsi="宋体" w:cs="宋体" w:eastAsia="宋体" w:hint="default"/>
                <w:sz w:val="18"/>
                <w:szCs w:val="18"/>
              </w:rPr>
            </w:pPr>
            <w:r>
              <w:rPr>
                <w:rFonts w:ascii="宋体" w:hAnsi="宋体" w:cs="宋体" w:eastAsia="宋体" w:hint="default"/>
                <w:sz w:val="18"/>
                <w:szCs w:val="18"/>
              </w:rPr>
              <w:t>益总额</w:t>
            </w:r>
          </w:p>
        </w:tc>
        <w:tc>
          <w:tcPr>
            <w:tcW w:w="595"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78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92" w:right="0"/>
              <w:jc w:val="left"/>
              <w:rPr>
                <w:rFonts w:ascii="Times New Roman" w:hAnsi="Times New Roman" w:cs="Times New Roman" w:eastAsia="Times New Roman" w:hint="default"/>
                <w:sz w:val="18"/>
                <w:szCs w:val="18"/>
              </w:rPr>
            </w:pPr>
            <w:r>
              <w:rPr>
                <w:rFonts w:ascii="Times New Roman"/>
                <w:sz w:val="18"/>
              </w:rPr>
              <w:t>477.13</w:t>
            </w:r>
          </w:p>
        </w:tc>
        <w:tc>
          <w:tcPr>
            <w:tcW w:w="797" w:type="dxa"/>
            <w:tcBorders>
              <w:top w:val="single" w:sz="4" w:space="0" w:color="000000"/>
              <w:left w:val="single" w:sz="4" w:space="0" w:color="000000"/>
              <w:bottom w:val="single" w:sz="4" w:space="0" w:color="000000"/>
              <w:right w:val="single" w:sz="4" w:space="0" w:color="000000"/>
            </w:tcBorders>
          </w:tcPr>
          <w:p>
            <w:pP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412" w:right="0"/>
              <w:jc w:val="left"/>
              <w:rPr>
                <w:rFonts w:ascii="Times New Roman" w:hAnsi="Times New Roman" w:cs="Times New Roman" w:eastAsia="Times New Roman" w:hint="default"/>
                <w:sz w:val="18"/>
                <w:szCs w:val="18"/>
              </w:rPr>
            </w:pPr>
            <w:r>
              <w:rPr>
                <w:rFonts w:ascii="Times New Roman"/>
                <w:sz w:val="18"/>
              </w:rPr>
              <w:t>77.13</w:t>
            </w:r>
          </w:p>
        </w:tc>
      </w:tr>
      <w:tr>
        <w:trPr>
          <w:trHeight w:val="1028"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05" w:right="94"/>
              <w:jc w:val="left"/>
              <w:rPr>
                <w:rFonts w:ascii="宋体" w:hAnsi="宋体" w:cs="宋体" w:eastAsia="宋体" w:hint="default"/>
                <w:sz w:val="18"/>
                <w:szCs w:val="18"/>
              </w:rPr>
            </w:pPr>
            <w:r>
              <w:rPr>
                <w:rFonts w:ascii="宋体" w:hAnsi="宋体" w:cs="宋体" w:eastAsia="宋体" w:hint="default"/>
                <w:spacing w:val="-13"/>
                <w:w w:val="101"/>
                <w:sz w:val="18"/>
                <w:szCs w:val="18"/>
              </w:rPr>
              <w:t>（二）所有者</w:t>
            </w:r>
            <w:r>
              <w:rPr>
                <w:rFonts w:ascii="宋体" w:hAnsi="宋体" w:cs="宋体" w:eastAsia="宋体" w:hint="default"/>
                <w:w w:val="101"/>
                <w:sz w:val="18"/>
                <w:szCs w:val="18"/>
              </w:rPr>
              <w:t> </w:t>
            </w:r>
            <w:r>
              <w:rPr>
                <w:rFonts w:ascii="宋体" w:hAnsi="宋体" w:cs="宋体" w:eastAsia="宋体" w:hint="default"/>
                <w:sz w:val="18"/>
                <w:szCs w:val="18"/>
              </w:rPr>
              <w:t>投入和减少</w:t>
            </w:r>
            <w:r>
              <w:rPr>
                <w:rFonts w:ascii="宋体" w:hAnsi="宋体" w:cs="宋体" w:eastAsia="宋体" w:hint="default"/>
                <w:w w:val="101"/>
                <w:sz w:val="18"/>
                <w:szCs w:val="18"/>
              </w:rPr>
              <w:t> </w:t>
            </w:r>
            <w:r>
              <w:rPr>
                <w:rFonts w:ascii="宋体" w:hAnsi="宋体" w:cs="宋体" w:eastAsia="宋体" w:hint="default"/>
                <w:sz w:val="18"/>
                <w:szCs w:val="18"/>
              </w:rPr>
              <w:t>资本</w:t>
            </w:r>
          </w:p>
        </w:tc>
        <w:tc>
          <w:tcPr>
            <w:tcW w:w="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67" w:right="0"/>
              <w:jc w:val="left"/>
              <w:rPr>
                <w:rFonts w:ascii="Times New Roman" w:hAnsi="Times New Roman" w:cs="Times New Roman" w:eastAsia="Times New Roman" w:hint="default"/>
                <w:sz w:val="18"/>
                <w:szCs w:val="18"/>
              </w:rPr>
            </w:pPr>
            <w:r>
              <w:rPr>
                <w:rFonts w:ascii="Times New Roman"/>
                <w:sz w:val="18"/>
              </w:rPr>
              <w:t>7,82</w:t>
            </w:r>
          </w:p>
          <w:p>
            <w:pPr>
              <w:pStyle w:val="TableParagraph"/>
              <w:spacing w:line="240" w:lineRule="auto" w:before="105"/>
              <w:ind w:left="167" w:right="0"/>
              <w:jc w:val="left"/>
              <w:rPr>
                <w:rFonts w:ascii="Times New Roman" w:hAnsi="Times New Roman" w:cs="Times New Roman" w:eastAsia="Times New Roman" w:hint="default"/>
                <w:sz w:val="18"/>
                <w:szCs w:val="18"/>
              </w:rPr>
            </w:pPr>
            <w:r>
              <w:rPr>
                <w:rFonts w:ascii="Times New Roman"/>
                <w:sz w:val="18"/>
              </w:rPr>
              <w:t>9,00</w:t>
            </w:r>
          </w:p>
          <w:p>
            <w:pPr>
              <w:pStyle w:val="TableParagraph"/>
              <w:spacing w:line="240" w:lineRule="auto" w:before="110"/>
              <w:ind w:left="167" w:right="0"/>
              <w:jc w:val="left"/>
              <w:rPr>
                <w:rFonts w:ascii="Times New Roman" w:hAnsi="Times New Roman" w:cs="Times New Roman" w:eastAsia="Times New Roman" w:hint="default"/>
                <w:sz w:val="18"/>
                <w:szCs w:val="18"/>
              </w:rPr>
            </w:pPr>
            <w:r>
              <w:rPr>
                <w:rFonts w:ascii="Times New Roman"/>
                <w:sz w:val="18"/>
              </w:rPr>
              <w:t>0.00</w:t>
            </w: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67" w:right="0"/>
              <w:jc w:val="left"/>
              <w:rPr>
                <w:rFonts w:ascii="Times New Roman" w:hAnsi="Times New Roman" w:cs="Times New Roman" w:eastAsia="Times New Roman" w:hint="default"/>
                <w:sz w:val="18"/>
                <w:szCs w:val="18"/>
              </w:rPr>
            </w:pPr>
            <w:r>
              <w:rPr>
                <w:rFonts w:ascii="Times New Roman"/>
                <w:sz w:val="18"/>
              </w:rPr>
              <w:t>18,39</w:t>
            </w:r>
          </w:p>
          <w:p>
            <w:pPr>
              <w:pStyle w:val="TableParagraph"/>
              <w:spacing w:line="240" w:lineRule="auto" w:before="105"/>
              <w:ind w:left="119" w:right="0"/>
              <w:jc w:val="left"/>
              <w:rPr>
                <w:rFonts w:ascii="Times New Roman" w:hAnsi="Times New Roman" w:cs="Times New Roman" w:eastAsia="Times New Roman" w:hint="default"/>
                <w:sz w:val="18"/>
                <w:szCs w:val="18"/>
              </w:rPr>
            </w:pPr>
            <w:r>
              <w:rPr>
                <w:rFonts w:ascii="Times New Roman"/>
                <w:sz w:val="18"/>
              </w:rPr>
              <w:t>5,386.</w:t>
            </w:r>
          </w:p>
          <w:p>
            <w:pPr>
              <w:pStyle w:val="TableParagraph"/>
              <w:spacing w:line="240" w:lineRule="auto" w:before="110"/>
              <w:ind w:left="393" w:right="0"/>
              <w:jc w:val="left"/>
              <w:rPr>
                <w:rFonts w:ascii="Times New Roman" w:hAnsi="Times New Roman" w:cs="Times New Roman" w:eastAsia="Times New Roman" w:hint="default"/>
                <w:sz w:val="18"/>
                <w:szCs w:val="18"/>
              </w:rPr>
            </w:pPr>
            <w:r>
              <w:rPr>
                <w:rFonts w:ascii="Times New Roman"/>
                <w:sz w:val="18"/>
              </w:rPr>
              <w:t>66</w:t>
            </w:r>
          </w:p>
        </w:tc>
        <w:tc>
          <w:tcPr>
            <w:tcW w:w="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72" w:right="0"/>
              <w:jc w:val="left"/>
              <w:rPr>
                <w:rFonts w:ascii="Times New Roman" w:hAnsi="Times New Roman" w:cs="Times New Roman" w:eastAsia="Times New Roman" w:hint="default"/>
                <w:sz w:val="18"/>
                <w:szCs w:val="18"/>
              </w:rPr>
            </w:pPr>
            <w:r>
              <w:rPr>
                <w:rFonts w:ascii="Times New Roman"/>
                <w:sz w:val="18"/>
              </w:rPr>
              <w:t>17,64</w:t>
            </w:r>
          </w:p>
          <w:p>
            <w:pPr>
              <w:pStyle w:val="TableParagraph"/>
              <w:spacing w:line="240" w:lineRule="auto" w:before="105"/>
              <w:ind w:left="124" w:right="0"/>
              <w:jc w:val="left"/>
              <w:rPr>
                <w:rFonts w:ascii="Times New Roman" w:hAnsi="Times New Roman" w:cs="Times New Roman" w:eastAsia="Times New Roman" w:hint="default"/>
                <w:sz w:val="18"/>
                <w:szCs w:val="18"/>
              </w:rPr>
            </w:pPr>
            <w:r>
              <w:rPr>
                <w:rFonts w:ascii="Times New Roman"/>
                <w:sz w:val="18"/>
              </w:rPr>
              <w:t>0,488.</w:t>
            </w:r>
          </w:p>
          <w:p>
            <w:pPr>
              <w:pStyle w:val="TableParagraph"/>
              <w:spacing w:line="240" w:lineRule="auto" w:before="110"/>
              <w:ind w:left="398" w:right="0"/>
              <w:jc w:val="left"/>
              <w:rPr>
                <w:rFonts w:ascii="Times New Roman" w:hAnsi="Times New Roman" w:cs="Times New Roman" w:eastAsia="Times New Roman" w:hint="default"/>
                <w:sz w:val="18"/>
                <w:szCs w:val="18"/>
              </w:rPr>
            </w:pPr>
            <w:r>
              <w:rPr>
                <w:rFonts w:ascii="Times New Roman"/>
                <w:sz w:val="18"/>
              </w:rPr>
              <w:t>10</w:t>
            </w:r>
          </w:p>
        </w:tc>
        <w:tc>
          <w:tcPr>
            <w:tcW w:w="686" w:type="dxa"/>
            <w:tcBorders>
              <w:top w:val="single" w:sz="4" w:space="0" w:color="000000"/>
              <w:left w:val="single" w:sz="4" w:space="0" w:color="000000"/>
              <w:bottom w:val="single" w:sz="4" w:space="0" w:color="000000"/>
              <w:right w:val="single" w:sz="4" w:space="0" w:color="000000"/>
            </w:tcBorders>
          </w:tcPr>
          <w:p>
            <w:pPr/>
          </w:p>
        </w:tc>
        <w:tc>
          <w:tcPr>
            <w:tcW w:w="78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187" w:right="0"/>
              <w:jc w:val="left"/>
              <w:rPr>
                <w:rFonts w:ascii="Times New Roman" w:hAnsi="Times New Roman" w:cs="Times New Roman" w:eastAsia="Times New Roman" w:hint="default"/>
                <w:sz w:val="18"/>
                <w:szCs w:val="18"/>
              </w:rPr>
            </w:pPr>
            <w:r>
              <w:rPr>
                <w:rFonts w:ascii="Times New Roman"/>
                <w:sz w:val="18"/>
              </w:rPr>
              <w:t>8,583,89</w:t>
            </w:r>
          </w:p>
          <w:p>
            <w:pPr>
              <w:pStyle w:val="TableParagraph"/>
              <w:spacing w:line="240" w:lineRule="auto" w:before="105"/>
              <w:ind w:left="499" w:right="0"/>
              <w:jc w:val="left"/>
              <w:rPr>
                <w:rFonts w:ascii="Times New Roman" w:hAnsi="Times New Roman" w:cs="Times New Roman" w:eastAsia="Times New Roman" w:hint="default"/>
                <w:sz w:val="18"/>
                <w:szCs w:val="18"/>
              </w:rPr>
            </w:pPr>
            <w:r>
              <w:rPr>
                <w:rFonts w:ascii="Times New Roman"/>
                <w:sz w:val="18"/>
              </w:rPr>
              <w:t>8.56</w:t>
            </w:r>
          </w:p>
        </w:tc>
      </w:tr>
      <w:tr>
        <w:trPr>
          <w:trHeight w:val="1027"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300" w:lineRule="auto"/>
              <w:ind w:left="105" w:right="118"/>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．所有者投</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入的普通股</w:t>
            </w:r>
          </w:p>
        </w:tc>
        <w:tc>
          <w:tcPr>
            <w:tcW w:w="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67" w:right="0"/>
              <w:jc w:val="left"/>
              <w:rPr>
                <w:rFonts w:ascii="Times New Roman" w:hAnsi="Times New Roman" w:cs="Times New Roman" w:eastAsia="Times New Roman" w:hint="default"/>
                <w:sz w:val="18"/>
                <w:szCs w:val="18"/>
              </w:rPr>
            </w:pPr>
            <w:r>
              <w:rPr>
                <w:rFonts w:ascii="Times New Roman"/>
                <w:sz w:val="18"/>
              </w:rPr>
              <w:t>8,00</w:t>
            </w:r>
          </w:p>
          <w:p>
            <w:pPr>
              <w:pStyle w:val="TableParagraph"/>
              <w:spacing w:line="240" w:lineRule="auto" w:before="105"/>
              <w:ind w:left="167" w:right="0"/>
              <w:jc w:val="left"/>
              <w:rPr>
                <w:rFonts w:ascii="Times New Roman" w:hAnsi="Times New Roman" w:cs="Times New Roman" w:eastAsia="Times New Roman" w:hint="default"/>
                <w:sz w:val="18"/>
                <w:szCs w:val="18"/>
              </w:rPr>
            </w:pPr>
            <w:r>
              <w:rPr>
                <w:rFonts w:ascii="Times New Roman"/>
                <w:sz w:val="18"/>
              </w:rPr>
              <w:t>0,00</w:t>
            </w:r>
          </w:p>
          <w:p>
            <w:pPr>
              <w:pStyle w:val="TableParagraph"/>
              <w:spacing w:line="240" w:lineRule="auto" w:before="110"/>
              <w:ind w:left="167" w:right="0"/>
              <w:jc w:val="left"/>
              <w:rPr>
                <w:rFonts w:ascii="Times New Roman" w:hAnsi="Times New Roman" w:cs="Times New Roman" w:eastAsia="Times New Roman" w:hint="default"/>
                <w:sz w:val="18"/>
                <w:szCs w:val="18"/>
              </w:rPr>
            </w:pPr>
            <w:r>
              <w:rPr>
                <w:rFonts w:ascii="Times New Roman"/>
                <w:sz w:val="18"/>
              </w:rPr>
              <w:t>0.00</w:t>
            </w: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67" w:right="0"/>
              <w:jc w:val="left"/>
              <w:rPr>
                <w:rFonts w:ascii="Times New Roman" w:hAnsi="Times New Roman" w:cs="Times New Roman" w:eastAsia="Times New Roman" w:hint="default"/>
                <w:sz w:val="18"/>
                <w:szCs w:val="18"/>
              </w:rPr>
            </w:pPr>
            <w:r>
              <w:rPr>
                <w:rFonts w:ascii="Times New Roman"/>
                <w:sz w:val="18"/>
              </w:rPr>
              <w:t>13,60</w:t>
            </w:r>
          </w:p>
          <w:p>
            <w:pPr>
              <w:pStyle w:val="TableParagraph"/>
              <w:spacing w:line="240" w:lineRule="auto" w:before="105"/>
              <w:ind w:left="119" w:right="0"/>
              <w:jc w:val="left"/>
              <w:rPr>
                <w:rFonts w:ascii="Times New Roman" w:hAnsi="Times New Roman" w:cs="Times New Roman" w:eastAsia="Times New Roman" w:hint="default"/>
                <w:sz w:val="18"/>
                <w:szCs w:val="18"/>
              </w:rPr>
            </w:pPr>
            <w:r>
              <w:rPr>
                <w:rFonts w:ascii="Times New Roman"/>
                <w:sz w:val="18"/>
              </w:rPr>
              <w:t>0,000.</w:t>
            </w:r>
          </w:p>
          <w:p>
            <w:pPr>
              <w:pStyle w:val="TableParagraph"/>
              <w:spacing w:line="240" w:lineRule="auto" w:before="110"/>
              <w:ind w:left="393" w:right="0"/>
              <w:jc w:val="left"/>
              <w:rPr>
                <w:rFonts w:ascii="Times New Roman" w:hAnsi="Times New Roman" w:cs="Times New Roman" w:eastAsia="Times New Roman" w:hint="default"/>
                <w:sz w:val="18"/>
                <w:szCs w:val="18"/>
              </w:rPr>
            </w:pPr>
            <w:r>
              <w:rPr>
                <w:rFonts w:ascii="Times New Roman"/>
                <w:sz w:val="18"/>
              </w:rPr>
              <w:t>00</w:t>
            </w:r>
          </w:p>
        </w:tc>
        <w:tc>
          <w:tcPr>
            <w:tcW w:w="687"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78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187" w:right="0"/>
              <w:jc w:val="left"/>
              <w:rPr>
                <w:rFonts w:ascii="Times New Roman" w:hAnsi="Times New Roman" w:cs="Times New Roman" w:eastAsia="Times New Roman" w:hint="default"/>
                <w:sz w:val="18"/>
                <w:szCs w:val="18"/>
              </w:rPr>
            </w:pPr>
            <w:r>
              <w:rPr>
                <w:rFonts w:ascii="Times New Roman"/>
                <w:sz w:val="18"/>
              </w:rPr>
              <w:t>21,600,0</w:t>
            </w:r>
          </w:p>
          <w:p>
            <w:pPr>
              <w:pStyle w:val="TableParagraph"/>
              <w:spacing w:line="240" w:lineRule="auto" w:before="105"/>
              <w:ind w:left="412" w:right="0"/>
              <w:jc w:val="left"/>
              <w:rPr>
                <w:rFonts w:ascii="Times New Roman" w:hAnsi="Times New Roman" w:cs="Times New Roman" w:eastAsia="Times New Roman" w:hint="default"/>
                <w:sz w:val="18"/>
                <w:szCs w:val="18"/>
              </w:rPr>
            </w:pPr>
            <w:r>
              <w:rPr>
                <w:rFonts w:ascii="Times New Roman"/>
                <w:sz w:val="18"/>
              </w:rPr>
              <w:t>00.00</w:t>
            </w:r>
          </w:p>
        </w:tc>
      </w:tr>
      <w:tr>
        <w:trPr>
          <w:trHeight w:val="1028"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3"/>
              <w:ind w:left="105" w:right="118"/>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．其他权益</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工具持有者</w:t>
            </w:r>
            <w:r>
              <w:rPr>
                <w:rFonts w:ascii="宋体" w:hAnsi="宋体" w:cs="宋体" w:eastAsia="宋体" w:hint="default"/>
                <w:w w:val="101"/>
                <w:sz w:val="18"/>
                <w:szCs w:val="18"/>
              </w:rPr>
              <w:t> </w:t>
            </w:r>
            <w:r>
              <w:rPr>
                <w:rFonts w:ascii="宋体" w:hAnsi="宋体" w:cs="宋体" w:eastAsia="宋体" w:hint="default"/>
                <w:sz w:val="18"/>
                <w:szCs w:val="18"/>
              </w:rPr>
              <w:t>投入资本</w:t>
            </w:r>
          </w:p>
        </w:tc>
        <w:tc>
          <w:tcPr>
            <w:tcW w:w="595"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78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26" w:type="dxa"/>
            <w:tcBorders>
              <w:top w:val="single" w:sz="4" w:space="0" w:color="000000"/>
              <w:left w:val="single" w:sz="4" w:space="0" w:color="000000"/>
              <w:bottom w:val="single" w:sz="4" w:space="0" w:color="000000"/>
              <w:right w:val="single" w:sz="4" w:space="0" w:color="000000"/>
            </w:tcBorders>
          </w:tcPr>
          <w:p>
            <w:pPr/>
          </w:p>
        </w:tc>
      </w:tr>
      <w:tr>
        <w:trPr>
          <w:trHeight w:val="1023"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3"/>
              <w:ind w:left="105" w:right="118"/>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．股份支付</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计入所有者</w:t>
            </w:r>
            <w:r>
              <w:rPr>
                <w:rFonts w:ascii="宋体" w:hAnsi="宋体" w:cs="宋体" w:eastAsia="宋体" w:hint="default"/>
                <w:w w:val="101"/>
                <w:sz w:val="18"/>
                <w:szCs w:val="18"/>
              </w:rPr>
              <w:t> </w:t>
            </w:r>
            <w:r>
              <w:rPr>
                <w:rFonts w:ascii="宋体" w:hAnsi="宋体" w:cs="宋体" w:eastAsia="宋体" w:hint="default"/>
                <w:sz w:val="18"/>
                <w:szCs w:val="18"/>
              </w:rPr>
              <w:t>权益的金额</w:t>
            </w:r>
          </w:p>
        </w:tc>
        <w:tc>
          <w:tcPr>
            <w:tcW w:w="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2" w:right="0"/>
              <w:jc w:val="center"/>
              <w:rPr>
                <w:rFonts w:ascii="Times New Roman" w:hAnsi="Times New Roman" w:cs="Times New Roman" w:eastAsia="Times New Roman" w:hint="default"/>
                <w:sz w:val="18"/>
                <w:szCs w:val="18"/>
              </w:rPr>
            </w:pPr>
            <w:r>
              <w:rPr>
                <w:rFonts w:ascii="Times New Roman"/>
                <w:sz w:val="18"/>
              </w:rPr>
              <w:t>-171,</w:t>
            </w:r>
          </w:p>
          <w:p>
            <w:pPr>
              <w:pStyle w:val="TableParagraph"/>
              <w:spacing w:line="240" w:lineRule="auto" w:before="100"/>
              <w:ind w:left="69" w:right="0"/>
              <w:jc w:val="center"/>
              <w:rPr>
                <w:rFonts w:ascii="Times New Roman" w:hAnsi="Times New Roman" w:cs="Times New Roman" w:eastAsia="Times New Roman" w:hint="default"/>
                <w:sz w:val="18"/>
                <w:szCs w:val="18"/>
              </w:rPr>
            </w:pPr>
            <w:r>
              <w:rPr>
                <w:rFonts w:ascii="Times New Roman"/>
                <w:sz w:val="18"/>
              </w:rPr>
              <w:t>000.</w:t>
            </w:r>
          </w:p>
          <w:p>
            <w:pPr>
              <w:pStyle w:val="TableParagraph"/>
              <w:spacing w:line="240" w:lineRule="auto" w:before="110"/>
              <w:ind w:left="211" w:right="0"/>
              <w:jc w:val="center"/>
              <w:rPr>
                <w:rFonts w:ascii="Times New Roman" w:hAnsi="Times New Roman" w:cs="Times New Roman" w:eastAsia="Times New Roman" w:hint="default"/>
                <w:sz w:val="18"/>
                <w:szCs w:val="18"/>
              </w:rPr>
            </w:pPr>
            <w:r>
              <w:rPr>
                <w:rFonts w:ascii="Times New Roman"/>
                <w:sz w:val="18"/>
              </w:rPr>
              <w:t>00</w:t>
            </w: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6"/>
              <w:jc w:val="right"/>
              <w:rPr>
                <w:rFonts w:ascii="Times New Roman" w:hAnsi="Times New Roman" w:cs="Times New Roman" w:eastAsia="Times New Roman" w:hint="default"/>
                <w:sz w:val="18"/>
                <w:szCs w:val="18"/>
              </w:rPr>
            </w:pPr>
            <w:r>
              <w:rPr>
                <w:rFonts w:ascii="Times New Roman"/>
                <w:spacing w:val="-1"/>
                <w:sz w:val="18"/>
              </w:rPr>
              <w:t>4,795,</w:t>
            </w:r>
          </w:p>
          <w:p>
            <w:pPr>
              <w:pStyle w:val="TableParagraph"/>
              <w:spacing w:line="240" w:lineRule="auto" w:before="100"/>
              <w:ind w:right="93"/>
              <w:jc w:val="right"/>
              <w:rPr>
                <w:rFonts w:ascii="Times New Roman" w:hAnsi="Times New Roman" w:cs="Times New Roman" w:eastAsia="Times New Roman" w:hint="default"/>
                <w:sz w:val="18"/>
                <w:szCs w:val="18"/>
              </w:rPr>
            </w:pPr>
            <w:r>
              <w:rPr>
                <w:rFonts w:ascii="Times New Roman"/>
                <w:spacing w:val="-1"/>
                <w:sz w:val="18"/>
              </w:rPr>
              <w:t>386.6</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6</w:t>
            </w:r>
            <w:r>
              <w:rPr>
                <w:rFonts w:ascii="Times New Roman"/>
                <w:sz w:val="18"/>
              </w:rPr>
            </w:r>
          </w:p>
        </w:tc>
        <w:tc>
          <w:tcPr>
            <w:tcW w:w="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72" w:right="0"/>
              <w:jc w:val="left"/>
              <w:rPr>
                <w:rFonts w:ascii="Times New Roman" w:hAnsi="Times New Roman" w:cs="Times New Roman" w:eastAsia="Times New Roman" w:hint="default"/>
                <w:sz w:val="18"/>
                <w:szCs w:val="18"/>
              </w:rPr>
            </w:pPr>
            <w:r>
              <w:rPr>
                <w:rFonts w:ascii="Times New Roman"/>
                <w:sz w:val="18"/>
              </w:rPr>
              <w:t>17,64</w:t>
            </w:r>
          </w:p>
          <w:p>
            <w:pPr>
              <w:pStyle w:val="TableParagraph"/>
              <w:spacing w:line="240" w:lineRule="auto" w:before="100"/>
              <w:ind w:left="124" w:right="0"/>
              <w:jc w:val="left"/>
              <w:rPr>
                <w:rFonts w:ascii="Times New Roman" w:hAnsi="Times New Roman" w:cs="Times New Roman" w:eastAsia="Times New Roman" w:hint="default"/>
                <w:sz w:val="18"/>
                <w:szCs w:val="18"/>
              </w:rPr>
            </w:pPr>
            <w:r>
              <w:rPr>
                <w:rFonts w:ascii="Times New Roman"/>
                <w:sz w:val="18"/>
              </w:rPr>
              <w:t>0,488.</w:t>
            </w:r>
          </w:p>
          <w:p>
            <w:pPr>
              <w:pStyle w:val="TableParagraph"/>
              <w:spacing w:line="240" w:lineRule="auto" w:before="110"/>
              <w:ind w:left="398" w:right="0"/>
              <w:jc w:val="left"/>
              <w:rPr>
                <w:rFonts w:ascii="Times New Roman" w:hAnsi="Times New Roman" w:cs="Times New Roman" w:eastAsia="Times New Roman" w:hint="default"/>
                <w:sz w:val="18"/>
                <w:szCs w:val="18"/>
              </w:rPr>
            </w:pPr>
            <w:r>
              <w:rPr>
                <w:rFonts w:ascii="Times New Roman"/>
                <w:sz w:val="18"/>
              </w:rPr>
              <w:t>10</w:t>
            </w:r>
          </w:p>
        </w:tc>
        <w:tc>
          <w:tcPr>
            <w:tcW w:w="686" w:type="dxa"/>
            <w:tcBorders>
              <w:top w:val="single" w:sz="4" w:space="0" w:color="000000"/>
              <w:left w:val="single" w:sz="4" w:space="0" w:color="000000"/>
              <w:bottom w:val="single" w:sz="4" w:space="0" w:color="000000"/>
              <w:right w:val="single" w:sz="4" w:space="0" w:color="000000"/>
            </w:tcBorders>
          </w:tcPr>
          <w:p>
            <w:pPr/>
          </w:p>
        </w:tc>
        <w:tc>
          <w:tcPr>
            <w:tcW w:w="78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24" w:right="0"/>
              <w:jc w:val="left"/>
              <w:rPr>
                <w:rFonts w:ascii="Times New Roman" w:hAnsi="Times New Roman" w:cs="Times New Roman" w:eastAsia="Times New Roman" w:hint="default"/>
                <w:sz w:val="18"/>
                <w:szCs w:val="18"/>
              </w:rPr>
            </w:pPr>
            <w:r>
              <w:rPr>
                <w:rFonts w:ascii="Times New Roman"/>
                <w:sz w:val="18"/>
              </w:rPr>
              <w:t>-13,016,1</w:t>
            </w:r>
          </w:p>
          <w:p>
            <w:pPr>
              <w:pStyle w:val="TableParagraph"/>
              <w:spacing w:line="240" w:lineRule="auto" w:before="110"/>
              <w:ind w:left="412" w:right="0"/>
              <w:jc w:val="left"/>
              <w:rPr>
                <w:rFonts w:ascii="Times New Roman" w:hAnsi="Times New Roman" w:cs="Times New Roman" w:eastAsia="Times New Roman" w:hint="default"/>
                <w:sz w:val="18"/>
                <w:szCs w:val="18"/>
              </w:rPr>
            </w:pPr>
            <w:r>
              <w:rPr>
                <w:rFonts w:ascii="Times New Roman"/>
                <w:sz w:val="18"/>
              </w:rPr>
              <w:t>01.44</w:t>
            </w:r>
          </w:p>
        </w:tc>
      </w:tr>
      <w:tr>
        <w:trPr>
          <w:trHeight w:val="403"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95"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78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26"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316" w:lineRule="auto"/>
              <w:ind w:left="105" w:right="94"/>
              <w:jc w:val="left"/>
              <w:rPr>
                <w:rFonts w:ascii="宋体" w:hAnsi="宋体" w:cs="宋体" w:eastAsia="宋体" w:hint="default"/>
                <w:sz w:val="18"/>
                <w:szCs w:val="18"/>
              </w:rPr>
            </w:pPr>
            <w:r>
              <w:rPr>
                <w:rFonts w:ascii="宋体" w:hAnsi="宋体" w:cs="宋体" w:eastAsia="宋体" w:hint="default"/>
                <w:spacing w:val="-13"/>
                <w:w w:val="101"/>
                <w:sz w:val="18"/>
                <w:szCs w:val="18"/>
              </w:rPr>
              <w:t>（三）利润分</w:t>
            </w:r>
            <w:r>
              <w:rPr>
                <w:rFonts w:ascii="宋体" w:hAnsi="宋体" w:cs="宋体" w:eastAsia="宋体" w:hint="default"/>
                <w:w w:val="101"/>
                <w:sz w:val="18"/>
                <w:szCs w:val="18"/>
              </w:rPr>
              <w:t> </w:t>
            </w:r>
            <w:r>
              <w:rPr>
                <w:rFonts w:ascii="宋体" w:hAnsi="宋体" w:cs="宋体" w:eastAsia="宋体" w:hint="default"/>
                <w:sz w:val="18"/>
                <w:szCs w:val="18"/>
              </w:rPr>
              <w:t>配</w:t>
            </w:r>
          </w:p>
        </w:tc>
        <w:tc>
          <w:tcPr>
            <w:tcW w:w="595"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78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48" w:right="0"/>
              <w:jc w:val="left"/>
              <w:rPr>
                <w:rFonts w:ascii="Times New Roman" w:hAnsi="Times New Roman" w:cs="Times New Roman" w:eastAsia="Times New Roman" w:hint="default"/>
                <w:sz w:val="18"/>
                <w:szCs w:val="18"/>
              </w:rPr>
            </w:pPr>
            <w:r>
              <w:rPr>
                <w:rFonts w:ascii="Times New Roman"/>
                <w:sz w:val="18"/>
              </w:rPr>
              <w:t>2,922</w:t>
            </w:r>
          </w:p>
          <w:p>
            <w:pPr>
              <w:pStyle w:val="TableParagraph"/>
              <w:spacing w:line="240" w:lineRule="auto" w:before="105"/>
              <w:ind w:left="93" w:right="0"/>
              <w:jc w:val="center"/>
              <w:rPr>
                <w:rFonts w:ascii="Times New Roman" w:hAnsi="Times New Roman" w:cs="Times New Roman" w:eastAsia="Times New Roman" w:hint="default"/>
                <w:sz w:val="18"/>
                <w:szCs w:val="18"/>
              </w:rPr>
            </w:pPr>
            <w:r>
              <w:rPr>
                <w:rFonts w:ascii="Times New Roman"/>
                <w:sz w:val="18"/>
              </w:rPr>
              <w:t>,747.</w:t>
            </w:r>
          </w:p>
          <w:p>
            <w:pPr>
              <w:pStyle w:val="TableParagraph"/>
              <w:spacing w:line="240" w:lineRule="auto" w:before="110"/>
              <w:ind w:left="278" w:right="0"/>
              <w:jc w:val="center"/>
              <w:rPr>
                <w:rFonts w:ascii="Times New Roman" w:hAnsi="Times New Roman" w:cs="Times New Roman" w:eastAsia="Times New Roman" w:hint="default"/>
                <w:sz w:val="18"/>
                <w:szCs w:val="18"/>
              </w:rPr>
            </w:pPr>
            <w:r>
              <w:rPr>
                <w:rFonts w:ascii="Times New Roman"/>
                <w:sz w:val="18"/>
              </w:rPr>
              <w:t>71</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130" w:right="0"/>
              <w:jc w:val="left"/>
              <w:rPr>
                <w:rFonts w:ascii="Times New Roman" w:hAnsi="Times New Roman" w:cs="Times New Roman" w:eastAsia="Times New Roman" w:hint="default"/>
                <w:sz w:val="18"/>
                <w:szCs w:val="18"/>
              </w:rPr>
            </w:pPr>
            <w:r>
              <w:rPr>
                <w:rFonts w:ascii="Times New Roman"/>
                <w:sz w:val="18"/>
              </w:rPr>
              <w:t>-64,044</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,231.11</w:t>
            </w:r>
          </w:p>
        </w:tc>
        <w:tc>
          <w:tcPr>
            <w:tcW w:w="797" w:type="dxa"/>
            <w:tcBorders>
              <w:top w:val="single" w:sz="4" w:space="0" w:color="000000"/>
              <w:left w:val="single" w:sz="4" w:space="0" w:color="000000"/>
              <w:bottom w:val="single" w:sz="4" w:space="0" w:color="000000"/>
              <w:right w:val="single" w:sz="4" w:space="0" w:color="000000"/>
            </w:tcBorders>
          </w:tcPr>
          <w:p>
            <w:pP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124" w:right="0"/>
              <w:jc w:val="left"/>
              <w:rPr>
                <w:rFonts w:ascii="Times New Roman" w:hAnsi="Times New Roman" w:cs="Times New Roman" w:eastAsia="Times New Roman" w:hint="default"/>
                <w:sz w:val="18"/>
                <w:szCs w:val="18"/>
              </w:rPr>
            </w:pPr>
            <w:r>
              <w:rPr>
                <w:rFonts w:ascii="Times New Roman"/>
                <w:sz w:val="18"/>
              </w:rPr>
              <w:t>-61,121,4</w:t>
            </w:r>
          </w:p>
          <w:p>
            <w:pPr>
              <w:pStyle w:val="TableParagraph"/>
              <w:spacing w:line="240" w:lineRule="auto" w:before="105"/>
              <w:ind w:left="412" w:right="0"/>
              <w:jc w:val="left"/>
              <w:rPr>
                <w:rFonts w:ascii="Times New Roman" w:hAnsi="Times New Roman" w:cs="Times New Roman" w:eastAsia="Times New Roman" w:hint="default"/>
                <w:sz w:val="18"/>
                <w:szCs w:val="18"/>
              </w:rPr>
            </w:pPr>
            <w:r>
              <w:rPr>
                <w:rFonts w:ascii="Times New Roman"/>
                <w:sz w:val="18"/>
              </w:rPr>
              <w:t>83.40</w:t>
            </w:r>
          </w:p>
        </w:tc>
      </w:tr>
      <w:tr>
        <w:trPr>
          <w:trHeight w:val="1028"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304" w:lineRule="auto"/>
              <w:ind w:left="105" w:right="118"/>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．提取盈余</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公积</w:t>
            </w:r>
          </w:p>
        </w:tc>
        <w:tc>
          <w:tcPr>
            <w:tcW w:w="595"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78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48" w:right="0"/>
              <w:jc w:val="left"/>
              <w:rPr>
                <w:rFonts w:ascii="Times New Roman" w:hAnsi="Times New Roman" w:cs="Times New Roman" w:eastAsia="Times New Roman" w:hint="default"/>
                <w:sz w:val="18"/>
                <w:szCs w:val="18"/>
              </w:rPr>
            </w:pPr>
            <w:r>
              <w:rPr>
                <w:rFonts w:ascii="Times New Roman"/>
                <w:sz w:val="18"/>
              </w:rPr>
              <w:t>2,922</w:t>
            </w:r>
          </w:p>
          <w:p>
            <w:pPr>
              <w:pStyle w:val="TableParagraph"/>
              <w:spacing w:line="240" w:lineRule="auto" w:before="100"/>
              <w:ind w:left="93" w:right="0"/>
              <w:jc w:val="center"/>
              <w:rPr>
                <w:rFonts w:ascii="Times New Roman" w:hAnsi="Times New Roman" w:cs="Times New Roman" w:eastAsia="Times New Roman" w:hint="default"/>
                <w:sz w:val="18"/>
                <w:szCs w:val="18"/>
              </w:rPr>
            </w:pPr>
            <w:r>
              <w:rPr>
                <w:rFonts w:ascii="Times New Roman"/>
                <w:sz w:val="18"/>
              </w:rPr>
              <w:t>,747.</w:t>
            </w:r>
          </w:p>
          <w:p>
            <w:pPr>
              <w:pStyle w:val="TableParagraph"/>
              <w:spacing w:line="240" w:lineRule="auto" w:before="110"/>
              <w:ind w:left="278" w:right="0"/>
              <w:jc w:val="center"/>
              <w:rPr>
                <w:rFonts w:ascii="Times New Roman" w:hAnsi="Times New Roman" w:cs="Times New Roman" w:eastAsia="Times New Roman" w:hint="default"/>
                <w:sz w:val="18"/>
                <w:szCs w:val="18"/>
              </w:rPr>
            </w:pPr>
            <w:r>
              <w:rPr>
                <w:rFonts w:ascii="Times New Roman"/>
                <w:sz w:val="18"/>
              </w:rPr>
              <w:t>71</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78" w:right="0"/>
              <w:jc w:val="left"/>
              <w:rPr>
                <w:rFonts w:ascii="Times New Roman" w:hAnsi="Times New Roman" w:cs="Times New Roman" w:eastAsia="Times New Roman" w:hint="default"/>
                <w:sz w:val="18"/>
                <w:szCs w:val="18"/>
              </w:rPr>
            </w:pPr>
            <w:r>
              <w:rPr>
                <w:rFonts w:ascii="Times New Roman"/>
                <w:sz w:val="18"/>
              </w:rPr>
              <w:t>-2,922,</w:t>
            </w:r>
          </w:p>
          <w:p>
            <w:pPr>
              <w:pStyle w:val="TableParagraph"/>
              <w:spacing w:line="240" w:lineRule="auto" w:before="110"/>
              <w:ind w:left="192" w:right="0"/>
              <w:jc w:val="left"/>
              <w:rPr>
                <w:rFonts w:ascii="Times New Roman" w:hAnsi="Times New Roman" w:cs="Times New Roman" w:eastAsia="Times New Roman" w:hint="default"/>
                <w:sz w:val="18"/>
                <w:szCs w:val="18"/>
              </w:rPr>
            </w:pPr>
            <w:r>
              <w:rPr>
                <w:rFonts w:ascii="Times New Roman"/>
                <w:sz w:val="18"/>
              </w:rPr>
              <w:t>747.71</w:t>
            </w:r>
          </w:p>
        </w:tc>
        <w:tc>
          <w:tcPr>
            <w:tcW w:w="797" w:type="dxa"/>
            <w:tcBorders>
              <w:top w:val="single" w:sz="4" w:space="0" w:color="000000"/>
              <w:left w:val="single" w:sz="4" w:space="0" w:color="000000"/>
              <w:bottom w:val="single" w:sz="4" w:space="0" w:color="000000"/>
              <w:right w:val="single" w:sz="4" w:space="0" w:color="000000"/>
            </w:tcBorders>
          </w:tcPr>
          <w:p>
            <w:pPr/>
          </w:p>
        </w:tc>
        <w:tc>
          <w:tcPr>
            <w:tcW w:w="926" w:type="dxa"/>
            <w:tcBorders>
              <w:top w:val="single" w:sz="4" w:space="0" w:color="000000"/>
              <w:left w:val="single" w:sz="4" w:space="0" w:color="000000"/>
              <w:bottom w:val="single" w:sz="4" w:space="0" w:color="000000"/>
              <w:right w:val="single" w:sz="4" w:space="0" w:color="000000"/>
            </w:tcBorders>
          </w:tcPr>
          <w:p>
            <w:pPr/>
          </w:p>
        </w:tc>
      </w:tr>
      <w:tr>
        <w:trPr>
          <w:trHeight w:val="1023"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．对所有者</w:t>
            </w:r>
          </w:p>
          <w:p>
            <w:pPr>
              <w:pStyle w:val="TableParagraph"/>
              <w:spacing w:line="324" w:lineRule="auto" w:before="58"/>
              <w:ind w:left="105" w:right="94"/>
              <w:jc w:val="left"/>
              <w:rPr>
                <w:rFonts w:ascii="宋体" w:hAnsi="宋体" w:cs="宋体" w:eastAsia="宋体" w:hint="default"/>
                <w:sz w:val="18"/>
                <w:szCs w:val="18"/>
              </w:rPr>
            </w:pPr>
            <w:r>
              <w:rPr>
                <w:rFonts w:ascii="宋体" w:hAnsi="宋体" w:cs="宋体" w:eastAsia="宋体" w:hint="default"/>
                <w:spacing w:val="-13"/>
                <w:w w:val="101"/>
                <w:sz w:val="18"/>
                <w:szCs w:val="18"/>
              </w:rPr>
              <w:t>（或股东）的</w:t>
            </w:r>
            <w:r>
              <w:rPr>
                <w:rFonts w:ascii="宋体" w:hAnsi="宋体" w:cs="宋体" w:eastAsia="宋体" w:hint="default"/>
                <w:w w:val="101"/>
                <w:sz w:val="18"/>
                <w:szCs w:val="18"/>
              </w:rPr>
              <w:t> </w:t>
            </w:r>
            <w:r>
              <w:rPr>
                <w:rFonts w:ascii="宋体" w:hAnsi="宋体" w:cs="宋体" w:eastAsia="宋体" w:hint="default"/>
                <w:sz w:val="18"/>
                <w:szCs w:val="18"/>
              </w:rPr>
              <w:t>分配</w:t>
            </w:r>
          </w:p>
        </w:tc>
        <w:tc>
          <w:tcPr>
            <w:tcW w:w="595"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78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30" w:right="0"/>
              <w:jc w:val="left"/>
              <w:rPr>
                <w:rFonts w:ascii="Times New Roman" w:hAnsi="Times New Roman" w:cs="Times New Roman" w:eastAsia="Times New Roman" w:hint="default"/>
                <w:sz w:val="18"/>
                <w:szCs w:val="18"/>
              </w:rPr>
            </w:pPr>
            <w:r>
              <w:rPr>
                <w:rFonts w:ascii="Times New Roman"/>
                <w:sz w:val="18"/>
              </w:rPr>
              <w:t>-61,121</w:t>
            </w:r>
          </w:p>
          <w:p>
            <w:pPr>
              <w:pStyle w:val="TableParagraph"/>
              <w:spacing w:line="240" w:lineRule="auto" w:before="110"/>
              <w:ind w:left="149" w:right="0"/>
              <w:jc w:val="left"/>
              <w:rPr>
                <w:rFonts w:ascii="Times New Roman" w:hAnsi="Times New Roman" w:cs="Times New Roman" w:eastAsia="Times New Roman" w:hint="default"/>
                <w:sz w:val="18"/>
                <w:szCs w:val="18"/>
              </w:rPr>
            </w:pPr>
            <w:r>
              <w:rPr>
                <w:rFonts w:ascii="Times New Roman"/>
                <w:sz w:val="18"/>
              </w:rPr>
              <w:t>,483.40</w:t>
            </w:r>
          </w:p>
        </w:tc>
        <w:tc>
          <w:tcPr>
            <w:tcW w:w="797" w:type="dxa"/>
            <w:tcBorders>
              <w:top w:val="single" w:sz="4" w:space="0" w:color="000000"/>
              <w:left w:val="single" w:sz="4" w:space="0" w:color="000000"/>
              <w:bottom w:val="single" w:sz="4" w:space="0" w:color="000000"/>
              <w:right w:val="single" w:sz="4" w:space="0" w:color="000000"/>
            </w:tcBorders>
          </w:tcPr>
          <w:p>
            <w:pP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24" w:right="0"/>
              <w:jc w:val="left"/>
              <w:rPr>
                <w:rFonts w:ascii="Times New Roman" w:hAnsi="Times New Roman" w:cs="Times New Roman" w:eastAsia="Times New Roman" w:hint="default"/>
                <w:sz w:val="18"/>
                <w:szCs w:val="18"/>
              </w:rPr>
            </w:pPr>
            <w:r>
              <w:rPr>
                <w:rFonts w:ascii="Times New Roman"/>
                <w:sz w:val="18"/>
              </w:rPr>
              <w:t>-61,121,4</w:t>
            </w:r>
          </w:p>
          <w:p>
            <w:pPr>
              <w:pStyle w:val="TableParagraph"/>
              <w:spacing w:line="240" w:lineRule="auto" w:before="110"/>
              <w:ind w:left="412" w:right="0"/>
              <w:jc w:val="left"/>
              <w:rPr>
                <w:rFonts w:ascii="Times New Roman" w:hAnsi="Times New Roman" w:cs="Times New Roman" w:eastAsia="Times New Roman" w:hint="default"/>
                <w:sz w:val="18"/>
                <w:szCs w:val="18"/>
              </w:rPr>
            </w:pPr>
            <w:r>
              <w:rPr>
                <w:rFonts w:ascii="Times New Roman"/>
                <w:sz w:val="18"/>
              </w:rPr>
              <w:t>83.40</w:t>
            </w:r>
          </w:p>
        </w:tc>
      </w:tr>
      <w:tr>
        <w:trPr>
          <w:trHeight w:val="403"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595"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78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26"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105" w:right="94"/>
              <w:jc w:val="left"/>
              <w:rPr>
                <w:rFonts w:ascii="宋体" w:hAnsi="宋体" w:cs="宋体" w:eastAsia="宋体" w:hint="default"/>
                <w:sz w:val="18"/>
                <w:szCs w:val="18"/>
              </w:rPr>
            </w:pPr>
            <w:r>
              <w:rPr>
                <w:rFonts w:ascii="宋体" w:hAnsi="宋体" w:cs="宋体" w:eastAsia="宋体" w:hint="default"/>
                <w:spacing w:val="-13"/>
                <w:w w:val="101"/>
                <w:sz w:val="18"/>
                <w:szCs w:val="18"/>
              </w:rPr>
              <w:t>（四）所有者</w:t>
            </w:r>
            <w:r>
              <w:rPr>
                <w:rFonts w:ascii="宋体" w:hAnsi="宋体" w:cs="宋体" w:eastAsia="宋体" w:hint="default"/>
                <w:w w:val="101"/>
                <w:sz w:val="18"/>
                <w:szCs w:val="18"/>
              </w:rPr>
              <w:t> </w:t>
            </w:r>
            <w:r>
              <w:rPr>
                <w:rFonts w:ascii="宋体" w:hAnsi="宋体" w:cs="宋体" w:eastAsia="宋体" w:hint="default"/>
                <w:sz w:val="18"/>
                <w:szCs w:val="18"/>
              </w:rPr>
              <w:t>权益内部结</w:t>
            </w:r>
            <w:r>
              <w:rPr>
                <w:rFonts w:ascii="宋体" w:hAnsi="宋体" w:cs="宋体" w:eastAsia="宋体" w:hint="default"/>
                <w:w w:val="101"/>
                <w:sz w:val="18"/>
                <w:szCs w:val="18"/>
              </w:rPr>
              <w:t> </w:t>
            </w:r>
            <w:r>
              <w:rPr>
                <w:rFonts w:ascii="宋体" w:hAnsi="宋体" w:cs="宋体" w:eastAsia="宋体" w:hint="default"/>
                <w:sz w:val="18"/>
                <w:szCs w:val="18"/>
              </w:rPr>
              <w:t>转</w:t>
            </w:r>
          </w:p>
        </w:tc>
        <w:tc>
          <w:tcPr>
            <w:tcW w:w="595"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78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26" w:type="dxa"/>
            <w:tcBorders>
              <w:top w:val="single" w:sz="4" w:space="0" w:color="000000"/>
              <w:left w:val="single" w:sz="4" w:space="0" w:color="000000"/>
              <w:bottom w:val="single" w:sz="4" w:space="0" w:color="000000"/>
              <w:right w:val="single" w:sz="4" w:space="0" w:color="000000"/>
            </w:tcBorders>
          </w:tcPr>
          <w:p>
            <w:pPr/>
          </w:p>
        </w:tc>
      </w:tr>
      <w:tr>
        <w:trPr>
          <w:trHeight w:val="1028"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4"/>
              <w:ind w:left="105" w:right="94"/>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13"/>
                <w:sz w:val="18"/>
                <w:szCs w:val="18"/>
              </w:rPr>
              <w:t>转增资本（或</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股本）</w:t>
            </w:r>
          </w:p>
        </w:tc>
        <w:tc>
          <w:tcPr>
            <w:tcW w:w="595"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78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26" w:type="dxa"/>
            <w:tcBorders>
              <w:top w:val="single" w:sz="4" w:space="0" w:color="000000"/>
              <w:left w:val="single" w:sz="4" w:space="0" w:color="000000"/>
              <w:bottom w:val="single" w:sz="4" w:space="0" w:color="000000"/>
              <w:right w:val="single" w:sz="4" w:space="0" w:color="000000"/>
            </w:tcBorders>
          </w:tcPr>
          <w:p>
            <w:pPr/>
          </w:p>
        </w:tc>
      </w:tr>
      <w:tr>
        <w:trPr>
          <w:trHeight w:val="1023"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3"/>
              <w:ind w:left="105" w:right="94"/>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13"/>
                <w:sz w:val="18"/>
                <w:szCs w:val="18"/>
              </w:rPr>
              <w:t>转增资本（或</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股本）</w:t>
            </w:r>
          </w:p>
        </w:tc>
        <w:tc>
          <w:tcPr>
            <w:tcW w:w="595"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78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26"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4" w:lineRule="auto" w:before="53"/>
              <w:ind w:left="105" w:right="118"/>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．盈余公积</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弥补亏损</w:t>
            </w:r>
          </w:p>
        </w:tc>
        <w:tc>
          <w:tcPr>
            <w:tcW w:w="595"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78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26" w:type="dxa"/>
            <w:tcBorders>
              <w:top w:val="single" w:sz="4" w:space="0" w:color="000000"/>
              <w:left w:val="single" w:sz="4" w:space="0" w:color="000000"/>
              <w:bottom w:val="single" w:sz="4" w:space="0" w:color="000000"/>
              <w:right w:val="single" w:sz="4" w:space="0" w:color="000000"/>
            </w:tcBorders>
          </w:tcPr>
          <w:p>
            <w:pPr/>
          </w:p>
        </w:tc>
      </w:tr>
      <w:tr>
        <w:trPr>
          <w:trHeight w:val="1340"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3"/>
              <w:ind w:left="105" w:right="118"/>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4</w:t>
            </w:r>
            <w:r>
              <w:rPr>
                <w:rFonts w:ascii="宋体" w:hAnsi="宋体" w:cs="宋体" w:eastAsia="宋体" w:hint="default"/>
                <w:spacing w:val="-2"/>
                <w:sz w:val="18"/>
                <w:szCs w:val="18"/>
              </w:rPr>
              <w:t>．设定受益</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计划变动额</w:t>
            </w:r>
            <w:r>
              <w:rPr>
                <w:rFonts w:ascii="宋体" w:hAnsi="宋体" w:cs="宋体" w:eastAsia="宋体" w:hint="default"/>
                <w:w w:val="101"/>
                <w:sz w:val="18"/>
                <w:szCs w:val="18"/>
              </w:rPr>
              <w:t> </w:t>
            </w:r>
            <w:r>
              <w:rPr>
                <w:rFonts w:ascii="宋体" w:hAnsi="宋体" w:cs="宋体" w:eastAsia="宋体" w:hint="default"/>
                <w:sz w:val="18"/>
                <w:szCs w:val="18"/>
              </w:rPr>
              <w:t>结转留存收</w:t>
            </w:r>
            <w:r>
              <w:rPr>
                <w:rFonts w:ascii="宋体" w:hAnsi="宋体" w:cs="宋体" w:eastAsia="宋体" w:hint="default"/>
                <w:w w:val="101"/>
                <w:sz w:val="18"/>
                <w:szCs w:val="18"/>
              </w:rPr>
              <w:t> </w:t>
            </w:r>
            <w:r>
              <w:rPr>
                <w:rFonts w:ascii="宋体" w:hAnsi="宋体" w:cs="宋体" w:eastAsia="宋体" w:hint="default"/>
                <w:sz w:val="18"/>
                <w:szCs w:val="18"/>
              </w:rPr>
              <w:t>益</w:t>
            </w:r>
          </w:p>
        </w:tc>
        <w:tc>
          <w:tcPr>
            <w:tcW w:w="595"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78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2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．其他综合</w:t>
            </w:r>
          </w:p>
        </w:tc>
        <w:tc>
          <w:tcPr>
            <w:tcW w:w="595"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78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26"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84" w:footer="1022" w:top="1100" w:bottom="1220" w:left="980" w:right="0"/>
        </w:sectPr>
      </w:pPr>
    </w:p>
    <w:p>
      <w:pPr>
        <w:spacing w:line="240" w:lineRule="auto" w:before="1"/>
        <w:rPr>
          <w:rFonts w:ascii="Times New Roman" w:hAnsi="Times New Roman" w:cs="Times New Roman" w:eastAsia="Times New Roman" w:hint="default"/>
          <w:sz w:val="29"/>
          <w:szCs w:val="29"/>
        </w:rPr>
      </w:pPr>
    </w:p>
    <w:tbl>
      <w:tblPr>
        <w:tblW w:w="0" w:type="auto"/>
        <w:jc w:val="left"/>
        <w:tblInd w:w="148" w:type="dxa"/>
        <w:tblLayout w:type="fixed"/>
        <w:tblCellMar>
          <w:top w:w="0" w:type="dxa"/>
          <w:left w:w="0" w:type="dxa"/>
          <w:bottom w:w="0" w:type="dxa"/>
          <w:right w:w="0" w:type="dxa"/>
        </w:tblCellMar>
        <w:tblLook w:val="01E0"/>
      </w:tblPr>
      <w:tblGrid>
        <w:gridCol w:w="1229"/>
        <w:gridCol w:w="595"/>
        <w:gridCol w:w="572"/>
        <w:gridCol w:w="576"/>
        <w:gridCol w:w="572"/>
        <w:gridCol w:w="682"/>
        <w:gridCol w:w="687"/>
        <w:gridCol w:w="686"/>
        <w:gridCol w:w="783"/>
        <w:gridCol w:w="662"/>
        <w:gridCol w:w="802"/>
        <w:gridCol w:w="797"/>
        <w:gridCol w:w="926"/>
      </w:tblGrid>
      <w:tr>
        <w:trPr>
          <w:trHeight w:val="672"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10"/>
              <w:ind w:left="105" w:right="209"/>
              <w:jc w:val="left"/>
              <w:rPr>
                <w:rFonts w:ascii="宋体" w:hAnsi="宋体" w:cs="宋体" w:eastAsia="宋体" w:hint="default"/>
                <w:sz w:val="18"/>
                <w:szCs w:val="18"/>
              </w:rPr>
            </w:pPr>
            <w:r>
              <w:rPr>
                <w:rFonts w:ascii="宋体" w:hAnsi="宋体" w:cs="宋体" w:eastAsia="宋体" w:hint="default"/>
                <w:spacing w:val="-2"/>
                <w:sz w:val="18"/>
                <w:szCs w:val="18"/>
              </w:rPr>
              <w:t>收益结转留</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存收益</w:t>
            </w:r>
          </w:p>
        </w:tc>
        <w:tc>
          <w:tcPr>
            <w:tcW w:w="595"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78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26"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595"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78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26"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05" w:right="94"/>
              <w:jc w:val="left"/>
              <w:rPr>
                <w:rFonts w:ascii="宋体" w:hAnsi="宋体" w:cs="宋体" w:eastAsia="宋体" w:hint="default"/>
                <w:sz w:val="18"/>
                <w:szCs w:val="18"/>
              </w:rPr>
            </w:pPr>
            <w:r>
              <w:rPr>
                <w:rFonts w:ascii="宋体" w:hAnsi="宋体" w:cs="宋体" w:eastAsia="宋体" w:hint="default"/>
                <w:spacing w:val="-13"/>
                <w:w w:val="101"/>
                <w:sz w:val="18"/>
                <w:szCs w:val="18"/>
              </w:rPr>
              <w:t>（五）专项储</w:t>
            </w:r>
            <w:r>
              <w:rPr>
                <w:rFonts w:ascii="宋体" w:hAnsi="宋体" w:cs="宋体" w:eastAsia="宋体" w:hint="default"/>
                <w:w w:val="101"/>
                <w:sz w:val="18"/>
                <w:szCs w:val="18"/>
              </w:rPr>
              <w:t> </w:t>
            </w:r>
            <w:r>
              <w:rPr>
                <w:rFonts w:ascii="宋体" w:hAnsi="宋体" w:cs="宋体" w:eastAsia="宋体" w:hint="default"/>
                <w:sz w:val="18"/>
                <w:szCs w:val="18"/>
              </w:rPr>
              <w:t>备</w:t>
            </w:r>
          </w:p>
        </w:tc>
        <w:tc>
          <w:tcPr>
            <w:tcW w:w="595"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78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2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595"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78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26"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595"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78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26"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595"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
        </w:tc>
        <w:tc>
          <w:tcPr>
            <w:tcW w:w="687"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78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26" w:type="dxa"/>
            <w:tcBorders>
              <w:top w:val="single" w:sz="4" w:space="0" w:color="000000"/>
              <w:left w:val="single" w:sz="4" w:space="0" w:color="000000"/>
              <w:bottom w:val="single" w:sz="4" w:space="0" w:color="000000"/>
              <w:right w:val="single" w:sz="4" w:space="0" w:color="000000"/>
            </w:tcBorders>
          </w:tcPr>
          <w:p>
            <w:pPr/>
          </w:p>
        </w:tc>
      </w:tr>
      <w:tr>
        <w:trPr>
          <w:trHeight w:val="1339"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21" w:lineRule="auto" w:before="158"/>
              <w:ind w:left="105" w:right="94"/>
              <w:jc w:val="left"/>
              <w:rPr>
                <w:rFonts w:ascii="宋体" w:hAnsi="宋体" w:cs="宋体" w:eastAsia="宋体" w:hint="default"/>
                <w:sz w:val="18"/>
                <w:szCs w:val="18"/>
              </w:rPr>
            </w:pPr>
            <w:r>
              <w:rPr>
                <w:rFonts w:ascii="宋体" w:hAnsi="宋体" w:cs="宋体" w:eastAsia="宋体" w:hint="default"/>
                <w:spacing w:val="-13"/>
                <w:sz w:val="18"/>
                <w:szCs w:val="18"/>
              </w:rPr>
              <w:t>四、本期期末</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余额</w:t>
            </w:r>
          </w:p>
        </w:tc>
        <w:tc>
          <w:tcPr>
            <w:tcW w:w="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69" w:right="0"/>
              <w:jc w:val="center"/>
              <w:rPr>
                <w:rFonts w:ascii="Times New Roman" w:hAnsi="Times New Roman" w:cs="Times New Roman" w:eastAsia="Times New Roman" w:hint="default"/>
                <w:sz w:val="18"/>
                <w:szCs w:val="18"/>
              </w:rPr>
            </w:pPr>
            <w:r>
              <w:rPr>
                <w:rFonts w:ascii="Times New Roman"/>
                <w:sz w:val="18"/>
              </w:rPr>
              <w:t>619,</w:t>
            </w:r>
          </w:p>
          <w:p>
            <w:pPr>
              <w:pStyle w:val="TableParagraph"/>
              <w:spacing w:line="240" w:lineRule="auto" w:before="105"/>
              <w:ind w:left="69" w:right="0"/>
              <w:jc w:val="center"/>
              <w:rPr>
                <w:rFonts w:ascii="Times New Roman" w:hAnsi="Times New Roman" w:cs="Times New Roman" w:eastAsia="Times New Roman" w:hint="default"/>
                <w:sz w:val="18"/>
                <w:szCs w:val="18"/>
              </w:rPr>
            </w:pPr>
            <w:r>
              <w:rPr>
                <w:rFonts w:ascii="Times New Roman"/>
                <w:sz w:val="18"/>
              </w:rPr>
              <w:t>214,</w:t>
            </w:r>
          </w:p>
          <w:p>
            <w:pPr>
              <w:pStyle w:val="TableParagraph"/>
              <w:spacing w:line="240" w:lineRule="auto" w:before="105"/>
              <w:ind w:left="69" w:right="0"/>
              <w:jc w:val="center"/>
              <w:rPr>
                <w:rFonts w:ascii="Times New Roman" w:hAnsi="Times New Roman" w:cs="Times New Roman" w:eastAsia="Times New Roman" w:hint="default"/>
                <w:sz w:val="18"/>
                <w:szCs w:val="18"/>
              </w:rPr>
            </w:pPr>
            <w:r>
              <w:rPr>
                <w:rFonts w:ascii="Times New Roman"/>
                <w:sz w:val="18"/>
              </w:rPr>
              <w:t>834.</w:t>
            </w:r>
          </w:p>
          <w:p>
            <w:pPr>
              <w:pStyle w:val="TableParagraph"/>
              <w:spacing w:line="240" w:lineRule="auto" w:before="110"/>
              <w:ind w:left="211" w:right="0"/>
              <w:jc w:val="center"/>
              <w:rPr>
                <w:rFonts w:ascii="Times New Roman" w:hAnsi="Times New Roman" w:cs="Times New Roman" w:eastAsia="Times New Roman" w:hint="default"/>
                <w:sz w:val="18"/>
                <w:szCs w:val="18"/>
              </w:rPr>
            </w:pPr>
            <w:r>
              <w:rPr>
                <w:rFonts w:ascii="Times New Roman"/>
                <w:sz w:val="18"/>
              </w:rPr>
              <w:t>00</w:t>
            </w:r>
          </w:p>
        </w:tc>
        <w:tc>
          <w:tcPr>
            <w:tcW w:w="572"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167" w:right="0"/>
              <w:jc w:val="left"/>
              <w:rPr>
                <w:rFonts w:ascii="Times New Roman" w:hAnsi="Times New Roman" w:cs="Times New Roman" w:eastAsia="Times New Roman" w:hint="default"/>
                <w:sz w:val="18"/>
                <w:szCs w:val="18"/>
              </w:rPr>
            </w:pPr>
            <w:r>
              <w:rPr>
                <w:rFonts w:ascii="Times New Roman"/>
                <w:sz w:val="18"/>
              </w:rPr>
              <w:t>206,5</w:t>
            </w:r>
          </w:p>
          <w:p>
            <w:pPr>
              <w:pStyle w:val="TableParagraph"/>
              <w:spacing w:line="240" w:lineRule="auto" w:before="100"/>
              <w:ind w:left="167" w:right="0"/>
              <w:jc w:val="left"/>
              <w:rPr>
                <w:rFonts w:ascii="Times New Roman" w:hAnsi="Times New Roman" w:cs="Times New Roman" w:eastAsia="Times New Roman" w:hint="default"/>
                <w:sz w:val="18"/>
                <w:szCs w:val="18"/>
              </w:rPr>
            </w:pPr>
            <w:r>
              <w:rPr>
                <w:rFonts w:ascii="Times New Roman"/>
                <w:sz w:val="18"/>
              </w:rPr>
              <w:t>46,19</w:t>
            </w:r>
          </w:p>
          <w:p>
            <w:pPr>
              <w:pStyle w:val="TableParagraph"/>
              <w:spacing w:line="240" w:lineRule="auto" w:before="110"/>
              <w:ind w:left="254" w:right="0"/>
              <w:jc w:val="left"/>
              <w:rPr>
                <w:rFonts w:ascii="Times New Roman" w:hAnsi="Times New Roman" w:cs="Times New Roman" w:eastAsia="Times New Roman" w:hint="default"/>
                <w:sz w:val="18"/>
                <w:szCs w:val="18"/>
              </w:rPr>
            </w:pPr>
            <w:r>
              <w:rPr>
                <w:rFonts w:ascii="Times New Roman"/>
                <w:sz w:val="18"/>
              </w:rPr>
              <w:t>4.45</w:t>
            </w:r>
          </w:p>
        </w:tc>
        <w:tc>
          <w:tcPr>
            <w:tcW w:w="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172" w:right="0"/>
              <w:jc w:val="left"/>
              <w:rPr>
                <w:rFonts w:ascii="Times New Roman" w:hAnsi="Times New Roman" w:cs="Times New Roman" w:eastAsia="Times New Roman" w:hint="default"/>
                <w:sz w:val="18"/>
                <w:szCs w:val="18"/>
              </w:rPr>
            </w:pPr>
            <w:r>
              <w:rPr>
                <w:rFonts w:ascii="Times New Roman"/>
                <w:sz w:val="18"/>
              </w:rPr>
              <w:t>35,28</w:t>
            </w:r>
          </w:p>
          <w:p>
            <w:pPr>
              <w:pStyle w:val="TableParagraph"/>
              <w:spacing w:line="240" w:lineRule="auto" w:before="100"/>
              <w:ind w:left="124" w:right="0"/>
              <w:jc w:val="left"/>
              <w:rPr>
                <w:rFonts w:ascii="Times New Roman" w:hAnsi="Times New Roman" w:cs="Times New Roman" w:eastAsia="Times New Roman" w:hint="default"/>
                <w:sz w:val="18"/>
                <w:szCs w:val="18"/>
              </w:rPr>
            </w:pPr>
            <w:r>
              <w:rPr>
                <w:rFonts w:ascii="Times New Roman"/>
                <w:sz w:val="18"/>
              </w:rPr>
              <w:t>2,708.</w:t>
            </w:r>
          </w:p>
          <w:p>
            <w:pPr>
              <w:pStyle w:val="TableParagraph"/>
              <w:spacing w:line="240" w:lineRule="auto" w:before="110"/>
              <w:ind w:left="398" w:right="0"/>
              <w:jc w:val="left"/>
              <w:rPr>
                <w:rFonts w:ascii="Times New Roman" w:hAnsi="Times New Roman" w:cs="Times New Roman" w:eastAsia="Times New Roman" w:hint="default"/>
                <w:sz w:val="18"/>
                <w:szCs w:val="18"/>
              </w:rPr>
            </w:pPr>
            <w:r>
              <w:rPr>
                <w:rFonts w:ascii="Times New Roman"/>
                <w:sz w:val="18"/>
              </w:rPr>
              <w:t>10</w:t>
            </w:r>
          </w:p>
        </w:tc>
        <w:tc>
          <w:tcPr>
            <w:tcW w:w="686" w:type="dxa"/>
            <w:tcBorders>
              <w:top w:val="single" w:sz="4" w:space="0" w:color="000000"/>
              <w:left w:val="single" w:sz="4" w:space="0" w:color="000000"/>
              <w:bottom w:val="single" w:sz="4" w:space="0" w:color="000000"/>
              <w:right w:val="single" w:sz="4" w:space="0" w:color="000000"/>
            </w:tcBorders>
          </w:tcPr>
          <w:p>
            <w:pPr/>
          </w:p>
        </w:tc>
        <w:tc>
          <w:tcPr>
            <w:tcW w:w="78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52" w:right="0"/>
              <w:jc w:val="center"/>
              <w:rPr>
                <w:rFonts w:ascii="Times New Roman" w:hAnsi="Times New Roman" w:cs="Times New Roman" w:eastAsia="Times New Roman" w:hint="default"/>
                <w:sz w:val="18"/>
                <w:szCs w:val="18"/>
              </w:rPr>
            </w:pPr>
            <w:r>
              <w:rPr>
                <w:rFonts w:ascii="Times New Roman"/>
                <w:sz w:val="18"/>
              </w:rPr>
              <w:t>47,22</w:t>
            </w:r>
          </w:p>
          <w:p>
            <w:pPr>
              <w:pStyle w:val="TableParagraph"/>
              <w:spacing w:line="240" w:lineRule="auto" w:before="100"/>
              <w:ind w:left="52" w:right="0"/>
              <w:jc w:val="center"/>
              <w:rPr>
                <w:rFonts w:ascii="Times New Roman" w:hAnsi="Times New Roman" w:cs="Times New Roman" w:eastAsia="Times New Roman" w:hint="default"/>
                <w:sz w:val="18"/>
                <w:szCs w:val="18"/>
              </w:rPr>
            </w:pPr>
            <w:r>
              <w:rPr>
                <w:rFonts w:ascii="Times New Roman"/>
                <w:sz w:val="18"/>
              </w:rPr>
              <w:t>3,013</w:t>
            </w:r>
          </w:p>
          <w:p>
            <w:pPr>
              <w:pStyle w:val="TableParagraph"/>
              <w:spacing w:line="240" w:lineRule="auto" w:before="110"/>
              <w:ind w:left="230" w:right="0"/>
              <w:jc w:val="center"/>
              <w:rPr>
                <w:rFonts w:ascii="Times New Roman" w:hAnsi="Times New Roman" w:cs="Times New Roman" w:eastAsia="Times New Roman" w:hint="default"/>
                <w:sz w:val="18"/>
                <w:szCs w:val="18"/>
              </w:rPr>
            </w:pPr>
            <w:r>
              <w:rPr>
                <w:rFonts w:ascii="Times New Roman"/>
                <w:sz w:val="18"/>
              </w:rPr>
              <w:t>.84</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165,13</w:t>
            </w:r>
          </w:p>
          <w:p>
            <w:pPr>
              <w:pStyle w:val="TableParagraph"/>
              <w:spacing w:line="240" w:lineRule="auto" w:before="100"/>
              <w:ind w:right="98"/>
              <w:jc w:val="right"/>
              <w:rPr>
                <w:rFonts w:ascii="Times New Roman" w:hAnsi="Times New Roman" w:cs="Times New Roman" w:eastAsia="Times New Roman" w:hint="default"/>
                <w:sz w:val="18"/>
                <w:szCs w:val="18"/>
              </w:rPr>
            </w:pPr>
            <w:r>
              <w:rPr>
                <w:rFonts w:ascii="Times New Roman"/>
                <w:spacing w:val="-1"/>
                <w:sz w:val="18"/>
              </w:rPr>
              <w:t>8,774.5</w:t>
            </w:r>
          </w:p>
          <w:p>
            <w:pPr>
              <w:pStyle w:val="TableParagraph"/>
              <w:spacing w:line="240" w:lineRule="auto" w:before="110"/>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left="187" w:right="0"/>
              <w:jc w:val="left"/>
              <w:rPr>
                <w:rFonts w:ascii="Times New Roman" w:hAnsi="Times New Roman" w:cs="Times New Roman" w:eastAsia="Times New Roman" w:hint="default"/>
                <w:sz w:val="18"/>
                <w:szCs w:val="18"/>
              </w:rPr>
            </w:pPr>
            <w:r>
              <w:rPr>
                <w:rFonts w:ascii="Times New Roman"/>
                <w:sz w:val="18"/>
              </w:rPr>
              <w:t>1,002,84</w:t>
            </w:r>
          </w:p>
          <w:p>
            <w:pPr>
              <w:pStyle w:val="TableParagraph"/>
              <w:spacing w:line="240" w:lineRule="auto" w:before="110"/>
              <w:ind w:left="187" w:right="0"/>
              <w:jc w:val="left"/>
              <w:rPr>
                <w:rFonts w:ascii="Times New Roman" w:hAnsi="Times New Roman" w:cs="Times New Roman" w:eastAsia="Times New Roman" w:hint="default"/>
                <w:sz w:val="18"/>
                <w:szCs w:val="18"/>
              </w:rPr>
            </w:pPr>
            <w:r>
              <w:rPr>
                <w:rFonts w:ascii="Times New Roman"/>
                <w:sz w:val="18"/>
              </w:rPr>
              <w:t>0,108.69</w:t>
            </w:r>
          </w:p>
        </w:tc>
      </w:tr>
    </w:tbl>
    <w:p>
      <w:pPr>
        <w:spacing w:line="240" w:lineRule="auto" w:before="10"/>
        <w:rPr>
          <w:rFonts w:ascii="Times New Roman" w:hAnsi="Times New Roman" w:cs="Times New Roman" w:eastAsia="Times New Roman" w:hint="default"/>
          <w:sz w:val="21"/>
          <w:szCs w:val="21"/>
        </w:rPr>
      </w:pPr>
    </w:p>
    <w:p>
      <w:pPr>
        <w:pStyle w:val="Heading4"/>
        <w:spacing w:line="240" w:lineRule="auto" w:before="36"/>
        <w:ind w:right="0"/>
        <w:jc w:val="left"/>
        <w:rPr>
          <w:b w:val="0"/>
          <w:bCs w:val="0"/>
        </w:rPr>
      </w:pPr>
      <w:bookmarkStart w:name="三、公司基本情况" w:id="170"/>
      <w:bookmarkEnd w:id="170"/>
      <w:r>
        <w:rPr>
          <w:b w:val="0"/>
          <w:bCs w:val="0"/>
        </w:rPr>
      </w:r>
      <w:r>
        <w:rPr/>
        <w:t>三、公司基本情况</w:t>
      </w:r>
      <w:r>
        <w:rPr>
          <w:b w:val="0"/>
          <w:bCs w:val="0"/>
        </w:rPr>
      </w:r>
    </w:p>
    <w:p>
      <w:pPr>
        <w:spacing w:line="240" w:lineRule="auto" w:before="7"/>
        <w:rPr>
          <w:rFonts w:ascii="宋体" w:hAnsi="宋体" w:cs="宋体" w:eastAsia="宋体" w:hint="default"/>
          <w:b/>
          <w:bCs/>
          <w:sz w:val="27"/>
          <w:szCs w:val="27"/>
        </w:rPr>
      </w:pPr>
    </w:p>
    <w:p>
      <w:pPr>
        <w:pStyle w:val="BodyText"/>
        <w:spacing w:line="316" w:lineRule="auto" w:before="0"/>
        <w:ind w:right="1120" w:firstLine="480"/>
        <w:jc w:val="left"/>
      </w:pPr>
      <w:r>
        <w:rPr/>
        <w:t>深圳市奥拓电子股份有限公司（以下简称“本公司”或“公司”）于</w:t>
      </w:r>
      <w:r>
        <w:rPr>
          <w:rFonts w:ascii="宋体" w:hAnsi="宋体" w:cs="宋体" w:eastAsia="宋体" w:hint="default"/>
        </w:rPr>
        <w:t>1993</w:t>
      </w:r>
      <w:r>
        <w:rPr/>
        <w:t>年</w:t>
      </w:r>
      <w:r>
        <w:rPr>
          <w:rFonts w:ascii="宋体" w:hAnsi="宋体" w:cs="宋体" w:eastAsia="宋体" w:hint="default"/>
        </w:rPr>
        <w:t>5</w:t>
      </w:r>
      <w:r>
        <w:rPr/>
        <w:t>月</w:t>
      </w:r>
      <w:r>
        <w:rPr>
          <w:rFonts w:ascii="宋体" w:hAnsi="宋体" w:cs="宋体" w:eastAsia="宋体" w:hint="default"/>
        </w:rPr>
        <w:t>12</w:t>
      </w:r>
      <w:r>
        <w:rPr/>
        <w:t>日成立，持有统一社会信用代码为</w:t>
      </w:r>
      <w:r>
        <w:rPr>
          <w:w w:val="101"/>
        </w:rPr>
        <w:t> </w:t>
      </w:r>
      <w:r>
        <w:rPr>
          <w:rFonts w:ascii="宋体" w:hAnsi="宋体" w:cs="宋体" w:eastAsia="宋体" w:hint="default"/>
          <w:spacing w:val="-5"/>
        </w:rPr>
        <w:t>914403001922261931</w:t>
      </w:r>
      <w:r>
        <w:rPr>
          <w:spacing w:val="-5"/>
        </w:rPr>
        <w:t>的营业执照，注册地址：深圳市南山区粤海街道学府路</w:t>
      </w:r>
      <w:r>
        <w:rPr>
          <w:rFonts w:ascii="宋体" w:hAnsi="宋体" w:cs="宋体" w:eastAsia="宋体" w:hint="default"/>
          <w:spacing w:val="-5"/>
        </w:rPr>
        <w:t>63</w:t>
      </w:r>
      <w:r>
        <w:rPr>
          <w:spacing w:val="-5"/>
        </w:rPr>
        <w:t>号高新区联合总部大厦</w:t>
      </w:r>
      <w:r>
        <w:rPr>
          <w:rFonts w:ascii="宋体" w:hAnsi="宋体" w:cs="宋体" w:eastAsia="宋体" w:hint="default"/>
          <w:spacing w:val="-5"/>
        </w:rPr>
        <w:t>10</w:t>
      </w:r>
      <w:r>
        <w:rPr>
          <w:spacing w:val="-5"/>
        </w:rPr>
        <w:t>楼，公司法定代表人：</w:t>
      </w:r>
      <w:r>
        <w:rPr>
          <w:spacing w:val="64"/>
        </w:rPr>
        <w:t> </w:t>
      </w:r>
      <w:r>
        <w:rPr>
          <w:spacing w:val="64"/>
        </w:rPr>
      </w:r>
      <w:r>
        <w:rPr/>
        <w:t>吴涵渠。</w:t>
      </w:r>
    </w:p>
    <w:p>
      <w:pPr>
        <w:pStyle w:val="BodyText"/>
        <w:spacing w:line="316" w:lineRule="auto" w:before="19"/>
        <w:ind w:right="0" w:firstLine="465"/>
        <w:jc w:val="left"/>
      </w:pPr>
      <w:r>
        <w:rPr>
          <w:spacing w:val="-3"/>
        </w:rPr>
        <w:t>经中国证监会《关于核准深圳市奥拓电子股份有限公司首次公开发行股票的批复》（证监许可</w:t>
      </w:r>
      <w:r>
        <w:rPr>
          <w:rFonts w:ascii="宋体" w:hAnsi="宋体" w:cs="宋体" w:eastAsia="宋体" w:hint="default"/>
          <w:spacing w:val="-3"/>
        </w:rPr>
        <w:t>[2011]653</w:t>
      </w:r>
      <w:r>
        <w:rPr>
          <w:spacing w:val="-3"/>
        </w:rPr>
        <w:t>号）的核准，</w:t>
      </w:r>
      <w:r>
        <w:rPr>
          <w:w w:val="101"/>
        </w:rPr>
        <w:t> </w:t>
      </w:r>
      <w:r>
        <w:rPr>
          <w:spacing w:val="-4"/>
        </w:rPr>
        <w:t>本公司于</w:t>
      </w:r>
      <w:r>
        <w:rPr>
          <w:rFonts w:ascii="宋体" w:hAnsi="宋体" w:cs="宋体" w:eastAsia="宋体" w:hint="default"/>
          <w:spacing w:val="-4"/>
        </w:rPr>
        <w:t>2011</w:t>
      </w:r>
      <w:r>
        <w:rPr>
          <w:spacing w:val="-4"/>
        </w:rPr>
        <w:t>年</w:t>
      </w:r>
      <w:r>
        <w:rPr>
          <w:rFonts w:ascii="宋体" w:hAnsi="宋体" w:cs="宋体" w:eastAsia="宋体" w:hint="default"/>
          <w:spacing w:val="-4"/>
        </w:rPr>
        <w:t>6</w:t>
      </w:r>
      <w:r>
        <w:rPr>
          <w:spacing w:val="-4"/>
        </w:rPr>
        <w:t>月</w:t>
      </w:r>
      <w:r>
        <w:rPr>
          <w:rFonts w:ascii="宋体" w:hAnsi="宋体" w:cs="宋体" w:eastAsia="宋体" w:hint="default"/>
          <w:spacing w:val="-4"/>
        </w:rPr>
        <w:t>10</w:t>
      </w:r>
      <w:r>
        <w:rPr>
          <w:spacing w:val="-4"/>
        </w:rPr>
        <w:t>日首次公开发行股票并在深圳证券交易所中小板上市，股票简称为“奥拓电子”，股票代码为</w:t>
      </w:r>
      <w:r>
        <w:rPr>
          <w:rFonts w:ascii="宋体" w:hAnsi="宋体" w:cs="宋体" w:eastAsia="宋体" w:hint="default"/>
          <w:spacing w:val="-4"/>
        </w:rPr>
        <w:t>002587</w:t>
      </w:r>
      <w:r>
        <w:rPr>
          <w:spacing w:val="-4"/>
        </w:rPr>
        <w:t>。</w:t>
      </w:r>
    </w:p>
    <w:p>
      <w:pPr>
        <w:pStyle w:val="BodyText"/>
        <w:spacing w:line="316" w:lineRule="auto" w:before="19"/>
        <w:ind w:left="618" w:right="1112"/>
        <w:jc w:val="left"/>
      </w:pPr>
      <w:r>
        <w:rPr/>
        <w:t>截至本资产负债表日，本公司股本为</w:t>
      </w:r>
      <w:r>
        <w:rPr>
          <w:rFonts w:ascii="宋体" w:hAnsi="宋体" w:cs="宋体" w:eastAsia="宋体" w:hint="default"/>
        </w:rPr>
        <w:t>620,037,084.00</w:t>
      </w:r>
      <w:r>
        <w:rPr/>
        <w:t>元。</w:t>
      </w:r>
      <w:r>
        <w:rPr>
          <w:spacing w:val="-5"/>
          <w:w w:val="101"/>
        </w:rPr>
        <w:t> </w:t>
      </w:r>
      <w:r>
        <w:rPr>
          <w:spacing w:val="-3"/>
        </w:rPr>
        <w:t>本公司及各子公司（统称“本公司”）主要从事电子自助服务设备、金融电子产品、</w:t>
      </w:r>
      <w:r>
        <w:rPr>
          <w:rFonts w:ascii="宋体" w:hAnsi="宋体" w:cs="宋体" w:eastAsia="宋体" w:hint="default"/>
          <w:spacing w:val="-3"/>
        </w:rPr>
        <w:t>LED </w:t>
      </w:r>
      <w:r>
        <w:rPr>
          <w:rFonts w:ascii="宋体" w:hAnsi="宋体" w:cs="宋体" w:eastAsia="宋体" w:hint="default"/>
          <w:spacing w:val="63"/>
        </w:rPr>
        <w:t> </w:t>
      </w:r>
      <w:r>
        <w:rPr>
          <w:spacing w:val="-3"/>
        </w:rPr>
        <w:t>光电产品、电子大屏幕显示</w:t>
      </w:r>
    </w:p>
    <w:p>
      <w:pPr>
        <w:pStyle w:val="BodyText"/>
        <w:spacing w:line="319" w:lineRule="auto" w:before="19"/>
        <w:ind w:right="0"/>
        <w:jc w:val="left"/>
      </w:pPr>
      <w:r>
        <w:rPr>
          <w:spacing w:val="-3"/>
        </w:rPr>
        <w:t>屏、智能网点系统、网络平台系统集成、电子商务系统集成和计算机软硬件产品的技术开发及销售；人工智能产品的研发、</w:t>
      </w:r>
      <w:r>
        <w:rPr>
          <w:spacing w:val="66"/>
        </w:rPr>
        <w:t> </w:t>
      </w:r>
      <w:r>
        <w:rPr>
          <w:spacing w:val="66"/>
        </w:rPr>
      </w:r>
      <w:r>
        <w:rPr>
          <w:spacing w:val="-5"/>
        </w:rPr>
        <w:t>集成、技术服务及销售；经营进出口业务（法律、行政法规、国务院决定禁止的项目除外，限制的项目须取得许可后方可经</w:t>
      </w:r>
      <w:r>
        <w:rPr>
          <w:spacing w:val="4"/>
        </w:rPr>
        <w:t> </w:t>
      </w:r>
      <w:r>
        <w:rPr>
          <w:spacing w:val="4"/>
        </w:rPr>
      </w:r>
      <w:r>
        <w:rPr>
          <w:spacing w:val="-4"/>
        </w:rPr>
        <w:t>营）；投资兴办实业（具体项目另行申报）；电子设备租赁；电子大屏幕显示屏工程设计与安装；照明工程设计与安装；节</w:t>
      </w:r>
      <w:r>
        <w:rPr>
          <w:spacing w:val="40"/>
        </w:rPr>
        <w:t> </w:t>
      </w:r>
      <w:r>
        <w:rPr>
          <w:spacing w:val="40"/>
        </w:rPr>
      </w:r>
      <w:r>
        <w:rPr>
          <w:spacing w:val="-6"/>
        </w:rPr>
        <w:t>能投资与节能改造；从事经营广告业务（法律、行政法规规定应进行广告经营审批登记的，另行办理审批登记后方可经营）。</w:t>
      </w:r>
    </w:p>
    <w:p>
      <w:pPr>
        <w:spacing w:line="240" w:lineRule="auto" w:before="8"/>
        <w:rPr>
          <w:rFonts w:ascii="宋体" w:hAnsi="宋体" w:cs="宋体" w:eastAsia="宋体" w:hint="default"/>
          <w:sz w:val="21"/>
          <w:szCs w:val="21"/>
        </w:rPr>
      </w:pPr>
    </w:p>
    <w:p>
      <w:pPr>
        <w:pStyle w:val="BodyText"/>
        <w:spacing w:line="319" w:lineRule="auto"/>
        <w:ind w:left="633" w:right="0"/>
        <w:jc w:val="left"/>
      </w:pPr>
      <w:r>
        <w:rPr>
          <w:spacing w:val="-3"/>
        </w:rPr>
        <w:t>本公司财务报表及财务报表附注业经本公司第四届董事会第十五次会议于</w:t>
      </w:r>
      <w:r>
        <w:rPr>
          <w:rFonts w:ascii="宋体" w:hAnsi="宋体" w:cs="宋体" w:eastAsia="宋体" w:hint="default"/>
          <w:spacing w:val="-3"/>
        </w:rPr>
        <w:t>2020</w:t>
      </w:r>
      <w:r>
        <w:rPr>
          <w:spacing w:val="-3"/>
        </w:rPr>
        <w:t>年</w:t>
      </w:r>
      <w:r>
        <w:rPr>
          <w:rFonts w:ascii="宋体" w:hAnsi="宋体" w:cs="宋体" w:eastAsia="宋体" w:hint="default"/>
          <w:spacing w:val="-3"/>
        </w:rPr>
        <w:t>4</w:t>
      </w:r>
      <w:r>
        <w:rPr>
          <w:spacing w:val="-3"/>
        </w:rPr>
        <w:t>月</w:t>
      </w:r>
      <w:r>
        <w:rPr>
          <w:rFonts w:ascii="宋体" w:hAnsi="宋体" w:cs="宋体" w:eastAsia="宋体" w:hint="default"/>
          <w:spacing w:val="-3"/>
        </w:rPr>
        <w:t>24</w:t>
      </w:r>
      <w:r>
        <w:rPr>
          <w:spacing w:val="-3"/>
        </w:rPr>
        <w:t>日批准。</w:t>
      </w:r>
      <w:r>
        <w:rPr>
          <w:spacing w:val="44"/>
        </w:rPr>
        <w:t> </w:t>
      </w:r>
      <w:r>
        <w:rPr>
          <w:spacing w:val="44"/>
        </w:rPr>
      </w:r>
      <w:r>
        <w:rPr>
          <w:spacing w:val="-3"/>
        </w:rPr>
        <w:t>本公司</w:t>
      </w:r>
      <w:r>
        <w:rPr>
          <w:rFonts w:ascii="宋体" w:hAnsi="宋体" w:cs="宋体" w:eastAsia="宋体" w:hint="default"/>
          <w:spacing w:val="-3"/>
        </w:rPr>
        <w:t>2019</w:t>
      </w:r>
      <w:r>
        <w:rPr>
          <w:spacing w:val="-3"/>
        </w:rPr>
        <w:t>年度纳入合并范围的子公司共</w:t>
      </w:r>
      <w:r>
        <w:rPr>
          <w:rFonts w:ascii="宋体" w:hAnsi="宋体" w:cs="宋体" w:eastAsia="宋体" w:hint="default"/>
          <w:spacing w:val="-3"/>
        </w:rPr>
        <w:t>11</w:t>
      </w:r>
      <w:r>
        <w:rPr>
          <w:spacing w:val="-3"/>
        </w:rPr>
        <w:t>户，详见本附注八“在其他主体中的权益”。本公司本年度合并范围无变</w:t>
      </w:r>
    </w:p>
    <w:p>
      <w:pPr>
        <w:pStyle w:val="BodyText"/>
        <w:spacing w:line="240" w:lineRule="auto" w:before="17"/>
        <w:ind w:right="0"/>
        <w:jc w:val="left"/>
      </w:pPr>
      <w:r>
        <w:rPr/>
        <w:t>化。</w:t>
      </w:r>
    </w:p>
    <w:p>
      <w:pPr>
        <w:spacing w:line="240" w:lineRule="auto" w:before="3"/>
        <w:rPr>
          <w:rFonts w:ascii="宋体" w:hAnsi="宋体" w:cs="宋体" w:eastAsia="宋体" w:hint="default"/>
          <w:sz w:val="24"/>
          <w:szCs w:val="24"/>
        </w:rPr>
      </w:pPr>
    </w:p>
    <w:p>
      <w:pPr>
        <w:pStyle w:val="Heading4"/>
        <w:spacing w:line="240" w:lineRule="auto" w:before="36"/>
        <w:ind w:right="0"/>
        <w:jc w:val="left"/>
        <w:rPr>
          <w:b w:val="0"/>
          <w:bCs w:val="0"/>
        </w:rPr>
      </w:pPr>
      <w:bookmarkStart w:name="四、财务报表的编制基础" w:id="171"/>
      <w:bookmarkEnd w:id="171"/>
      <w:r>
        <w:rPr>
          <w:b w:val="0"/>
          <w:bCs w:val="0"/>
        </w:rPr>
      </w:r>
      <w:r>
        <w:rPr/>
        <w:t>四、财务报表的编制基础</w:t>
      </w:r>
      <w:r>
        <w:rPr>
          <w:b w:val="0"/>
          <w:bCs w:val="0"/>
        </w:rPr>
      </w:r>
    </w:p>
    <w:p>
      <w:pPr>
        <w:spacing w:line="240" w:lineRule="auto" w:before="12"/>
        <w:rPr>
          <w:rFonts w:ascii="宋体" w:hAnsi="宋体" w:cs="宋体" w:eastAsia="宋体" w:hint="default"/>
          <w:b/>
          <w:bCs/>
          <w:sz w:val="27"/>
          <w:szCs w:val="27"/>
        </w:rPr>
      </w:pPr>
    </w:p>
    <w:p>
      <w:pPr>
        <w:pStyle w:val="Heading6"/>
        <w:spacing w:line="240" w:lineRule="auto"/>
        <w:ind w:right="0"/>
        <w:jc w:val="left"/>
        <w:rPr>
          <w:b w:val="0"/>
          <w:bCs w:val="0"/>
        </w:rPr>
      </w:pPr>
      <w:bookmarkStart w:name="1、编制基础" w:id="172"/>
      <w:bookmarkEnd w:id="172"/>
      <w:r>
        <w:rPr>
          <w:b w:val="0"/>
          <w:bCs w:val="0"/>
        </w:rPr>
      </w:r>
      <w:r>
        <w:rPr>
          <w:rFonts w:ascii="宋体" w:hAnsi="宋体" w:cs="宋体" w:eastAsia="宋体" w:hint="default"/>
        </w:rPr>
        <w:t>1</w:t>
      </w:r>
      <w:r>
        <w:rPr/>
        <w:t>、编制基础</w:t>
      </w:r>
      <w:r>
        <w:rPr>
          <w:b w:val="0"/>
          <w:bCs w:val="0"/>
        </w:rPr>
      </w:r>
    </w:p>
    <w:p>
      <w:pPr>
        <w:spacing w:line="240" w:lineRule="auto" w:before="0"/>
        <w:rPr>
          <w:rFonts w:ascii="宋体" w:hAnsi="宋体" w:cs="宋体" w:eastAsia="宋体" w:hint="default"/>
          <w:b/>
          <w:bCs/>
          <w:sz w:val="18"/>
          <w:szCs w:val="18"/>
        </w:rPr>
      </w:pPr>
    </w:p>
    <w:p>
      <w:pPr>
        <w:pStyle w:val="BodyText"/>
        <w:spacing w:line="316" w:lineRule="auto" w:before="139"/>
        <w:ind w:right="1122" w:firstLine="480"/>
        <w:jc w:val="both"/>
      </w:pPr>
      <w:r>
        <w:rPr>
          <w:spacing w:val="-3"/>
        </w:rPr>
        <w:t>本公司财务报表以持续经营假设为基础，根据实际发生的交易和事项，按照财政部发布的《企业会计准则——基本准</w:t>
      </w:r>
      <w:r>
        <w:rPr>
          <w:w w:val="101"/>
        </w:rPr>
        <w:t> </w:t>
      </w:r>
      <w:r>
        <w:rPr>
          <w:spacing w:val="-3"/>
        </w:rPr>
        <w:t>则》（财政部令第</w:t>
      </w:r>
      <w:r>
        <w:rPr>
          <w:rFonts w:ascii="宋体" w:hAnsi="宋体" w:cs="宋体" w:eastAsia="宋体" w:hint="default"/>
          <w:spacing w:val="-3"/>
        </w:rPr>
        <w:t>33</w:t>
      </w:r>
      <w:r>
        <w:rPr>
          <w:spacing w:val="-3"/>
        </w:rPr>
        <w:t>号发布、财政部令第</w:t>
      </w:r>
      <w:r>
        <w:rPr>
          <w:rFonts w:ascii="宋体" w:hAnsi="宋体" w:cs="宋体" w:eastAsia="宋体" w:hint="default"/>
          <w:spacing w:val="-3"/>
        </w:rPr>
        <w:t>76</w:t>
      </w:r>
      <w:r>
        <w:rPr>
          <w:spacing w:val="-3"/>
        </w:rPr>
        <w:t>号修订）、于</w:t>
      </w:r>
      <w:r>
        <w:rPr>
          <w:rFonts w:ascii="宋体" w:hAnsi="宋体" w:cs="宋体" w:eastAsia="宋体" w:hint="default"/>
          <w:spacing w:val="-3"/>
        </w:rPr>
        <w:t>2006</w:t>
      </w:r>
      <w:r>
        <w:rPr>
          <w:spacing w:val="-3"/>
        </w:rPr>
        <w:t>年</w:t>
      </w:r>
      <w:r>
        <w:rPr>
          <w:rFonts w:ascii="宋体" w:hAnsi="宋体" w:cs="宋体" w:eastAsia="宋体" w:hint="default"/>
          <w:spacing w:val="-3"/>
        </w:rPr>
        <w:t>2</w:t>
      </w:r>
      <w:r>
        <w:rPr>
          <w:spacing w:val="-3"/>
        </w:rPr>
        <w:t>月</w:t>
      </w:r>
      <w:r>
        <w:rPr>
          <w:rFonts w:ascii="宋体" w:hAnsi="宋体" w:cs="宋体" w:eastAsia="宋体" w:hint="default"/>
          <w:spacing w:val="-3"/>
        </w:rPr>
        <w:t>15</w:t>
      </w:r>
      <w:r>
        <w:rPr>
          <w:spacing w:val="-3"/>
        </w:rPr>
        <w:t>日及其后颁布和修订的</w:t>
      </w:r>
      <w:r>
        <w:rPr>
          <w:rFonts w:ascii="宋体" w:hAnsi="宋体" w:cs="宋体" w:eastAsia="宋体" w:hint="default"/>
          <w:spacing w:val="-3"/>
        </w:rPr>
        <w:t>42</w:t>
      </w:r>
      <w:r>
        <w:rPr>
          <w:spacing w:val="-3"/>
        </w:rPr>
        <w:t>项具体会计准则、企业会计</w:t>
      </w:r>
      <w:r>
        <w:rPr>
          <w:spacing w:val="5"/>
        </w:rPr>
        <w:t> </w:t>
      </w:r>
      <w:r>
        <w:rPr>
          <w:spacing w:val="5"/>
        </w:rPr>
      </w:r>
      <w:r>
        <w:rPr>
          <w:spacing w:val="-4"/>
        </w:rPr>
        <w:t>准则应用指南、企业会计准则解释及其他相关规定（以下合称“企业会计准则”）的规定编制，以及中国证券监督管理委员</w:t>
      </w:r>
      <w:r>
        <w:rPr>
          <w:spacing w:val="40"/>
        </w:rPr>
        <w:t> </w:t>
      </w:r>
      <w:r>
        <w:rPr>
          <w:spacing w:val="40"/>
        </w:rPr>
      </w:r>
      <w:r>
        <w:rPr>
          <w:spacing w:val="-3"/>
        </w:rPr>
        <w:t>会《公开发行证券的公司信息披露编报规则第</w:t>
      </w:r>
      <w:r>
        <w:rPr>
          <w:rFonts w:ascii="宋体" w:hAnsi="宋体" w:cs="宋体" w:eastAsia="宋体" w:hint="default"/>
          <w:spacing w:val="-3"/>
        </w:rPr>
        <w:t>15</w:t>
      </w:r>
      <w:r>
        <w:rPr>
          <w:spacing w:val="-3"/>
        </w:rPr>
        <w:t>号——财务报告的一般规定（</w:t>
      </w:r>
      <w:r>
        <w:rPr>
          <w:rFonts w:ascii="宋体" w:hAnsi="宋体" w:cs="宋体" w:eastAsia="宋体" w:hint="default"/>
          <w:spacing w:val="-3"/>
        </w:rPr>
        <w:t>2014</w:t>
      </w:r>
      <w:r>
        <w:rPr>
          <w:spacing w:val="-3"/>
        </w:rPr>
        <w:t>年修订）》的披露规定编制。</w:t>
      </w:r>
    </w:p>
    <w:p>
      <w:pPr>
        <w:pStyle w:val="BodyText"/>
        <w:spacing w:line="316" w:lineRule="auto" w:before="19"/>
        <w:ind w:right="0" w:firstLine="360"/>
        <w:jc w:val="left"/>
      </w:pPr>
      <w:r>
        <w:rPr>
          <w:spacing w:val="-4"/>
        </w:rPr>
        <w:t>根据企业会计准则的相关规定，本公司会计核算以权责发生制为基础。除某些金融工具外，本财务报表均以历史成本为</w:t>
      </w:r>
      <w:r>
        <w:rPr>
          <w:w w:val="101"/>
        </w:rPr>
        <w:t> </w:t>
      </w:r>
      <w:r>
        <w:rPr>
          <w:spacing w:val="-3"/>
        </w:rPr>
        <w:t>计量基础。资产如果发生减值，则按照相关规定计提相应的减值准备。</w:t>
      </w:r>
    </w:p>
    <w:p>
      <w:pPr>
        <w:spacing w:after="0" w:line="316" w:lineRule="auto"/>
        <w:jc w:val="left"/>
        <w:sectPr>
          <w:pgSz w:w="11910" w:h="16840"/>
          <w:pgMar w:header="784" w:footer="1022" w:top="1100" w:bottom="1220" w:left="980" w:right="0"/>
        </w:sectPr>
      </w:pPr>
    </w:p>
    <w:p>
      <w:pPr>
        <w:spacing w:line="240" w:lineRule="auto" w:before="2"/>
        <w:rPr>
          <w:rFonts w:ascii="宋体" w:hAnsi="宋体" w:cs="宋体" w:eastAsia="宋体" w:hint="default"/>
          <w:sz w:val="23"/>
          <w:szCs w:val="23"/>
        </w:rPr>
      </w:pPr>
    </w:p>
    <w:p>
      <w:pPr>
        <w:pStyle w:val="Heading6"/>
        <w:spacing w:line="240" w:lineRule="auto" w:before="46"/>
        <w:ind w:right="0"/>
        <w:jc w:val="left"/>
        <w:rPr>
          <w:b w:val="0"/>
          <w:bCs w:val="0"/>
        </w:rPr>
      </w:pPr>
      <w:bookmarkStart w:name="2、持续经营" w:id="173"/>
      <w:bookmarkEnd w:id="173"/>
      <w:r>
        <w:rPr>
          <w:b w:val="0"/>
          <w:bCs w:val="0"/>
        </w:rPr>
      </w:r>
      <w:r>
        <w:rPr>
          <w:rFonts w:ascii="宋体" w:hAnsi="宋体" w:cs="宋体" w:eastAsia="宋体" w:hint="default"/>
        </w:rPr>
        <w:t>2</w:t>
      </w:r>
      <w:r>
        <w:rPr/>
        <w:t>、持续经营</w:t>
      </w:r>
      <w:r>
        <w:rPr>
          <w:b w:val="0"/>
          <w:bCs w:val="0"/>
        </w:rPr>
      </w:r>
    </w:p>
    <w:p>
      <w:pPr>
        <w:spacing w:line="240" w:lineRule="auto" w:before="0"/>
        <w:rPr>
          <w:rFonts w:ascii="宋体" w:hAnsi="宋体" w:cs="宋体" w:eastAsia="宋体" w:hint="default"/>
          <w:b/>
          <w:bCs/>
          <w:sz w:val="18"/>
          <w:szCs w:val="18"/>
        </w:rPr>
      </w:pPr>
    </w:p>
    <w:p>
      <w:pPr>
        <w:pStyle w:val="BodyText"/>
        <w:spacing w:line="240" w:lineRule="auto" w:before="138"/>
        <w:ind w:left="633" w:right="0"/>
        <w:jc w:val="left"/>
      </w:pPr>
      <w:r>
        <w:rPr>
          <w:spacing w:val="-3"/>
        </w:rPr>
        <w:t>公司自本报告期末至少</w:t>
      </w:r>
      <w:r>
        <w:rPr>
          <w:rFonts w:ascii="宋体" w:hAnsi="宋体" w:cs="宋体" w:eastAsia="宋体" w:hint="default"/>
          <w:spacing w:val="-3"/>
        </w:rPr>
        <w:t>12</w:t>
      </w:r>
      <w:r>
        <w:rPr>
          <w:spacing w:val="-3"/>
        </w:rPr>
        <w:t>个月内具备持续经营能力，无影响持续经营能力的重大事项。</w:t>
      </w:r>
    </w:p>
    <w:p>
      <w:pPr>
        <w:spacing w:line="240" w:lineRule="auto" w:before="0"/>
        <w:rPr>
          <w:rFonts w:ascii="宋体" w:hAnsi="宋体" w:cs="宋体" w:eastAsia="宋体" w:hint="default"/>
          <w:sz w:val="18"/>
          <w:szCs w:val="18"/>
        </w:rPr>
      </w:pPr>
    </w:p>
    <w:p>
      <w:pPr>
        <w:pStyle w:val="Heading4"/>
        <w:spacing w:line="240" w:lineRule="auto" w:before="118"/>
        <w:ind w:right="0"/>
        <w:jc w:val="left"/>
        <w:rPr>
          <w:b w:val="0"/>
          <w:bCs w:val="0"/>
        </w:rPr>
      </w:pPr>
      <w:bookmarkStart w:name="五、重要会计政策及会计估计" w:id="174"/>
      <w:bookmarkEnd w:id="174"/>
      <w:r>
        <w:rPr>
          <w:b w:val="0"/>
          <w:bCs w:val="0"/>
        </w:rPr>
      </w:r>
      <w:r>
        <w:rPr/>
        <w:t>五、重要会计政策及会计估计</w:t>
      </w:r>
      <w:r>
        <w:rPr>
          <w:b w:val="0"/>
          <w:bCs w:val="0"/>
        </w:rPr>
      </w:r>
    </w:p>
    <w:p>
      <w:pPr>
        <w:spacing w:line="240" w:lineRule="auto" w:before="12"/>
        <w:rPr>
          <w:rFonts w:ascii="宋体" w:hAnsi="宋体" w:cs="宋体" w:eastAsia="宋体" w:hint="default"/>
          <w:b/>
          <w:bCs/>
          <w:sz w:val="27"/>
          <w:szCs w:val="27"/>
        </w:rPr>
      </w:pPr>
    </w:p>
    <w:p>
      <w:pPr>
        <w:pStyle w:val="BodyText"/>
        <w:spacing w:line="352" w:lineRule="auto" w:before="0"/>
        <w:ind w:left="633" w:right="0" w:hanging="480"/>
        <w:jc w:val="left"/>
      </w:pPr>
      <w:r>
        <w:rPr>
          <w:spacing w:val="-3"/>
        </w:rPr>
        <w:t>具体会计政策和会计估计提示：</w:t>
      </w:r>
      <w:r>
        <w:rPr>
          <w:spacing w:val="-45"/>
        </w:rPr>
        <w:t> </w:t>
      </w:r>
      <w:r>
        <w:rPr>
          <w:spacing w:val="-45"/>
        </w:rPr>
      </w:r>
      <w:r>
        <w:rPr>
          <w:spacing w:val="-3"/>
        </w:rPr>
        <w:t>本公司根据实际生产经营特点，依据相关企业会计准则的规定，对收入确认等交易和事项制定了若干项具体会计政策</w:t>
      </w:r>
    </w:p>
    <w:p>
      <w:pPr>
        <w:pStyle w:val="BodyText"/>
        <w:spacing w:line="319" w:lineRule="auto" w:before="0"/>
        <w:ind w:right="0"/>
        <w:jc w:val="left"/>
      </w:pPr>
      <w:r>
        <w:rPr>
          <w:spacing w:val="-4"/>
        </w:rPr>
        <w:t>和会计估计，详见本附注四、</w:t>
      </w:r>
      <w:r>
        <w:rPr>
          <w:rFonts w:ascii="宋体" w:hAnsi="宋体" w:cs="宋体" w:eastAsia="宋体" w:hint="default"/>
          <w:spacing w:val="-4"/>
        </w:rPr>
        <w:t>25</w:t>
      </w:r>
      <w:r>
        <w:rPr>
          <w:spacing w:val="-4"/>
        </w:rPr>
        <w:t>“收入”等各项描述。关于管理层所作出的重大会计判断和估计的说明，请参阅附注四、</w:t>
      </w:r>
      <w:r>
        <w:rPr>
          <w:rFonts w:ascii="宋体" w:hAnsi="宋体" w:cs="宋体" w:eastAsia="宋体" w:hint="default"/>
          <w:spacing w:val="-4"/>
        </w:rPr>
        <w:t>30</w:t>
      </w:r>
      <w:r>
        <w:rPr>
          <w:rFonts w:ascii="宋体" w:hAnsi="宋体" w:cs="宋体" w:eastAsia="宋体" w:hint="default"/>
          <w:spacing w:val="40"/>
        </w:rPr>
        <w:t> </w:t>
      </w:r>
      <w:r>
        <w:rPr>
          <w:spacing w:val="-3"/>
        </w:rPr>
        <w:t>“重大会计判断和估计”。</w:t>
      </w:r>
    </w:p>
    <w:p>
      <w:pPr>
        <w:spacing w:line="614" w:lineRule="exact" w:before="38"/>
        <w:ind w:left="633" w:right="0" w:hanging="480"/>
        <w:jc w:val="left"/>
        <w:rPr>
          <w:rFonts w:ascii="宋体" w:hAnsi="宋体" w:cs="宋体" w:eastAsia="宋体" w:hint="default"/>
          <w:sz w:val="18"/>
          <w:szCs w:val="18"/>
        </w:rPr>
      </w:pPr>
      <w:bookmarkStart w:name="1、遵循企业会计准则的声明" w:id="175"/>
      <w:bookmarkEnd w:id="175"/>
      <w:r>
        <w:rPr/>
      </w:r>
      <w:r>
        <w:rPr>
          <w:rFonts w:ascii="宋体" w:hAnsi="宋体" w:cs="宋体" w:eastAsia="宋体" w:hint="default"/>
          <w:b/>
          <w:bCs/>
          <w:sz w:val="18"/>
          <w:szCs w:val="18"/>
        </w:rPr>
        <w:t>1</w:t>
      </w:r>
      <w:r>
        <w:rPr>
          <w:rFonts w:ascii="宋体" w:hAnsi="宋体" w:cs="宋体" w:eastAsia="宋体" w:hint="default"/>
          <w:b/>
          <w:bCs/>
          <w:sz w:val="18"/>
          <w:szCs w:val="18"/>
        </w:rPr>
        <w:t>、遵循企业会计准则的声明</w:t>
      </w:r>
      <w:r>
        <w:rPr>
          <w:rFonts w:ascii="宋体" w:hAnsi="宋体" w:cs="宋体" w:eastAsia="宋体" w:hint="default"/>
          <w:b/>
          <w:bCs/>
          <w:spacing w:val="-85"/>
          <w:sz w:val="18"/>
          <w:szCs w:val="18"/>
        </w:rPr>
        <w:t> </w:t>
      </w:r>
      <w:r>
        <w:rPr>
          <w:rFonts w:ascii="宋体" w:hAnsi="宋体" w:cs="宋体" w:eastAsia="宋体" w:hint="default"/>
          <w:b/>
          <w:bCs/>
          <w:spacing w:val="-85"/>
          <w:sz w:val="18"/>
          <w:szCs w:val="18"/>
        </w:rPr>
      </w:r>
      <w:r>
        <w:rPr>
          <w:rFonts w:ascii="宋体" w:hAnsi="宋体" w:cs="宋体" w:eastAsia="宋体" w:hint="default"/>
          <w:spacing w:val="-3"/>
          <w:sz w:val="18"/>
          <w:szCs w:val="18"/>
        </w:rPr>
        <w:t>本公司编制的财务报表符合企业会计准则的要求，真实、完整地反映了本公司及本公司</w:t>
      </w:r>
      <w:r>
        <w:rPr>
          <w:rFonts w:ascii="宋体" w:hAnsi="宋体" w:cs="宋体" w:eastAsia="宋体" w:hint="default"/>
          <w:spacing w:val="-3"/>
          <w:sz w:val="18"/>
          <w:szCs w:val="18"/>
        </w:rPr>
        <w:t>2019</w:t>
      </w:r>
      <w:r>
        <w:rPr>
          <w:rFonts w:ascii="宋体" w:hAnsi="宋体" w:cs="宋体" w:eastAsia="宋体" w:hint="default"/>
          <w:spacing w:val="-3"/>
          <w:sz w:val="18"/>
          <w:szCs w:val="18"/>
        </w:rPr>
        <w:t>年</w:t>
      </w:r>
      <w:r>
        <w:rPr>
          <w:rFonts w:ascii="宋体" w:hAnsi="宋体" w:cs="宋体" w:eastAsia="宋体" w:hint="default"/>
          <w:spacing w:val="-3"/>
          <w:sz w:val="18"/>
          <w:szCs w:val="18"/>
        </w:rPr>
        <w:t>12</w:t>
      </w:r>
      <w:r>
        <w:rPr>
          <w:rFonts w:ascii="宋体" w:hAnsi="宋体" w:cs="宋体" w:eastAsia="宋体" w:hint="default"/>
          <w:spacing w:val="-3"/>
          <w:sz w:val="18"/>
          <w:szCs w:val="18"/>
        </w:rPr>
        <w:t>月</w:t>
      </w:r>
      <w:r>
        <w:rPr>
          <w:rFonts w:ascii="宋体" w:hAnsi="宋体" w:cs="宋体" w:eastAsia="宋体" w:hint="default"/>
          <w:spacing w:val="-3"/>
          <w:sz w:val="18"/>
          <w:szCs w:val="18"/>
        </w:rPr>
        <w:t>31</w:t>
      </w:r>
      <w:r>
        <w:rPr>
          <w:rFonts w:ascii="宋体" w:hAnsi="宋体" w:cs="宋体" w:eastAsia="宋体" w:hint="default"/>
          <w:spacing w:val="-3"/>
          <w:sz w:val="18"/>
          <w:szCs w:val="18"/>
        </w:rPr>
        <w:t>日的财务状况及</w:t>
      </w:r>
    </w:p>
    <w:p>
      <w:pPr>
        <w:pStyle w:val="BodyText"/>
        <w:spacing w:line="215" w:lineRule="exact" w:before="0"/>
        <w:ind w:right="0"/>
        <w:jc w:val="left"/>
      </w:pPr>
      <w:r>
        <w:rPr>
          <w:rFonts w:ascii="宋体" w:hAnsi="宋体" w:cs="宋体" w:eastAsia="宋体" w:hint="default"/>
          <w:spacing w:val="-4"/>
        </w:rPr>
        <w:t>2019</w:t>
      </w:r>
      <w:r>
        <w:rPr>
          <w:spacing w:val="-4"/>
        </w:rPr>
        <w:t>年度的经营成果和现金流量等有关信息。此外，本公司及本公司的财务报表在所有重大方面符合中国证券监督管理委员</w:t>
      </w:r>
    </w:p>
    <w:p>
      <w:pPr>
        <w:pStyle w:val="BodyText"/>
        <w:spacing w:line="626" w:lineRule="auto" w:before="76"/>
        <w:ind w:right="1045"/>
        <w:jc w:val="left"/>
        <w:rPr>
          <w:rFonts w:ascii="宋体" w:hAnsi="宋体" w:cs="宋体" w:eastAsia="宋体" w:hint="default"/>
        </w:rPr>
      </w:pPr>
      <w:r>
        <w:rPr>
          <w:spacing w:val="-6"/>
          <w:w w:val="101"/>
        </w:rPr>
        <w:t>会</w:t>
      </w:r>
      <w:r>
        <w:rPr>
          <w:rFonts w:ascii="宋体" w:hAnsi="宋体" w:cs="宋体" w:eastAsia="宋体" w:hint="default"/>
          <w:spacing w:val="-6"/>
          <w:w w:val="101"/>
        </w:rPr>
        <w:t>2014</w:t>
      </w:r>
      <w:r>
        <w:rPr>
          <w:spacing w:val="-6"/>
          <w:w w:val="101"/>
        </w:rPr>
        <w:t>年修订的《公开发行证券的公司信息披露编报规则第</w:t>
      </w:r>
      <w:r>
        <w:rPr>
          <w:rFonts w:ascii="宋体" w:hAnsi="宋体" w:cs="宋体" w:eastAsia="宋体" w:hint="default"/>
          <w:spacing w:val="-6"/>
          <w:w w:val="101"/>
        </w:rPr>
        <w:t>15</w:t>
      </w:r>
      <w:r>
        <w:rPr>
          <w:spacing w:val="-6"/>
          <w:w w:val="101"/>
        </w:rPr>
        <w:t>号－财务报告的一般规定》有关财务报表及其附注的披露要求。</w:t>
      </w:r>
      <w:r>
        <w:rPr>
          <w:spacing w:val="-53"/>
          <w:w w:val="101"/>
        </w:rPr>
        <w:t> </w:t>
      </w:r>
      <w:r>
        <w:rPr>
          <w:spacing w:val="-53"/>
          <w:w w:val="101"/>
        </w:rPr>
      </w:r>
      <w:bookmarkStart w:name="2、会计期间" w:id="176"/>
      <w:bookmarkEnd w:id="176"/>
      <w:r>
        <w:rPr>
          <w:spacing w:val="-53"/>
          <w:w w:val="101"/>
        </w:rPr>
      </w:r>
      <w:r>
        <w:rPr>
          <w:rFonts w:ascii="宋体" w:hAnsi="宋体" w:cs="宋体" w:eastAsia="宋体" w:hint="default"/>
          <w:b/>
          <w:bCs/>
        </w:rPr>
        <w:t>2</w:t>
      </w:r>
      <w:r>
        <w:rPr>
          <w:rFonts w:ascii="宋体" w:hAnsi="宋体" w:cs="宋体" w:eastAsia="宋体" w:hint="default"/>
          <w:b/>
          <w:bCs/>
        </w:rPr>
        <w:t>、会计期间</w:t>
      </w:r>
      <w:r>
        <w:rPr>
          <w:rFonts w:ascii="宋体" w:hAnsi="宋体" w:cs="宋体" w:eastAsia="宋体" w:hint="default"/>
        </w:rPr>
      </w:r>
    </w:p>
    <w:p>
      <w:pPr>
        <w:pStyle w:val="BodyText"/>
        <w:spacing w:line="319" w:lineRule="auto" w:before="84"/>
        <w:ind w:right="0" w:firstLine="273"/>
        <w:jc w:val="left"/>
      </w:pPr>
      <w:r>
        <w:rPr>
          <w:spacing w:val="-3"/>
        </w:rPr>
        <w:t>本公司的会计期间分为年度和中期，会计中期指短于一个完整的会计年度的报告期间。本公司会计年度采用公历年度，</w:t>
      </w:r>
      <w:r>
        <w:rPr>
          <w:w w:val="101"/>
        </w:rPr>
        <w:t> </w:t>
      </w:r>
      <w:r>
        <w:rPr>
          <w:spacing w:val="-3"/>
        </w:rPr>
        <w:t>即每年自</w:t>
      </w:r>
      <w:r>
        <w:rPr>
          <w:rFonts w:ascii="宋体" w:hAnsi="宋体" w:cs="宋体" w:eastAsia="宋体" w:hint="default"/>
          <w:spacing w:val="-3"/>
        </w:rPr>
        <w:t>1</w:t>
      </w:r>
      <w:r>
        <w:rPr>
          <w:spacing w:val="-3"/>
        </w:rPr>
        <w:t>月</w:t>
      </w:r>
      <w:r>
        <w:rPr>
          <w:rFonts w:ascii="宋体" w:hAnsi="宋体" w:cs="宋体" w:eastAsia="宋体" w:hint="default"/>
          <w:spacing w:val="-3"/>
        </w:rPr>
        <w:t>1</w:t>
      </w:r>
      <w:r>
        <w:rPr>
          <w:spacing w:val="-3"/>
        </w:rPr>
        <w:t>日起至</w:t>
      </w:r>
      <w:r>
        <w:rPr>
          <w:rFonts w:ascii="宋体" w:hAnsi="宋体" w:cs="宋体" w:eastAsia="宋体" w:hint="default"/>
          <w:spacing w:val="-3"/>
        </w:rPr>
        <w:t>12</w:t>
      </w:r>
      <w:r>
        <w:rPr>
          <w:spacing w:val="-3"/>
        </w:rPr>
        <w:t>月</w:t>
      </w:r>
      <w:r>
        <w:rPr>
          <w:rFonts w:ascii="宋体" w:hAnsi="宋体" w:cs="宋体" w:eastAsia="宋体" w:hint="default"/>
          <w:spacing w:val="-3"/>
        </w:rPr>
        <w:t>31</w:t>
      </w:r>
      <w:r>
        <w:rPr>
          <w:spacing w:val="-3"/>
        </w:rPr>
        <w:t>日止。</w:t>
      </w:r>
    </w:p>
    <w:p>
      <w:pPr>
        <w:spacing w:line="240" w:lineRule="auto" w:before="5"/>
        <w:rPr>
          <w:rFonts w:ascii="宋体" w:hAnsi="宋体" w:cs="宋体" w:eastAsia="宋体" w:hint="default"/>
          <w:sz w:val="24"/>
          <w:szCs w:val="24"/>
        </w:rPr>
      </w:pPr>
    </w:p>
    <w:p>
      <w:pPr>
        <w:pStyle w:val="Heading6"/>
        <w:spacing w:line="240" w:lineRule="auto"/>
        <w:ind w:right="0"/>
        <w:jc w:val="left"/>
        <w:rPr>
          <w:b w:val="0"/>
          <w:bCs w:val="0"/>
        </w:rPr>
      </w:pPr>
      <w:bookmarkStart w:name="3、营业周期" w:id="177"/>
      <w:bookmarkEnd w:id="177"/>
      <w:r>
        <w:rPr>
          <w:b w:val="0"/>
          <w:bCs w:val="0"/>
        </w:rPr>
      </w:r>
      <w:r>
        <w:rPr>
          <w:rFonts w:ascii="宋体" w:hAnsi="宋体" w:cs="宋体" w:eastAsia="宋体" w:hint="default"/>
        </w:rPr>
        <w:t>3</w:t>
      </w:r>
      <w:r>
        <w:rPr/>
        <w:t>、营业周期</w:t>
      </w:r>
      <w:r>
        <w:rPr>
          <w:b w:val="0"/>
          <w:bCs w:val="0"/>
        </w:rPr>
      </w:r>
    </w:p>
    <w:p>
      <w:pPr>
        <w:spacing w:line="240" w:lineRule="auto" w:before="0"/>
        <w:rPr>
          <w:rFonts w:ascii="宋体" w:hAnsi="宋体" w:cs="宋体" w:eastAsia="宋体" w:hint="default"/>
          <w:b/>
          <w:bCs/>
          <w:sz w:val="18"/>
          <w:szCs w:val="18"/>
        </w:rPr>
      </w:pPr>
    </w:p>
    <w:p>
      <w:pPr>
        <w:pStyle w:val="BodyText"/>
        <w:spacing w:line="319" w:lineRule="auto" w:before="138"/>
        <w:ind w:right="0" w:firstLine="480"/>
        <w:jc w:val="left"/>
      </w:pPr>
      <w:r>
        <w:rPr>
          <w:spacing w:val="-3"/>
        </w:rPr>
        <w:t>正常营业周期是指本公司从购买用于加工的资产起至实现现金或现金等价物的期间。本公司以</w:t>
      </w:r>
      <w:r>
        <w:rPr>
          <w:rFonts w:ascii="宋体" w:hAnsi="宋体" w:cs="宋体" w:eastAsia="宋体" w:hint="default"/>
          <w:spacing w:val="-3"/>
        </w:rPr>
        <w:t>12</w:t>
      </w:r>
      <w:r>
        <w:rPr>
          <w:spacing w:val="-3"/>
        </w:rPr>
        <w:t>个月作为一个营业周</w:t>
      </w:r>
      <w:r>
        <w:rPr>
          <w:w w:val="101"/>
        </w:rPr>
        <w:t> </w:t>
      </w:r>
      <w:r>
        <w:rPr>
          <w:spacing w:val="-3"/>
        </w:rPr>
        <w:t>期，并以其作为资产和负债的流动性划分标准。</w:t>
      </w:r>
    </w:p>
    <w:p>
      <w:pPr>
        <w:spacing w:line="240" w:lineRule="auto" w:before="5"/>
        <w:rPr>
          <w:rFonts w:ascii="宋体" w:hAnsi="宋体" w:cs="宋体" w:eastAsia="宋体" w:hint="default"/>
          <w:sz w:val="24"/>
          <w:szCs w:val="24"/>
        </w:rPr>
      </w:pPr>
    </w:p>
    <w:p>
      <w:pPr>
        <w:pStyle w:val="Heading6"/>
        <w:spacing w:line="240" w:lineRule="auto"/>
        <w:ind w:right="0"/>
        <w:jc w:val="left"/>
        <w:rPr>
          <w:b w:val="0"/>
          <w:bCs w:val="0"/>
        </w:rPr>
      </w:pPr>
      <w:bookmarkStart w:name="4、记账本位币" w:id="178"/>
      <w:bookmarkEnd w:id="178"/>
      <w:r>
        <w:rPr>
          <w:b w:val="0"/>
          <w:bCs w:val="0"/>
        </w:rPr>
      </w:r>
      <w:r>
        <w:rPr>
          <w:rFonts w:ascii="宋体" w:hAnsi="宋体" w:cs="宋体" w:eastAsia="宋体" w:hint="default"/>
        </w:rPr>
        <w:t>4</w:t>
      </w:r>
      <w:r>
        <w:rPr/>
        <w:t>、记账本位币</w:t>
      </w:r>
      <w:r>
        <w:rPr>
          <w:b w:val="0"/>
          <w:bCs w:val="0"/>
        </w:rPr>
      </w:r>
    </w:p>
    <w:p>
      <w:pPr>
        <w:spacing w:line="240" w:lineRule="auto" w:before="0"/>
        <w:rPr>
          <w:rFonts w:ascii="宋体" w:hAnsi="宋体" w:cs="宋体" w:eastAsia="宋体" w:hint="default"/>
          <w:b/>
          <w:bCs/>
          <w:sz w:val="18"/>
          <w:szCs w:val="18"/>
        </w:rPr>
      </w:pPr>
    </w:p>
    <w:p>
      <w:pPr>
        <w:pStyle w:val="BodyText"/>
        <w:spacing w:line="316" w:lineRule="auto" w:before="138"/>
        <w:ind w:right="0" w:firstLine="480"/>
        <w:jc w:val="left"/>
      </w:pPr>
      <w:r>
        <w:rPr>
          <w:spacing w:val="-3"/>
        </w:rPr>
        <w:t>人民币为本公司及境内子公司经营所处的主要经济环境中的货币，本公司及境内子公司以人民币为记账本位币。本公</w:t>
      </w:r>
      <w:r>
        <w:rPr>
          <w:w w:val="101"/>
        </w:rPr>
        <w:t> </w:t>
      </w:r>
      <w:r>
        <w:rPr>
          <w:spacing w:val="-3"/>
        </w:rPr>
        <w:t>司之境外子公司以其经营所处的主要经济环境中的货币为记账本位币。本公司编制本财务报表时所采用的货币为人民币。</w:t>
      </w:r>
    </w:p>
    <w:p>
      <w:pPr>
        <w:spacing w:line="614" w:lineRule="exact" w:before="41"/>
        <w:ind w:left="638" w:right="0" w:hanging="485"/>
        <w:jc w:val="left"/>
        <w:rPr>
          <w:rFonts w:ascii="宋体" w:hAnsi="宋体" w:cs="宋体" w:eastAsia="宋体" w:hint="default"/>
          <w:sz w:val="18"/>
          <w:szCs w:val="18"/>
        </w:rPr>
      </w:pPr>
      <w:bookmarkStart w:name="5、同一控制下和非同一控制下企业合并的会计处理方法" w:id="179"/>
      <w:bookmarkEnd w:id="179"/>
      <w:r>
        <w:rPr/>
      </w:r>
      <w:r>
        <w:rPr>
          <w:rFonts w:ascii="宋体" w:hAnsi="宋体" w:cs="宋体" w:eastAsia="宋体" w:hint="default"/>
          <w:b/>
          <w:bCs/>
          <w:sz w:val="18"/>
          <w:szCs w:val="18"/>
        </w:rPr>
        <w:t>5</w:t>
      </w:r>
      <w:r>
        <w:rPr>
          <w:rFonts w:ascii="宋体" w:hAnsi="宋体" w:cs="宋体" w:eastAsia="宋体" w:hint="default"/>
          <w:b/>
          <w:bCs/>
          <w:sz w:val="18"/>
          <w:szCs w:val="18"/>
        </w:rPr>
        <w:t>、同一控制下和非同一控制下企业合并的会计处理方法</w:t>
      </w:r>
      <w:r>
        <w:rPr>
          <w:rFonts w:ascii="宋体" w:hAnsi="宋体" w:cs="宋体" w:eastAsia="宋体" w:hint="default"/>
          <w:b/>
          <w:bCs/>
          <w:w w:val="100"/>
          <w:sz w:val="18"/>
          <w:szCs w:val="18"/>
        </w:rPr>
        <w:t> </w:t>
      </w:r>
      <w:r>
        <w:rPr>
          <w:rFonts w:ascii="宋体" w:hAnsi="宋体" w:cs="宋体" w:eastAsia="宋体" w:hint="default"/>
          <w:spacing w:val="-3"/>
          <w:sz w:val="18"/>
          <w:szCs w:val="18"/>
        </w:rPr>
        <w:t>企业合并，是指将两个或两个以上单独的企业合并形成一个报告主体的交易或事项。企业合并分为同一控制下企业合</w:t>
      </w:r>
    </w:p>
    <w:p>
      <w:pPr>
        <w:pStyle w:val="BodyText"/>
        <w:spacing w:line="215" w:lineRule="exact" w:before="0"/>
        <w:ind w:left="158" w:right="0"/>
        <w:jc w:val="left"/>
      </w:pPr>
      <w:r>
        <w:rPr>
          <w:spacing w:val="-3"/>
        </w:rPr>
        <w:t>并和非同一控制下企业合并。</w:t>
      </w:r>
    </w:p>
    <w:p>
      <w:pPr>
        <w:pStyle w:val="BodyText"/>
        <w:spacing w:line="316" w:lineRule="auto" w:before="77"/>
        <w:ind w:left="633" w:right="0"/>
        <w:jc w:val="left"/>
      </w:pPr>
      <w:r>
        <w:rPr>
          <w:spacing w:val="-3"/>
        </w:rPr>
        <w:t>（</w:t>
      </w:r>
      <w:r>
        <w:rPr>
          <w:rFonts w:ascii="宋体" w:hAnsi="宋体" w:cs="宋体" w:eastAsia="宋体" w:hint="default"/>
          <w:spacing w:val="-3"/>
        </w:rPr>
        <w:t>1</w:t>
      </w:r>
      <w:r>
        <w:rPr>
          <w:spacing w:val="-3"/>
        </w:rPr>
        <w:t>）同一控制下企业合并</w:t>
      </w:r>
      <w:r>
        <w:rPr>
          <w:spacing w:val="-52"/>
        </w:rPr>
        <w:t> </w:t>
      </w:r>
      <w:r>
        <w:rPr>
          <w:spacing w:val="-52"/>
        </w:rPr>
      </w:r>
      <w:r>
        <w:rPr>
          <w:spacing w:val="-3"/>
        </w:rPr>
        <w:t>参与合并的企业在合并前后均受同一方或相同的多方最终控制，且该控制并非暂时性的，为同一控制下的企业合并。</w:t>
      </w:r>
    </w:p>
    <w:p>
      <w:pPr>
        <w:pStyle w:val="BodyText"/>
        <w:spacing w:line="316" w:lineRule="auto" w:before="19"/>
        <w:ind w:right="0"/>
        <w:jc w:val="left"/>
      </w:pPr>
      <w:r>
        <w:rPr>
          <w:spacing w:val="-4"/>
        </w:rPr>
        <w:t>同一控制下的企业合并，在合并日取得对其他参与合并企业控制权的一方为合并方，参与合并的其他企业为被合并方。合并</w:t>
      </w:r>
      <w:r>
        <w:rPr>
          <w:spacing w:val="43"/>
        </w:rPr>
        <w:t> </w:t>
      </w:r>
      <w:r>
        <w:rPr>
          <w:spacing w:val="43"/>
        </w:rPr>
      </w:r>
      <w:r>
        <w:rPr>
          <w:spacing w:val="-3"/>
        </w:rPr>
        <w:t>日，是指合并方实际取得对被合并方控制权的日期。</w:t>
      </w:r>
    </w:p>
    <w:p>
      <w:pPr>
        <w:pStyle w:val="BodyText"/>
        <w:spacing w:line="319" w:lineRule="auto" w:before="19"/>
        <w:ind w:right="0" w:firstLine="480"/>
        <w:jc w:val="left"/>
      </w:pPr>
      <w:r>
        <w:rPr>
          <w:spacing w:val="-3"/>
        </w:rPr>
        <w:t>合并方取得的资产和负债均按合并日在被合并方的账面价值计量。合并方取得的净资产账面价值与支付的合并对价账</w:t>
      </w:r>
      <w:r>
        <w:rPr>
          <w:w w:val="101"/>
        </w:rPr>
        <w:t> </w:t>
      </w:r>
      <w:r>
        <w:rPr>
          <w:spacing w:val="-6"/>
        </w:rPr>
        <w:t>面价值（或发行股份面值总额）的差额，调整资本公积（股本溢价）；资本公积（股本溢价）不足以冲减的，调整留存收益。</w:t>
      </w:r>
    </w:p>
    <w:p>
      <w:pPr>
        <w:pStyle w:val="BodyText"/>
        <w:spacing w:line="240" w:lineRule="auto" w:before="17"/>
        <w:ind w:left="633" w:right="0"/>
        <w:jc w:val="left"/>
      </w:pPr>
      <w:r>
        <w:rPr>
          <w:spacing w:val="-3"/>
        </w:rPr>
        <w:t>合并方为进行企业合并发生的各项直接费用，于发生时计入当期损益。</w:t>
      </w:r>
    </w:p>
    <w:p>
      <w:pPr>
        <w:pStyle w:val="BodyText"/>
        <w:spacing w:line="316" w:lineRule="auto" w:before="76"/>
        <w:ind w:left="633" w:right="0"/>
        <w:jc w:val="left"/>
      </w:pPr>
      <w:r>
        <w:rPr/>
        <w:t>（</w:t>
      </w:r>
      <w:r>
        <w:rPr>
          <w:rFonts w:ascii="宋体" w:hAnsi="宋体" w:cs="宋体" w:eastAsia="宋体" w:hint="default"/>
        </w:rPr>
        <w:t>2</w:t>
      </w:r>
      <w:r>
        <w:rPr/>
        <w:t>）非同一控制下企业合并</w:t>
      </w:r>
      <w:r>
        <w:rPr>
          <w:spacing w:val="-85"/>
        </w:rPr>
        <w:t> </w:t>
      </w:r>
      <w:r>
        <w:rPr>
          <w:spacing w:val="-85"/>
        </w:rPr>
      </w:r>
      <w:r>
        <w:rPr>
          <w:spacing w:val="-3"/>
        </w:rPr>
        <w:t>参与合并的企业在合并前后不受同一方或相同的多方最终控制的，为非同一控制下的企业合并。非同一控制下的企业</w:t>
      </w:r>
    </w:p>
    <w:p>
      <w:pPr>
        <w:spacing w:after="0" w:line="316" w:lineRule="auto"/>
        <w:jc w:val="left"/>
        <w:sectPr>
          <w:pgSz w:w="11910" w:h="16840"/>
          <w:pgMar w:header="784" w:footer="1022" w:top="1100" w:bottom="1220" w:left="980" w:right="0"/>
        </w:sectPr>
      </w:pPr>
    </w:p>
    <w:p>
      <w:pPr>
        <w:spacing w:line="240" w:lineRule="auto" w:before="10"/>
        <w:rPr>
          <w:rFonts w:ascii="宋体" w:hAnsi="宋体" w:cs="宋体" w:eastAsia="宋体" w:hint="default"/>
          <w:sz w:val="22"/>
          <w:szCs w:val="22"/>
        </w:rPr>
      </w:pPr>
    </w:p>
    <w:p>
      <w:pPr>
        <w:pStyle w:val="BodyText"/>
        <w:spacing w:line="316" w:lineRule="auto"/>
        <w:ind w:right="1124"/>
        <w:jc w:val="both"/>
      </w:pPr>
      <w:r>
        <w:rPr>
          <w:spacing w:val="-4"/>
        </w:rPr>
        <w:t>合并，在购买日取得对其他参与合并企业控制权的一方为购买方，参与合并的其他企业为被购买方。购买日，是指为购买方</w:t>
      </w:r>
      <w:r>
        <w:rPr>
          <w:spacing w:val="40"/>
        </w:rPr>
        <w:t> </w:t>
      </w:r>
      <w:r>
        <w:rPr>
          <w:spacing w:val="40"/>
        </w:rPr>
      </w:r>
      <w:r>
        <w:rPr>
          <w:spacing w:val="-3"/>
        </w:rPr>
        <w:t>实际取得对被购买方控制权的日期。</w:t>
      </w:r>
    </w:p>
    <w:p>
      <w:pPr>
        <w:pStyle w:val="BodyText"/>
        <w:spacing w:line="319" w:lineRule="auto" w:before="19"/>
        <w:ind w:right="1122" w:firstLine="480"/>
        <w:jc w:val="both"/>
      </w:pPr>
      <w:r>
        <w:rPr>
          <w:spacing w:val="-3"/>
        </w:rPr>
        <w:t>对于非同一控制下的企业合并，合并成本包含购买日购买方为取得对被购买方的控制权而付出的资产、发生或承担的</w:t>
      </w:r>
      <w:r>
        <w:rPr>
          <w:w w:val="101"/>
        </w:rPr>
        <w:t> </w:t>
      </w:r>
      <w:r>
        <w:rPr>
          <w:spacing w:val="-4"/>
        </w:rPr>
        <w:t>负债以及发行的权益性证券的公允价值，为企业合并发生的审计、法律服务、评估咨询等中介费用以及其他管理费用于发生</w:t>
      </w:r>
      <w:r>
        <w:rPr>
          <w:spacing w:val="43"/>
        </w:rPr>
        <w:t> </w:t>
      </w:r>
      <w:r>
        <w:rPr>
          <w:spacing w:val="43"/>
        </w:rPr>
      </w:r>
      <w:r>
        <w:rPr>
          <w:spacing w:val="-4"/>
        </w:rPr>
        <w:t>时计入当期损益。购买方作为合并对价发行的权益性证券或债务性证券的交易费用，计入权益性证券或债务性证券的初始确</w:t>
      </w:r>
      <w:r>
        <w:rPr>
          <w:spacing w:val="42"/>
        </w:rPr>
        <w:t> </w:t>
      </w:r>
      <w:r>
        <w:rPr>
          <w:spacing w:val="42"/>
        </w:rPr>
      </w:r>
      <w:r>
        <w:rPr>
          <w:spacing w:val="-4"/>
        </w:rPr>
        <w:t>认金额。所涉及的或有对价按其在购买日的公允价值计入合并成本，购买日后</w:t>
      </w:r>
      <w:r>
        <w:rPr>
          <w:rFonts w:ascii="宋体" w:hAnsi="宋体" w:cs="宋体" w:eastAsia="宋体" w:hint="default"/>
          <w:spacing w:val="-4"/>
        </w:rPr>
        <w:t>12</w:t>
      </w:r>
      <w:r>
        <w:rPr>
          <w:spacing w:val="-4"/>
        </w:rPr>
        <w:t>个月内出现对购买日已存在情况的新的或进</w:t>
      </w:r>
      <w:r>
        <w:rPr>
          <w:spacing w:val="48"/>
        </w:rPr>
        <w:t> </w:t>
      </w:r>
      <w:r>
        <w:rPr>
          <w:spacing w:val="48"/>
        </w:rPr>
      </w:r>
      <w:r>
        <w:rPr>
          <w:spacing w:val="-4"/>
        </w:rPr>
        <w:t>一步证据而需要调整或有对价的，相应调整合并商誉。购买方发生的合并成本及在合并中取得的可辨认净资产按购买日的公</w:t>
      </w:r>
      <w:r>
        <w:rPr>
          <w:spacing w:val="39"/>
        </w:rPr>
        <w:t> </w:t>
      </w:r>
      <w:r>
        <w:rPr>
          <w:spacing w:val="39"/>
        </w:rPr>
      </w:r>
      <w:r>
        <w:rPr>
          <w:spacing w:val="-4"/>
        </w:rPr>
        <w:t>允价值计量。合并成本大于合并中取得的被购买方于购买日可辨认净资产公允价值份额的差额，确认为商誉。合并成本小于</w:t>
      </w:r>
      <w:r>
        <w:rPr>
          <w:spacing w:val="44"/>
        </w:rPr>
        <w:t> </w:t>
      </w:r>
      <w:r>
        <w:rPr>
          <w:spacing w:val="44"/>
        </w:rPr>
      </w:r>
      <w:r>
        <w:rPr>
          <w:spacing w:val="-4"/>
        </w:rPr>
        <w:t>合并中取得的被购买方可辨认净资产公允价值份额的，首先对取得的被购买方各项可辨认资产、负债及或有负债的公允价值</w:t>
      </w:r>
      <w:r>
        <w:rPr>
          <w:spacing w:val="43"/>
        </w:rPr>
        <w:t> </w:t>
      </w:r>
      <w:r>
        <w:rPr>
          <w:spacing w:val="43"/>
        </w:rPr>
      </w:r>
      <w:r>
        <w:rPr>
          <w:spacing w:val="-4"/>
        </w:rPr>
        <w:t>以及合并成本的计量进行复核，复核后合并成本仍小于合并中取得的被购买方可辨认净资产公允价值份额的，其差额计入当</w:t>
      </w:r>
      <w:r>
        <w:rPr>
          <w:spacing w:val="43"/>
        </w:rPr>
        <w:t> </w:t>
      </w:r>
      <w:r>
        <w:rPr>
          <w:spacing w:val="43"/>
        </w:rPr>
      </w:r>
      <w:r>
        <w:rPr/>
        <w:t>期损益。</w:t>
      </w:r>
    </w:p>
    <w:p>
      <w:pPr>
        <w:pStyle w:val="BodyText"/>
        <w:spacing w:line="319" w:lineRule="auto" w:before="17"/>
        <w:ind w:right="1122" w:firstLine="480"/>
        <w:jc w:val="both"/>
      </w:pPr>
      <w:r>
        <w:rPr>
          <w:spacing w:val="-3"/>
        </w:rPr>
        <w:t>购买方取得被购买方的可抵扣暂时性差异，在购买日因不符合递延所得税资产确认条件而未予确认的，在购买日后</w:t>
      </w:r>
      <w:r>
        <w:rPr>
          <w:rFonts w:ascii="宋体" w:hAnsi="宋体" w:cs="宋体" w:eastAsia="宋体" w:hint="default"/>
          <w:spacing w:val="-3"/>
        </w:rPr>
        <w:t>12</w:t>
      </w:r>
      <w:r>
        <w:rPr>
          <w:rFonts w:ascii="宋体" w:hAnsi="宋体" w:cs="宋体" w:eastAsia="宋体" w:hint="default"/>
          <w:w w:val="101"/>
        </w:rPr>
        <w:t> </w:t>
      </w:r>
      <w:r>
        <w:rPr>
          <w:spacing w:val="-4"/>
        </w:rPr>
        <w:t>个月内，如取得新的或进一步的信息表明购买日的相关情况已经存在，预期被购买方在购买日可抵扣暂时性差异带来的经济</w:t>
      </w:r>
      <w:r>
        <w:rPr>
          <w:spacing w:val="42"/>
        </w:rPr>
        <w:t> </w:t>
      </w:r>
      <w:r>
        <w:rPr>
          <w:spacing w:val="42"/>
        </w:rPr>
      </w:r>
      <w:r>
        <w:rPr>
          <w:spacing w:val="-4"/>
        </w:rPr>
        <w:t>利益能够实现的，则确认相关的递延所得税资产，同时减少商誉，商誉不足冲减的，差额部分确认为当期损益；除上述情况</w:t>
      </w:r>
      <w:r>
        <w:rPr>
          <w:spacing w:val="40"/>
        </w:rPr>
        <w:t> </w:t>
      </w:r>
      <w:r>
        <w:rPr>
          <w:spacing w:val="40"/>
        </w:rPr>
      </w:r>
      <w:r>
        <w:rPr>
          <w:spacing w:val="-3"/>
        </w:rPr>
        <w:t>以外，确认与企业合并相关的递延所得税资产的，计入当期损益。</w:t>
      </w:r>
    </w:p>
    <w:p>
      <w:pPr>
        <w:pStyle w:val="BodyText"/>
        <w:spacing w:line="316" w:lineRule="auto" w:before="17"/>
        <w:ind w:right="1016" w:firstLine="480"/>
        <w:jc w:val="left"/>
      </w:pPr>
      <w:r>
        <w:rPr>
          <w:spacing w:val="-9"/>
          <w:w w:val="101"/>
        </w:rPr>
        <w:t>通过多次交易分步实现的非同一控制下企业合并，根据《财政部关于印发企业会计准则解释第</w:t>
      </w:r>
      <w:r>
        <w:rPr>
          <w:rFonts w:ascii="宋体" w:hAnsi="宋体" w:cs="宋体" w:eastAsia="宋体" w:hint="default"/>
          <w:spacing w:val="-9"/>
          <w:w w:val="101"/>
        </w:rPr>
        <w:t>5</w:t>
      </w:r>
      <w:r>
        <w:rPr>
          <w:spacing w:val="-9"/>
          <w:w w:val="101"/>
        </w:rPr>
        <w:t>号的通知》（财会〔</w:t>
      </w:r>
      <w:r>
        <w:rPr>
          <w:rFonts w:ascii="宋体" w:hAnsi="宋体" w:cs="宋体" w:eastAsia="宋体" w:hint="default"/>
          <w:spacing w:val="-9"/>
          <w:w w:val="101"/>
        </w:rPr>
        <w:t>2012</w:t>
      </w:r>
      <w:r>
        <w:rPr>
          <w:spacing w:val="-9"/>
          <w:w w:val="101"/>
        </w:rPr>
        <w:t>〕</w:t>
      </w:r>
      <w:r>
        <w:rPr>
          <w:w w:val="101"/>
        </w:rPr>
        <w:t> </w:t>
      </w:r>
      <w:r>
        <w:rPr>
          <w:rFonts w:ascii="宋体" w:hAnsi="宋体" w:cs="宋体" w:eastAsia="宋体" w:hint="default"/>
          <w:spacing w:val="-3"/>
        </w:rPr>
        <w:t>19</w:t>
      </w:r>
      <w:r>
        <w:rPr>
          <w:spacing w:val="-3"/>
        </w:rPr>
        <w:t>号）和《企业会计准则第</w:t>
      </w:r>
      <w:r>
        <w:rPr>
          <w:rFonts w:ascii="宋体" w:hAnsi="宋体" w:cs="宋体" w:eastAsia="宋体" w:hint="default"/>
          <w:spacing w:val="-3"/>
        </w:rPr>
        <w:t>33</w:t>
      </w:r>
      <w:r>
        <w:rPr>
          <w:spacing w:val="-3"/>
        </w:rPr>
        <w:t>号——合并财务报表》第五十一条关于“一揽子交易”的判断标准，属于“一揽子交易”的，</w:t>
      </w:r>
      <w:r>
        <w:rPr>
          <w:spacing w:val="72"/>
        </w:rPr>
        <w:t> </w:t>
      </w:r>
      <w:r>
        <w:rPr>
          <w:spacing w:val="72"/>
        </w:rPr>
      </w:r>
      <w:r>
        <w:rPr>
          <w:spacing w:val="-4"/>
        </w:rPr>
        <w:t>参考本部分前面各段描述及本附注四、</w:t>
      </w:r>
      <w:r>
        <w:rPr>
          <w:rFonts w:ascii="宋体" w:hAnsi="宋体" w:cs="宋体" w:eastAsia="宋体" w:hint="default"/>
          <w:spacing w:val="-4"/>
        </w:rPr>
        <w:t>14</w:t>
      </w:r>
      <w:r>
        <w:rPr>
          <w:spacing w:val="-4"/>
        </w:rPr>
        <w:t>“长期股权投资”进行会计处理；不属于“一揽子交易”的，区分个别财务报表和</w:t>
      </w:r>
      <w:r>
        <w:rPr>
          <w:spacing w:val="44"/>
        </w:rPr>
        <w:t> </w:t>
      </w:r>
      <w:r>
        <w:rPr>
          <w:spacing w:val="44"/>
        </w:rPr>
      </w:r>
      <w:r>
        <w:rPr>
          <w:spacing w:val="-3"/>
        </w:rPr>
        <w:t>合并财务报表进行相关会计处理：</w:t>
      </w:r>
    </w:p>
    <w:p>
      <w:pPr>
        <w:pStyle w:val="BodyText"/>
        <w:spacing w:line="316" w:lineRule="auto" w:before="19"/>
        <w:ind w:right="0" w:firstLine="480"/>
        <w:jc w:val="left"/>
      </w:pPr>
      <w:r>
        <w:rPr>
          <w:spacing w:val="-3"/>
        </w:rPr>
        <w:t>在个别财务报表中，以购买日之前所持被购买方的股权投资的账面价值与购买日新增投资成本之和，作为该项投资的</w:t>
      </w:r>
      <w:r>
        <w:rPr>
          <w:w w:val="101"/>
        </w:rPr>
        <w:t> </w:t>
      </w:r>
      <w:r>
        <w:rPr>
          <w:spacing w:val="-4"/>
        </w:rPr>
        <w:t>初始投资成本；购买日之前持有的被购买方的股权涉及其他综合收益的，在处置该项投资时将与其相关的其他综合收益采用</w:t>
      </w:r>
      <w:r>
        <w:rPr>
          <w:spacing w:val="44"/>
        </w:rPr>
        <w:t> </w:t>
      </w:r>
      <w:r>
        <w:rPr>
          <w:spacing w:val="44"/>
        </w:rPr>
      </w:r>
      <w:r>
        <w:rPr>
          <w:spacing w:val="-4"/>
        </w:rPr>
        <w:t>与被购买方直接处置相关资产或负债相同的基础进行会计处理（即，除了按照权益法核算的在被购买方重新计量设定受益计</w:t>
      </w:r>
      <w:r>
        <w:rPr>
          <w:spacing w:val="38"/>
        </w:rPr>
        <w:t> </w:t>
      </w:r>
      <w:r>
        <w:rPr>
          <w:spacing w:val="38"/>
        </w:rPr>
      </w:r>
      <w:r>
        <w:rPr>
          <w:spacing w:val="-3"/>
        </w:rPr>
        <w:t>划净负债或净资产导致的变动中的相应份额以外，其余转入当期投资收益）。</w:t>
      </w:r>
      <w:r>
        <w:rPr>
          <w:spacing w:val="8"/>
        </w:rPr>
        <w:t> </w:t>
      </w:r>
      <w:r>
        <w:rPr>
          <w:spacing w:val="8"/>
        </w:rPr>
      </w:r>
      <w:r>
        <w:rPr>
          <w:spacing w:val="-4"/>
        </w:rPr>
        <w:t>在合并财务报表中，对于购买日之前持有的被购买方的股权，按照该股权在购买日的公允价值进行重新计量，公允价值与其</w:t>
      </w:r>
      <w:r>
        <w:rPr>
          <w:spacing w:val="43"/>
        </w:rPr>
        <w:t> </w:t>
      </w:r>
      <w:r>
        <w:rPr>
          <w:spacing w:val="43"/>
        </w:rPr>
      </w:r>
      <w:r>
        <w:rPr>
          <w:spacing w:val="-4"/>
        </w:rPr>
        <w:t>账面价值的差额计入当期投资收益；购买日之前持有的被购买方的股权涉及其他综合收益的，与其相关的其他综合收益应当</w:t>
      </w:r>
      <w:r>
        <w:rPr>
          <w:spacing w:val="43"/>
        </w:rPr>
        <w:t> </w:t>
      </w:r>
      <w:r>
        <w:rPr>
          <w:spacing w:val="43"/>
        </w:rPr>
      </w:r>
      <w:r>
        <w:rPr>
          <w:spacing w:val="-5"/>
        </w:rPr>
        <w:t>采用与被购买方直接处置相关资产或负债相同的基础进行会计处理（即，除了按照权益法核算的在被购买方重新计量设定受</w:t>
      </w:r>
      <w:r>
        <w:rPr>
          <w:spacing w:val="6"/>
        </w:rPr>
        <w:t> </w:t>
      </w:r>
      <w:r>
        <w:rPr>
          <w:spacing w:val="6"/>
        </w:rPr>
      </w:r>
      <w:r>
        <w:rPr>
          <w:spacing w:val="-3"/>
        </w:rPr>
        <w:t>益计划净负债或净资产导致的变动中的相应份额以外，其余转为购买日所属当期投资收益）。</w:t>
      </w:r>
    </w:p>
    <w:p>
      <w:pPr>
        <w:spacing w:line="240" w:lineRule="auto" w:before="7"/>
        <w:rPr>
          <w:rFonts w:ascii="宋体" w:hAnsi="宋体" w:cs="宋体" w:eastAsia="宋体" w:hint="default"/>
          <w:sz w:val="24"/>
          <w:szCs w:val="24"/>
        </w:rPr>
      </w:pPr>
    </w:p>
    <w:p>
      <w:pPr>
        <w:pStyle w:val="Heading6"/>
        <w:spacing w:line="240" w:lineRule="auto"/>
        <w:ind w:right="0"/>
        <w:jc w:val="both"/>
        <w:rPr>
          <w:b w:val="0"/>
          <w:bCs w:val="0"/>
        </w:rPr>
      </w:pPr>
      <w:bookmarkStart w:name="6、合并财务报表的编制方法" w:id="180"/>
      <w:bookmarkEnd w:id="180"/>
      <w:r>
        <w:rPr>
          <w:b w:val="0"/>
          <w:bCs w:val="0"/>
        </w:rPr>
      </w:r>
      <w:r>
        <w:rPr>
          <w:rFonts w:ascii="宋体" w:hAnsi="宋体" w:cs="宋体" w:eastAsia="宋体" w:hint="default"/>
        </w:rPr>
        <w:t>6</w:t>
      </w:r>
      <w:r>
        <w:rPr/>
        <w:t>、合并财务报表的编制方法</w:t>
      </w:r>
      <w:r>
        <w:rPr>
          <w:b w:val="0"/>
          <w:bCs w:val="0"/>
        </w:rPr>
      </w:r>
    </w:p>
    <w:p>
      <w:pPr>
        <w:spacing w:line="240" w:lineRule="auto" w:before="0"/>
        <w:rPr>
          <w:rFonts w:ascii="宋体" w:hAnsi="宋体" w:cs="宋体" w:eastAsia="宋体" w:hint="default"/>
          <w:b/>
          <w:bCs/>
          <w:sz w:val="18"/>
          <w:szCs w:val="18"/>
        </w:rPr>
      </w:pPr>
    </w:p>
    <w:p>
      <w:pPr>
        <w:pStyle w:val="BodyText"/>
        <w:spacing w:line="316" w:lineRule="auto" w:before="139"/>
        <w:ind w:left="633" w:right="0"/>
        <w:jc w:val="left"/>
      </w:pPr>
      <w:r>
        <w:rPr>
          <w:spacing w:val="-3"/>
        </w:rPr>
        <w:t>（</w:t>
      </w:r>
      <w:r>
        <w:rPr>
          <w:rFonts w:ascii="宋体" w:hAnsi="宋体" w:cs="宋体" w:eastAsia="宋体" w:hint="default"/>
          <w:spacing w:val="-3"/>
        </w:rPr>
        <w:t>1</w:t>
      </w:r>
      <w:r>
        <w:rPr>
          <w:spacing w:val="-3"/>
        </w:rPr>
        <w:t>）合并财务报表范围的确定原则</w:t>
      </w:r>
      <w:r>
        <w:rPr>
          <w:spacing w:val="-40"/>
        </w:rPr>
        <w:t> </w:t>
      </w:r>
      <w:r>
        <w:rPr>
          <w:spacing w:val="-40"/>
        </w:rPr>
      </w:r>
      <w:r>
        <w:rPr>
          <w:spacing w:val="-3"/>
        </w:rPr>
        <w:t>合并财务报表的合并范围以控制为基础予以确定。控制是指本公司拥有对被投资方的权力，通过参与被投资方的相关</w:t>
      </w:r>
    </w:p>
    <w:p>
      <w:pPr>
        <w:pStyle w:val="BodyText"/>
        <w:spacing w:line="316" w:lineRule="auto" w:before="19"/>
        <w:ind w:right="1122"/>
        <w:jc w:val="both"/>
      </w:pPr>
      <w:r>
        <w:rPr>
          <w:spacing w:val="-4"/>
        </w:rPr>
        <w:t>活动而享有可变回报，并且有能力运用对被投资方的权力影响该回报金额。合并范围包括本公司及全部子公司。子公司，是</w:t>
      </w:r>
      <w:r>
        <w:rPr>
          <w:spacing w:val="42"/>
        </w:rPr>
        <w:t> </w:t>
      </w:r>
      <w:r>
        <w:rPr>
          <w:spacing w:val="42"/>
        </w:rPr>
      </w:r>
      <w:r>
        <w:rPr>
          <w:spacing w:val="-3"/>
        </w:rPr>
        <w:t>指被本公司控制的主体。</w:t>
      </w:r>
    </w:p>
    <w:p>
      <w:pPr>
        <w:pStyle w:val="BodyText"/>
        <w:spacing w:line="240" w:lineRule="auto" w:before="19"/>
        <w:ind w:left="633" w:right="0"/>
        <w:jc w:val="left"/>
      </w:pPr>
      <w:r>
        <w:rPr>
          <w:spacing w:val="-3"/>
        </w:rPr>
        <w:t>一旦相关事实和情况的变化导致上述控制定义涉及的相关要素发生了变化，本公司将进行重新评估。</w:t>
      </w:r>
    </w:p>
    <w:p>
      <w:pPr>
        <w:pStyle w:val="BodyText"/>
        <w:spacing w:line="319" w:lineRule="auto" w:before="76"/>
        <w:ind w:left="993" w:right="0" w:hanging="361"/>
        <w:jc w:val="left"/>
      </w:pPr>
      <w:r>
        <w:rPr>
          <w:spacing w:val="-3"/>
        </w:rPr>
        <w:t>（</w:t>
      </w:r>
      <w:r>
        <w:rPr>
          <w:rFonts w:ascii="宋体" w:hAnsi="宋体" w:cs="宋体" w:eastAsia="宋体" w:hint="default"/>
          <w:spacing w:val="-3"/>
        </w:rPr>
        <w:t>2</w:t>
      </w:r>
      <w:r>
        <w:rPr>
          <w:spacing w:val="-3"/>
        </w:rPr>
        <w:t>）合并财务报表编制的方法</w:t>
      </w:r>
      <w:r>
        <w:rPr>
          <w:spacing w:val="-46"/>
        </w:rPr>
        <w:t> </w:t>
      </w:r>
      <w:r>
        <w:rPr>
          <w:spacing w:val="-46"/>
        </w:rPr>
      </w:r>
      <w:r>
        <w:rPr>
          <w:spacing w:val="-3"/>
        </w:rPr>
        <w:t>从取得子公司的净资产和生产经营决策的实际控制权之日起，本公司开始将其纳入合并范围；从丧失实际控制权</w:t>
      </w:r>
    </w:p>
    <w:p>
      <w:pPr>
        <w:pStyle w:val="BodyText"/>
        <w:spacing w:line="319" w:lineRule="auto" w:before="17"/>
        <w:ind w:right="1124"/>
        <w:jc w:val="both"/>
      </w:pPr>
      <w:r>
        <w:rPr>
          <w:spacing w:val="-5"/>
        </w:rPr>
        <w:t>之日起停止纳入合并范围。对于处置的子公司，处置日前的经营成果和现金流量已经适当地包括在合并利润表和合并现金流</w:t>
      </w:r>
      <w:r>
        <w:rPr>
          <w:spacing w:val="6"/>
        </w:rPr>
        <w:t> </w:t>
      </w:r>
      <w:r>
        <w:rPr>
          <w:spacing w:val="6"/>
        </w:rPr>
      </w:r>
      <w:r>
        <w:rPr>
          <w:spacing w:val="-4"/>
        </w:rPr>
        <w:t>量表中；当期处置的子公司，不调整合并资产负债表的期初数。非同一控制下企业合并增加的子公司，其购买日后的经营成</w:t>
      </w:r>
      <w:r>
        <w:rPr>
          <w:spacing w:val="40"/>
        </w:rPr>
        <w:t> </w:t>
      </w:r>
      <w:r>
        <w:rPr>
          <w:spacing w:val="40"/>
        </w:rPr>
      </w:r>
      <w:r>
        <w:rPr>
          <w:spacing w:val="-5"/>
        </w:rPr>
        <w:t>果及现金流量已经适当地包括在合并利润表和合并现金流量表中，且不调整合并财务报表的期初数和对比数。同一控制下企</w:t>
      </w:r>
      <w:r>
        <w:rPr>
          <w:spacing w:val="6"/>
        </w:rPr>
        <w:t> </w:t>
      </w:r>
      <w:r>
        <w:rPr>
          <w:spacing w:val="6"/>
        </w:rPr>
      </w:r>
      <w:r>
        <w:rPr>
          <w:spacing w:val="-4"/>
          <w:w w:val="101"/>
        </w:rPr>
        <w:t>业合并增加的子公司及吸收合并下的被合并方，其自合并当期期初至合并日的经营成果和现金流量已经适当地包括在合并利</w:t>
      </w:r>
      <w:r>
        <w:rPr>
          <w:w w:val="101"/>
        </w:rPr>
        <w:t> </w:t>
      </w:r>
      <w:r>
        <w:rPr>
          <w:spacing w:val="-3"/>
        </w:rPr>
        <w:t>润表和合并现金流量表中，并且同时调整合并财务报表的对比数。</w:t>
      </w:r>
    </w:p>
    <w:p>
      <w:pPr>
        <w:pStyle w:val="BodyText"/>
        <w:spacing w:line="316" w:lineRule="auto" w:before="17"/>
        <w:ind w:right="0" w:firstLine="480"/>
        <w:jc w:val="left"/>
      </w:pPr>
      <w:r>
        <w:rPr>
          <w:spacing w:val="-3"/>
        </w:rPr>
        <w:t>在编制合并财务报表时，子公司与本公司采用的会计政策或会计期间不一致的，按照本公司的会计政策和会计期间对</w:t>
      </w:r>
      <w:r>
        <w:rPr>
          <w:w w:val="101"/>
        </w:rPr>
        <w:t> </w:t>
      </w:r>
      <w:r>
        <w:rPr>
          <w:spacing w:val="-4"/>
        </w:rPr>
        <w:t>子公司财务报表进行必要的调整。对于非同一控制下企业合并取得的子公司，以购买日可辨认净资产公允价值为基础对其财</w:t>
      </w:r>
    </w:p>
    <w:p>
      <w:pPr>
        <w:spacing w:after="0" w:line="316" w:lineRule="auto"/>
        <w:jc w:val="left"/>
        <w:sectPr>
          <w:pgSz w:w="11910" w:h="16840"/>
          <w:pgMar w:header="784" w:footer="1022" w:top="1100" w:bottom="1220" w:left="980" w:right="0"/>
        </w:sectPr>
      </w:pPr>
    </w:p>
    <w:p>
      <w:pPr>
        <w:spacing w:line="240" w:lineRule="auto" w:before="10"/>
        <w:rPr>
          <w:rFonts w:ascii="宋体" w:hAnsi="宋体" w:cs="宋体" w:eastAsia="宋体" w:hint="default"/>
          <w:sz w:val="22"/>
          <w:szCs w:val="22"/>
        </w:rPr>
      </w:pPr>
    </w:p>
    <w:p>
      <w:pPr>
        <w:pStyle w:val="BodyText"/>
        <w:spacing w:line="240" w:lineRule="auto"/>
        <w:ind w:right="0"/>
        <w:jc w:val="left"/>
      </w:pPr>
      <w:r>
        <w:rPr/>
        <w:t>务报表进行调整。</w:t>
      </w:r>
    </w:p>
    <w:p>
      <w:pPr>
        <w:pStyle w:val="BodyText"/>
        <w:spacing w:line="316" w:lineRule="auto" w:before="76"/>
        <w:ind w:left="633" w:right="0"/>
        <w:jc w:val="left"/>
      </w:pPr>
      <w:r>
        <w:rPr>
          <w:spacing w:val="-3"/>
        </w:rPr>
        <w:t>公司内所有重大往来余额、交易及未实现利润在合并财务报表编制时予以抵销。</w:t>
      </w:r>
      <w:r>
        <w:rPr>
          <w:spacing w:val="13"/>
        </w:rPr>
        <w:t> </w:t>
      </w:r>
      <w:r>
        <w:rPr>
          <w:spacing w:val="13"/>
        </w:rPr>
      </w:r>
      <w:r>
        <w:rPr/>
        <w:t>子公司的股东权益及当期净损益中不属于本公司所拥有的部分分别作为少数股东权益及少数股东损益在合并财务报</w:t>
      </w:r>
    </w:p>
    <w:p>
      <w:pPr>
        <w:pStyle w:val="BodyText"/>
        <w:spacing w:line="316" w:lineRule="auto" w:before="19"/>
        <w:ind w:right="1124"/>
        <w:jc w:val="both"/>
      </w:pPr>
      <w:r>
        <w:rPr>
          <w:spacing w:val="-4"/>
        </w:rPr>
        <w:t>表中股东权益及净利润项下单独列示。子公司当期净损益中属于少数股东权益的份额，在合并利润表中净利润项目下以“少</w:t>
      </w:r>
      <w:r>
        <w:rPr>
          <w:spacing w:val="43"/>
        </w:rPr>
        <w:t> </w:t>
      </w:r>
      <w:r>
        <w:rPr>
          <w:spacing w:val="43"/>
        </w:rPr>
      </w:r>
      <w:r>
        <w:rPr>
          <w:spacing w:val="-4"/>
        </w:rPr>
        <w:t>数股东损益”项目列示。少数股东分担的子公司的亏损超过了少数股东在该子公司期初股东权益中所享有的份额，冲减少数</w:t>
      </w:r>
      <w:r>
        <w:rPr>
          <w:spacing w:val="43"/>
        </w:rPr>
        <w:t> </w:t>
      </w:r>
      <w:r>
        <w:rPr>
          <w:spacing w:val="43"/>
        </w:rPr>
      </w:r>
      <w:r>
        <w:rPr/>
        <w:t>股东权益。</w:t>
      </w:r>
    </w:p>
    <w:p>
      <w:pPr>
        <w:pStyle w:val="BodyText"/>
        <w:spacing w:line="319" w:lineRule="auto" w:before="19"/>
        <w:ind w:right="1122" w:firstLine="480"/>
        <w:jc w:val="both"/>
      </w:pPr>
      <w:r>
        <w:rPr>
          <w:spacing w:val="-3"/>
        </w:rPr>
        <w:t>当因处置部分股权投资或其他原因丧失了对原有子公司的控制权时，对于剩余股权，按照其在丧失控制权日的公允价</w:t>
      </w:r>
      <w:r>
        <w:rPr>
          <w:w w:val="101"/>
        </w:rPr>
        <w:t> </w:t>
      </w:r>
      <w:r>
        <w:rPr>
          <w:spacing w:val="-4"/>
        </w:rPr>
        <w:t>值进行重新计量。处置股权取得的对价与剩余股权公允价值之和，减去按原持股比例计算应享有原有子公司自购买日开始持</w:t>
      </w:r>
      <w:r>
        <w:rPr>
          <w:spacing w:val="43"/>
        </w:rPr>
        <w:t> </w:t>
      </w:r>
      <w:r>
        <w:rPr>
          <w:spacing w:val="43"/>
        </w:rPr>
      </w:r>
      <w:r>
        <w:rPr>
          <w:spacing w:val="-4"/>
        </w:rPr>
        <w:t>续计算的净资产的份额之间的差额，计入丧失控制权当期的投资收益。与原有子公司股权投资相关的其他综合收益，在丧失</w:t>
      </w:r>
      <w:r>
        <w:rPr>
          <w:spacing w:val="43"/>
        </w:rPr>
        <w:t> </w:t>
      </w:r>
      <w:r>
        <w:rPr>
          <w:spacing w:val="43"/>
        </w:rPr>
      </w:r>
      <w:r>
        <w:rPr>
          <w:spacing w:val="-5"/>
        </w:rPr>
        <w:t>控制权时采用与被购买方直接处置相关资产或负债相同的基础进行会计处理（即，除了在该原有子公司重新计量设定受益计</w:t>
      </w:r>
      <w:r>
        <w:rPr>
          <w:spacing w:val="6"/>
        </w:rPr>
        <w:t> </w:t>
      </w:r>
      <w:r>
        <w:rPr>
          <w:spacing w:val="6"/>
        </w:rPr>
      </w:r>
      <w:r>
        <w:rPr>
          <w:spacing w:val="-3"/>
        </w:rPr>
        <w:t>划净负债或净资产导致的变动以外，其余一并转为当期投资收益）。其后，对该部分剩余股权按照《企业会计准则第</w:t>
      </w:r>
      <w:r>
        <w:rPr>
          <w:rFonts w:ascii="宋体" w:hAnsi="宋体" w:cs="宋体" w:eastAsia="宋体" w:hint="default"/>
          <w:spacing w:val="-3"/>
        </w:rPr>
        <w:t>2</w:t>
      </w:r>
      <w:r>
        <w:rPr>
          <w:spacing w:val="-3"/>
        </w:rPr>
        <w:t>号—</w:t>
      </w:r>
    </w:p>
    <w:p>
      <w:pPr>
        <w:pStyle w:val="BodyText"/>
        <w:spacing w:line="316" w:lineRule="auto" w:before="17"/>
        <w:ind w:right="0"/>
        <w:jc w:val="left"/>
      </w:pPr>
      <w:r>
        <w:rPr>
          <w:spacing w:val="-4"/>
        </w:rPr>
        <w:t>—长期股权投资》或《企业会计准则第</w:t>
      </w:r>
      <w:r>
        <w:rPr>
          <w:rFonts w:ascii="宋体" w:hAnsi="宋体" w:cs="宋体" w:eastAsia="宋体" w:hint="default"/>
          <w:spacing w:val="-4"/>
        </w:rPr>
        <w:t>22</w:t>
      </w:r>
      <w:r>
        <w:rPr>
          <w:spacing w:val="-4"/>
        </w:rPr>
        <w:t>号——金融工具确认和计量》等相关规定进行后续计量，详见本附注四、</w:t>
      </w:r>
      <w:r>
        <w:rPr>
          <w:rFonts w:ascii="宋体" w:hAnsi="宋体" w:cs="宋体" w:eastAsia="宋体" w:hint="default"/>
          <w:spacing w:val="-4"/>
        </w:rPr>
        <w:t>14</w:t>
      </w:r>
      <w:r>
        <w:rPr>
          <w:spacing w:val="-4"/>
        </w:rPr>
        <w:t>“长期</w:t>
      </w:r>
      <w:r>
        <w:rPr>
          <w:spacing w:val="49"/>
        </w:rPr>
        <w:t> </w:t>
      </w:r>
      <w:r>
        <w:rPr>
          <w:spacing w:val="49"/>
        </w:rPr>
      </w:r>
      <w:r>
        <w:rPr>
          <w:spacing w:val="-3"/>
        </w:rPr>
        <w:t>股权投资”或本附注四、</w:t>
      </w:r>
      <w:r>
        <w:rPr>
          <w:rFonts w:ascii="宋体" w:hAnsi="宋体" w:cs="宋体" w:eastAsia="宋体" w:hint="default"/>
          <w:spacing w:val="-3"/>
        </w:rPr>
        <w:t>9</w:t>
      </w:r>
      <w:r>
        <w:rPr>
          <w:spacing w:val="-3"/>
        </w:rPr>
        <w:t>“金融工具”。</w:t>
      </w:r>
    </w:p>
    <w:p>
      <w:pPr>
        <w:spacing w:line="610" w:lineRule="exact" w:before="44"/>
        <w:ind w:left="633" w:right="0" w:hanging="480"/>
        <w:jc w:val="left"/>
        <w:rPr>
          <w:rFonts w:ascii="宋体" w:hAnsi="宋体" w:cs="宋体" w:eastAsia="宋体" w:hint="default"/>
          <w:sz w:val="18"/>
          <w:szCs w:val="18"/>
        </w:rPr>
      </w:pPr>
      <w:bookmarkStart w:name="7、合营安排分类及共同经营会计处理方法" w:id="181"/>
      <w:bookmarkEnd w:id="181"/>
      <w:r>
        <w:rPr/>
      </w:r>
      <w:r>
        <w:rPr>
          <w:rFonts w:ascii="宋体" w:hAnsi="宋体" w:cs="宋体" w:eastAsia="宋体" w:hint="default"/>
          <w:b/>
          <w:bCs/>
          <w:sz w:val="18"/>
          <w:szCs w:val="18"/>
        </w:rPr>
        <w:t>7</w:t>
      </w:r>
      <w:r>
        <w:rPr>
          <w:rFonts w:ascii="宋体" w:hAnsi="宋体" w:cs="宋体" w:eastAsia="宋体" w:hint="default"/>
          <w:b/>
          <w:bCs/>
          <w:sz w:val="18"/>
          <w:szCs w:val="18"/>
        </w:rPr>
        <w:t>、合营安排分类及共同经营会计处理方法</w:t>
      </w:r>
      <w:r>
        <w:rPr>
          <w:rFonts w:ascii="宋体" w:hAnsi="宋体" w:cs="宋体" w:eastAsia="宋体" w:hint="default"/>
          <w:b/>
          <w:bCs/>
          <w:w w:val="100"/>
          <w:sz w:val="18"/>
          <w:szCs w:val="18"/>
        </w:rPr>
        <w:t> </w:t>
      </w:r>
      <w:r>
        <w:rPr>
          <w:rFonts w:ascii="宋体" w:hAnsi="宋体" w:cs="宋体" w:eastAsia="宋体" w:hint="default"/>
          <w:spacing w:val="-5"/>
          <w:sz w:val="18"/>
          <w:szCs w:val="18"/>
        </w:rPr>
        <w:t>合营安排，是指一项由两个或两个以上的参与方共同控制的安排。本公司根据在合营安排中享有的权利和承担的义务，</w:t>
      </w:r>
    </w:p>
    <w:p>
      <w:pPr>
        <w:pStyle w:val="BodyText"/>
        <w:spacing w:line="215" w:lineRule="exact" w:before="0"/>
        <w:ind w:right="0"/>
        <w:jc w:val="left"/>
      </w:pPr>
      <w:r>
        <w:rPr>
          <w:spacing w:val="-4"/>
        </w:rPr>
        <w:t>将合营安排分为共同经营和合营企业。共同经营，是指本公司享有该安排相关资产且承担该安排相关负债的合营安排。合营</w:t>
      </w:r>
    </w:p>
    <w:p>
      <w:pPr>
        <w:pStyle w:val="BodyText"/>
        <w:spacing w:line="316" w:lineRule="auto" w:before="76"/>
        <w:ind w:left="633" w:right="0" w:hanging="480"/>
        <w:jc w:val="left"/>
      </w:pPr>
      <w:r>
        <w:rPr>
          <w:spacing w:val="-3"/>
        </w:rPr>
        <w:t>企业，是指本公司仅对该安排的净资产享有权利的合营安排。</w:t>
      </w:r>
      <w:r>
        <w:rPr>
          <w:spacing w:val="-10"/>
        </w:rPr>
        <w:t> </w:t>
      </w:r>
      <w:r>
        <w:rPr>
          <w:spacing w:val="-10"/>
        </w:rPr>
      </w:r>
      <w:r>
        <w:rPr>
          <w:spacing w:val="-1"/>
        </w:rPr>
        <w:t>本公司对合营企业的投资采用权益法核算，按照本附注四、</w:t>
      </w:r>
      <w:r>
        <w:rPr>
          <w:rFonts w:ascii="宋体" w:hAnsi="宋体" w:cs="宋体" w:eastAsia="宋体" w:hint="default"/>
          <w:spacing w:val="-1"/>
        </w:rPr>
        <w:t>14</w:t>
      </w:r>
      <w:r>
        <w:rPr>
          <w:spacing w:val="-1"/>
        </w:rPr>
        <w:t>（</w:t>
      </w:r>
      <w:r>
        <w:rPr>
          <w:rFonts w:ascii="宋体" w:hAnsi="宋体" w:cs="宋体" w:eastAsia="宋体" w:hint="default"/>
          <w:spacing w:val="-1"/>
        </w:rPr>
        <w:t>2</w:t>
      </w:r>
      <w:r>
        <w:rPr>
          <w:spacing w:val="-1"/>
        </w:rPr>
        <w:t>）②“权益法核算的长期股权投资”中所述的会计</w:t>
      </w:r>
    </w:p>
    <w:p>
      <w:pPr>
        <w:pStyle w:val="BodyText"/>
        <w:spacing w:line="240" w:lineRule="auto" w:before="19"/>
        <w:ind w:right="0"/>
        <w:jc w:val="left"/>
      </w:pPr>
      <w:r>
        <w:rPr/>
        <w:t>政策处理。</w:t>
      </w:r>
    </w:p>
    <w:p>
      <w:pPr>
        <w:pStyle w:val="BodyText"/>
        <w:spacing w:line="316" w:lineRule="auto" w:before="76"/>
        <w:ind w:right="1124" w:firstLine="480"/>
        <w:jc w:val="both"/>
      </w:pPr>
      <w:r>
        <w:rPr>
          <w:spacing w:val="-3"/>
        </w:rPr>
        <w:t>本公司作为合营方对共同经营，确认本公司单独持有的资产、单独所承担的负债，以及按本公司份额确认共同持有的</w:t>
      </w:r>
      <w:r>
        <w:rPr>
          <w:w w:val="101"/>
        </w:rPr>
        <w:t> </w:t>
      </w:r>
      <w:r>
        <w:rPr>
          <w:spacing w:val="-4"/>
        </w:rPr>
        <w:t>资产和共同承担的负债；确认出售本公司享有的共同经营产出份额所产生的收入；按本公司份额确认共同经营因出售产出所</w:t>
      </w:r>
      <w:r>
        <w:rPr>
          <w:spacing w:val="44"/>
        </w:rPr>
        <w:t> </w:t>
      </w:r>
      <w:r>
        <w:rPr>
          <w:spacing w:val="44"/>
        </w:rPr>
      </w:r>
      <w:r>
        <w:rPr>
          <w:spacing w:val="-3"/>
        </w:rPr>
        <w:t>产生的收入；确认本公司单独所发生的费用，以及按本公司份额确认共同经营发生的费用。</w:t>
      </w:r>
    </w:p>
    <w:p>
      <w:pPr>
        <w:pStyle w:val="BodyText"/>
        <w:spacing w:line="319" w:lineRule="auto" w:before="19"/>
        <w:ind w:right="1124" w:firstLine="480"/>
        <w:jc w:val="both"/>
      </w:pPr>
      <w:r>
        <w:rPr>
          <w:spacing w:val="-3"/>
        </w:rPr>
        <w:t>当本公司作为合营方向共同经营投出或出售资产（该资产不构成业务，下同）、或者自共同经营购买资产时，在该等</w:t>
      </w:r>
      <w:r>
        <w:rPr>
          <w:w w:val="101"/>
        </w:rPr>
        <w:t> </w:t>
      </w:r>
      <w:r>
        <w:rPr>
          <w:spacing w:val="-4"/>
        </w:rPr>
        <w:t>资产出售给第三方之前，本公司仅确认因该交易产生的损益中归属于共同经营其他参与方的部分。该等资产发生符合《企业</w:t>
      </w:r>
      <w:r>
        <w:rPr>
          <w:spacing w:val="43"/>
        </w:rPr>
        <w:t> </w:t>
      </w:r>
      <w:r>
        <w:rPr>
          <w:spacing w:val="43"/>
        </w:rPr>
      </w:r>
      <w:r>
        <w:rPr>
          <w:spacing w:val="-3"/>
        </w:rPr>
        <w:t>会计准则第</w:t>
      </w:r>
      <w:r>
        <w:rPr>
          <w:rFonts w:ascii="宋体" w:hAnsi="宋体" w:cs="宋体" w:eastAsia="宋体" w:hint="default"/>
          <w:spacing w:val="-3"/>
        </w:rPr>
        <w:t>8</w:t>
      </w:r>
      <w:r>
        <w:rPr>
          <w:spacing w:val="-3"/>
        </w:rPr>
        <w:t>号——资产减值》等规定的资产减值损失的，对于由本公司向共同经营投出或出售资产的情况，本公司全额确</w:t>
      </w:r>
      <w:r>
        <w:rPr>
          <w:spacing w:val="75"/>
        </w:rPr>
        <w:t> </w:t>
      </w:r>
      <w:r>
        <w:rPr>
          <w:spacing w:val="75"/>
        </w:rPr>
      </w:r>
      <w:r>
        <w:rPr>
          <w:spacing w:val="-3"/>
        </w:rPr>
        <w:t>认该损失；对于本公司自共同经营购买资产的情况，本公司按承担的份额确认该损失。</w:t>
      </w:r>
    </w:p>
    <w:p>
      <w:pPr>
        <w:spacing w:line="616" w:lineRule="exact" w:before="37"/>
        <w:ind w:left="513" w:right="0" w:hanging="360"/>
        <w:jc w:val="left"/>
        <w:rPr>
          <w:rFonts w:ascii="宋体" w:hAnsi="宋体" w:cs="宋体" w:eastAsia="宋体" w:hint="default"/>
          <w:sz w:val="18"/>
          <w:szCs w:val="18"/>
        </w:rPr>
      </w:pPr>
      <w:bookmarkStart w:name="8、现金及现金等价物的确定标准" w:id="182"/>
      <w:bookmarkEnd w:id="182"/>
      <w:r>
        <w:rPr/>
      </w:r>
      <w:r>
        <w:rPr>
          <w:rFonts w:ascii="宋体" w:hAnsi="宋体" w:cs="宋体" w:eastAsia="宋体" w:hint="default"/>
          <w:b/>
          <w:bCs/>
          <w:sz w:val="18"/>
          <w:szCs w:val="18"/>
        </w:rPr>
        <w:t>8</w:t>
      </w:r>
      <w:r>
        <w:rPr>
          <w:rFonts w:ascii="宋体" w:hAnsi="宋体" w:cs="宋体" w:eastAsia="宋体" w:hint="default"/>
          <w:b/>
          <w:bCs/>
          <w:sz w:val="18"/>
          <w:szCs w:val="18"/>
        </w:rPr>
        <w:t>、现金及现金等价物的确定标准</w:t>
      </w:r>
      <w:r>
        <w:rPr>
          <w:rFonts w:ascii="宋体" w:hAnsi="宋体" w:cs="宋体" w:eastAsia="宋体" w:hint="default"/>
          <w:b/>
          <w:bCs/>
          <w:spacing w:val="-87"/>
          <w:sz w:val="18"/>
          <w:szCs w:val="18"/>
        </w:rPr>
        <w:t> </w:t>
      </w:r>
      <w:r>
        <w:rPr>
          <w:rFonts w:ascii="宋体" w:hAnsi="宋体" w:cs="宋体" w:eastAsia="宋体" w:hint="default"/>
          <w:b/>
          <w:bCs/>
          <w:spacing w:val="-87"/>
          <w:sz w:val="18"/>
          <w:szCs w:val="18"/>
        </w:rPr>
      </w:r>
      <w:r>
        <w:rPr>
          <w:rFonts w:ascii="宋体" w:hAnsi="宋体" w:cs="宋体" w:eastAsia="宋体" w:hint="default"/>
          <w:spacing w:val="-4"/>
          <w:sz w:val="18"/>
          <w:szCs w:val="18"/>
        </w:rPr>
        <w:t>本公司现金及现金等价物包括库存现金、可以随时用于支付的存款以及本公司持有的期限短（一般为从购买日起，三个</w:t>
      </w:r>
    </w:p>
    <w:p>
      <w:pPr>
        <w:pStyle w:val="BodyText"/>
        <w:spacing w:line="214" w:lineRule="exact" w:before="0"/>
        <w:ind w:right="0"/>
        <w:jc w:val="left"/>
      </w:pPr>
      <w:r>
        <w:rPr>
          <w:spacing w:val="-3"/>
        </w:rPr>
        <w:t>月内到期）、流动性强、易于转换为已知金额的现金、价值变动风险很小的投资。</w:t>
      </w:r>
    </w:p>
    <w:p>
      <w:pPr>
        <w:spacing w:line="240" w:lineRule="auto" w:before="0"/>
        <w:rPr>
          <w:rFonts w:ascii="宋体" w:hAnsi="宋体" w:cs="宋体" w:eastAsia="宋体" w:hint="default"/>
          <w:sz w:val="18"/>
          <w:szCs w:val="18"/>
        </w:rPr>
      </w:pPr>
    </w:p>
    <w:p>
      <w:pPr>
        <w:pStyle w:val="Heading6"/>
        <w:spacing w:line="240" w:lineRule="auto" w:before="143"/>
        <w:ind w:right="0"/>
        <w:jc w:val="left"/>
        <w:rPr>
          <w:b w:val="0"/>
          <w:bCs w:val="0"/>
        </w:rPr>
      </w:pPr>
      <w:bookmarkStart w:name="9、外币业务和外币报表折算" w:id="183"/>
      <w:bookmarkEnd w:id="183"/>
      <w:r>
        <w:rPr>
          <w:b w:val="0"/>
          <w:bCs w:val="0"/>
        </w:rPr>
      </w:r>
      <w:r>
        <w:rPr>
          <w:rFonts w:ascii="宋体" w:hAnsi="宋体" w:cs="宋体" w:eastAsia="宋体" w:hint="default"/>
        </w:rPr>
        <w:t>9</w:t>
      </w:r>
      <w:r>
        <w:rPr/>
        <w:t>、外币业务和外币报表折算</w:t>
      </w:r>
      <w:r>
        <w:rPr>
          <w:b w:val="0"/>
          <w:bCs w:val="0"/>
        </w:rPr>
      </w:r>
    </w:p>
    <w:p>
      <w:pPr>
        <w:spacing w:line="240" w:lineRule="auto" w:before="0"/>
        <w:rPr>
          <w:rFonts w:ascii="宋体" w:hAnsi="宋体" w:cs="宋体" w:eastAsia="宋体" w:hint="default"/>
          <w:b/>
          <w:bCs/>
          <w:sz w:val="18"/>
          <w:szCs w:val="18"/>
        </w:rPr>
      </w:pPr>
    </w:p>
    <w:p>
      <w:pPr>
        <w:pStyle w:val="BodyText"/>
        <w:spacing w:line="316" w:lineRule="auto" w:before="139"/>
        <w:ind w:left="633" w:right="0"/>
        <w:jc w:val="left"/>
      </w:pPr>
      <w:r>
        <w:rPr>
          <w:spacing w:val="-3"/>
        </w:rPr>
        <w:t>（</w:t>
      </w:r>
      <w:r>
        <w:rPr>
          <w:rFonts w:ascii="宋体" w:hAnsi="宋体" w:cs="宋体" w:eastAsia="宋体" w:hint="default"/>
          <w:spacing w:val="-3"/>
        </w:rPr>
        <w:t>1</w:t>
      </w:r>
      <w:r>
        <w:rPr>
          <w:spacing w:val="-3"/>
        </w:rPr>
        <w:t>）外币交易的折算方法</w:t>
      </w:r>
      <w:r>
        <w:rPr>
          <w:spacing w:val="-52"/>
        </w:rPr>
        <w:t> </w:t>
      </w:r>
      <w:r>
        <w:rPr>
          <w:spacing w:val="-52"/>
        </w:rPr>
      </w:r>
      <w:r>
        <w:rPr>
          <w:spacing w:val="-3"/>
        </w:rPr>
        <w:t>本公司发生的外币交易在初始确认时，按交易日的即期汇率近似汇率（通常指交易发生日当月月初的汇率）折算为记</w:t>
      </w:r>
    </w:p>
    <w:p>
      <w:pPr>
        <w:pStyle w:val="BodyText"/>
        <w:spacing w:line="240" w:lineRule="auto" w:before="19"/>
        <w:ind w:right="0"/>
        <w:jc w:val="left"/>
      </w:pPr>
      <w:r>
        <w:rPr>
          <w:spacing w:val="-3"/>
        </w:rPr>
        <w:t>账本位币金额，但公司发生的外币兑换业务或涉及外币兑换的交易事项，按照实际采用的汇率折算为记账本位币金额。</w:t>
      </w:r>
    </w:p>
    <w:p>
      <w:pPr>
        <w:pStyle w:val="BodyText"/>
        <w:spacing w:line="316" w:lineRule="auto" w:before="76"/>
        <w:ind w:left="633" w:right="0"/>
        <w:jc w:val="left"/>
      </w:pPr>
      <w:r>
        <w:rPr>
          <w:spacing w:val="-3"/>
        </w:rPr>
        <w:t>（</w:t>
      </w:r>
      <w:r>
        <w:rPr>
          <w:rFonts w:ascii="宋体" w:hAnsi="宋体" w:cs="宋体" w:eastAsia="宋体" w:hint="default"/>
          <w:spacing w:val="-3"/>
        </w:rPr>
        <w:t>2</w:t>
      </w:r>
      <w:r>
        <w:rPr>
          <w:spacing w:val="-3"/>
        </w:rPr>
        <w:t>）对于外币货币性项目和外币非货币性项目的折算方法</w:t>
      </w:r>
      <w:r>
        <w:rPr>
          <w:spacing w:val="-11"/>
        </w:rPr>
        <w:t> </w:t>
      </w:r>
      <w:r>
        <w:rPr>
          <w:spacing w:val="-11"/>
        </w:rPr>
      </w:r>
      <w:r>
        <w:rPr>
          <w:spacing w:val="-3"/>
        </w:rPr>
        <w:t>资产负债表日，对于外币货币性项目采用资产负债表日即期汇率折算，由此产生的汇兑差额，除：①属于与购建符合</w:t>
      </w:r>
    </w:p>
    <w:p>
      <w:pPr>
        <w:pStyle w:val="BodyText"/>
        <w:spacing w:line="316" w:lineRule="auto" w:before="19"/>
        <w:ind w:right="1117"/>
        <w:jc w:val="left"/>
      </w:pPr>
      <w:r>
        <w:rPr>
          <w:spacing w:val="-4"/>
          <w:w w:val="101"/>
        </w:rPr>
        <w:t>资本化条件的资产相关的外币专门借款产生的汇兑差额按照借款费用资本化的原则处理；②可供出售的外币货币性项目除摊</w:t>
      </w:r>
      <w:r>
        <w:rPr>
          <w:w w:val="101"/>
        </w:rPr>
        <w:t> </w:t>
      </w:r>
      <w:r>
        <w:rPr>
          <w:spacing w:val="-3"/>
        </w:rPr>
        <w:t>余成本之外的其他账面余额变动产生的汇兑差额计入其他综合收益之外，均计入当期损益。</w:t>
      </w:r>
    </w:p>
    <w:p>
      <w:pPr>
        <w:pStyle w:val="BodyText"/>
        <w:spacing w:line="316" w:lineRule="auto" w:before="18"/>
        <w:ind w:right="1122" w:firstLine="480"/>
        <w:jc w:val="both"/>
      </w:pPr>
      <w:r>
        <w:rPr>
          <w:spacing w:val="-3"/>
        </w:rPr>
        <w:t>以历史成本计量的外币非货币性项目，仍采用交易发生日的即期汇率折算的记账本位币金额计量。以公允价值计量的</w:t>
      </w:r>
      <w:r>
        <w:rPr>
          <w:w w:val="101"/>
        </w:rPr>
        <w:t> </w:t>
      </w:r>
      <w:r>
        <w:rPr>
          <w:spacing w:val="-4"/>
        </w:rPr>
        <w:t>外币非货币性项目，采用公允价值确定日的即期汇率折算，折算后的记账本位币金额与原记账本位币金额的差额，作为公允</w:t>
      </w:r>
    </w:p>
    <w:p>
      <w:pPr>
        <w:spacing w:after="0" w:line="316" w:lineRule="auto"/>
        <w:jc w:val="both"/>
        <w:sectPr>
          <w:pgSz w:w="11910" w:h="16840"/>
          <w:pgMar w:header="784" w:footer="1022" w:top="1100" w:bottom="1220" w:left="980" w:right="0"/>
        </w:sectPr>
      </w:pPr>
    </w:p>
    <w:p>
      <w:pPr>
        <w:spacing w:line="240" w:lineRule="auto" w:before="10"/>
        <w:rPr>
          <w:rFonts w:ascii="宋体" w:hAnsi="宋体" w:cs="宋体" w:eastAsia="宋体" w:hint="default"/>
          <w:sz w:val="22"/>
          <w:szCs w:val="22"/>
        </w:rPr>
      </w:pPr>
    </w:p>
    <w:p>
      <w:pPr>
        <w:pStyle w:val="BodyText"/>
        <w:spacing w:line="240" w:lineRule="auto"/>
        <w:ind w:right="0"/>
        <w:jc w:val="both"/>
      </w:pPr>
      <w:r>
        <w:rPr>
          <w:spacing w:val="-3"/>
        </w:rPr>
        <w:t>价值变动（含汇率变动）处理，计入当期损益或确认为其他综合收益并计入资本公积。</w:t>
      </w:r>
    </w:p>
    <w:p>
      <w:pPr>
        <w:pStyle w:val="BodyText"/>
        <w:spacing w:line="316" w:lineRule="auto" w:before="76"/>
        <w:ind w:left="633" w:right="0"/>
        <w:jc w:val="left"/>
      </w:pPr>
      <w:r>
        <w:rPr>
          <w:spacing w:val="-3"/>
        </w:rPr>
        <w:t>（</w:t>
      </w:r>
      <w:r>
        <w:rPr>
          <w:rFonts w:ascii="宋体" w:hAnsi="宋体" w:cs="宋体" w:eastAsia="宋体" w:hint="default"/>
          <w:spacing w:val="-3"/>
        </w:rPr>
        <w:t>3</w:t>
      </w:r>
      <w:r>
        <w:rPr>
          <w:spacing w:val="-3"/>
        </w:rPr>
        <w:t>）外币财务报表的折算方法</w:t>
      </w:r>
      <w:r>
        <w:rPr>
          <w:spacing w:val="-46"/>
        </w:rPr>
        <w:t> </w:t>
      </w:r>
      <w:r>
        <w:rPr>
          <w:spacing w:val="-46"/>
        </w:rPr>
      </w:r>
      <w:r>
        <w:rPr>
          <w:spacing w:val="-3"/>
        </w:rPr>
        <w:t>境外经营的外币财务报表按以下方法折算为人民币报表：资产负债表中的资产和负债项目，采用资产负债表日的即期</w:t>
      </w:r>
    </w:p>
    <w:p>
      <w:pPr>
        <w:pStyle w:val="BodyText"/>
        <w:spacing w:line="316" w:lineRule="auto" w:before="19"/>
        <w:ind w:right="1122"/>
        <w:jc w:val="both"/>
      </w:pPr>
      <w:r>
        <w:rPr>
          <w:spacing w:val="-4"/>
        </w:rPr>
        <w:t>汇率折算；股东权益类项目除“未分配利润”项目外，其他项目采用发生时的即期近似汇率折算。利润表中的收入和费用项</w:t>
      </w:r>
      <w:r>
        <w:rPr>
          <w:spacing w:val="40"/>
        </w:rPr>
        <w:t> </w:t>
      </w:r>
      <w:r>
        <w:rPr>
          <w:spacing w:val="40"/>
        </w:rPr>
      </w:r>
      <w:r>
        <w:rPr>
          <w:spacing w:val="-4"/>
        </w:rPr>
        <w:t>目，采用交易发生日的即期近似汇率折算。年初未分配利润为上一年折算后的年末未分配利润；年末未分配利润按折算后的</w:t>
      </w:r>
      <w:r>
        <w:rPr>
          <w:spacing w:val="44"/>
        </w:rPr>
        <w:t> </w:t>
      </w:r>
      <w:r>
        <w:rPr>
          <w:spacing w:val="44"/>
        </w:rPr>
      </w:r>
      <w:r>
        <w:rPr>
          <w:spacing w:val="-4"/>
        </w:rPr>
        <w:t>利润分配各项目计算列示；折算后资产类项目与负债类项目和股东权益类项目合计数的差额，作为外币报表折算差额，确认</w:t>
      </w:r>
      <w:r>
        <w:rPr>
          <w:spacing w:val="43"/>
        </w:rPr>
        <w:t> </w:t>
      </w:r>
      <w:r>
        <w:rPr>
          <w:spacing w:val="43"/>
        </w:rPr>
      </w:r>
      <w:r>
        <w:rPr>
          <w:spacing w:val="-4"/>
        </w:rPr>
        <w:t>为其他综合收益并在资产负债表中股东权益项目下单独列示。处置境外经营并丧失控制权时，将资产负债表中股东权益项目</w:t>
      </w:r>
      <w:r>
        <w:rPr>
          <w:spacing w:val="43"/>
        </w:rPr>
        <w:t> </w:t>
      </w:r>
      <w:r>
        <w:rPr>
          <w:spacing w:val="43"/>
        </w:rPr>
      </w:r>
      <w:r>
        <w:rPr>
          <w:spacing w:val="-3"/>
        </w:rPr>
        <w:t>下列示的、与该境外经营相关的外币报表折算差额，全部或按处置该境外经营的比例转入处置当期损益。</w:t>
      </w:r>
    </w:p>
    <w:p>
      <w:pPr>
        <w:pStyle w:val="BodyText"/>
        <w:spacing w:line="319" w:lineRule="auto" w:before="19"/>
        <w:ind w:right="1120" w:firstLine="480"/>
        <w:jc w:val="left"/>
      </w:pPr>
      <w:r>
        <w:rPr>
          <w:spacing w:val="-3"/>
        </w:rPr>
        <w:t>外币现金流量，采用现金流量发生日的即期近似汇率折算。汇率变动对现金的影响额作为调节项目，在现金流量表中</w:t>
      </w:r>
      <w:r>
        <w:rPr>
          <w:w w:val="101"/>
        </w:rPr>
        <w:t> </w:t>
      </w:r>
      <w:r>
        <w:rPr/>
        <w:t>单独列报。</w:t>
      </w:r>
    </w:p>
    <w:p>
      <w:pPr>
        <w:pStyle w:val="BodyText"/>
        <w:spacing w:line="316" w:lineRule="auto" w:before="17"/>
        <w:ind w:left="513" w:right="0" w:firstLine="120"/>
        <w:jc w:val="left"/>
      </w:pPr>
      <w:r>
        <w:rPr>
          <w:spacing w:val="-3"/>
        </w:rPr>
        <w:t>年初余额和上年实际数按照上年财务报表折算后的数额列示。</w:t>
      </w:r>
      <w:r>
        <w:rPr>
          <w:w w:val="101"/>
        </w:rPr>
        <w:t> </w:t>
      </w:r>
      <w:r>
        <w:rPr>
          <w:spacing w:val="-5"/>
        </w:rPr>
        <w:t>如有实质上构成对境外经营净投资的外币货币性项目，在合并财务报表中，其因汇率变动而产生的汇兑差额，作为“外</w:t>
      </w:r>
    </w:p>
    <w:p>
      <w:pPr>
        <w:pStyle w:val="BodyText"/>
        <w:spacing w:line="626" w:lineRule="auto" w:before="19"/>
        <w:ind w:right="3511"/>
        <w:jc w:val="left"/>
        <w:rPr>
          <w:rFonts w:ascii="宋体" w:hAnsi="宋体" w:cs="宋体" w:eastAsia="宋体" w:hint="default"/>
        </w:rPr>
      </w:pPr>
      <w:r>
        <w:rPr>
          <w:spacing w:val="-3"/>
        </w:rPr>
        <w:t>币报表折算差额”确认为其他综合收益；处置境外经营时，计入处置当期损益。</w:t>
      </w:r>
      <w:r>
        <w:rPr>
          <w:spacing w:val="13"/>
        </w:rPr>
        <w:t> </w:t>
      </w:r>
      <w:r>
        <w:rPr>
          <w:spacing w:val="13"/>
        </w:rPr>
      </w:r>
      <w:bookmarkStart w:name="10、金融工具" w:id="184"/>
      <w:bookmarkEnd w:id="184"/>
      <w:r>
        <w:rPr>
          <w:spacing w:val="13"/>
        </w:rPr>
      </w:r>
      <w:r>
        <w:rPr>
          <w:rFonts w:ascii="宋体" w:hAnsi="宋体" w:cs="宋体" w:eastAsia="宋体" w:hint="default"/>
          <w:b/>
          <w:bCs/>
        </w:rPr>
        <w:t>10</w:t>
      </w:r>
      <w:r>
        <w:rPr>
          <w:rFonts w:ascii="宋体" w:hAnsi="宋体" w:cs="宋体" w:eastAsia="宋体" w:hint="default"/>
          <w:b/>
          <w:bCs/>
        </w:rPr>
        <w:t>、金融工具</w:t>
      </w:r>
      <w:r>
        <w:rPr>
          <w:rFonts w:ascii="宋体" w:hAnsi="宋体" w:cs="宋体" w:eastAsia="宋体" w:hint="default"/>
        </w:rPr>
      </w:r>
    </w:p>
    <w:p>
      <w:pPr>
        <w:pStyle w:val="BodyText"/>
        <w:spacing w:line="240" w:lineRule="auto" w:before="84"/>
        <w:ind w:left="633" w:right="0"/>
        <w:jc w:val="left"/>
      </w:pPr>
      <w:r>
        <w:rPr>
          <w:spacing w:val="-3"/>
        </w:rPr>
        <w:t>在本公司成为金融工具合同的一方时确认一项金融资产或金融负债。</w:t>
      </w:r>
    </w:p>
    <w:p>
      <w:pPr>
        <w:pStyle w:val="BodyText"/>
        <w:spacing w:line="316" w:lineRule="auto" w:before="76"/>
        <w:ind w:left="633" w:right="0"/>
        <w:jc w:val="left"/>
      </w:pPr>
      <w:r>
        <w:rPr>
          <w:spacing w:val="-3"/>
        </w:rPr>
        <w:t>（</w:t>
      </w:r>
      <w:r>
        <w:rPr>
          <w:rFonts w:ascii="宋体" w:hAnsi="宋体" w:cs="宋体" w:eastAsia="宋体" w:hint="default"/>
          <w:spacing w:val="-3"/>
        </w:rPr>
        <w:t>1</w:t>
      </w:r>
      <w:r>
        <w:rPr>
          <w:spacing w:val="-3"/>
        </w:rPr>
        <w:t>）金融资产的分类、确认和计量</w:t>
      </w:r>
      <w:r>
        <w:rPr>
          <w:spacing w:val="-40"/>
        </w:rPr>
        <w:t> </w:t>
      </w:r>
      <w:r>
        <w:rPr>
          <w:spacing w:val="-40"/>
        </w:rPr>
      </w:r>
      <w:r>
        <w:rPr>
          <w:spacing w:val="-3"/>
        </w:rPr>
        <w:t>本公司根据管理金融资产的业务模式和金融资产的合同现金流量特征，将金融资产划分为：以摊余成本计量的金融资</w:t>
      </w:r>
    </w:p>
    <w:p>
      <w:pPr>
        <w:pStyle w:val="BodyText"/>
        <w:spacing w:line="319" w:lineRule="auto" w:before="19"/>
        <w:ind w:left="633" w:right="0" w:hanging="480"/>
        <w:jc w:val="left"/>
      </w:pPr>
      <w:r>
        <w:rPr>
          <w:spacing w:val="-3"/>
        </w:rPr>
        <w:t>产；以公允价值计量且其变动计入其他综合收益的金融资产；以公允价值计量且其变动计入当期损益的金融资产。</w:t>
      </w:r>
      <w:r>
        <w:rPr>
          <w:spacing w:val="54"/>
        </w:rPr>
        <w:t> </w:t>
      </w:r>
      <w:r>
        <w:rPr>
          <w:spacing w:val="54"/>
        </w:rPr>
      </w:r>
      <w:r>
        <w:rPr>
          <w:spacing w:val="-3"/>
        </w:rPr>
        <w:t>金融资产在初始确认时以公允价值计量。对于以公允价值计量且其变动计入当期损益的金融资产，相关交易费用直接</w:t>
      </w:r>
    </w:p>
    <w:p>
      <w:pPr>
        <w:pStyle w:val="BodyText"/>
        <w:spacing w:line="316" w:lineRule="auto" w:before="17"/>
        <w:ind w:right="1123"/>
        <w:jc w:val="both"/>
      </w:pPr>
      <w:r>
        <w:rPr>
          <w:spacing w:val="-4"/>
        </w:rPr>
        <w:t>计入当期损益；对于其他类别的金融资产，相关交易费用计入初始确认金额。因销售产品或提供劳务而产生的、未包含或不</w:t>
      </w:r>
      <w:r>
        <w:rPr>
          <w:spacing w:val="40"/>
        </w:rPr>
        <w:t> </w:t>
      </w:r>
      <w:r>
        <w:rPr>
          <w:spacing w:val="40"/>
        </w:rPr>
      </w:r>
      <w:r>
        <w:rPr>
          <w:spacing w:val="-3"/>
        </w:rPr>
        <w:t>考虑重大融资成分的应收账款或应收票据，本公司按照预期有权收取的对价金额作为初始确认金额。</w:t>
      </w:r>
    </w:p>
    <w:p>
      <w:pPr>
        <w:pStyle w:val="BodyText"/>
        <w:spacing w:line="316" w:lineRule="auto" w:before="19"/>
        <w:ind w:left="633" w:right="0"/>
        <w:jc w:val="left"/>
      </w:pPr>
      <w:r>
        <w:rPr>
          <w:spacing w:val="-3"/>
        </w:rPr>
        <w:t>①以摊余成本计量的金融资产</w:t>
      </w:r>
      <w:r>
        <w:rPr>
          <w:spacing w:val="-50"/>
        </w:rPr>
        <w:t> </w:t>
      </w:r>
      <w:r>
        <w:rPr>
          <w:spacing w:val="-50"/>
        </w:rPr>
      </w:r>
      <w:r>
        <w:rPr>
          <w:spacing w:val="-3"/>
        </w:rPr>
        <w:t>本公司管理以摊余成本计量的金融资产的业务模式为以收取合同现金流量为目标，且此类金融资产的合同现金流量特</w:t>
      </w:r>
    </w:p>
    <w:p>
      <w:pPr>
        <w:pStyle w:val="BodyText"/>
        <w:spacing w:line="316" w:lineRule="auto" w:before="19"/>
        <w:ind w:right="1122"/>
        <w:jc w:val="both"/>
      </w:pPr>
      <w:r>
        <w:rPr>
          <w:spacing w:val="-4"/>
        </w:rPr>
        <w:t>征与基本借贷安排相一致，即在特定日期产生的现金流量，仅为对本金和以未偿付本金金额为基础的利息的支付。本公司对</w:t>
      </w:r>
      <w:r>
        <w:rPr>
          <w:spacing w:val="44"/>
        </w:rPr>
        <w:t> </w:t>
      </w:r>
      <w:r>
        <w:rPr>
          <w:spacing w:val="44"/>
        </w:rPr>
      </w:r>
      <w:r>
        <w:rPr>
          <w:spacing w:val="-3"/>
        </w:rPr>
        <w:t>于此类金融资产，采用实际利率法，按照摊余成本进行后续计量，其摊销或减值产生的利得或损失，计入当期损益。</w:t>
      </w:r>
    </w:p>
    <w:p>
      <w:pPr>
        <w:pStyle w:val="BodyText"/>
        <w:spacing w:line="316" w:lineRule="auto" w:before="19"/>
        <w:ind w:left="633" w:right="0"/>
        <w:jc w:val="left"/>
      </w:pPr>
      <w:r>
        <w:rPr>
          <w:spacing w:val="-3"/>
        </w:rPr>
        <w:t>②以公允价值计量且其变动计入其他综合收益的金融资产</w:t>
      </w:r>
      <w:r>
        <w:rPr>
          <w:spacing w:val="-15"/>
        </w:rPr>
        <w:t> </w:t>
      </w:r>
      <w:r>
        <w:rPr>
          <w:spacing w:val="-15"/>
        </w:rPr>
      </w:r>
      <w:r>
        <w:rPr>
          <w:spacing w:val="-3"/>
        </w:rPr>
        <w:t>本公司管理此类金融资产的业务模式为既以收取合同现金流量为目标又以出售为目标，且此类金融资产的合同现金流</w:t>
      </w:r>
    </w:p>
    <w:p>
      <w:pPr>
        <w:pStyle w:val="BodyText"/>
        <w:spacing w:line="319" w:lineRule="auto" w:before="19"/>
        <w:ind w:right="1047"/>
        <w:jc w:val="both"/>
      </w:pPr>
      <w:r>
        <w:rPr>
          <w:spacing w:val="-3"/>
        </w:rPr>
        <w:t>量特征与基本借贷安排相一致。本公司对此类金融资产按照公允价值计量且其变动计入其他综合收益，但减值损失或利得、</w:t>
      </w:r>
      <w:r>
        <w:rPr>
          <w:spacing w:val="66"/>
        </w:rPr>
        <w:t> </w:t>
      </w:r>
      <w:r>
        <w:rPr>
          <w:spacing w:val="66"/>
        </w:rPr>
      </w:r>
      <w:r>
        <w:rPr>
          <w:spacing w:val="-3"/>
        </w:rPr>
        <w:t>汇兑损益和按照实际利率法计算的利息收入计入当期损益。</w:t>
      </w:r>
    </w:p>
    <w:p>
      <w:pPr>
        <w:pStyle w:val="BodyText"/>
        <w:spacing w:line="316" w:lineRule="auto" w:before="17"/>
        <w:ind w:left="633" w:right="0"/>
        <w:jc w:val="left"/>
      </w:pPr>
      <w:r>
        <w:rPr>
          <w:spacing w:val="-3"/>
        </w:rPr>
        <w:t>③以公允价值计量且其变动计入当期损益的金融资产</w:t>
      </w:r>
      <w:r>
        <w:rPr>
          <w:spacing w:val="-21"/>
        </w:rPr>
        <w:t> </w:t>
      </w:r>
      <w:r>
        <w:rPr>
          <w:spacing w:val="-21"/>
        </w:rPr>
      </w:r>
      <w:r>
        <w:rPr>
          <w:spacing w:val="-3"/>
        </w:rPr>
        <w:t>本公司将上述以摊余成本计量的金融资产和以公允价值计量且其变动计入其他综合收益的金融资产之外的金融资产，</w:t>
      </w:r>
    </w:p>
    <w:p>
      <w:pPr>
        <w:pStyle w:val="BodyText"/>
        <w:spacing w:line="316" w:lineRule="auto" w:before="19"/>
        <w:ind w:right="1124"/>
        <w:jc w:val="both"/>
      </w:pPr>
      <w:r>
        <w:rPr>
          <w:spacing w:val="-4"/>
        </w:rPr>
        <w:t>分类为以公允价值计量且其变动计入当期损益的金融资产。此外，在初始确认时，本公司为了消除或显著减少会计错配，将</w:t>
      </w:r>
      <w:r>
        <w:rPr>
          <w:spacing w:val="40"/>
        </w:rPr>
        <w:t> </w:t>
      </w:r>
      <w:r>
        <w:rPr>
          <w:spacing w:val="40"/>
        </w:rPr>
      </w:r>
      <w:r>
        <w:rPr>
          <w:spacing w:val="-4"/>
        </w:rPr>
        <w:t>部分金融资产指定为以公允价值计量且其变动计入当期损益的金融资产。对于此类金融资产，本公司采用公允价值进行后续</w:t>
      </w:r>
      <w:r>
        <w:rPr>
          <w:spacing w:val="39"/>
        </w:rPr>
        <w:t> </w:t>
      </w:r>
      <w:r>
        <w:rPr>
          <w:spacing w:val="39"/>
        </w:rPr>
      </w:r>
      <w:r>
        <w:rPr>
          <w:spacing w:val="-3"/>
        </w:rPr>
        <w:t>计量，公允价值变动计入当期损益。</w:t>
      </w:r>
    </w:p>
    <w:p>
      <w:pPr>
        <w:pStyle w:val="BodyText"/>
        <w:spacing w:line="316" w:lineRule="auto" w:before="19"/>
        <w:ind w:left="633" w:right="0"/>
        <w:jc w:val="left"/>
      </w:pPr>
      <w:r>
        <w:rPr/>
        <w:t>（</w:t>
      </w:r>
      <w:r>
        <w:rPr>
          <w:rFonts w:ascii="宋体" w:hAnsi="宋体" w:cs="宋体" w:eastAsia="宋体" w:hint="default"/>
        </w:rPr>
        <w:t>2</w:t>
      </w:r>
      <w:r>
        <w:rPr/>
        <w:t>）金融负债的分类和计量</w:t>
      </w:r>
      <w:r>
        <w:rPr>
          <w:spacing w:val="-85"/>
        </w:rPr>
        <w:t> </w:t>
      </w:r>
      <w:r>
        <w:rPr>
          <w:spacing w:val="-85"/>
        </w:rPr>
      </w:r>
      <w:r>
        <w:rPr>
          <w:spacing w:val="-3"/>
        </w:rPr>
        <w:t>金融负债于初始确认时分类为以公允价值计量且其变动计入当期损益的金融负债和其他金融负债。对于以公允价值计</w:t>
      </w:r>
    </w:p>
    <w:p>
      <w:pPr>
        <w:pStyle w:val="BodyText"/>
        <w:spacing w:line="316" w:lineRule="auto" w:before="19"/>
        <w:ind w:right="1124"/>
        <w:jc w:val="both"/>
      </w:pPr>
      <w:r>
        <w:rPr>
          <w:spacing w:val="-4"/>
        </w:rPr>
        <w:t>量且其变动计入当期损益的金融负债，相关的交易费用直接计入当期损益，其他金融负债的相关交易费用计入期初始确认金</w:t>
      </w:r>
      <w:r>
        <w:rPr>
          <w:spacing w:val="44"/>
        </w:rPr>
        <w:t> </w:t>
      </w:r>
      <w:r>
        <w:rPr>
          <w:spacing w:val="44"/>
        </w:rPr>
      </w:r>
      <w:r>
        <w:rPr/>
        <w:t>额。</w:t>
      </w:r>
    </w:p>
    <w:p>
      <w:pPr>
        <w:pStyle w:val="BodyText"/>
        <w:spacing w:line="319" w:lineRule="auto" w:before="19"/>
        <w:ind w:left="633" w:right="0"/>
        <w:jc w:val="left"/>
      </w:pPr>
      <w:r>
        <w:rPr>
          <w:spacing w:val="-3"/>
        </w:rPr>
        <w:t>①以公允价值计量且其变动计入当期损益的金融负债</w:t>
      </w:r>
      <w:r>
        <w:rPr>
          <w:spacing w:val="-21"/>
        </w:rPr>
        <w:t> </w:t>
      </w:r>
      <w:r>
        <w:rPr>
          <w:spacing w:val="-21"/>
        </w:rPr>
      </w:r>
      <w:r>
        <w:rPr>
          <w:spacing w:val="-3"/>
        </w:rPr>
        <w:t>以公允价值计量且其变动计入当期损益的金融负债，包括交易性金融负债（含属于金融负债的衍生工具）和初始确认</w:t>
      </w:r>
    </w:p>
    <w:p>
      <w:pPr>
        <w:pStyle w:val="BodyText"/>
        <w:spacing w:line="316" w:lineRule="auto" w:before="17"/>
        <w:ind w:left="633" w:right="0" w:hanging="480"/>
        <w:jc w:val="left"/>
      </w:pPr>
      <w:r>
        <w:rPr>
          <w:spacing w:val="-3"/>
        </w:rPr>
        <w:t>时指定为以公允价值计量且其变动计入当期损益的金融负债。</w:t>
      </w:r>
      <w:r>
        <w:rPr>
          <w:spacing w:val="-10"/>
        </w:rPr>
        <w:t> </w:t>
      </w:r>
      <w:r>
        <w:rPr>
          <w:spacing w:val="-10"/>
        </w:rPr>
      </w:r>
      <w:r>
        <w:rPr>
          <w:spacing w:val="-3"/>
        </w:rPr>
        <w:t>交易性金融负债（含属于金融负债的衍生工具），按照公允价值进行后续计量，除与套期会计有关外，公允价值变动</w:t>
      </w:r>
    </w:p>
    <w:p>
      <w:pPr>
        <w:spacing w:after="0" w:line="316" w:lineRule="auto"/>
        <w:jc w:val="left"/>
        <w:sectPr>
          <w:pgSz w:w="11910" w:h="16840"/>
          <w:pgMar w:header="784" w:footer="1022" w:top="1100" w:bottom="1220" w:left="980" w:right="0"/>
        </w:sectPr>
      </w:pPr>
    </w:p>
    <w:p>
      <w:pPr>
        <w:spacing w:line="240" w:lineRule="auto" w:before="10"/>
        <w:rPr>
          <w:rFonts w:ascii="宋体" w:hAnsi="宋体" w:cs="宋体" w:eastAsia="宋体" w:hint="default"/>
          <w:sz w:val="22"/>
          <w:szCs w:val="22"/>
        </w:rPr>
      </w:pPr>
    </w:p>
    <w:p>
      <w:pPr>
        <w:pStyle w:val="BodyText"/>
        <w:spacing w:line="240" w:lineRule="auto"/>
        <w:ind w:right="0"/>
        <w:jc w:val="left"/>
      </w:pPr>
      <w:r>
        <w:rPr>
          <w:spacing w:val="-3"/>
        </w:rPr>
        <w:t>计入当期损益。</w:t>
      </w:r>
    </w:p>
    <w:p>
      <w:pPr>
        <w:pStyle w:val="BodyText"/>
        <w:spacing w:line="319" w:lineRule="auto" w:before="76"/>
        <w:ind w:right="1124" w:firstLine="480"/>
        <w:jc w:val="both"/>
      </w:pPr>
      <w:r>
        <w:rPr>
          <w:spacing w:val="-3"/>
        </w:rPr>
        <w:t>被指定为以公允价值计量且其变动计入当期损益的金融负债，该负债由本公司自身信用风险变动引起的公允价值变动</w:t>
      </w:r>
      <w:r>
        <w:rPr>
          <w:w w:val="101"/>
        </w:rPr>
        <w:t> </w:t>
      </w:r>
      <w:r>
        <w:rPr>
          <w:spacing w:val="-4"/>
        </w:rPr>
        <w:t>计入其他综合收益，且终止确认该负债时，计入其他综合收益的自身信用风险变动引起的其公允价值累计变动额转入留存收</w:t>
      </w:r>
      <w:r>
        <w:rPr>
          <w:spacing w:val="38"/>
        </w:rPr>
        <w:t> </w:t>
      </w:r>
      <w:r>
        <w:rPr>
          <w:spacing w:val="38"/>
        </w:rPr>
      </w:r>
      <w:r>
        <w:rPr>
          <w:spacing w:val="-5"/>
        </w:rPr>
        <w:t>益。其余公允价值变动计入当期损益。若按上述方式对该等金融负债的自身信用风险变动的影响进行处理会造成或扩大损益</w:t>
      </w:r>
      <w:r>
        <w:rPr>
          <w:spacing w:val="6"/>
        </w:rPr>
        <w:t> </w:t>
      </w:r>
      <w:r>
        <w:rPr>
          <w:spacing w:val="6"/>
        </w:rPr>
      </w:r>
      <w:r>
        <w:rPr>
          <w:spacing w:val="-3"/>
        </w:rPr>
        <w:t>中的会计错配的，本公司将该金融负债的全部利得或损失（包括企业自身信用风险变动的影响金额）计入当期损益</w:t>
      </w:r>
    </w:p>
    <w:p>
      <w:pPr>
        <w:pStyle w:val="BodyText"/>
        <w:spacing w:line="316" w:lineRule="auto" w:before="17"/>
        <w:ind w:left="633" w:right="1120"/>
        <w:jc w:val="left"/>
      </w:pPr>
      <w:r>
        <w:rPr>
          <w:spacing w:val="-3"/>
        </w:rPr>
        <w:t>②其他金融负债</w:t>
      </w:r>
      <w:r>
        <w:rPr>
          <w:spacing w:val="-68"/>
        </w:rPr>
        <w:t> </w:t>
      </w:r>
      <w:r>
        <w:rPr>
          <w:spacing w:val="-68"/>
        </w:rPr>
      </w:r>
      <w:r>
        <w:rPr>
          <w:spacing w:val="-3"/>
        </w:rPr>
        <w:t>除金融资产转移不符合终止确认条件或继续涉入被转移金融资产所形成的金融负债、财务担保合同外的其他金融负债</w:t>
      </w:r>
    </w:p>
    <w:p>
      <w:pPr>
        <w:pStyle w:val="BodyText"/>
        <w:spacing w:line="240" w:lineRule="auto" w:before="19"/>
        <w:ind w:right="0"/>
        <w:jc w:val="left"/>
      </w:pPr>
      <w:r>
        <w:rPr>
          <w:spacing w:val="-3"/>
        </w:rPr>
        <w:t>分类为以摊余成本计量的金融负债，按摊余成本进行后续计量，终止确认或摊销产生的利得或损失计入当期损益。</w:t>
      </w:r>
    </w:p>
    <w:p>
      <w:pPr>
        <w:pStyle w:val="BodyText"/>
        <w:spacing w:line="240" w:lineRule="auto" w:before="76"/>
        <w:ind w:left="633" w:right="0"/>
        <w:jc w:val="left"/>
      </w:pPr>
      <w:r>
        <w:rPr>
          <w:spacing w:val="-3"/>
        </w:rPr>
        <w:t>（</w:t>
      </w:r>
      <w:r>
        <w:rPr>
          <w:rFonts w:ascii="宋体" w:hAnsi="宋体" w:cs="宋体" w:eastAsia="宋体" w:hint="default"/>
          <w:spacing w:val="-3"/>
        </w:rPr>
        <w:t>3</w:t>
      </w:r>
      <w:r>
        <w:rPr>
          <w:spacing w:val="-3"/>
        </w:rPr>
        <w:t>）金融资产转移的确认依据和计量方法</w:t>
      </w:r>
    </w:p>
    <w:p>
      <w:pPr>
        <w:pStyle w:val="BodyText"/>
        <w:spacing w:line="316" w:lineRule="auto" w:before="77"/>
        <w:ind w:right="0" w:firstLine="480"/>
        <w:jc w:val="left"/>
      </w:pPr>
      <w:r>
        <w:rPr>
          <w:spacing w:val="-6"/>
        </w:rPr>
        <w:t>满足下列条件之一的金融资产，予以终止确认：① </w:t>
      </w:r>
      <w:r>
        <w:rPr>
          <w:spacing w:val="-5"/>
        </w:rPr>
        <w:t>收取该金融资产现金流量的合同权利终止；②</w:t>
      </w:r>
      <w:r>
        <w:rPr>
          <w:spacing w:val="57"/>
        </w:rPr>
        <w:t> </w:t>
      </w:r>
      <w:r>
        <w:rPr>
          <w:spacing w:val="-3"/>
        </w:rPr>
        <w:t>该金融资产已转移，</w:t>
      </w:r>
      <w:r>
        <w:rPr>
          <w:w w:val="101"/>
        </w:rPr>
        <w:t> </w:t>
      </w:r>
      <w:r>
        <w:rPr>
          <w:spacing w:val="-4"/>
        </w:rPr>
        <w:t>且将金融资产所有权上几乎所有的风险和报酬转移给转入方；③该金融资产已转移，虽然企业既没有转移也没有保留金融资</w:t>
      </w:r>
      <w:r>
        <w:rPr>
          <w:spacing w:val="43"/>
        </w:rPr>
        <w:t> </w:t>
      </w:r>
      <w:r>
        <w:rPr>
          <w:spacing w:val="43"/>
        </w:rPr>
      </w:r>
      <w:r>
        <w:rPr>
          <w:spacing w:val="-3"/>
        </w:rPr>
        <w:t>产所有权上几乎所有的风险和报酬，但是放弃了对该金融资产的控制。</w:t>
      </w:r>
    </w:p>
    <w:p>
      <w:pPr>
        <w:pStyle w:val="BodyText"/>
        <w:spacing w:line="319" w:lineRule="auto" w:before="19"/>
        <w:ind w:right="1122" w:firstLine="480"/>
        <w:jc w:val="both"/>
      </w:pPr>
      <w:r>
        <w:rPr>
          <w:spacing w:val="-3"/>
        </w:rPr>
        <w:t>若企业既没有转移也没有保留金融资产所有权上几乎所有的风险和报酬，且未放弃对该金融资产的控制的，则按照继</w:t>
      </w:r>
      <w:r>
        <w:rPr>
          <w:w w:val="101"/>
        </w:rPr>
        <w:t> </w:t>
      </w:r>
      <w:r>
        <w:rPr>
          <w:spacing w:val="-4"/>
        </w:rPr>
        <w:t>续涉入所转移金融资产的程度确认有关金融资产，并相应确认有关负债。继续涉入所转移金融资产的程度，是指该金融资产</w:t>
      </w:r>
      <w:r>
        <w:rPr>
          <w:spacing w:val="45"/>
        </w:rPr>
        <w:t> </w:t>
      </w:r>
      <w:r>
        <w:rPr>
          <w:spacing w:val="45"/>
        </w:rPr>
      </w:r>
      <w:r>
        <w:rPr>
          <w:spacing w:val="-3"/>
        </w:rPr>
        <w:t>价值变动使企业面临的风险水平。</w:t>
      </w:r>
    </w:p>
    <w:p>
      <w:pPr>
        <w:pStyle w:val="BodyText"/>
        <w:spacing w:line="316" w:lineRule="auto" w:before="17"/>
        <w:ind w:right="1124" w:firstLine="480"/>
        <w:jc w:val="both"/>
      </w:pPr>
      <w:r>
        <w:rPr>
          <w:spacing w:val="-3"/>
        </w:rPr>
        <w:t>金融资产整体转移满足终止确认条件的，将所转移金融资产的账面价值及因转移而收到的对价与原计入其他综合收益</w:t>
      </w:r>
      <w:r>
        <w:rPr>
          <w:w w:val="101"/>
        </w:rPr>
        <w:t> </w:t>
      </w:r>
      <w:r>
        <w:rPr>
          <w:spacing w:val="-3"/>
        </w:rPr>
        <w:t>的公允价值变动累计额之和的差额计入当期损益。</w:t>
      </w:r>
    </w:p>
    <w:p>
      <w:pPr>
        <w:pStyle w:val="BodyText"/>
        <w:spacing w:line="319" w:lineRule="auto" w:before="19"/>
        <w:ind w:right="1124" w:firstLine="480"/>
        <w:jc w:val="both"/>
      </w:pPr>
      <w:r>
        <w:rPr>
          <w:spacing w:val="-3"/>
        </w:rPr>
        <w:t>金融资产部分转移满足终止确认条件的，将所转移金融资产的账面价值在终止确认及未终止确认部分之间按其相对的</w:t>
      </w:r>
      <w:r>
        <w:rPr>
          <w:w w:val="101"/>
        </w:rPr>
        <w:t> </w:t>
      </w:r>
      <w:r>
        <w:rPr>
          <w:spacing w:val="-4"/>
          <w:w w:val="101"/>
        </w:rPr>
        <w:t>公允价值进行分摊，并将因转移而收到的对价与应分摊至终止确认部分的原计入其他综合收益的公允价值变动累计额之和与</w:t>
      </w:r>
      <w:r>
        <w:rPr>
          <w:w w:val="101"/>
        </w:rPr>
        <w:t> </w:t>
      </w:r>
      <w:r>
        <w:rPr>
          <w:spacing w:val="-3"/>
        </w:rPr>
        <w:t>分摊的前述账面金额之差额计入当期损益。</w:t>
      </w:r>
    </w:p>
    <w:p>
      <w:pPr>
        <w:pStyle w:val="BodyText"/>
        <w:spacing w:line="316" w:lineRule="auto" w:before="17"/>
        <w:ind w:right="1122" w:firstLine="480"/>
        <w:jc w:val="both"/>
      </w:pPr>
      <w:r>
        <w:rPr>
          <w:spacing w:val="-3"/>
        </w:rPr>
        <w:t>本公司对采用附追索权方式出售的金融资产，或将持有的金融资产背书转让，需确定该金融资产所有权上几乎所有的</w:t>
      </w:r>
      <w:r>
        <w:rPr>
          <w:w w:val="101"/>
        </w:rPr>
        <w:t> </w:t>
      </w:r>
      <w:r>
        <w:rPr>
          <w:spacing w:val="-4"/>
        </w:rPr>
        <w:t>风险和报酬是否已经转移。已将该金融资产所有权上几乎所有的风险和报酬转移给转入方的，终止确认该金融资产；保留了</w:t>
      </w:r>
      <w:r>
        <w:rPr>
          <w:spacing w:val="43"/>
        </w:rPr>
        <w:t> </w:t>
      </w:r>
      <w:r>
        <w:rPr>
          <w:spacing w:val="43"/>
        </w:rPr>
      </w:r>
      <w:r>
        <w:rPr>
          <w:spacing w:val="-4"/>
        </w:rPr>
        <w:t>金融资产所有权上几乎所有的风险和报酬的，不终止确认该金融资产；既没有转移也没有保留金融资产所有权上几乎所有的</w:t>
      </w:r>
      <w:r>
        <w:rPr>
          <w:spacing w:val="42"/>
        </w:rPr>
        <w:t> </w:t>
      </w:r>
      <w:r>
        <w:rPr>
          <w:spacing w:val="42"/>
        </w:rPr>
      </w:r>
      <w:r>
        <w:rPr>
          <w:spacing w:val="-3"/>
        </w:rPr>
        <w:t>风险和报酬的，则继续判断企业是否对该资产保留了控制，并根据前面各段所述的原则进行会计处理。</w:t>
      </w:r>
    </w:p>
    <w:p>
      <w:pPr>
        <w:pStyle w:val="BodyText"/>
        <w:spacing w:line="319" w:lineRule="auto" w:before="19"/>
        <w:ind w:left="633" w:right="0"/>
        <w:jc w:val="left"/>
      </w:pPr>
      <w:r>
        <w:rPr>
          <w:spacing w:val="-3"/>
        </w:rPr>
        <w:t>（</w:t>
      </w:r>
      <w:r>
        <w:rPr>
          <w:rFonts w:ascii="宋体" w:hAnsi="宋体" w:cs="宋体" w:eastAsia="宋体" w:hint="default"/>
          <w:spacing w:val="-3"/>
        </w:rPr>
        <w:t>4</w:t>
      </w:r>
      <w:r>
        <w:rPr>
          <w:spacing w:val="-3"/>
        </w:rPr>
        <w:t>）金融负债的终止确认</w:t>
      </w:r>
      <w:r>
        <w:rPr>
          <w:spacing w:val="-52"/>
        </w:rPr>
        <w:t> </w:t>
      </w:r>
      <w:r>
        <w:rPr>
          <w:spacing w:val="-52"/>
        </w:rPr>
      </w:r>
      <w:r>
        <w:rPr>
          <w:spacing w:val="-3"/>
        </w:rPr>
        <w:t>金融负债（或其一部分）的现时义务已经解除的，本公司终止确认该金融负债（或该部分金融负债）。本公司（借入</w:t>
      </w:r>
    </w:p>
    <w:p>
      <w:pPr>
        <w:pStyle w:val="BodyText"/>
        <w:spacing w:line="316" w:lineRule="auto" w:before="17"/>
        <w:ind w:right="0"/>
        <w:jc w:val="left"/>
      </w:pPr>
      <w:r>
        <w:rPr>
          <w:spacing w:val="-3"/>
        </w:rPr>
        <w:t>方）与借出方签订协议，以承担新金融负债的方式替换原金融负债，且新金融负债与原金融负债的合同条款实质上不同的，</w:t>
      </w:r>
      <w:r>
        <w:rPr>
          <w:spacing w:val="67"/>
        </w:rPr>
        <w:t> </w:t>
      </w:r>
      <w:r>
        <w:rPr>
          <w:spacing w:val="67"/>
        </w:rPr>
      </w:r>
      <w:r>
        <w:rPr>
          <w:spacing w:val="-4"/>
        </w:rPr>
        <w:t>终止确认原金融负债，同时确认一项新金融负债。本公司对原金融负债（或其一部分）的合同条款作出实质性修改的，终止</w:t>
      </w:r>
      <w:r>
        <w:rPr>
          <w:spacing w:val="40"/>
        </w:rPr>
        <w:t> </w:t>
      </w:r>
      <w:r>
        <w:rPr>
          <w:spacing w:val="40"/>
        </w:rPr>
      </w:r>
      <w:r>
        <w:rPr>
          <w:spacing w:val="-3"/>
        </w:rPr>
        <w:t>确认原金融负债，同时按照修改后的条款确认一项新金融负债。</w:t>
      </w:r>
    </w:p>
    <w:p>
      <w:pPr>
        <w:pStyle w:val="BodyText"/>
        <w:spacing w:line="319" w:lineRule="auto" w:before="19"/>
        <w:ind w:right="1124" w:firstLine="480"/>
        <w:jc w:val="both"/>
      </w:pPr>
      <w:r>
        <w:rPr>
          <w:spacing w:val="-3"/>
        </w:rPr>
        <w:t>金融负债（或其一部分）终止确认的，本公司将其账面价值与支付的对价（包括转出的非现金资产或承担的负债）之</w:t>
      </w:r>
      <w:r>
        <w:rPr>
          <w:w w:val="101"/>
        </w:rPr>
        <w:t> </w:t>
      </w:r>
      <w:r>
        <w:rPr>
          <w:spacing w:val="-3"/>
        </w:rPr>
        <w:t>间的差额，计入当期损益。</w:t>
      </w:r>
    </w:p>
    <w:p>
      <w:pPr>
        <w:pStyle w:val="BodyText"/>
        <w:spacing w:line="316" w:lineRule="auto" w:before="17"/>
        <w:ind w:left="633" w:right="0"/>
        <w:jc w:val="left"/>
      </w:pPr>
      <w:r>
        <w:rPr/>
        <w:t>（</w:t>
      </w:r>
      <w:r>
        <w:rPr>
          <w:rFonts w:ascii="宋体" w:hAnsi="宋体" w:cs="宋体" w:eastAsia="宋体" w:hint="default"/>
        </w:rPr>
        <w:t>5</w:t>
      </w:r>
      <w:r>
        <w:rPr/>
        <w:t>）金融资产和金融负债的抵销</w:t>
      </w:r>
      <w:r>
        <w:rPr>
          <w:spacing w:val="-86"/>
        </w:rPr>
        <w:t> </w:t>
      </w:r>
      <w:r>
        <w:rPr>
          <w:spacing w:val="-86"/>
        </w:rPr>
      </w:r>
      <w:r>
        <w:rPr>
          <w:spacing w:val="-3"/>
        </w:rPr>
        <w:t>当本公司具有抵销已确认金额的金融资产和金融负债的法定权利，且该种法定权利是当前可执行的，同时本公司计划</w:t>
      </w:r>
    </w:p>
    <w:p>
      <w:pPr>
        <w:pStyle w:val="BodyText"/>
        <w:spacing w:line="316" w:lineRule="auto" w:before="19"/>
        <w:ind w:right="0"/>
        <w:jc w:val="left"/>
      </w:pPr>
      <w:r>
        <w:rPr>
          <w:spacing w:val="-4"/>
        </w:rPr>
        <w:t>以净额结算或同时变现该金融资产和清偿该金融负债时，金融资产和金融负债以相互抵销后的净额在资产负债表内列示。除</w:t>
      </w:r>
      <w:r>
        <w:rPr>
          <w:spacing w:val="43"/>
        </w:rPr>
        <w:t> </w:t>
      </w:r>
      <w:r>
        <w:rPr>
          <w:spacing w:val="43"/>
        </w:rPr>
      </w:r>
      <w:r>
        <w:rPr>
          <w:spacing w:val="-3"/>
        </w:rPr>
        <w:t>此以外，金融资产和金融负债在资产负债表内分别列示，不予相互抵销。</w:t>
      </w:r>
    </w:p>
    <w:p>
      <w:pPr>
        <w:pStyle w:val="BodyText"/>
        <w:spacing w:line="319" w:lineRule="auto" w:before="19"/>
        <w:ind w:left="633" w:right="0"/>
        <w:jc w:val="left"/>
      </w:pPr>
      <w:r>
        <w:rPr>
          <w:spacing w:val="-3"/>
        </w:rPr>
        <w:t>（</w:t>
      </w:r>
      <w:r>
        <w:rPr>
          <w:rFonts w:ascii="宋体" w:hAnsi="宋体" w:cs="宋体" w:eastAsia="宋体" w:hint="default"/>
          <w:spacing w:val="-3"/>
        </w:rPr>
        <w:t>6</w:t>
      </w:r>
      <w:r>
        <w:rPr>
          <w:spacing w:val="-3"/>
        </w:rPr>
        <w:t>）金融资产和金融负债的公允价值确定方法</w:t>
      </w:r>
      <w:r>
        <w:rPr>
          <w:spacing w:val="-23"/>
        </w:rPr>
        <w:t> </w:t>
      </w:r>
      <w:r>
        <w:rPr>
          <w:spacing w:val="-23"/>
        </w:rPr>
      </w:r>
      <w:r>
        <w:rPr>
          <w:spacing w:val="-3"/>
        </w:rPr>
        <w:t>公允价值，是指市场参与者在计量日发生的有序交易中，出售一项资产所能收到或者转移一项负债所需支付的价格。</w:t>
      </w:r>
    </w:p>
    <w:p>
      <w:pPr>
        <w:pStyle w:val="BodyText"/>
        <w:spacing w:line="316" w:lineRule="auto" w:before="17"/>
        <w:ind w:right="1016"/>
        <w:jc w:val="left"/>
      </w:pPr>
      <w:r>
        <w:rPr>
          <w:spacing w:val="-4"/>
        </w:rPr>
        <w:t>金融工具存在活跃市场的，本公司采用活跃市场中的报价确定其公允价值。活跃市场中的报价是指易于定期从交易所、经纪</w:t>
      </w:r>
      <w:r>
        <w:rPr>
          <w:spacing w:val="43"/>
        </w:rPr>
        <w:t> </w:t>
      </w:r>
      <w:r>
        <w:rPr>
          <w:spacing w:val="43"/>
        </w:rPr>
      </w:r>
      <w:r>
        <w:rPr>
          <w:spacing w:val="-5"/>
        </w:rPr>
        <w:t>商、行业协会、定价服务机构等获得的价格，且代表了在公平交易中实际发生的市场交易的价格。金融工具不存在活跃市场</w:t>
      </w:r>
      <w:r>
        <w:rPr>
          <w:spacing w:val="6"/>
        </w:rPr>
        <w:t> </w:t>
      </w:r>
      <w:r>
        <w:rPr>
          <w:spacing w:val="6"/>
        </w:rPr>
      </w:r>
      <w:r>
        <w:rPr>
          <w:spacing w:val="-6"/>
          <w:w w:val="101"/>
        </w:rPr>
        <w:t>的，本公司采用估值技术确定其公允价值。估值技术包括参考熟悉情况并自愿交易的各方最近进行的市场交易中使用的价格、</w:t>
      </w:r>
      <w:r>
        <w:rPr>
          <w:spacing w:val="-66"/>
          <w:w w:val="101"/>
        </w:rPr>
        <w:t> </w:t>
      </w:r>
      <w:r>
        <w:rPr>
          <w:spacing w:val="-66"/>
          <w:w w:val="101"/>
        </w:rPr>
      </w:r>
      <w:r>
        <w:rPr>
          <w:spacing w:val="-4"/>
        </w:rPr>
        <w:t>参照实质上相同的其他金融工具当前的公允价值、现金流量折现法和期权定价模型等。在估值时，本公司采用在当前情况下</w:t>
      </w:r>
      <w:r>
        <w:rPr>
          <w:spacing w:val="43"/>
        </w:rPr>
        <w:t> </w:t>
      </w:r>
      <w:r>
        <w:rPr>
          <w:spacing w:val="43"/>
        </w:rPr>
      </w:r>
      <w:r>
        <w:rPr>
          <w:spacing w:val="-4"/>
          <w:w w:val="101"/>
        </w:rPr>
        <w:t>适用并且有足够可利用数据和其他信息支持的估值技术，选择与市场参与者在相关资产或负债的交易中所考虑的资产或负债</w:t>
      </w:r>
      <w:r>
        <w:rPr>
          <w:w w:val="101"/>
        </w:rPr>
        <w:t> </w:t>
      </w:r>
      <w:r>
        <w:rPr>
          <w:spacing w:val="-4"/>
        </w:rPr>
        <w:t>特征相一致的输入值，并尽可能优先使用相关可观察输入值。在相关可观察输入值无法取得或取得不切实可行的情况下，使</w:t>
      </w:r>
      <w:r>
        <w:rPr>
          <w:spacing w:val="43"/>
        </w:rPr>
        <w:t> </w:t>
      </w:r>
      <w:r>
        <w:rPr>
          <w:spacing w:val="43"/>
        </w:rPr>
      </w:r>
      <w:r>
        <w:rPr>
          <w:spacing w:val="-3"/>
        </w:rPr>
        <w:t>用不可输入值。</w:t>
      </w:r>
    </w:p>
    <w:p>
      <w:pPr>
        <w:spacing w:after="0" w:line="316" w:lineRule="auto"/>
        <w:jc w:val="left"/>
        <w:sectPr>
          <w:pgSz w:w="11910" w:h="16840"/>
          <w:pgMar w:header="784" w:footer="1022" w:top="1100" w:bottom="1220" w:left="980" w:right="0"/>
        </w:sectPr>
      </w:pPr>
    </w:p>
    <w:p>
      <w:pPr>
        <w:spacing w:line="240" w:lineRule="auto" w:before="10"/>
        <w:rPr>
          <w:rFonts w:ascii="宋体" w:hAnsi="宋体" w:cs="宋体" w:eastAsia="宋体" w:hint="default"/>
          <w:sz w:val="22"/>
          <w:szCs w:val="22"/>
        </w:rPr>
      </w:pPr>
    </w:p>
    <w:p>
      <w:pPr>
        <w:pStyle w:val="BodyText"/>
        <w:spacing w:line="316" w:lineRule="auto"/>
        <w:ind w:left="633" w:right="1120"/>
        <w:jc w:val="left"/>
      </w:pPr>
      <w:r>
        <w:rPr/>
        <w:t>（</w:t>
      </w:r>
      <w:r>
        <w:rPr>
          <w:rFonts w:ascii="宋体" w:hAnsi="宋体" w:cs="宋体" w:eastAsia="宋体" w:hint="default"/>
        </w:rPr>
        <w:t>7</w:t>
      </w:r>
      <w:r>
        <w:rPr/>
        <w:t>）权益工具</w:t>
      </w:r>
      <w:r>
        <w:rPr>
          <w:spacing w:val="-85"/>
        </w:rPr>
        <w:t> </w:t>
      </w:r>
      <w:r>
        <w:rPr>
          <w:spacing w:val="-85"/>
        </w:rPr>
      </w:r>
      <w:r>
        <w:rPr>
          <w:spacing w:val="-3"/>
        </w:rPr>
        <w:t>权益工具是指能证明拥有本公司在扣除所有负债后的资产中的剩余权益的合同。本公司发行（含再融资）、回购、出</w:t>
      </w:r>
    </w:p>
    <w:p>
      <w:pPr>
        <w:pStyle w:val="BodyText"/>
        <w:spacing w:line="319" w:lineRule="auto" w:before="19"/>
        <w:ind w:right="1120"/>
        <w:jc w:val="left"/>
      </w:pPr>
      <w:r>
        <w:rPr>
          <w:spacing w:val="-4"/>
        </w:rPr>
        <w:t>售或注销权益工具作为权益的变动处理，与权益性交易相关的交易费用从权益中扣减。本公司不确认权益工具的公允价值变</w:t>
      </w:r>
      <w:r>
        <w:rPr>
          <w:spacing w:val="43"/>
        </w:rPr>
        <w:t> </w:t>
      </w:r>
      <w:r>
        <w:rPr>
          <w:spacing w:val="43"/>
        </w:rPr>
      </w:r>
      <w:r>
        <w:rPr/>
        <w:t>动。</w:t>
      </w:r>
    </w:p>
    <w:p>
      <w:pPr>
        <w:pStyle w:val="BodyText"/>
        <w:spacing w:line="316" w:lineRule="auto" w:before="17"/>
        <w:ind w:right="1317"/>
        <w:jc w:val="left"/>
        <w:rPr>
          <w:rFonts w:ascii="宋体" w:hAnsi="宋体" w:cs="宋体" w:eastAsia="宋体" w:hint="default"/>
        </w:rPr>
      </w:pPr>
      <w:r>
        <w:rPr>
          <w:spacing w:val="-3"/>
        </w:rPr>
        <w:t>本公司权益工具在存续期间分派股利（含分类为权益工具的工具所产生的“利息”）的，作为利润分配处理。</w:t>
      </w:r>
      <w:r>
        <w:rPr>
          <w:spacing w:val="49"/>
        </w:rPr>
        <w:t> </w:t>
      </w:r>
      <w:r>
        <w:rPr>
          <w:spacing w:val="49"/>
        </w:rPr>
      </w:r>
      <w:r>
        <w:rPr>
          <w:rFonts w:ascii="宋体" w:hAnsi="宋体" w:cs="宋体" w:eastAsia="宋体" w:hint="default"/>
          <w:b/>
          <w:bCs/>
        </w:rPr>
        <w:t>11</w:t>
      </w:r>
      <w:r>
        <w:rPr>
          <w:rFonts w:ascii="宋体" w:hAnsi="宋体" w:cs="宋体" w:eastAsia="宋体" w:hint="default"/>
          <w:b/>
          <w:bCs/>
        </w:rPr>
        <w:t>、金融资产减值</w:t>
      </w:r>
      <w:r>
        <w:rPr>
          <w:rFonts w:ascii="宋体" w:hAnsi="宋体" w:cs="宋体" w:eastAsia="宋体" w:hint="default"/>
        </w:rPr>
      </w:r>
    </w:p>
    <w:p>
      <w:pPr>
        <w:pStyle w:val="BodyText"/>
        <w:spacing w:line="316" w:lineRule="auto" w:before="19"/>
        <w:ind w:right="1124" w:firstLine="480"/>
        <w:jc w:val="both"/>
      </w:pPr>
      <w:r>
        <w:rPr>
          <w:spacing w:val="-3"/>
        </w:rPr>
        <w:t>本公司需确认减值损失的金融资产系以摊余成本计量的金融资产、以公允价值计量且其变动计入其他综合收益的债务</w:t>
      </w:r>
      <w:r>
        <w:rPr>
          <w:w w:val="101"/>
        </w:rPr>
        <w:t> </w:t>
      </w:r>
      <w:r>
        <w:rPr>
          <w:spacing w:val="-4"/>
        </w:rPr>
        <w:t>工具投资、租赁应收款，主要包括应收票据、应收账款、其他应收款、债权投资、其他债权投资、长期应收款等。此外，对</w:t>
      </w:r>
      <w:r>
        <w:rPr>
          <w:spacing w:val="40"/>
        </w:rPr>
        <w:t> </w:t>
      </w:r>
      <w:r>
        <w:rPr>
          <w:spacing w:val="40"/>
        </w:rPr>
      </w:r>
      <w:r>
        <w:rPr>
          <w:spacing w:val="-3"/>
        </w:rPr>
        <w:t>部分财务担保合同，也按照本部分所述会计政策计提减值准备和确认信用减值损失。</w:t>
      </w:r>
    </w:p>
    <w:p>
      <w:pPr>
        <w:pStyle w:val="BodyText"/>
        <w:spacing w:line="316" w:lineRule="auto" w:before="19"/>
        <w:ind w:left="633" w:right="0"/>
        <w:jc w:val="left"/>
      </w:pPr>
      <w:r>
        <w:rPr>
          <w:spacing w:val="-3"/>
        </w:rPr>
        <w:t>减值准备的确认方法</w:t>
      </w:r>
      <w:r>
        <w:rPr>
          <w:spacing w:val="-62"/>
        </w:rPr>
        <w:t> </w:t>
      </w:r>
      <w:r>
        <w:rPr>
          <w:spacing w:val="-62"/>
        </w:rPr>
      </w:r>
      <w:r>
        <w:rPr>
          <w:spacing w:val="-3"/>
        </w:rPr>
        <w:t>本公司以预期信用损失为基础，对上述各项目按照其适用的预期信用损失计量方法（一般方法或简化方法）计提减值</w:t>
      </w:r>
    </w:p>
    <w:p>
      <w:pPr>
        <w:pStyle w:val="BodyText"/>
        <w:spacing w:line="316" w:lineRule="auto" w:before="19"/>
        <w:ind w:left="633" w:right="0" w:hanging="480"/>
        <w:jc w:val="left"/>
      </w:pPr>
      <w:r>
        <w:rPr>
          <w:spacing w:val="-3"/>
        </w:rPr>
        <w:t>准备并确认信用减值损失。</w:t>
      </w:r>
      <w:r>
        <w:rPr>
          <w:spacing w:val="-51"/>
        </w:rPr>
        <w:t> </w:t>
      </w:r>
      <w:r>
        <w:rPr>
          <w:spacing w:val="-51"/>
        </w:rPr>
      </w:r>
      <w:r>
        <w:rPr>
          <w:spacing w:val="-3"/>
        </w:rPr>
        <w:t>信用损失，是指本公司按照原实际利率折现的、根据合同应收的所有合同现金流量与预期收取的所有现金流量之间的</w:t>
      </w:r>
    </w:p>
    <w:p>
      <w:pPr>
        <w:pStyle w:val="BodyText"/>
        <w:spacing w:line="319" w:lineRule="auto" w:before="19"/>
        <w:ind w:right="1120"/>
        <w:jc w:val="left"/>
      </w:pPr>
      <w:r>
        <w:rPr>
          <w:spacing w:val="-4"/>
        </w:rPr>
        <w:t>差额，即全部现金短缺的现值。其中，对于购买或源生的已发生信用减值的金融资产，本公司按照该金融资产经信用调整的</w:t>
      </w:r>
      <w:r>
        <w:rPr>
          <w:spacing w:val="40"/>
        </w:rPr>
        <w:t> </w:t>
      </w:r>
      <w:r>
        <w:rPr>
          <w:spacing w:val="40"/>
        </w:rPr>
      </w:r>
      <w:r>
        <w:rPr>
          <w:spacing w:val="-3"/>
        </w:rPr>
        <w:t>实际利率折现。</w:t>
      </w:r>
    </w:p>
    <w:p>
      <w:pPr>
        <w:pStyle w:val="BodyText"/>
        <w:spacing w:line="316" w:lineRule="auto" w:before="17"/>
        <w:ind w:right="1122" w:firstLine="480"/>
        <w:jc w:val="both"/>
      </w:pPr>
      <w:r>
        <w:rPr>
          <w:spacing w:val="-3"/>
        </w:rPr>
        <w:t>预期信用损失计量的一般方法是指，本公司在每个资产负债表日评估金融资产的信用风险自初始确认后是否已经显著</w:t>
      </w:r>
      <w:r>
        <w:rPr>
          <w:w w:val="101"/>
        </w:rPr>
        <w:t> </w:t>
      </w:r>
      <w:r>
        <w:rPr>
          <w:spacing w:val="-4"/>
        </w:rPr>
        <w:t>增加，如果信用风险自初始确认后已显著增加，本公司按照相当于整个存续期内预期信用损失的金额计量损失准备；如果信</w:t>
      </w:r>
      <w:r>
        <w:rPr>
          <w:spacing w:val="43"/>
        </w:rPr>
        <w:t> </w:t>
      </w:r>
      <w:r>
        <w:rPr>
          <w:spacing w:val="43"/>
        </w:rPr>
      </w:r>
      <w:r>
        <w:rPr>
          <w:spacing w:val="-4"/>
        </w:rPr>
        <w:t>用风险自初始确认后未显著增加，本公司按照相当于未来</w:t>
      </w:r>
      <w:r>
        <w:rPr>
          <w:rFonts w:ascii="宋体" w:hAnsi="宋体" w:cs="宋体" w:eastAsia="宋体" w:hint="default"/>
          <w:spacing w:val="-4"/>
        </w:rPr>
        <w:t>12</w:t>
      </w:r>
      <w:r>
        <w:rPr>
          <w:spacing w:val="-4"/>
        </w:rPr>
        <w:t>个月内预期信用损失的金额计量损失准备。本公司在评估预期信</w:t>
      </w:r>
      <w:r>
        <w:rPr>
          <w:spacing w:val="47"/>
        </w:rPr>
        <w:t> </w:t>
      </w:r>
      <w:r>
        <w:rPr>
          <w:spacing w:val="47"/>
        </w:rPr>
      </w:r>
      <w:r>
        <w:rPr>
          <w:spacing w:val="-3"/>
        </w:rPr>
        <w:t>用损失时，考虑所有合理且有依据的信息，包括前瞻性信息。</w:t>
      </w:r>
    </w:p>
    <w:p>
      <w:pPr>
        <w:pStyle w:val="BodyText"/>
        <w:spacing w:line="316" w:lineRule="auto" w:before="19"/>
        <w:ind w:right="1122" w:firstLine="480"/>
        <w:jc w:val="both"/>
      </w:pPr>
      <w:r>
        <w:rPr>
          <w:spacing w:val="-3"/>
        </w:rPr>
        <w:t>对于在资产负债表日具有较低信用风险的金融工具，本公司假设其信用风险自初始确认后并未显著增加，选择按照未</w:t>
      </w:r>
      <w:r>
        <w:rPr>
          <w:w w:val="101"/>
        </w:rPr>
        <w:t> </w:t>
      </w:r>
      <w:r>
        <w:rPr>
          <w:spacing w:val="-4"/>
        </w:rPr>
        <w:t>来</w:t>
      </w:r>
      <w:r>
        <w:rPr>
          <w:rFonts w:ascii="宋体" w:hAnsi="宋体" w:cs="宋体" w:eastAsia="宋体" w:hint="default"/>
          <w:spacing w:val="-4"/>
        </w:rPr>
        <w:t>12</w:t>
      </w:r>
      <w:r>
        <w:rPr>
          <w:spacing w:val="-4"/>
        </w:rPr>
        <w:t>个月内的预期信用损失计量损失准备，不选择简化处理方法，依据其信用风险自初始确认后是否已显著增加，而采用未</w:t>
      </w:r>
      <w:r>
        <w:rPr>
          <w:spacing w:val="49"/>
        </w:rPr>
        <w:t> </w:t>
      </w:r>
      <w:r>
        <w:rPr>
          <w:spacing w:val="49"/>
        </w:rPr>
      </w:r>
      <w:r>
        <w:rPr>
          <w:spacing w:val="-3"/>
        </w:rPr>
        <w:t>来</w:t>
      </w:r>
      <w:r>
        <w:rPr>
          <w:rFonts w:ascii="宋体" w:hAnsi="宋体" w:cs="宋体" w:eastAsia="宋体" w:hint="default"/>
          <w:spacing w:val="-3"/>
        </w:rPr>
        <w:t>12</w:t>
      </w:r>
      <w:r>
        <w:rPr>
          <w:spacing w:val="-3"/>
        </w:rPr>
        <w:t>月内或者整个存续期内预期信用损失金额为基础计量损失准备。</w:t>
      </w:r>
    </w:p>
    <w:p>
      <w:pPr>
        <w:pStyle w:val="BodyText"/>
        <w:spacing w:line="316" w:lineRule="auto" w:before="19"/>
        <w:ind w:left="633" w:right="0"/>
        <w:jc w:val="left"/>
      </w:pPr>
      <w:r>
        <w:rPr>
          <w:spacing w:val="-3"/>
        </w:rPr>
        <w:t>信用风险自初始确认后是否显著增加的判断标准</w:t>
      </w:r>
      <w:r>
        <w:rPr>
          <w:spacing w:val="-27"/>
        </w:rPr>
        <w:t> </w:t>
      </w:r>
      <w:r>
        <w:rPr>
          <w:spacing w:val="-27"/>
        </w:rPr>
      </w:r>
      <w:r>
        <w:rPr/>
        <w:t>如果某项金融资产在资产负债表日确定的预计存续期内的违约概率显著高于在初始确认时确定的预计存续期内的违</w:t>
      </w:r>
    </w:p>
    <w:p>
      <w:pPr>
        <w:pStyle w:val="BodyText"/>
        <w:spacing w:line="319" w:lineRule="auto" w:before="19"/>
        <w:ind w:right="0"/>
        <w:jc w:val="left"/>
      </w:pPr>
      <w:r>
        <w:rPr>
          <w:spacing w:val="-4"/>
        </w:rPr>
        <w:t>约概率，则表明该项金融资产的信用风险显著增加。除特殊情况外，本公司采用未来</w:t>
      </w:r>
      <w:r>
        <w:rPr>
          <w:rFonts w:ascii="宋体" w:hAnsi="宋体" w:cs="宋体" w:eastAsia="宋体" w:hint="default"/>
          <w:spacing w:val="-4"/>
        </w:rPr>
        <w:t>12</w:t>
      </w:r>
      <w:r>
        <w:rPr>
          <w:spacing w:val="-4"/>
        </w:rPr>
        <w:t>个月内发生的违约风险的变化作为整</w:t>
      </w:r>
      <w:r>
        <w:rPr>
          <w:spacing w:val="48"/>
        </w:rPr>
        <w:t> </w:t>
      </w:r>
      <w:r>
        <w:rPr>
          <w:spacing w:val="48"/>
        </w:rPr>
      </w:r>
      <w:r>
        <w:rPr>
          <w:spacing w:val="-3"/>
        </w:rPr>
        <w:t>个存续期内发生违约风险变化的合理估计，来确定自初始确认后信用风险是否显著增加。</w:t>
      </w:r>
    </w:p>
    <w:p>
      <w:pPr>
        <w:pStyle w:val="BodyText"/>
        <w:spacing w:line="316" w:lineRule="auto" w:before="17"/>
        <w:ind w:left="633" w:right="0"/>
        <w:jc w:val="left"/>
      </w:pPr>
      <w:r>
        <w:rPr>
          <w:spacing w:val="-3"/>
        </w:rPr>
        <w:t>以组合为基础评估预期信用风险的组合方法</w:t>
      </w:r>
      <w:r>
        <w:rPr>
          <w:spacing w:val="-33"/>
        </w:rPr>
        <w:t> </w:t>
      </w:r>
      <w:r>
        <w:rPr>
          <w:spacing w:val="-33"/>
        </w:rPr>
      </w:r>
      <w:r>
        <w:rPr>
          <w:spacing w:val="-3"/>
        </w:rPr>
        <w:t>本公司对信用风险显著不同的金融资产单项评价信用风险，如：应收关联方款项；与对方存在争议或涉及诉讼、仲裁</w:t>
      </w:r>
    </w:p>
    <w:p>
      <w:pPr>
        <w:pStyle w:val="BodyText"/>
        <w:spacing w:line="316" w:lineRule="auto" w:before="19"/>
        <w:ind w:left="633" w:right="0" w:hanging="480"/>
        <w:jc w:val="left"/>
      </w:pPr>
      <w:r>
        <w:rPr>
          <w:spacing w:val="-3"/>
        </w:rPr>
        <w:t>的应收款项；已有明显迹象表明债务人很可能无法履行还款义务的应收款项等。</w:t>
      </w:r>
      <w:r>
        <w:rPr>
          <w:spacing w:val="13"/>
        </w:rPr>
        <w:t> </w:t>
      </w:r>
      <w:r>
        <w:rPr>
          <w:spacing w:val="13"/>
        </w:rPr>
      </w:r>
      <w:r>
        <w:rPr>
          <w:spacing w:val="-3"/>
        </w:rPr>
        <w:t>除了单项评估信用风险的金融资产外，本公司基于共同风险特征将金融资产划分为不同的组别，在组合的基础上评估</w:t>
      </w:r>
    </w:p>
    <w:p>
      <w:pPr>
        <w:pStyle w:val="BodyText"/>
        <w:spacing w:line="240" w:lineRule="auto" w:before="19"/>
        <w:ind w:right="0"/>
        <w:jc w:val="left"/>
      </w:pPr>
      <w:r>
        <w:rPr/>
        <w:t>信用风险。</w:t>
      </w:r>
    </w:p>
    <w:p>
      <w:pPr>
        <w:pStyle w:val="BodyText"/>
        <w:spacing w:line="316" w:lineRule="auto" w:before="76"/>
        <w:ind w:left="633" w:right="0"/>
        <w:jc w:val="left"/>
      </w:pPr>
      <w:r>
        <w:rPr>
          <w:spacing w:val="-3"/>
        </w:rPr>
        <w:t>金融资产减值的会计处理方法</w:t>
      </w:r>
      <w:r>
        <w:rPr>
          <w:spacing w:val="-50"/>
        </w:rPr>
        <w:t> </w:t>
      </w:r>
      <w:r>
        <w:rPr>
          <w:spacing w:val="-50"/>
        </w:rPr>
      </w:r>
      <w:r>
        <w:rPr>
          <w:spacing w:val="-3"/>
        </w:rPr>
        <w:t>期末，本公司计算各类金融资产的预计信用损失，如果该预计信用损失大于其当前减值准备的账面金额，将其差额确</w:t>
      </w:r>
    </w:p>
    <w:p>
      <w:pPr>
        <w:pStyle w:val="BodyText"/>
        <w:spacing w:line="316" w:lineRule="auto" w:before="19"/>
        <w:ind w:left="633" w:right="3511" w:hanging="480"/>
        <w:jc w:val="left"/>
      </w:pPr>
      <w:r>
        <w:rPr>
          <w:spacing w:val="-3"/>
        </w:rPr>
        <w:t>认为减值损失；如果小于当前减值准备的账面金额，则将差额确认为减值利得。</w:t>
      </w:r>
      <w:r>
        <w:rPr>
          <w:spacing w:val="13"/>
        </w:rPr>
        <w:t> </w:t>
      </w:r>
      <w:r>
        <w:rPr>
          <w:spacing w:val="13"/>
        </w:rPr>
      </w:r>
      <w:r>
        <w:rPr>
          <w:spacing w:val="-3"/>
        </w:rPr>
        <w:t>各类金融资产信用损失的确定方法</w:t>
      </w:r>
    </w:p>
    <w:p>
      <w:pPr>
        <w:pStyle w:val="BodyText"/>
        <w:spacing w:line="319" w:lineRule="auto" w:before="19"/>
        <w:ind w:left="633" w:right="1120"/>
        <w:jc w:val="left"/>
      </w:pPr>
      <w:r>
        <w:rPr/>
        <w:t>①应收票据</w:t>
      </w:r>
      <w:r>
        <w:rPr>
          <w:w w:val="101"/>
        </w:rPr>
        <w:t> </w:t>
      </w:r>
      <w:r>
        <w:rPr>
          <w:spacing w:val="-3"/>
        </w:rPr>
        <w:t>本公司对于应收票据按照相当于整个存续期内的预期信用损失金额计量损失准备。基于应收票据的信用风险特征，将</w:t>
      </w:r>
    </w:p>
    <w:p>
      <w:pPr>
        <w:pStyle w:val="BodyText"/>
        <w:spacing w:line="240" w:lineRule="auto" w:before="17"/>
        <w:ind w:right="0"/>
        <w:jc w:val="left"/>
      </w:pPr>
      <w:r>
        <w:rPr>
          <w:spacing w:val="-3"/>
        </w:rPr>
        <w:t>其划分为不同组合：</w:t>
      </w:r>
    </w:p>
    <w:p>
      <w:pPr>
        <w:spacing w:line="240" w:lineRule="auto" w:before="0"/>
        <w:rPr>
          <w:rFonts w:ascii="宋体" w:hAnsi="宋体" w:cs="宋体" w:eastAsia="宋体" w:hint="default"/>
          <w:sz w:val="5"/>
          <w:szCs w:val="5"/>
        </w:rPr>
      </w:pPr>
    </w:p>
    <w:tbl>
      <w:tblPr>
        <w:tblW w:w="0" w:type="auto"/>
        <w:jc w:val="left"/>
        <w:tblInd w:w="131" w:type="dxa"/>
        <w:tblLayout w:type="fixed"/>
        <w:tblCellMar>
          <w:top w:w="0" w:type="dxa"/>
          <w:left w:w="0" w:type="dxa"/>
          <w:bottom w:w="0" w:type="dxa"/>
          <w:right w:w="0" w:type="dxa"/>
        </w:tblCellMar>
        <w:tblLook w:val="01E0"/>
      </w:tblPr>
      <w:tblGrid>
        <w:gridCol w:w="3071"/>
        <w:gridCol w:w="6019"/>
      </w:tblGrid>
      <w:tr>
        <w:trPr>
          <w:trHeight w:val="346" w:hRule="exact"/>
        </w:trPr>
        <w:tc>
          <w:tcPr>
            <w:tcW w:w="3071"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20"/>
              <w:ind w:left="24" w:right="0"/>
              <w:jc w:val="center"/>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1"/>
                <w:sz w:val="18"/>
                <w:szCs w:val="18"/>
              </w:rPr>
              <w:t> </w:t>
            </w:r>
            <w:r>
              <w:rPr>
                <w:rFonts w:ascii="宋体" w:hAnsi="宋体" w:cs="宋体" w:eastAsia="宋体" w:hint="default"/>
                <w:sz w:val="18"/>
                <w:szCs w:val="18"/>
              </w:rPr>
              <w:t>目</w:t>
            </w:r>
          </w:p>
        </w:tc>
        <w:tc>
          <w:tcPr>
            <w:tcW w:w="6019"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20"/>
              <w:ind w:left="427" w:right="0"/>
              <w:jc w:val="left"/>
              <w:rPr>
                <w:rFonts w:ascii="宋体" w:hAnsi="宋体" w:cs="宋体" w:eastAsia="宋体" w:hint="default"/>
                <w:sz w:val="18"/>
                <w:szCs w:val="18"/>
              </w:rPr>
            </w:pPr>
            <w:r>
              <w:rPr>
                <w:rFonts w:ascii="宋体" w:hAnsi="宋体" w:cs="宋体" w:eastAsia="宋体" w:hint="default"/>
                <w:spacing w:val="-3"/>
                <w:sz w:val="18"/>
                <w:szCs w:val="18"/>
              </w:rPr>
              <w:t>确定组合的依据</w:t>
            </w:r>
          </w:p>
        </w:tc>
      </w:tr>
      <w:tr>
        <w:trPr>
          <w:trHeight w:val="350" w:hRule="exact"/>
        </w:trPr>
        <w:tc>
          <w:tcPr>
            <w:tcW w:w="3071"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20"/>
              <w:ind w:left="23" w:right="0"/>
              <w:jc w:val="left"/>
              <w:rPr>
                <w:rFonts w:ascii="宋体" w:hAnsi="宋体" w:cs="宋体" w:eastAsia="宋体" w:hint="default"/>
                <w:sz w:val="18"/>
                <w:szCs w:val="18"/>
              </w:rPr>
            </w:pPr>
            <w:r>
              <w:rPr>
                <w:rFonts w:ascii="宋体" w:hAnsi="宋体" w:cs="宋体" w:eastAsia="宋体" w:hint="default"/>
                <w:sz w:val="18"/>
                <w:szCs w:val="18"/>
              </w:rPr>
              <w:t>商业承兑汇票</w:t>
            </w:r>
          </w:p>
        </w:tc>
        <w:tc>
          <w:tcPr>
            <w:tcW w:w="6019"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pacing w:val="-3"/>
                <w:sz w:val="18"/>
                <w:szCs w:val="18"/>
              </w:rPr>
              <w:t>以应收商业票据的账龄作为信用风险特征</w:t>
            </w:r>
          </w:p>
        </w:tc>
      </w:tr>
    </w:tbl>
    <w:p>
      <w:pPr>
        <w:pStyle w:val="BodyText"/>
        <w:spacing w:line="319" w:lineRule="auto" w:before="10"/>
        <w:ind w:left="633" w:right="0"/>
        <w:jc w:val="left"/>
      </w:pPr>
      <w:r>
        <w:rPr/>
        <w:t>②应收账款</w:t>
      </w:r>
      <w:r>
        <w:rPr>
          <w:w w:val="101"/>
        </w:rPr>
        <w:t> </w:t>
      </w:r>
      <w:r>
        <w:rPr>
          <w:spacing w:val="-3"/>
        </w:rPr>
        <w:t>对于不含重大融资成分的应收款项，本公司按照相当于整个存续期内的预期信用损失金额计量损失准备。</w:t>
      </w:r>
      <w:r>
        <w:rPr>
          <w:spacing w:val="43"/>
        </w:rPr>
        <w:t> </w:t>
      </w:r>
      <w:r>
        <w:rPr>
          <w:spacing w:val="43"/>
        </w:rPr>
      </w:r>
      <w:r>
        <w:rPr>
          <w:spacing w:val="-3"/>
        </w:rPr>
        <w:t>对于包含重大融资成分的应收款和租赁应收款，本公司选择始终按照相当于存续期内预期信用损失的金额计量损失准</w:t>
      </w:r>
    </w:p>
    <w:p>
      <w:pPr>
        <w:pStyle w:val="BodyText"/>
        <w:spacing w:line="240" w:lineRule="auto" w:before="17"/>
        <w:ind w:right="0"/>
        <w:jc w:val="left"/>
      </w:pPr>
      <w:r>
        <w:rPr/>
        <w:t>备。</w:t>
      </w:r>
    </w:p>
    <w:p>
      <w:pPr>
        <w:spacing w:after="0" w:line="240" w:lineRule="auto"/>
        <w:jc w:val="left"/>
        <w:sectPr>
          <w:pgSz w:w="11910" w:h="16840"/>
          <w:pgMar w:header="784" w:footer="1022" w:top="1100" w:bottom="1220" w:left="980" w:right="0"/>
        </w:sectPr>
      </w:pPr>
    </w:p>
    <w:p>
      <w:pPr>
        <w:spacing w:line="240" w:lineRule="auto" w:before="10"/>
        <w:rPr>
          <w:rFonts w:ascii="宋体" w:hAnsi="宋体" w:cs="宋体" w:eastAsia="宋体" w:hint="default"/>
          <w:sz w:val="22"/>
          <w:szCs w:val="22"/>
        </w:rPr>
      </w:pPr>
    </w:p>
    <w:p>
      <w:pPr>
        <w:pStyle w:val="BodyText"/>
        <w:spacing w:line="240" w:lineRule="auto"/>
        <w:ind w:left="713" w:right="207"/>
        <w:jc w:val="left"/>
      </w:pPr>
      <w:r>
        <w:rPr>
          <w:spacing w:val="-3"/>
        </w:rPr>
        <w:t>除了单项评估信用风险的应收账款外，基于其信用风险特征，将其划分为不同组合：</w:t>
      </w:r>
    </w:p>
    <w:p>
      <w:pPr>
        <w:spacing w:line="240" w:lineRule="auto" w:before="0"/>
        <w:rPr>
          <w:rFonts w:ascii="宋体" w:hAnsi="宋体" w:cs="宋体" w:eastAsia="宋体" w:hint="default"/>
          <w:sz w:val="5"/>
          <w:szCs w:val="5"/>
        </w:rPr>
      </w:pPr>
    </w:p>
    <w:tbl>
      <w:tblPr>
        <w:tblW w:w="0" w:type="auto"/>
        <w:jc w:val="left"/>
        <w:tblInd w:w="211" w:type="dxa"/>
        <w:tblLayout w:type="fixed"/>
        <w:tblCellMar>
          <w:top w:w="0" w:type="dxa"/>
          <w:left w:w="0" w:type="dxa"/>
          <w:bottom w:w="0" w:type="dxa"/>
          <w:right w:w="0" w:type="dxa"/>
        </w:tblCellMar>
        <w:tblLook w:val="01E0"/>
      </w:tblPr>
      <w:tblGrid>
        <w:gridCol w:w="3071"/>
        <w:gridCol w:w="6019"/>
      </w:tblGrid>
      <w:tr>
        <w:trPr>
          <w:trHeight w:val="346" w:hRule="exact"/>
        </w:trPr>
        <w:tc>
          <w:tcPr>
            <w:tcW w:w="3071"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20"/>
              <w:ind w:left="24" w:right="0"/>
              <w:jc w:val="center"/>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1"/>
                <w:sz w:val="18"/>
                <w:szCs w:val="18"/>
              </w:rPr>
              <w:t> </w:t>
            </w:r>
            <w:r>
              <w:rPr>
                <w:rFonts w:ascii="宋体" w:hAnsi="宋体" w:cs="宋体" w:eastAsia="宋体" w:hint="default"/>
                <w:sz w:val="18"/>
                <w:szCs w:val="18"/>
              </w:rPr>
              <w:t>目</w:t>
            </w:r>
          </w:p>
        </w:tc>
        <w:tc>
          <w:tcPr>
            <w:tcW w:w="6019"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20"/>
              <w:ind w:left="417" w:right="0"/>
              <w:jc w:val="center"/>
              <w:rPr>
                <w:rFonts w:ascii="宋体" w:hAnsi="宋体" w:cs="宋体" w:eastAsia="宋体" w:hint="default"/>
                <w:sz w:val="18"/>
                <w:szCs w:val="18"/>
              </w:rPr>
            </w:pPr>
            <w:r>
              <w:rPr>
                <w:rFonts w:ascii="宋体" w:hAnsi="宋体" w:cs="宋体" w:eastAsia="宋体" w:hint="default"/>
                <w:spacing w:val="-3"/>
                <w:sz w:val="18"/>
                <w:szCs w:val="18"/>
              </w:rPr>
              <w:t>确定组合的依据</w:t>
            </w:r>
          </w:p>
        </w:tc>
      </w:tr>
      <w:tr>
        <w:trPr>
          <w:trHeight w:val="350" w:hRule="exact"/>
        </w:trPr>
        <w:tc>
          <w:tcPr>
            <w:tcW w:w="3071"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20"/>
              <w:ind w:left="23" w:right="0"/>
              <w:jc w:val="left"/>
              <w:rPr>
                <w:rFonts w:ascii="宋体" w:hAnsi="宋体" w:cs="宋体" w:eastAsia="宋体" w:hint="default"/>
                <w:sz w:val="18"/>
                <w:szCs w:val="18"/>
              </w:rPr>
            </w:pPr>
            <w:r>
              <w:rPr>
                <w:rFonts w:ascii="宋体" w:hAnsi="宋体" w:cs="宋体" w:eastAsia="宋体" w:hint="default"/>
                <w:sz w:val="18"/>
                <w:szCs w:val="18"/>
              </w:rPr>
              <w:t>账龄组合</w:t>
            </w:r>
          </w:p>
        </w:tc>
        <w:tc>
          <w:tcPr>
            <w:tcW w:w="6019"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pacing w:val="-3"/>
                <w:sz w:val="18"/>
                <w:szCs w:val="18"/>
              </w:rPr>
              <w:t>本组合以应收账款的账龄作为信用风险特征。</w:t>
            </w:r>
          </w:p>
        </w:tc>
      </w:tr>
      <w:tr>
        <w:trPr>
          <w:trHeight w:val="346" w:hRule="exact"/>
        </w:trPr>
        <w:tc>
          <w:tcPr>
            <w:tcW w:w="3071"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20"/>
              <w:ind w:left="23" w:right="0"/>
              <w:jc w:val="left"/>
              <w:rPr>
                <w:rFonts w:ascii="宋体" w:hAnsi="宋体" w:cs="宋体" w:eastAsia="宋体" w:hint="default"/>
                <w:sz w:val="18"/>
                <w:szCs w:val="18"/>
              </w:rPr>
            </w:pPr>
            <w:r>
              <w:rPr>
                <w:rFonts w:ascii="宋体" w:hAnsi="宋体" w:cs="宋体" w:eastAsia="宋体" w:hint="default"/>
                <w:sz w:val="18"/>
                <w:szCs w:val="18"/>
              </w:rPr>
              <w:t>合并范围内关联方</w:t>
            </w:r>
          </w:p>
        </w:tc>
        <w:tc>
          <w:tcPr>
            <w:tcW w:w="6019"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本公司合并范围内公司</w:t>
            </w:r>
          </w:p>
        </w:tc>
      </w:tr>
    </w:tbl>
    <w:p>
      <w:pPr>
        <w:pStyle w:val="BodyText"/>
        <w:spacing w:line="316" w:lineRule="auto" w:before="10"/>
        <w:ind w:left="713" w:right="207"/>
        <w:jc w:val="left"/>
      </w:pPr>
      <w:r>
        <w:rPr/>
        <w:t>③其他应收款</w:t>
      </w:r>
      <w:r>
        <w:rPr>
          <w:spacing w:val="-86"/>
        </w:rPr>
        <w:t> </w:t>
      </w:r>
      <w:r>
        <w:rPr>
          <w:spacing w:val="-86"/>
        </w:rPr>
      </w:r>
      <w:r>
        <w:rPr>
          <w:spacing w:val="-3"/>
        </w:rPr>
        <w:t>本公司依据其他应收款信用风险自初始确认后是否已经显著增加，采用相当于未来</w:t>
      </w:r>
      <w:r>
        <w:rPr>
          <w:rFonts w:ascii="宋体" w:hAnsi="宋体" w:cs="宋体" w:eastAsia="宋体" w:hint="default"/>
          <w:spacing w:val="-3"/>
        </w:rPr>
        <w:t>12</w:t>
      </w:r>
      <w:r>
        <w:rPr>
          <w:spacing w:val="-3"/>
        </w:rPr>
        <w:t>个月内、或整个存续期的预期信</w:t>
      </w:r>
    </w:p>
    <w:p>
      <w:pPr>
        <w:pStyle w:val="BodyText"/>
        <w:spacing w:line="240" w:lineRule="auto" w:before="19"/>
        <w:ind w:left="233" w:right="207"/>
        <w:jc w:val="left"/>
      </w:pPr>
      <w:r>
        <w:rPr>
          <w:spacing w:val="-3"/>
        </w:rPr>
        <w:t>用损失的金额计量减值损失。除了单项评估信用风险的其他应收款外，基于其信用风险特征，将其划分为不同组合：</w:t>
      </w:r>
    </w:p>
    <w:p>
      <w:pPr>
        <w:spacing w:line="240" w:lineRule="auto" w:before="0"/>
        <w:rPr>
          <w:rFonts w:ascii="宋体" w:hAnsi="宋体" w:cs="宋体" w:eastAsia="宋体" w:hint="default"/>
          <w:sz w:val="5"/>
          <w:szCs w:val="5"/>
        </w:rPr>
      </w:pPr>
    </w:p>
    <w:tbl>
      <w:tblPr>
        <w:tblW w:w="0" w:type="auto"/>
        <w:jc w:val="left"/>
        <w:tblInd w:w="211" w:type="dxa"/>
        <w:tblLayout w:type="fixed"/>
        <w:tblCellMar>
          <w:top w:w="0" w:type="dxa"/>
          <w:left w:w="0" w:type="dxa"/>
          <w:bottom w:w="0" w:type="dxa"/>
          <w:right w:w="0" w:type="dxa"/>
        </w:tblCellMar>
        <w:tblLook w:val="01E0"/>
      </w:tblPr>
      <w:tblGrid>
        <w:gridCol w:w="3071"/>
        <w:gridCol w:w="6019"/>
      </w:tblGrid>
      <w:tr>
        <w:trPr>
          <w:trHeight w:val="346" w:hRule="exact"/>
        </w:trPr>
        <w:tc>
          <w:tcPr>
            <w:tcW w:w="3071"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20"/>
              <w:ind w:left="24" w:right="0"/>
              <w:jc w:val="center"/>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1"/>
                <w:sz w:val="18"/>
                <w:szCs w:val="18"/>
              </w:rPr>
              <w:t> </w:t>
            </w:r>
            <w:r>
              <w:rPr>
                <w:rFonts w:ascii="宋体" w:hAnsi="宋体" w:cs="宋体" w:eastAsia="宋体" w:hint="default"/>
                <w:sz w:val="18"/>
                <w:szCs w:val="18"/>
              </w:rPr>
              <w:t>目</w:t>
            </w:r>
          </w:p>
        </w:tc>
        <w:tc>
          <w:tcPr>
            <w:tcW w:w="6019"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20"/>
              <w:ind w:left="417" w:right="0"/>
              <w:jc w:val="center"/>
              <w:rPr>
                <w:rFonts w:ascii="宋体" w:hAnsi="宋体" w:cs="宋体" w:eastAsia="宋体" w:hint="default"/>
                <w:sz w:val="18"/>
                <w:szCs w:val="18"/>
              </w:rPr>
            </w:pPr>
            <w:r>
              <w:rPr>
                <w:rFonts w:ascii="宋体" w:hAnsi="宋体" w:cs="宋体" w:eastAsia="宋体" w:hint="default"/>
                <w:spacing w:val="-3"/>
                <w:sz w:val="18"/>
                <w:szCs w:val="18"/>
              </w:rPr>
              <w:t>确定组合的依据</w:t>
            </w:r>
          </w:p>
        </w:tc>
      </w:tr>
      <w:tr>
        <w:trPr>
          <w:trHeight w:val="351" w:hRule="exact"/>
        </w:trPr>
        <w:tc>
          <w:tcPr>
            <w:tcW w:w="3071"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20"/>
              <w:ind w:left="23" w:right="0"/>
              <w:jc w:val="left"/>
              <w:rPr>
                <w:rFonts w:ascii="宋体" w:hAnsi="宋体" w:cs="宋体" w:eastAsia="宋体" w:hint="default"/>
                <w:sz w:val="18"/>
                <w:szCs w:val="18"/>
              </w:rPr>
            </w:pPr>
            <w:r>
              <w:rPr>
                <w:rFonts w:ascii="宋体" w:hAnsi="宋体" w:cs="宋体" w:eastAsia="宋体" w:hint="default"/>
                <w:sz w:val="18"/>
                <w:szCs w:val="18"/>
              </w:rPr>
              <w:t>账龄组合</w:t>
            </w:r>
          </w:p>
        </w:tc>
        <w:tc>
          <w:tcPr>
            <w:tcW w:w="6019"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20"/>
              <w:ind w:left="427" w:right="0"/>
              <w:jc w:val="left"/>
              <w:rPr>
                <w:rFonts w:ascii="宋体" w:hAnsi="宋体" w:cs="宋体" w:eastAsia="宋体" w:hint="default"/>
                <w:sz w:val="18"/>
                <w:szCs w:val="18"/>
              </w:rPr>
            </w:pPr>
            <w:r>
              <w:rPr>
                <w:rFonts w:ascii="宋体" w:hAnsi="宋体" w:cs="宋体" w:eastAsia="宋体" w:hint="default"/>
                <w:spacing w:val="-3"/>
                <w:sz w:val="18"/>
                <w:szCs w:val="18"/>
              </w:rPr>
              <w:t>本组合以其他应收款的账龄作为信用风险特征。</w:t>
            </w:r>
          </w:p>
        </w:tc>
      </w:tr>
      <w:tr>
        <w:trPr>
          <w:trHeight w:val="346" w:hRule="exact"/>
        </w:trPr>
        <w:tc>
          <w:tcPr>
            <w:tcW w:w="3071"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20"/>
              <w:ind w:left="23" w:right="0"/>
              <w:jc w:val="left"/>
              <w:rPr>
                <w:rFonts w:ascii="宋体" w:hAnsi="宋体" w:cs="宋体" w:eastAsia="宋体" w:hint="default"/>
                <w:sz w:val="18"/>
                <w:szCs w:val="18"/>
              </w:rPr>
            </w:pPr>
            <w:r>
              <w:rPr>
                <w:rFonts w:ascii="宋体" w:hAnsi="宋体" w:cs="宋体" w:eastAsia="宋体" w:hint="default"/>
                <w:sz w:val="18"/>
                <w:szCs w:val="18"/>
              </w:rPr>
              <w:t>合并范围内关联方</w:t>
            </w:r>
          </w:p>
        </w:tc>
        <w:tc>
          <w:tcPr>
            <w:tcW w:w="6019"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20"/>
              <w:ind w:left="427" w:right="0"/>
              <w:jc w:val="left"/>
              <w:rPr>
                <w:rFonts w:ascii="宋体" w:hAnsi="宋体" w:cs="宋体" w:eastAsia="宋体" w:hint="default"/>
                <w:sz w:val="18"/>
                <w:szCs w:val="18"/>
              </w:rPr>
            </w:pPr>
            <w:r>
              <w:rPr>
                <w:rFonts w:ascii="宋体" w:hAnsi="宋体" w:cs="宋体" w:eastAsia="宋体" w:hint="default"/>
                <w:sz w:val="18"/>
                <w:szCs w:val="18"/>
              </w:rPr>
              <w:t>本公司合并范围内公司</w:t>
            </w:r>
          </w:p>
        </w:tc>
      </w:tr>
    </w:tbl>
    <w:p>
      <w:pPr>
        <w:spacing w:line="240" w:lineRule="auto" w:before="1"/>
        <w:rPr>
          <w:rFonts w:ascii="宋体" w:hAnsi="宋体" w:cs="宋体" w:eastAsia="宋体" w:hint="default"/>
          <w:sz w:val="21"/>
          <w:szCs w:val="21"/>
        </w:rPr>
      </w:pPr>
    </w:p>
    <w:p>
      <w:pPr>
        <w:pStyle w:val="BodyText"/>
        <w:spacing w:line="240" w:lineRule="auto"/>
        <w:ind w:left="233" w:right="207"/>
        <w:jc w:val="left"/>
      </w:pPr>
      <w:r>
        <w:rPr>
          <w:spacing w:val="-3"/>
        </w:rPr>
        <w:t>组合中，采用账龄分析法计提坏账准备的：</w:t>
      </w:r>
    </w:p>
    <w:p>
      <w:pPr>
        <w:spacing w:line="240" w:lineRule="auto" w:before="0"/>
        <w:rPr>
          <w:rFonts w:ascii="宋体" w:hAnsi="宋体" w:cs="宋体" w:eastAsia="宋体" w:hint="default"/>
          <w:sz w:val="5"/>
          <w:szCs w:val="5"/>
        </w:rPr>
      </w:pPr>
    </w:p>
    <w:tbl>
      <w:tblPr>
        <w:tblW w:w="0" w:type="auto"/>
        <w:jc w:val="left"/>
        <w:tblInd w:w="103" w:type="dxa"/>
        <w:tblLayout w:type="fixed"/>
        <w:tblCellMar>
          <w:top w:w="0" w:type="dxa"/>
          <w:left w:w="0" w:type="dxa"/>
          <w:bottom w:w="0" w:type="dxa"/>
          <w:right w:w="0" w:type="dxa"/>
        </w:tblCellMar>
        <w:tblLook w:val="01E0"/>
      </w:tblPr>
      <w:tblGrid>
        <w:gridCol w:w="3054"/>
        <w:gridCol w:w="2665"/>
        <w:gridCol w:w="3573"/>
      </w:tblGrid>
      <w:tr>
        <w:trPr>
          <w:trHeight w:val="394" w:hRule="exact"/>
        </w:trPr>
        <w:tc>
          <w:tcPr>
            <w:tcW w:w="305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2"/>
              <w:ind w:left="19" w:right="0"/>
              <w:jc w:val="center"/>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1"/>
                <w:sz w:val="18"/>
                <w:szCs w:val="18"/>
              </w:rPr>
              <w:t> </w:t>
            </w:r>
            <w:r>
              <w:rPr>
                <w:rFonts w:ascii="宋体" w:hAnsi="宋体" w:cs="宋体" w:eastAsia="宋体" w:hint="default"/>
                <w:sz w:val="18"/>
                <w:szCs w:val="18"/>
              </w:rPr>
              <w:t>目</w:t>
            </w:r>
          </w:p>
        </w:tc>
        <w:tc>
          <w:tcPr>
            <w:tcW w:w="2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0"/>
              <w:jc w:val="center"/>
              <w:rPr>
                <w:rFonts w:ascii="宋体" w:hAnsi="宋体" w:cs="宋体" w:eastAsia="宋体" w:hint="default"/>
                <w:sz w:val="18"/>
                <w:szCs w:val="18"/>
              </w:rPr>
            </w:pPr>
            <w:r>
              <w:rPr>
                <w:rFonts w:ascii="宋体" w:hAnsi="宋体" w:cs="宋体" w:eastAsia="宋体" w:hint="default"/>
                <w:sz w:val="18"/>
                <w:szCs w:val="18"/>
              </w:rPr>
              <w:t>应收账款计提比例</w:t>
            </w:r>
          </w:p>
        </w:tc>
        <w:tc>
          <w:tcPr>
            <w:tcW w:w="357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2"/>
              <w:ind w:right="3"/>
              <w:jc w:val="center"/>
              <w:rPr>
                <w:rFonts w:ascii="宋体" w:hAnsi="宋体" w:cs="宋体" w:eastAsia="宋体" w:hint="default"/>
                <w:sz w:val="18"/>
                <w:szCs w:val="18"/>
              </w:rPr>
            </w:pPr>
            <w:r>
              <w:rPr>
                <w:rFonts w:ascii="宋体" w:hAnsi="宋体" w:cs="宋体" w:eastAsia="宋体" w:hint="default"/>
                <w:spacing w:val="-3"/>
                <w:sz w:val="18"/>
                <w:szCs w:val="18"/>
              </w:rPr>
              <w:t>其他应收款计提比例</w:t>
            </w:r>
          </w:p>
        </w:tc>
      </w:tr>
      <w:tr>
        <w:trPr>
          <w:trHeight w:val="322" w:hRule="exact"/>
        </w:trPr>
        <w:tc>
          <w:tcPr>
            <w:tcW w:w="305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left="18"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年以内（含</w:t>
            </w:r>
            <w:r>
              <w:rPr>
                <w:rFonts w:ascii="宋体" w:hAnsi="宋体" w:cs="宋体" w:eastAsia="宋体" w:hint="default"/>
                <w:sz w:val="18"/>
                <w:szCs w:val="18"/>
              </w:rPr>
              <w:t>1</w:t>
            </w:r>
            <w:r>
              <w:rPr>
                <w:rFonts w:ascii="宋体" w:hAnsi="宋体" w:cs="宋体" w:eastAsia="宋体" w:hint="default"/>
                <w:sz w:val="18"/>
                <w:szCs w:val="18"/>
              </w:rPr>
              <w:t>年）</w:t>
            </w:r>
          </w:p>
        </w:tc>
        <w:tc>
          <w:tcPr>
            <w:tcW w:w="2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sz w:val="18"/>
              </w:rPr>
              <w:t>5.00%</w:t>
            </w:r>
          </w:p>
        </w:tc>
        <w:tc>
          <w:tcPr>
            <w:tcW w:w="357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center"/>
              <w:rPr>
                <w:rFonts w:ascii="宋体" w:hAnsi="宋体" w:cs="宋体" w:eastAsia="宋体" w:hint="default"/>
                <w:sz w:val="18"/>
                <w:szCs w:val="18"/>
              </w:rPr>
            </w:pPr>
            <w:r>
              <w:rPr>
                <w:rFonts w:ascii="宋体"/>
                <w:sz w:val="18"/>
              </w:rPr>
              <w:t>5.00%</w:t>
            </w:r>
          </w:p>
        </w:tc>
      </w:tr>
      <w:tr>
        <w:trPr>
          <w:trHeight w:val="322" w:hRule="exact"/>
        </w:trPr>
        <w:tc>
          <w:tcPr>
            <w:tcW w:w="305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left="19"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w:t>
            </w:r>
            <w:r>
              <w:rPr>
                <w:rFonts w:ascii="宋体" w:hAnsi="宋体" w:cs="宋体" w:eastAsia="宋体" w:hint="default"/>
                <w:sz w:val="18"/>
                <w:szCs w:val="18"/>
              </w:rPr>
              <w:t>2</w:t>
            </w:r>
            <w:r>
              <w:rPr>
                <w:rFonts w:ascii="宋体" w:hAnsi="宋体" w:cs="宋体" w:eastAsia="宋体" w:hint="default"/>
                <w:sz w:val="18"/>
                <w:szCs w:val="18"/>
              </w:rPr>
              <w:t>年</w:t>
            </w:r>
          </w:p>
        </w:tc>
        <w:tc>
          <w:tcPr>
            <w:tcW w:w="2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10.00%</w:t>
            </w:r>
          </w:p>
        </w:tc>
        <w:tc>
          <w:tcPr>
            <w:tcW w:w="357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10.00%</w:t>
            </w:r>
          </w:p>
        </w:tc>
      </w:tr>
      <w:tr>
        <w:trPr>
          <w:trHeight w:val="322" w:hRule="exact"/>
        </w:trPr>
        <w:tc>
          <w:tcPr>
            <w:tcW w:w="305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left="19" w:right="0"/>
              <w:jc w:val="center"/>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w:t>
            </w:r>
            <w:r>
              <w:rPr>
                <w:rFonts w:ascii="宋体" w:hAnsi="宋体" w:cs="宋体" w:eastAsia="宋体" w:hint="default"/>
                <w:sz w:val="18"/>
                <w:szCs w:val="18"/>
              </w:rPr>
              <w:t>3</w:t>
            </w:r>
            <w:r>
              <w:rPr>
                <w:rFonts w:ascii="宋体" w:hAnsi="宋体" w:cs="宋体" w:eastAsia="宋体" w:hint="default"/>
                <w:sz w:val="18"/>
                <w:szCs w:val="18"/>
              </w:rPr>
              <w:t>年</w:t>
            </w:r>
          </w:p>
        </w:tc>
        <w:tc>
          <w:tcPr>
            <w:tcW w:w="2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20.00%</w:t>
            </w:r>
          </w:p>
        </w:tc>
        <w:tc>
          <w:tcPr>
            <w:tcW w:w="357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20.00%</w:t>
            </w:r>
          </w:p>
        </w:tc>
      </w:tr>
      <w:tr>
        <w:trPr>
          <w:trHeight w:val="322" w:hRule="exact"/>
        </w:trPr>
        <w:tc>
          <w:tcPr>
            <w:tcW w:w="305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left="19" w:right="0"/>
              <w:jc w:val="center"/>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w:t>
            </w:r>
            <w:r>
              <w:rPr>
                <w:rFonts w:ascii="宋体" w:hAnsi="宋体" w:cs="宋体" w:eastAsia="宋体" w:hint="default"/>
                <w:sz w:val="18"/>
                <w:szCs w:val="18"/>
              </w:rPr>
              <w:t>4</w:t>
            </w:r>
            <w:r>
              <w:rPr>
                <w:rFonts w:ascii="宋体" w:hAnsi="宋体" w:cs="宋体" w:eastAsia="宋体" w:hint="default"/>
                <w:sz w:val="18"/>
                <w:szCs w:val="18"/>
              </w:rPr>
              <w:t>年</w:t>
            </w:r>
          </w:p>
        </w:tc>
        <w:tc>
          <w:tcPr>
            <w:tcW w:w="2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50.00%</w:t>
            </w:r>
          </w:p>
        </w:tc>
        <w:tc>
          <w:tcPr>
            <w:tcW w:w="357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50.00%</w:t>
            </w:r>
          </w:p>
        </w:tc>
      </w:tr>
      <w:tr>
        <w:trPr>
          <w:trHeight w:val="322" w:hRule="exact"/>
        </w:trPr>
        <w:tc>
          <w:tcPr>
            <w:tcW w:w="305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left="19" w:right="0"/>
              <w:jc w:val="center"/>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w:t>
            </w:r>
            <w:r>
              <w:rPr>
                <w:rFonts w:ascii="宋体" w:hAnsi="宋体" w:cs="宋体" w:eastAsia="宋体" w:hint="default"/>
                <w:sz w:val="18"/>
                <w:szCs w:val="18"/>
              </w:rPr>
              <w:t>5</w:t>
            </w:r>
            <w:r>
              <w:rPr>
                <w:rFonts w:ascii="宋体" w:hAnsi="宋体" w:cs="宋体" w:eastAsia="宋体" w:hint="default"/>
                <w:sz w:val="18"/>
                <w:szCs w:val="18"/>
              </w:rPr>
              <w:t>年</w:t>
            </w:r>
          </w:p>
        </w:tc>
        <w:tc>
          <w:tcPr>
            <w:tcW w:w="2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50.00%</w:t>
            </w:r>
          </w:p>
        </w:tc>
        <w:tc>
          <w:tcPr>
            <w:tcW w:w="357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50.00%</w:t>
            </w:r>
          </w:p>
        </w:tc>
      </w:tr>
      <w:tr>
        <w:trPr>
          <w:trHeight w:val="322" w:hRule="exact"/>
        </w:trPr>
        <w:tc>
          <w:tcPr>
            <w:tcW w:w="305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left="24" w:right="0"/>
              <w:jc w:val="center"/>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z w:val="18"/>
                <w:szCs w:val="18"/>
              </w:rPr>
              <w:t>年以上</w:t>
            </w:r>
          </w:p>
        </w:tc>
        <w:tc>
          <w:tcPr>
            <w:tcW w:w="2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5" w:right="0"/>
              <w:jc w:val="center"/>
              <w:rPr>
                <w:rFonts w:ascii="宋体" w:hAnsi="宋体" w:cs="宋体" w:eastAsia="宋体" w:hint="default"/>
                <w:sz w:val="18"/>
                <w:szCs w:val="18"/>
              </w:rPr>
            </w:pPr>
            <w:r>
              <w:rPr>
                <w:rFonts w:ascii="宋体"/>
                <w:sz w:val="18"/>
              </w:rPr>
              <w:t>100.00%</w:t>
            </w:r>
          </w:p>
        </w:tc>
        <w:tc>
          <w:tcPr>
            <w:tcW w:w="357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2"/>
              <w:jc w:val="center"/>
              <w:rPr>
                <w:rFonts w:ascii="宋体" w:hAnsi="宋体" w:cs="宋体" w:eastAsia="宋体" w:hint="default"/>
                <w:sz w:val="18"/>
                <w:szCs w:val="18"/>
              </w:rPr>
            </w:pPr>
            <w:r>
              <w:rPr>
                <w:rFonts w:ascii="宋体"/>
                <w:sz w:val="18"/>
              </w:rPr>
              <w:t>100.00%</w:t>
            </w: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4"/>
          <w:szCs w:val="24"/>
        </w:rPr>
      </w:pPr>
    </w:p>
    <w:p>
      <w:pPr>
        <w:spacing w:line="624" w:lineRule="auto" w:before="46"/>
        <w:ind w:left="233" w:right="6516" w:firstLine="0"/>
        <w:jc w:val="left"/>
        <w:rPr>
          <w:rFonts w:ascii="宋体" w:hAnsi="宋体" w:cs="宋体" w:eastAsia="宋体" w:hint="default"/>
          <w:sz w:val="18"/>
          <w:szCs w:val="18"/>
        </w:rPr>
      </w:pPr>
      <w:bookmarkStart w:name="12、应收票据、应收账款" w:id="185"/>
      <w:bookmarkEnd w:id="185"/>
      <w:r>
        <w:rPr/>
      </w:r>
      <w:r>
        <w:rPr>
          <w:rFonts w:ascii="宋体" w:hAnsi="宋体" w:cs="宋体" w:eastAsia="宋体" w:hint="default"/>
          <w:b/>
          <w:bCs/>
          <w:sz w:val="18"/>
          <w:szCs w:val="18"/>
        </w:rPr>
        <w:t>12</w:t>
      </w:r>
      <w:r>
        <w:rPr>
          <w:rFonts w:ascii="宋体" w:hAnsi="宋体" w:cs="宋体" w:eastAsia="宋体" w:hint="default"/>
          <w:b/>
          <w:bCs/>
          <w:sz w:val="18"/>
          <w:szCs w:val="18"/>
        </w:rPr>
        <w:t>、应收票据、应收账款</w:t>
      </w:r>
      <w:r>
        <w:rPr>
          <w:rFonts w:ascii="宋体" w:hAnsi="宋体" w:cs="宋体" w:eastAsia="宋体" w:hint="default"/>
          <w:b/>
          <w:bCs/>
          <w:spacing w:val="-88"/>
          <w:sz w:val="18"/>
          <w:szCs w:val="18"/>
        </w:rPr>
        <w:t> </w:t>
      </w:r>
      <w:r>
        <w:rPr>
          <w:rFonts w:ascii="宋体" w:hAnsi="宋体" w:cs="宋体" w:eastAsia="宋体" w:hint="default"/>
          <w:b/>
          <w:bCs/>
          <w:spacing w:val="-88"/>
          <w:sz w:val="18"/>
          <w:szCs w:val="18"/>
        </w:rPr>
      </w:r>
      <w:r>
        <w:rPr>
          <w:rFonts w:ascii="宋体" w:hAnsi="宋体" w:cs="宋体" w:eastAsia="宋体" w:hint="default"/>
          <w:spacing w:val="-3"/>
          <w:sz w:val="18"/>
          <w:szCs w:val="18"/>
        </w:rPr>
        <w:t>详见金融工具、金融资产减值会计政策。</w:t>
      </w:r>
      <w:r>
        <w:rPr>
          <w:rFonts w:ascii="宋体" w:hAnsi="宋体" w:cs="宋体" w:eastAsia="宋体" w:hint="default"/>
          <w:spacing w:val="-33"/>
          <w:sz w:val="18"/>
          <w:szCs w:val="18"/>
        </w:rPr>
        <w:t> </w:t>
      </w:r>
      <w:r>
        <w:rPr>
          <w:rFonts w:ascii="宋体" w:hAnsi="宋体" w:cs="宋体" w:eastAsia="宋体" w:hint="default"/>
          <w:spacing w:val="-33"/>
          <w:sz w:val="18"/>
          <w:szCs w:val="18"/>
        </w:rPr>
      </w:r>
      <w:bookmarkStart w:name="13、应收款项融资" w:id="186"/>
      <w:bookmarkEnd w:id="186"/>
      <w:r>
        <w:rPr>
          <w:rFonts w:ascii="宋体" w:hAnsi="宋体" w:cs="宋体" w:eastAsia="宋体" w:hint="default"/>
          <w:spacing w:val="-33"/>
          <w:sz w:val="18"/>
          <w:szCs w:val="18"/>
        </w:rPr>
      </w:r>
      <w:r>
        <w:rPr>
          <w:rFonts w:ascii="宋体" w:hAnsi="宋体" w:cs="宋体" w:eastAsia="宋体" w:hint="default"/>
          <w:b/>
          <w:bCs/>
          <w:sz w:val="18"/>
          <w:szCs w:val="18"/>
        </w:rPr>
        <w:t>13</w:t>
      </w:r>
      <w:r>
        <w:rPr>
          <w:rFonts w:ascii="宋体" w:hAnsi="宋体" w:cs="宋体" w:eastAsia="宋体" w:hint="default"/>
          <w:b/>
          <w:bCs/>
          <w:sz w:val="18"/>
          <w:szCs w:val="18"/>
        </w:rPr>
        <w:t>、应收款项融资</w:t>
      </w:r>
      <w:r>
        <w:rPr>
          <w:rFonts w:ascii="宋体" w:hAnsi="宋体" w:cs="宋体" w:eastAsia="宋体" w:hint="default"/>
          <w:sz w:val="18"/>
          <w:szCs w:val="18"/>
        </w:rPr>
      </w:r>
    </w:p>
    <w:p>
      <w:pPr>
        <w:pStyle w:val="BodyText"/>
        <w:spacing w:line="316" w:lineRule="auto" w:before="91"/>
        <w:ind w:left="233" w:right="207" w:firstLine="480"/>
        <w:jc w:val="left"/>
      </w:pPr>
      <w:r>
        <w:rPr>
          <w:spacing w:val="-5"/>
        </w:rPr>
        <w:t>分类为以公允价值计量且其变动计入其他综合收益的应收票据和应收账款，自取得起期限在一年内（含一年）的部分，</w:t>
      </w:r>
      <w:r>
        <w:rPr>
          <w:w w:val="101"/>
        </w:rPr>
        <w:t> </w:t>
      </w:r>
      <w:r>
        <w:rPr>
          <w:spacing w:val="-3"/>
        </w:rPr>
        <w:t>列示为应收款项融资；自取得起期限在一年以上的，列示为其他债权投资。</w:t>
      </w:r>
    </w:p>
    <w:p>
      <w:pPr>
        <w:spacing w:line="240" w:lineRule="auto" w:before="8"/>
        <w:rPr>
          <w:rFonts w:ascii="宋体" w:hAnsi="宋体" w:cs="宋体" w:eastAsia="宋体" w:hint="default"/>
          <w:sz w:val="24"/>
          <w:szCs w:val="24"/>
        </w:rPr>
      </w:pPr>
    </w:p>
    <w:p>
      <w:pPr>
        <w:spacing w:line="626" w:lineRule="auto" w:before="0"/>
        <w:ind w:left="233" w:right="6516" w:firstLine="0"/>
        <w:jc w:val="left"/>
        <w:rPr>
          <w:rFonts w:ascii="宋体" w:hAnsi="宋体" w:cs="宋体" w:eastAsia="宋体" w:hint="default"/>
          <w:sz w:val="18"/>
          <w:szCs w:val="18"/>
        </w:rPr>
      </w:pPr>
      <w:bookmarkStart w:name="14、其他应收款" w:id="187"/>
      <w:bookmarkEnd w:id="187"/>
      <w:r>
        <w:rPr/>
      </w:r>
      <w:r>
        <w:rPr>
          <w:rFonts w:ascii="宋体" w:hAnsi="宋体" w:cs="宋体" w:eastAsia="宋体" w:hint="default"/>
          <w:b/>
          <w:bCs/>
          <w:sz w:val="18"/>
          <w:szCs w:val="18"/>
        </w:rPr>
        <w:t>14</w:t>
      </w:r>
      <w:r>
        <w:rPr>
          <w:rFonts w:ascii="宋体" w:hAnsi="宋体" w:cs="宋体" w:eastAsia="宋体" w:hint="default"/>
          <w:b/>
          <w:bCs/>
          <w:sz w:val="18"/>
          <w:szCs w:val="18"/>
        </w:rPr>
        <w:t>、其他应收款</w:t>
      </w:r>
      <w:r>
        <w:rPr>
          <w:rFonts w:ascii="宋体" w:hAnsi="宋体" w:cs="宋体" w:eastAsia="宋体" w:hint="default"/>
          <w:b/>
          <w:bCs/>
          <w:spacing w:val="-85"/>
          <w:sz w:val="18"/>
          <w:szCs w:val="18"/>
        </w:rPr>
        <w:t> </w:t>
      </w:r>
      <w:r>
        <w:rPr>
          <w:rFonts w:ascii="宋体" w:hAnsi="宋体" w:cs="宋体" w:eastAsia="宋体" w:hint="default"/>
          <w:b/>
          <w:bCs/>
          <w:spacing w:val="-85"/>
          <w:sz w:val="18"/>
          <w:szCs w:val="18"/>
        </w:rPr>
      </w:r>
      <w:r>
        <w:rPr>
          <w:rFonts w:ascii="宋体" w:hAnsi="宋体" w:cs="宋体" w:eastAsia="宋体" w:hint="default"/>
          <w:spacing w:val="-3"/>
          <w:sz w:val="18"/>
          <w:szCs w:val="18"/>
        </w:rPr>
        <w:t>详见金融工具、金融资产减值会计政策</w:t>
      </w: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15"/>
          <w:szCs w:val="15"/>
        </w:rPr>
      </w:pPr>
    </w:p>
    <w:p>
      <w:pPr>
        <w:pStyle w:val="Heading6"/>
        <w:spacing w:line="240" w:lineRule="auto"/>
        <w:ind w:left="233" w:right="207"/>
        <w:jc w:val="left"/>
        <w:rPr>
          <w:b w:val="0"/>
          <w:bCs w:val="0"/>
        </w:rPr>
      </w:pPr>
      <w:bookmarkStart w:name="15、存货" w:id="188"/>
      <w:bookmarkEnd w:id="188"/>
      <w:r>
        <w:rPr>
          <w:b w:val="0"/>
          <w:bCs w:val="0"/>
        </w:rPr>
      </w:r>
      <w:r>
        <w:rPr>
          <w:rFonts w:ascii="宋体" w:hAnsi="宋体" w:cs="宋体" w:eastAsia="宋体" w:hint="default"/>
        </w:rPr>
        <w:t>15</w:t>
      </w:r>
      <w:r>
        <w:rPr/>
        <w:t>、存货</w:t>
      </w:r>
      <w:r>
        <w:rPr>
          <w:b w:val="0"/>
          <w:bCs w:val="0"/>
        </w:rPr>
      </w:r>
    </w:p>
    <w:p>
      <w:pPr>
        <w:spacing w:line="240" w:lineRule="auto" w:before="0"/>
        <w:rPr>
          <w:rFonts w:ascii="宋体" w:hAnsi="宋体" w:cs="宋体" w:eastAsia="宋体" w:hint="default"/>
          <w:b/>
          <w:bCs/>
          <w:sz w:val="18"/>
          <w:szCs w:val="18"/>
        </w:rPr>
      </w:pPr>
    </w:p>
    <w:p>
      <w:pPr>
        <w:pStyle w:val="BodyText"/>
        <w:spacing w:line="316" w:lineRule="auto" w:before="138"/>
        <w:ind w:left="713" w:right="3828"/>
        <w:jc w:val="left"/>
      </w:pPr>
      <w:r>
        <w:rPr/>
        <w:t>（</w:t>
      </w:r>
      <w:r>
        <w:rPr>
          <w:rFonts w:ascii="宋体" w:hAnsi="宋体" w:cs="宋体" w:eastAsia="宋体" w:hint="default"/>
        </w:rPr>
        <w:t>1</w:t>
      </w:r>
      <w:r>
        <w:rPr/>
        <w:t>）存货的分类</w:t>
      </w:r>
      <w:r>
        <w:rPr>
          <w:spacing w:val="-87"/>
        </w:rPr>
        <w:t> </w:t>
      </w:r>
      <w:r>
        <w:rPr>
          <w:spacing w:val="-87"/>
        </w:rPr>
      </w:r>
      <w:r>
        <w:rPr>
          <w:spacing w:val="-3"/>
        </w:rPr>
        <w:t>存货主要包括原材料、产成品、发出商品、在产品、工程施工等。</w:t>
      </w:r>
    </w:p>
    <w:p>
      <w:pPr>
        <w:pStyle w:val="BodyText"/>
        <w:spacing w:line="319" w:lineRule="auto" w:before="19"/>
        <w:ind w:left="713" w:right="207"/>
        <w:jc w:val="left"/>
      </w:pPr>
      <w:r>
        <w:rPr/>
        <w:t>（</w:t>
      </w:r>
      <w:r>
        <w:rPr>
          <w:rFonts w:ascii="宋体" w:hAnsi="宋体" w:cs="宋体" w:eastAsia="宋体" w:hint="default"/>
        </w:rPr>
        <w:t>2</w:t>
      </w:r>
      <w:r>
        <w:rPr/>
        <w:t>）存货取得和发出的计价方法</w:t>
      </w:r>
      <w:r>
        <w:rPr>
          <w:spacing w:val="-86"/>
        </w:rPr>
        <w:t> </w:t>
      </w:r>
      <w:r>
        <w:rPr>
          <w:spacing w:val="-86"/>
        </w:rPr>
      </w:r>
      <w:r>
        <w:rPr>
          <w:spacing w:val="-5"/>
        </w:rPr>
        <w:t>存货在取得时按实际成本计价，存货成本包括采购成本、加工成本和其他成本。领用和发出时按移动加权平均法计价。</w:t>
      </w:r>
      <w:r>
        <w:rPr>
          <w:spacing w:val="57"/>
        </w:rPr>
        <w:t> </w:t>
      </w:r>
      <w:r>
        <w:rPr>
          <w:spacing w:val="57"/>
        </w:rPr>
      </w:r>
      <w:r>
        <w:rPr>
          <w:spacing w:val="-3"/>
        </w:rPr>
        <w:t>建造合同按实际成本计量，包括从合同签订开始至合同完成止所发生的、与执行合同有关的直接费用和间接费用。为</w:t>
      </w:r>
    </w:p>
    <w:p>
      <w:pPr>
        <w:pStyle w:val="BodyText"/>
        <w:spacing w:line="240" w:lineRule="auto" w:before="17"/>
        <w:ind w:left="233" w:right="207"/>
        <w:jc w:val="left"/>
      </w:pPr>
      <w:r>
        <w:rPr>
          <w:spacing w:val="-4"/>
        </w:rPr>
        <w:t>订立合同而发生的差旅费、投标费等，能够单独区分和可靠计量且合同很可能订立的，在取得合同时计入合同成本；未满足</w:t>
      </w:r>
    </w:p>
    <w:p>
      <w:pPr>
        <w:spacing w:after="0" w:line="240" w:lineRule="auto"/>
        <w:jc w:val="left"/>
        <w:sectPr>
          <w:pgSz w:w="11910" w:h="16840"/>
          <w:pgMar w:header="784" w:footer="1022" w:top="1100" w:bottom="1220" w:left="900" w:right="0"/>
        </w:sectPr>
      </w:pPr>
    </w:p>
    <w:p>
      <w:pPr>
        <w:spacing w:line="240" w:lineRule="auto" w:before="10"/>
        <w:rPr>
          <w:rFonts w:ascii="宋体" w:hAnsi="宋体" w:cs="宋体" w:eastAsia="宋体" w:hint="default"/>
          <w:sz w:val="22"/>
          <w:szCs w:val="22"/>
        </w:rPr>
      </w:pPr>
    </w:p>
    <w:p>
      <w:pPr>
        <w:pStyle w:val="BodyText"/>
        <w:spacing w:line="316" w:lineRule="auto"/>
        <w:ind w:left="633" w:right="0" w:hanging="480"/>
        <w:jc w:val="left"/>
      </w:pPr>
      <w:r>
        <w:rPr>
          <w:spacing w:val="-3"/>
        </w:rPr>
        <w:t>上述条件的，则计入当期损益。</w:t>
      </w:r>
      <w:r>
        <w:rPr>
          <w:spacing w:val="-45"/>
        </w:rPr>
        <w:t> </w:t>
      </w:r>
      <w:r>
        <w:rPr>
          <w:spacing w:val="-45"/>
        </w:rPr>
      </w:r>
      <w:r>
        <w:rPr>
          <w:spacing w:val="-3"/>
        </w:rPr>
        <w:t>在建合同累计已发生的成本和累计已确认的毛利（亏损）与已结算的价款在资产负债表中以抵销后的净额列示。在建</w:t>
      </w:r>
    </w:p>
    <w:p>
      <w:pPr>
        <w:pStyle w:val="BodyText"/>
        <w:spacing w:line="319" w:lineRule="auto" w:before="19"/>
        <w:ind w:right="0"/>
        <w:jc w:val="left"/>
      </w:pPr>
      <w:r>
        <w:rPr>
          <w:spacing w:val="-4"/>
        </w:rPr>
        <w:t>合同累计已发生的成本和累计已确认的毛利（亏损）之和超过已结算价款的部分作为存货列示；在建合同已结算的价款超过</w:t>
      </w:r>
      <w:r>
        <w:rPr>
          <w:spacing w:val="43"/>
        </w:rPr>
        <w:t> </w:t>
      </w:r>
      <w:r>
        <w:rPr>
          <w:spacing w:val="43"/>
        </w:rPr>
      </w:r>
      <w:r>
        <w:rPr>
          <w:spacing w:val="-3"/>
        </w:rPr>
        <w:t>累计已发生的成本与累计已确认的毛利（亏损）之和的部分作为预收款项列示。</w:t>
      </w:r>
    </w:p>
    <w:p>
      <w:pPr>
        <w:pStyle w:val="BodyText"/>
        <w:spacing w:line="316" w:lineRule="auto" w:before="17"/>
        <w:ind w:left="633" w:right="0"/>
        <w:jc w:val="left"/>
      </w:pPr>
      <w:r>
        <w:rPr>
          <w:spacing w:val="-3"/>
        </w:rPr>
        <w:t>（</w:t>
      </w:r>
      <w:r>
        <w:rPr>
          <w:rFonts w:ascii="宋体" w:hAnsi="宋体" w:cs="宋体" w:eastAsia="宋体" w:hint="default"/>
          <w:spacing w:val="-3"/>
        </w:rPr>
        <w:t>3</w:t>
      </w:r>
      <w:r>
        <w:rPr>
          <w:spacing w:val="-3"/>
        </w:rPr>
        <w:t>）存货可变现净值的确认和跌价准备的计提方法</w:t>
      </w:r>
      <w:r>
        <w:rPr>
          <w:spacing w:val="-17"/>
        </w:rPr>
        <w:t> </w:t>
      </w:r>
      <w:r>
        <w:rPr>
          <w:spacing w:val="-17"/>
        </w:rPr>
      </w:r>
      <w:r>
        <w:rPr>
          <w:spacing w:val="-3"/>
        </w:rPr>
        <w:t>可变现净值是指在日常活动中，存货的估计售价减去至完工时估计将要发生的成本、估计的销售费用以及相关税费后</w:t>
      </w:r>
    </w:p>
    <w:p>
      <w:pPr>
        <w:pStyle w:val="BodyText"/>
        <w:spacing w:line="316" w:lineRule="auto" w:before="19"/>
        <w:ind w:left="633" w:right="0" w:hanging="480"/>
        <w:jc w:val="left"/>
      </w:pPr>
      <w:r>
        <w:rPr>
          <w:spacing w:val="-6"/>
        </w:rPr>
        <w:t>的金额。在确定存货的可变现净值时，以取得的确凿证据为基础，同时考虑持有存货的目的以及资产负债表日后事项的影响。</w:t>
      </w:r>
      <w:r>
        <w:rPr>
          <w:spacing w:val="65"/>
        </w:rPr>
        <w:t> </w:t>
      </w:r>
      <w:r>
        <w:rPr>
          <w:spacing w:val="65"/>
        </w:rPr>
      </w:r>
      <w:r>
        <w:rPr>
          <w:spacing w:val="-3"/>
        </w:rPr>
        <w:t>在资产负债表日，存货按照成本与可变现净值孰低计量。当其可变现净值低于成本时，提取存货跌价准备。存货跌价</w:t>
      </w:r>
    </w:p>
    <w:p>
      <w:pPr>
        <w:pStyle w:val="BodyText"/>
        <w:spacing w:line="319" w:lineRule="auto" w:before="19"/>
        <w:ind w:right="1120"/>
        <w:jc w:val="left"/>
      </w:pPr>
      <w:r>
        <w:rPr>
          <w:spacing w:val="-4"/>
        </w:rPr>
        <w:t>准备通常按单个存货项目的成本高于其可变现净值的差额提取。对于数量繁多、单价较低的存货，按存货类别计提存货跌价</w:t>
      </w:r>
      <w:r>
        <w:rPr>
          <w:spacing w:val="38"/>
        </w:rPr>
        <w:t> </w:t>
      </w:r>
      <w:r>
        <w:rPr>
          <w:spacing w:val="38"/>
        </w:rPr>
      </w:r>
      <w:r>
        <w:rPr/>
        <w:t>准备。</w:t>
      </w:r>
    </w:p>
    <w:p>
      <w:pPr>
        <w:pStyle w:val="BodyText"/>
        <w:spacing w:line="316" w:lineRule="auto" w:before="17"/>
        <w:ind w:right="0" w:firstLine="480"/>
        <w:jc w:val="left"/>
      </w:pPr>
      <w:r>
        <w:rPr>
          <w:spacing w:val="-3"/>
        </w:rPr>
        <w:t>计提存货跌价准备后，如果以前减记存货价值的影响因素已经消失，导致存货的可变现净值高于其账面价值的，在原</w:t>
      </w:r>
      <w:r>
        <w:rPr>
          <w:w w:val="101"/>
        </w:rPr>
        <w:t> </w:t>
      </w:r>
      <w:r>
        <w:rPr>
          <w:spacing w:val="-3"/>
        </w:rPr>
        <w:t>已计提的存货跌价准备金额内予以转回，转回的金额计入当期损益。</w:t>
      </w:r>
    </w:p>
    <w:p>
      <w:pPr>
        <w:pStyle w:val="BodyText"/>
        <w:spacing w:line="240" w:lineRule="auto" w:before="19"/>
        <w:ind w:left="633" w:right="0"/>
        <w:jc w:val="left"/>
      </w:pPr>
      <w:r>
        <w:rPr>
          <w:spacing w:val="-3"/>
        </w:rPr>
        <w:t>（</w:t>
      </w:r>
      <w:r>
        <w:rPr>
          <w:rFonts w:ascii="宋体" w:hAnsi="宋体" w:cs="宋体" w:eastAsia="宋体" w:hint="default"/>
          <w:spacing w:val="-3"/>
        </w:rPr>
        <w:t>4</w:t>
      </w:r>
      <w:r>
        <w:rPr>
          <w:spacing w:val="-3"/>
        </w:rPr>
        <w:t>）存货的盘存制度为永续盘存制</w:t>
      </w:r>
    </w:p>
    <w:p>
      <w:pPr>
        <w:pStyle w:val="BodyText"/>
        <w:spacing w:line="319" w:lineRule="auto" w:before="76"/>
        <w:ind w:left="633" w:right="6445"/>
        <w:jc w:val="left"/>
      </w:pPr>
      <w:r>
        <w:rPr>
          <w:spacing w:val="-3"/>
        </w:rPr>
        <w:t>（</w:t>
      </w:r>
      <w:r>
        <w:rPr>
          <w:rFonts w:ascii="宋体" w:hAnsi="宋体" w:cs="宋体" w:eastAsia="宋体" w:hint="default"/>
          <w:spacing w:val="-3"/>
        </w:rPr>
        <w:t>5</w:t>
      </w:r>
      <w:r>
        <w:rPr>
          <w:spacing w:val="-3"/>
        </w:rPr>
        <w:t>）低值易耗品和包装物的摊销方法</w:t>
      </w:r>
      <w:r>
        <w:rPr>
          <w:spacing w:val="-35"/>
        </w:rPr>
        <w:t> </w:t>
      </w:r>
      <w:r>
        <w:rPr>
          <w:spacing w:val="-35"/>
        </w:rPr>
      </w:r>
      <w:r>
        <w:rPr>
          <w:spacing w:val="-3"/>
        </w:rPr>
        <w:t>低值易耗品于领用时按一次摊销法摊销。</w:t>
      </w:r>
    </w:p>
    <w:p>
      <w:pPr>
        <w:spacing w:line="240" w:lineRule="auto" w:before="5"/>
        <w:rPr>
          <w:rFonts w:ascii="宋体" w:hAnsi="宋体" w:cs="宋体" w:eastAsia="宋体" w:hint="default"/>
          <w:sz w:val="24"/>
          <w:szCs w:val="24"/>
        </w:rPr>
      </w:pPr>
    </w:p>
    <w:p>
      <w:pPr>
        <w:pStyle w:val="Heading6"/>
        <w:spacing w:line="624" w:lineRule="auto"/>
        <w:ind w:right="9302"/>
        <w:jc w:val="left"/>
        <w:rPr>
          <w:b w:val="0"/>
          <w:bCs w:val="0"/>
        </w:rPr>
      </w:pPr>
      <w:bookmarkStart w:name="16、合同资产" w:id="189"/>
      <w:bookmarkEnd w:id="189"/>
      <w:r>
        <w:rPr>
          <w:b w:val="0"/>
          <w:bCs w:val="0"/>
        </w:rPr>
      </w:r>
      <w:r>
        <w:rPr>
          <w:rFonts w:ascii="宋体" w:hAnsi="宋体" w:cs="宋体" w:eastAsia="宋体" w:hint="default"/>
        </w:rPr>
        <w:t>16</w:t>
      </w:r>
      <w:r>
        <w:rPr/>
        <w:t>、合同资产</w:t>
      </w:r>
      <w:r>
        <w:rPr>
          <w:spacing w:val="-87"/>
        </w:rPr>
        <w:t> </w:t>
      </w:r>
      <w:r>
        <w:rPr>
          <w:spacing w:val="-87"/>
        </w:rPr>
      </w:r>
      <w:r>
        <w:rPr>
          <w:rFonts w:ascii="宋体" w:hAnsi="宋体" w:cs="宋体" w:eastAsia="宋体" w:hint="default"/>
          <w:b w:val="0"/>
          <w:bCs w:val="0"/>
        </w:rPr>
        <w:t>无。</w:t>
      </w:r>
      <w:r>
        <w:rPr>
          <w:rFonts w:ascii="宋体" w:hAnsi="宋体" w:cs="宋体" w:eastAsia="宋体" w:hint="default"/>
          <w:b w:val="0"/>
          <w:bCs w:val="0"/>
          <w:spacing w:val="-86"/>
        </w:rPr>
        <w:t> </w:t>
      </w:r>
      <w:bookmarkStart w:name="17、合同成本" w:id="190"/>
      <w:bookmarkEnd w:id="190"/>
      <w:r>
        <w:rPr>
          <w:rFonts w:ascii="宋体" w:hAnsi="宋体" w:cs="宋体" w:eastAsia="宋体" w:hint="default"/>
          <w:b w:val="0"/>
          <w:bCs w:val="0"/>
          <w:spacing w:val="-86"/>
        </w:rPr>
      </w:r>
      <w:r>
        <w:rPr>
          <w:rFonts w:ascii="宋体" w:hAnsi="宋体" w:cs="宋体" w:eastAsia="宋体" w:hint="default"/>
        </w:rPr>
        <w:t>17</w:t>
      </w:r>
      <w:r>
        <w:rPr/>
        <w:t>、合同成本</w:t>
      </w:r>
      <w:r>
        <w:rPr>
          <w:spacing w:val="-87"/>
        </w:rPr>
        <w:t> </w:t>
      </w:r>
      <w:r>
        <w:rPr>
          <w:spacing w:val="-87"/>
        </w:rPr>
      </w:r>
      <w:r>
        <w:rPr>
          <w:rFonts w:ascii="宋体" w:hAnsi="宋体" w:cs="宋体" w:eastAsia="宋体" w:hint="default"/>
          <w:b w:val="0"/>
          <w:bCs w:val="0"/>
        </w:rPr>
        <w:t>无。</w:t>
      </w:r>
      <w:r>
        <w:rPr>
          <w:rFonts w:ascii="宋体" w:hAnsi="宋体" w:cs="宋体" w:eastAsia="宋体" w:hint="default"/>
          <w:b w:val="0"/>
          <w:bCs w:val="0"/>
          <w:spacing w:val="-86"/>
        </w:rPr>
        <w:t> </w:t>
      </w:r>
      <w:bookmarkStart w:name="18、持有待售资产" w:id="191"/>
      <w:bookmarkEnd w:id="191"/>
      <w:r>
        <w:rPr>
          <w:rFonts w:ascii="宋体" w:hAnsi="宋体" w:cs="宋体" w:eastAsia="宋体" w:hint="default"/>
          <w:b w:val="0"/>
          <w:bCs w:val="0"/>
          <w:spacing w:val="-86"/>
        </w:rPr>
      </w:r>
      <w:r>
        <w:rPr>
          <w:rFonts w:ascii="宋体" w:hAnsi="宋体" w:cs="宋体" w:eastAsia="宋体" w:hint="default"/>
          <w:spacing w:val="-2"/>
        </w:rPr>
        <w:t>18</w:t>
      </w:r>
      <w:r>
        <w:rPr>
          <w:spacing w:val="-2"/>
        </w:rPr>
        <w:t>、持有待售资产</w:t>
      </w:r>
      <w:r>
        <w:rPr>
          <w:b w:val="0"/>
          <w:bCs w:val="0"/>
          <w:spacing w:val="-2"/>
        </w:rPr>
      </w:r>
    </w:p>
    <w:p>
      <w:pPr>
        <w:pStyle w:val="BodyText"/>
        <w:spacing w:line="319" w:lineRule="auto" w:before="86"/>
        <w:ind w:right="1124" w:firstLine="480"/>
        <w:jc w:val="both"/>
      </w:pPr>
      <w:r>
        <w:rPr>
          <w:spacing w:val="-3"/>
        </w:rPr>
        <w:t>本公司若主要通过出售（包括具有商业实质的非货币性资产交换，下同）而非持续使用一项非流动资产或处置组收回</w:t>
      </w:r>
      <w:r>
        <w:rPr>
          <w:w w:val="101"/>
        </w:rPr>
        <w:t> </w:t>
      </w:r>
      <w:r>
        <w:rPr>
          <w:spacing w:val="-4"/>
        </w:rPr>
        <w:t>其账面价值的，则将其划分为持有待售类别。具体标准为同时满足以下条件：某项非流动资产或处置组根据类似交易中出售</w:t>
      </w:r>
      <w:r>
        <w:rPr>
          <w:spacing w:val="43"/>
        </w:rPr>
        <w:t> </w:t>
      </w:r>
      <w:r>
        <w:rPr>
          <w:spacing w:val="43"/>
        </w:rPr>
      </w:r>
      <w:r>
        <w:rPr>
          <w:spacing w:val="-4"/>
        </w:rPr>
        <w:t>此类资产或处置组的惯例，在当前状况下即可立即出售；本公司已经就出售计划作出决议且获得确定的购买承诺；预计出售</w:t>
      </w:r>
      <w:r>
        <w:rPr>
          <w:spacing w:val="43"/>
        </w:rPr>
        <w:t> </w:t>
      </w:r>
      <w:r>
        <w:rPr>
          <w:spacing w:val="43"/>
        </w:rPr>
      </w:r>
      <w:r>
        <w:rPr>
          <w:spacing w:val="-4"/>
        </w:rPr>
        <w:t>将在一年内完成。其中，处置组是指在一项交易中作为整体通过出售或其他方式一并处置的一组资产，以及在该交易中转让</w:t>
      </w:r>
      <w:r>
        <w:rPr>
          <w:spacing w:val="43"/>
        </w:rPr>
        <w:t> </w:t>
      </w:r>
      <w:r>
        <w:rPr>
          <w:spacing w:val="43"/>
        </w:rPr>
      </w:r>
      <w:r>
        <w:rPr>
          <w:spacing w:val="-3"/>
        </w:rPr>
        <w:t>的与这些资产直接相关的负债。处置组所属的资产组或资产组组合按照《企业会计准则第</w:t>
      </w:r>
      <w:r>
        <w:rPr>
          <w:rFonts w:ascii="宋体" w:hAnsi="宋体" w:cs="宋体" w:eastAsia="宋体" w:hint="default"/>
          <w:spacing w:val="-3"/>
        </w:rPr>
        <w:t>8</w:t>
      </w:r>
      <w:r>
        <w:rPr>
          <w:spacing w:val="-3"/>
        </w:rPr>
        <w:t>号——资产减值》分摊了企业合</w:t>
      </w:r>
      <w:r>
        <w:rPr>
          <w:spacing w:val="75"/>
        </w:rPr>
        <w:t> </w:t>
      </w:r>
      <w:r>
        <w:rPr>
          <w:spacing w:val="75"/>
        </w:rPr>
      </w:r>
      <w:r>
        <w:rPr>
          <w:spacing w:val="-3"/>
        </w:rPr>
        <w:t>并中取得的商誉的，该处置组应当包含分摊至处置组的商誉。</w:t>
      </w:r>
    </w:p>
    <w:p>
      <w:pPr>
        <w:pStyle w:val="BodyText"/>
        <w:spacing w:line="316" w:lineRule="auto" w:before="17"/>
        <w:ind w:right="0" w:firstLine="480"/>
        <w:jc w:val="left"/>
      </w:pPr>
      <w:r>
        <w:rPr>
          <w:spacing w:val="-3"/>
        </w:rPr>
        <w:t>本公司初始计量或在资产负债表日重新计量划分为持有待售的非流动资产和处置组时，其账面价值高于公允价值减去</w:t>
      </w:r>
      <w:r>
        <w:rPr>
          <w:w w:val="101"/>
        </w:rPr>
        <w:t> </w:t>
      </w:r>
      <w:r>
        <w:rPr>
          <w:spacing w:val="-6"/>
        </w:rPr>
        <w:t>出售费用后的净额的，将账面价值减记至公允价值减去出售费用后的净额，减记的金额确认为资产减值损失，计入当期损益，</w:t>
      </w:r>
      <w:r>
        <w:rPr>
          <w:spacing w:val="63"/>
        </w:rPr>
        <w:t> </w:t>
      </w:r>
      <w:r>
        <w:rPr>
          <w:spacing w:val="63"/>
        </w:rPr>
      </w:r>
      <w:r>
        <w:rPr>
          <w:spacing w:val="-4"/>
        </w:rPr>
        <w:t>同时计提持有待售资产减值准备。对于处置组，所确认的资产减值损失先抵减处置组中商誉的账面价值，再按比例抵减该处</w:t>
      </w:r>
      <w:r>
        <w:rPr>
          <w:spacing w:val="43"/>
        </w:rPr>
        <w:t> </w:t>
      </w:r>
      <w:r>
        <w:rPr>
          <w:spacing w:val="43"/>
        </w:rPr>
      </w:r>
      <w:r>
        <w:rPr>
          <w:spacing w:val="-4"/>
        </w:rPr>
        <w:t>置组内适用《企业会计准则第</w:t>
      </w:r>
      <w:r>
        <w:rPr>
          <w:rFonts w:ascii="宋体" w:hAnsi="宋体" w:cs="宋体" w:eastAsia="宋体" w:hint="default"/>
          <w:spacing w:val="-4"/>
        </w:rPr>
        <w:t>42</w:t>
      </w:r>
      <w:r>
        <w:rPr>
          <w:spacing w:val="-4"/>
        </w:rPr>
        <w:t>号——持有待售的非流动资产、处置组和终止经营》（以下简称“持有待售准则”）的计量</w:t>
      </w:r>
      <w:r>
        <w:rPr>
          <w:spacing w:val="44"/>
        </w:rPr>
        <w:t> </w:t>
      </w:r>
      <w:r>
        <w:rPr>
          <w:spacing w:val="44"/>
        </w:rPr>
      </w:r>
      <w:r>
        <w:rPr>
          <w:spacing w:val="-4"/>
        </w:rPr>
        <w:t>规定的各项非流动资产的账面价值。后续资产负债表日持有待售的处置组公允价值减去出售费用后的净额增加的，以前减记</w:t>
      </w:r>
      <w:r>
        <w:rPr>
          <w:spacing w:val="43"/>
        </w:rPr>
        <w:t> </w:t>
      </w:r>
      <w:r>
        <w:rPr>
          <w:spacing w:val="43"/>
        </w:rPr>
      </w:r>
      <w:r>
        <w:rPr/>
        <w:t>的金额应当予以恢复，并在划分为持有待售类别后适用持有待售准则计量规定的非流动资产确认的资产减值损失金额内转</w:t>
      </w:r>
      <w:r>
        <w:rPr>
          <w:spacing w:val="12"/>
        </w:rPr>
        <w:t> </w:t>
      </w:r>
      <w:r>
        <w:rPr>
          <w:spacing w:val="12"/>
        </w:rPr>
      </w:r>
      <w:r>
        <w:rPr>
          <w:spacing w:val="-5"/>
        </w:rPr>
        <w:t>回，转回金额计入当期损益，并根据处置组中除商誉外适用持有待售准则计量规定的各项非流动资产账面价值所占比重按比</w:t>
      </w:r>
      <w:r>
        <w:rPr>
          <w:spacing w:val="6"/>
        </w:rPr>
        <w:t> </w:t>
      </w:r>
      <w:r>
        <w:rPr>
          <w:spacing w:val="6"/>
        </w:rPr>
      </w:r>
      <w:r>
        <w:rPr>
          <w:spacing w:val="-4"/>
        </w:rPr>
        <w:t>例增加其账面价值；已抵减的商誉账面价值，以及适用持有待售准则计量规定的非流动资产在划分为持有待售类别前确认的</w:t>
      </w:r>
      <w:r>
        <w:rPr>
          <w:spacing w:val="39"/>
        </w:rPr>
        <w:t> </w:t>
      </w:r>
      <w:r>
        <w:rPr>
          <w:spacing w:val="39"/>
        </w:rPr>
      </w:r>
      <w:r>
        <w:rPr>
          <w:spacing w:val="-3"/>
        </w:rPr>
        <w:t>资产减值损失不得转回。</w:t>
      </w:r>
    </w:p>
    <w:p>
      <w:pPr>
        <w:pStyle w:val="BodyText"/>
        <w:spacing w:line="316" w:lineRule="auto" w:before="19"/>
        <w:ind w:right="1120" w:firstLine="480"/>
        <w:jc w:val="left"/>
      </w:pPr>
      <w:r>
        <w:rPr>
          <w:spacing w:val="-3"/>
        </w:rPr>
        <w:t>持有待售的非流动资产或处置组中的非流动资产不计提折旧或摊销，持有待售的处置组中负债的利息和其他费用继续</w:t>
      </w:r>
      <w:r>
        <w:rPr>
          <w:w w:val="101"/>
        </w:rPr>
        <w:t> </w:t>
      </w:r>
      <w:r>
        <w:rPr/>
        <w:t>予以确认。</w:t>
      </w:r>
    </w:p>
    <w:p>
      <w:pPr>
        <w:pStyle w:val="BodyText"/>
        <w:spacing w:line="316" w:lineRule="auto" w:before="18"/>
        <w:ind w:right="0" w:firstLine="480"/>
        <w:jc w:val="left"/>
      </w:pPr>
      <w:r>
        <w:rPr>
          <w:spacing w:val="-3"/>
        </w:rPr>
        <w:t>非流动资产或处置组不再满足持有待售类别的划分条件时，本公司不再将其继续划分为持有待售类别或将非流动资产</w:t>
      </w:r>
      <w:r>
        <w:rPr>
          <w:w w:val="101"/>
        </w:rPr>
        <w:t> </w:t>
      </w:r>
      <w:r>
        <w:rPr>
          <w:spacing w:val="-3"/>
        </w:rPr>
        <w:t>从持有待售的处置组中移除，并按照以下两者孰低计量：（</w:t>
      </w:r>
      <w:r>
        <w:rPr>
          <w:rFonts w:ascii="宋体" w:hAnsi="宋体" w:cs="宋体" w:eastAsia="宋体" w:hint="default"/>
          <w:spacing w:val="-3"/>
        </w:rPr>
        <w:t>1</w:t>
      </w:r>
      <w:r>
        <w:rPr>
          <w:spacing w:val="-3"/>
        </w:rPr>
        <w:t>）划分为持有待售类别前的账面价值，按照假定不划分为持有</w:t>
      </w:r>
    </w:p>
    <w:p>
      <w:pPr>
        <w:spacing w:after="0" w:line="316" w:lineRule="auto"/>
        <w:jc w:val="left"/>
        <w:sectPr>
          <w:pgSz w:w="11910" w:h="16840"/>
          <w:pgMar w:header="784" w:footer="1022" w:top="1100" w:bottom="1220" w:left="980" w:right="0"/>
        </w:sectPr>
      </w:pPr>
    </w:p>
    <w:p>
      <w:pPr>
        <w:spacing w:line="240" w:lineRule="auto" w:before="10"/>
        <w:rPr>
          <w:rFonts w:ascii="宋体" w:hAnsi="宋体" w:cs="宋体" w:eastAsia="宋体" w:hint="default"/>
          <w:sz w:val="22"/>
          <w:szCs w:val="22"/>
        </w:rPr>
      </w:pPr>
    </w:p>
    <w:p>
      <w:pPr>
        <w:pStyle w:val="BodyText"/>
        <w:spacing w:line="626" w:lineRule="auto"/>
        <w:ind w:right="3511"/>
        <w:jc w:val="left"/>
        <w:rPr>
          <w:rFonts w:ascii="宋体" w:hAnsi="宋体" w:cs="宋体" w:eastAsia="宋体" w:hint="default"/>
        </w:rPr>
      </w:pPr>
      <w:r>
        <w:rPr>
          <w:spacing w:val="-3"/>
        </w:rPr>
        <w:t>待售类别情况下本应确认的折旧、摊销或减值等进行调整后的金额；（</w:t>
      </w:r>
      <w:r>
        <w:rPr>
          <w:rFonts w:ascii="宋体" w:hAnsi="宋体" w:cs="宋体" w:eastAsia="宋体" w:hint="default"/>
          <w:spacing w:val="-3"/>
        </w:rPr>
        <w:t>2</w:t>
      </w:r>
      <w:r>
        <w:rPr>
          <w:spacing w:val="-3"/>
        </w:rPr>
        <w:t>）可收回金额。</w:t>
      </w:r>
      <w:r>
        <w:rPr>
          <w:spacing w:val="25"/>
        </w:rPr>
        <w:t> </w:t>
      </w:r>
      <w:r>
        <w:rPr>
          <w:spacing w:val="25"/>
        </w:rPr>
      </w:r>
      <w:bookmarkStart w:name="19、债权投资" w:id="192"/>
      <w:bookmarkEnd w:id="192"/>
      <w:r>
        <w:rPr>
          <w:spacing w:val="25"/>
        </w:rPr>
      </w:r>
      <w:r>
        <w:rPr>
          <w:rFonts w:ascii="宋体" w:hAnsi="宋体" w:cs="宋体" w:eastAsia="宋体" w:hint="default"/>
          <w:b/>
          <w:bCs/>
        </w:rPr>
        <w:t>19</w:t>
      </w:r>
      <w:r>
        <w:rPr>
          <w:rFonts w:ascii="宋体" w:hAnsi="宋体" w:cs="宋体" w:eastAsia="宋体" w:hint="default"/>
          <w:b/>
          <w:bCs/>
        </w:rPr>
        <w:t>、债权投资</w:t>
      </w:r>
      <w:r>
        <w:rPr>
          <w:rFonts w:ascii="宋体" w:hAnsi="宋体" w:cs="宋体" w:eastAsia="宋体" w:hint="default"/>
        </w:rPr>
      </w:r>
    </w:p>
    <w:p>
      <w:pPr>
        <w:spacing w:line="626" w:lineRule="auto" w:before="85"/>
        <w:ind w:left="153" w:right="9302" w:firstLine="0"/>
        <w:jc w:val="left"/>
        <w:rPr>
          <w:rFonts w:ascii="宋体" w:hAnsi="宋体" w:cs="宋体" w:eastAsia="宋体" w:hint="default"/>
          <w:sz w:val="18"/>
          <w:szCs w:val="18"/>
        </w:rPr>
      </w:pPr>
      <w:r>
        <w:rPr>
          <w:rFonts w:ascii="宋体" w:hAnsi="宋体" w:cs="宋体" w:eastAsia="宋体" w:hint="default"/>
          <w:sz w:val="18"/>
          <w:szCs w:val="18"/>
        </w:rPr>
        <w:t>无。</w:t>
      </w:r>
      <w:r>
        <w:rPr>
          <w:rFonts w:ascii="宋体" w:hAnsi="宋体" w:cs="宋体" w:eastAsia="宋体" w:hint="default"/>
          <w:spacing w:val="-86"/>
          <w:sz w:val="18"/>
          <w:szCs w:val="18"/>
        </w:rPr>
        <w:t> </w:t>
      </w:r>
      <w:bookmarkStart w:name="20、其他债权投资" w:id="193"/>
      <w:bookmarkEnd w:id="193"/>
      <w:r>
        <w:rPr>
          <w:rFonts w:ascii="宋体" w:hAnsi="宋体" w:cs="宋体" w:eastAsia="宋体" w:hint="default"/>
          <w:spacing w:val="-86"/>
          <w:sz w:val="18"/>
          <w:szCs w:val="18"/>
        </w:rPr>
      </w:r>
      <w:r>
        <w:rPr>
          <w:rFonts w:ascii="宋体" w:hAnsi="宋体" w:cs="宋体" w:eastAsia="宋体" w:hint="default"/>
          <w:b/>
          <w:bCs/>
          <w:spacing w:val="-2"/>
          <w:sz w:val="18"/>
          <w:szCs w:val="18"/>
        </w:rPr>
        <w:t>20</w:t>
      </w:r>
      <w:r>
        <w:rPr>
          <w:rFonts w:ascii="宋体" w:hAnsi="宋体" w:cs="宋体" w:eastAsia="宋体" w:hint="default"/>
          <w:b/>
          <w:bCs/>
          <w:spacing w:val="-2"/>
          <w:sz w:val="18"/>
          <w:szCs w:val="18"/>
        </w:rPr>
        <w:t>、其他债权投资</w:t>
      </w:r>
      <w:r>
        <w:rPr>
          <w:rFonts w:ascii="宋体" w:hAnsi="宋体" w:cs="宋体" w:eastAsia="宋体" w:hint="default"/>
          <w:b/>
          <w:bCs/>
          <w:spacing w:val="-70"/>
          <w:sz w:val="18"/>
          <w:szCs w:val="18"/>
        </w:rPr>
        <w:t> </w:t>
      </w:r>
      <w:r>
        <w:rPr>
          <w:rFonts w:ascii="宋体" w:hAnsi="宋体" w:cs="宋体" w:eastAsia="宋体" w:hint="default"/>
          <w:b/>
          <w:bCs/>
          <w:spacing w:val="-70"/>
          <w:sz w:val="18"/>
          <w:szCs w:val="18"/>
        </w:rPr>
      </w:r>
      <w:r>
        <w:rPr>
          <w:rFonts w:ascii="宋体" w:hAnsi="宋体" w:cs="宋体" w:eastAsia="宋体" w:hint="default"/>
          <w:sz w:val="18"/>
          <w:szCs w:val="18"/>
        </w:rPr>
        <w:t>无。</w:t>
      </w:r>
      <w:r>
        <w:rPr>
          <w:rFonts w:ascii="宋体" w:hAnsi="宋体" w:cs="宋体" w:eastAsia="宋体" w:hint="default"/>
          <w:spacing w:val="-86"/>
          <w:sz w:val="18"/>
          <w:szCs w:val="18"/>
        </w:rPr>
        <w:t> </w:t>
      </w:r>
      <w:bookmarkStart w:name="21、长期应收款" w:id="194"/>
      <w:bookmarkEnd w:id="194"/>
      <w:r>
        <w:rPr>
          <w:rFonts w:ascii="宋体" w:hAnsi="宋体" w:cs="宋体" w:eastAsia="宋体" w:hint="default"/>
          <w:spacing w:val="-86"/>
          <w:sz w:val="18"/>
          <w:szCs w:val="18"/>
        </w:rPr>
      </w:r>
      <w:r>
        <w:rPr>
          <w:rFonts w:ascii="宋体" w:hAnsi="宋体" w:cs="宋体" w:eastAsia="宋体" w:hint="default"/>
          <w:b/>
          <w:bCs/>
          <w:sz w:val="18"/>
          <w:szCs w:val="18"/>
        </w:rPr>
        <w:t>21</w:t>
      </w:r>
      <w:r>
        <w:rPr>
          <w:rFonts w:ascii="宋体" w:hAnsi="宋体" w:cs="宋体" w:eastAsia="宋体" w:hint="default"/>
          <w:b/>
          <w:bCs/>
          <w:sz w:val="18"/>
          <w:szCs w:val="18"/>
        </w:rPr>
        <w:t>、长期应收款</w:t>
      </w:r>
      <w:r>
        <w:rPr>
          <w:rFonts w:ascii="宋体" w:hAnsi="宋体" w:cs="宋体" w:eastAsia="宋体" w:hint="default"/>
          <w:b/>
          <w:bCs/>
          <w:spacing w:val="-85"/>
          <w:sz w:val="18"/>
          <w:szCs w:val="18"/>
        </w:rPr>
        <w:t> </w:t>
      </w:r>
      <w:r>
        <w:rPr>
          <w:rFonts w:ascii="宋体" w:hAnsi="宋体" w:cs="宋体" w:eastAsia="宋体" w:hint="default"/>
          <w:b/>
          <w:bCs/>
          <w:spacing w:val="-85"/>
          <w:sz w:val="18"/>
          <w:szCs w:val="18"/>
        </w:rPr>
      </w:r>
      <w:r>
        <w:rPr>
          <w:rFonts w:ascii="宋体" w:hAnsi="宋体" w:cs="宋体" w:eastAsia="宋体" w:hint="default"/>
          <w:sz w:val="18"/>
          <w:szCs w:val="18"/>
        </w:rPr>
        <w:t>无。</w:t>
      </w:r>
      <w:r>
        <w:rPr>
          <w:rFonts w:ascii="宋体" w:hAnsi="宋体" w:cs="宋体" w:eastAsia="宋体" w:hint="default"/>
          <w:spacing w:val="-86"/>
          <w:sz w:val="18"/>
          <w:szCs w:val="18"/>
        </w:rPr>
        <w:t> </w:t>
      </w:r>
      <w:bookmarkStart w:name="22、长期股权投资" w:id="195"/>
      <w:bookmarkEnd w:id="195"/>
      <w:r>
        <w:rPr>
          <w:rFonts w:ascii="宋体" w:hAnsi="宋体" w:cs="宋体" w:eastAsia="宋体" w:hint="default"/>
          <w:spacing w:val="-86"/>
          <w:sz w:val="18"/>
          <w:szCs w:val="18"/>
        </w:rPr>
      </w:r>
      <w:r>
        <w:rPr>
          <w:rFonts w:ascii="宋体" w:hAnsi="宋体" w:cs="宋体" w:eastAsia="宋体" w:hint="default"/>
          <w:b/>
          <w:bCs/>
          <w:spacing w:val="-2"/>
          <w:sz w:val="18"/>
          <w:szCs w:val="18"/>
        </w:rPr>
        <w:t>22</w:t>
      </w:r>
      <w:r>
        <w:rPr>
          <w:rFonts w:ascii="宋体" w:hAnsi="宋体" w:cs="宋体" w:eastAsia="宋体" w:hint="default"/>
          <w:b/>
          <w:bCs/>
          <w:spacing w:val="-2"/>
          <w:sz w:val="18"/>
          <w:szCs w:val="18"/>
        </w:rPr>
        <w:t>、长期股权投资</w:t>
      </w:r>
      <w:r>
        <w:rPr>
          <w:rFonts w:ascii="宋体" w:hAnsi="宋体" w:cs="宋体" w:eastAsia="宋体" w:hint="default"/>
          <w:spacing w:val="-2"/>
          <w:sz w:val="18"/>
          <w:szCs w:val="18"/>
        </w:rPr>
      </w:r>
    </w:p>
    <w:p>
      <w:pPr>
        <w:pStyle w:val="BodyText"/>
        <w:spacing w:line="316" w:lineRule="auto" w:before="84"/>
        <w:ind w:right="1124" w:firstLine="480"/>
        <w:jc w:val="both"/>
      </w:pPr>
      <w:r>
        <w:rPr>
          <w:spacing w:val="-3"/>
        </w:rPr>
        <w:t>本部分所指的长期股权投资是指本公司对被投资单位具有控制、共同控制或重大影响的长期股权投资。本公司对被投</w:t>
      </w:r>
      <w:r>
        <w:rPr>
          <w:w w:val="101"/>
        </w:rPr>
        <w:t> </w:t>
      </w:r>
      <w:r>
        <w:rPr>
          <w:spacing w:val="-4"/>
        </w:rPr>
        <w:t>资单位不具有控制、共同控制或重大影响的长期股权投资，作为以公允价值计量且其变动计入当期损益的金融资产核算，其</w:t>
      </w:r>
      <w:r>
        <w:rPr>
          <w:spacing w:val="43"/>
        </w:rPr>
        <w:t> </w:t>
      </w:r>
      <w:r>
        <w:rPr>
          <w:spacing w:val="43"/>
        </w:rPr>
      </w:r>
      <w:r>
        <w:rPr>
          <w:spacing w:val="-3"/>
        </w:rPr>
        <w:t>会计政策详见附注四、</w:t>
      </w:r>
      <w:r>
        <w:rPr>
          <w:rFonts w:ascii="宋体" w:hAnsi="宋体" w:cs="宋体" w:eastAsia="宋体" w:hint="default"/>
          <w:spacing w:val="-3"/>
        </w:rPr>
        <w:t>9</w:t>
      </w:r>
      <w:r>
        <w:rPr>
          <w:spacing w:val="-3"/>
        </w:rPr>
        <w:t>“金融工具”。</w:t>
      </w:r>
    </w:p>
    <w:p>
      <w:pPr>
        <w:pStyle w:val="BodyText"/>
        <w:spacing w:line="319" w:lineRule="auto" w:before="19"/>
        <w:ind w:right="1124" w:firstLine="480"/>
        <w:jc w:val="both"/>
      </w:pPr>
      <w:r>
        <w:rPr>
          <w:spacing w:val="-3"/>
        </w:rPr>
        <w:t>共同控制，是指本公司按照相关约定对某项安排所共有的控制，并且该安排的相关活动必须经过分享控制权的参与方</w:t>
      </w:r>
      <w:r>
        <w:rPr>
          <w:w w:val="101"/>
        </w:rPr>
        <w:t> </w:t>
      </w:r>
      <w:r>
        <w:rPr>
          <w:spacing w:val="-4"/>
        </w:rPr>
        <w:t>一致同意后才能决策。重大影响，是指本公司对被投资单位的财务和经营政策有参与决策的权力，但并不能够控制或者与其</w:t>
      </w:r>
      <w:r>
        <w:rPr>
          <w:spacing w:val="43"/>
        </w:rPr>
        <w:t> </w:t>
      </w:r>
      <w:r>
        <w:rPr>
          <w:spacing w:val="43"/>
        </w:rPr>
      </w:r>
      <w:r>
        <w:rPr>
          <w:spacing w:val="-3"/>
        </w:rPr>
        <w:t>他方一起共同控制这些政策的制定。</w:t>
      </w:r>
    </w:p>
    <w:p>
      <w:pPr>
        <w:pStyle w:val="BodyText"/>
        <w:spacing w:line="316" w:lineRule="auto" w:before="17"/>
        <w:ind w:left="633" w:right="0"/>
        <w:jc w:val="left"/>
      </w:pPr>
      <w:r>
        <w:rPr/>
        <w:t>（</w:t>
      </w:r>
      <w:r>
        <w:rPr>
          <w:rFonts w:ascii="宋体" w:hAnsi="宋体" w:cs="宋体" w:eastAsia="宋体" w:hint="default"/>
        </w:rPr>
        <w:t>1</w:t>
      </w:r>
      <w:r>
        <w:rPr/>
        <w:t>）投资成本的确定</w:t>
      </w:r>
      <w:r>
        <w:rPr>
          <w:spacing w:val="-88"/>
        </w:rPr>
        <w:t> </w:t>
      </w:r>
      <w:r>
        <w:rPr>
          <w:spacing w:val="-88"/>
        </w:rPr>
      </w:r>
      <w:r>
        <w:rPr>
          <w:spacing w:val="-3"/>
        </w:rPr>
        <w:t>对于同一控制下的企业合并取得的长期股权投资，在合并日按照被合并方股东权益在最终控制方合并财务报表中的账</w:t>
      </w:r>
    </w:p>
    <w:p>
      <w:pPr>
        <w:pStyle w:val="BodyText"/>
        <w:spacing w:line="319" w:lineRule="auto" w:before="19"/>
        <w:ind w:right="1122"/>
        <w:jc w:val="both"/>
      </w:pPr>
      <w:r>
        <w:rPr>
          <w:spacing w:val="-4"/>
        </w:rPr>
        <w:t>面价值的份额作为长期股权投资的初始投资成本。长期股权投资初始投资成本与支付的现金、转让的非现金资产以及所承担</w:t>
      </w:r>
      <w:r>
        <w:rPr>
          <w:spacing w:val="42"/>
        </w:rPr>
        <w:t> </w:t>
      </w:r>
      <w:r>
        <w:rPr>
          <w:spacing w:val="42"/>
        </w:rPr>
      </w:r>
      <w:r>
        <w:rPr>
          <w:spacing w:val="-4"/>
        </w:rPr>
        <w:t>债务账面价值之间的差额，调整资本公积；资本公积不足冲减的，调整留存收益。以发行权益性证券作为合并对价的，在合</w:t>
      </w:r>
      <w:r>
        <w:rPr>
          <w:spacing w:val="40"/>
        </w:rPr>
        <w:t> </w:t>
      </w:r>
      <w:r>
        <w:rPr>
          <w:spacing w:val="40"/>
        </w:rPr>
      </w:r>
      <w:r>
        <w:rPr>
          <w:spacing w:val="-4"/>
          <w:w w:val="101"/>
        </w:rPr>
        <w:t>并日按照被合并方股东权益在最终控制方合并财务报表中的账面价值的份额作为长期股权投资的初始投资成本，按照发行股</w:t>
      </w:r>
      <w:r>
        <w:rPr>
          <w:w w:val="101"/>
        </w:rPr>
        <w:t> </w:t>
      </w:r>
      <w:r>
        <w:rPr>
          <w:spacing w:val="-4"/>
        </w:rPr>
        <w:t>份的面值总额作为股本，长期股权投资初始投资成本与所发行股份面值总额之间的差额，调整资本公积；资本公积不足冲减</w:t>
      </w:r>
      <w:r>
        <w:rPr>
          <w:spacing w:val="44"/>
        </w:rPr>
        <w:t> </w:t>
      </w:r>
      <w:r>
        <w:rPr>
          <w:spacing w:val="44"/>
        </w:rPr>
      </w:r>
      <w:r>
        <w:rPr>
          <w:spacing w:val="-4"/>
        </w:rPr>
        <w:t>的，调整留存收益。通过多次交易分步取得同一控制下被合并方的股权，最终形成同一控制下企业合并的，应分别是否属于</w:t>
      </w:r>
      <w:r>
        <w:rPr>
          <w:spacing w:val="40"/>
        </w:rPr>
        <w:t> </w:t>
      </w:r>
      <w:r>
        <w:rPr>
          <w:spacing w:val="40"/>
        </w:rPr>
      </w:r>
      <w:r>
        <w:rPr>
          <w:spacing w:val="-5"/>
        </w:rPr>
        <w:t>“一揽子交易”进行处理：属于“一揽子交易”的，将各项交易作为一项取得控制权的交易进行会计处理。不属于“一揽子</w:t>
      </w:r>
      <w:r>
        <w:rPr>
          <w:spacing w:val="4"/>
        </w:rPr>
        <w:t> </w:t>
      </w:r>
      <w:r>
        <w:rPr>
          <w:spacing w:val="4"/>
        </w:rPr>
      </w:r>
      <w:r>
        <w:rPr>
          <w:spacing w:val="-4"/>
        </w:rPr>
        <w:t>交易”的，在合并日按照应享有被合并方股东权益在最终控制方合并财务报表中的账面价值的份额作为长期股权投资的初始</w:t>
      </w:r>
      <w:r>
        <w:rPr>
          <w:spacing w:val="38"/>
        </w:rPr>
        <w:t> </w:t>
      </w:r>
      <w:r>
        <w:rPr>
          <w:spacing w:val="38"/>
        </w:rPr>
      </w:r>
      <w:r>
        <w:rPr>
          <w:spacing w:val="-4"/>
          <w:w w:val="101"/>
        </w:rPr>
        <w:t>投资成本，长期股权投资初始投资成本与达到合并前的长期股权投资账面价值加上合并日进一步取得股份新支付对价的账面</w:t>
      </w:r>
      <w:r>
        <w:rPr>
          <w:w w:val="101"/>
        </w:rPr>
        <w:t> </w:t>
      </w:r>
      <w:r>
        <w:rPr>
          <w:spacing w:val="-4"/>
        </w:rPr>
        <w:t>价值之和的差额，调整资本公积；资本公积不足冲减的，调整留存收益。合并日之前持有的股权投资因采用权益法核算或为</w:t>
      </w:r>
      <w:r>
        <w:rPr>
          <w:spacing w:val="41"/>
        </w:rPr>
        <w:t> </w:t>
      </w:r>
      <w:r>
        <w:rPr>
          <w:spacing w:val="41"/>
        </w:rPr>
      </w:r>
      <w:r>
        <w:rPr>
          <w:spacing w:val="-4"/>
          <w:w w:val="101"/>
        </w:rPr>
        <w:t>以公允价值计量且其变动计入其他综合收益的金融资产而确认的其他综合收益，暂不进行会计处理可供出售金融资产而确认</w:t>
      </w:r>
      <w:r>
        <w:rPr>
          <w:w w:val="101"/>
        </w:rPr>
        <w:t> </w:t>
      </w:r>
      <w:r>
        <w:rPr>
          <w:spacing w:val="-3"/>
        </w:rPr>
        <w:t>的其他综合收益，暂不进行会计处理。</w:t>
      </w:r>
    </w:p>
    <w:p>
      <w:pPr>
        <w:pStyle w:val="BodyText"/>
        <w:spacing w:line="316" w:lineRule="auto" w:before="17"/>
        <w:ind w:right="1124" w:firstLine="480"/>
        <w:jc w:val="both"/>
      </w:pPr>
      <w:r>
        <w:rPr>
          <w:spacing w:val="-3"/>
        </w:rPr>
        <w:t>对于非同一控制下的企业合并取得的长期股权投资，在购买日按照合并成本作为长期股权投资的初始投资成本，合并</w:t>
      </w:r>
      <w:r>
        <w:rPr>
          <w:w w:val="101"/>
        </w:rPr>
        <w:t> </w:t>
      </w:r>
      <w:r>
        <w:rPr>
          <w:spacing w:val="-4"/>
        </w:rPr>
        <w:t>成本包括购买方付出的资产、发生或承担的负债、发行的权益性证券的公允价值之和。通过多次交易分步取得被购买方的股</w:t>
      </w:r>
      <w:r>
        <w:rPr>
          <w:spacing w:val="43"/>
        </w:rPr>
        <w:t> </w:t>
      </w:r>
      <w:r>
        <w:rPr>
          <w:spacing w:val="43"/>
        </w:rPr>
      </w:r>
      <w:r>
        <w:rPr>
          <w:spacing w:val="-4"/>
        </w:rPr>
        <w:t>权，最终形成非同一控制下的企业合并的，应分别是否属于“一揽子交易”进行处理：属于“一揽子交易”的，将各项交易</w:t>
      </w:r>
      <w:r>
        <w:rPr>
          <w:spacing w:val="40"/>
        </w:rPr>
        <w:t> </w:t>
      </w:r>
      <w:r>
        <w:rPr>
          <w:spacing w:val="40"/>
        </w:rPr>
      </w:r>
      <w:r>
        <w:rPr>
          <w:spacing w:val="-4"/>
        </w:rPr>
        <w:t>作为一项取得控制权的交易进行会计处理。不属于“一揽子交易”的，按照原持有被购买方的股权投资账面价值加上新增投</w:t>
      </w:r>
      <w:r>
        <w:rPr>
          <w:spacing w:val="40"/>
        </w:rPr>
        <w:t> </w:t>
      </w:r>
      <w:r>
        <w:rPr>
          <w:spacing w:val="40"/>
        </w:rPr>
      </w:r>
      <w:r>
        <w:rPr>
          <w:spacing w:val="-4"/>
        </w:rPr>
        <w:t>资成本之和，作为改按成本法核算的长期股权投资的初始投资成本。原持有的股权采用权益法核算的，相关其他综合收益暂</w:t>
      </w:r>
      <w:r>
        <w:rPr>
          <w:spacing w:val="43"/>
        </w:rPr>
        <w:t> </w:t>
      </w:r>
      <w:r>
        <w:rPr>
          <w:spacing w:val="43"/>
        </w:rPr>
      </w:r>
      <w:r>
        <w:rPr/>
        <w:t>不进行会计处理。</w:t>
      </w:r>
    </w:p>
    <w:p>
      <w:pPr>
        <w:pStyle w:val="BodyText"/>
        <w:spacing w:line="316" w:lineRule="auto" w:before="19"/>
        <w:ind w:right="1129" w:firstLine="480"/>
        <w:jc w:val="both"/>
      </w:pPr>
      <w:r>
        <w:rPr>
          <w:spacing w:val="-3"/>
        </w:rPr>
        <w:t>合并方或购买方为企业合并发生的审计、法律服务、评估咨询等中介费用以及其他相关管理费用，于发生时计入当期</w:t>
      </w:r>
      <w:r>
        <w:rPr>
          <w:w w:val="101"/>
        </w:rPr>
        <w:t> </w:t>
      </w:r>
      <w:r>
        <w:rPr/>
        <w:t>损益。</w:t>
      </w:r>
    </w:p>
    <w:p>
      <w:pPr>
        <w:pStyle w:val="BodyText"/>
        <w:spacing w:line="316" w:lineRule="auto" w:before="18"/>
        <w:ind w:right="1104" w:firstLine="480"/>
        <w:jc w:val="both"/>
      </w:pPr>
      <w:r>
        <w:rPr>
          <w:spacing w:val="-3"/>
        </w:rPr>
        <w:t>除企业合并形成的长期股权投资外的其他股权投资，按成本进行初始计量，该成本视长期股权投资取得方式的不同，</w:t>
      </w:r>
      <w:r>
        <w:rPr>
          <w:w w:val="101"/>
        </w:rPr>
        <w:t> </w:t>
      </w:r>
      <w:r>
        <w:rPr>
          <w:spacing w:val="-4"/>
        </w:rPr>
        <w:t>分别按照本公司实际支付的现金购买价款、本公司发行的权益性证券的公允价值、投资合同或协议约定的价值、非货币性资</w:t>
      </w:r>
    </w:p>
    <w:p>
      <w:pPr>
        <w:spacing w:after="0" w:line="316" w:lineRule="auto"/>
        <w:jc w:val="both"/>
        <w:sectPr>
          <w:pgSz w:w="11910" w:h="16840"/>
          <w:pgMar w:header="784" w:footer="1022" w:top="1100" w:bottom="1220" w:left="980" w:right="0"/>
        </w:sectPr>
      </w:pPr>
    </w:p>
    <w:p>
      <w:pPr>
        <w:spacing w:line="240" w:lineRule="auto" w:before="10"/>
        <w:rPr>
          <w:rFonts w:ascii="宋体" w:hAnsi="宋体" w:cs="宋体" w:eastAsia="宋体" w:hint="default"/>
          <w:sz w:val="22"/>
          <w:szCs w:val="22"/>
        </w:rPr>
      </w:pPr>
    </w:p>
    <w:p>
      <w:pPr>
        <w:pStyle w:val="BodyText"/>
        <w:spacing w:line="319" w:lineRule="auto"/>
        <w:ind w:right="1122"/>
        <w:jc w:val="both"/>
      </w:pPr>
      <w:r>
        <w:rPr>
          <w:spacing w:val="-4"/>
        </w:rPr>
        <w:t>产交换交易中换出资产的公允价值或原账面价值、该项长期股权投资自身的公允价值等方式确定。与取得长期股权投资直接</w:t>
      </w:r>
      <w:r>
        <w:rPr>
          <w:spacing w:val="42"/>
        </w:rPr>
        <w:t> </w:t>
      </w:r>
      <w:r>
        <w:rPr>
          <w:spacing w:val="42"/>
        </w:rPr>
      </w:r>
      <w:r>
        <w:rPr>
          <w:spacing w:val="-5"/>
        </w:rPr>
        <w:t>相关的费用、税金及其他必要支出也计入投资成本。对于因追加投资能够对被投资单位实施重大影响或实施共同控制但不构</w:t>
      </w:r>
      <w:r>
        <w:rPr>
          <w:spacing w:val="6"/>
        </w:rPr>
        <w:t> </w:t>
      </w:r>
      <w:r>
        <w:rPr>
          <w:spacing w:val="6"/>
        </w:rPr>
      </w:r>
      <w:r>
        <w:rPr>
          <w:spacing w:val="-4"/>
        </w:rPr>
        <w:t>成控制的，长期股权投资成本为按照《企业会计准则第</w:t>
      </w:r>
      <w:r>
        <w:rPr>
          <w:rFonts w:ascii="宋体" w:hAnsi="宋体" w:cs="宋体" w:eastAsia="宋体" w:hint="default"/>
          <w:spacing w:val="-4"/>
        </w:rPr>
        <w:t>22</w:t>
      </w:r>
      <w:r>
        <w:rPr>
          <w:spacing w:val="-4"/>
        </w:rPr>
        <w:t>号——金融工具确认和计量》确定的原持有股权投资的公允价值加</w:t>
      </w:r>
      <w:r>
        <w:rPr>
          <w:spacing w:val="47"/>
        </w:rPr>
        <w:t> </w:t>
      </w:r>
      <w:r>
        <w:rPr>
          <w:spacing w:val="47"/>
        </w:rPr>
      </w:r>
      <w:r>
        <w:rPr/>
        <w:t>上新增投资成本之和。</w:t>
      </w:r>
    </w:p>
    <w:p>
      <w:pPr>
        <w:pStyle w:val="BodyText"/>
        <w:spacing w:line="316" w:lineRule="auto" w:before="17"/>
        <w:ind w:left="633" w:right="0"/>
        <w:jc w:val="left"/>
      </w:pPr>
      <w:r>
        <w:rPr>
          <w:spacing w:val="-3"/>
        </w:rPr>
        <w:t>（</w:t>
      </w:r>
      <w:r>
        <w:rPr>
          <w:rFonts w:ascii="宋体" w:hAnsi="宋体" w:cs="宋体" w:eastAsia="宋体" w:hint="default"/>
          <w:spacing w:val="-3"/>
        </w:rPr>
        <w:t>2</w:t>
      </w:r>
      <w:r>
        <w:rPr>
          <w:spacing w:val="-3"/>
        </w:rPr>
        <w:t>）后续计量及损益确认方法</w:t>
      </w:r>
      <w:r>
        <w:rPr>
          <w:spacing w:val="-46"/>
        </w:rPr>
        <w:t> </w:t>
      </w:r>
      <w:r>
        <w:rPr>
          <w:spacing w:val="-46"/>
        </w:rPr>
      </w:r>
      <w:r>
        <w:rPr>
          <w:spacing w:val="-3"/>
        </w:rPr>
        <w:t>对被投资单位具有共同控制（构成共同经营者除外）或重大影响的长期股权投资，采用权益法核算。此外，公司财务</w:t>
      </w:r>
    </w:p>
    <w:p>
      <w:pPr>
        <w:pStyle w:val="BodyText"/>
        <w:spacing w:line="240" w:lineRule="auto" w:before="19"/>
        <w:ind w:right="0"/>
        <w:jc w:val="both"/>
      </w:pPr>
      <w:r>
        <w:rPr>
          <w:spacing w:val="-3"/>
        </w:rPr>
        <w:t>报表采用成本法核算能够对被投资单位实施控制的长期股权投资。</w:t>
      </w:r>
    </w:p>
    <w:p>
      <w:pPr>
        <w:pStyle w:val="BodyText"/>
        <w:spacing w:line="316" w:lineRule="auto" w:before="76"/>
        <w:ind w:left="633" w:right="0"/>
        <w:jc w:val="left"/>
      </w:pPr>
      <w:r>
        <w:rPr>
          <w:spacing w:val="-3"/>
        </w:rPr>
        <w:t>①成本法核算的长期股权投资</w:t>
      </w:r>
      <w:r>
        <w:rPr>
          <w:spacing w:val="-50"/>
        </w:rPr>
        <w:t> </w:t>
      </w:r>
      <w:r>
        <w:rPr>
          <w:spacing w:val="-50"/>
        </w:rPr>
      </w:r>
      <w:r>
        <w:rPr>
          <w:spacing w:val="-3"/>
        </w:rPr>
        <w:t>采用成本法核算时，长期股权投资按初始投资成本计价，追加或收回投资调整长期股权投资的成本。除取得投资时实</w:t>
      </w:r>
    </w:p>
    <w:p>
      <w:pPr>
        <w:pStyle w:val="BodyText"/>
        <w:spacing w:line="316" w:lineRule="auto" w:before="19"/>
        <w:ind w:right="1128"/>
        <w:jc w:val="both"/>
      </w:pPr>
      <w:r>
        <w:rPr>
          <w:spacing w:val="-4"/>
          <w:w w:val="101"/>
        </w:rPr>
        <w:t>际支付的价款或者对价中包含的已宣告但尚未发放的现金股利或者利润外，当期投资收益按照享有被投资单位宣告发放的现</w:t>
      </w:r>
      <w:r>
        <w:rPr>
          <w:w w:val="101"/>
        </w:rPr>
        <w:t> </w:t>
      </w:r>
      <w:r>
        <w:rPr>
          <w:spacing w:val="-3"/>
        </w:rPr>
        <w:t>金股利或利润确认。</w:t>
      </w:r>
    </w:p>
    <w:p>
      <w:pPr>
        <w:pStyle w:val="BodyText"/>
        <w:spacing w:line="316" w:lineRule="auto" w:before="19"/>
        <w:ind w:left="633" w:right="0"/>
        <w:jc w:val="left"/>
      </w:pPr>
      <w:r>
        <w:rPr>
          <w:spacing w:val="-3"/>
        </w:rPr>
        <w:t>②权益法核算的长期股权投资</w:t>
      </w:r>
      <w:r>
        <w:rPr>
          <w:spacing w:val="-50"/>
        </w:rPr>
        <w:t> </w:t>
      </w:r>
      <w:r>
        <w:rPr>
          <w:spacing w:val="-50"/>
        </w:rPr>
      </w:r>
      <w:r>
        <w:rPr>
          <w:spacing w:val="-3"/>
        </w:rPr>
        <w:t>采用权益法核算时，长期股权投资的初始投资成本大于投资时应享有被投资单位可辨认净资产公允价值份额的，不调</w:t>
      </w:r>
    </w:p>
    <w:p>
      <w:pPr>
        <w:pStyle w:val="BodyText"/>
        <w:spacing w:line="319" w:lineRule="auto" w:before="19"/>
        <w:ind w:right="1124"/>
        <w:jc w:val="both"/>
      </w:pPr>
      <w:r>
        <w:rPr>
          <w:spacing w:val="-4"/>
        </w:rPr>
        <w:t>整长期股权投资的初始投资成本；初始投资成本小于投资时应享有被投资单位可辨认净资产公允价值份额的，其差额计入当</w:t>
      </w:r>
      <w:r>
        <w:rPr>
          <w:spacing w:val="45"/>
        </w:rPr>
        <w:t> </w:t>
      </w:r>
      <w:r>
        <w:rPr>
          <w:spacing w:val="45"/>
        </w:rPr>
      </w:r>
      <w:r>
        <w:rPr>
          <w:spacing w:val="-3"/>
        </w:rPr>
        <w:t>期损益，同时调整长期股权投资的成本。</w:t>
      </w:r>
    </w:p>
    <w:p>
      <w:pPr>
        <w:pStyle w:val="BodyText"/>
        <w:spacing w:line="316" w:lineRule="auto" w:before="17"/>
        <w:ind w:right="0" w:firstLine="480"/>
        <w:jc w:val="left"/>
      </w:pPr>
      <w:r>
        <w:rPr>
          <w:spacing w:val="-3"/>
        </w:rPr>
        <w:t>采用权益法核算时，按照应享有或应分担的被投资单位实现的净损益和其他综合收益的份额，分别确认投资收益和其</w:t>
      </w:r>
      <w:r>
        <w:rPr>
          <w:w w:val="101"/>
        </w:rPr>
        <w:t> </w:t>
      </w:r>
      <w:r>
        <w:rPr>
          <w:spacing w:val="-4"/>
        </w:rPr>
        <w:t>他综合收益，同时调整长期股权投资的账面价值；按照被投资单位宣告分派的利润或现金股利计算应享有的部分，相应减少</w:t>
      </w:r>
      <w:r>
        <w:rPr>
          <w:spacing w:val="43"/>
        </w:rPr>
        <w:t> </w:t>
      </w:r>
      <w:r>
        <w:rPr>
          <w:spacing w:val="43"/>
        </w:rPr>
      </w:r>
      <w:r>
        <w:rPr>
          <w:spacing w:val="-4"/>
        </w:rPr>
        <w:t>长期股权投资的账面价值；对于被投资单位除净损益、其他综合收益和利润分配以外所有者权益的其他变动，调整长期股权</w:t>
      </w:r>
      <w:r>
        <w:rPr>
          <w:spacing w:val="43"/>
        </w:rPr>
        <w:t> </w:t>
      </w:r>
      <w:r>
        <w:rPr>
          <w:spacing w:val="43"/>
        </w:rPr>
      </w:r>
      <w:r>
        <w:rPr>
          <w:spacing w:val="-4"/>
        </w:rPr>
        <w:t>投资的账面价值并计入资本公积。在确认应享有被投资单位净损益的份额时，以取得投资时被投资单位各项可辨认资产等的</w:t>
      </w:r>
      <w:r>
        <w:rPr>
          <w:spacing w:val="45"/>
        </w:rPr>
        <w:t> </w:t>
      </w:r>
      <w:r>
        <w:rPr>
          <w:spacing w:val="45"/>
        </w:rPr>
      </w:r>
      <w:r>
        <w:rPr>
          <w:spacing w:val="-4"/>
        </w:rPr>
        <w:t>公允价值为基础，对被投资单位的净利润进行调整后确认。被投资单位采用的会计政策及会计期间与本公司不一致的，按照</w:t>
      </w:r>
      <w:r>
        <w:rPr>
          <w:spacing w:val="43"/>
        </w:rPr>
        <w:t> </w:t>
      </w:r>
      <w:r>
        <w:rPr>
          <w:spacing w:val="43"/>
        </w:rPr>
      </w:r>
      <w:r>
        <w:rPr>
          <w:spacing w:val="-5"/>
        </w:rPr>
        <w:t>本公司的会计政策及会计期间对被投资单位的财务报表进行调整，并据以确认投资收益和其他综合收益。对于本公司与联营</w:t>
      </w:r>
      <w:r>
        <w:rPr>
          <w:spacing w:val="6"/>
        </w:rPr>
        <w:t> </w:t>
      </w:r>
      <w:r>
        <w:rPr>
          <w:spacing w:val="6"/>
        </w:rPr>
      </w:r>
      <w:r>
        <w:rPr>
          <w:spacing w:val="-4"/>
        </w:rPr>
        <w:t>企业及合营企业之间发生的交易，投出或出售的资产不构成业务的，未实现内部交易损益按照享有的比例计算归属于本公司</w:t>
      </w:r>
      <w:r>
        <w:rPr>
          <w:spacing w:val="44"/>
        </w:rPr>
        <w:t> </w:t>
      </w:r>
      <w:r>
        <w:rPr>
          <w:spacing w:val="44"/>
        </w:rPr>
      </w:r>
      <w:r>
        <w:rPr>
          <w:spacing w:val="-4"/>
        </w:rPr>
        <w:t>的部分予以抵销，在此基础上确认投资损益。但本公司与被投资单位发生的未实现内部交易损失，属于所转让资产减值损失</w:t>
      </w:r>
      <w:r>
        <w:rPr>
          <w:spacing w:val="43"/>
        </w:rPr>
        <w:t> </w:t>
      </w:r>
      <w:r>
        <w:rPr>
          <w:spacing w:val="43"/>
        </w:rPr>
      </w:r>
      <w:r>
        <w:rPr>
          <w:spacing w:val="-3"/>
        </w:rPr>
        <w:t>的，不予以抵销。本公司向合营企业或联营企业投出的资产构成业务的，投资方因此取得长期股权投资但未取得控制权的，</w:t>
      </w:r>
      <w:r>
        <w:rPr>
          <w:spacing w:val="67"/>
        </w:rPr>
        <w:t> </w:t>
      </w:r>
      <w:r>
        <w:rPr>
          <w:spacing w:val="67"/>
        </w:rPr>
      </w:r>
      <w:r>
        <w:rPr>
          <w:spacing w:val="-4"/>
        </w:rPr>
        <w:t>以投出业务的公允价值作为新增长期股权投资的初始投资成本，初始投资成本与投出业务的账面价值之差，全额计入当期损</w:t>
      </w:r>
      <w:r>
        <w:rPr>
          <w:spacing w:val="38"/>
        </w:rPr>
        <w:t> </w:t>
      </w:r>
      <w:r>
        <w:rPr>
          <w:spacing w:val="38"/>
        </w:rPr>
      </w:r>
      <w:r>
        <w:rPr>
          <w:spacing w:val="-4"/>
        </w:rPr>
        <w:t>益。本公司向合营企业或联营企业出售的资产构成业务的，取得的对价与业务的账面价值之差，全额计入当期损益。本公司</w:t>
      </w:r>
      <w:r>
        <w:rPr>
          <w:spacing w:val="40"/>
        </w:rPr>
        <w:t> </w:t>
      </w:r>
      <w:r>
        <w:rPr>
          <w:spacing w:val="40"/>
        </w:rPr>
      </w:r>
      <w:r>
        <w:rPr>
          <w:spacing w:val="-4"/>
        </w:rPr>
        <w:t>自联营企业及合营企业购入的资产构成业务的，按《企业会计准则第</w:t>
      </w:r>
      <w:r>
        <w:rPr>
          <w:rFonts w:ascii="宋体" w:hAnsi="宋体" w:cs="宋体" w:eastAsia="宋体" w:hint="default"/>
          <w:spacing w:val="-4"/>
        </w:rPr>
        <w:t>20</w:t>
      </w:r>
      <w:r>
        <w:rPr>
          <w:spacing w:val="-4"/>
        </w:rPr>
        <w:t>号——企业合并》的规定进行会计处理，全额确认与</w:t>
      </w:r>
      <w:r>
        <w:rPr>
          <w:spacing w:val="45"/>
        </w:rPr>
        <w:t> </w:t>
      </w:r>
      <w:r>
        <w:rPr>
          <w:spacing w:val="45"/>
        </w:rPr>
      </w:r>
      <w:r>
        <w:rPr>
          <w:spacing w:val="-3"/>
        </w:rPr>
        <w:t>交易相关的利得或损失。</w:t>
      </w:r>
    </w:p>
    <w:p>
      <w:pPr>
        <w:pStyle w:val="BodyText"/>
        <w:spacing w:line="319" w:lineRule="auto" w:before="19"/>
        <w:ind w:right="1123" w:firstLine="480"/>
        <w:jc w:val="both"/>
      </w:pPr>
      <w:r>
        <w:rPr>
          <w:spacing w:val="-3"/>
        </w:rPr>
        <w:t>在确认应分担被投资单位发生的净亏损时，以长期股权投资的账面价值和其他实质上构成对被投资单位净投资的长期</w:t>
      </w:r>
      <w:r>
        <w:rPr>
          <w:w w:val="101"/>
        </w:rPr>
        <w:t> </w:t>
      </w:r>
      <w:r>
        <w:rPr>
          <w:spacing w:val="-4"/>
        </w:rPr>
        <w:t>权益减记至零为限。此外，如本公司对被投资单位负有承担额外损失的义务，则按预计承担的义务确认预计负债，计入当期</w:t>
      </w:r>
      <w:r>
        <w:rPr>
          <w:spacing w:val="40"/>
        </w:rPr>
        <w:t> </w:t>
      </w:r>
      <w:r>
        <w:rPr>
          <w:spacing w:val="40"/>
        </w:rPr>
      </w:r>
      <w:r>
        <w:rPr>
          <w:spacing w:val="-3"/>
        </w:rPr>
        <w:t>投资损失。被投资单位以后期间实现净利润的，本公司在收益分享额弥补未确认的亏损分担额后，恢复确认收益分享额。</w:t>
      </w:r>
    </w:p>
    <w:p>
      <w:pPr>
        <w:pStyle w:val="BodyText"/>
        <w:spacing w:line="316" w:lineRule="auto" w:before="17"/>
        <w:ind w:left="633" w:right="1120"/>
        <w:jc w:val="left"/>
      </w:pPr>
      <w:r>
        <w:rPr>
          <w:spacing w:val="-3"/>
        </w:rPr>
        <w:t>③收购少数股权</w:t>
      </w:r>
      <w:r>
        <w:rPr>
          <w:spacing w:val="-68"/>
        </w:rPr>
        <w:t> </w:t>
      </w:r>
      <w:r>
        <w:rPr>
          <w:spacing w:val="-68"/>
        </w:rPr>
      </w:r>
      <w:r>
        <w:rPr>
          <w:spacing w:val="-3"/>
        </w:rPr>
        <w:t>在编制合并财务报表时，因购买少数股权新增的长期股权投资与按照新增持股比例计算应享有子公司自购买日（或合</w:t>
      </w:r>
    </w:p>
    <w:p>
      <w:pPr>
        <w:pStyle w:val="BodyText"/>
        <w:spacing w:line="240" w:lineRule="auto" w:before="19"/>
        <w:ind w:right="0"/>
        <w:jc w:val="both"/>
      </w:pPr>
      <w:r>
        <w:rPr>
          <w:spacing w:val="-3"/>
        </w:rPr>
        <w:t>并日）开始持续计算的净资产份额之间的差额，调整资本公积，资本公积不足冲减的，调整留存收益。</w:t>
      </w:r>
    </w:p>
    <w:p>
      <w:pPr>
        <w:pStyle w:val="BodyText"/>
        <w:spacing w:line="316" w:lineRule="auto" w:before="76"/>
        <w:ind w:left="633" w:right="0"/>
        <w:jc w:val="left"/>
      </w:pPr>
      <w:r>
        <w:rPr>
          <w:spacing w:val="-3"/>
        </w:rPr>
        <w:t>④处置长期股权投资</w:t>
      </w:r>
      <w:r>
        <w:rPr>
          <w:spacing w:val="-62"/>
        </w:rPr>
        <w:t> </w:t>
      </w:r>
      <w:r>
        <w:rPr>
          <w:spacing w:val="-62"/>
        </w:rPr>
      </w:r>
      <w:r>
        <w:rPr>
          <w:spacing w:val="-3"/>
        </w:rPr>
        <w:t>在合并财务报表中，母公司在不丧失控制权的情况下部分处置对子公司的长期股权投资，处置价款与处置长期股权投</w:t>
      </w:r>
    </w:p>
    <w:p>
      <w:pPr>
        <w:pStyle w:val="BodyText"/>
        <w:spacing w:line="316" w:lineRule="auto" w:before="19"/>
        <w:ind w:right="1124"/>
        <w:jc w:val="both"/>
      </w:pPr>
      <w:r>
        <w:rPr>
          <w:spacing w:val="-4"/>
        </w:rPr>
        <w:t>资相对应享有子公司净资产的差额计入股东权益；母公司部分处置对子公司的长期股权投资导致丧失对子公司控制权的，按</w:t>
      </w:r>
      <w:r>
        <w:rPr>
          <w:spacing w:val="42"/>
        </w:rPr>
        <w:t> </w:t>
      </w:r>
      <w:r>
        <w:rPr>
          <w:spacing w:val="42"/>
        </w:rPr>
      </w:r>
      <w:r>
        <w:rPr>
          <w:spacing w:val="-3"/>
        </w:rPr>
        <w:t>本附注四、</w:t>
      </w:r>
      <w:r>
        <w:rPr>
          <w:rFonts w:ascii="宋体" w:hAnsi="宋体" w:cs="宋体" w:eastAsia="宋体" w:hint="default"/>
          <w:spacing w:val="-3"/>
        </w:rPr>
        <w:t>5</w:t>
      </w:r>
      <w:r>
        <w:rPr>
          <w:spacing w:val="-3"/>
        </w:rPr>
        <w:t>、（</w:t>
      </w:r>
      <w:r>
        <w:rPr>
          <w:rFonts w:ascii="宋体" w:hAnsi="宋体" w:cs="宋体" w:eastAsia="宋体" w:hint="default"/>
          <w:spacing w:val="-3"/>
        </w:rPr>
        <w:t>2</w:t>
      </w:r>
      <w:r>
        <w:rPr>
          <w:spacing w:val="-3"/>
        </w:rPr>
        <w:t>）“合并财务报表编制的方法”中所述的相关会计政策处理。</w:t>
      </w:r>
    </w:p>
    <w:p>
      <w:pPr>
        <w:pStyle w:val="BodyText"/>
        <w:spacing w:line="316" w:lineRule="auto" w:before="19"/>
        <w:ind w:left="633" w:right="0"/>
        <w:jc w:val="left"/>
      </w:pPr>
      <w:r>
        <w:rPr>
          <w:spacing w:val="-3"/>
        </w:rPr>
        <w:t>其他情形下的长期股权投资处置，对于处置的股权，其账面价值与实际取得价款的差额，计入当期损益。</w:t>
      </w:r>
      <w:r>
        <w:rPr>
          <w:spacing w:val="43"/>
        </w:rPr>
        <w:t> </w:t>
      </w:r>
      <w:r>
        <w:rPr>
          <w:spacing w:val="43"/>
        </w:rPr>
      </w:r>
      <w:r>
        <w:rPr>
          <w:spacing w:val="-3"/>
        </w:rPr>
        <w:t>采用权益法核算的长期股权投资，处置后的剩余股权仍采用权益法核算的，在处置时将原计入股东权益的其他综合收</w:t>
      </w:r>
    </w:p>
    <w:p>
      <w:pPr>
        <w:pStyle w:val="BodyText"/>
        <w:spacing w:line="319" w:lineRule="auto" w:before="19"/>
        <w:ind w:right="1128"/>
        <w:jc w:val="both"/>
      </w:pPr>
      <w:r>
        <w:rPr>
          <w:spacing w:val="-4"/>
        </w:rPr>
        <w:t>益部分按相应的比例采用与被投资单位直接处置相关资产或负债相同的基础进行会计处理。因被投资方除净损益、其他综合</w:t>
      </w:r>
      <w:r>
        <w:rPr>
          <w:spacing w:val="38"/>
        </w:rPr>
        <w:t> </w:t>
      </w:r>
      <w:r>
        <w:rPr>
          <w:spacing w:val="38"/>
        </w:rPr>
      </w:r>
      <w:r>
        <w:rPr>
          <w:spacing w:val="-3"/>
        </w:rPr>
        <w:t>收益和利润分配以外的其他所有者权益变动而确认的所有者权益，按比例结转入当期损益。</w:t>
      </w:r>
    </w:p>
    <w:p>
      <w:pPr>
        <w:pStyle w:val="BodyText"/>
        <w:spacing w:line="316" w:lineRule="auto" w:before="17"/>
        <w:ind w:right="1117" w:firstLine="480"/>
        <w:jc w:val="left"/>
      </w:pPr>
      <w:r>
        <w:rPr>
          <w:spacing w:val="-3"/>
        </w:rPr>
        <w:t>采用成本法核算的长期股权投资，处置后剩余股权仍采用成本法核算的，其在取得对被投资单位的控制之前因采用权</w:t>
      </w:r>
      <w:r>
        <w:rPr>
          <w:w w:val="101"/>
        </w:rPr>
        <w:t> </w:t>
      </w:r>
      <w:r>
        <w:rPr>
          <w:spacing w:val="-4"/>
          <w:w w:val="101"/>
        </w:rPr>
        <w:t>益法核算或金融工具确认和计量准则核算而确认的其他综合收益，采用与被投资单位直接处置相关资产或负债相同的基础进</w:t>
      </w:r>
      <w:r>
        <w:rPr>
          <w:spacing w:val="-4"/>
        </w:rPr>
      </w:r>
    </w:p>
    <w:p>
      <w:pPr>
        <w:spacing w:after="0" w:line="316" w:lineRule="auto"/>
        <w:jc w:val="left"/>
        <w:sectPr>
          <w:pgSz w:w="11910" w:h="16840"/>
          <w:pgMar w:header="784" w:footer="1022" w:top="1100" w:bottom="1220" w:left="980" w:right="0"/>
        </w:sectPr>
      </w:pPr>
    </w:p>
    <w:p>
      <w:pPr>
        <w:spacing w:line="240" w:lineRule="auto" w:before="10"/>
        <w:rPr>
          <w:rFonts w:ascii="宋体" w:hAnsi="宋体" w:cs="宋体" w:eastAsia="宋体" w:hint="default"/>
          <w:sz w:val="22"/>
          <w:szCs w:val="22"/>
        </w:rPr>
      </w:pPr>
    </w:p>
    <w:p>
      <w:pPr>
        <w:pStyle w:val="BodyText"/>
        <w:spacing w:line="316" w:lineRule="auto"/>
        <w:ind w:right="0"/>
        <w:jc w:val="left"/>
      </w:pPr>
      <w:r>
        <w:rPr>
          <w:spacing w:val="-4"/>
        </w:rPr>
        <w:t>行会计处理，并按比例结转当期损益；因采用权益法核算而确认的被投资单位净资产中除净损益、其他综合收益和利润分配</w:t>
      </w:r>
      <w:r>
        <w:rPr>
          <w:spacing w:val="43"/>
        </w:rPr>
        <w:t> </w:t>
      </w:r>
      <w:r>
        <w:rPr>
          <w:spacing w:val="43"/>
        </w:rPr>
      </w:r>
      <w:r>
        <w:rPr>
          <w:spacing w:val="-3"/>
        </w:rPr>
        <w:t>以外的其他所有者权益变动按比例结转当期损益。</w:t>
      </w:r>
    </w:p>
    <w:p>
      <w:pPr>
        <w:pStyle w:val="BodyText"/>
        <w:spacing w:line="319" w:lineRule="auto" w:before="19"/>
        <w:ind w:right="1122" w:firstLine="480"/>
        <w:jc w:val="both"/>
      </w:pPr>
      <w:r>
        <w:rPr>
          <w:spacing w:val="-3"/>
        </w:rPr>
        <w:t>本公司因处置部分股权投资丧失了对被投资单位的控制的，在编制个别财务报表时，处置后的剩余股权能够对被投资</w:t>
      </w:r>
      <w:r>
        <w:rPr>
          <w:w w:val="101"/>
        </w:rPr>
        <w:t> </w:t>
      </w:r>
      <w:r>
        <w:rPr>
          <w:spacing w:val="-4"/>
        </w:rPr>
        <w:t>单位实施共同控制或施加重大影响的，改按权益法核算，并对该剩余股权视同自取得时即采用权益法核算进行调整；处置后</w:t>
      </w:r>
      <w:r>
        <w:rPr>
          <w:spacing w:val="43"/>
        </w:rPr>
        <w:t> </w:t>
      </w:r>
      <w:r>
        <w:rPr>
          <w:spacing w:val="43"/>
        </w:rPr>
      </w:r>
      <w:r>
        <w:rPr>
          <w:spacing w:val="-4"/>
        </w:rPr>
        <w:t>的剩余股权不能对被投资单位实施共同控制或施加重大影响的，改按金融工具确认和计量准则的有关规定进行会计处理，其</w:t>
      </w:r>
      <w:r>
        <w:rPr>
          <w:spacing w:val="38"/>
        </w:rPr>
        <w:t> </w:t>
      </w:r>
      <w:r>
        <w:rPr>
          <w:spacing w:val="38"/>
        </w:rPr>
      </w:r>
      <w:r>
        <w:rPr>
          <w:spacing w:val="-5"/>
        </w:rPr>
        <w:t>在丧失控制之日的公允价值与账面价值之间的差额计入当期损益。对于本公司取得对被投资单位的控制之前，因采用权益法</w:t>
      </w:r>
      <w:r>
        <w:rPr>
          <w:spacing w:val="6"/>
        </w:rPr>
        <w:t> </w:t>
      </w:r>
      <w:r>
        <w:rPr>
          <w:spacing w:val="6"/>
        </w:rPr>
      </w:r>
      <w:r>
        <w:rPr>
          <w:spacing w:val="-4"/>
          <w:w w:val="101"/>
        </w:rPr>
        <w:t>核算或金融工具确认和计量准则核算而确认的其他综合收益，在丧失对被投资单位控制时采用与被投资单位直接处置相关资</w:t>
      </w:r>
      <w:r>
        <w:rPr>
          <w:w w:val="101"/>
        </w:rPr>
        <w:t> </w:t>
      </w:r>
      <w:r>
        <w:rPr>
          <w:spacing w:val="-4"/>
        </w:rPr>
        <w:t>产或负债相同的基础进行会计处理，因采用权益法核算而确认的被投资单位净资产中除净损益、其他综合收益和利润分配以</w:t>
      </w:r>
      <w:r>
        <w:rPr>
          <w:spacing w:val="44"/>
        </w:rPr>
        <w:t> </w:t>
      </w:r>
      <w:r>
        <w:rPr>
          <w:spacing w:val="44"/>
        </w:rPr>
      </w:r>
      <w:r>
        <w:rPr>
          <w:spacing w:val="-4"/>
        </w:rPr>
        <w:t>外的其他所有者权益变动在丧失对被投资单位控制时结转入当期损益。其中，处置后的剩余股权采用权益法核算的，其他综</w:t>
      </w:r>
      <w:r>
        <w:rPr>
          <w:spacing w:val="38"/>
        </w:rPr>
        <w:t> </w:t>
      </w:r>
      <w:r>
        <w:rPr>
          <w:spacing w:val="38"/>
        </w:rPr>
      </w:r>
      <w:r>
        <w:rPr>
          <w:spacing w:val="-4"/>
        </w:rPr>
        <w:t>合收益和其他所有者权益按比例结转；处置后的剩余股权改按金融工具确认和计量准则进行会计处理的，其他综合收益和其</w:t>
      </w:r>
      <w:r>
        <w:rPr>
          <w:spacing w:val="44"/>
        </w:rPr>
        <w:t> </w:t>
      </w:r>
      <w:r>
        <w:rPr>
          <w:spacing w:val="44"/>
        </w:rPr>
      </w:r>
      <w:r>
        <w:rPr>
          <w:spacing w:val="-3"/>
        </w:rPr>
        <w:t>他所有者权益全部结转。</w:t>
      </w:r>
    </w:p>
    <w:p>
      <w:pPr>
        <w:pStyle w:val="BodyText"/>
        <w:spacing w:line="319" w:lineRule="auto" w:before="17"/>
        <w:ind w:right="1124" w:firstLine="480"/>
        <w:jc w:val="both"/>
      </w:pPr>
      <w:r>
        <w:rPr>
          <w:spacing w:val="-3"/>
        </w:rPr>
        <w:t>本公司因处置部分股权投资丧失了对被投资单位的共同控制或重大影响的，处置后的剩余股权改按金融工具确认和计</w:t>
      </w:r>
      <w:r>
        <w:rPr>
          <w:w w:val="101"/>
        </w:rPr>
        <w:t> </w:t>
      </w:r>
      <w:r>
        <w:rPr>
          <w:spacing w:val="-4"/>
        </w:rPr>
        <w:t>量准则核算，其在丧失共同控制或重大影响之日的公允价值与账面价值之间的差额计入当期损益。原股权投资因采用权益法</w:t>
      </w:r>
      <w:r>
        <w:rPr>
          <w:spacing w:val="42"/>
        </w:rPr>
        <w:t> </w:t>
      </w:r>
      <w:r>
        <w:rPr>
          <w:spacing w:val="42"/>
        </w:rPr>
      </w:r>
      <w:r>
        <w:rPr>
          <w:spacing w:val="-1"/>
        </w:rPr>
        <w:t>核算而确认的其他综合收益，在终止采用权益法核算时采用与被投资单位直接处置相关资产或负债相同的基础进行会计处</w:t>
      </w:r>
      <w:r>
        <w:rPr>
          <w:spacing w:val="65"/>
        </w:rPr>
        <w:t> </w:t>
      </w:r>
      <w:r>
        <w:rPr>
          <w:spacing w:val="65"/>
        </w:rPr>
      </w:r>
      <w:r>
        <w:rPr>
          <w:spacing w:val="-4"/>
        </w:rPr>
        <w:t>理，因被投资方除净损益、其他综合收益和利润分配以外的其他所有者权益变动而确认的所有者权益，在终止采用权益法时</w:t>
      </w:r>
      <w:r>
        <w:rPr>
          <w:spacing w:val="43"/>
        </w:rPr>
        <w:t> </w:t>
      </w:r>
      <w:r>
        <w:rPr>
          <w:spacing w:val="43"/>
        </w:rPr>
      </w:r>
      <w:r>
        <w:rPr>
          <w:spacing w:val="-3"/>
        </w:rPr>
        <w:t>全部转入当期投资收益。</w:t>
      </w:r>
    </w:p>
    <w:p>
      <w:pPr>
        <w:pStyle w:val="BodyText"/>
        <w:spacing w:line="316" w:lineRule="auto" w:before="17"/>
        <w:ind w:right="1128" w:firstLine="480"/>
        <w:jc w:val="both"/>
      </w:pPr>
      <w:r>
        <w:rPr>
          <w:spacing w:val="-3"/>
        </w:rPr>
        <w:t>本公司通过多次交易分步处置对子公司股权投资直至丧失控制权，如果上述交易属于一揽子交易的，将各项交易作为</w:t>
      </w:r>
      <w:r>
        <w:rPr>
          <w:w w:val="101"/>
        </w:rPr>
        <w:t> </w:t>
      </w:r>
      <w:r>
        <w:rPr>
          <w:spacing w:val="-4"/>
          <w:w w:val="101"/>
        </w:rPr>
        <w:t>一项处置子公司股权投资并丧失控制权的交易进行会计处理，在丧失控制权之前每一次处置价款与所处置的股权对应的长期</w:t>
      </w:r>
      <w:r>
        <w:rPr>
          <w:w w:val="101"/>
        </w:rPr>
        <w:t> </w:t>
      </w:r>
      <w:r>
        <w:rPr>
          <w:spacing w:val="-3"/>
        </w:rPr>
        <w:t>股权投资账面价值之间的差额，先确认为其他综合收益，到丧失控制权时再一并转入丧失控制权的当期损益。</w:t>
      </w:r>
    </w:p>
    <w:p>
      <w:pPr>
        <w:spacing w:line="240" w:lineRule="auto" w:before="8"/>
        <w:rPr>
          <w:rFonts w:ascii="宋体" w:hAnsi="宋体" w:cs="宋体" w:eastAsia="宋体" w:hint="default"/>
          <w:sz w:val="24"/>
          <w:szCs w:val="24"/>
        </w:rPr>
      </w:pPr>
    </w:p>
    <w:p>
      <w:pPr>
        <w:pStyle w:val="Heading6"/>
        <w:spacing w:line="240" w:lineRule="auto"/>
        <w:ind w:right="0"/>
        <w:jc w:val="left"/>
        <w:rPr>
          <w:b w:val="0"/>
          <w:bCs w:val="0"/>
        </w:rPr>
      </w:pPr>
      <w:bookmarkStart w:name="23、投资性房地产" w:id="196"/>
      <w:bookmarkEnd w:id="196"/>
      <w:r>
        <w:rPr>
          <w:b w:val="0"/>
          <w:bCs w:val="0"/>
        </w:rPr>
      </w:r>
      <w:r>
        <w:rPr>
          <w:rFonts w:ascii="宋体" w:hAnsi="宋体" w:cs="宋体" w:eastAsia="宋体" w:hint="default"/>
        </w:rPr>
        <w:t>23</w:t>
      </w:r>
      <w:r>
        <w:rPr/>
        <w:t>、投资性房地产</w:t>
      </w:r>
      <w:r>
        <w:rPr>
          <w:b w:val="0"/>
          <w:bCs w:val="0"/>
        </w:rPr>
      </w:r>
    </w:p>
    <w:p>
      <w:pPr>
        <w:spacing w:line="240" w:lineRule="auto" w:before="0"/>
        <w:rPr>
          <w:rFonts w:ascii="宋体" w:hAnsi="宋体" w:cs="宋体" w:eastAsia="宋体" w:hint="default"/>
          <w:b/>
          <w:bCs/>
          <w:sz w:val="18"/>
          <w:szCs w:val="18"/>
        </w:rPr>
      </w:pPr>
    </w:p>
    <w:p>
      <w:pPr>
        <w:pStyle w:val="BodyText"/>
        <w:spacing w:line="360" w:lineRule="auto" w:before="143"/>
        <w:ind w:right="8823"/>
        <w:jc w:val="left"/>
      </w:pPr>
      <w:r>
        <w:rPr>
          <w:spacing w:val="-2"/>
        </w:rPr>
        <w:t>投资性房地产计量模式</w:t>
      </w:r>
      <w:r>
        <w:rPr>
          <w:spacing w:val="-66"/>
        </w:rPr>
        <w:t> </w:t>
      </w:r>
      <w:r>
        <w:rPr>
          <w:spacing w:val="-66"/>
        </w:rPr>
      </w:r>
      <w:r>
        <w:rPr/>
        <w:t>成本法计量</w:t>
      </w:r>
      <w:r>
        <w:rPr>
          <w:w w:val="101"/>
        </w:rPr>
        <w:t> </w:t>
      </w:r>
      <w:r>
        <w:rPr>
          <w:spacing w:val="-3"/>
        </w:rPr>
        <w:t>折旧或摊销方法</w:t>
      </w:r>
    </w:p>
    <w:p>
      <w:pPr>
        <w:pStyle w:val="BodyText"/>
        <w:spacing w:line="316" w:lineRule="auto" w:before="20"/>
        <w:ind w:right="1037" w:firstLine="480"/>
        <w:jc w:val="both"/>
      </w:pPr>
      <w:r>
        <w:rPr>
          <w:spacing w:val="-3"/>
        </w:rPr>
        <w:t>投资性房地产是指为赚取租金或资本增值，或两者兼有而持有的房地产。包括已出租的土地使用权、持有并准备增值</w:t>
      </w:r>
      <w:r>
        <w:rPr>
          <w:w w:val="101"/>
        </w:rPr>
        <w:t> </w:t>
      </w:r>
      <w:r>
        <w:rPr>
          <w:spacing w:val="-4"/>
        </w:rPr>
        <w:t>后转让的土地使用权、已出租的建筑物等。投资性房地产按成本进行初始计量。与投资性房地产有关的后续支出，如果与该</w:t>
      </w:r>
      <w:r>
        <w:rPr>
          <w:spacing w:val="40"/>
        </w:rPr>
        <w:t> </w:t>
      </w:r>
      <w:r>
        <w:rPr>
          <w:spacing w:val="40"/>
        </w:rPr>
      </w:r>
      <w:r>
        <w:rPr>
          <w:spacing w:val="-6"/>
        </w:rPr>
        <w:t>资产有关的经济利益很可能流入且其成本能可靠地计量，则计入投资性房地产成本。其他后续支出，在发生时计入当期损益。</w:t>
      </w:r>
    </w:p>
    <w:p>
      <w:pPr>
        <w:pStyle w:val="BodyText"/>
        <w:spacing w:line="319" w:lineRule="auto" w:before="19"/>
        <w:ind w:left="633" w:right="0"/>
        <w:jc w:val="left"/>
      </w:pPr>
      <w:r>
        <w:rPr>
          <w:spacing w:val="-3"/>
        </w:rPr>
        <w:t>本公司采用成本模式对投资性房地产进行后续计量，并按照与房屋建筑物或土地使用权一致的政策进行折旧或摊销。</w:t>
      </w:r>
      <w:r>
        <w:rPr>
          <w:spacing w:val="60"/>
        </w:rPr>
        <w:t> </w:t>
      </w:r>
      <w:r>
        <w:rPr>
          <w:spacing w:val="60"/>
        </w:rPr>
      </w:r>
      <w:r>
        <w:rPr>
          <w:spacing w:val="-3"/>
        </w:rPr>
        <w:t>投资性房地产的减值测试方法和减值准备计提方法详见附注四、</w:t>
      </w:r>
      <w:r>
        <w:rPr>
          <w:rFonts w:ascii="宋体" w:hAnsi="宋体" w:cs="宋体" w:eastAsia="宋体" w:hint="default"/>
          <w:spacing w:val="-3"/>
        </w:rPr>
        <w:t>21</w:t>
      </w:r>
      <w:r>
        <w:rPr>
          <w:spacing w:val="-3"/>
        </w:rPr>
        <w:t>“长期资产减值”。</w:t>
      </w:r>
      <w:r>
        <w:rPr>
          <w:spacing w:val="24"/>
        </w:rPr>
        <w:t> </w:t>
      </w:r>
      <w:r>
        <w:rPr>
          <w:spacing w:val="24"/>
        </w:rPr>
      </w:r>
      <w:r>
        <w:rPr>
          <w:spacing w:val="-3"/>
        </w:rPr>
        <w:t>自用房地产或存货转换为投资性房地产或投资性房地产转换为自用房地产时，按转换前的账面价值作为转换后的入账</w:t>
      </w:r>
    </w:p>
    <w:p>
      <w:pPr>
        <w:pStyle w:val="BodyText"/>
        <w:spacing w:line="240" w:lineRule="auto" w:before="17"/>
        <w:ind w:right="0"/>
        <w:jc w:val="left"/>
      </w:pPr>
      <w:r>
        <w:rPr/>
        <w:t>价值。</w:t>
      </w:r>
    </w:p>
    <w:p>
      <w:pPr>
        <w:pStyle w:val="BodyText"/>
        <w:spacing w:line="316" w:lineRule="auto" w:before="76"/>
        <w:ind w:right="1123" w:firstLine="480"/>
        <w:jc w:val="both"/>
      </w:pPr>
      <w:r>
        <w:rPr>
          <w:spacing w:val="-3"/>
        </w:rPr>
        <w:t>投资性房地产的用途改变为自用时，自改变之日起，将该投资性房地产转换为固定资产或无形资产。自用房地产的用</w:t>
      </w:r>
      <w:r>
        <w:rPr>
          <w:w w:val="101"/>
        </w:rPr>
        <w:t> </w:t>
      </w:r>
      <w:r>
        <w:rPr>
          <w:spacing w:val="-4"/>
        </w:rPr>
        <w:t>途改变为赚取租金或资本增值时，自改变之日起，将固定资产或无形资产转换为投资性房地产。发生转换时，转换为采用成</w:t>
      </w:r>
      <w:r>
        <w:rPr>
          <w:spacing w:val="40"/>
        </w:rPr>
        <w:t> </w:t>
      </w:r>
      <w:r>
        <w:rPr>
          <w:spacing w:val="40"/>
        </w:rPr>
      </w:r>
      <w:r>
        <w:rPr>
          <w:spacing w:val="-3"/>
        </w:rPr>
        <w:t>本模式计量的投资性房地产的，以转换前的账面价值作为转换后的入账价值。</w:t>
      </w:r>
    </w:p>
    <w:p>
      <w:pPr>
        <w:pStyle w:val="BodyText"/>
        <w:spacing w:line="316" w:lineRule="auto" w:before="19"/>
        <w:ind w:right="1123" w:firstLine="480"/>
        <w:jc w:val="both"/>
      </w:pPr>
      <w:r>
        <w:rPr>
          <w:spacing w:val="-3"/>
        </w:rPr>
        <w:t>当投资性房地产被处置、或者永久退出使用且预计不能从其处置中取得经济利益时，终止确认该项投资性房地产。投</w:t>
      </w:r>
      <w:r>
        <w:rPr>
          <w:w w:val="101"/>
        </w:rPr>
        <w:t> </w:t>
      </w:r>
      <w:r>
        <w:rPr>
          <w:spacing w:val="-3"/>
        </w:rPr>
        <w:t>资性房地产出售、转让、报废或毁损的处置收入扣除其账面价值和相关税费后计入当期损益。</w:t>
      </w:r>
    </w:p>
    <w:p>
      <w:pPr>
        <w:spacing w:line="240" w:lineRule="auto" w:before="7"/>
        <w:rPr>
          <w:rFonts w:ascii="宋体" w:hAnsi="宋体" w:cs="宋体" w:eastAsia="宋体" w:hint="default"/>
          <w:sz w:val="24"/>
          <w:szCs w:val="24"/>
        </w:rPr>
      </w:pPr>
    </w:p>
    <w:p>
      <w:pPr>
        <w:pStyle w:val="Heading6"/>
        <w:spacing w:line="240" w:lineRule="auto"/>
        <w:ind w:right="0"/>
        <w:jc w:val="left"/>
        <w:rPr>
          <w:b w:val="0"/>
          <w:bCs w:val="0"/>
        </w:rPr>
      </w:pPr>
      <w:bookmarkStart w:name="24、固定资产" w:id="197"/>
      <w:bookmarkEnd w:id="197"/>
      <w:r>
        <w:rPr>
          <w:b w:val="0"/>
          <w:bCs w:val="0"/>
        </w:rPr>
      </w:r>
      <w:r>
        <w:rPr>
          <w:rFonts w:ascii="宋体" w:hAnsi="宋体" w:cs="宋体" w:eastAsia="宋体" w:hint="default"/>
        </w:rPr>
        <w:t>24</w:t>
      </w:r>
      <w:r>
        <w:rPr/>
        <w:t>、固定资产</w:t>
      </w:r>
      <w:r>
        <w:rPr>
          <w:b w:val="0"/>
          <w:bCs w:val="0"/>
        </w:rPr>
      </w:r>
    </w:p>
    <w:p>
      <w:pPr>
        <w:spacing w:line="240" w:lineRule="auto" w:before="0"/>
        <w:rPr>
          <w:rFonts w:ascii="宋体" w:hAnsi="宋体" w:cs="宋体" w:eastAsia="宋体" w:hint="default"/>
          <w:b/>
          <w:bCs/>
          <w:sz w:val="18"/>
          <w:szCs w:val="18"/>
        </w:rPr>
      </w:pPr>
    </w:p>
    <w:p>
      <w:pPr>
        <w:pStyle w:val="BodyText"/>
        <w:spacing w:line="626" w:lineRule="auto" w:before="143"/>
        <w:ind w:right="1317"/>
        <w:jc w:val="left"/>
      </w:pPr>
      <w:bookmarkStart w:name="（1）确认条件" w:id="198"/>
      <w:bookmarkEnd w:id="198"/>
      <w:r>
        <w:rPr/>
      </w:r>
      <w:r>
        <w:rPr>
          <w:rFonts w:ascii="宋体" w:hAnsi="宋体" w:cs="宋体" w:eastAsia="宋体" w:hint="default"/>
          <w:b/>
          <w:bCs/>
        </w:rPr>
        <w:t>（</w:t>
      </w:r>
      <w:r>
        <w:rPr>
          <w:rFonts w:ascii="宋体" w:hAnsi="宋体" w:cs="宋体" w:eastAsia="宋体" w:hint="default"/>
          <w:b/>
          <w:bCs/>
        </w:rPr>
        <w:t>1</w:t>
      </w:r>
      <w:r>
        <w:rPr>
          <w:rFonts w:ascii="宋体" w:hAnsi="宋体" w:cs="宋体" w:eastAsia="宋体" w:hint="default"/>
          <w:b/>
          <w:bCs/>
        </w:rPr>
        <w:t>）确认条件</w:t>
      </w:r>
      <w:r>
        <w:rPr>
          <w:rFonts w:ascii="宋体" w:hAnsi="宋体" w:cs="宋体" w:eastAsia="宋体" w:hint="default"/>
          <w:b/>
          <w:bCs/>
          <w:spacing w:val="-86"/>
        </w:rPr>
        <w:t> </w:t>
      </w:r>
      <w:r>
        <w:rPr>
          <w:rFonts w:ascii="宋体" w:hAnsi="宋体" w:cs="宋体" w:eastAsia="宋体" w:hint="default"/>
          <w:b/>
          <w:bCs/>
          <w:spacing w:val="-86"/>
        </w:rPr>
      </w:r>
      <w:r>
        <w:rPr>
          <w:spacing w:val="-3"/>
        </w:rPr>
        <w:t>固定资产是指为生产商品、提供劳务、出租或经营管理而持有的，使用寿命超过一个会计年度的有形资产。</w:t>
      </w:r>
    </w:p>
    <w:p>
      <w:pPr>
        <w:spacing w:after="0" w:line="626" w:lineRule="auto"/>
        <w:jc w:val="left"/>
        <w:sectPr>
          <w:pgSz w:w="11910" w:h="16840"/>
          <w:pgMar w:header="784" w:footer="1022" w:top="1100" w:bottom="1220" w:left="980" w:right="0"/>
        </w:sectPr>
      </w:pPr>
    </w:p>
    <w:p>
      <w:pPr>
        <w:spacing w:line="240" w:lineRule="auto" w:before="10"/>
        <w:rPr>
          <w:rFonts w:ascii="宋体" w:hAnsi="宋体" w:cs="宋体" w:eastAsia="宋体" w:hint="default"/>
          <w:sz w:val="22"/>
          <w:szCs w:val="22"/>
        </w:rPr>
      </w:pPr>
    </w:p>
    <w:p>
      <w:pPr>
        <w:pStyle w:val="Heading6"/>
        <w:spacing w:line="240" w:lineRule="auto" w:before="46"/>
        <w:ind w:right="0"/>
        <w:jc w:val="left"/>
        <w:rPr>
          <w:b w:val="0"/>
          <w:bCs w:val="0"/>
        </w:rPr>
      </w:pPr>
      <w:bookmarkStart w:name="（2）折旧方法" w:id="199"/>
      <w:bookmarkEnd w:id="199"/>
      <w:r>
        <w:rPr>
          <w:b w:val="0"/>
          <w:bCs w:val="0"/>
        </w:rPr>
      </w:r>
      <w:r>
        <w:rPr/>
        <w:t>（</w:t>
      </w:r>
      <w:r>
        <w:rPr>
          <w:rFonts w:ascii="宋体" w:hAnsi="宋体" w:cs="宋体" w:eastAsia="宋体" w:hint="default"/>
        </w:rPr>
        <w:t>2</w:t>
      </w:r>
      <w:r>
        <w:rPr/>
        <w:t>）折旧方法</w:t>
      </w:r>
      <w:r>
        <w:rPr>
          <w:b w:val="0"/>
          <w:bCs w:val="0"/>
        </w:rPr>
      </w:r>
    </w:p>
    <w:p>
      <w:pPr>
        <w:spacing w:line="240" w:lineRule="auto" w:before="2"/>
        <w:rPr>
          <w:rFonts w:ascii="宋体" w:hAnsi="宋体" w:cs="宋体" w:eastAsia="宋体" w:hint="default"/>
          <w:b/>
          <w:bCs/>
          <w:sz w:val="28"/>
          <w:szCs w:val="28"/>
        </w:rPr>
      </w:pPr>
    </w:p>
    <w:tbl>
      <w:tblPr>
        <w:tblW w:w="0" w:type="auto"/>
        <w:jc w:val="left"/>
        <w:tblInd w:w="148" w:type="dxa"/>
        <w:tblLayout w:type="fixed"/>
        <w:tblCellMar>
          <w:top w:w="0" w:type="dxa"/>
          <w:left w:w="0" w:type="dxa"/>
          <w:bottom w:w="0" w:type="dxa"/>
          <w:right w:w="0" w:type="dxa"/>
        </w:tblCellMar>
        <w:tblLook w:val="01E0"/>
      </w:tblPr>
      <w:tblGrid>
        <w:gridCol w:w="1916"/>
        <w:gridCol w:w="1916"/>
        <w:gridCol w:w="1911"/>
        <w:gridCol w:w="1916"/>
        <w:gridCol w:w="1916"/>
      </w:tblGrid>
      <w:tr>
        <w:trPr>
          <w:trHeight w:val="403"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0" w:right="0"/>
              <w:jc w:val="left"/>
              <w:rPr>
                <w:rFonts w:ascii="宋体" w:hAnsi="宋体" w:cs="宋体" w:eastAsia="宋体" w:hint="default"/>
                <w:sz w:val="18"/>
                <w:szCs w:val="18"/>
              </w:rPr>
            </w:pPr>
            <w:r>
              <w:rPr>
                <w:rFonts w:ascii="宋体" w:hAnsi="宋体" w:cs="宋体" w:eastAsia="宋体" w:hint="default"/>
                <w:sz w:val="18"/>
                <w:szCs w:val="18"/>
              </w:rPr>
              <w:t>折旧方法</w:t>
            </w:r>
          </w:p>
        </w:tc>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0" w:right="0"/>
              <w:jc w:val="left"/>
              <w:rPr>
                <w:rFonts w:ascii="宋体" w:hAnsi="宋体" w:cs="宋体" w:eastAsia="宋体" w:hint="default"/>
                <w:sz w:val="18"/>
                <w:szCs w:val="18"/>
              </w:rPr>
            </w:pPr>
            <w:r>
              <w:rPr>
                <w:rFonts w:ascii="宋体" w:hAnsi="宋体" w:cs="宋体" w:eastAsia="宋体" w:hint="default"/>
                <w:sz w:val="18"/>
                <w:szCs w:val="18"/>
              </w:rPr>
              <w:t>折旧年限</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残值率</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5" w:right="0"/>
              <w:jc w:val="left"/>
              <w:rPr>
                <w:rFonts w:ascii="宋体" w:hAnsi="宋体" w:cs="宋体" w:eastAsia="宋体" w:hint="default"/>
                <w:sz w:val="18"/>
                <w:szCs w:val="18"/>
              </w:rPr>
            </w:pPr>
            <w:r>
              <w:rPr>
                <w:rFonts w:ascii="宋体" w:hAnsi="宋体" w:cs="宋体" w:eastAsia="宋体" w:hint="default"/>
                <w:sz w:val="18"/>
                <w:szCs w:val="18"/>
              </w:rPr>
              <w:t>年折旧率</w:t>
            </w:r>
          </w:p>
        </w:tc>
      </w:tr>
      <w:tr>
        <w:trPr>
          <w:trHeight w:val="399"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1"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0" w:right="0"/>
              <w:jc w:val="left"/>
              <w:rPr>
                <w:rFonts w:ascii="宋体" w:hAnsi="宋体" w:cs="宋体" w:eastAsia="宋体" w:hint="default"/>
                <w:sz w:val="18"/>
                <w:szCs w:val="18"/>
              </w:rPr>
            </w:pPr>
            <w:r>
              <w:rPr>
                <w:rFonts w:ascii="宋体"/>
                <w:sz w:val="18"/>
              </w:rPr>
              <w:t>40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sz w:val="18"/>
              </w:rPr>
              <w:t>10%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sz w:val="18"/>
              </w:rPr>
              <w:t>2.25%</w:t>
            </w:r>
          </w:p>
        </w:tc>
      </w:tr>
      <w:tr>
        <w:trPr>
          <w:trHeight w:val="403"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1"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sz w:val="18"/>
              </w:rPr>
              <w:t>5-10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sz w:val="18"/>
              </w:rPr>
              <w:t>10%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sz w:val="18"/>
              </w:rPr>
              <w:t>9-18%</w:t>
            </w:r>
          </w:p>
        </w:tc>
      </w:tr>
      <w:tr>
        <w:trPr>
          <w:trHeight w:val="403"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1"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sz w:val="18"/>
              </w:rPr>
              <w:t>5-10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sz w:val="18"/>
              </w:rPr>
              <w:t>10%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sz w:val="18"/>
              </w:rPr>
              <w:t>9-18%</w:t>
            </w:r>
          </w:p>
        </w:tc>
      </w:tr>
      <w:tr>
        <w:trPr>
          <w:trHeight w:val="403"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电子设备</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1" w:right="0"/>
              <w:jc w:val="left"/>
              <w:rPr>
                <w:rFonts w:ascii="宋体" w:hAnsi="宋体" w:cs="宋体" w:eastAsia="宋体" w:hint="default"/>
                <w:sz w:val="18"/>
                <w:szCs w:val="18"/>
              </w:rPr>
            </w:pPr>
            <w:r>
              <w:rPr>
                <w:rFonts w:ascii="宋体" w:hAnsi="宋体" w:cs="宋体" w:eastAsia="宋体" w:hint="default"/>
                <w:spacing w:val="-4"/>
                <w:sz w:val="18"/>
                <w:szCs w:val="18"/>
              </w:rPr>
              <w:t>年限平均法</w:t>
            </w:r>
            <w:r>
              <w:rPr>
                <w:rFonts w:ascii="宋体" w:hAnsi="宋体" w:cs="宋体" w:eastAsia="宋体" w:hint="default"/>
                <w:sz w:val="18"/>
                <w:szCs w:val="18"/>
              </w:rPr>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w w:val="101"/>
                <w:sz w:val="18"/>
              </w:rPr>
              <w:t>5</w:t>
            </w:r>
            <w:r>
              <w:rPr>
                <w:rFonts w:ascii="宋体"/>
                <w:sz w:val="18"/>
              </w:rPr>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sz w:val="18"/>
              </w:rPr>
              <w:t>10%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sz w:val="18"/>
              </w:rPr>
              <w:t>18%</w:t>
            </w:r>
          </w:p>
        </w:tc>
      </w:tr>
      <w:tr>
        <w:trPr>
          <w:trHeight w:val="399"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1"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0" w:right="0"/>
              <w:jc w:val="left"/>
              <w:rPr>
                <w:rFonts w:ascii="宋体" w:hAnsi="宋体" w:cs="宋体" w:eastAsia="宋体" w:hint="default"/>
                <w:sz w:val="18"/>
                <w:szCs w:val="18"/>
              </w:rPr>
            </w:pPr>
            <w:r>
              <w:rPr>
                <w:rFonts w:ascii="宋体"/>
                <w:w w:val="101"/>
                <w:sz w:val="18"/>
              </w:rPr>
              <w:t>5</w:t>
            </w:r>
            <w:r>
              <w:rPr>
                <w:rFonts w:ascii="宋体"/>
                <w:sz w:val="18"/>
              </w:rPr>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sz w:val="18"/>
              </w:rPr>
              <w:t>10%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sz w:val="18"/>
              </w:rPr>
              <w:t>18%</w:t>
            </w:r>
          </w:p>
        </w:tc>
      </w:tr>
    </w:tbl>
    <w:p>
      <w:pPr>
        <w:pStyle w:val="BodyText"/>
        <w:spacing w:line="240" w:lineRule="auto" w:before="10"/>
        <w:ind w:right="0"/>
        <w:jc w:val="left"/>
      </w:pPr>
      <w:r>
        <w:rPr/>
        <w:t>无。</w:t>
      </w:r>
    </w:p>
    <w:p>
      <w:pPr>
        <w:spacing w:line="240" w:lineRule="auto" w:before="0"/>
        <w:rPr>
          <w:rFonts w:ascii="宋体" w:hAnsi="宋体" w:cs="宋体" w:eastAsia="宋体" w:hint="default"/>
          <w:sz w:val="18"/>
          <w:szCs w:val="18"/>
        </w:rPr>
      </w:pPr>
    </w:p>
    <w:p>
      <w:pPr>
        <w:pStyle w:val="Heading6"/>
        <w:spacing w:line="631" w:lineRule="auto" w:before="143"/>
        <w:ind w:right="6445"/>
        <w:jc w:val="left"/>
        <w:rPr>
          <w:rFonts w:ascii="宋体" w:hAnsi="宋体" w:cs="宋体" w:eastAsia="宋体" w:hint="default"/>
          <w:b w:val="0"/>
          <w:bCs w:val="0"/>
        </w:rPr>
      </w:pPr>
      <w:bookmarkStart w:name="（3）融资租入固定资产的认定依据、计价和折旧方法" w:id="200"/>
      <w:bookmarkEnd w:id="200"/>
      <w:r>
        <w:rPr>
          <w:b w:val="0"/>
          <w:bCs w:val="0"/>
        </w:rPr>
      </w:r>
      <w:r>
        <w:rPr>
          <w:spacing w:val="-2"/>
        </w:rPr>
        <w:t>（</w:t>
      </w:r>
      <w:r>
        <w:rPr>
          <w:rFonts w:ascii="宋体" w:hAnsi="宋体" w:cs="宋体" w:eastAsia="宋体" w:hint="default"/>
          <w:spacing w:val="-2"/>
        </w:rPr>
        <w:t>3</w:t>
      </w:r>
      <w:r>
        <w:rPr>
          <w:spacing w:val="-2"/>
        </w:rPr>
        <w:t>）融资租入固定资产的认定依据、计价和折旧方法</w:t>
      </w:r>
      <w:r>
        <w:rPr>
          <w:spacing w:val="-39"/>
        </w:rPr>
        <w:t> </w:t>
      </w:r>
      <w:r>
        <w:rPr>
          <w:spacing w:val="-39"/>
        </w:rPr>
      </w:r>
      <w:r>
        <w:rPr>
          <w:rFonts w:ascii="宋体" w:hAnsi="宋体" w:cs="宋体" w:eastAsia="宋体" w:hint="default"/>
          <w:b w:val="0"/>
          <w:bCs w:val="0"/>
        </w:rPr>
        <w:t>无。</w:t>
      </w:r>
    </w:p>
    <w:p>
      <w:pPr>
        <w:pStyle w:val="Heading6"/>
        <w:spacing w:line="240" w:lineRule="auto" w:before="76"/>
        <w:ind w:right="0"/>
        <w:jc w:val="left"/>
        <w:rPr>
          <w:b w:val="0"/>
          <w:bCs w:val="0"/>
        </w:rPr>
      </w:pPr>
      <w:bookmarkStart w:name="25、在建工程" w:id="201"/>
      <w:bookmarkEnd w:id="201"/>
      <w:r>
        <w:rPr>
          <w:b w:val="0"/>
          <w:bCs w:val="0"/>
        </w:rPr>
      </w:r>
      <w:r>
        <w:rPr>
          <w:rFonts w:ascii="宋体" w:hAnsi="宋体" w:cs="宋体" w:eastAsia="宋体" w:hint="default"/>
        </w:rPr>
        <w:t>25</w:t>
      </w:r>
      <w:r>
        <w:rPr/>
        <w:t>、在建工程</w:t>
      </w:r>
      <w:r>
        <w:rPr>
          <w:b w:val="0"/>
          <w:bCs w:val="0"/>
        </w:rPr>
      </w:r>
    </w:p>
    <w:p>
      <w:pPr>
        <w:spacing w:line="240" w:lineRule="auto" w:before="0"/>
        <w:rPr>
          <w:rFonts w:ascii="宋体" w:hAnsi="宋体" w:cs="宋体" w:eastAsia="宋体" w:hint="default"/>
          <w:b/>
          <w:bCs/>
          <w:sz w:val="18"/>
          <w:szCs w:val="18"/>
        </w:rPr>
      </w:pPr>
    </w:p>
    <w:p>
      <w:pPr>
        <w:pStyle w:val="BodyText"/>
        <w:spacing w:line="319" w:lineRule="auto" w:before="143"/>
        <w:ind w:right="0" w:firstLine="480"/>
        <w:jc w:val="left"/>
      </w:pPr>
      <w:r>
        <w:rPr>
          <w:spacing w:val="-3"/>
        </w:rPr>
        <w:t>在建工程成本按实际工程支出确定，包括在建期间发生的各项工程支出、工程达到预定可使用状态前的资本化的借款</w:t>
      </w:r>
      <w:r>
        <w:rPr>
          <w:w w:val="101"/>
        </w:rPr>
        <w:t> </w:t>
      </w:r>
      <w:r>
        <w:rPr>
          <w:spacing w:val="-3"/>
        </w:rPr>
        <w:t>费用以及其他相关费用等。在建工程在达到预定可使用状态后结转为固定资产。</w:t>
      </w:r>
      <w:r>
        <w:rPr>
          <w:spacing w:val="13"/>
        </w:rPr>
        <w:t> </w:t>
      </w:r>
      <w:r>
        <w:rPr>
          <w:spacing w:val="13"/>
        </w:rPr>
      </w:r>
      <w:r>
        <w:rPr>
          <w:spacing w:val="-3"/>
        </w:rPr>
        <w:t>在建工程的减值测试方法和减值准备计提方法详见附注四、</w:t>
      </w:r>
      <w:r>
        <w:rPr>
          <w:rFonts w:ascii="宋体" w:hAnsi="宋体" w:cs="宋体" w:eastAsia="宋体" w:hint="default"/>
          <w:spacing w:val="-3"/>
        </w:rPr>
        <w:t>21</w:t>
      </w:r>
      <w:r>
        <w:rPr>
          <w:spacing w:val="-3"/>
        </w:rPr>
        <w:t>“长期资产减值”。</w:t>
      </w:r>
    </w:p>
    <w:p>
      <w:pPr>
        <w:spacing w:line="240" w:lineRule="auto" w:before="5"/>
        <w:rPr>
          <w:rFonts w:ascii="宋体" w:hAnsi="宋体" w:cs="宋体" w:eastAsia="宋体" w:hint="default"/>
          <w:sz w:val="24"/>
          <w:szCs w:val="24"/>
        </w:rPr>
      </w:pPr>
    </w:p>
    <w:p>
      <w:pPr>
        <w:pStyle w:val="Heading6"/>
        <w:spacing w:line="240" w:lineRule="auto"/>
        <w:ind w:right="0"/>
        <w:jc w:val="left"/>
        <w:rPr>
          <w:b w:val="0"/>
          <w:bCs w:val="0"/>
        </w:rPr>
      </w:pPr>
      <w:bookmarkStart w:name="26、借款费用" w:id="202"/>
      <w:bookmarkEnd w:id="202"/>
      <w:r>
        <w:rPr>
          <w:b w:val="0"/>
          <w:bCs w:val="0"/>
        </w:rPr>
      </w:r>
      <w:r>
        <w:rPr>
          <w:rFonts w:ascii="宋体" w:hAnsi="宋体" w:cs="宋体" w:eastAsia="宋体" w:hint="default"/>
        </w:rPr>
        <w:t>26</w:t>
      </w:r>
      <w:r>
        <w:rPr/>
        <w:t>、借款费用</w:t>
      </w:r>
      <w:r>
        <w:rPr>
          <w:b w:val="0"/>
          <w:bCs w:val="0"/>
        </w:rPr>
      </w:r>
    </w:p>
    <w:p>
      <w:pPr>
        <w:spacing w:line="240" w:lineRule="auto" w:before="0"/>
        <w:rPr>
          <w:rFonts w:ascii="宋体" w:hAnsi="宋体" w:cs="宋体" w:eastAsia="宋体" w:hint="default"/>
          <w:b/>
          <w:bCs/>
          <w:sz w:val="18"/>
          <w:szCs w:val="18"/>
        </w:rPr>
      </w:pPr>
    </w:p>
    <w:p>
      <w:pPr>
        <w:pStyle w:val="BodyText"/>
        <w:spacing w:line="319" w:lineRule="auto" w:before="138"/>
        <w:ind w:right="1124" w:firstLine="355"/>
        <w:jc w:val="both"/>
      </w:pPr>
      <w:r>
        <w:rPr>
          <w:spacing w:val="-4"/>
        </w:rPr>
        <w:t>借款费用包括借款利息、折价或溢价的摊销、辅助费用以及因外币借款而发生的汇兑差额等。可直接归属于符合资本化</w:t>
      </w:r>
      <w:r>
        <w:rPr>
          <w:w w:val="101"/>
        </w:rPr>
        <w:t> </w:t>
      </w:r>
      <w:r>
        <w:rPr>
          <w:spacing w:val="-4"/>
        </w:rPr>
        <w:t>条件的资产的购建或者生产的借款费用，在资产支出已经发生、借款费用已经发生、为使资产达到预定可使用或可销售状态</w:t>
      </w:r>
      <w:r>
        <w:rPr>
          <w:spacing w:val="43"/>
        </w:rPr>
        <w:t> </w:t>
      </w:r>
      <w:r>
        <w:rPr>
          <w:spacing w:val="43"/>
        </w:rPr>
      </w:r>
      <w:r>
        <w:rPr>
          <w:spacing w:val="-4"/>
        </w:rPr>
        <w:t>所必要的购建或生产活动已经开始时，开始资本化；构建或者生产的符合资本化条件的资产达到预定可使用状态或者可销售</w:t>
      </w:r>
      <w:r>
        <w:rPr>
          <w:spacing w:val="38"/>
        </w:rPr>
        <w:t> </w:t>
      </w:r>
      <w:r>
        <w:rPr>
          <w:spacing w:val="38"/>
        </w:rPr>
      </w:r>
      <w:r>
        <w:rPr>
          <w:spacing w:val="-3"/>
        </w:rPr>
        <w:t>状态时，停止资本化。其余借款费用在发生当期确认为费用。</w:t>
      </w:r>
    </w:p>
    <w:p>
      <w:pPr>
        <w:pStyle w:val="BodyText"/>
        <w:spacing w:line="316" w:lineRule="auto" w:before="17"/>
        <w:ind w:right="1128" w:firstLine="355"/>
        <w:jc w:val="both"/>
      </w:pPr>
      <w:r>
        <w:rPr>
          <w:spacing w:val="-4"/>
          <w:w w:val="101"/>
        </w:rPr>
        <w:t>专门借款当期实际发生的利息费用，减去尚未动用的借款资金存入银行取得的利息收入或进行暂时性投资取得的投资收</w:t>
      </w:r>
      <w:r>
        <w:rPr>
          <w:w w:val="101"/>
        </w:rPr>
        <w:t> </w:t>
      </w:r>
      <w:r>
        <w:rPr>
          <w:spacing w:val="-4"/>
          <w:w w:val="101"/>
        </w:rPr>
        <w:t>益后的金额予以资本化；一般借款根据累计资产支出超过专门借款部分的资产支出加权平均数乘以所占用一般借款的资本化</w:t>
      </w:r>
      <w:r>
        <w:rPr>
          <w:w w:val="101"/>
        </w:rPr>
        <w:t> </w:t>
      </w:r>
      <w:r>
        <w:rPr>
          <w:spacing w:val="-3"/>
        </w:rPr>
        <w:t>率，确定资本化金额。资本化率根据一般借款的加权平均利率计算确定。</w:t>
      </w:r>
    </w:p>
    <w:p>
      <w:pPr>
        <w:pStyle w:val="BodyText"/>
        <w:spacing w:line="316" w:lineRule="auto" w:before="19"/>
        <w:ind w:left="508" w:right="1119"/>
        <w:jc w:val="left"/>
      </w:pPr>
      <w:r>
        <w:rPr>
          <w:spacing w:val="-3"/>
        </w:rPr>
        <w:t>资本化期间内，外币专门借款的汇兑差额全部予以资本化；外币一般借款的汇兑差额计入当期损益。</w:t>
      </w:r>
      <w:r>
        <w:rPr>
          <w:spacing w:val="37"/>
        </w:rPr>
        <w:t> </w:t>
      </w:r>
      <w:r>
        <w:rPr>
          <w:spacing w:val="37"/>
        </w:rPr>
      </w:r>
      <w:r>
        <w:rPr>
          <w:spacing w:val="-4"/>
          <w:w w:val="101"/>
        </w:rPr>
        <w:t>符合资本化条件的资产指需要经过相当长时间的购建或者生产活动才能达到预定可使用或可销售状态的固定资产、投资</w:t>
      </w:r>
      <w:r>
        <w:rPr>
          <w:spacing w:val="-4"/>
        </w:rPr>
      </w:r>
    </w:p>
    <w:p>
      <w:pPr>
        <w:pStyle w:val="BodyText"/>
        <w:spacing w:line="316" w:lineRule="auto" w:before="19"/>
        <w:ind w:left="508" w:right="0" w:hanging="356"/>
        <w:jc w:val="left"/>
      </w:pPr>
      <w:r>
        <w:rPr>
          <w:spacing w:val="-3"/>
        </w:rPr>
        <w:t>性房地产和存货等资产。</w:t>
      </w:r>
      <w:r>
        <w:rPr>
          <w:spacing w:val="-56"/>
        </w:rPr>
        <w:t> </w:t>
      </w:r>
      <w:r>
        <w:rPr>
          <w:spacing w:val="-56"/>
        </w:rPr>
      </w:r>
      <w:r>
        <w:rPr>
          <w:spacing w:val="-3"/>
        </w:rPr>
        <w:t>如果符合资本化条件的资产在购建或生产过程中发生非正常中断、并且中断时间连续超过</w:t>
      </w:r>
      <w:r>
        <w:rPr>
          <w:rFonts w:ascii="宋体" w:hAnsi="宋体" w:cs="宋体" w:eastAsia="宋体" w:hint="default"/>
          <w:spacing w:val="-3"/>
        </w:rPr>
        <w:t>3</w:t>
      </w:r>
      <w:r>
        <w:rPr>
          <w:spacing w:val="-3"/>
        </w:rPr>
        <w:t>个月的，暂停借款费用的资</w:t>
      </w:r>
    </w:p>
    <w:p>
      <w:pPr>
        <w:spacing w:line="626" w:lineRule="auto" w:before="19"/>
        <w:ind w:left="153" w:right="6445" w:firstLine="0"/>
        <w:jc w:val="left"/>
        <w:rPr>
          <w:rFonts w:ascii="宋体" w:hAnsi="宋体" w:cs="宋体" w:eastAsia="宋体" w:hint="default"/>
          <w:sz w:val="18"/>
          <w:szCs w:val="18"/>
        </w:rPr>
      </w:pPr>
      <w:r>
        <w:rPr>
          <w:rFonts w:ascii="宋体" w:hAnsi="宋体" w:cs="宋体" w:eastAsia="宋体" w:hint="default"/>
          <w:spacing w:val="-3"/>
          <w:sz w:val="18"/>
          <w:szCs w:val="18"/>
        </w:rPr>
        <w:t>本化，直至资产的购建或生产活动重新开始。</w:t>
      </w:r>
      <w:r>
        <w:rPr>
          <w:rFonts w:ascii="宋体" w:hAnsi="宋体" w:cs="宋体" w:eastAsia="宋体" w:hint="default"/>
          <w:spacing w:val="-27"/>
          <w:sz w:val="18"/>
          <w:szCs w:val="18"/>
        </w:rPr>
        <w:t> </w:t>
      </w:r>
      <w:r>
        <w:rPr>
          <w:rFonts w:ascii="宋体" w:hAnsi="宋体" w:cs="宋体" w:eastAsia="宋体" w:hint="default"/>
          <w:spacing w:val="-27"/>
          <w:sz w:val="18"/>
          <w:szCs w:val="18"/>
        </w:rPr>
      </w:r>
      <w:bookmarkStart w:name="27、生物资产" w:id="203"/>
      <w:bookmarkEnd w:id="203"/>
      <w:r>
        <w:rPr>
          <w:rFonts w:ascii="宋体" w:hAnsi="宋体" w:cs="宋体" w:eastAsia="宋体" w:hint="default"/>
          <w:spacing w:val="-27"/>
          <w:sz w:val="18"/>
          <w:szCs w:val="18"/>
        </w:rPr>
      </w:r>
      <w:r>
        <w:rPr>
          <w:rFonts w:ascii="宋体" w:hAnsi="宋体" w:cs="宋体" w:eastAsia="宋体" w:hint="default"/>
          <w:b/>
          <w:bCs/>
          <w:sz w:val="18"/>
          <w:szCs w:val="18"/>
        </w:rPr>
        <w:t>27</w:t>
      </w:r>
      <w:r>
        <w:rPr>
          <w:rFonts w:ascii="宋体" w:hAnsi="宋体" w:cs="宋体" w:eastAsia="宋体" w:hint="default"/>
          <w:b/>
          <w:bCs/>
          <w:sz w:val="18"/>
          <w:szCs w:val="18"/>
        </w:rPr>
        <w:t>、生物资产</w:t>
      </w:r>
      <w:r>
        <w:rPr>
          <w:rFonts w:ascii="宋体" w:hAnsi="宋体" w:cs="宋体" w:eastAsia="宋体" w:hint="default"/>
          <w:sz w:val="18"/>
          <w:szCs w:val="18"/>
        </w:rPr>
      </w:r>
    </w:p>
    <w:p>
      <w:pPr>
        <w:spacing w:line="626" w:lineRule="auto" w:before="84"/>
        <w:ind w:left="153" w:right="9666" w:firstLine="0"/>
        <w:jc w:val="left"/>
        <w:rPr>
          <w:rFonts w:ascii="宋体" w:hAnsi="宋体" w:cs="宋体" w:eastAsia="宋体" w:hint="default"/>
          <w:sz w:val="18"/>
          <w:szCs w:val="18"/>
        </w:rPr>
      </w:pPr>
      <w:r>
        <w:rPr>
          <w:rFonts w:ascii="宋体" w:hAnsi="宋体" w:cs="宋体" w:eastAsia="宋体" w:hint="default"/>
          <w:sz w:val="18"/>
          <w:szCs w:val="18"/>
        </w:rPr>
        <w:t>无。</w:t>
      </w:r>
      <w:r>
        <w:rPr>
          <w:rFonts w:ascii="宋体" w:hAnsi="宋体" w:cs="宋体" w:eastAsia="宋体" w:hint="default"/>
          <w:spacing w:val="-86"/>
          <w:sz w:val="18"/>
          <w:szCs w:val="18"/>
        </w:rPr>
        <w:t> </w:t>
      </w:r>
      <w:bookmarkStart w:name="28、油气资产" w:id="204"/>
      <w:bookmarkEnd w:id="204"/>
      <w:r>
        <w:rPr>
          <w:rFonts w:ascii="宋体" w:hAnsi="宋体" w:cs="宋体" w:eastAsia="宋体" w:hint="default"/>
          <w:spacing w:val="-86"/>
          <w:sz w:val="18"/>
          <w:szCs w:val="18"/>
        </w:rPr>
      </w:r>
      <w:r>
        <w:rPr>
          <w:rFonts w:ascii="宋体" w:hAnsi="宋体" w:cs="宋体" w:eastAsia="宋体" w:hint="default"/>
          <w:b/>
          <w:bCs/>
          <w:sz w:val="18"/>
          <w:szCs w:val="18"/>
        </w:rPr>
        <w:t>28</w:t>
      </w:r>
      <w:r>
        <w:rPr>
          <w:rFonts w:ascii="宋体" w:hAnsi="宋体" w:cs="宋体" w:eastAsia="宋体" w:hint="default"/>
          <w:b/>
          <w:bCs/>
          <w:sz w:val="18"/>
          <w:szCs w:val="18"/>
        </w:rPr>
        <w:t>、油气资产</w:t>
      </w:r>
      <w:r>
        <w:rPr>
          <w:rFonts w:ascii="宋体" w:hAnsi="宋体" w:cs="宋体" w:eastAsia="宋体" w:hint="default"/>
          <w:b/>
          <w:bCs/>
          <w:spacing w:val="-87"/>
          <w:sz w:val="18"/>
          <w:szCs w:val="18"/>
        </w:rPr>
        <w:t> </w:t>
      </w:r>
      <w:r>
        <w:rPr>
          <w:rFonts w:ascii="宋体" w:hAnsi="宋体" w:cs="宋体" w:eastAsia="宋体" w:hint="default"/>
          <w:b/>
          <w:bCs/>
          <w:spacing w:val="-87"/>
          <w:sz w:val="18"/>
          <w:szCs w:val="18"/>
        </w:rPr>
      </w:r>
      <w:r>
        <w:rPr>
          <w:rFonts w:ascii="宋体" w:hAnsi="宋体" w:cs="宋体" w:eastAsia="宋体" w:hint="default"/>
          <w:sz w:val="18"/>
          <w:szCs w:val="18"/>
        </w:rPr>
        <w:t>无。</w:t>
      </w:r>
    </w:p>
    <w:p>
      <w:pPr>
        <w:spacing w:after="0" w:line="626" w:lineRule="auto"/>
        <w:jc w:val="left"/>
        <w:rPr>
          <w:rFonts w:ascii="宋体" w:hAnsi="宋体" w:cs="宋体" w:eastAsia="宋体" w:hint="default"/>
          <w:sz w:val="18"/>
          <w:szCs w:val="18"/>
        </w:rPr>
        <w:sectPr>
          <w:pgSz w:w="11910" w:h="16840"/>
          <w:pgMar w:header="784" w:footer="1022" w:top="1100" w:bottom="1220" w:left="980" w:right="0"/>
        </w:sectPr>
      </w:pPr>
    </w:p>
    <w:p>
      <w:pPr>
        <w:spacing w:line="240" w:lineRule="auto" w:before="2"/>
        <w:rPr>
          <w:rFonts w:ascii="宋体" w:hAnsi="宋体" w:cs="宋体" w:eastAsia="宋体" w:hint="default"/>
          <w:sz w:val="23"/>
          <w:szCs w:val="23"/>
        </w:rPr>
      </w:pPr>
    </w:p>
    <w:p>
      <w:pPr>
        <w:pStyle w:val="Heading6"/>
        <w:spacing w:line="624" w:lineRule="auto" w:before="46"/>
        <w:ind w:right="9485"/>
        <w:jc w:val="left"/>
        <w:rPr>
          <w:b w:val="0"/>
          <w:bCs w:val="0"/>
        </w:rPr>
      </w:pPr>
      <w:bookmarkStart w:name="29、使用权资产" w:id="205"/>
      <w:bookmarkEnd w:id="205"/>
      <w:r>
        <w:rPr>
          <w:b w:val="0"/>
          <w:bCs w:val="0"/>
        </w:rPr>
      </w:r>
      <w:r>
        <w:rPr>
          <w:rFonts w:ascii="宋体" w:hAnsi="宋体" w:cs="宋体" w:eastAsia="宋体" w:hint="default"/>
        </w:rPr>
        <w:t>29</w:t>
      </w:r>
      <w:r>
        <w:rPr/>
        <w:t>、使用权资产</w:t>
      </w:r>
      <w:r>
        <w:rPr>
          <w:spacing w:val="-85"/>
        </w:rPr>
        <w:t> </w:t>
      </w:r>
      <w:r>
        <w:rPr>
          <w:spacing w:val="-85"/>
        </w:rPr>
      </w:r>
      <w:r>
        <w:rPr>
          <w:rFonts w:ascii="宋体" w:hAnsi="宋体" w:cs="宋体" w:eastAsia="宋体" w:hint="default"/>
          <w:b w:val="0"/>
          <w:bCs w:val="0"/>
        </w:rPr>
        <w:t>无。</w:t>
      </w:r>
      <w:r>
        <w:rPr>
          <w:rFonts w:ascii="宋体" w:hAnsi="宋体" w:cs="宋体" w:eastAsia="宋体" w:hint="default"/>
          <w:b w:val="0"/>
          <w:bCs w:val="0"/>
          <w:spacing w:val="-86"/>
        </w:rPr>
        <w:t> </w:t>
      </w:r>
      <w:bookmarkStart w:name="30、无形资产" w:id="206"/>
      <w:bookmarkEnd w:id="206"/>
      <w:r>
        <w:rPr>
          <w:rFonts w:ascii="宋体" w:hAnsi="宋体" w:cs="宋体" w:eastAsia="宋体" w:hint="default"/>
          <w:b w:val="0"/>
          <w:bCs w:val="0"/>
          <w:spacing w:val="-86"/>
        </w:rPr>
      </w:r>
      <w:r>
        <w:rPr>
          <w:rFonts w:ascii="宋体" w:hAnsi="宋体" w:cs="宋体" w:eastAsia="宋体" w:hint="default"/>
        </w:rPr>
        <w:t>30</w:t>
      </w:r>
      <w:r>
        <w:rPr/>
        <w:t>、无形资产</w:t>
      </w:r>
      <w:r>
        <w:rPr>
          <w:b w:val="0"/>
          <w:bCs w:val="0"/>
        </w:rPr>
      </w:r>
    </w:p>
    <w:p>
      <w:pPr>
        <w:pStyle w:val="Heading6"/>
        <w:spacing w:line="240" w:lineRule="auto" w:before="86"/>
        <w:ind w:right="0"/>
        <w:jc w:val="left"/>
        <w:rPr>
          <w:b w:val="0"/>
          <w:bCs w:val="0"/>
        </w:rPr>
      </w:pPr>
      <w:bookmarkStart w:name="（1）计价方法、使用寿命、减值测试" w:id="207"/>
      <w:bookmarkEnd w:id="207"/>
      <w:r>
        <w:rPr>
          <w:b w:val="0"/>
          <w:bCs w:val="0"/>
        </w:rPr>
      </w:r>
      <w:r>
        <w:rPr/>
        <w:t>（</w:t>
      </w:r>
      <w:r>
        <w:rPr>
          <w:rFonts w:ascii="宋体" w:hAnsi="宋体" w:cs="宋体" w:eastAsia="宋体" w:hint="default"/>
        </w:rPr>
        <w:t>1</w:t>
      </w:r>
      <w:r>
        <w:rPr/>
        <w:t>）计价方法、使用寿命、减值测试</w:t>
      </w:r>
      <w:r>
        <w:rPr>
          <w:b w:val="0"/>
          <w:bCs w:val="0"/>
        </w:rPr>
      </w:r>
    </w:p>
    <w:p>
      <w:pPr>
        <w:spacing w:line="240" w:lineRule="auto" w:before="0"/>
        <w:rPr>
          <w:rFonts w:ascii="宋体" w:hAnsi="宋体" w:cs="宋体" w:eastAsia="宋体" w:hint="default"/>
          <w:b/>
          <w:bCs/>
          <w:sz w:val="18"/>
          <w:szCs w:val="18"/>
        </w:rPr>
      </w:pPr>
    </w:p>
    <w:p>
      <w:pPr>
        <w:pStyle w:val="BodyText"/>
        <w:spacing w:line="319" w:lineRule="auto" w:before="143"/>
        <w:ind w:left="633" w:right="3511"/>
        <w:jc w:val="left"/>
      </w:pPr>
      <w:r>
        <w:rPr/>
        <w:t>（</w:t>
      </w:r>
      <w:r>
        <w:rPr>
          <w:rFonts w:ascii="宋体" w:hAnsi="宋体" w:cs="宋体" w:eastAsia="宋体" w:hint="default"/>
        </w:rPr>
        <w:t>1</w:t>
      </w:r>
      <w:r>
        <w:rPr/>
        <w:t>）无形资产</w:t>
      </w:r>
      <w:r>
        <w:rPr>
          <w:spacing w:val="-85"/>
        </w:rPr>
        <w:t> </w:t>
      </w:r>
      <w:r>
        <w:rPr>
          <w:spacing w:val="-85"/>
        </w:rPr>
      </w:r>
      <w:r>
        <w:rPr>
          <w:spacing w:val="-3"/>
        </w:rPr>
        <w:t>无形资产是指本公司拥有或者控制的没有实物形态的可辨认非货币性资产。</w:t>
      </w:r>
    </w:p>
    <w:p>
      <w:pPr>
        <w:pStyle w:val="BodyText"/>
        <w:spacing w:line="316" w:lineRule="auto" w:before="17"/>
        <w:ind w:right="1124" w:firstLine="480"/>
        <w:jc w:val="both"/>
      </w:pPr>
      <w:r>
        <w:rPr>
          <w:spacing w:val="-3"/>
        </w:rPr>
        <w:t>无形资产按成本进行初始计量。与无形资产有关的支出，如果相关的经济利益很可能流入本公司且其成本能可靠地计</w:t>
      </w:r>
      <w:r>
        <w:rPr>
          <w:w w:val="101"/>
        </w:rPr>
        <w:t> </w:t>
      </w:r>
      <w:r>
        <w:rPr>
          <w:spacing w:val="-3"/>
        </w:rPr>
        <w:t>量，则计入无形资产成本。除此以外的其他项目的支出，在发生时计入当期损益。</w:t>
      </w:r>
    </w:p>
    <w:p>
      <w:pPr>
        <w:pStyle w:val="BodyText"/>
        <w:spacing w:line="319" w:lineRule="auto" w:before="19"/>
        <w:ind w:right="1124" w:firstLine="480"/>
        <w:jc w:val="both"/>
      </w:pPr>
      <w:r>
        <w:rPr>
          <w:spacing w:val="-3"/>
        </w:rPr>
        <w:t>取得的土地使用权通常作为无形资产核算。自行开发建造厂房等建筑物，相关的土地使用权支出和建筑物建造成本则</w:t>
      </w:r>
      <w:r>
        <w:rPr>
          <w:w w:val="101"/>
        </w:rPr>
        <w:t> </w:t>
      </w:r>
      <w:r>
        <w:rPr>
          <w:spacing w:val="-4"/>
        </w:rPr>
        <w:t>分别作为无形资产和固定资产核算。如为外购的房屋及建筑物，则将有关价款在土地使用权和建筑物之间进行分配，难以合</w:t>
      </w:r>
      <w:r>
        <w:rPr>
          <w:spacing w:val="43"/>
        </w:rPr>
        <w:t> </w:t>
      </w:r>
      <w:r>
        <w:rPr>
          <w:spacing w:val="43"/>
        </w:rPr>
      </w:r>
      <w:r>
        <w:rPr>
          <w:spacing w:val="-3"/>
        </w:rPr>
        <w:t>理分配的，全部作为固定资产处理。</w:t>
      </w:r>
    </w:p>
    <w:p>
      <w:pPr>
        <w:pStyle w:val="BodyText"/>
        <w:spacing w:line="316" w:lineRule="auto" w:before="17"/>
        <w:ind w:right="1124" w:firstLine="480"/>
        <w:jc w:val="both"/>
      </w:pPr>
      <w:r>
        <w:rPr>
          <w:spacing w:val="-3"/>
        </w:rPr>
        <w:t>使用寿命有限的无形资产自可供使用时起，对其原值在其预计使用寿命内采用直线法分期平均摊销。使用寿命不确定</w:t>
      </w:r>
      <w:r>
        <w:rPr>
          <w:w w:val="101"/>
        </w:rPr>
        <w:t> </w:t>
      </w:r>
      <w:r>
        <w:rPr/>
        <w:t>的无形资产不予摊销。</w:t>
      </w:r>
    </w:p>
    <w:p>
      <w:pPr>
        <w:pStyle w:val="BodyText"/>
        <w:spacing w:line="316" w:lineRule="auto" w:before="19"/>
        <w:ind w:right="1124" w:firstLine="480"/>
        <w:jc w:val="both"/>
      </w:pPr>
      <w:r>
        <w:rPr>
          <w:spacing w:val="-3"/>
        </w:rPr>
        <w:t>期末，对使用寿命有限的无形资产的使用寿命和摊销方法进行复核，如发生变更则作为会计估计变更处理。此外，还</w:t>
      </w:r>
      <w:r>
        <w:rPr>
          <w:w w:val="101"/>
        </w:rPr>
        <w:t> </w:t>
      </w:r>
      <w:r>
        <w:rPr>
          <w:spacing w:val="-4"/>
        </w:rPr>
        <w:t>对使用寿命不确定的无形资产的使用寿命进行复核，如果有证据表明该无形资产为企业带来经济利益的期限是可预见的，则</w:t>
      </w:r>
      <w:r>
        <w:rPr>
          <w:spacing w:val="43"/>
        </w:rPr>
        <w:t> </w:t>
      </w:r>
      <w:r>
        <w:rPr>
          <w:spacing w:val="43"/>
        </w:rPr>
      </w:r>
      <w:r>
        <w:rPr>
          <w:spacing w:val="-3"/>
        </w:rPr>
        <w:t>估计其使用寿命并按照使用寿命有限的无形资产的摊销政策进行摊销。</w:t>
      </w:r>
    </w:p>
    <w:p>
      <w:pPr>
        <w:pStyle w:val="BodyText"/>
        <w:spacing w:line="240" w:lineRule="auto" w:before="19"/>
        <w:ind w:left="633" w:right="0"/>
        <w:jc w:val="left"/>
      </w:pPr>
      <w:r>
        <w:rPr>
          <w:spacing w:val="-3"/>
        </w:rPr>
        <w:t>土地使用权按</w:t>
      </w:r>
      <w:r>
        <w:rPr>
          <w:rFonts w:ascii="宋体" w:hAnsi="宋体" w:cs="宋体" w:eastAsia="宋体" w:hint="default"/>
          <w:spacing w:val="-3"/>
        </w:rPr>
        <w:t>50</w:t>
      </w:r>
      <w:r>
        <w:rPr>
          <w:spacing w:val="-3"/>
        </w:rPr>
        <w:t>年，专利权按</w:t>
      </w:r>
      <w:r>
        <w:rPr>
          <w:rFonts w:ascii="宋体" w:hAnsi="宋体" w:cs="宋体" w:eastAsia="宋体" w:hint="default"/>
          <w:spacing w:val="-3"/>
        </w:rPr>
        <w:t>5-10</w:t>
      </w:r>
      <w:r>
        <w:rPr>
          <w:spacing w:val="-3"/>
        </w:rPr>
        <w:t>年摊销。</w:t>
      </w:r>
    </w:p>
    <w:p>
      <w:pPr>
        <w:spacing w:line="240" w:lineRule="auto" w:before="0"/>
        <w:rPr>
          <w:rFonts w:ascii="宋体" w:hAnsi="宋体" w:cs="宋体" w:eastAsia="宋体" w:hint="default"/>
          <w:sz w:val="18"/>
          <w:szCs w:val="18"/>
        </w:rPr>
      </w:pPr>
    </w:p>
    <w:p>
      <w:pPr>
        <w:spacing w:line="621" w:lineRule="auto" w:before="143"/>
        <w:ind w:left="633" w:right="4900" w:hanging="480"/>
        <w:jc w:val="left"/>
        <w:rPr>
          <w:rFonts w:ascii="宋体" w:hAnsi="宋体" w:cs="宋体" w:eastAsia="宋体" w:hint="default"/>
          <w:sz w:val="18"/>
          <w:szCs w:val="18"/>
        </w:rPr>
      </w:pPr>
      <w:bookmarkStart w:name="（2）内部研究开发支出会计政策" w:id="208"/>
      <w:bookmarkEnd w:id="208"/>
      <w:r>
        <w:rPr/>
      </w:r>
      <w:r>
        <w:rPr>
          <w:rFonts w:ascii="宋体" w:hAnsi="宋体" w:cs="宋体" w:eastAsia="宋体" w:hint="default"/>
          <w:b/>
          <w:bCs/>
          <w:sz w:val="18"/>
          <w:szCs w:val="18"/>
        </w:rPr>
        <w:t>（</w:t>
      </w:r>
      <w:r>
        <w:rPr>
          <w:rFonts w:ascii="宋体" w:hAnsi="宋体" w:cs="宋体" w:eastAsia="宋体" w:hint="default"/>
          <w:b/>
          <w:bCs/>
          <w:sz w:val="18"/>
          <w:szCs w:val="18"/>
        </w:rPr>
        <w:t>2</w:t>
      </w:r>
      <w:r>
        <w:rPr>
          <w:rFonts w:ascii="宋体" w:hAnsi="宋体" w:cs="宋体" w:eastAsia="宋体" w:hint="default"/>
          <w:b/>
          <w:bCs/>
          <w:sz w:val="18"/>
          <w:szCs w:val="18"/>
        </w:rPr>
        <w:t>）内部研究开发支出会计政策</w:t>
      </w:r>
      <w:r>
        <w:rPr>
          <w:rFonts w:ascii="宋体" w:hAnsi="宋体" w:cs="宋体" w:eastAsia="宋体" w:hint="default"/>
          <w:b/>
          <w:bCs/>
          <w:spacing w:val="-87"/>
          <w:sz w:val="18"/>
          <w:szCs w:val="18"/>
        </w:rPr>
        <w:t> </w:t>
      </w:r>
      <w:r>
        <w:rPr>
          <w:rFonts w:ascii="宋体" w:hAnsi="宋体" w:cs="宋体" w:eastAsia="宋体" w:hint="default"/>
          <w:b/>
          <w:bCs/>
          <w:spacing w:val="-87"/>
          <w:sz w:val="18"/>
          <w:szCs w:val="18"/>
        </w:rPr>
      </w:r>
      <w:r>
        <w:rPr>
          <w:rFonts w:ascii="宋体" w:hAnsi="宋体" w:cs="宋体" w:eastAsia="宋体" w:hint="default"/>
          <w:spacing w:val="-3"/>
          <w:sz w:val="18"/>
          <w:szCs w:val="18"/>
        </w:rPr>
        <w:t>本公司内部研究开发项目的支出均计入当期损益。</w:t>
      </w:r>
    </w:p>
    <w:p>
      <w:pPr>
        <w:pStyle w:val="Heading6"/>
        <w:spacing w:line="240" w:lineRule="auto" w:before="93"/>
        <w:ind w:right="0"/>
        <w:jc w:val="left"/>
        <w:rPr>
          <w:b w:val="0"/>
          <w:bCs w:val="0"/>
        </w:rPr>
      </w:pPr>
      <w:bookmarkStart w:name="31、长期资产减值" w:id="209"/>
      <w:bookmarkEnd w:id="209"/>
      <w:r>
        <w:rPr>
          <w:b w:val="0"/>
          <w:bCs w:val="0"/>
        </w:rPr>
      </w:r>
      <w:r>
        <w:rPr>
          <w:rFonts w:ascii="宋体" w:hAnsi="宋体" w:cs="宋体" w:eastAsia="宋体" w:hint="default"/>
        </w:rPr>
        <w:t>31</w:t>
      </w:r>
      <w:r>
        <w:rPr/>
        <w:t>、长期资产减值</w:t>
      </w:r>
      <w:r>
        <w:rPr>
          <w:b w:val="0"/>
          <w:bCs w:val="0"/>
        </w:rPr>
      </w:r>
    </w:p>
    <w:p>
      <w:pPr>
        <w:spacing w:line="240" w:lineRule="auto" w:before="0"/>
        <w:rPr>
          <w:rFonts w:ascii="宋体" w:hAnsi="宋体" w:cs="宋体" w:eastAsia="宋体" w:hint="default"/>
          <w:b/>
          <w:bCs/>
          <w:sz w:val="18"/>
          <w:szCs w:val="18"/>
        </w:rPr>
      </w:pPr>
    </w:p>
    <w:p>
      <w:pPr>
        <w:pStyle w:val="BodyText"/>
        <w:spacing w:line="319" w:lineRule="auto" w:before="138"/>
        <w:ind w:right="0" w:firstLine="480"/>
        <w:jc w:val="left"/>
      </w:pPr>
      <w:r>
        <w:rPr>
          <w:spacing w:val="-3"/>
        </w:rPr>
        <w:t>对于固定资产、在建工程、使用寿命有限的无形资产、以成本模式计量的投资性房地产及对子公司、合营企业、联营</w:t>
      </w:r>
      <w:r>
        <w:rPr>
          <w:w w:val="101"/>
        </w:rPr>
        <w:t> </w:t>
      </w:r>
      <w:r>
        <w:rPr>
          <w:spacing w:val="-4"/>
        </w:rPr>
        <w:t>企业的长期股权投资等非流动非金融资产，本公司于资产负债表日判断是否存在减值迹象。如存在减值迹象的，则估计其可</w:t>
      </w:r>
      <w:r>
        <w:rPr>
          <w:spacing w:val="43"/>
        </w:rPr>
        <w:t> </w:t>
      </w:r>
      <w:r>
        <w:rPr>
          <w:spacing w:val="43"/>
        </w:rPr>
      </w:r>
      <w:r>
        <w:rPr>
          <w:spacing w:val="-3"/>
        </w:rPr>
        <w:t>收回金额，进行减值测试。商誉、使用寿命不确定的无形资产和尚未达到可使用状态的无形资产，无论是否存在减值迹象，</w:t>
      </w:r>
      <w:r>
        <w:rPr>
          <w:spacing w:val="66"/>
        </w:rPr>
        <w:t> </w:t>
      </w:r>
      <w:r>
        <w:rPr>
          <w:spacing w:val="66"/>
        </w:rPr>
      </w:r>
      <w:r>
        <w:rPr/>
        <w:t>每年均进行减值测试。</w:t>
      </w:r>
    </w:p>
    <w:p>
      <w:pPr>
        <w:pStyle w:val="BodyText"/>
        <w:spacing w:line="316" w:lineRule="auto" w:before="17"/>
        <w:ind w:right="1122" w:firstLine="480"/>
        <w:jc w:val="both"/>
      </w:pPr>
      <w:r>
        <w:rPr>
          <w:spacing w:val="-3"/>
        </w:rPr>
        <w:t>减值测试结果表明资产的可收回金额低于其账面价值的，按其差额计提减值准备并计入减值损失。可收回金额为资产</w:t>
      </w:r>
      <w:r>
        <w:rPr>
          <w:w w:val="101"/>
        </w:rPr>
        <w:t> </w:t>
      </w:r>
      <w:r>
        <w:rPr>
          <w:spacing w:val="-4"/>
          <w:w w:val="101"/>
        </w:rPr>
        <w:t>的公允价值减去处置费用后的净额与资产预计未来现金流量的现值两者之间的较高者。资产的公允价值根据公平交易中销售</w:t>
      </w:r>
      <w:r>
        <w:rPr>
          <w:w w:val="101"/>
        </w:rPr>
        <w:t> </w:t>
      </w:r>
      <w:r>
        <w:rPr>
          <w:spacing w:val="-4"/>
        </w:rPr>
        <w:t>协议价格确定；不存在销售协议但存在资产活跃市场的，公允价值按照该资产的买方出价确定；不存在销售协议和资产活跃</w:t>
      </w:r>
      <w:r>
        <w:rPr>
          <w:spacing w:val="43"/>
        </w:rPr>
        <w:t> </w:t>
      </w:r>
      <w:r>
        <w:rPr>
          <w:spacing w:val="43"/>
        </w:rPr>
      </w:r>
      <w:r>
        <w:rPr>
          <w:spacing w:val="-4"/>
        </w:rPr>
        <w:t>市场的，则以可获取的最佳信息为基础估计资产的公允价值。处置费用包括与资产处置有关的法律费用、相关税费、搬运费</w:t>
      </w:r>
      <w:r>
        <w:rPr>
          <w:spacing w:val="40"/>
        </w:rPr>
        <w:t> </w:t>
      </w:r>
      <w:r>
        <w:rPr>
          <w:spacing w:val="40"/>
        </w:rPr>
      </w:r>
      <w:r>
        <w:rPr>
          <w:spacing w:val="-4"/>
        </w:rPr>
        <w:t>以及为使资产达到可销售状态所发生的直接费用。资产预计未来现金流量的现值，按照资产在持续使用过程中和最终处置时</w:t>
      </w:r>
      <w:r>
        <w:rPr>
          <w:spacing w:val="43"/>
        </w:rPr>
        <w:t> </w:t>
      </w:r>
      <w:r>
        <w:rPr>
          <w:spacing w:val="43"/>
        </w:rPr>
      </w:r>
      <w:r>
        <w:rPr>
          <w:spacing w:val="-4"/>
        </w:rPr>
        <w:t>所产生的预计未来现金流量，选择恰当的折现率对其进行折现后的金额加以确定。资产减值准备按单项资产为基础计算并确</w:t>
      </w:r>
      <w:r>
        <w:rPr>
          <w:spacing w:val="46"/>
        </w:rPr>
        <w:t> </w:t>
      </w:r>
      <w:r>
        <w:rPr>
          <w:spacing w:val="46"/>
        </w:rPr>
      </w:r>
      <w:r>
        <w:rPr>
          <w:spacing w:val="-4"/>
        </w:rPr>
        <w:t>认，如果难以对单项资产的可收回金额进行估计的，以该资产所属的资产组确定资产组的可收回金额。资产组是能够独立产</w:t>
      </w:r>
      <w:r>
        <w:rPr>
          <w:spacing w:val="43"/>
        </w:rPr>
        <w:t> </w:t>
      </w:r>
      <w:r>
        <w:rPr>
          <w:spacing w:val="43"/>
        </w:rPr>
      </w:r>
      <w:r>
        <w:rPr>
          <w:spacing w:val="-3"/>
        </w:rPr>
        <w:t>生现金流入的最小资产组合。</w:t>
      </w:r>
    </w:p>
    <w:p>
      <w:pPr>
        <w:pStyle w:val="BodyText"/>
        <w:spacing w:line="319" w:lineRule="auto" w:before="19"/>
        <w:ind w:right="1124" w:firstLine="480"/>
        <w:jc w:val="both"/>
      </w:pPr>
      <w:r>
        <w:rPr>
          <w:spacing w:val="-3"/>
        </w:rPr>
        <w:t>在财务报表中单独列示的商誉，在进行减值测试时，将商誉的账面价值分摊至预期从企业合并的协同效应中受益的资</w:t>
      </w:r>
      <w:r>
        <w:rPr>
          <w:w w:val="101"/>
        </w:rPr>
        <w:t> </w:t>
      </w:r>
      <w:r>
        <w:rPr>
          <w:spacing w:val="-4"/>
        </w:rPr>
        <w:t>产组或资产组组合。测试结果表明包含分摊的商誉的资产组或资产组组合的可收回金额低于其账面价值的，确认相应的减值</w:t>
      </w:r>
      <w:r>
        <w:rPr>
          <w:spacing w:val="43"/>
        </w:rPr>
        <w:t> </w:t>
      </w:r>
      <w:r>
        <w:rPr>
          <w:spacing w:val="43"/>
        </w:rPr>
      </w:r>
      <w:r>
        <w:rPr>
          <w:spacing w:val="-4"/>
        </w:rPr>
        <w:t>损失。减值损失金额先抵减分摊至该资产组或资产组组合的商誉的账面价值，再根据资产组或资产组组合中除商誉以外的其</w:t>
      </w:r>
      <w:r>
        <w:rPr>
          <w:spacing w:val="44"/>
        </w:rPr>
        <w:t> </w:t>
      </w:r>
      <w:r>
        <w:rPr>
          <w:spacing w:val="44"/>
        </w:rPr>
      </w:r>
      <w:r>
        <w:rPr>
          <w:spacing w:val="-3"/>
        </w:rPr>
        <w:t>他各项资产的账面价值所占比重，按比例抵减其他各项资产的账面价值。</w:t>
      </w:r>
    </w:p>
    <w:p>
      <w:pPr>
        <w:pStyle w:val="BodyText"/>
        <w:spacing w:line="240" w:lineRule="auto" w:before="17"/>
        <w:ind w:left="633" w:right="0"/>
        <w:jc w:val="left"/>
      </w:pPr>
      <w:r>
        <w:rPr>
          <w:spacing w:val="-3"/>
        </w:rPr>
        <w:t>上述资产减值损失一经确认，以后期间不予转回价值得以恢复的部分。</w:t>
      </w:r>
    </w:p>
    <w:p>
      <w:pPr>
        <w:spacing w:after="0" w:line="240" w:lineRule="auto"/>
        <w:jc w:val="left"/>
        <w:sectPr>
          <w:pgSz w:w="11910" w:h="16840"/>
          <w:pgMar w:header="784" w:footer="1022" w:top="1100" w:bottom="1220" w:left="980" w:right="0"/>
        </w:sectPr>
      </w:pPr>
    </w:p>
    <w:p>
      <w:pPr>
        <w:spacing w:line="240" w:lineRule="auto" w:before="2"/>
        <w:rPr>
          <w:rFonts w:ascii="宋体" w:hAnsi="宋体" w:cs="宋体" w:eastAsia="宋体" w:hint="default"/>
          <w:sz w:val="23"/>
          <w:szCs w:val="23"/>
        </w:rPr>
      </w:pPr>
    </w:p>
    <w:p>
      <w:pPr>
        <w:pStyle w:val="Heading6"/>
        <w:spacing w:line="240" w:lineRule="auto" w:before="46"/>
        <w:ind w:right="0"/>
        <w:jc w:val="left"/>
        <w:rPr>
          <w:b w:val="0"/>
          <w:bCs w:val="0"/>
        </w:rPr>
      </w:pPr>
      <w:bookmarkStart w:name="32、长期待摊费用" w:id="210"/>
      <w:bookmarkEnd w:id="210"/>
      <w:r>
        <w:rPr>
          <w:b w:val="0"/>
          <w:bCs w:val="0"/>
        </w:rPr>
      </w:r>
      <w:r>
        <w:rPr>
          <w:rFonts w:ascii="宋体" w:hAnsi="宋体" w:cs="宋体" w:eastAsia="宋体" w:hint="default"/>
        </w:rPr>
        <w:t>32</w:t>
      </w:r>
      <w:r>
        <w:rPr/>
        <w:t>、长期待摊费用</w:t>
      </w:r>
      <w:r>
        <w:rPr>
          <w:b w:val="0"/>
          <w:bCs w:val="0"/>
        </w:rPr>
      </w:r>
    </w:p>
    <w:p>
      <w:pPr>
        <w:spacing w:line="240" w:lineRule="auto" w:before="0"/>
        <w:rPr>
          <w:rFonts w:ascii="宋体" w:hAnsi="宋体" w:cs="宋体" w:eastAsia="宋体" w:hint="default"/>
          <w:b/>
          <w:bCs/>
          <w:sz w:val="18"/>
          <w:szCs w:val="18"/>
        </w:rPr>
      </w:pPr>
    </w:p>
    <w:p>
      <w:pPr>
        <w:pStyle w:val="BodyText"/>
        <w:spacing w:line="319" w:lineRule="auto" w:before="138"/>
        <w:ind w:right="0" w:firstLine="480"/>
        <w:jc w:val="left"/>
      </w:pPr>
      <w:r>
        <w:rPr>
          <w:spacing w:val="-3"/>
        </w:rPr>
        <w:t>长期待摊费用为已经发生但应由报告期和以后各期负担的分摊期限在一年以上的各项费用。本公司的长期待摊费用主</w:t>
      </w:r>
      <w:r>
        <w:rPr>
          <w:w w:val="101"/>
        </w:rPr>
        <w:t> </w:t>
      </w:r>
      <w:r>
        <w:rPr>
          <w:spacing w:val="-3"/>
        </w:rPr>
        <w:t>要包括装修费等。长期待摊费用在预计受益期间按直线法摊销。</w:t>
      </w:r>
    </w:p>
    <w:p>
      <w:pPr>
        <w:spacing w:line="240" w:lineRule="auto" w:before="5"/>
        <w:rPr>
          <w:rFonts w:ascii="宋体" w:hAnsi="宋体" w:cs="宋体" w:eastAsia="宋体" w:hint="default"/>
          <w:sz w:val="24"/>
          <w:szCs w:val="24"/>
        </w:rPr>
      </w:pPr>
    </w:p>
    <w:p>
      <w:pPr>
        <w:pStyle w:val="Heading6"/>
        <w:spacing w:line="624" w:lineRule="auto"/>
        <w:ind w:right="9666"/>
        <w:jc w:val="left"/>
        <w:rPr>
          <w:b w:val="0"/>
          <w:bCs w:val="0"/>
        </w:rPr>
      </w:pPr>
      <w:bookmarkStart w:name="33、合同负债" w:id="211"/>
      <w:bookmarkEnd w:id="211"/>
      <w:r>
        <w:rPr>
          <w:b w:val="0"/>
          <w:bCs w:val="0"/>
        </w:rPr>
      </w:r>
      <w:r>
        <w:rPr>
          <w:rFonts w:ascii="宋体" w:hAnsi="宋体" w:cs="宋体" w:eastAsia="宋体" w:hint="default"/>
        </w:rPr>
        <w:t>33</w:t>
      </w:r>
      <w:r>
        <w:rPr/>
        <w:t>、合同负债</w:t>
      </w:r>
      <w:r>
        <w:rPr>
          <w:spacing w:val="-87"/>
        </w:rPr>
        <w:t> </w:t>
      </w:r>
      <w:r>
        <w:rPr>
          <w:spacing w:val="-87"/>
        </w:rPr>
      </w:r>
      <w:r>
        <w:rPr>
          <w:rFonts w:ascii="宋体" w:hAnsi="宋体" w:cs="宋体" w:eastAsia="宋体" w:hint="default"/>
          <w:b w:val="0"/>
          <w:bCs w:val="0"/>
        </w:rPr>
        <w:t>无。</w:t>
      </w:r>
      <w:r>
        <w:rPr>
          <w:rFonts w:ascii="宋体" w:hAnsi="宋体" w:cs="宋体" w:eastAsia="宋体" w:hint="default"/>
          <w:b w:val="0"/>
          <w:bCs w:val="0"/>
          <w:spacing w:val="-86"/>
        </w:rPr>
        <w:t> </w:t>
      </w:r>
      <w:bookmarkStart w:name="34、职工薪酬" w:id="212"/>
      <w:bookmarkEnd w:id="212"/>
      <w:r>
        <w:rPr>
          <w:rFonts w:ascii="宋体" w:hAnsi="宋体" w:cs="宋体" w:eastAsia="宋体" w:hint="default"/>
          <w:b w:val="0"/>
          <w:bCs w:val="0"/>
          <w:spacing w:val="-86"/>
        </w:rPr>
      </w:r>
      <w:r>
        <w:rPr>
          <w:rFonts w:ascii="宋体" w:hAnsi="宋体" w:cs="宋体" w:eastAsia="宋体" w:hint="default"/>
        </w:rPr>
        <w:t>34</w:t>
      </w:r>
      <w:r>
        <w:rPr/>
        <w:t>、职工薪酬</w:t>
      </w:r>
      <w:r>
        <w:rPr>
          <w:b w:val="0"/>
          <w:bCs w:val="0"/>
        </w:rPr>
      </w:r>
    </w:p>
    <w:p>
      <w:pPr>
        <w:pStyle w:val="Heading6"/>
        <w:spacing w:line="240" w:lineRule="auto" w:before="86"/>
        <w:ind w:right="0"/>
        <w:jc w:val="left"/>
        <w:rPr>
          <w:b w:val="0"/>
          <w:bCs w:val="0"/>
        </w:rPr>
      </w:pPr>
      <w:bookmarkStart w:name="（1）短期薪酬的会计处理方法" w:id="213"/>
      <w:bookmarkEnd w:id="213"/>
      <w:r>
        <w:rPr>
          <w:b w:val="0"/>
          <w:bCs w:val="0"/>
        </w:rPr>
      </w:r>
      <w:r>
        <w:rPr/>
        <w:t>（</w:t>
      </w:r>
      <w:r>
        <w:rPr>
          <w:rFonts w:ascii="宋体" w:hAnsi="宋体" w:cs="宋体" w:eastAsia="宋体" w:hint="default"/>
        </w:rPr>
        <w:t>1</w:t>
      </w:r>
      <w:r>
        <w:rPr/>
        <w:t>）短期薪酬的会计处理方法</w:t>
      </w:r>
      <w:r>
        <w:rPr>
          <w:b w:val="0"/>
          <w:bCs w:val="0"/>
        </w:rPr>
      </w:r>
    </w:p>
    <w:p>
      <w:pPr>
        <w:spacing w:line="240" w:lineRule="auto" w:before="0"/>
        <w:rPr>
          <w:rFonts w:ascii="宋体" w:hAnsi="宋体" w:cs="宋体" w:eastAsia="宋体" w:hint="default"/>
          <w:b/>
          <w:bCs/>
          <w:sz w:val="18"/>
          <w:szCs w:val="18"/>
        </w:rPr>
      </w:pPr>
    </w:p>
    <w:p>
      <w:pPr>
        <w:pStyle w:val="BodyText"/>
        <w:spacing w:line="319" w:lineRule="auto" w:before="143"/>
        <w:ind w:right="0" w:firstLine="360"/>
        <w:jc w:val="left"/>
      </w:pPr>
      <w:r>
        <w:rPr>
          <w:spacing w:val="-5"/>
        </w:rPr>
        <w:t>短期薪酬主要包括工资、奖金、津贴和补贴、职工福利费、医疗保险费、生育保险费、工伤保险费、住房公积金、工会</w:t>
      </w:r>
      <w:r>
        <w:rPr>
          <w:w w:val="101"/>
        </w:rPr>
        <w:t> </w:t>
      </w:r>
      <w:r>
        <w:rPr>
          <w:spacing w:val="-6"/>
          <w:w w:val="101"/>
        </w:rPr>
        <w:t>经费和职工教育经费、非货币性福利等。本公司在职工为本公司提供服务的会计期间将实际发生的短期职工薪酬确认为负债，</w:t>
      </w:r>
      <w:r>
        <w:rPr>
          <w:spacing w:val="-65"/>
          <w:w w:val="101"/>
        </w:rPr>
        <w:t> </w:t>
      </w:r>
      <w:r>
        <w:rPr>
          <w:spacing w:val="-65"/>
          <w:w w:val="101"/>
        </w:rPr>
      </w:r>
      <w:r>
        <w:rPr>
          <w:spacing w:val="-3"/>
        </w:rPr>
        <w:t>并计入当期损益或相关资产成本。其中非货币性福利按公允价值计量。</w:t>
      </w:r>
    </w:p>
    <w:p>
      <w:pPr>
        <w:spacing w:line="610" w:lineRule="exact" w:before="41"/>
        <w:ind w:left="633" w:right="0" w:hanging="480"/>
        <w:jc w:val="left"/>
        <w:rPr>
          <w:rFonts w:ascii="宋体" w:hAnsi="宋体" w:cs="宋体" w:eastAsia="宋体" w:hint="default"/>
          <w:sz w:val="18"/>
          <w:szCs w:val="18"/>
        </w:rPr>
      </w:pPr>
      <w:bookmarkStart w:name="（2）离职后福利的会计处理方法" w:id="214"/>
      <w:bookmarkEnd w:id="214"/>
      <w:r>
        <w:rPr/>
      </w:r>
      <w:r>
        <w:rPr>
          <w:rFonts w:ascii="宋体" w:hAnsi="宋体" w:cs="宋体" w:eastAsia="宋体" w:hint="default"/>
          <w:b/>
          <w:bCs/>
          <w:sz w:val="18"/>
          <w:szCs w:val="18"/>
        </w:rPr>
        <w:t>（</w:t>
      </w:r>
      <w:r>
        <w:rPr>
          <w:rFonts w:ascii="宋体" w:hAnsi="宋体" w:cs="宋体" w:eastAsia="宋体" w:hint="default"/>
          <w:b/>
          <w:bCs/>
          <w:sz w:val="18"/>
          <w:szCs w:val="18"/>
        </w:rPr>
        <w:t>2</w:t>
      </w:r>
      <w:r>
        <w:rPr>
          <w:rFonts w:ascii="宋体" w:hAnsi="宋体" w:cs="宋体" w:eastAsia="宋体" w:hint="default"/>
          <w:b/>
          <w:bCs/>
          <w:sz w:val="18"/>
          <w:szCs w:val="18"/>
        </w:rPr>
        <w:t>）离职后福利的会计处理方法</w:t>
      </w:r>
      <w:r>
        <w:rPr>
          <w:rFonts w:ascii="宋体" w:hAnsi="宋体" w:cs="宋体" w:eastAsia="宋体" w:hint="default"/>
          <w:b/>
          <w:bCs/>
          <w:spacing w:val="-87"/>
          <w:sz w:val="18"/>
          <w:szCs w:val="18"/>
        </w:rPr>
        <w:t> </w:t>
      </w:r>
      <w:r>
        <w:rPr>
          <w:rFonts w:ascii="宋体" w:hAnsi="宋体" w:cs="宋体" w:eastAsia="宋体" w:hint="default"/>
          <w:b/>
          <w:bCs/>
          <w:spacing w:val="-87"/>
          <w:sz w:val="18"/>
          <w:szCs w:val="18"/>
        </w:rPr>
      </w:r>
      <w:r>
        <w:rPr>
          <w:rFonts w:ascii="宋体" w:hAnsi="宋体" w:cs="宋体" w:eastAsia="宋体" w:hint="default"/>
          <w:spacing w:val="-3"/>
          <w:sz w:val="18"/>
          <w:szCs w:val="18"/>
        </w:rPr>
        <w:t>离职后福利主要包括设定提存计划。设定提存计划主要包括基本养老保险、失业保险以及年金等，相应的应缴存金额</w:t>
      </w:r>
    </w:p>
    <w:p>
      <w:pPr>
        <w:pStyle w:val="BodyText"/>
        <w:spacing w:line="216" w:lineRule="exact" w:before="0"/>
        <w:ind w:right="0"/>
        <w:jc w:val="left"/>
      </w:pPr>
      <w:r>
        <w:rPr>
          <w:spacing w:val="-3"/>
        </w:rPr>
        <w:t>于发生时计入相关资产成本或当期损益。</w:t>
      </w:r>
    </w:p>
    <w:p>
      <w:pPr>
        <w:spacing w:line="610" w:lineRule="atLeast" w:before="4"/>
        <w:ind w:left="633" w:right="0" w:hanging="480"/>
        <w:jc w:val="left"/>
        <w:rPr>
          <w:rFonts w:ascii="宋体" w:hAnsi="宋体" w:cs="宋体" w:eastAsia="宋体" w:hint="default"/>
          <w:sz w:val="18"/>
          <w:szCs w:val="18"/>
        </w:rPr>
      </w:pPr>
      <w:bookmarkStart w:name="（3）辞退福利的会计处理方法" w:id="215"/>
      <w:bookmarkEnd w:id="215"/>
      <w:r>
        <w:rPr/>
      </w:r>
      <w:r>
        <w:rPr>
          <w:rFonts w:ascii="宋体" w:hAnsi="宋体" w:cs="宋体" w:eastAsia="宋体" w:hint="default"/>
          <w:b/>
          <w:bCs/>
          <w:sz w:val="18"/>
          <w:szCs w:val="18"/>
        </w:rPr>
        <w:t>（</w:t>
      </w:r>
      <w:r>
        <w:rPr>
          <w:rFonts w:ascii="宋体" w:hAnsi="宋体" w:cs="宋体" w:eastAsia="宋体" w:hint="default"/>
          <w:b/>
          <w:bCs/>
          <w:sz w:val="18"/>
          <w:szCs w:val="18"/>
        </w:rPr>
        <w:t>3</w:t>
      </w:r>
      <w:r>
        <w:rPr>
          <w:rFonts w:ascii="宋体" w:hAnsi="宋体" w:cs="宋体" w:eastAsia="宋体" w:hint="default"/>
          <w:b/>
          <w:bCs/>
          <w:sz w:val="18"/>
          <w:szCs w:val="18"/>
        </w:rPr>
        <w:t>）辞退福利的会计处理方法</w:t>
      </w:r>
      <w:r>
        <w:rPr>
          <w:rFonts w:ascii="宋体" w:hAnsi="宋体" w:cs="宋体" w:eastAsia="宋体" w:hint="default"/>
          <w:b/>
          <w:bCs/>
          <w:spacing w:val="-89"/>
          <w:sz w:val="18"/>
          <w:szCs w:val="18"/>
        </w:rPr>
        <w:t> </w:t>
      </w:r>
      <w:r>
        <w:rPr>
          <w:rFonts w:ascii="宋体" w:hAnsi="宋体" w:cs="宋体" w:eastAsia="宋体" w:hint="default"/>
          <w:b/>
          <w:bCs/>
          <w:spacing w:val="-89"/>
          <w:sz w:val="18"/>
          <w:szCs w:val="18"/>
        </w:rPr>
      </w:r>
      <w:r>
        <w:rPr>
          <w:rFonts w:ascii="宋体" w:hAnsi="宋体" w:cs="宋体" w:eastAsia="宋体" w:hint="default"/>
          <w:spacing w:val="-3"/>
          <w:sz w:val="18"/>
          <w:szCs w:val="18"/>
        </w:rPr>
        <w:t>在职工劳动合同到期之前解除与职工的劳动关系，或为鼓励职工自愿接受裁减而提出给予补偿的建议，在本公司不能</w:t>
      </w:r>
    </w:p>
    <w:p>
      <w:pPr>
        <w:pStyle w:val="BodyText"/>
        <w:spacing w:line="316" w:lineRule="auto" w:before="77"/>
        <w:ind w:right="1124"/>
        <w:jc w:val="both"/>
      </w:pPr>
      <w:r>
        <w:rPr>
          <w:spacing w:val="-4"/>
          <w:w w:val="101"/>
        </w:rPr>
        <w:t>单方面撤回因解除劳动关系计划或裁减建议所提供的辞退福利时，和本公司确认与涉及支付辞退福利的重组相关的成本两者</w:t>
      </w:r>
      <w:r>
        <w:rPr>
          <w:w w:val="101"/>
        </w:rPr>
        <w:t> </w:t>
      </w:r>
      <w:r>
        <w:rPr>
          <w:spacing w:val="-4"/>
        </w:rPr>
        <w:t>孰早日，确认辞退福利产生的职工薪酬负债，并计入当期损益。但辞退福利预期在年度报告期结束后十二个月不能完全支付</w:t>
      </w:r>
      <w:r>
        <w:rPr>
          <w:spacing w:val="43"/>
        </w:rPr>
        <w:t> </w:t>
      </w:r>
      <w:r>
        <w:rPr>
          <w:spacing w:val="43"/>
        </w:rPr>
      </w:r>
      <w:r>
        <w:rPr>
          <w:spacing w:val="-3"/>
        </w:rPr>
        <w:t>的，按照其他长期职工薪酬处理。</w:t>
      </w:r>
    </w:p>
    <w:p>
      <w:pPr>
        <w:pStyle w:val="BodyText"/>
        <w:spacing w:line="316" w:lineRule="auto" w:before="19"/>
        <w:ind w:right="0" w:firstLine="480"/>
        <w:jc w:val="left"/>
      </w:pPr>
      <w:r>
        <w:rPr>
          <w:spacing w:val="-3"/>
        </w:rPr>
        <w:t>职工内部退休计划采用上述辞退福利相同的原则处理。本公司将自职工停止提供服务日至正常退休日的期间拟支付的</w:t>
      </w:r>
      <w:r>
        <w:rPr>
          <w:w w:val="101"/>
        </w:rPr>
        <w:t> </w:t>
      </w:r>
      <w:r>
        <w:rPr>
          <w:spacing w:val="-3"/>
        </w:rPr>
        <w:t>内退人员工资和缴纳的社会保险费等，在符合预计负债确认条件时，计入当期损益（辞退福利）。</w:t>
      </w:r>
    </w:p>
    <w:p>
      <w:pPr>
        <w:spacing w:line="240" w:lineRule="auto" w:before="11"/>
        <w:rPr>
          <w:rFonts w:ascii="宋体" w:hAnsi="宋体" w:cs="宋体" w:eastAsia="宋体" w:hint="default"/>
          <w:sz w:val="19"/>
          <w:szCs w:val="19"/>
        </w:rPr>
      </w:pPr>
    </w:p>
    <w:p>
      <w:pPr>
        <w:spacing w:line="610" w:lineRule="atLeast" w:before="0"/>
        <w:ind w:left="633" w:right="0" w:hanging="480"/>
        <w:jc w:val="left"/>
        <w:rPr>
          <w:rFonts w:ascii="宋体" w:hAnsi="宋体" w:cs="宋体" w:eastAsia="宋体" w:hint="default"/>
          <w:sz w:val="18"/>
          <w:szCs w:val="18"/>
        </w:rPr>
      </w:pPr>
      <w:bookmarkStart w:name="（4）其他长期职工福利的会计处理方法" w:id="216"/>
      <w:bookmarkEnd w:id="216"/>
      <w:r>
        <w:rPr/>
      </w:r>
      <w:r>
        <w:rPr>
          <w:rFonts w:ascii="宋体" w:hAnsi="宋体" w:cs="宋体" w:eastAsia="宋体" w:hint="default"/>
          <w:b/>
          <w:bCs/>
          <w:sz w:val="18"/>
          <w:szCs w:val="18"/>
        </w:rPr>
        <w:t>（</w:t>
      </w:r>
      <w:r>
        <w:rPr>
          <w:rFonts w:ascii="宋体" w:hAnsi="宋体" w:cs="宋体" w:eastAsia="宋体" w:hint="default"/>
          <w:b/>
          <w:bCs/>
          <w:sz w:val="18"/>
          <w:szCs w:val="18"/>
        </w:rPr>
        <w:t>4</w:t>
      </w:r>
      <w:r>
        <w:rPr>
          <w:rFonts w:ascii="宋体" w:hAnsi="宋体" w:cs="宋体" w:eastAsia="宋体" w:hint="default"/>
          <w:b/>
          <w:bCs/>
          <w:sz w:val="18"/>
          <w:szCs w:val="18"/>
        </w:rPr>
        <w:t>）其他长期职工福利的会计处理方法</w:t>
      </w:r>
      <w:r>
        <w:rPr>
          <w:rFonts w:ascii="宋体" w:hAnsi="宋体" w:cs="宋体" w:eastAsia="宋体" w:hint="default"/>
          <w:b/>
          <w:bCs/>
          <w:spacing w:val="-87"/>
          <w:sz w:val="18"/>
          <w:szCs w:val="18"/>
        </w:rPr>
        <w:t> </w:t>
      </w:r>
      <w:r>
        <w:rPr>
          <w:rFonts w:ascii="宋体" w:hAnsi="宋体" w:cs="宋体" w:eastAsia="宋体" w:hint="default"/>
          <w:b/>
          <w:bCs/>
          <w:spacing w:val="-87"/>
          <w:sz w:val="18"/>
          <w:szCs w:val="18"/>
        </w:rPr>
      </w:r>
      <w:r>
        <w:rPr>
          <w:rFonts w:ascii="宋体" w:hAnsi="宋体" w:cs="宋体" w:eastAsia="宋体" w:hint="default"/>
          <w:spacing w:val="-3"/>
          <w:sz w:val="18"/>
          <w:szCs w:val="18"/>
        </w:rPr>
        <w:t>本公司向职工提供的其他长期职工福利，符合设定提存计划的，按照设定提存计划进行会计处理，除此之外按照设定</w:t>
      </w:r>
    </w:p>
    <w:p>
      <w:pPr>
        <w:spacing w:line="626" w:lineRule="auto" w:before="76"/>
        <w:ind w:left="153" w:right="8587" w:firstLine="0"/>
        <w:jc w:val="left"/>
        <w:rPr>
          <w:rFonts w:ascii="宋体" w:hAnsi="宋体" w:cs="宋体" w:eastAsia="宋体" w:hint="default"/>
          <w:sz w:val="18"/>
          <w:szCs w:val="18"/>
        </w:rPr>
      </w:pPr>
      <w:r>
        <w:rPr>
          <w:rFonts w:ascii="宋体" w:hAnsi="宋体" w:cs="宋体" w:eastAsia="宋体" w:hint="default"/>
          <w:spacing w:val="-3"/>
          <w:sz w:val="18"/>
          <w:szCs w:val="18"/>
        </w:rPr>
        <w:t>收益计划进行会计处理。</w:t>
      </w:r>
      <w:r>
        <w:rPr>
          <w:rFonts w:ascii="宋体" w:hAnsi="宋体" w:cs="宋体" w:eastAsia="宋体" w:hint="default"/>
          <w:spacing w:val="-56"/>
          <w:sz w:val="18"/>
          <w:szCs w:val="18"/>
        </w:rPr>
        <w:t> </w:t>
      </w:r>
      <w:r>
        <w:rPr>
          <w:rFonts w:ascii="宋体" w:hAnsi="宋体" w:cs="宋体" w:eastAsia="宋体" w:hint="default"/>
          <w:spacing w:val="-56"/>
          <w:sz w:val="18"/>
          <w:szCs w:val="18"/>
        </w:rPr>
      </w:r>
      <w:bookmarkStart w:name="35、租赁负债" w:id="217"/>
      <w:bookmarkEnd w:id="217"/>
      <w:r>
        <w:rPr>
          <w:rFonts w:ascii="宋体" w:hAnsi="宋体" w:cs="宋体" w:eastAsia="宋体" w:hint="default"/>
          <w:spacing w:val="-56"/>
          <w:sz w:val="18"/>
          <w:szCs w:val="18"/>
        </w:rPr>
      </w:r>
      <w:r>
        <w:rPr>
          <w:rFonts w:ascii="宋体" w:hAnsi="宋体" w:cs="宋体" w:eastAsia="宋体" w:hint="default"/>
          <w:b/>
          <w:bCs/>
          <w:sz w:val="18"/>
          <w:szCs w:val="18"/>
        </w:rPr>
        <w:t>35</w:t>
      </w:r>
      <w:r>
        <w:rPr>
          <w:rFonts w:ascii="宋体" w:hAnsi="宋体" w:cs="宋体" w:eastAsia="宋体" w:hint="default"/>
          <w:b/>
          <w:bCs/>
          <w:sz w:val="18"/>
          <w:szCs w:val="18"/>
        </w:rPr>
        <w:t>、租赁负债</w:t>
      </w:r>
      <w:r>
        <w:rPr>
          <w:rFonts w:ascii="宋体" w:hAnsi="宋体" w:cs="宋体" w:eastAsia="宋体" w:hint="default"/>
          <w:sz w:val="18"/>
          <w:szCs w:val="18"/>
        </w:rPr>
      </w:r>
    </w:p>
    <w:p>
      <w:pPr>
        <w:spacing w:line="626" w:lineRule="auto" w:before="84"/>
        <w:ind w:left="153" w:right="9666" w:firstLine="0"/>
        <w:jc w:val="left"/>
        <w:rPr>
          <w:rFonts w:ascii="宋体" w:hAnsi="宋体" w:cs="宋体" w:eastAsia="宋体" w:hint="default"/>
          <w:sz w:val="18"/>
          <w:szCs w:val="18"/>
        </w:rPr>
      </w:pPr>
      <w:r>
        <w:rPr>
          <w:rFonts w:ascii="宋体" w:hAnsi="宋体" w:cs="宋体" w:eastAsia="宋体" w:hint="default"/>
          <w:sz w:val="18"/>
          <w:szCs w:val="18"/>
        </w:rPr>
        <w:t>无。</w:t>
      </w:r>
      <w:r>
        <w:rPr>
          <w:rFonts w:ascii="宋体" w:hAnsi="宋体" w:cs="宋体" w:eastAsia="宋体" w:hint="default"/>
          <w:spacing w:val="-86"/>
          <w:sz w:val="18"/>
          <w:szCs w:val="18"/>
        </w:rPr>
        <w:t> </w:t>
      </w:r>
      <w:bookmarkStart w:name="36、预计负债" w:id="218"/>
      <w:bookmarkEnd w:id="218"/>
      <w:r>
        <w:rPr>
          <w:rFonts w:ascii="宋体" w:hAnsi="宋体" w:cs="宋体" w:eastAsia="宋体" w:hint="default"/>
          <w:spacing w:val="-86"/>
          <w:sz w:val="18"/>
          <w:szCs w:val="18"/>
        </w:rPr>
      </w:r>
      <w:r>
        <w:rPr>
          <w:rFonts w:ascii="宋体" w:hAnsi="宋体" w:cs="宋体" w:eastAsia="宋体" w:hint="default"/>
          <w:b/>
          <w:bCs/>
          <w:sz w:val="18"/>
          <w:szCs w:val="18"/>
        </w:rPr>
        <w:t>36</w:t>
      </w:r>
      <w:r>
        <w:rPr>
          <w:rFonts w:ascii="宋体" w:hAnsi="宋体" w:cs="宋体" w:eastAsia="宋体" w:hint="default"/>
          <w:b/>
          <w:bCs/>
          <w:sz w:val="18"/>
          <w:szCs w:val="18"/>
        </w:rPr>
        <w:t>、预计负债</w:t>
      </w:r>
      <w:r>
        <w:rPr>
          <w:rFonts w:ascii="宋体" w:hAnsi="宋体" w:cs="宋体" w:eastAsia="宋体" w:hint="default"/>
          <w:sz w:val="18"/>
          <w:szCs w:val="18"/>
        </w:rPr>
      </w:r>
    </w:p>
    <w:p>
      <w:pPr>
        <w:pStyle w:val="BodyText"/>
        <w:spacing w:line="316" w:lineRule="auto" w:before="84"/>
        <w:ind w:right="0" w:firstLine="480"/>
        <w:jc w:val="left"/>
      </w:pPr>
      <w:r>
        <w:rPr>
          <w:spacing w:val="-3"/>
        </w:rPr>
        <w:t>当与或有事项相关的义务同时符合以下条件，确认为预计负债：（</w:t>
      </w:r>
      <w:r>
        <w:rPr>
          <w:rFonts w:ascii="宋体" w:hAnsi="宋体" w:cs="宋体" w:eastAsia="宋体" w:hint="default"/>
          <w:spacing w:val="-3"/>
        </w:rPr>
        <w:t>1</w:t>
      </w:r>
      <w:r>
        <w:rPr>
          <w:spacing w:val="-3"/>
        </w:rPr>
        <w:t>）该义务是本公司承担的现时义务；（</w:t>
      </w:r>
      <w:r>
        <w:rPr>
          <w:rFonts w:ascii="宋体" w:hAnsi="宋体" w:cs="宋体" w:eastAsia="宋体" w:hint="default"/>
          <w:spacing w:val="-3"/>
        </w:rPr>
        <w:t>2</w:t>
      </w:r>
      <w:r>
        <w:rPr>
          <w:spacing w:val="-3"/>
        </w:rPr>
        <w:t>）履行该</w:t>
      </w:r>
      <w:r>
        <w:rPr>
          <w:w w:val="101"/>
        </w:rPr>
        <w:t> </w:t>
      </w:r>
      <w:r>
        <w:rPr>
          <w:spacing w:val="-3"/>
        </w:rPr>
        <w:t>义务很可能导致经济利益流出；（</w:t>
      </w:r>
      <w:r>
        <w:rPr>
          <w:rFonts w:ascii="宋体" w:hAnsi="宋体" w:cs="宋体" w:eastAsia="宋体" w:hint="default"/>
          <w:spacing w:val="-3"/>
        </w:rPr>
        <w:t>3</w:t>
      </w:r>
      <w:r>
        <w:rPr>
          <w:spacing w:val="-3"/>
        </w:rPr>
        <w:t>）该义务的金额能够可靠地计量。</w:t>
      </w:r>
    </w:p>
    <w:p>
      <w:pPr>
        <w:spacing w:after="0" w:line="316" w:lineRule="auto"/>
        <w:jc w:val="left"/>
        <w:sectPr>
          <w:pgSz w:w="11910" w:h="16840"/>
          <w:pgMar w:header="784" w:footer="1022" w:top="1100" w:bottom="1220" w:left="980" w:right="0"/>
        </w:sectPr>
      </w:pPr>
    </w:p>
    <w:p>
      <w:pPr>
        <w:spacing w:line="240" w:lineRule="auto" w:before="10"/>
        <w:rPr>
          <w:rFonts w:ascii="宋体" w:hAnsi="宋体" w:cs="宋体" w:eastAsia="宋体" w:hint="default"/>
          <w:sz w:val="22"/>
          <w:szCs w:val="22"/>
        </w:rPr>
      </w:pPr>
    </w:p>
    <w:p>
      <w:pPr>
        <w:pStyle w:val="BodyText"/>
        <w:spacing w:line="316" w:lineRule="auto"/>
        <w:ind w:left="633" w:right="0"/>
        <w:jc w:val="left"/>
      </w:pPr>
      <w:r>
        <w:rPr>
          <w:spacing w:val="-3"/>
        </w:rPr>
        <w:t>本公司预计负债按履行相关现时义务所需的支出的最佳估计数进行初始计量。</w:t>
      </w:r>
      <w:r>
        <w:rPr>
          <w:spacing w:val="8"/>
        </w:rPr>
        <w:t> </w:t>
      </w:r>
      <w:r>
        <w:rPr>
          <w:spacing w:val="8"/>
        </w:rPr>
      </w:r>
      <w:r>
        <w:rPr>
          <w:spacing w:val="-3"/>
        </w:rPr>
        <w:t>本公司在确定最佳估计数时，综合考虑与或有事项有关的风险、不确定性和货币时间价值等因素。对于货币时间价值</w:t>
      </w:r>
    </w:p>
    <w:p>
      <w:pPr>
        <w:pStyle w:val="BodyText"/>
        <w:spacing w:line="319" w:lineRule="auto" w:before="19"/>
        <w:ind w:left="633" w:right="0" w:hanging="480"/>
        <w:jc w:val="left"/>
      </w:pPr>
      <w:r>
        <w:rPr>
          <w:spacing w:val="-3"/>
        </w:rPr>
        <w:t>影响重大的，通过对相关未来现金流出进行折现后确定最佳估计数。 最佳估计数分别以下情况处理：所需支出存在一个连续范围（或区间），且该范围内各种结果发生的可能性相同的，</w:t>
      </w:r>
    </w:p>
    <w:p>
      <w:pPr>
        <w:pStyle w:val="BodyText"/>
        <w:spacing w:line="316" w:lineRule="auto" w:before="17"/>
        <w:ind w:left="633" w:right="0" w:hanging="480"/>
        <w:jc w:val="left"/>
      </w:pPr>
      <w:r>
        <w:rPr>
          <w:spacing w:val="-3"/>
        </w:rPr>
        <w:t>则最佳估计数按照该范围的中间值即上下限金额的平均数确定。</w:t>
      </w:r>
      <w:r>
        <w:rPr>
          <w:spacing w:val="-9"/>
        </w:rPr>
        <w:t> </w:t>
      </w:r>
      <w:r>
        <w:rPr>
          <w:spacing w:val="-9"/>
        </w:rPr>
      </w:r>
      <w:r>
        <w:rPr>
          <w:spacing w:val="-3"/>
        </w:rPr>
        <w:t>所需支出不存在一个连续范围（或区间），或虽然存在一个连续范围但该范围内各种结果发生的可能性不相同的，如</w:t>
      </w:r>
    </w:p>
    <w:p>
      <w:pPr>
        <w:pStyle w:val="BodyText"/>
        <w:spacing w:line="316" w:lineRule="auto" w:before="19"/>
        <w:ind w:right="0"/>
        <w:jc w:val="left"/>
      </w:pPr>
      <w:r>
        <w:rPr>
          <w:spacing w:val="-4"/>
        </w:rPr>
        <w:t>或有事项涉及单个项目的，则最佳估计数按照最可能发生金额确定；如或有事项涉及多个项目的，最佳估计数按各种可能结</w:t>
      </w:r>
      <w:r>
        <w:rPr>
          <w:spacing w:val="43"/>
        </w:rPr>
        <w:t> </w:t>
      </w:r>
      <w:r>
        <w:rPr>
          <w:spacing w:val="43"/>
        </w:rPr>
      </w:r>
      <w:r>
        <w:rPr>
          <w:spacing w:val="-3"/>
        </w:rPr>
        <w:t>果及相关概率计算确定。</w:t>
      </w:r>
    </w:p>
    <w:p>
      <w:pPr>
        <w:pStyle w:val="BodyText"/>
        <w:spacing w:line="319" w:lineRule="auto" w:before="19"/>
        <w:ind w:right="0" w:firstLine="360"/>
        <w:jc w:val="left"/>
      </w:pPr>
      <w:r>
        <w:rPr>
          <w:spacing w:val="-3"/>
        </w:rPr>
        <w:t>本公司清偿预计负债所需支出全部或部分预期由第三方补偿的，补偿金额在基本确定能够收到时，作为资产单独确认，</w:t>
      </w:r>
      <w:r>
        <w:rPr>
          <w:w w:val="101"/>
        </w:rPr>
        <w:t> </w:t>
      </w:r>
      <w:r>
        <w:rPr>
          <w:spacing w:val="-3"/>
        </w:rPr>
        <w:t>确认的补偿金额不超过预计负债的账面价值。</w:t>
      </w:r>
    </w:p>
    <w:p>
      <w:pPr>
        <w:spacing w:line="240" w:lineRule="auto" w:before="5"/>
        <w:rPr>
          <w:rFonts w:ascii="宋体" w:hAnsi="宋体" w:cs="宋体" w:eastAsia="宋体" w:hint="default"/>
          <w:sz w:val="24"/>
          <w:szCs w:val="24"/>
        </w:rPr>
      </w:pPr>
    </w:p>
    <w:p>
      <w:pPr>
        <w:pStyle w:val="Heading6"/>
        <w:spacing w:line="240" w:lineRule="auto"/>
        <w:ind w:right="0"/>
        <w:jc w:val="left"/>
        <w:rPr>
          <w:b w:val="0"/>
          <w:bCs w:val="0"/>
        </w:rPr>
      </w:pPr>
      <w:bookmarkStart w:name="37、股份支付" w:id="219"/>
      <w:bookmarkEnd w:id="219"/>
      <w:r>
        <w:rPr>
          <w:b w:val="0"/>
          <w:bCs w:val="0"/>
        </w:rPr>
      </w:r>
      <w:r>
        <w:rPr>
          <w:rFonts w:ascii="宋体" w:hAnsi="宋体" w:cs="宋体" w:eastAsia="宋体" w:hint="default"/>
        </w:rPr>
        <w:t>37</w:t>
      </w:r>
      <w:r>
        <w:rPr/>
        <w:t>、股份支付</w:t>
      </w:r>
      <w:r>
        <w:rPr>
          <w:b w:val="0"/>
          <w:bCs w:val="0"/>
        </w:rPr>
      </w:r>
    </w:p>
    <w:p>
      <w:pPr>
        <w:spacing w:line="240" w:lineRule="auto" w:before="0"/>
        <w:rPr>
          <w:rFonts w:ascii="宋体" w:hAnsi="宋体" w:cs="宋体" w:eastAsia="宋体" w:hint="default"/>
          <w:b/>
          <w:bCs/>
          <w:sz w:val="18"/>
          <w:szCs w:val="18"/>
        </w:rPr>
      </w:pPr>
    </w:p>
    <w:p>
      <w:pPr>
        <w:pStyle w:val="BodyText"/>
        <w:spacing w:line="319" w:lineRule="auto" w:before="138"/>
        <w:ind w:left="633" w:right="1120"/>
        <w:jc w:val="left"/>
      </w:pPr>
      <w:r>
        <w:rPr>
          <w:spacing w:val="-3"/>
        </w:rPr>
        <w:t>（</w:t>
      </w:r>
      <w:r>
        <w:rPr>
          <w:rFonts w:ascii="宋体" w:hAnsi="宋体" w:cs="宋体" w:eastAsia="宋体" w:hint="default"/>
          <w:spacing w:val="-3"/>
        </w:rPr>
        <w:t>1</w:t>
      </w:r>
      <w:r>
        <w:rPr>
          <w:spacing w:val="-3"/>
        </w:rPr>
        <w:t>）股份支付的会计处理方法</w:t>
      </w:r>
      <w:r>
        <w:rPr>
          <w:spacing w:val="-46"/>
        </w:rPr>
        <w:t> </w:t>
      </w:r>
      <w:r>
        <w:rPr>
          <w:spacing w:val="-46"/>
        </w:rPr>
      </w:r>
      <w:r>
        <w:rPr>
          <w:spacing w:val="-3"/>
        </w:rPr>
        <w:t>股份支付是为了获取职工或其他方提供服务而授予权益工具或者承担以权益工具为基础确定的负债的交易。</w:t>
      </w:r>
      <w:r>
        <w:rPr>
          <w:spacing w:val="48"/>
        </w:rPr>
        <w:t> </w:t>
      </w:r>
      <w:r>
        <w:rPr>
          <w:spacing w:val="48"/>
        </w:rPr>
      </w:r>
      <w:r>
        <w:rPr/>
        <w:t>以权益结算的股份支付</w:t>
      </w:r>
      <w:r>
        <w:rPr>
          <w:spacing w:val="-86"/>
        </w:rPr>
        <w:t> </w:t>
      </w:r>
      <w:r>
        <w:rPr>
          <w:spacing w:val="-86"/>
        </w:rPr>
      </w:r>
      <w:r>
        <w:rPr>
          <w:spacing w:val="-3"/>
        </w:rPr>
        <w:t>用以换取职工提供的服务的权益结算的股份支付，以授予职工权益工具在授予日的公允价值计量。该公允价值的金额</w:t>
      </w:r>
    </w:p>
    <w:p>
      <w:pPr>
        <w:pStyle w:val="BodyText"/>
        <w:spacing w:line="316" w:lineRule="auto" w:before="17"/>
        <w:ind w:right="0"/>
        <w:jc w:val="left"/>
      </w:pPr>
      <w:r>
        <w:rPr>
          <w:spacing w:val="-4"/>
        </w:rPr>
        <w:t>在完成等待期内的服务或达到规定业绩条件才可行权的情况下，在等待期内以对可行权权益工具数量的最佳估计为基础，按</w:t>
      </w:r>
      <w:r>
        <w:rPr>
          <w:spacing w:val="38"/>
        </w:rPr>
        <w:t> </w:t>
      </w:r>
      <w:r>
        <w:rPr>
          <w:spacing w:val="38"/>
        </w:rPr>
      </w:r>
      <w:r>
        <w:rPr>
          <w:spacing w:val="-3"/>
        </w:rPr>
        <w:t>直线法计算计入相关成本或费用</w:t>
      </w:r>
      <w:r>
        <w:rPr>
          <w:rFonts w:ascii="宋体" w:hAnsi="宋体" w:cs="宋体" w:eastAsia="宋体" w:hint="default"/>
          <w:spacing w:val="-3"/>
        </w:rPr>
        <w:t>/</w:t>
      </w:r>
      <w:r>
        <w:rPr>
          <w:spacing w:val="-3"/>
        </w:rPr>
        <w:t>在授予后立即可行权时，在授予日计入相关成本或费用，相应增加资本公积。</w:t>
      </w:r>
    </w:p>
    <w:p>
      <w:pPr>
        <w:pStyle w:val="BodyText"/>
        <w:spacing w:line="319" w:lineRule="auto" w:before="19"/>
        <w:ind w:right="1122" w:firstLine="480"/>
        <w:jc w:val="both"/>
      </w:pPr>
      <w:r>
        <w:rPr>
          <w:spacing w:val="-3"/>
        </w:rPr>
        <w:t>在等待期内每个资产负债表日，本公司根据最新取得的可行权职工人数变动等后续信息做出最佳估计，修正预计可行</w:t>
      </w:r>
      <w:r>
        <w:rPr>
          <w:w w:val="101"/>
        </w:rPr>
        <w:t> </w:t>
      </w:r>
      <w:r>
        <w:rPr>
          <w:spacing w:val="-3"/>
        </w:rPr>
        <w:t>权的权益工具数量。上述估计的影响计入当期相关成本或费用，并相应调整资本公积。</w:t>
      </w:r>
    </w:p>
    <w:p>
      <w:pPr>
        <w:pStyle w:val="BodyText"/>
        <w:spacing w:line="316" w:lineRule="auto" w:before="17"/>
        <w:ind w:right="1124" w:firstLine="480"/>
        <w:jc w:val="both"/>
      </w:pPr>
      <w:r>
        <w:rPr>
          <w:spacing w:val="-3"/>
        </w:rPr>
        <w:t>用以换取其他方服务的权益结算的股份支付，如果其他方服务的公允价值能够可靠计量，按照其他方服务在取得日的</w:t>
      </w:r>
      <w:r>
        <w:rPr>
          <w:w w:val="101"/>
        </w:rPr>
        <w:t> </w:t>
      </w:r>
      <w:r>
        <w:rPr>
          <w:spacing w:val="-4"/>
        </w:rPr>
        <w:t>公允价值计量，如果其他方服务的公允价值不能可靠计量，但权益工具的公允价值能够可靠计量的，按照权益工具在服务取</w:t>
      </w:r>
      <w:r>
        <w:rPr>
          <w:spacing w:val="43"/>
        </w:rPr>
        <w:t> </w:t>
      </w:r>
      <w:r>
        <w:rPr>
          <w:spacing w:val="43"/>
        </w:rPr>
      </w:r>
      <w:r>
        <w:rPr>
          <w:spacing w:val="-3"/>
        </w:rPr>
        <w:t>得日的公允价值计量，计入相关成本或费用，相应增加股东权益。</w:t>
      </w:r>
    </w:p>
    <w:p>
      <w:pPr>
        <w:pStyle w:val="BodyText"/>
        <w:spacing w:line="319" w:lineRule="auto" w:before="19"/>
        <w:ind w:left="633" w:right="0"/>
        <w:jc w:val="left"/>
      </w:pPr>
      <w:r>
        <w:rPr>
          <w:spacing w:val="-3"/>
        </w:rPr>
        <w:t>（</w:t>
      </w:r>
      <w:r>
        <w:rPr>
          <w:rFonts w:ascii="宋体" w:hAnsi="宋体" w:cs="宋体" w:eastAsia="宋体" w:hint="default"/>
          <w:spacing w:val="-3"/>
        </w:rPr>
        <w:t>2</w:t>
      </w:r>
      <w:r>
        <w:rPr>
          <w:spacing w:val="-3"/>
        </w:rPr>
        <w:t>）修改、终止股份支付计划的相关会计处理</w:t>
      </w:r>
      <w:r>
        <w:rPr>
          <w:spacing w:val="-23"/>
        </w:rPr>
        <w:t> </w:t>
      </w:r>
      <w:r>
        <w:rPr>
          <w:spacing w:val="-23"/>
        </w:rPr>
      </w:r>
      <w:r>
        <w:rPr>
          <w:spacing w:val="-3"/>
        </w:rPr>
        <w:t>本公司对股份支付计划进行修改时，若修改增加了所授予权益工具的公允价值，按照权益工具公允价值的增加相应确</w:t>
      </w:r>
    </w:p>
    <w:p>
      <w:pPr>
        <w:pStyle w:val="BodyText"/>
        <w:spacing w:line="316" w:lineRule="auto" w:before="17"/>
        <w:ind w:right="1124"/>
        <w:jc w:val="both"/>
      </w:pPr>
      <w:r>
        <w:rPr>
          <w:spacing w:val="-4"/>
        </w:rPr>
        <w:t>认取得服务的增加。权益工具公允价值的增加是指修改前后的权益工具在修改日的公允价值之间的差额。若修改减少了股份</w:t>
      </w:r>
      <w:r>
        <w:rPr>
          <w:spacing w:val="43"/>
        </w:rPr>
        <w:t> </w:t>
      </w:r>
      <w:r>
        <w:rPr>
          <w:spacing w:val="43"/>
        </w:rPr>
      </w:r>
      <w:r>
        <w:rPr>
          <w:spacing w:val="-4"/>
        </w:rPr>
        <w:t>支付公允价值总额或采用了其他不利于职工的方式，则仍继续对取得的服务进行会计处理，视同该变更从未发生，除非本公</w:t>
      </w:r>
      <w:r>
        <w:rPr>
          <w:spacing w:val="43"/>
        </w:rPr>
        <w:t> </w:t>
      </w:r>
      <w:r>
        <w:rPr>
          <w:spacing w:val="43"/>
        </w:rPr>
      </w:r>
      <w:r>
        <w:rPr>
          <w:spacing w:val="-3"/>
        </w:rPr>
        <w:t>司取消了部分或全部已授予的权益工具。</w:t>
      </w:r>
    </w:p>
    <w:p>
      <w:pPr>
        <w:pStyle w:val="BodyText"/>
        <w:spacing w:line="319" w:lineRule="auto" w:before="19"/>
        <w:ind w:right="1124" w:firstLine="480"/>
        <w:jc w:val="both"/>
      </w:pPr>
      <w:r>
        <w:rPr>
          <w:spacing w:val="-3"/>
        </w:rPr>
        <w:t>在等待期内，如果取消了授予的权益工具，本公司对取消所授予的权益性工具作为加速行权处理，将剩余等待期内应</w:t>
      </w:r>
      <w:r>
        <w:rPr>
          <w:w w:val="101"/>
        </w:rPr>
        <w:t> </w:t>
      </w:r>
      <w:r>
        <w:rPr>
          <w:spacing w:val="-4"/>
        </w:rPr>
        <w:t>确认的金额立即计入当期损益，同时确认资本公积。职工或其他方能够选择满足非可行权条件但在等待期内未满足的，本公</w:t>
      </w:r>
      <w:r>
        <w:rPr>
          <w:spacing w:val="43"/>
        </w:rPr>
        <w:t> </w:t>
      </w:r>
      <w:r>
        <w:rPr>
          <w:spacing w:val="43"/>
        </w:rPr>
      </w:r>
      <w:r>
        <w:rPr>
          <w:spacing w:val="-3"/>
        </w:rPr>
        <w:t>司将其作为授予权益工具的取消处理。</w:t>
      </w:r>
    </w:p>
    <w:p>
      <w:pPr>
        <w:pStyle w:val="BodyText"/>
        <w:spacing w:line="316" w:lineRule="auto" w:before="17"/>
        <w:ind w:right="1123" w:firstLine="480"/>
        <w:jc w:val="both"/>
      </w:pPr>
      <w:r>
        <w:rPr>
          <w:spacing w:val="-3"/>
        </w:rPr>
        <w:t>本公司内各企业之间发生的股份支付交易，接受服务企业和结算企业不是同一企业的，在接受服务企业和结算企业各</w:t>
      </w:r>
      <w:r>
        <w:rPr>
          <w:w w:val="101"/>
        </w:rPr>
        <w:t> </w:t>
      </w:r>
      <w:r>
        <w:rPr>
          <w:spacing w:val="-3"/>
        </w:rPr>
        <w:t>自的个别财务报表中对该股份支付交易的确认和计量，比照上述原则处理。</w:t>
      </w:r>
    </w:p>
    <w:p>
      <w:pPr>
        <w:spacing w:line="240" w:lineRule="auto" w:before="7"/>
        <w:rPr>
          <w:rFonts w:ascii="宋体" w:hAnsi="宋体" w:cs="宋体" w:eastAsia="宋体" w:hint="default"/>
          <w:sz w:val="24"/>
          <w:szCs w:val="24"/>
        </w:rPr>
      </w:pPr>
    </w:p>
    <w:p>
      <w:pPr>
        <w:pStyle w:val="Heading6"/>
        <w:spacing w:line="626" w:lineRule="auto"/>
        <w:ind w:right="7667"/>
        <w:jc w:val="left"/>
        <w:rPr>
          <w:rFonts w:ascii="宋体" w:hAnsi="宋体" w:cs="宋体" w:eastAsia="宋体" w:hint="default"/>
          <w:b w:val="0"/>
          <w:bCs w:val="0"/>
        </w:rPr>
      </w:pPr>
      <w:bookmarkStart w:name="38、优先股、永续债等其他金融工具" w:id="220"/>
      <w:bookmarkEnd w:id="220"/>
      <w:r>
        <w:rPr>
          <w:b w:val="0"/>
          <w:bCs w:val="0"/>
        </w:rPr>
      </w:r>
      <w:r>
        <w:rPr>
          <w:rFonts w:ascii="宋体" w:hAnsi="宋体" w:cs="宋体" w:eastAsia="宋体" w:hint="default"/>
          <w:spacing w:val="-2"/>
        </w:rPr>
        <w:t>38</w:t>
      </w:r>
      <w:r>
        <w:rPr>
          <w:spacing w:val="-2"/>
        </w:rPr>
        <w:t>、优先股、永续债等其他金融工具</w:t>
      </w:r>
      <w:r>
        <w:rPr>
          <w:spacing w:val="-56"/>
        </w:rPr>
        <w:t> </w:t>
      </w:r>
      <w:r>
        <w:rPr>
          <w:spacing w:val="-56"/>
        </w:rPr>
      </w:r>
      <w:r>
        <w:rPr>
          <w:rFonts w:ascii="宋体" w:hAnsi="宋体" w:cs="宋体" w:eastAsia="宋体" w:hint="default"/>
          <w:b w:val="0"/>
          <w:bCs w:val="0"/>
        </w:rPr>
        <w:t>无。</w:t>
      </w:r>
    </w:p>
    <w:p>
      <w:pPr>
        <w:pStyle w:val="Heading6"/>
        <w:spacing w:line="240" w:lineRule="auto" w:before="89"/>
        <w:ind w:right="0"/>
        <w:jc w:val="left"/>
        <w:rPr>
          <w:b w:val="0"/>
          <w:bCs w:val="0"/>
        </w:rPr>
      </w:pPr>
      <w:bookmarkStart w:name="39、收入" w:id="221"/>
      <w:bookmarkEnd w:id="221"/>
      <w:r>
        <w:rPr>
          <w:b w:val="0"/>
          <w:bCs w:val="0"/>
        </w:rPr>
      </w:r>
      <w:r>
        <w:rPr>
          <w:rFonts w:ascii="宋体" w:hAnsi="宋体" w:cs="宋体" w:eastAsia="宋体" w:hint="default"/>
        </w:rPr>
        <w:t>39</w:t>
      </w:r>
      <w:r>
        <w:rPr/>
        <w:t>、收入</w:t>
      </w:r>
      <w:r>
        <w:rPr>
          <w:b w:val="0"/>
          <w:bCs w:val="0"/>
        </w:rPr>
      </w:r>
    </w:p>
    <w:p>
      <w:pPr>
        <w:spacing w:line="240" w:lineRule="auto" w:before="0"/>
        <w:rPr>
          <w:rFonts w:ascii="宋体" w:hAnsi="宋体" w:cs="宋体" w:eastAsia="宋体" w:hint="default"/>
          <w:b/>
          <w:bCs/>
          <w:sz w:val="18"/>
          <w:szCs w:val="18"/>
        </w:rPr>
      </w:pPr>
    </w:p>
    <w:p>
      <w:pPr>
        <w:pStyle w:val="BodyText"/>
        <w:spacing w:line="240" w:lineRule="auto" w:before="144"/>
        <w:ind w:right="0"/>
        <w:jc w:val="left"/>
      </w:pPr>
      <w:r>
        <w:rPr/>
        <w:t>是否已执行新收入准则</w:t>
      </w:r>
    </w:p>
    <w:p>
      <w:pPr>
        <w:pStyle w:val="BodyText"/>
        <w:spacing w:line="240" w:lineRule="auto" w:before="115"/>
        <w:ind w:right="0"/>
        <w:jc w:val="left"/>
      </w:pPr>
      <w:r>
        <w:rPr/>
        <w:t>□ 是 √</w:t>
      </w:r>
      <w:r>
        <w:rPr>
          <w:spacing w:val="2"/>
        </w:rPr>
        <w:t> </w:t>
      </w:r>
      <w:r>
        <w:rPr/>
        <w:t>否</w:t>
      </w:r>
    </w:p>
    <w:p>
      <w:pPr>
        <w:pStyle w:val="BodyText"/>
        <w:spacing w:line="240" w:lineRule="auto" w:before="110"/>
        <w:ind w:left="633" w:right="0"/>
        <w:jc w:val="left"/>
      </w:pPr>
      <w:r>
        <w:rPr/>
        <w:t>（</w:t>
      </w:r>
      <w:r>
        <w:rPr>
          <w:rFonts w:ascii="宋体" w:hAnsi="宋体" w:cs="宋体" w:eastAsia="宋体" w:hint="default"/>
        </w:rPr>
        <w:t>1</w:t>
      </w:r>
      <w:r>
        <w:rPr/>
        <w:t>）商品销售收入</w:t>
      </w:r>
    </w:p>
    <w:p>
      <w:pPr>
        <w:spacing w:after="0" w:line="240" w:lineRule="auto"/>
        <w:jc w:val="left"/>
        <w:sectPr>
          <w:pgSz w:w="11910" w:h="16840"/>
          <w:pgMar w:header="784" w:footer="1022" w:top="1100" w:bottom="1220" w:left="980" w:right="0"/>
        </w:sectPr>
      </w:pPr>
    </w:p>
    <w:p>
      <w:pPr>
        <w:spacing w:line="240" w:lineRule="auto" w:before="10"/>
        <w:rPr>
          <w:rFonts w:ascii="宋体" w:hAnsi="宋体" w:cs="宋体" w:eastAsia="宋体" w:hint="default"/>
          <w:sz w:val="22"/>
          <w:szCs w:val="22"/>
        </w:rPr>
      </w:pPr>
    </w:p>
    <w:p>
      <w:pPr>
        <w:pStyle w:val="BodyText"/>
        <w:spacing w:line="316" w:lineRule="auto"/>
        <w:ind w:right="1124" w:firstLine="480"/>
        <w:jc w:val="both"/>
      </w:pPr>
      <w:r>
        <w:rPr>
          <w:spacing w:val="-3"/>
        </w:rPr>
        <w:t>在已将商品所有权上的主要风险和报酬转移给买方，既没有保留通常与所有权相联系的继续管理权，也没有对已售商</w:t>
      </w:r>
      <w:r>
        <w:rPr>
          <w:w w:val="101"/>
        </w:rPr>
        <w:t> </w:t>
      </w:r>
      <w:r>
        <w:rPr>
          <w:spacing w:val="-4"/>
        </w:rPr>
        <w:t>品实施有效控制，收入的金额能够可靠地计量，相关的经济利益很可能流入企业，相关的已发生或将发生的成本能够可靠地</w:t>
      </w:r>
      <w:r>
        <w:rPr>
          <w:spacing w:val="43"/>
        </w:rPr>
        <w:t> </w:t>
      </w:r>
      <w:r>
        <w:rPr>
          <w:spacing w:val="43"/>
        </w:rPr>
      </w:r>
      <w:r>
        <w:rPr>
          <w:spacing w:val="-3"/>
        </w:rPr>
        <w:t>计量时，确认商品销售收入的实现。</w:t>
      </w:r>
    </w:p>
    <w:p>
      <w:pPr>
        <w:pStyle w:val="BodyText"/>
        <w:spacing w:line="316" w:lineRule="auto" w:before="19"/>
        <w:ind w:right="1124" w:firstLine="480"/>
        <w:jc w:val="both"/>
      </w:pPr>
      <w:r>
        <w:rPr>
          <w:spacing w:val="-3"/>
        </w:rPr>
        <w:t>境内销售：通常于取得客户验收单时点确认销售收入；境外销售：根据销售合同约定，在所有权的风险和报酬转移的</w:t>
      </w:r>
      <w:r>
        <w:rPr>
          <w:w w:val="101"/>
        </w:rPr>
        <w:t> </w:t>
      </w:r>
      <w:r>
        <w:rPr>
          <w:spacing w:val="-3"/>
        </w:rPr>
        <w:t>时点确认产品销售收入，通常于客户验收确认或完成出口报关手续，根据报关单据上记载的有效时点确认销售收入。</w:t>
      </w:r>
    </w:p>
    <w:p>
      <w:pPr>
        <w:pStyle w:val="BodyText"/>
        <w:spacing w:line="316" w:lineRule="auto" w:before="19"/>
        <w:ind w:left="633" w:right="0"/>
        <w:jc w:val="left"/>
      </w:pPr>
      <w:r>
        <w:rPr/>
        <w:t>（</w:t>
      </w:r>
      <w:r>
        <w:rPr>
          <w:rFonts w:ascii="宋体" w:hAnsi="宋体" w:cs="宋体" w:eastAsia="宋体" w:hint="default"/>
        </w:rPr>
        <w:t>2</w:t>
      </w:r>
      <w:r>
        <w:rPr/>
        <w:t>）提供劳务收入</w:t>
      </w:r>
      <w:r>
        <w:rPr>
          <w:spacing w:val="-85"/>
        </w:rPr>
        <w:t> </w:t>
      </w:r>
      <w:r>
        <w:rPr>
          <w:spacing w:val="-85"/>
        </w:rPr>
      </w:r>
      <w:r>
        <w:rPr>
          <w:spacing w:val="-3"/>
        </w:rPr>
        <w:t>在提供劳务交易的结果能够可靠估计的情况下，于资产负债表日按照完工百分比法确认提供的劳务收入。劳务交易的</w:t>
      </w:r>
    </w:p>
    <w:p>
      <w:pPr>
        <w:pStyle w:val="BodyText"/>
        <w:spacing w:line="316" w:lineRule="auto" w:before="19"/>
        <w:ind w:left="633" w:right="0" w:hanging="480"/>
        <w:jc w:val="left"/>
      </w:pPr>
      <w:r>
        <w:rPr>
          <w:spacing w:val="-3"/>
        </w:rPr>
        <w:t>完工进度按已经发生的劳务成本占估计总成本的比例确定。</w:t>
      </w:r>
      <w:r>
        <w:rPr>
          <w:spacing w:val="-10"/>
        </w:rPr>
        <w:t> </w:t>
      </w:r>
      <w:r>
        <w:rPr>
          <w:spacing w:val="-10"/>
        </w:rPr>
      </w:r>
      <w:r>
        <w:rPr>
          <w:spacing w:val="-5"/>
        </w:rPr>
        <w:t>提供劳务交易的结果能够可靠估计是指同时满足：①收入的金额能够可靠地计量；②相关的经济利益很可能流入企业；</w:t>
      </w:r>
    </w:p>
    <w:p>
      <w:pPr>
        <w:pStyle w:val="BodyText"/>
        <w:spacing w:line="316" w:lineRule="auto" w:before="19"/>
        <w:ind w:left="633" w:right="0" w:hanging="480"/>
        <w:jc w:val="left"/>
      </w:pPr>
      <w:r>
        <w:rPr>
          <w:spacing w:val="-3"/>
        </w:rPr>
        <w:t>③交易的完工程度能够可靠地确定；④交易中已发生和将发生的成本能够可靠地计量。</w:t>
      </w:r>
      <w:r>
        <w:rPr>
          <w:spacing w:val="20"/>
        </w:rPr>
        <w:t> </w:t>
      </w:r>
      <w:r>
        <w:rPr>
          <w:spacing w:val="20"/>
        </w:rPr>
      </w:r>
      <w:r>
        <w:rPr>
          <w:spacing w:val="-3"/>
        </w:rPr>
        <w:t>如果提供劳务交易的结果不能够可靠估计，则按已经发生并预计能够得到补偿的劳务成本金额确认提供的劳务收入，</w:t>
      </w:r>
    </w:p>
    <w:p>
      <w:pPr>
        <w:pStyle w:val="BodyText"/>
        <w:spacing w:line="316" w:lineRule="auto" w:before="19"/>
        <w:ind w:right="1124"/>
        <w:jc w:val="both"/>
      </w:pPr>
      <w:r>
        <w:rPr>
          <w:spacing w:val="-4"/>
        </w:rPr>
        <w:t>并将已发生的劳务成本作为当期费用。已经发生的劳务成本如预计不能得到补偿的，则不确认收入，已发生的劳务成本计入</w:t>
      </w:r>
      <w:r>
        <w:rPr>
          <w:spacing w:val="43"/>
        </w:rPr>
        <w:t> </w:t>
      </w:r>
      <w:r>
        <w:rPr>
          <w:spacing w:val="43"/>
        </w:rPr>
      </w:r>
      <w:r>
        <w:rPr/>
        <w:t>当期损益。</w:t>
      </w:r>
    </w:p>
    <w:p>
      <w:pPr>
        <w:pStyle w:val="BodyText"/>
        <w:spacing w:line="319" w:lineRule="auto" w:before="19"/>
        <w:ind w:right="1124" w:firstLine="480"/>
        <w:jc w:val="both"/>
      </w:pPr>
      <w:r>
        <w:rPr>
          <w:spacing w:val="-3"/>
        </w:rPr>
        <w:t>本公司与其他企业签订的合同或协议包括销售商品和提供劳务时，如销售商品部分和提供劳务部分能够区分并单独计</w:t>
      </w:r>
      <w:r>
        <w:rPr>
          <w:w w:val="101"/>
        </w:rPr>
        <w:t> </w:t>
      </w:r>
      <w:r>
        <w:rPr>
          <w:spacing w:val="-4"/>
        </w:rPr>
        <w:t>量的，将销售商品部分和提供劳务部分分别处理；如销售商品部分和提供劳务部分不能够区分，或虽能区分但不能够单独计</w:t>
      </w:r>
      <w:r>
        <w:rPr>
          <w:spacing w:val="43"/>
        </w:rPr>
        <w:t> </w:t>
      </w:r>
      <w:r>
        <w:rPr>
          <w:spacing w:val="43"/>
        </w:rPr>
      </w:r>
      <w:r>
        <w:rPr>
          <w:spacing w:val="-3"/>
        </w:rPr>
        <w:t>量的，将该合同全部作为销售商品处理。</w:t>
      </w:r>
    </w:p>
    <w:p>
      <w:pPr>
        <w:pStyle w:val="BodyText"/>
        <w:spacing w:line="316" w:lineRule="auto" w:before="17"/>
        <w:ind w:left="513" w:right="0" w:firstLine="120"/>
        <w:jc w:val="left"/>
      </w:pPr>
      <w:r>
        <w:rPr/>
        <w:t>（</w:t>
      </w:r>
      <w:r>
        <w:rPr>
          <w:rFonts w:ascii="宋体" w:hAnsi="宋体" w:cs="宋体" w:eastAsia="宋体" w:hint="default"/>
        </w:rPr>
        <w:t>3</w:t>
      </w:r>
      <w:r>
        <w:rPr/>
        <w:t>）建造合同收入</w:t>
      </w:r>
      <w:r>
        <w:rPr>
          <w:w w:val="101"/>
        </w:rPr>
        <w:t> </w:t>
      </w:r>
      <w:r>
        <w:rPr>
          <w:spacing w:val="-4"/>
        </w:rPr>
        <w:t>在建造合同的结果能够可靠估计的情况下，于资产负债表日按照完工百分比法确认合同收入和合同费用。合同完工进度</w:t>
      </w:r>
    </w:p>
    <w:p>
      <w:pPr>
        <w:pStyle w:val="BodyText"/>
        <w:spacing w:line="319" w:lineRule="auto" w:before="19"/>
        <w:ind w:left="513" w:right="0" w:hanging="360"/>
        <w:jc w:val="left"/>
      </w:pPr>
      <w:r>
        <w:rPr>
          <w:spacing w:val="-3"/>
        </w:rPr>
        <w:t>按累计实际发生的合同成本占合同预计总成本的比例确定。</w:t>
      </w:r>
      <w:r>
        <w:rPr>
          <w:spacing w:val="-10"/>
        </w:rPr>
        <w:t> </w:t>
      </w:r>
      <w:r>
        <w:rPr>
          <w:spacing w:val="-10"/>
        </w:rPr>
      </w:r>
      <w:r>
        <w:rPr>
          <w:spacing w:val="-6"/>
          <w:w w:val="101"/>
        </w:rPr>
        <w:t>建造合同的结果能够可靠估计是指同时满足：①合同总收入能够可靠地计量；②与合同相关的经济利益很可能流入企业；</w:t>
      </w:r>
      <w:r>
        <w:rPr>
          <w:spacing w:val="-6"/>
        </w:rPr>
      </w:r>
    </w:p>
    <w:p>
      <w:pPr>
        <w:pStyle w:val="BodyText"/>
        <w:spacing w:line="316" w:lineRule="auto" w:before="17"/>
        <w:ind w:left="513" w:right="0" w:hanging="360"/>
        <w:jc w:val="left"/>
      </w:pPr>
      <w:r>
        <w:rPr>
          <w:spacing w:val="-3"/>
        </w:rPr>
        <w:t>③实际发生的合同成本能够清楚地区分和可靠地计量；④合同完工进度和为完成合同尚需发生的成本能够可靠地确定。</w:t>
      </w:r>
      <w:r>
        <w:rPr>
          <w:spacing w:val="60"/>
        </w:rPr>
        <w:t> </w:t>
      </w:r>
      <w:r>
        <w:rPr>
          <w:spacing w:val="60"/>
        </w:rPr>
      </w:r>
      <w:r>
        <w:rPr>
          <w:spacing w:val="-4"/>
        </w:rPr>
        <w:t>如建造合同的结果不能可靠地估计，但合同成本能够收回的，合同收入根据能够收回的实际合同成本予以确认，合同成</w:t>
      </w:r>
    </w:p>
    <w:p>
      <w:pPr>
        <w:pStyle w:val="BodyText"/>
        <w:spacing w:line="316" w:lineRule="auto" w:before="19"/>
        <w:ind w:right="1123"/>
        <w:jc w:val="both"/>
      </w:pPr>
      <w:r>
        <w:rPr>
          <w:spacing w:val="-4"/>
        </w:rPr>
        <w:t>本在其发生的当期确认为合同费用；合同成本不可能收回的，在发生时立即确认为合同费用，不确认合同收入。使建造合同</w:t>
      </w:r>
      <w:r>
        <w:rPr>
          <w:spacing w:val="40"/>
        </w:rPr>
        <w:t> </w:t>
      </w:r>
      <w:r>
        <w:rPr>
          <w:spacing w:val="40"/>
        </w:rPr>
      </w:r>
      <w:r>
        <w:rPr>
          <w:spacing w:val="-3"/>
        </w:rPr>
        <w:t>的结果不能可靠估计的不确定因素不复存在的，按照完工百分比法确定与建造合同有关的收入和费用。</w:t>
      </w:r>
    </w:p>
    <w:p>
      <w:pPr>
        <w:pStyle w:val="BodyText"/>
        <w:spacing w:line="319" w:lineRule="auto" w:before="19"/>
        <w:ind w:left="513" w:right="1118"/>
        <w:jc w:val="left"/>
      </w:pPr>
      <w:r>
        <w:rPr>
          <w:spacing w:val="-3"/>
        </w:rPr>
        <w:t>合同预计总成本超过合同总收入的，将预计损失确认为当期费用。</w:t>
      </w:r>
      <w:r>
        <w:rPr>
          <w:spacing w:val="-4"/>
        </w:rPr>
        <w:t> </w:t>
      </w:r>
      <w:r>
        <w:rPr>
          <w:spacing w:val="-4"/>
        </w:rPr>
      </w:r>
      <w:r>
        <w:rPr>
          <w:spacing w:val="-4"/>
          <w:w w:val="101"/>
        </w:rPr>
        <w:t>在建合同累计已发生的成本和累计已确认的毛利</w:t>
      </w:r>
      <w:r>
        <w:rPr>
          <w:rFonts w:ascii="宋体" w:hAnsi="宋体" w:cs="宋体" w:eastAsia="宋体" w:hint="default"/>
          <w:spacing w:val="-4"/>
          <w:w w:val="101"/>
        </w:rPr>
        <w:t>(</w:t>
      </w:r>
      <w:r>
        <w:rPr>
          <w:spacing w:val="-4"/>
          <w:w w:val="101"/>
        </w:rPr>
        <w:t>亏损</w:t>
      </w:r>
      <w:r>
        <w:rPr>
          <w:rFonts w:ascii="宋体" w:hAnsi="宋体" w:cs="宋体" w:eastAsia="宋体" w:hint="default"/>
          <w:spacing w:val="-4"/>
          <w:w w:val="101"/>
        </w:rPr>
        <w:t>)</w:t>
      </w:r>
      <w:r>
        <w:rPr>
          <w:spacing w:val="-4"/>
          <w:w w:val="101"/>
        </w:rPr>
        <w:t>与已结算的价款在资产负债表中以抵销后的净额列示。在建合同</w:t>
      </w:r>
      <w:r>
        <w:rPr>
          <w:spacing w:val="-4"/>
        </w:rPr>
      </w:r>
    </w:p>
    <w:p>
      <w:pPr>
        <w:pStyle w:val="BodyText"/>
        <w:spacing w:line="316" w:lineRule="auto" w:before="17"/>
        <w:ind w:right="1127"/>
        <w:jc w:val="both"/>
      </w:pPr>
      <w:r>
        <w:rPr>
          <w:spacing w:val="-4"/>
          <w:w w:val="101"/>
        </w:rPr>
        <w:t>累计已发生的成本和累计已确认的毛利</w:t>
      </w:r>
      <w:r>
        <w:rPr>
          <w:rFonts w:ascii="宋体" w:hAnsi="宋体" w:cs="宋体" w:eastAsia="宋体" w:hint="default"/>
          <w:spacing w:val="-4"/>
          <w:w w:val="101"/>
        </w:rPr>
        <w:t>(</w:t>
      </w:r>
      <w:r>
        <w:rPr>
          <w:spacing w:val="-4"/>
          <w:w w:val="101"/>
        </w:rPr>
        <w:t>亏损</w:t>
      </w:r>
      <w:r>
        <w:rPr>
          <w:rFonts w:ascii="宋体" w:hAnsi="宋体" w:cs="宋体" w:eastAsia="宋体" w:hint="default"/>
          <w:spacing w:val="-4"/>
          <w:w w:val="101"/>
        </w:rPr>
        <w:t>)</w:t>
      </w:r>
      <w:r>
        <w:rPr>
          <w:spacing w:val="-4"/>
          <w:w w:val="101"/>
        </w:rPr>
        <w:t>之和超过已结算价款的部分作为存货列示；在建合同已结算的价款超过累计已</w:t>
      </w:r>
      <w:r>
        <w:rPr>
          <w:spacing w:val="-89"/>
          <w:w w:val="101"/>
        </w:rPr>
        <w:t> </w:t>
      </w:r>
      <w:r>
        <w:rPr>
          <w:spacing w:val="-89"/>
          <w:w w:val="101"/>
        </w:rPr>
      </w:r>
      <w:r>
        <w:rPr>
          <w:spacing w:val="-3"/>
        </w:rPr>
        <w:t>发生的成本与累计已确认的毛利</w:t>
      </w:r>
      <w:r>
        <w:rPr>
          <w:rFonts w:ascii="宋体" w:hAnsi="宋体" w:cs="宋体" w:eastAsia="宋体" w:hint="default"/>
          <w:spacing w:val="-3"/>
        </w:rPr>
        <w:t>(</w:t>
      </w:r>
      <w:r>
        <w:rPr>
          <w:spacing w:val="-3"/>
        </w:rPr>
        <w:t>亏损</w:t>
      </w:r>
      <w:r>
        <w:rPr>
          <w:rFonts w:ascii="宋体" w:hAnsi="宋体" w:cs="宋体" w:eastAsia="宋体" w:hint="default"/>
          <w:spacing w:val="-3"/>
        </w:rPr>
        <w:t>)</w:t>
      </w:r>
      <w:r>
        <w:rPr>
          <w:spacing w:val="-3"/>
        </w:rPr>
        <w:t>之和的部分作为预收款项列示。</w:t>
      </w:r>
    </w:p>
    <w:p>
      <w:pPr>
        <w:spacing w:line="240" w:lineRule="auto" w:before="7"/>
        <w:rPr>
          <w:rFonts w:ascii="宋体" w:hAnsi="宋体" w:cs="宋体" w:eastAsia="宋体" w:hint="default"/>
          <w:sz w:val="24"/>
          <w:szCs w:val="24"/>
        </w:rPr>
      </w:pPr>
    </w:p>
    <w:p>
      <w:pPr>
        <w:pStyle w:val="Heading6"/>
        <w:spacing w:line="240" w:lineRule="auto"/>
        <w:ind w:right="0"/>
        <w:jc w:val="left"/>
        <w:rPr>
          <w:b w:val="0"/>
          <w:bCs w:val="0"/>
        </w:rPr>
      </w:pPr>
      <w:bookmarkStart w:name="40、政府补助" w:id="222"/>
      <w:bookmarkEnd w:id="222"/>
      <w:r>
        <w:rPr>
          <w:b w:val="0"/>
          <w:bCs w:val="0"/>
        </w:rPr>
      </w:r>
      <w:r>
        <w:rPr>
          <w:rFonts w:ascii="宋体" w:hAnsi="宋体" w:cs="宋体" w:eastAsia="宋体" w:hint="default"/>
        </w:rPr>
        <w:t>40</w:t>
      </w:r>
      <w:r>
        <w:rPr/>
        <w:t>、政府补助</w:t>
      </w:r>
      <w:r>
        <w:rPr>
          <w:b w:val="0"/>
          <w:bCs w:val="0"/>
        </w:rPr>
      </w:r>
    </w:p>
    <w:p>
      <w:pPr>
        <w:spacing w:line="240" w:lineRule="auto" w:before="0"/>
        <w:rPr>
          <w:rFonts w:ascii="宋体" w:hAnsi="宋体" w:cs="宋体" w:eastAsia="宋体" w:hint="default"/>
          <w:b/>
          <w:bCs/>
          <w:sz w:val="18"/>
          <w:szCs w:val="18"/>
        </w:rPr>
      </w:pPr>
    </w:p>
    <w:p>
      <w:pPr>
        <w:pStyle w:val="BodyText"/>
        <w:spacing w:line="316" w:lineRule="auto" w:before="139"/>
        <w:ind w:right="1124" w:firstLine="480"/>
        <w:jc w:val="right"/>
      </w:pPr>
      <w:r>
        <w:rPr>
          <w:spacing w:val="-3"/>
        </w:rPr>
        <w:t>政府补助是指本公司从政府无偿取得货币性资产和非货币性资产，不包括政府作为所有者投入的资本。政府补助分为</w:t>
      </w:r>
      <w:r>
        <w:rPr>
          <w:w w:val="101"/>
        </w:rPr>
        <w:t> 与</w:t>
      </w:r>
      <w:r>
        <w:rPr>
          <w:spacing w:val="-5"/>
          <w:w w:val="101"/>
        </w:rPr>
        <w:t>资</w:t>
      </w:r>
      <w:r>
        <w:rPr>
          <w:w w:val="101"/>
        </w:rPr>
        <w:t>产</w:t>
      </w:r>
      <w:r>
        <w:rPr>
          <w:spacing w:val="-5"/>
          <w:w w:val="101"/>
        </w:rPr>
        <w:t>相</w:t>
      </w:r>
      <w:r>
        <w:rPr>
          <w:w w:val="101"/>
        </w:rPr>
        <w:t>关</w:t>
      </w:r>
      <w:r>
        <w:rPr>
          <w:spacing w:val="-5"/>
          <w:w w:val="101"/>
        </w:rPr>
        <w:t>的</w:t>
      </w:r>
      <w:r>
        <w:rPr>
          <w:w w:val="101"/>
        </w:rPr>
        <w:t>政</w:t>
      </w:r>
      <w:r>
        <w:rPr>
          <w:spacing w:val="-5"/>
          <w:w w:val="101"/>
        </w:rPr>
        <w:t>府</w:t>
      </w:r>
      <w:r>
        <w:rPr>
          <w:w w:val="101"/>
        </w:rPr>
        <w:t>补</w:t>
      </w:r>
      <w:r>
        <w:rPr>
          <w:spacing w:val="-5"/>
          <w:w w:val="101"/>
        </w:rPr>
        <w:t>助</w:t>
      </w:r>
      <w:r>
        <w:rPr>
          <w:w w:val="101"/>
        </w:rPr>
        <w:t>和</w:t>
      </w:r>
      <w:r>
        <w:rPr>
          <w:spacing w:val="-5"/>
          <w:w w:val="101"/>
        </w:rPr>
        <w:t>与</w:t>
      </w:r>
      <w:r>
        <w:rPr>
          <w:w w:val="101"/>
        </w:rPr>
        <w:t>收</w:t>
      </w:r>
      <w:r>
        <w:rPr>
          <w:spacing w:val="-5"/>
          <w:w w:val="101"/>
        </w:rPr>
        <w:t>益</w:t>
      </w:r>
      <w:r>
        <w:rPr>
          <w:w w:val="101"/>
        </w:rPr>
        <w:t>相</w:t>
      </w:r>
      <w:r>
        <w:rPr>
          <w:spacing w:val="-5"/>
          <w:w w:val="101"/>
        </w:rPr>
        <w:t>关</w:t>
      </w:r>
      <w:r>
        <w:rPr>
          <w:w w:val="101"/>
        </w:rPr>
        <w:t>的</w:t>
      </w:r>
      <w:r>
        <w:rPr>
          <w:spacing w:val="-5"/>
          <w:w w:val="101"/>
        </w:rPr>
        <w:t>政</w:t>
      </w:r>
      <w:r>
        <w:rPr>
          <w:w w:val="101"/>
        </w:rPr>
        <w:t>府</w:t>
      </w:r>
      <w:r>
        <w:rPr>
          <w:spacing w:val="-5"/>
          <w:w w:val="101"/>
        </w:rPr>
        <w:t>补</w:t>
      </w:r>
      <w:r>
        <w:rPr>
          <w:w w:val="101"/>
        </w:rPr>
        <w:t>助</w:t>
      </w:r>
      <w:r>
        <w:rPr>
          <w:spacing w:val="-87"/>
          <w:w w:val="101"/>
        </w:rPr>
        <w:t>。</w:t>
      </w:r>
      <w:r>
        <w:rPr>
          <w:w w:val="101"/>
        </w:rPr>
        <w:t>本</w:t>
      </w:r>
      <w:r>
        <w:rPr>
          <w:spacing w:val="-5"/>
          <w:w w:val="101"/>
        </w:rPr>
        <w:t>公</w:t>
      </w:r>
      <w:r>
        <w:rPr>
          <w:w w:val="101"/>
        </w:rPr>
        <w:t>司</w:t>
      </w:r>
      <w:r>
        <w:rPr>
          <w:spacing w:val="-5"/>
          <w:w w:val="101"/>
        </w:rPr>
        <w:t>将所</w:t>
      </w:r>
      <w:r>
        <w:rPr>
          <w:w w:val="101"/>
        </w:rPr>
        <w:t>取</w:t>
      </w:r>
      <w:r>
        <w:rPr>
          <w:spacing w:val="-5"/>
          <w:w w:val="101"/>
        </w:rPr>
        <w:t>得</w:t>
      </w:r>
      <w:r>
        <w:rPr>
          <w:w w:val="101"/>
        </w:rPr>
        <w:t>的</w:t>
      </w:r>
      <w:r>
        <w:rPr>
          <w:spacing w:val="-5"/>
          <w:w w:val="101"/>
        </w:rPr>
        <w:t>用</w:t>
      </w:r>
      <w:r>
        <w:rPr>
          <w:w w:val="101"/>
        </w:rPr>
        <w:t>于</w:t>
      </w:r>
      <w:r>
        <w:rPr>
          <w:spacing w:val="-5"/>
          <w:w w:val="101"/>
        </w:rPr>
        <w:t>购</w:t>
      </w:r>
      <w:r>
        <w:rPr>
          <w:w w:val="101"/>
        </w:rPr>
        <w:t>建</w:t>
      </w:r>
      <w:r>
        <w:rPr>
          <w:spacing w:val="-5"/>
          <w:w w:val="101"/>
        </w:rPr>
        <w:t>或</w:t>
      </w:r>
      <w:r>
        <w:rPr>
          <w:w w:val="101"/>
        </w:rPr>
        <w:t>以</w:t>
      </w:r>
      <w:r>
        <w:rPr>
          <w:spacing w:val="-5"/>
          <w:w w:val="101"/>
        </w:rPr>
        <w:t>其</w:t>
      </w:r>
      <w:r>
        <w:rPr>
          <w:w w:val="101"/>
        </w:rPr>
        <w:t>他</w:t>
      </w:r>
      <w:r>
        <w:rPr>
          <w:spacing w:val="-5"/>
          <w:w w:val="101"/>
        </w:rPr>
        <w:t>方</w:t>
      </w:r>
      <w:r>
        <w:rPr>
          <w:w w:val="101"/>
        </w:rPr>
        <w:t>式</w:t>
      </w:r>
      <w:r>
        <w:rPr>
          <w:spacing w:val="-5"/>
          <w:w w:val="101"/>
        </w:rPr>
        <w:t>形</w:t>
      </w:r>
      <w:r>
        <w:rPr>
          <w:w w:val="101"/>
        </w:rPr>
        <w:t>成</w:t>
      </w:r>
      <w:r>
        <w:rPr>
          <w:spacing w:val="-5"/>
          <w:w w:val="101"/>
        </w:rPr>
        <w:t>长</w:t>
      </w:r>
      <w:r>
        <w:rPr>
          <w:w w:val="101"/>
        </w:rPr>
        <w:t>期</w:t>
      </w:r>
      <w:r>
        <w:rPr>
          <w:spacing w:val="-5"/>
          <w:w w:val="101"/>
        </w:rPr>
        <w:t>资</w:t>
      </w:r>
      <w:r>
        <w:rPr>
          <w:w w:val="101"/>
        </w:rPr>
        <w:t>产</w:t>
      </w:r>
      <w:r>
        <w:rPr>
          <w:spacing w:val="-5"/>
          <w:w w:val="101"/>
        </w:rPr>
        <w:t>的</w:t>
      </w:r>
      <w:r>
        <w:rPr>
          <w:w w:val="101"/>
        </w:rPr>
        <w:t>政</w:t>
      </w:r>
      <w:r>
        <w:rPr>
          <w:spacing w:val="-5"/>
          <w:w w:val="101"/>
        </w:rPr>
        <w:t>府</w:t>
      </w:r>
      <w:r>
        <w:rPr>
          <w:w w:val="101"/>
        </w:rPr>
        <w:t>补</w:t>
      </w:r>
      <w:r>
        <w:rPr>
          <w:spacing w:val="-5"/>
          <w:w w:val="101"/>
        </w:rPr>
        <w:t>助</w:t>
      </w:r>
      <w:r>
        <w:rPr>
          <w:w w:val="101"/>
        </w:rPr>
        <w:t>界</w:t>
      </w:r>
      <w:r>
        <w:rPr>
          <w:spacing w:val="-5"/>
          <w:w w:val="101"/>
        </w:rPr>
        <w:t>定</w:t>
      </w:r>
      <w:r>
        <w:rPr>
          <w:w w:val="101"/>
        </w:rPr>
        <w:t>为</w:t>
      </w:r>
      <w:r>
        <w:rPr>
          <w:w w:val="101"/>
        </w:rPr>
        <w:t> </w:t>
      </w:r>
      <w:r>
        <w:rPr>
          <w:spacing w:val="-4"/>
        </w:rPr>
        <w:t>与资产相关的政府补助；其余政府补助界定为与收益相关的政府补助。若政府文件未明确规定补助对象，则采用以下方式将</w:t>
      </w:r>
      <w:r>
        <w:rPr>
          <w:spacing w:val="28"/>
        </w:rPr>
        <w:t> </w:t>
      </w:r>
      <w:r>
        <w:rPr>
          <w:spacing w:val="28"/>
        </w:rPr>
      </w:r>
      <w:r>
        <w:rPr>
          <w:spacing w:val="-3"/>
        </w:rPr>
        <w:t>补助款划分为与收益相关的政府补助和与资产相关的政府补助：（</w:t>
      </w:r>
      <w:r>
        <w:rPr>
          <w:rFonts w:ascii="宋体" w:hAnsi="宋体" w:cs="宋体" w:eastAsia="宋体" w:hint="default"/>
          <w:spacing w:val="-3"/>
        </w:rPr>
        <w:t>1</w:t>
      </w:r>
      <w:r>
        <w:rPr>
          <w:spacing w:val="-3"/>
        </w:rPr>
        <w:t>）政府文件明确了补助所针对的特定项目的，根据该特</w:t>
      </w:r>
      <w:r>
        <w:rPr>
          <w:spacing w:val="57"/>
        </w:rPr>
        <w:t> </w:t>
      </w:r>
      <w:r>
        <w:rPr>
          <w:spacing w:val="57"/>
        </w:rPr>
      </w:r>
      <w:r>
        <w:rPr>
          <w:w w:val="101"/>
        </w:rPr>
        <w:t>定</w:t>
      </w:r>
      <w:r>
        <w:rPr>
          <w:spacing w:val="-5"/>
          <w:w w:val="101"/>
        </w:rPr>
        <w:t>项</w:t>
      </w:r>
      <w:r>
        <w:rPr>
          <w:w w:val="101"/>
        </w:rPr>
        <w:t>目</w:t>
      </w:r>
      <w:r>
        <w:rPr>
          <w:spacing w:val="-5"/>
          <w:w w:val="101"/>
        </w:rPr>
        <w:t>的</w:t>
      </w:r>
      <w:r>
        <w:rPr>
          <w:w w:val="101"/>
        </w:rPr>
        <w:t>预</w:t>
      </w:r>
      <w:r>
        <w:rPr>
          <w:spacing w:val="-5"/>
          <w:w w:val="101"/>
        </w:rPr>
        <w:t>算</w:t>
      </w:r>
      <w:r>
        <w:rPr>
          <w:w w:val="101"/>
        </w:rPr>
        <w:t>中</w:t>
      </w:r>
      <w:r>
        <w:rPr>
          <w:spacing w:val="-5"/>
          <w:w w:val="101"/>
        </w:rPr>
        <w:t>将</w:t>
      </w:r>
      <w:r>
        <w:rPr>
          <w:w w:val="101"/>
        </w:rPr>
        <w:t>形</w:t>
      </w:r>
      <w:r>
        <w:rPr>
          <w:spacing w:val="-5"/>
          <w:w w:val="101"/>
        </w:rPr>
        <w:t>成</w:t>
      </w:r>
      <w:r>
        <w:rPr>
          <w:w w:val="101"/>
        </w:rPr>
        <w:t>资</w:t>
      </w:r>
      <w:r>
        <w:rPr>
          <w:spacing w:val="-5"/>
          <w:w w:val="101"/>
        </w:rPr>
        <w:t>产</w:t>
      </w:r>
      <w:r>
        <w:rPr>
          <w:w w:val="101"/>
        </w:rPr>
        <w:t>的</w:t>
      </w:r>
      <w:r>
        <w:rPr>
          <w:spacing w:val="-5"/>
          <w:w w:val="101"/>
        </w:rPr>
        <w:t>支</w:t>
      </w:r>
      <w:r>
        <w:rPr>
          <w:w w:val="101"/>
        </w:rPr>
        <w:t>出</w:t>
      </w:r>
      <w:r>
        <w:rPr>
          <w:spacing w:val="-5"/>
          <w:w w:val="101"/>
        </w:rPr>
        <w:t>金</w:t>
      </w:r>
      <w:r>
        <w:rPr>
          <w:w w:val="101"/>
        </w:rPr>
        <w:t>额</w:t>
      </w:r>
      <w:r>
        <w:rPr>
          <w:spacing w:val="-5"/>
          <w:w w:val="101"/>
        </w:rPr>
        <w:t>和</w:t>
      </w:r>
      <w:r>
        <w:rPr>
          <w:w w:val="101"/>
        </w:rPr>
        <w:t>计</w:t>
      </w:r>
      <w:r>
        <w:rPr>
          <w:spacing w:val="-5"/>
          <w:w w:val="101"/>
        </w:rPr>
        <w:t>入</w:t>
      </w:r>
      <w:r>
        <w:rPr>
          <w:w w:val="101"/>
        </w:rPr>
        <w:t>费</w:t>
      </w:r>
      <w:r>
        <w:rPr>
          <w:spacing w:val="-5"/>
          <w:w w:val="101"/>
        </w:rPr>
        <w:t>用</w:t>
      </w:r>
      <w:r>
        <w:rPr>
          <w:w w:val="101"/>
        </w:rPr>
        <w:t>的</w:t>
      </w:r>
      <w:r>
        <w:rPr>
          <w:spacing w:val="-5"/>
          <w:w w:val="101"/>
        </w:rPr>
        <w:t>支</w:t>
      </w:r>
      <w:r>
        <w:rPr>
          <w:w w:val="101"/>
        </w:rPr>
        <w:t>出</w:t>
      </w:r>
      <w:r>
        <w:rPr>
          <w:spacing w:val="-5"/>
          <w:w w:val="101"/>
        </w:rPr>
        <w:t>金额</w:t>
      </w:r>
      <w:r>
        <w:rPr>
          <w:w w:val="101"/>
        </w:rPr>
        <w:t>的</w:t>
      </w:r>
      <w:r>
        <w:rPr>
          <w:spacing w:val="-5"/>
          <w:w w:val="101"/>
        </w:rPr>
        <w:t>相</w:t>
      </w:r>
      <w:r>
        <w:rPr>
          <w:w w:val="101"/>
        </w:rPr>
        <w:t>对</w:t>
      </w:r>
      <w:r>
        <w:rPr>
          <w:spacing w:val="-5"/>
          <w:w w:val="101"/>
        </w:rPr>
        <w:t>比</w:t>
      </w:r>
      <w:r>
        <w:rPr>
          <w:w w:val="101"/>
        </w:rPr>
        <w:t>例</w:t>
      </w:r>
      <w:r>
        <w:rPr>
          <w:spacing w:val="-5"/>
          <w:w w:val="101"/>
        </w:rPr>
        <w:t>进</w:t>
      </w:r>
      <w:r>
        <w:rPr>
          <w:w w:val="101"/>
        </w:rPr>
        <w:t>行</w:t>
      </w:r>
      <w:r>
        <w:rPr>
          <w:spacing w:val="-5"/>
          <w:w w:val="101"/>
        </w:rPr>
        <w:t>划</w:t>
      </w:r>
      <w:r>
        <w:rPr>
          <w:w w:val="101"/>
        </w:rPr>
        <w:t>分</w:t>
      </w:r>
      <w:r>
        <w:rPr>
          <w:spacing w:val="-87"/>
          <w:w w:val="101"/>
        </w:rPr>
        <w:t>，</w:t>
      </w:r>
      <w:r>
        <w:rPr>
          <w:w w:val="101"/>
        </w:rPr>
        <w:t>对</w:t>
      </w:r>
      <w:r>
        <w:rPr>
          <w:spacing w:val="-5"/>
          <w:w w:val="101"/>
        </w:rPr>
        <w:t>该</w:t>
      </w:r>
      <w:r>
        <w:rPr>
          <w:w w:val="101"/>
        </w:rPr>
        <w:t>划</w:t>
      </w:r>
      <w:r>
        <w:rPr>
          <w:spacing w:val="-5"/>
          <w:w w:val="101"/>
        </w:rPr>
        <w:t>分</w:t>
      </w:r>
      <w:r>
        <w:rPr>
          <w:w w:val="101"/>
        </w:rPr>
        <w:t>比</w:t>
      </w:r>
      <w:r>
        <w:rPr>
          <w:spacing w:val="-5"/>
          <w:w w:val="101"/>
        </w:rPr>
        <w:t>例</w:t>
      </w:r>
      <w:r>
        <w:rPr>
          <w:w w:val="101"/>
        </w:rPr>
        <w:t>需</w:t>
      </w:r>
      <w:r>
        <w:rPr>
          <w:spacing w:val="-5"/>
          <w:w w:val="101"/>
        </w:rPr>
        <w:t>在</w:t>
      </w:r>
      <w:r>
        <w:rPr>
          <w:w w:val="101"/>
        </w:rPr>
        <w:t>每</w:t>
      </w:r>
      <w:r>
        <w:rPr>
          <w:spacing w:val="-5"/>
          <w:w w:val="101"/>
        </w:rPr>
        <w:t>个</w:t>
      </w:r>
      <w:r>
        <w:rPr>
          <w:w w:val="101"/>
        </w:rPr>
        <w:t>资</w:t>
      </w:r>
      <w:r>
        <w:rPr>
          <w:spacing w:val="-5"/>
          <w:w w:val="101"/>
        </w:rPr>
        <w:t>产</w:t>
      </w:r>
      <w:r>
        <w:rPr>
          <w:w w:val="101"/>
        </w:rPr>
        <w:t>负</w:t>
      </w:r>
      <w:r>
        <w:rPr>
          <w:spacing w:val="-5"/>
          <w:w w:val="101"/>
        </w:rPr>
        <w:t>债</w:t>
      </w:r>
      <w:r>
        <w:rPr>
          <w:w w:val="101"/>
        </w:rPr>
        <w:t>表</w:t>
      </w:r>
      <w:r>
        <w:rPr>
          <w:spacing w:val="-5"/>
          <w:w w:val="101"/>
        </w:rPr>
        <w:t>日</w:t>
      </w:r>
      <w:r>
        <w:rPr>
          <w:w w:val="101"/>
        </w:rPr>
        <w:t>进</w:t>
      </w:r>
      <w:r>
        <w:rPr>
          <w:w w:val="101"/>
        </w:rPr>
        <w:t> </w:t>
      </w:r>
      <w:r>
        <w:rPr>
          <w:spacing w:val="-3"/>
        </w:rPr>
        <w:t>行复核，必要时进行变更；（</w:t>
      </w:r>
      <w:r>
        <w:rPr>
          <w:rFonts w:ascii="宋体" w:hAnsi="宋体" w:cs="宋体" w:eastAsia="宋体" w:hint="default"/>
          <w:spacing w:val="-3"/>
        </w:rPr>
        <w:t>2</w:t>
      </w:r>
      <w:r>
        <w:rPr>
          <w:spacing w:val="-3"/>
        </w:rPr>
        <w:t>）政府文件中对用途仅作一般性表述，没有指明特定项目的，作为与收益相关的政府补助。</w:t>
      </w:r>
      <w:r>
        <w:rPr>
          <w:spacing w:val="45"/>
        </w:rPr>
        <w:t> </w:t>
      </w:r>
      <w:r>
        <w:rPr>
          <w:spacing w:val="45"/>
        </w:rPr>
      </w:r>
      <w:r>
        <w:rPr>
          <w:spacing w:val="-3"/>
        </w:rPr>
        <w:t>政府补助为货币性资产的，按照收到或应收的金额计量。政府补助为非货币性资产的，按照公允价值计量；公允价值</w:t>
      </w:r>
    </w:p>
    <w:p>
      <w:pPr>
        <w:pStyle w:val="BodyText"/>
        <w:spacing w:line="316" w:lineRule="auto" w:before="19"/>
        <w:ind w:left="633" w:right="0" w:hanging="480"/>
        <w:jc w:val="left"/>
      </w:pPr>
      <w:r>
        <w:rPr>
          <w:spacing w:val="-3"/>
        </w:rPr>
        <w:t>不能够可靠取得的，按照名义金额计量。按照名义金额计量的政府补助，直接计入当期损益。</w:t>
      </w:r>
      <w:r>
        <w:rPr>
          <w:spacing w:val="31"/>
        </w:rPr>
        <w:t> </w:t>
      </w:r>
      <w:r>
        <w:rPr>
          <w:spacing w:val="31"/>
        </w:rPr>
      </w:r>
      <w:r>
        <w:rPr>
          <w:spacing w:val="-3"/>
        </w:rPr>
        <w:t>本公司对于政府补助通常在实际收到时，按照实收金额予以确认和计量。但对于期末有确凿证据表明能够符合财政扶</w:t>
      </w:r>
    </w:p>
    <w:p>
      <w:pPr>
        <w:pStyle w:val="BodyText"/>
        <w:spacing w:line="319" w:lineRule="auto" w:before="19"/>
        <w:ind w:right="1047"/>
        <w:jc w:val="both"/>
      </w:pPr>
      <w:r>
        <w:rPr>
          <w:spacing w:val="-4"/>
        </w:rPr>
        <w:t>持政策规定的相关条件预计能够收到财政扶持资金，按照应收的金额计量。按照应收金额计量的政府补助应同时符合以下条</w:t>
      </w:r>
      <w:r>
        <w:rPr>
          <w:spacing w:val="44"/>
        </w:rPr>
        <w:t> </w:t>
      </w:r>
      <w:r>
        <w:rPr>
          <w:spacing w:val="44"/>
        </w:rPr>
      </w:r>
      <w:r>
        <w:rPr>
          <w:spacing w:val="-3"/>
        </w:rPr>
        <w:t>件：（</w:t>
      </w:r>
      <w:r>
        <w:rPr>
          <w:rFonts w:ascii="宋体" w:hAnsi="宋体" w:cs="宋体" w:eastAsia="宋体" w:hint="default"/>
          <w:spacing w:val="-3"/>
        </w:rPr>
        <w:t>1</w:t>
      </w:r>
      <w:r>
        <w:rPr>
          <w:spacing w:val="-3"/>
        </w:rPr>
        <w:t>）应收补助款的金额已经过有权政府部门发文确认，或者可根据正式发布的财政资金管理办法的有关规定自行合理</w:t>
      </w:r>
      <w:r>
        <w:rPr>
          <w:spacing w:val="75"/>
        </w:rPr>
        <w:t> </w:t>
      </w:r>
      <w:r>
        <w:rPr>
          <w:spacing w:val="75"/>
        </w:rPr>
      </w:r>
      <w:r>
        <w:rPr>
          <w:spacing w:val="-3"/>
        </w:rPr>
        <w:t>测算，且预计其金额不存在重大不确定性；（</w:t>
      </w:r>
      <w:r>
        <w:rPr>
          <w:rFonts w:ascii="宋体" w:hAnsi="宋体" w:cs="宋体" w:eastAsia="宋体" w:hint="default"/>
          <w:spacing w:val="-3"/>
        </w:rPr>
        <w:t>2</w:t>
      </w:r>
      <w:r>
        <w:rPr>
          <w:spacing w:val="-3"/>
        </w:rPr>
        <w:t>）所依据的是当地财政部门正式发布并按照《政府信息公开条例》的规定予</w:t>
      </w:r>
      <w:r>
        <w:rPr>
          <w:spacing w:val="76"/>
        </w:rPr>
        <w:t> </w:t>
      </w:r>
      <w:r>
        <w:rPr>
          <w:spacing w:val="76"/>
        </w:rPr>
      </w:r>
      <w:r>
        <w:rPr>
          <w:spacing w:val="-3"/>
        </w:rPr>
        <w:t>以主动公开的财政扶持项目及其财政资金管理办法，且该管理办法应当是普惠性的（任何符合规定条件的企业均可申请），</w:t>
      </w:r>
    </w:p>
    <w:p>
      <w:pPr>
        <w:spacing w:after="0" w:line="319" w:lineRule="auto"/>
        <w:jc w:val="both"/>
        <w:sectPr>
          <w:pgSz w:w="11910" w:h="16840"/>
          <w:pgMar w:header="784" w:footer="1022" w:top="1100" w:bottom="1220" w:left="980" w:right="0"/>
        </w:sectPr>
      </w:pPr>
    </w:p>
    <w:p>
      <w:pPr>
        <w:spacing w:line="240" w:lineRule="auto" w:before="10"/>
        <w:rPr>
          <w:rFonts w:ascii="宋体" w:hAnsi="宋体" w:cs="宋体" w:eastAsia="宋体" w:hint="default"/>
          <w:sz w:val="22"/>
          <w:szCs w:val="22"/>
        </w:rPr>
      </w:pPr>
    </w:p>
    <w:p>
      <w:pPr>
        <w:pStyle w:val="BodyText"/>
        <w:spacing w:line="316" w:lineRule="auto"/>
        <w:ind w:right="0"/>
        <w:jc w:val="left"/>
      </w:pPr>
      <w:r>
        <w:rPr>
          <w:spacing w:val="-3"/>
        </w:rPr>
        <w:t>而不是专门针对特定企业制定的；（</w:t>
      </w:r>
      <w:r>
        <w:rPr>
          <w:rFonts w:ascii="宋体" w:hAnsi="宋体" w:cs="宋体" w:eastAsia="宋体" w:hint="default"/>
          <w:spacing w:val="-3"/>
        </w:rPr>
        <w:t>3</w:t>
      </w:r>
      <w:r>
        <w:rPr>
          <w:spacing w:val="-3"/>
        </w:rPr>
        <w:t>）相关的补助款批文中已明确承诺了拨付期限，且该款项的拨付是有相应财政预算作</w:t>
      </w:r>
      <w:r>
        <w:rPr>
          <w:spacing w:val="75"/>
        </w:rPr>
        <w:t> </w:t>
      </w:r>
      <w:r>
        <w:rPr>
          <w:spacing w:val="75"/>
        </w:rPr>
      </w:r>
      <w:r>
        <w:rPr>
          <w:spacing w:val="-3"/>
        </w:rPr>
        <w:t>为保障的，因而可以合理保证其可在规定期限内收到；（</w:t>
      </w:r>
      <w:r>
        <w:rPr>
          <w:rFonts w:ascii="宋体" w:hAnsi="宋体" w:cs="宋体" w:eastAsia="宋体" w:hint="default"/>
          <w:spacing w:val="-3"/>
        </w:rPr>
        <w:t>4</w:t>
      </w:r>
      <w:r>
        <w:rPr>
          <w:spacing w:val="-3"/>
        </w:rPr>
        <w:t>）根据本公司和该补助事项的具体情况，应满足的其他相关条件</w:t>
      </w:r>
    </w:p>
    <w:p>
      <w:pPr>
        <w:pStyle w:val="BodyText"/>
        <w:spacing w:line="240" w:lineRule="auto" w:before="19"/>
        <w:ind w:right="0"/>
        <w:jc w:val="left"/>
      </w:pPr>
      <w:r>
        <w:rPr/>
        <w:t>（如有）。</w:t>
      </w:r>
    </w:p>
    <w:p>
      <w:pPr>
        <w:pStyle w:val="BodyText"/>
        <w:spacing w:line="316" w:lineRule="auto" w:before="77"/>
        <w:ind w:right="1124" w:firstLine="480"/>
        <w:jc w:val="both"/>
      </w:pPr>
      <w:r>
        <w:rPr>
          <w:spacing w:val="-3"/>
        </w:rPr>
        <w:t>与资产相关的政府补助，确认为递延收益，并在相关资产的使用寿命内平均分配计入当期损益。与收益相关的政府补</w:t>
      </w:r>
      <w:r>
        <w:rPr>
          <w:w w:val="101"/>
        </w:rPr>
        <w:t> </w:t>
      </w:r>
      <w:r>
        <w:rPr>
          <w:spacing w:val="-4"/>
        </w:rPr>
        <w:t>助，用于补偿以后期间的相关费用和损失的，确认为递延收益，并在确认相关费用的期间计入当期损益；用于补偿已经发生</w:t>
      </w:r>
      <w:r>
        <w:rPr>
          <w:spacing w:val="40"/>
        </w:rPr>
        <w:t> </w:t>
      </w:r>
      <w:r>
        <w:rPr>
          <w:spacing w:val="40"/>
        </w:rPr>
      </w:r>
      <w:r>
        <w:rPr>
          <w:spacing w:val="-3"/>
        </w:rPr>
        <w:t>的相关费用和损失的，直接计入当期损益。</w:t>
      </w:r>
    </w:p>
    <w:p>
      <w:pPr>
        <w:pStyle w:val="BodyText"/>
        <w:spacing w:line="316" w:lineRule="auto" w:before="19"/>
        <w:ind w:right="1124" w:firstLine="480"/>
        <w:jc w:val="both"/>
      </w:pPr>
      <w:r>
        <w:rPr>
          <w:spacing w:val="-3"/>
        </w:rPr>
        <w:t>同时包含与资产相关部分和与收益相关部分的政府补助，区分不同部分分别进行会计处理；难以区分的，将其整体归</w:t>
      </w:r>
      <w:r>
        <w:rPr>
          <w:w w:val="101"/>
        </w:rPr>
        <w:t> </w:t>
      </w:r>
      <w:r>
        <w:rPr>
          <w:spacing w:val="-3"/>
        </w:rPr>
        <w:t>类为与收益相关的政府补助。</w:t>
      </w:r>
    </w:p>
    <w:p>
      <w:pPr>
        <w:pStyle w:val="BodyText"/>
        <w:spacing w:line="319" w:lineRule="auto" w:before="19"/>
        <w:ind w:right="1128" w:firstLine="480"/>
        <w:jc w:val="both"/>
      </w:pPr>
      <w:r>
        <w:rPr>
          <w:spacing w:val="-3"/>
        </w:rPr>
        <w:t>与本公司日常活动相关的政府补助，按照经济业务的实质，计入其他收益或冲减相关成本费用；与日常活动无关的政</w:t>
      </w:r>
      <w:r>
        <w:rPr>
          <w:w w:val="101"/>
        </w:rPr>
        <w:t> </w:t>
      </w:r>
      <w:r>
        <w:rPr>
          <w:spacing w:val="-3"/>
        </w:rPr>
        <w:t>府补助，计入营业外收支。</w:t>
      </w:r>
    </w:p>
    <w:p>
      <w:pPr>
        <w:pStyle w:val="BodyText"/>
        <w:spacing w:line="316" w:lineRule="auto" w:before="17"/>
        <w:ind w:right="1124" w:firstLine="480"/>
        <w:jc w:val="both"/>
      </w:pPr>
      <w:r>
        <w:rPr>
          <w:spacing w:val="-3"/>
        </w:rPr>
        <w:t>已确认的政府补助需要返还时，存在相关递延收益余额的，冲减相关递延收益账面余额，超出部分计入当期损益；不</w:t>
      </w:r>
      <w:r>
        <w:rPr>
          <w:w w:val="101"/>
        </w:rPr>
        <w:t> </w:t>
      </w:r>
      <w:r>
        <w:rPr>
          <w:spacing w:val="-3"/>
        </w:rPr>
        <w:t>存在相关递延收益的，直接计入当期损益。</w:t>
      </w:r>
    </w:p>
    <w:p>
      <w:pPr>
        <w:spacing w:line="240" w:lineRule="auto" w:before="7"/>
        <w:rPr>
          <w:rFonts w:ascii="宋体" w:hAnsi="宋体" w:cs="宋体" w:eastAsia="宋体" w:hint="default"/>
          <w:sz w:val="24"/>
          <w:szCs w:val="24"/>
        </w:rPr>
      </w:pPr>
    </w:p>
    <w:p>
      <w:pPr>
        <w:pStyle w:val="Heading6"/>
        <w:spacing w:line="240" w:lineRule="auto"/>
        <w:ind w:right="0"/>
        <w:jc w:val="left"/>
        <w:rPr>
          <w:b w:val="0"/>
          <w:bCs w:val="0"/>
        </w:rPr>
      </w:pPr>
      <w:bookmarkStart w:name="41、递延所得税资产/递延所得税负债" w:id="223"/>
      <w:bookmarkEnd w:id="223"/>
      <w:r>
        <w:rPr>
          <w:b w:val="0"/>
          <w:bCs w:val="0"/>
        </w:rPr>
      </w:r>
      <w:r>
        <w:rPr>
          <w:rFonts w:ascii="宋体" w:hAnsi="宋体" w:cs="宋体" w:eastAsia="宋体" w:hint="default"/>
        </w:rPr>
        <w:t>41</w:t>
      </w:r>
      <w:r>
        <w:rPr/>
        <w:t>、递延所得税资产</w:t>
      </w:r>
      <w:r>
        <w:rPr>
          <w:rFonts w:ascii="宋体" w:hAnsi="宋体" w:cs="宋体" w:eastAsia="宋体" w:hint="default"/>
        </w:rPr>
        <w:t>/</w:t>
      </w:r>
      <w:r>
        <w:rPr/>
        <w:t>递延所得税负债</w:t>
      </w:r>
      <w:r>
        <w:rPr>
          <w:b w:val="0"/>
          <w:bCs w:val="0"/>
        </w:rPr>
      </w:r>
    </w:p>
    <w:p>
      <w:pPr>
        <w:spacing w:line="240" w:lineRule="auto" w:before="0"/>
        <w:rPr>
          <w:rFonts w:ascii="宋体" w:hAnsi="宋体" w:cs="宋体" w:eastAsia="宋体" w:hint="default"/>
          <w:b/>
          <w:bCs/>
          <w:sz w:val="18"/>
          <w:szCs w:val="18"/>
        </w:rPr>
      </w:pPr>
    </w:p>
    <w:p>
      <w:pPr>
        <w:pStyle w:val="BodyText"/>
        <w:spacing w:line="316" w:lineRule="auto" w:before="139"/>
        <w:ind w:left="633" w:right="0"/>
        <w:jc w:val="left"/>
      </w:pPr>
      <w:r>
        <w:rPr/>
        <w:t>（</w:t>
      </w:r>
      <w:r>
        <w:rPr>
          <w:rFonts w:ascii="宋体" w:hAnsi="宋体" w:cs="宋体" w:eastAsia="宋体" w:hint="default"/>
        </w:rPr>
        <w:t>1</w:t>
      </w:r>
      <w:r>
        <w:rPr/>
        <w:t>）当期所得税</w:t>
      </w:r>
      <w:r>
        <w:rPr>
          <w:spacing w:val="-87"/>
        </w:rPr>
        <w:t> </w:t>
      </w:r>
      <w:r>
        <w:rPr>
          <w:spacing w:val="-87"/>
        </w:rPr>
      </w:r>
      <w:r>
        <w:rPr>
          <w:spacing w:val="-5"/>
        </w:rPr>
        <w:t>资产负债表日，对于当期和以前期间形成的当期所得税负债（或资产），以按照税法规定计算的预期应交纳（或返还）</w:t>
      </w:r>
    </w:p>
    <w:p>
      <w:pPr>
        <w:pStyle w:val="BodyText"/>
        <w:spacing w:line="316" w:lineRule="auto" w:before="19"/>
        <w:ind w:right="1117"/>
        <w:jc w:val="left"/>
      </w:pPr>
      <w:r>
        <w:rPr>
          <w:spacing w:val="-4"/>
          <w:w w:val="101"/>
        </w:rPr>
        <w:t>的所得税金额计量。计算当期所得税费用所依据的应纳税所得额系根据有关税法规定对本报告期税前会计利润作相应调整后</w:t>
      </w:r>
      <w:r>
        <w:rPr>
          <w:w w:val="101"/>
        </w:rPr>
        <w:t> </w:t>
      </w:r>
      <w:r>
        <w:rPr/>
        <w:t>计算得出。</w:t>
      </w:r>
    </w:p>
    <w:p>
      <w:pPr>
        <w:pStyle w:val="BodyText"/>
        <w:spacing w:line="319" w:lineRule="auto" w:before="19"/>
        <w:ind w:left="633" w:right="0"/>
        <w:jc w:val="left"/>
      </w:pPr>
      <w:r>
        <w:rPr>
          <w:spacing w:val="-3"/>
        </w:rPr>
        <w:t>（</w:t>
      </w:r>
      <w:r>
        <w:rPr>
          <w:rFonts w:ascii="宋体" w:hAnsi="宋体" w:cs="宋体" w:eastAsia="宋体" w:hint="default"/>
          <w:spacing w:val="-3"/>
        </w:rPr>
        <w:t>2</w:t>
      </w:r>
      <w:r>
        <w:rPr>
          <w:spacing w:val="-3"/>
        </w:rPr>
        <w:t>）递延所得税资产及递延所得税负债</w:t>
      </w:r>
      <w:r>
        <w:rPr>
          <w:spacing w:val="-34"/>
        </w:rPr>
        <w:t> </w:t>
      </w:r>
      <w:r>
        <w:rPr>
          <w:spacing w:val="-34"/>
        </w:rPr>
      </w:r>
      <w:r>
        <w:rPr>
          <w:spacing w:val="-3"/>
        </w:rPr>
        <w:t>某些资产、负债项目的账面价值与其计税基础之间的差额，以及未作为资产和负债确认但按照税法规定可以确定其计</w:t>
      </w:r>
    </w:p>
    <w:p>
      <w:pPr>
        <w:pStyle w:val="BodyText"/>
        <w:spacing w:line="316" w:lineRule="auto" w:before="17"/>
        <w:ind w:right="1117"/>
        <w:jc w:val="left"/>
      </w:pPr>
      <w:r>
        <w:rPr>
          <w:spacing w:val="-4"/>
          <w:w w:val="101"/>
        </w:rPr>
        <w:t>税基础的项目的账面价值与计税基础之间的差额产生的暂时性差异，采用资产负债表债务法确认递延所得税资产及递延所得</w:t>
      </w:r>
      <w:r>
        <w:rPr>
          <w:w w:val="101"/>
        </w:rPr>
        <w:t> </w:t>
      </w:r>
      <w:r>
        <w:rPr/>
        <w:t>税负债。</w:t>
      </w:r>
    </w:p>
    <w:p>
      <w:pPr>
        <w:pStyle w:val="BodyText"/>
        <w:spacing w:line="319" w:lineRule="auto" w:before="19"/>
        <w:ind w:right="1123" w:firstLine="480"/>
        <w:jc w:val="both"/>
      </w:pPr>
      <w:r>
        <w:rPr>
          <w:spacing w:val="-3"/>
        </w:rPr>
        <w:t>与商誉的初始确认有关，以及与既不是企业合并、发生时也不影响会计利润和应纳税所得额（或可抵扣亏损）的交易</w:t>
      </w:r>
      <w:r>
        <w:rPr>
          <w:w w:val="101"/>
        </w:rPr>
        <w:t> </w:t>
      </w:r>
      <w:r>
        <w:rPr>
          <w:spacing w:val="-4"/>
        </w:rPr>
        <w:t>中产生的资产或负债的初始确认有关的应纳税暂时性差异，不予确认有关的递延所得税负债。此外，对与子公司、联营企业</w:t>
      </w:r>
      <w:r>
        <w:rPr>
          <w:spacing w:val="40"/>
        </w:rPr>
        <w:t> </w:t>
      </w:r>
      <w:r>
        <w:rPr>
          <w:spacing w:val="40"/>
        </w:rPr>
      </w:r>
      <w:r>
        <w:rPr>
          <w:spacing w:val="-4"/>
        </w:rPr>
        <w:t>及合营企业投资相关的应纳税暂时性差异，如果本公司能够控制暂时性差异转回的时间，而且该暂时性差异在可预见的未来</w:t>
      </w:r>
      <w:r>
        <w:rPr>
          <w:spacing w:val="44"/>
        </w:rPr>
        <w:t> </w:t>
      </w:r>
      <w:r>
        <w:rPr>
          <w:spacing w:val="44"/>
        </w:rPr>
      </w:r>
      <w:r>
        <w:rPr>
          <w:spacing w:val="-4"/>
        </w:rPr>
        <w:t>很可能不会转回，也不予确认有关的递延所得税负债。除上述例外情况，本公司确认其他所有应纳税暂时性差异产生的递延</w:t>
      </w:r>
      <w:r>
        <w:rPr>
          <w:spacing w:val="43"/>
        </w:rPr>
        <w:t> </w:t>
      </w:r>
      <w:r>
        <w:rPr>
          <w:spacing w:val="43"/>
        </w:rPr>
      </w:r>
      <w:r>
        <w:rPr/>
        <w:t>所得税负债。</w:t>
      </w:r>
    </w:p>
    <w:p>
      <w:pPr>
        <w:pStyle w:val="BodyText"/>
        <w:spacing w:line="319" w:lineRule="auto" w:before="17"/>
        <w:ind w:right="1123" w:firstLine="480"/>
        <w:jc w:val="both"/>
      </w:pPr>
      <w:r>
        <w:rPr>
          <w:spacing w:val="-3"/>
        </w:rPr>
        <w:t>与既不是企业合并、发生时也不影响会计利润和应纳税所得额（或可抵扣亏损）的交易中产生的资产或负债的初始确</w:t>
      </w:r>
      <w:r>
        <w:rPr>
          <w:w w:val="101"/>
        </w:rPr>
        <w:t> </w:t>
      </w:r>
      <w:r>
        <w:rPr>
          <w:spacing w:val="-4"/>
        </w:rPr>
        <w:t>认有关的可抵扣暂时性差异，不予确认有关的递延所得税资产。此外，对与子公司、联营企业及合营企业投资相关的可抵扣</w:t>
      </w:r>
      <w:r>
        <w:rPr>
          <w:spacing w:val="40"/>
        </w:rPr>
        <w:t> </w:t>
      </w:r>
      <w:r>
        <w:rPr>
          <w:spacing w:val="40"/>
        </w:rPr>
      </w:r>
      <w:r>
        <w:rPr>
          <w:spacing w:val="-4"/>
        </w:rPr>
        <w:t>暂时性差异，如果暂时性差异在可预见的未来不是很可能转回，或者未来不是很可能获得用来抵扣可抵扣暂时性差异的应纳</w:t>
      </w:r>
      <w:r>
        <w:rPr>
          <w:spacing w:val="42"/>
        </w:rPr>
        <w:t> </w:t>
      </w:r>
      <w:r>
        <w:rPr>
          <w:spacing w:val="42"/>
        </w:rPr>
      </w:r>
      <w:r>
        <w:rPr>
          <w:spacing w:val="-4"/>
        </w:rPr>
        <w:t>税所得额，不予确认有关的递延所得税资产。除上述例外情况，本公司以很可能取得用来抵扣可抵扣暂时性差异的应纳税所</w:t>
      </w:r>
      <w:r>
        <w:rPr>
          <w:spacing w:val="43"/>
        </w:rPr>
        <w:t> </w:t>
      </w:r>
      <w:r>
        <w:rPr>
          <w:spacing w:val="43"/>
        </w:rPr>
      </w:r>
      <w:r>
        <w:rPr>
          <w:spacing w:val="-3"/>
        </w:rPr>
        <w:t>得额为限，确认其他可抵扣暂时性差异产生的递延所得税资产。</w:t>
      </w:r>
    </w:p>
    <w:p>
      <w:pPr>
        <w:pStyle w:val="BodyText"/>
        <w:spacing w:line="316" w:lineRule="auto" w:before="17"/>
        <w:ind w:right="1124" w:firstLine="480"/>
        <w:jc w:val="both"/>
      </w:pPr>
      <w:r>
        <w:rPr>
          <w:spacing w:val="-3"/>
        </w:rPr>
        <w:t>对于能够结转以后年度的可抵扣亏损和税款抵减，以很可能获得用来抵扣可抵扣亏损和税款抵减的未来应纳税所得额</w:t>
      </w:r>
      <w:r>
        <w:rPr>
          <w:w w:val="101"/>
        </w:rPr>
        <w:t> </w:t>
      </w:r>
      <w:r>
        <w:rPr>
          <w:spacing w:val="-3"/>
        </w:rPr>
        <w:t>为限，确认相应的递延所得税资产。</w:t>
      </w:r>
    </w:p>
    <w:p>
      <w:pPr>
        <w:pStyle w:val="BodyText"/>
        <w:spacing w:line="319" w:lineRule="auto" w:before="19"/>
        <w:ind w:right="1129" w:firstLine="480"/>
        <w:jc w:val="both"/>
      </w:pPr>
      <w:r>
        <w:rPr>
          <w:spacing w:val="-3"/>
        </w:rPr>
        <w:t>资产负债表日，对于递延所得税资产和递延所得税负债，根据税法规定，按照预期收回相关资产或清偿相关负债期间</w:t>
      </w:r>
      <w:r>
        <w:rPr>
          <w:w w:val="101"/>
        </w:rPr>
        <w:t> </w:t>
      </w:r>
      <w:r>
        <w:rPr/>
        <w:t>的适用税率计量。</w:t>
      </w:r>
    </w:p>
    <w:p>
      <w:pPr>
        <w:pStyle w:val="BodyText"/>
        <w:spacing w:line="316" w:lineRule="auto" w:before="17"/>
        <w:ind w:right="1122" w:firstLine="480"/>
        <w:jc w:val="both"/>
      </w:pPr>
      <w:r>
        <w:rPr>
          <w:spacing w:val="-3"/>
        </w:rPr>
        <w:t>于资产负债表日，对递延所得税资产的账面价值进行复核，如果未来很可能无法获得足够的应纳税所得额用以抵扣递</w:t>
      </w:r>
      <w:r>
        <w:rPr>
          <w:w w:val="101"/>
        </w:rPr>
        <w:t> </w:t>
      </w:r>
      <w:r>
        <w:rPr>
          <w:spacing w:val="-3"/>
        </w:rPr>
        <w:t>延所得税资产的利益，则减记递延所得税资产的账面价值。在很可能获得足够的应纳税所得额时，减记的金额予以转回。</w:t>
      </w:r>
    </w:p>
    <w:p>
      <w:pPr>
        <w:pStyle w:val="BodyText"/>
        <w:spacing w:line="316" w:lineRule="auto" w:before="19"/>
        <w:ind w:left="633" w:right="6445"/>
        <w:jc w:val="left"/>
      </w:pPr>
      <w:r>
        <w:rPr/>
        <w:t>（</w:t>
      </w:r>
      <w:r>
        <w:rPr>
          <w:rFonts w:ascii="宋体" w:hAnsi="宋体" w:cs="宋体" w:eastAsia="宋体" w:hint="default"/>
        </w:rPr>
        <w:t>3</w:t>
      </w:r>
      <w:r>
        <w:rPr/>
        <w:t>）所得税费用</w:t>
      </w:r>
      <w:r>
        <w:rPr>
          <w:spacing w:val="-87"/>
        </w:rPr>
        <w:t> </w:t>
      </w:r>
      <w:r>
        <w:rPr>
          <w:spacing w:val="-87"/>
        </w:rPr>
      </w:r>
      <w:r>
        <w:rPr>
          <w:spacing w:val="-3"/>
        </w:rPr>
        <w:t>所得税费用包括当期所得税和递延所得税。</w:t>
      </w:r>
    </w:p>
    <w:p>
      <w:pPr>
        <w:pStyle w:val="BodyText"/>
        <w:spacing w:line="316" w:lineRule="auto" w:before="19"/>
        <w:ind w:right="1132" w:firstLine="480"/>
        <w:jc w:val="both"/>
      </w:pPr>
      <w:r>
        <w:rPr/>
        <w:t>除确认为其他综合收益或直接计入股东权益的交易和事项相关的当期所得税和递延所得税计入其他综合收益或股东</w:t>
      </w:r>
      <w:r>
        <w:rPr>
          <w:w w:val="101"/>
        </w:rPr>
        <w:t> </w:t>
      </w:r>
      <w:r>
        <w:rPr>
          <w:spacing w:val="-3"/>
        </w:rPr>
        <w:t>权益，以及企业合并产生的递延所得税调整商誉的账面价值外，其余当期所得税和递延所得税费用或收益计入当期损益。</w:t>
      </w:r>
    </w:p>
    <w:p>
      <w:pPr>
        <w:pStyle w:val="BodyText"/>
        <w:spacing w:line="240" w:lineRule="auto" w:before="18"/>
        <w:ind w:left="633" w:right="0"/>
        <w:jc w:val="left"/>
      </w:pPr>
      <w:r>
        <w:rPr/>
        <w:t>（</w:t>
      </w:r>
      <w:r>
        <w:rPr>
          <w:rFonts w:ascii="宋体" w:hAnsi="宋体" w:cs="宋体" w:eastAsia="宋体" w:hint="default"/>
        </w:rPr>
        <w:t>4</w:t>
      </w:r>
      <w:r>
        <w:rPr/>
        <w:t>）所得税的抵销</w:t>
      </w:r>
    </w:p>
    <w:p>
      <w:pPr>
        <w:spacing w:after="0" w:line="240" w:lineRule="auto"/>
        <w:jc w:val="left"/>
        <w:sectPr>
          <w:pgSz w:w="11910" w:h="16840"/>
          <w:pgMar w:header="784" w:footer="1022" w:top="1100" w:bottom="1220" w:left="980" w:right="0"/>
        </w:sectPr>
      </w:pPr>
    </w:p>
    <w:p>
      <w:pPr>
        <w:spacing w:line="240" w:lineRule="auto" w:before="10"/>
        <w:rPr>
          <w:rFonts w:ascii="宋体" w:hAnsi="宋体" w:cs="宋体" w:eastAsia="宋体" w:hint="default"/>
          <w:sz w:val="22"/>
          <w:szCs w:val="22"/>
        </w:rPr>
      </w:pPr>
    </w:p>
    <w:p>
      <w:pPr>
        <w:pStyle w:val="BodyText"/>
        <w:spacing w:line="316" w:lineRule="auto"/>
        <w:ind w:right="1124" w:firstLine="480"/>
        <w:jc w:val="both"/>
      </w:pPr>
      <w:r>
        <w:rPr>
          <w:spacing w:val="-3"/>
        </w:rPr>
        <w:t>当拥有以净额结算的法定权利，且意图以净额结算或取得资产、清偿负债同时进行时，本公司当期所得税资产及当期</w:t>
      </w:r>
      <w:r>
        <w:rPr>
          <w:w w:val="101"/>
        </w:rPr>
        <w:t> </w:t>
      </w:r>
      <w:r>
        <w:rPr>
          <w:spacing w:val="-3"/>
        </w:rPr>
        <w:t>所得税负债以抵销后的净额列报。</w:t>
      </w:r>
    </w:p>
    <w:p>
      <w:pPr>
        <w:pStyle w:val="BodyText"/>
        <w:spacing w:line="319" w:lineRule="auto" w:before="19"/>
        <w:ind w:right="1124" w:firstLine="480"/>
        <w:jc w:val="both"/>
      </w:pPr>
      <w:r>
        <w:rPr>
          <w:spacing w:val="-3"/>
        </w:rPr>
        <w:t>当拥有以净额结算当期所得税资产及当期所得税负债的法定权利，且递延所得税资产及递延所得税负债是与同一税收</w:t>
      </w:r>
      <w:r>
        <w:rPr>
          <w:w w:val="101"/>
        </w:rPr>
        <w:t> </w:t>
      </w:r>
      <w:r>
        <w:rPr>
          <w:spacing w:val="-4"/>
          <w:w w:val="101"/>
        </w:rPr>
        <w:t>征管部门对同一纳税主体征收的所得税相关或者是对不同的纳税主体相关，但在未来每一具有重要性的递延所得税资产及负</w:t>
      </w:r>
      <w:r>
        <w:rPr>
          <w:w w:val="101"/>
        </w:rPr>
        <w:t> </w:t>
      </w:r>
      <w:r>
        <w:rPr>
          <w:spacing w:val="-4"/>
        </w:rPr>
        <w:t>债转回的期间内，涉及的纳税主体意图以净额结算当期所得税资产和负债或是同时取得资产、清偿负债时，本公司递延所得</w:t>
      </w:r>
      <w:r>
        <w:rPr>
          <w:spacing w:val="43"/>
        </w:rPr>
        <w:t> </w:t>
      </w:r>
      <w:r>
        <w:rPr>
          <w:spacing w:val="43"/>
        </w:rPr>
      </w:r>
      <w:r>
        <w:rPr>
          <w:spacing w:val="-3"/>
        </w:rPr>
        <w:t>税资产及递延所得税负债以抵销后的净额列报。</w:t>
      </w:r>
    </w:p>
    <w:p>
      <w:pPr>
        <w:spacing w:line="240" w:lineRule="auto" w:before="5"/>
        <w:rPr>
          <w:rFonts w:ascii="宋体" w:hAnsi="宋体" w:cs="宋体" w:eastAsia="宋体" w:hint="default"/>
          <w:sz w:val="24"/>
          <w:szCs w:val="24"/>
        </w:rPr>
      </w:pPr>
    </w:p>
    <w:p>
      <w:pPr>
        <w:pStyle w:val="Heading6"/>
        <w:spacing w:line="240" w:lineRule="auto"/>
        <w:ind w:right="0"/>
        <w:jc w:val="left"/>
        <w:rPr>
          <w:b w:val="0"/>
          <w:bCs w:val="0"/>
        </w:rPr>
      </w:pPr>
      <w:bookmarkStart w:name="42、租赁" w:id="224"/>
      <w:bookmarkEnd w:id="224"/>
      <w:r>
        <w:rPr>
          <w:b w:val="0"/>
          <w:bCs w:val="0"/>
        </w:rPr>
      </w:r>
      <w:r>
        <w:rPr>
          <w:rFonts w:ascii="宋体" w:hAnsi="宋体" w:cs="宋体" w:eastAsia="宋体" w:hint="default"/>
        </w:rPr>
        <w:t>42</w:t>
      </w:r>
      <w:r>
        <w:rPr/>
        <w:t>、租赁</w:t>
      </w:r>
      <w:r>
        <w:rPr>
          <w:b w:val="0"/>
          <w:bCs w:val="0"/>
        </w:rPr>
      </w:r>
    </w:p>
    <w:p>
      <w:pPr>
        <w:spacing w:line="614" w:lineRule="exact" w:before="93"/>
        <w:ind w:left="513" w:right="0" w:hanging="360"/>
        <w:jc w:val="left"/>
        <w:rPr>
          <w:rFonts w:ascii="宋体" w:hAnsi="宋体" w:cs="宋体" w:eastAsia="宋体" w:hint="default"/>
          <w:sz w:val="18"/>
          <w:szCs w:val="18"/>
        </w:rPr>
      </w:pPr>
      <w:bookmarkStart w:name="（1）经营租赁的会计处理方法" w:id="225"/>
      <w:bookmarkEnd w:id="225"/>
      <w:r>
        <w:rPr/>
      </w:r>
      <w:r>
        <w:rPr>
          <w:rFonts w:ascii="宋体" w:hAnsi="宋体" w:cs="宋体" w:eastAsia="宋体" w:hint="default"/>
          <w:b/>
          <w:bCs/>
          <w:sz w:val="18"/>
          <w:szCs w:val="18"/>
        </w:rPr>
        <w:t>（</w:t>
      </w:r>
      <w:r>
        <w:rPr>
          <w:rFonts w:ascii="宋体" w:hAnsi="宋体" w:cs="宋体" w:eastAsia="宋体" w:hint="default"/>
          <w:b/>
          <w:bCs/>
          <w:sz w:val="18"/>
          <w:szCs w:val="18"/>
        </w:rPr>
        <w:t>1</w:t>
      </w:r>
      <w:r>
        <w:rPr>
          <w:rFonts w:ascii="宋体" w:hAnsi="宋体" w:cs="宋体" w:eastAsia="宋体" w:hint="default"/>
          <w:b/>
          <w:bCs/>
          <w:sz w:val="18"/>
          <w:szCs w:val="18"/>
        </w:rPr>
        <w:t>）经营租赁的会计处理方法</w:t>
      </w:r>
      <w:r>
        <w:rPr>
          <w:rFonts w:ascii="宋体" w:hAnsi="宋体" w:cs="宋体" w:eastAsia="宋体" w:hint="default"/>
          <w:b/>
          <w:bCs/>
          <w:spacing w:val="-89"/>
          <w:sz w:val="18"/>
          <w:szCs w:val="18"/>
        </w:rPr>
        <w:t> </w:t>
      </w:r>
      <w:r>
        <w:rPr>
          <w:rFonts w:ascii="宋体" w:hAnsi="宋体" w:cs="宋体" w:eastAsia="宋体" w:hint="default"/>
          <w:b/>
          <w:bCs/>
          <w:spacing w:val="-89"/>
          <w:sz w:val="18"/>
          <w:szCs w:val="18"/>
        </w:rPr>
      </w:r>
      <w:r>
        <w:rPr>
          <w:rFonts w:ascii="宋体" w:hAnsi="宋体" w:cs="宋体" w:eastAsia="宋体" w:hint="default"/>
          <w:spacing w:val="-5"/>
          <w:sz w:val="18"/>
          <w:szCs w:val="18"/>
        </w:rPr>
        <w:t>经营租赁的租金支出在租赁期内的各个期间按直线法计入相关资产成本或当期损益。初始直接费用计入当期损益。或有</w:t>
      </w:r>
    </w:p>
    <w:p>
      <w:pPr>
        <w:pStyle w:val="BodyText"/>
        <w:spacing w:line="215" w:lineRule="exact" w:before="0"/>
        <w:ind w:right="0"/>
        <w:jc w:val="left"/>
      </w:pPr>
      <w:r>
        <w:rPr>
          <w:spacing w:val="-3"/>
        </w:rPr>
        <w:t>租金于实际发生时计入当期损益。</w:t>
      </w:r>
    </w:p>
    <w:p>
      <w:pPr>
        <w:spacing w:line="610" w:lineRule="atLeast" w:before="5"/>
        <w:ind w:left="513" w:right="0" w:hanging="360"/>
        <w:jc w:val="left"/>
        <w:rPr>
          <w:rFonts w:ascii="宋体" w:hAnsi="宋体" w:cs="宋体" w:eastAsia="宋体" w:hint="default"/>
          <w:sz w:val="18"/>
          <w:szCs w:val="18"/>
        </w:rPr>
      </w:pPr>
      <w:bookmarkStart w:name="（2）融资租赁的会计处理方法" w:id="226"/>
      <w:bookmarkEnd w:id="226"/>
      <w:r>
        <w:rPr/>
      </w:r>
      <w:r>
        <w:rPr>
          <w:rFonts w:ascii="宋体" w:hAnsi="宋体" w:cs="宋体" w:eastAsia="宋体" w:hint="default"/>
          <w:b/>
          <w:bCs/>
          <w:sz w:val="18"/>
          <w:szCs w:val="18"/>
        </w:rPr>
        <w:t>（</w:t>
      </w:r>
      <w:r>
        <w:rPr>
          <w:rFonts w:ascii="宋体" w:hAnsi="宋体" w:cs="宋体" w:eastAsia="宋体" w:hint="default"/>
          <w:b/>
          <w:bCs/>
          <w:sz w:val="18"/>
          <w:szCs w:val="18"/>
        </w:rPr>
        <w:t>2</w:t>
      </w:r>
      <w:r>
        <w:rPr>
          <w:rFonts w:ascii="宋体" w:hAnsi="宋体" w:cs="宋体" w:eastAsia="宋体" w:hint="default"/>
          <w:b/>
          <w:bCs/>
          <w:sz w:val="18"/>
          <w:szCs w:val="18"/>
        </w:rPr>
        <w:t>）融资租赁的会计处理方法</w:t>
      </w:r>
      <w:r>
        <w:rPr>
          <w:rFonts w:ascii="宋体" w:hAnsi="宋体" w:cs="宋体" w:eastAsia="宋体" w:hint="default"/>
          <w:b/>
          <w:bCs/>
          <w:spacing w:val="-89"/>
          <w:sz w:val="18"/>
          <w:szCs w:val="18"/>
        </w:rPr>
        <w:t> </w:t>
      </w:r>
      <w:r>
        <w:rPr>
          <w:rFonts w:ascii="宋体" w:hAnsi="宋体" w:cs="宋体" w:eastAsia="宋体" w:hint="default"/>
          <w:b/>
          <w:bCs/>
          <w:spacing w:val="-89"/>
          <w:sz w:val="18"/>
          <w:szCs w:val="18"/>
        </w:rPr>
      </w:r>
      <w:r>
        <w:rPr>
          <w:rFonts w:ascii="宋体" w:hAnsi="宋体" w:cs="宋体" w:eastAsia="宋体" w:hint="default"/>
          <w:spacing w:val="-5"/>
          <w:sz w:val="18"/>
          <w:szCs w:val="18"/>
        </w:rPr>
        <w:t>融资租赁为实质上转移了与资产所有权有关的全部风险和报酬的租赁，其所有权最终可能转移，也可能不转移。融资租</w:t>
      </w:r>
    </w:p>
    <w:p>
      <w:pPr>
        <w:spacing w:line="626" w:lineRule="auto" w:before="76"/>
        <w:ind w:left="153" w:right="4900" w:firstLine="0"/>
        <w:jc w:val="left"/>
        <w:rPr>
          <w:rFonts w:ascii="宋体" w:hAnsi="宋体" w:cs="宋体" w:eastAsia="宋体" w:hint="default"/>
          <w:sz w:val="18"/>
          <w:szCs w:val="18"/>
        </w:rPr>
      </w:pPr>
      <w:r>
        <w:rPr>
          <w:rFonts w:ascii="宋体" w:hAnsi="宋体" w:cs="宋体" w:eastAsia="宋体" w:hint="default"/>
          <w:spacing w:val="-3"/>
          <w:sz w:val="18"/>
          <w:szCs w:val="18"/>
        </w:rPr>
        <w:t>赁以外的其他租赁为经营租赁。本公司的租赁为作为承租人的经营租赁。</w:t>
      </w:r>
      <w:r>
        <w:rPr>
          <w:rFonts w:ascii="宋体" w:hAnsi="宋体" w:cs="宋体" w:eastAsia="宋体" w:hint="default"/>
          <w:spacing w:val="2"/>
          <w:sz w:val="18"/>
          <w:szCs w:val="18"/>
        </w:rPr>
        <w:t> </w:t>
      </w:r>
      <w:r>
        <w:rPr>
          <w:rFonts w:ascii="宋体" w:hAnsi="宋体" w:cs="宋体" w:eastAsia="宋体" w:hint="default"/>
          <w:spacing w:val="2"/>
          <w:sz w:val="18"/>
          <w:szCs w:val="18"/>
        </w:rPr>
      </w:r>
      <w:bookmarkStart w:name="43、其他重要的会计政策和会计估计" w:id="227"/>
      <w:bookmarkEnd w:id="227"/>
      <w:r>
        <w:rPr>
          <w:rFonts w:ascii="宋体" w:hAnsi="宋体" w:cs="宋体" w:eastAsia="宋体" w:hint="default"/>
          <w:spacing w:val="2"/>
          <w:sz w:val="18"/>
          <w:szCs w:val="18"/>
        </w:rPr>
      </w:r>
      <w:r>
        <w:rPr>
          <w:rFonts w:ascii="宋体" w:hAnsi="宋体" w:cs="宋体" w:eastAsia="宋体" w:hint="default"/>
          <w:b/>
          <w:bCs/>
          <w:sz w:val="18"/>
          <w:szCs w:val="18"/>
        </w:rPr>
        <w:t>43</w:t>
      </w:r>
      <w:r>
        <w:rPr>
          <w:rFonts w:ascii="宋体" w:hAnsi="宋体" w:cs="宋体" w:eastAsia="宋体" w:hint="default"/>
          <w:b/>
          <w:bCs/>
          <w:sz w:val="18"/>
          <w:szCs w:val="18"/>
        </w:rPr>
        <w:t>、其他重要的会计政策和会计估计</w:t>
      </w:r>
      <w:r>
        <w:rPr>
          <w:rFonts w:ascii="宋体" w:hAnsi="宋体" w:cs="宋体" w:eastAsia="宋体" w:hint="default"/>
          <w:sz w:val="18"/>
          <w:szCs w:val="18"/>
        </w:rPr>
      </w:r>
    </w:p>
    <w:p>
      <w:pPr>
        <w:pStyle w:val="BodyText"/>
        <w:spacing w:line="316" w:lineRule="auto" w:before="89"/>
        <w:ind w:left="513" w:right="0" w:firstLine="120"/>
        <w:jc w:val="left"/>
      </w:pPr>
      <w:r>
        <w:rPr>
          <w:rFonts w:ascii="宋体" w:hAnsi="宋体" w:cs="宋体" w:eastAsia="宋体" w:hint="default"/>
          <w:b/>
          <w:bCs/>
        </w:rPr>
        <w:t>重大会计判断和估计</w:t>
      </w:r>
      <w:r>
        <w:rPr>
          <w:rFonts w:ascii="宋体" w:hAnsi="宋体" w:cs="宋体" w:eastAsia="宋体" w:hint="default"/>
          <w:b/>
          <w:bCs/>
          <w:w w:val="100"/>
        </w:rPr>
        <w:t> </w:t>
      </w:r>
      <w:r>
        <w:rPr>
          <w:spacing w:val="-4"/>
        </w:rPr>
        <w:t>本公司在运用会计政策过程中，由于经营活动内在的不确定性，本公司需要对无法准确计量的报表项目的账面价值进行</w:t>
      </w:r>
    </w:p>
    <w:p>
      <w:pPr>
        <w:pStyle w:val="BodyText"/>
        <w:spacing w:line="319" w:lineRule="auto" w:before="19"/>
        <w:ind w:right="0"/>
        <w:jc w:val="left"/>
      </w:pPr>
      <w:r>
        <w:rPr>
          <w:spacing w:val="-3"/>
        </w:rPr>
        <w:t>判断、估计和假设。这些判断、估计和假设是基于本公司管理层过去的历史经验，并在考虑其他相关因素的基础上做出的。</w:t>
      </w:r>
      <w:r>
        <w:rPr>
          <w:spacing w:val="67"/>
        </w:rPr>
        <w:t> </w:t>
      </w:r>
      <w:r>
        <w:rPr>
          <w:spacing w:val="67"/>
        </w:rPr>
      </w:r>
      <w:r>
        <w:rPr>
          <w:spacing w:val="-4"/>
        </w:rPr>
        <w:t>这些判断、估计和假设会影响收入、费用、资产和负债的报告金额以及资产负债表日或有负债的披露。然而，这些估计的不</w:t>
      </w:r>
      <w:r>
        <w:rPr>
          <w:spacing w:val="40"/>
        </w:rPr>
        <w:t> </w:t>
      </w:r>
      <w:r>
        <w:rPr>
          <w:spacing w:val="40"/>
        </w:rPr>
      </w:r>
      <w:r>
        <w:rPr>
          <w:spacing w:val="-3"/>
        </w:rPr>
        <w:t>确定性所导致的结果可能造成对未来受影响的资产或负债的账面金额进行重大调整。</w:t>
      </w:r>
    </w:p>
    <w:p>
      <w:pPr>
        <w:pStyle w:val="BodyText"/>
        <w:spacing w:line="316" w:lineRule="auto" w:before="17"/>
        <w:ind w:right="0" w:firstLine="360"/>
        <w:jc w:val="left"/>
      </w:pPr>
      <w:r>
        <w:rPr>
          <w:spacing w:val="-4"/>
        </w:rPr>
        <w:t>本公司对前述判断、估计和假设在持续经营的基础上进行定期复核，会计估计的变更仅影响变更当期的，其影响数在变</w:t>
      </w:r>
      <w:r>
        <w:rPr>
          <w:w w:val="101"/>
        </w:rPr>
        <w:t> </w:t>
      </w:r>
      <w:r>
        <w:rPr>
          <w:spacing w:val="-3"/>
        </w:rPr>
        <w:t>更当期予以确认；既影响变更当期又影响未来期间的，其影响数在变更当期和未来期间予以确认。</w:t>
      </w:r>
    </w:p>
    <w:p>
      <w:pPr>
        <w:pStyle w:val="BodyText"/>
        <w:spacing w:line="240" w:lineRule="auto" w:before="19"/>
        <w:ind w:left="513" w:right="0"/>
        <w:jc w:val="left"/>
      </w:pPr>
      <w:r>
        <w:rPr>
          <w:spacing w:val="-3"/>
        </w:rPr>
        <w:t>于资产负债表日，本公司需对财务报表项目金额进行判断、估计和假设的重要领域如下：</w:t>
      </w:r>
    </w:p>
    <w:p>
      <w:pPr>
        <w:pStyle w:val="BodyText"/>
        <w:spacing w:line="300" w:lineRule="auto" w:before="76"/>
        <w:ind w:left="513" w:right="0"/>
        <w:jc w:val="left"/>
      </w:pPr>
      <w:r>
        <w:rPr/>
        <w:t>（</w:t>
      </w:r>
      <w:r>
        <w:rPr>
          <w:rFonts w:ascii="Times New Roman" w:hAnsi="Times New Roman" w:cs="Times New Roman" w:eastAsia="Times New Roman" w:hint="default"/>
        </w:rPr>
        <w:t>1</w:t>
      </w:r>
      <w:r>
        <w:rPr/>
        <w:t>）收入确认</w:t>
      </w:r>
      <w:r>
        <w:rPr>
          <w:rFonts w:ascii="Times New Roman" w:hAnsi="Times New Roman" w:cs="Times New Roman" w:eastAsia="Times New Roman" w:hint="default"/>
        </w:rPr>
        <w:t>——</w:t>
      </w:r>
      <w:r>
        <w:rPr/>
        <w:t>建造合同</w:t>
      </w:r>
      <w:r>
        <w:rPr>
          <w:spacing w:val="-85"/>
        </w:rPr>
        <w:t> </w:t>
      </w:r>
      <w:r>
        <w:rPr>
          <w:spacing w:val="-85"/>
        </w:rPr>
      </w:r>
      <w:r>
        <w:rPr>
          <w:spacing w:val="-4"/>
        </w:rPr>
        <w:t>在建造合同结果可以可靠估计时，本公司采用完工百分比法在资产负债表日确认合同收入。合同的完工百分比是依照本</w:t>
      </w:r>
    </w:p>
    <w:p>
      <w:pPr>
        <w:pStyle w:val="BodyText"/>
        <w:spacing w:line="300" w:lineRule="auto" w:before="31"/>
        <w:ind w:left="513" w:right="0" w:hanging="360"/>
        <w:jc w:val="left"/>
      </w:pPr>
      <w:r>
        <w:rPr>
          <w:spacing w:val="-3"/>
        </w:rPr>
        <w:t>附注四、</w:t>
      </w:r>
      <w:r>
        <w:rPr>
          <w:rFonts w:ascii="Times New Roman" w:hAnsi="Times New Roman" w:cs="Times New Roman" w:eastAsia="Times New Roman" w:hint="default"/>
          <w:spacing w:val="-3"/>
        </w:rPr>
        <w:t>25</w:t>
      </w:r>
      <w:r>
        <w:rPr>
          <w:spacing w:val="-3"/>
        </w:rPr>
        <w:t>、</w:t>
      </w:r>
      <w:r>
        <w:rPr>
          <w:rFonts w:ascii="Times New Roman" w:hAnsi="Times New Roman" w:cs="Times New Roman" w:eastAsia="Times New Roman" w:hint="default"/>
          <w:spacing w:val="-3"/>
        </w:rPr>
        <w:t>“</w:t>
      </w:r>
      <w:r>
        <w:rPr>
          <w:spacing w:val="-3"/>
        </w:rPr>
        <w:t>收入</w:t>
      </w:r>
      <w:r>
        <w:rPr>
          <w:rFonts w:ascii="Times New Roman" w:hAnsi="Times New Roman" w:cs="Times New Roman" w:eastAsia="Times New Roman" w:hint="default"/>
          <w:spacing w:val="-3"/>
        </w:rPr>
        <w:t>”</w:t>
      </w:r>
      <w:r>
        <w:rPr>
          <w:spacing w:val="-3"/>
        </w:rPr>
        <w:t>所述方法进行确认的，在执行各该建造合同的各会计年度内累积计算。</w:t>
      </w:r>
      <w:r>
        <w:rPr>
          <w:spacing w:val="30"/>
        </w:rPr>
        <w:t> </w:t>
      </w:r>
      <w:r>
        <w:rPr>
          <w:spacing w:val="30"/>
        </w:rPr>
      </w:r>
      <w:r>
        <w:rPr>
          <w:spacing w:val="-5"/>
        </w:rPr>
        <w:t>在确定完工百分比、已发生的合同成本、预计合同总收入和总成本，以及合同可回收性时，需要作出重大判断。项目管</w:t>
      </w:r>
    </w:p>
    <w:p>
      <w:pPr>
        <w:pStyle w:val="BodyText"/>
        <w:spacing w:line="316" w:lineRule="auto" w:before="31"/>
        <w:ind w:right="0"/>
        <w:jc w:val="left"/>
      </w:pPr>
      <w:r>
        <w:rPr>
          <w:spacing w:val="-4"/>
        </w:rPr>
        <w:t>理层主要依靠过去的经验和工作作出判断。预计合同总收入和总成本，以及合同执行结果的估计变更都可能对变更当期或以</w:t>
      </w:r>
      <w:r>
        <w:rPr>
          <w:spacing w:val="43"/>
        </w:rPr>
        <w:t> </w:t>
      </w:r>
      <w:r>
        <w:rPr>
          <w:spacing w:val="43"/>
        </w:rPr>
      </w:r>
      <w:r>
        <w:rPr>
          <w:spacing w:val="-3"/>
        </w:rPr>
        <w:t>后期间的营业收入、营业成本，以及期间损益产生影响，且可能构成重大影响。</w:t>
      </w:r>
    </w:p>
    <w:p>
      <w:pPr>
        <w:pStyle w:val="BodyText"/>
        <w:spacing w:line="300" w:lineRule="auto" w:before="19"/>
        <w:ind w:left="513" w:right="0"/>
        <w:jc w:val="left"/>
      </w:pPr>
      <w:r>
        <w:rPr/>
        <w:t>（</w:t>
      </w:r>
      <w:r>
        <w:rPr>
          <w:rFonts w:ascii="Times New Roman" w:hAnsi="Times New Roman" w:cs="Times New Roman" w:eastAsia="Times New Roman" w:hint="default"/>
        </w:rPr>
        <w:t>2</w:t>
      </w:r>
      <w:r>
        <w:rPr/>
        <w:t>）金融资产减值</w:t>
      </w:r>
      <w:r>
        <w:rPr>
          <w:spacing w:val="-85"/>
        </w:rPr>
        <w:t> </w:t>
      </w:r>
      <w:r>
        <w:rPr>
          <w:spacing w:val="-85"/>
        </w:rPr>
      </w:r>
      <w:r>
        <w:rPr>
          <w:spacing w:val="-4"/>
        </w:rPr>
        <w:t>本公司采用预期信用损失模型对金融工具的减值进行评估，应用预期信用损失模型需要做出重大判断和估计，需考虑所</w:t>
      </w:r>
    </w:p>
    <w:p>
      <w:pPr>
        <w:pStyle w:val="BodyText"/>
        <w:spacing w:line="316" w:lineRule="auto" w:before="31"/>
        <w:ind w:right="0"/>
        <w:jc w:val="left"/>
      </w:pPr>
      <w:r>
        <w:rPr>
          <w:spacing w:val="-3"/>
        </w:rPr>
        <w:t>有合理且有依据的信息，包括前瞻性信息。在做出该等判断和估计时，本公司根据历史数据结合经济政策、宏观经济指标、</w:t>
      </w:r>
      <w:r>
        <w:rPr>
          <w:spacing w:val="66"/>
        </w:rPr>
        <w:t> </w:t>
      </w:r>
      <w:r>
        <w:rPr>
          <w:spacing w:val="66"/>
        </w:rPr>
      </w:r>
      <w:r>
        <w:rPr>
          <w:spacing w:val="-3"/>
        </w:rPr>
        <w:t>行业风险、外部市场环境、技术环境、客户情况的变化等因素推断债务人信用风险的预期变动。</w:t>
      </w:r>
    </w:p>
    <w:p>
      <w:pPr>
        <w:pStyle w:val="BodyText"/>
        <w:spacing w:line="300" w:lineRule="auto" w:before="19"/>
        <w:ind w:left="513" w:right="0"/>
        <w:jc w:val="left"/>
      </w:pPr>
      <w:r>
        <w:rPr/>
        <w:t>（</w:t>
      </w:r>
      <w:r>
        <w:rPr>
          <w:rFonts w:ascii="Times New Roman" w:hAnsi="Times New Roman" w:cs="Times New Roman" w:eastAsia="Times New Roman" w:hint="default"/>
        </w:rPr>
        <w:t>3</w:t>
      </w:r>
      <w:r>
        <w:rPr/>
        <w:t>）存货跌价准备</w:t>
      </w:r>
      <w:r>
        <w:rPr>
          <w:spacing w:val="-85"/>
        </w:rPr>
        <w:t> </w:t>
      </w:r>
      <w:r>
        <w:rPr>
          <w:spacing w:val="-85"/>
        </w:rPr>
      </w:r>
      <w:r>
        <w:rPr>
          <w:spacing w:val="-4"/>
        </w:rPr>
        <w:t>本公司根据存货会计政策，按照成本与可变现净值孰低计量，对成本高于可变现净值及陈旧和滞销的存货，计提存货跌</w:t>
      </w:r>
    </w:p>
    <w:p>
      <w:pPr>
        <w:pStyle w:val="BodyText"/>
        <w:spacing w:line="316" w:lineRule="auto" w:before="32"/>
        <w:ind w:right="1123"/>
        <w:jc w:val="both"/>
      </w:pPr>
      <w:r>
        <w:rPr>
          <w:spacing w:val="-4"/>
        </w:rPr>
        <w:t>价准备。存货减值至可变现净值是基于评估存货的可售性及其可变现净值。鉴定存货减值要求管理层在取得确凿证据，并且</w:t>
      </w:r>
      <w:r>
        <w:rPr>
          <w:spacing w:val="43"/>
        </w:rPr>
        <w:t> </w:t>
      </w:r>
      <w:r>
        <w:rPr>
          <w:spacing w:val="43"/>
        </w:rPr>
      </w:r>
      <w:r>
        <w:rPr>
          <w:spacing w:val="-4"/>
        </w:rPr>
        <w:t>考虑持有存货的目的、资产负债表日后事项的影响等因素的基础上作出判断和估计。实际的结果与原先估计的差异将在估计</w:t>
      </w:r>
      <w:r>
        <w:rPr>
          <w:spacing w:val="42"/>
        </w:rPr>
        <w:t> </w:t>
      </w:r>
      <w:r>
        <w:rPr>
          <w:spacing w:val="42"/>
        </w:rPr>
      </w:r>
      <w:r>
        <w:rPr>
          <w:spacing w:val="-3"/>
        </w:rPr>
        <w:t>被改变的期间影响存货的账面价值及存货跌价准备的计提或转回。</w:t>
      </w:r>
    </w:p>
    <w:p>
      <w:pPr>
        <w:pStyle w:val="BodyText"/>
        <w:spacing w:line="240" w:lineRule="auto" w:before="19"/>
        <w:ind w:left="513" w:right="0"/>
        <w:jc w:val="left"/>
      </w:pPr>
      <w:r>
        <w:rPr/>
        <w:t>（</w:t>
      </w:r>
      <w:r>
        <w:rPr>
          <w:rFonts w:ascii="Times New Roman" w:hAnsi="Times New Roman" w:cs="Times New Roman" w:eastAsia="Times New Roman" w:hint="default"/>
        </w:rPr>
        <w:t>4</w:t>
      </w:r>
      <w:r>
        <w:rPr/>
        <w:t>）金融工具公允价值</w:t>
      </w:r>
    </w:p>
    <w:p>
      <w:pPr>
        <w:spacing w:after="0" w:line="240" w:lineRule="auto"/>
        <w:jc w:val="left"/>
        <w:sectPr>
          <w:pgSz w:w="11910" w:h="16840"/>
          <w:pgMar w:header="784" w:footer="1022" w:top="1100" w:bottom="1220" w:left="980" w:right="0"/>
        </w:sectPr>
      </w:pPr>
    </w:p>
    <w:p>
      <w:pPr>
        <w:spacing w:line="240" w:lineRule="auto" w:before="10"/>
        <w:rPr>
          <w:rFonts w:ascii="宋体" w:hAnsi="宋体" w:cs="宋体" w:eastAsia="宋体" w:hint="default"/>
          <w:sz w:val="22"/>
          <w:szCs w:val="22"/>
        </w:rPr>
      </w:pPr>
    </w:p>
    <w:p>
      <w:pPr>
        <w:pStyle w:val="BodyText"/>
        <w:spacing w:line="319" w:lineRule="auto"/>
        <w:ind w:right="1123" w:firstLine="360"/>
        <w:jc w:val="both"/>
      </w:pPr>
      <w:r>
        <w:rPr>
          <w:spacing w:val="-4"/>
        </w:rPr>
        <w:t>对不存在活跃交易市场的金融工具，本集团通过各种估值方法确定其公允价值。这些估值方法包括贴现现金流模型分析</w:t>
      </w:r>
      <w:r>
        <w:rPr>
          <w:w w:val="101"/>
        </w:rPr>
        <w:t> </w:t>
      </w:r>
      <w:r>
        <w:rPr>
          <w:spacing w:val="-4"/>
        </w:rPr>
        <w:t>等。估值时本集团需对未来现金流量、信用风险、市场波动率和相关性等方面进行估计，并选择适当的折现率。这些相关假</w:t>
      </w:r>
      <w:r>
        <w:rPr>
          <w:spacing w:val="40"/>
        </w:rPr>
        <w:t> </w:t>
      </w:r>
      <w:r>
        <w:rPr>
          <w:spacing w:val="40"/>
        </w:rPr>
      </w:r>
      <w:r>
        <w:rPr>
          <w:spacing w:val="-4"/>
        </w:rPr>
        <w:t>设具有不确定性，其变化会对金融工具的公允价值产生影响。权益工具投资或合同有公开报价的，本集团不将成本作为其公</w:t>
      </w:r>
      <w:r>
        <w:rPr>
          <w:spacing w:val="43"/>
        </w:rPr>
        <w:t> </w:t>
      </w:r>
      <w:r>
        <w:rPr>
          <w:spacing w:val="43"/>
        </w:rPr>
      </w:r>
      <w:r>
        <w:rPr>
          <w:spacing w:val="-3"/>
        </w:rPr>
        <w:t>允价值的最佳估计。</w:t>
      </w:r>
    </w:p>
    <w:p>
      <w:pPr>
        <w:pStyle w:val="BodyText"/>
        <w:spacing w:line="300" w:lineRule="auto" w:before="17"/>
        <w:ind w:left="513" w:right="0"/>
        <w:jc w:val="left"/>
      </w:pPr>
      <w:r>
        <w:rPr/>
        <w:t>（</w:t>
      </w:r>
      <w:r>
        <w:rPr>
          <w:rFonts w:ascii="Times New Roman" w:hAnsi="Times New Roman" w:cs="Times New Roman" w:eastAsia="Times New Roman" w:hint="default"/>
        </w:rPr>
        <w:t>5</w:t>
      </w:r>
      <w:r>
        <w:rPr/>
        <w:t>）长期资产减值准备</w:t>
      </w:r>
      <w:r>
        <w:rPr>
          <w:spacing w:val="-85"/>
        </w:rPr>
        <w:t> </w:t>
      </w:r>
      <w:r>
        <w:rPr>
          <w:spacing w:val="-85"/>
        </w:rPr>
      </w:r>
      <w:r>
        <w:rPr>
          <w:spacing w:val="-5"/>
          <w:w w:val="101"/>
        </w:rPr>
        <w:t>本公司于资产负债表日对除金融资产之外的非流动资产判断是否存在可能发生减值的迹象。对使用寿命不确定的无形资</w:t>
      </w:r>
      <w:r>
        <w:rPr>
          <w:spacing w:val="-5"/>
        </w:rPr>
      </w:r>
    </w:p>
    <w:p>
      <w:pPr>
        <w:pStyle w:val="BodyText"/>
        <w:spacing w:line="316" w:lineRule="auto" w:before="31"/>
        <w:ind w:right="0"/>
        <w:jc w:val="left"/>
      </w:pPr>
      <w:r>
        <w:rPr>
          <w:spacing w:val="-4"/>
        </w:rPr>
        <w:t>产，除每年进行的减值测试外，当其存在减值迹象时，也进行减值测试。其他除金融资产之外的非流动资产，当存在迹象表</w:t>
      </w:r>
      <w:r>
        <w:rPr>
          <w:spacing w:val="40"/>
        </w:rPr>
        <w:t> </w:t>
      </w:r>
      <w:r>
        <w:rPr>
          <w:spacing w:val="40"/>
        </w:rPr>
      </w:r>
      <w:r>
        <w:rPr>
          <w:spacing w:val="-3"/>
        </w:rPr>
        <w:t>明其账面金额不可收回时，进行减值测试。</w:t>
      </w:r>
    </w:p>
    <w:p>
      <w:pPr>
        <w:pStyle w:val="BodyText"/>
        <w:spacing w:line="319" w:lineRule="auto" w:before="19"/>
        <w:ind w:right="1130" w:firstLine="360"/>
        <w:jc w:val="both"/>
      </w:pPr>
      <w:r>
        <w:rPr>
          <w:spacing w:val="-1"/>
        </w:rPr>
        <w:t>当资产或资产组的账面价值高于可收回金额，即公允价值减去处置费用后的净额和预计未来现金流量的现值中的较高</w:t>
      </w:r>
      <w:r>
        <w:rPr>
          <w:w w:val="101"/>
        </w:rPr>
        <w:t> </w:t>
      </w:r>
      <w:r>
        <w:rPr/>
        <w:t>者，表明发生了减值。</w:t>
      </w:r>
    </w:p>
    <w:p>
      <w:pPr>
        <w:pStyle w:val="BodyText"/>
        <w:spacing w:line="316" w:lineRule="auto" w:before="17"/>
        <w:ind w:right="1122" w:firstLine="360"/>
        <w:jc w:val="both"/>
      </w:pPr>
      <w:r>
        <w:rPr>
          <w:spacing w:val="-4"/>
        </w:rPr>
        <w:t>公允价值减去处置费用后的净额，参考公平交易中类似资产的销售协议价格或可观察到的市场价格，减去可直接归属于</w:t>
      </w:r>
      <w:r>
        <w:rPr>
          <w:w w:val="101"/>
        </w:rPr>
        <w:t> </w:t>
      </w:r>
      <w:r>
        <w:rPr>
          <w:spacing w:val="-3"/>
        </w:rPr>
        <w:t>该资产处置的增量成本确定。</w:t>
      </w:r>
    </w:p>
    <w:p>
      <w:pPr>
        <w:pStyle w:val="BodyText"/>
        <w:spacing w:line="319" w:lineRule="auto" w:before="19"/>
        <w:ind w:right="0" w:firstLine="360"/>
        <w:jc w:val="left"/>
      </w:pPr>
      <w:r>
        <w:rPr>
          <w:spacing w:val="-5"/>
        </w:rPr>
        <w:t>在预计未来现金流量现值时，需要对该资产（或资产组）的产量、售价、相关经营成本以及计算现值时使用的折现率等</w:t>
      </w:r>
      <w:r>
        <w:rPr>
          <w:w w:val="101"/>
        </w:rPr>
        <w:t> </w:t>
      </w:r>
      <w:r>
        <w:rPr>
          <w:spacing w:val="-6"/>
          <w:w w:val="101"/>
        </w:rPr>
        <w:t>作出重大判断。本公司在估计可收回金额时会采用所有能够获得的相关资料，包括根据合理和可支持的假设所作出有关产量、</w:t>
      </w:r>
      <w:r>
        <w:rPr>
          <w:spacing w:val="-71"/>
          <w:w w:val="101"/>
        </w:rPr>
        <w:t> </w:t>
      </w:r>
      <w:r>
        <w:rPr>
          <w:spacing w:val="-71"/>
          <w:w w:val="101"/>
        </w:rPr>
      </w:r>
      <w:r>
        <w:rPr>
          <w:spacing w:val="-3"/>
        </w:rPr>
        <w:t>售价和相关经营成本的预测。</w:t>
      </w:r>
    </w:p>
    <w:p>
      <w:pPr>
        <w:pStyle w:val="BodyText"/>
        <w:spacing w:line="316" w:lineRule="auto" w:before="17"/>
        <w:ind w:right="1124" w:firstLine="360"/>
        <w:jc w:val="both"/>
      </w:pPr>
      <w:r>
        <w:rPr>
          <w:spacing w:val="-1"/>
        </w:rPr>
        <w:t>本公司至少每年测试商誉是否发生减值。这要求对分配了商誉的资产组或者资产组组合的未来现金流量的现值进行预</w:t>
      </w:r>
      <w:r>
        <w:rPr>
          <w:w w:val="101"/>
        </w:rPr>
        <w:t> </w:t>
      </w:r>
      <w:r>
        <w:rPr>
          <w:spacing w:val="-4"/>
        </w:rPr>
        <w:t>计。对未来现金流量的现值进行预计时，本公司需要预计未来资产组或者资产组组合产生的现金流量，同时选择恰当的折现</w:t>
      </w:r>
      <w:r>
        <w:rPr>
          <w:spacing w:val="43"/>
        </w:rPr>
        <w:t> </w:t>
      </w:r>
      <w:r>
        <w:rPr>
          <w:spacing w:val="43"/>
        </w:rPr>
      </w:r>
      <w:r>
        <w:rPr>
          <w:spacing w:val="-3"/>
        </w:rPr>
        <w:t>率确定未来现金流量的现值。</w:t>
      </w:r>
    </w:p>
    <w:p>
      <w:pPr>
        <w:pStyle w:val="BodyText"/>
        <w:spacing w:line="300" w:lineRule="auto" w:before="19"/>
        <w:ind w:left="513" w:right="0"/>
        <w:jc w:val="left"/>
      </w:pPr>
      <w:r>
        <w:rPr/>
        <w:t>（</w:t>
      </w:r>
      <w:r>
        <w:rPr>
          <w:rFonts w:ascii="Times New Roman" w:hAnsi="Times New Roman" w:cs="Times New Roman" w:eastAsia="Times New Roman" w:hint="default"/>
        </w:rPr>
        <w:t>6</w:t>
      </w:r>
      <w:r>
        <w:rPr/>
        <w:t>）折旧和摊销</w:t>
      </w:r>
      <w:r>
        <w:rPr>
          <w:spacing w:val="-87"/>
        </w:rPr>
        <w:t> </w:t>
      </w:r>
      <w:r>
        <w:rPr>
          <w:spacing w:val="-87"/>
        </w:rPr>
      </w:r>
      <w:r>
        <w:rPr>
          <w:spacing w:val="-4"/>
        </w:rPr>
        <w:t>本公司对投资性房地产、固定资产和无形资产在考虑其残值后，在使用寿命内按直线法计提折旧和摊销。本公司定期复</w:t>
      </w:r>
    </w:p>
    <w:p>
      <w:pPr>
        <w:pStyle w:val="BodyText"/>
        <w:spacing w:line="316" w:lineRule="auto" w:before="31"/>
        <w:ind w:right="0"/>
        <w:jc w:val="left"/>
      </w:pPr>
      <w:r>
        <w:rPr>
          <w:spacing w:val="-4"/>
        </w:rPr>
        <w:t>核使用寿命，以决定将计入每个报告期的折旧和摊销费用数额。使用寿命是本公司根据对同类资产的以往经验并结合预期的</w:t>
      </w:r>
      <w:r>
        <w:rPr>
          <w:spacing w:val="42"/>
        </w:rPr>
        <w:t> </w:t>
      </w:r>
      <w:r>
        <w:rPr>
          <w:spacing w:val="42"/>
        </w:rPr>
      </w:r>
      <w:r>
        <w:rPr>
          <w:spacing w:val="-3"/>
        </w:rPr>
        <w:t>技术更新而确定的。如果以前的估计发生重大变化，则会在未来期间对折旧和摊销费用进行调整。</w:t>
      </w:r>
    </w:p>
    <w:p>
      <w:pPr>
        <w:pStyle w:val="BodyText"/>
        <w:spacing w:line="300" w:lineRule="auto" w:before="19"/>
        <w:ind w:left="513" w:right="1120"/>
        <w:jc w:val="left"/>
      </w:pPr>
      <w:r>
        <w:rPr/>
        <w:t>（</w:t>
      </w:r>
      <w:r>
        <w:rPr>
          <w:rFonts w:ascii="Times New Roman" w:hAnsi="Times New Roman" w:cs="Times New Roman" w:eastAsia="Times New Roman" w:hint="default"/>
        </w:rPr>
        <w:t>7</w:t>
      </w:r>
      <w:r>
        <w:rPr/>
        <w:t>）开发支出</w:t>
      </w:r>
      <w:r>
        <w:rPr>
          <w:spacing w:val="-85"/>
        </w:rPr>
        <w:t> </w:t>
      </w:r>
      <w:r>
        <w:rPr>
          <w:spacing w:val="-85"/>
        </w:rPr>
      </w:r>
      <w:r>
        <w:rPr>
          <w:spacing w:val="-3"/>
        </w:rPr>
        <w:t>确定资本化的金额时，本公司管理层需要作出有关资产的预计未来现金流量、适用的折现率以及预计受益期间的假设。</w:t>
      </w:r>
    </w:p>
    <w:p>
      <w:pPr>
        <w:pStyle w:val="BodyText"/>
        <w:spacing w:line="300" w:lineRule="auto" w:before="31"/>
        <w:ind w:left="513" w:right="0"/>
        <w:jc w:val="left"/>
      </w:pPr>
      <w:r>
        <w:rPr/>
        <w:t>（</w:t>
      </w:r>
      <w:r>
        <w:rPr>
          <w:rFonts w:ascii="Times New Roman" w:hAnsi="Times New Roman" w:cs="Times New Roman" w:eastAsia="Times New Roman" w:hint="default"/>
        </w:rPr>
        <w:t>8</w:t>
      </w:r>
      <w:r>
        <w:rPr/>
        <w:t>）递延所得税资产</w:t>
      </w:r>
      <w:r>
        <w:rPr>
          <w:spacing w:val="-88"/>
        </w:rPr>
        <w:t> </w:t>
      </w:r>
      <w:r>
        <w:rPr>
          <w:spacing w:val="-88"/>
        </w:rPr>
      </w:r>
      <w:r>
        <w:rPr>
          <w:spacing w:val="-4"/>
        </w:rPr>
        <w:t>在很有可能有足够的应纳税利润来抵扣亏损的限度内，本公司就所有未利用的税务亏损确认递延所得税资产。这需要本</w:t>
      </w:r>
    </w:p>
    <w:p>
      <w:pPr>
        <w:pStyle w:val="BodyText"/>
        <w:spacing w:line="316" w:lineRule="auto" w:before="31"/>
        <w:ind w:right="1120"/>
        <w:jc w:val="left"/>
      </w:pPr>
      <w:r>
        <w:rPr>
          <w:spacing w:val="-5"/>
        </w:rPr>
        <w:t>公司管理层运用大量的判断来估计未来应纳税利润发生的时间和金额，结合纳税筹划策略，以决定应确认的递延所得税资产</w:t>
      </w:r>
      <w:r>
        <w:rPr>
          <w:spacing w:val="6"/>
        </w:rPr>
        <w:t> </w:t>
      </w:r>
      <w:r>
        <w:rPr>
          <w:spacing w:val="6"/>
        </w:rPr>
      </w:r>
      <w:r>
        <w:rPr/>
        <w:t>的金额。</w:t>
      </w:r>
    </w:p>
    <w:p>
      <w:pPr>
        <w:pStyle w:val="BodyText"/>
        <w:spacing w:line="300" w:lineRule="auto" w:before="19"/>
        <w:ind w:left="513" w:right="1120"/>
        <w:jc w:val="left"/>
      </w:pPr>
      <w:r>
        <w:rPr/>
        <w:t>（</w:t>
      </w:r>
      <w:r>
        <w:rPr>
          <w:rFonts w:ascii="Times New Roman" w:hAnsi="Times New Roman" w:cs="Times New Roman" w:eastAsia="Times New Roman" w:hint="default"/>
        </w:rPr>
        <w:t>9</w:t>
      </w:r>
      <w:r>
        <w:rPr/>
        <w:t>）所得税</w:t>
      </w:r>
      <w:r>
        <w:rPr>
          <w:spacing w:val="-87"/>
        </w:rPr>
        <w:t> </w:t>
      </w:r>
      <w:r>
        <w:rPr>
          <w:spacing w:val="-87"/>
        </w:rPr>
      </w:r>
      <w:r>
        <w:rPr>
          <w:spacing w:val="-4"/>
        </w:rPr>
        <w:t>本公司在正常的经营活动中，有部分交易其最终的税务处理和计算存在一定的不确定性。部分项目是否能够在税前列支</w:t>
      </w:r>
    </w:p>
    <w:p>
      <w:pPr>
        <w:pStyle w:val="BodyText"/>
        <w:spacing w:line="316" w:lineRule="auto" w:before="32"/>
        <w:ind w:right="0"/>
        <w:jc w:val="left"/>
      </w:pPr>
      <w:r>
        <w:rPr>
          <w:spacing w:val="-4"/>
        </w:rPr>
        <w:t>需要税收主管机关的审批。如果这些税务事项的最终认定结果同最初估计的金额存在差异，则该差异将对其最终认定期间的</w:t>
      </w:r>
      <w:r>
        <w:rPr>
          <w:spacing w:val="43"/>
        </w:rPr>
        <w:t> </w:t>
      </w:r>
      <w:r>
        <w:rPr>
          <w:spacing w:val="43"/>
        </w:rPr>
      </w:r>
      <w:r>
        <w:rPr>
          <w:spacing w:val="-3"/>
        </w:rPr>
        <w:t>当期所得税和递延所得税产生影响。</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Heading4"/>
        <w:spacing w:line="240" w:lineRule="auto" w:before="136"/>
        <w:ind w:right="0"/>
        <w:jc w:val="left"/>
        <w:rPr>
          <w:b w:val="0"/>
          <w:bCs w:val="0"/>
        </w:rPr>
      </w:pPr>
      <w:bookmarkStart w:name="44、重要会计政策和会计估计变更" w:id="228"/>
      <w:bookmarkEnd w:id="228"/>
      <w:r>
        <w:rPr>
          <w:b w:val="0"/>
          <w:bCs w:val="0"/>
        </w:rPr>
      </w:r>
      <w:r>
        <w:rPr>
          <w:rFonts w:ascii="Times New Roman" w:hAnsi="Times New Roman" w:cs="Times New Roman" w:eastAsia="Times New Roman" w:hint="default"/>
        </w:rPr>
        <w:t>44</w:t>
      </w:r>
      <w:r>
        <w:rPr/>
        <w:t>、重要会计政策和会计估计变更</w:t>
      </w:r>
      <w:r>
        <w:rPr>
          <w:b w:val="0"/>
          <w:bCs w:val="0"/>
        </w:rPr>
      </w:r>
    </w:p>
    <w:p>
      <w:pPr>
        <w:spacing w:line="240" w:lineRule="auto" w:before="5"/>
        <w:rPr>
          <w:rFonts w:ascii="宋体" w:hAnsi="宋体" w:cs="宋体" w:eastAsia="宋体" w:hint="default"/>
          <w:b/>
          <w:bCs/>
          <w:sz w:val="24"/>
          <w:szCs w:val="24"/>
        </w:rPr>
      </w:pPr>
    </w:p>
    <w:p>
      <w:pPr>
        <w:pStyle w:val="Heading4"/>
        <w:spacing w:line="240" w:lineRule="auto"/>
        <w:ind w:right="0"/>
        <w:jc w:val="left"/>
        <w:rPr>
          <w:b w:val="0"/>
          <w:bCs w:val="0"/>
        </w:rPr>
      </w:pPr>
      <w:bookmarkStart w:name="（1）重要会计政策变更" w:id="229"/>
      <w:bookmarkEnd w:id="229"/>
      <w:r>
        <w:rPr>
          <w:b w:val="0"/>
          <w:bCs w:val="0"/>
        </w:rPr>
      </w:r>
      <w:r>
        <w:rPr/>
        <w:t>（</w:t>
      </w:r>
      <w:r>
        <w:rPr>
          <w:rFonts w:ascii="Times New Roman" w:hAnsi="Times New Roman" w:cs="Times New Roman" w:eastAsia="Times New Roman" w:hint="default"/>
        </w:rPr>
        <w:t>1</w:t>
      </w:r>
      <w:r>
        <w:rPr/>
        <w:t>）重要会计政策变更</w:t>
      </w:r>
      <w:r>
        <w:rPr>
          <w:b w:val="0"/>
          <w:bCs w:val="0"/>
        </w:rPr>
      </w:r>
    </w:p>
    <w:p>
      <w:pPr>
        <w:spacing w:line="240" w:lineRule="auto" w:before="1"/>
        <w:rPr>
          <w:rFonts w:ascii="宋体" w:hAnsi="宋体" w:cs="宋体" w:eastAsia="宋体" w:hint="default"/>
          <w:b/>
          <w:bCs/>
          <w:sz w:val="27"/>
          <w:szCs w:val="27"/>
        </w:rPr>
      </w:pPr>
    </w:p>
    <w:p>
      <w:pPr>
        <w:pStyle w:val="BodyText"/>
        <w:spacing w:line="240" w:lineRule="auto" w:before="0"/>
        <w:ind w:right="0"/>
        <w:jc w:val="left"/>
      </w:pPr>
      <w:r>
        <w:rPr/>
        <w:t>√ </w:t>
      </w:r>
      <w:r>
        <w:rPr>
          <w:spacing w:val="-3"/>
        </w:rPr>
        <w:t>适用 </w:t>
      </w:r>
      <w:r>
        <w:rPr/>
        <w:t>□</w:t>
      </w:r>
      <w:r>
        <w:rPr>
          <w:spacing w:val="13"/>
        </w:rPr>
        <w:t> </w:t>
      </w:r>
      <w:r>
        <w:rPr/>
        <w:t>不适用</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93"/>
        <w:gridCol w:w="3189"/>
        <w:gridCol w:w="3193"/>
      </w:tblGrid>
      <w:tr>
        <w:trPr>
          <w:trHeight w:val="403" w:hRule="exact"/>
        </w:trPr>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13" w:right="0"/>
              <w:jc w:val="left"/>
              <w:rPr>
                <w:rFonts w:ascii="宋体" w:hAnsi="宋体" w:cs="宋体" w:eastAsia="宋体" w:hint="default"/>
                <w:sz w:val="18"/>
                <w:szCs w:val="18"/>
              </w:rPr>
            </w:pPr>
            <w:r>
              <w:rPr>
                <w:rFonts w:ascii="宋体" w:hAnsi="宋体" w:cs="宋体" w:eastAsia="宋体" w:hint="default"/>
                <w:spacing w:val="-3"/>
                <w:sz w:val="18"/>
                <w:szCs w:val="18"/>
              </w:rPr>
              <w:t>会计政策变更的内容和原因</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审批程序</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备注</w:t>
            </w:r>
          </w:p>
        </w:tc>
      </w:tr>
      <w:tr>
        <w:trPr>
          <w:trHeight w:val="1301" w:hRule="exact"/>
        </w:trPr>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3"/>
              <w:ind w:left="105" w:right="95"/>
              <w:jc w:val="left"/>
              <w:rPr>
                <w:rFonts w:ascii="宋体" w:hAnsi="宋体" w:cs="宋体" w:eastAsia="宋体" w:hint="default"/>
                <w:sz w:val="18"/>
                <w:szCs w:val="18"/>
              </w:rPr>
            </w:pPr>
            <w:r>
              <w:rPr>
                <w:rFonts w:ascii="宋体" w:hAnsi="宋体" w:cs="宋体" w:eastAsia="宋体" w:hint="default"/>
                <w:spacing w:val="-3"/>
                <w:sz w:val="18"/>
                <w:szCs w:val="18"/>
              </w:rPr>
              <w:t>①执行新金融工具准则导致的会计政</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12"/>
                <w:w w:val="101"/>
                <w:sz w:val="18"/>
                <w:szCs w:val="18"/>
              </w:rPr>
              <w:t>策变更，财政部于</w:t>
            </w:r>
            <w:r>
              <w:rPr>
                <w:rFonts w:ascii="宋体" w:hAnsi="宋体" w:cs="宋体" w:eastAsia="宋体" w:hint="default"/>
                <w:spacing w:val="-54"/>
                <w:w w:val="101"/>
                <w:sz w:val="18"/>
                <w:szCs w:val="18"/>
              </w:rPr>
              <w:t> </w:t>
            </w:r>
            <w:r>
              <w:rPr>
                <w:rFonts w:ascii="Times New Roman" w:hAnsi="Times New Roman" w:cs="Times New Roman" w:eastAsia="Times New Roman" w:hint="default"/>
                <w:w w:val="101"/>
                <w:sz w:val="18"/>
                <w:szCs w:val="18"/>
              </w:rPr>
              <w:t>2017</w:t>
            </w:r>
            <w:r>
              <w:rPr>
                <w:rFonts w:ascii="Times New Roman" w:hAnsi="Times New Roman" w:cs="Times New Roman" w:eastAsia="Times New Roman" w:hint="default"/>
                <w:spacing w:val="-3"/>
                <w:w w:val="101"/>
                <w:sz w:val="18"/>
                <w:szCs w:val="18"/>
              </w:rPr>
              <w:t> </w:t>
            </w:r>
            <w:r>
              <w:rPr>
                <w:rFonts w:ascii="宋体" w:hAnsi="宋体" w:cs="宋体" w:eastAsia="宋体" w:hint="default"/>
                <w:w w:val="101"/>
                <w:sz w:val="18"/>
                <w:szCs w:val="18"/>
              </w:rPr>
              <w:t>年</w:t>
            </w:r>
            <w:r>
              <w:rPr>
                <w:rFonts w:ascii="宋体" w:hAnsi="宋体" w:cs="宋体" w:eastAsia="宋体" w:hint="default"/>
                <w:spacing w:val="-49"/>
                <w:w w:val="101"/>
                <w:sz w:val="18"/>
                <w:szCs w:val="18"/>
              </w:rPr>
              <w:t> </w:t>
            </w:r>
            <w:r>
              <w:rPr>
                <w:rFonts w:ascii="Times New Roman" w:hAnsi="Times New Roman" w:cs="Times New Roman" w:eastAsia="Times New Roman" w:hint="default"/>
                <w:w w:val="101"/>
                <w:sz w:val="18"/>
                <w:szCs w:val="18"/>
              </w:rPr>
              <w:t>3</w:t>
            </w:r>
            <w:r>
              <w:rPr>
                <w:rFonts w:ascii="Times New Roman" w:hAnsi="Times New Roman" w:cs="Times New Roman" w:eastAsia="Times New Roman" w:hint="default"/>
                <w:spacing w:val="-3"/>
                <w:w w:val="101"/>
                <w:sz w:val="18"/>
                <w:szCs w:val="18"/>
              </w:rPr>
              <w:t> </w:t>
            </w:r>
            <w:r>
              <w:rPr>
                <w:rFonts w:ascii="宋体" w:hAnsi="宋体" w:cs="宋体" w:eastAsia="宋体" w:hint="default"/>
                <w:w w:val="101"/>
                <w:sz w:val="18"/>
                <w:szCs w:val="18"/>
              </w:rPr>
              <w:t>月</w:t>
            </w:r>
            <w:r>
              <w:rPr>
                <w:rFonts w:ascii="宋体" w:hAnsi="宋体" w:cs="宋体" w:eastAsia="宋体" w:hint="default"/>
                <w:spacing w:val="-49"/>
                <w:w w:val="101"/>
                <w:sz w:val="18"/>
                <w:szCs w:val="18"/>
              </w:rPr>
              <w:t> </w:t>
            </w:r>
            <w:r>
              <w:rPr>
                <w:rFonts w:ascii="Times New Roman" w:hAnsi="Times New Roman" w:cs="Times New Roman" w:eastAsia="Times New Roman" w:hint="default"/>
                <w:w w:val="101"/>
                <w:sz w:val="18"/>
                <w:szCs w:val="18"/>
              </w:rPr>
              <w:t>31</w:t>
            </w:r>
            <w:r>
              <w:rPr>
                <w:rFonts w:ascii="Times New Roman" w:hAnsi="Times New Roman" w:cs="Times New Roman" w:eastAsia="Times New Roman" w:hint="default"/>
                <w:spacing w:val="-8"/>
                <w:w w:val="101"/>
                <w:sz w:val="18"/>
                <w:szCs w:val="18"/>
              </w:rPr>
              <w:t> </w:t>
            </w:r>
            <w:r>
              <w:rPr>
                <w:rFonts w:ascii="宋体" w:hAnsi="宋体" w:cs="宋体" w:eastAsia="宋体" w:hint="default"/>
                <w:w w:val="101"/>
                <w:sz w:val="18"/>
                <w:szCs w:val="18"/>
              </w:rPr>
              <w:t>日分</w:t>
            </w:r>
            <w:r>
              <w:rPr>
                <w:rFonts w:ascii="宋体" w:hAnsi="宋体" w:cs="宋体" w:eastAsia="宋体" w:hint="default"/>
                <w:sz w:val="18"/>
                <w:szCs w:val="18"/>
              </w:rPr>
            </w:r>
          </w:p>
          <w:p>
            <w:pPr>
              <w:pStyle w:val="TableParagraph"/>
              <w:spacing w:line="300" w:lineRule="auto"/>
              <w:ind w:left="105" w:right="2"/>
              <w:jc w:val="left"/>
              <w:rPr>
                <w:rFonts w:ascii="宋体" w:hAnsi="宋体" w:cs="宋体" w:eastAsia="宋体" w:hint="default"/>
                <w:sz w:val="18"/>
                <w:szCs w:val="18"/>
              </w:rPr>
            </w:pPr>
            <w:r>
              <w:rPr>
                <w:rFonts w:ascii="宋体" w:hAnsi="宋体" w:cs="宋体" w:eastAsia="宋体" w:hint="default"/>
                <w:spacing w:val="-3"/>
                <w:sz w:val="18"/>
                <w:szCs w:val="18"/>
              </w:rPr>
              <w:t>别发布了《企业会计准则第</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号——</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pacing w:val="-4"/>
                <w:sz w:val="18"/>
                <w:szCs w:val="18"/>
              </w:rPr>
              <w:t>金融工具确认和计量（</w:t>
            </w:r>
            <w:r>
              <w:rPr>
                <w:rFonts w:ascii="Times New Roman" w:hAnsi="Times New Roman" w:cs="Times New Roman" w:eastAsia="Times New Roman" w:hint="default"/>
                <w:spacing w:val="-4"/>
                <w:sz w:val="18"/>
                <w:szCs w:val="18"/>
              </w:rPr>
              <w:t>2017 </w:t>
            </w:r>
            <w:r>
              <w:rPr>
                <w:rFonts w:ascii="Times New Roman" w:hAnsi="Times New Roman" w:cs="Times New Roman" w:eastAsia="Times New Roman" w:hint="default"/>
                <w:spacing w:val="8"/>
                <w:sz w:val="18"/>
                <w:szCs w:val="18"/>
              </w:rPr>
              <w:t> </w:t>
            </w:r>
            <w:r>
              <w:rPr>
                <w:rFonts w:ascii="宋体" w:hAnsi="宋体" w:cs="宋体" w:eastAsia="宋体" w:hint="default"/>
                <w:spacing w:val="-6"/>
                <w:sz w:val="18"/>
                <w:szCs w:val="18"/>
              </w:rPr>
              <w:t>年修订）》</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309" w:lineRule="auto"/>
              <w:ind w:left="106" w:right="94"/>
              <w:jc w:val="both"/>
              <w:rPr>
                <w:rFonts w:ascii="宋体" w:hAnsi="宋体" w:cs="宋体" w:eastAsia="宋体" w:hint="default"/>
                <w:sz w:val="18"/>
                <w:szCs w:val="18"/>
              </w:rPr>
            </w:pPr>
            <w:r>
              <w:rPr>
                <w:rFonts w:ascii="宋体" w:hAnsi="宋体" w:cs="宋体" w:eastAsia="宋体" w:hint="default"/>
                <w:sz w:val="18"/>
                <w:szCs w:val="18"/>
              </w:rPr>
              <w:t>本公司于</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日召开第三届</w:t>
            </w:r>
            <w:r>
              <w:rPr>
                <w:rFonts w:ascii="宋体" w:hAnsi="宋体" w:cs="宋体" w:eastAsia="宋体" w:hint="default"/>
                <w:w w:val="101"/>
                <w:sz w:val="18"/>
                <w:szCs w:val="18"/>
              </w:rPr>
              <w:t> </w:t>
            </w:r>
            <w:r>
              <w:rPr>
                <w:rFonts w:ascii="宋体" w:hAnsi="宋体" w:cs="宋体" w:eastAsia="宋体" w:hint="default"/>
                <w:spacing w:val="-8"/>
                <w:sz w:val="18"/>
                <w:szCs w:val="18"/>
              </w:rPr>
              <w:t>董事会第三十五次会议，审议通过《关</w:t>
            </w:r>
            <w:r>
              <w:rPr>
                <w:rFonts w:ascii="宋体" w:hAnsi="宋体" w:cs="宋体" w:eastAsia="宋体" w:hint="default"/>
                <w:spacing w:val="-42"/>
                <w:sz w:val="18"/>
                <w:szCs w:val="18"/>
              </w:rPr>
              <w:t> </w:t>
            </w:r>
            <w:r>
              <w:rPr>
                <w:rFonts w:ascii="宋体" w:hAnsi="宋体" w:cs="宋体" w:eastAsia="宋体" w:hint="default"/>
                <w:spacing w:val="-42"/>
                <w:sz w:val="18"/>
                <w:szCs w:val="18"/>
              </w:rPr>
            </w:r>
            <w:r>
              <w:rPr>
                <w:rFonts w:ascii="宋体" w:hAnsi="宋体" w:cs="宋体" w:eastAsia="宋体" w:hint="default"/>
                <w:spacing w:val="-3"/>
                <w:sz w:val="18"/>
                <w:szCs w:val="18"/>
              </w:rPr>
              <w:t>于会计政策变更的议案》</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3"/>
              <w:ind w:left="105" w:right="99"/>
              <w:jc w:val="left"/>
              <w:rPr>
                <w:rFonts w:ascii="宋体" w:hAnsi="宋体" w:cs="宋体" w:eastAsia="宋体" w:hint="default"/>
                <w:sz w:val="18"/>
                <w:szCs w:val="18"/>
              </w:rPr>
            </w:pPr>
            <w:r>
              <w:rPr>
                <w:rFonts w:ascii="宋体" w:hAnsi="宋体" w:cs="宋体" w:eastAsia="宋体" w:hint="default"/>
                <w:spacing w:val="-3"/>
                <w:sz w:val="18"/>
                <w:szCs w:val="18"/>
              </w:rPr>
              <w:t>在新金融工具准则下所有已确认金融</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8"/>
                <w:w w:val="101"/>
                <w:sz w:val="18"/>
                <w:szCs w:val="18"/>
              </w:rPr>
              <w:t>资产，其后续均按摊余成本或公允价值</w:t>
            </w:r>
            <w:r>
              <w:rPr>
                <w:rFonts w:ascii="宋体" w:hAnsi="宋体" w:cs="宋体" w:eastAsia="宋体" w:hint="default"/>
                <w:spacing w:val="-83"/>
                <w:w w:val="101"/>
                <w:sz w:val="18"/>
                <w:szCs w:val="18"/>
              </w:rPr>
              <w:t> </w:t>
            </w:r>
            <w:r>
              <w:rPr>
                <w:rFonts w:ascii="宋体" w:hAnsi="宋体" w:cs="宋体" w:eastAsia="宋体" w:hint="default"/>
                <w:spacing w:val="-83"/>
                <w:w w:val="101"/>
                <w:sz w:val="18"/>
                <w:szCs w:val="18"/>
              </w:rPr>
            </w:r>
            <w:r>
              <w:rPr>
                <w:rFonts w:ascii="宋体" w:hAnsi="宋体" w:cs="宋体" w:eastAsia="宋体" w:hint="default"/>
                <w:spacing w:val="-8"/>
                <w:sz w:val="18"/>
                <w:szCs w:val="18"/>
              </w:rPr>
              <w:t>计量。在新金融工具准则施行日，以本</w:t>
            </w:r>
            <w:r>
              <w:rPr>
                <w:rFonts w:ascii="宋体" w:hAnsi="宋体" w:cs="宋体" w:eastAsia="宋体" w:hint="default"/>
                <w:spacing w:val="-42"/>
                <w:sz w:val="18"/>
                <w:szCs w:val="18"/>
              </w:rPr>
              <w:t> </w:t>
            </w:r>
            <w:r>
              <w:rPr>
                <w:rFonts w:ascii="宋体" w:hAnsi="宋体" w:cs="宋体" w:eastAsia="宋体" w:hint="default"/>
                <w:spacing w:val="-42"/>
                <w:sz w:val="18"/>
                <w:szCs w:val="18"/>
              </w:rPr>
            </w:r>
            <w:r>
              <w:rPr>
                <w:rFonts w:ascii="宋体" w:hAnsi="宋体" w:cs="宋体" w:eastAsia="宋体" w:hint="default"/>
                <w:spacing w:val="-3"/>
                <w:sz w:val="18"/>
                <w:szCs w:val="18"/>
              </w:rPr>
              <w:t>公司该日既有事实和情况为基础评估</w:t>
            </w:r>
          </w:p>
        </w:tc>
      </w:tr>
    </w:tbl>
    <w:p>
      <w:pPr>
        <w:spacing w:after="0" w:line="319" w:lineRule="auto"/>
        <w:jc w:val="left"/>
        <w:rPr>
          <w:rFonts w:ascii="宋体" w:hAnsi="宋体" w:cs="宋体" w:eastAsia="宋体" w:hint="default"/>
          <w:sz w:val="18"/>
          <w:szCs w:val="18"/>
        </w:rPr>
        <w:sectPr>
          <w:pgSz w:w="11910" w:h="16840"/>
          <w:pgMar w:header="784" w:footer="1022" w:top="1100" w:bottom="1220" w:left="980" w:right="0"/>
        </w:sectPr>
      </w:pPr>
    </w:p>
    <w:p>
      <w:pPr>
        <w:spacing w:line="240" w:lineRule="auto" w:before="7"/>
        <w:rPr>
          <w:rFonts w:ascii="宋体" w:hAnsi="宋体" w:cs="宋体" w:eastAsia="宋体" w:hint="default"/>
          <w:sz w:val="25"/>
          <w:szCs w:val="25"/>
        </w:rPr>
      </w:pPr>
    </w:p>
    <w:tbl>
      <w:tblPr>
        <w:tblW w:w="0" w:type="auto"/>
        <w:jc w:val="left"/>
        <w:tblInd w:w="148" w:type="dxa"/>
        <w:tblLayout w:type="fixed"/>
        <w:tblCellMar>
          <w:top w:w="0" w:type="dxa"/>
          <w:left w:w="0" w:type="dxa"/>
          <w:bottom w:w="0" w:type="dxa"/>
          <w:right w:w="0" w:type="dxa"/>
        </w:tblCellMar>
        <w:tblLook w:val="01E0"/>
      </w:tblPr>
      <w:tblGrid>
        <w:gridCol w:w="3193"/>
        <w:gridCol w:w="3189"/>
        <w:gridCol w:w="3193"/>
      </w:tblGrid>
      <w:tr>
        <w:trPr>
          <w:trHeight w:val="3793" w:hRule="exact"/>
        </w:trPr>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10"/>
              <w:ind w:left="105" w:right="93"/>
              <w:jc w:val="both"/>
              <w:rPr>
                <w:rFonts w:ascii="宋体" w:hAnsi="宋体" w:cs="宋体" w:eastAsia="宋体" w:hint="default"/>
                <w:sz w:val="18"/>
                <w:szCs w:val="18"/>
              </w:rPr>
            </w:pPr>
            <w:r>
              <w:rPr>
                <w:rFonts w:ascii="宋体" w:hAnsi="宋体" w:cs="宋体" w:eastAsia="宋体" w:hint="default"/>
                <w:spacing w:val="-3"/>
                <w:sz w:val="18"/>
                <w:szCs w:val="18"/>
              </w:rPr>
              <w:t>（财会〔</w:t>
            </w:r>
            <w:r>
              <w:rPr>
                <w:rFonts w:ascii="Times New Roman" w:hAnsi="Times New Roman" w:cs="Times New Roman" w:eastAsia="Times New Roman" w:hint="default"/>
                <w:spacing w:val="-3"/>
                <w:sz w:val="18"/>
                <w:szCs w:val="18"/>
              </w:rPr>
              <w:t>2017</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7</w:t>
            </w:r>
            <w:r>
              <w:rPr>
                <w:rFonts w:ascii="Times New Roman" w:hAnsi="Times New Roman" w:cs="Times New Roman" w:eastAsia="Times New Roman" w:hint="default"/>
                <w:spacing w:val="26"/>
                <w:sz w:val="18"/>
                <w:szCs w:val="18"/>
              </w:rPr>
              <w:t> </w:t>
            </w:r>
            <w:r>
              <w:rPr>
                <w:rFonts w:ascii="宋体" w:hAnsi="宋体" w:cs="宋体" w:eastAsia="宋体" w:hint="default"/>
                <w:spacing w:val="-5"/>
                <w:sz w:val="18"/>
                <w:szCs w:val="18"/>
              </w:rPr>
              <w:t>号）、《企业会计准</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则第</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9"/>
                <w:sz w:val="18"/>
                <w:szCs w:val="18"/>
              </w:rPr>
              <w:t> </w:t>
            </w:r>
            <w:r>
              <w:rPr>
                <w:rFonts w:ascii="宋体" w:hAnsi="宋体" w:cs="宋体" w:eastAsia="宋体" w:hint="default"/>
                <w:spacing w:val="-5"/>
                <w:sz w:val="18"/>
                <w:szCs w:val="18"/>
              </w:rPr>
              <w:t>号——金融资产转移（</w:t>
            </w:r>
            <w:r>
              <w:rPr>
                <w:rFonts w:ascii="Times New Roman" w:hAnsi="Times New Roman" w:cs="Times New Roman" w:eastAsia="Times New Roman" w:hint="default"/>
                <w:spacing w:val="-5"/>
                <w:sz w:val="18"/>
                <w:szCs w:val="18"/>
              </w:rPr>
              <w:t>2017</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86"/>
                <w:sz w:val="18"/>
                <w:szCs w:val="18"/>
              </w:rPr>
              <w:t> </w:t>
            </w:r>
            <w:r>
              <w:rPr>
                <w:rFonts w:ascii="宋体" w:hAnsi="宋体" w:cs="宋体" w:eastAsia="宋体" w:hint="default"/>
                <w:spacing w:val="-4"/>
                <w:sz w:val="18"/>
                <w:szCs w:val="18"/>
              </w:rPr>
              <w:t>修订）》（财会〔</w:t>
            </w:r>
            <w:r>
              <w:rPr>
                <w:rFonts w:ascii="Times New Roman" w:hAnsi="Times New Roman" w:cs="Times New Roman" w:eastAsia="Times New Roman" w:hint="default"/>
                <w:spacing w:val="-4"/>
                <w:sz w:val="18"/>
                <w:szCs w:val="18"/>
              </w:rPr>
              <w:t>2017</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8 </w:t>
            </w:r>
            <w:r>
              <w:rPr>
                <w:rFonts w:ascii="宋体" w:hAnsi="宋体" w:cs="宋体" w:eastAsia="宋体" w:hint="default"/>
                <w:spacing w:val="-5"/>
                <w:sz w:val="18"/>
                <w:szCs w:val="18"/>
              </w:rPr>
              <w:t>号）、《企</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业会计准则第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20"/>
                <w:sz w:val="18"/>
                <w:szCs w:val="18"/>
              </w:rPr>
              <w:t> </w:t>
            </w:r>
            <w:r>
              <w:rPr>
                <w:rFonts w:ascii="宋体" w:hAnsi="宋体" w:cs="宋体" w:eastAsia="宋体" w:hint="default"/>
                <w:spacing w:val="-3"/>
                <w:sz w:val="18"/>
                <w:szCs w:val="18"/>
              </w:rPr>
              <w:t>号——套期会计</w:t>
            </w:r>
          </w:p>
          <w:p>
            <w:pPr>
              <w:pStyle w:val="TableParagraph"/>
              <w:spacing w:line="300" w:lineRule="auto" w:before="13"/>
              <w:ind w:left="105" w:right="99"/>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年修订）》（财会〔</w:t>
            </w:r>
            <w:r>
              <w:rPr>
                <w:rFonts w:ascii="Times New Roman" w:hAnsi="Times New Roman" w:cs="Times New Roman" w:eastAsia="Times New Roman" w:hint="default"/>
                <w:sz w:val="18"/>
                <w:szCs w:val="18"/>
              </w:rPr>
              <w:t>2017</w:t>
            </w:r>
            <w:r>
              <w:rPr>
                <w:rFonts w:ascii="宋体" w:hAnsi="宋体" w:cs="宋体" w:eastAsia="宋体" w:hint="default"/>
                <w:sz w:val="18"/>
                <w:szCs w:val="18"/>
              </w:rPr>
              <w:t>〕</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号），于</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日发布了《企</w:t>
            </w:r>
          </w:p>
          <w:p>
            <w:pPr>
              <w:pStyle w:val="TableParagraph"/>
              <w:spacing w:line="240" w:lineRule="auto" w:before="13"/>
              <w:ind w:left="105" w:right="0"/>
              <w:jc w:val="both"/>
              <w:rPr>
                <w:rFonts w:ascii="宋体" w:hAnsi="宋体" w:cs="宋体" w:eastAsia="宋体" w:hint="default"/>
                <w:sz w:val="18"/>
                <w:szCs w:val="18"/>
              </w:rPr>
            </w:pPr>
            <w:r>
              <w:rPr>
                <w:rFonts w:ascii="宋体" w:hAnsi="宋体" w:cs="宋体" w:eastAsia="宋体" w:hint="default"/>
                <w:sz w:val="18"/>
                <w:szCs w:val="18"/>
              </w:rPr>
              <w:t>业会计准则第 </w:t>
            </w:r>
            <w:r>
              <w:rPr>
                <w:rFonts w:ascii="Times New Roman" w:hAnsi="Times New Roman" w:cs="Times New Roman" w:eastAsia="Times New Roman" w:hint="default"/>
                <w:sz w:val="18"/>
                <w:szCs w:val="18"/>
              </w:rPr>
              <w:t>37</w:t>
            </w:r>
            <w:r>
              <w:rPr>
                <w:rFonts w:ascii="Times New Roman" w:hAnsi="Times New Roman" w:cs="Times New Roman" w:eastAsia="Times New Roman" w:hint="default"/>
                <w:spacing w:val="-14"/>
                <w:sz w:val="18"/>
                <w:szCs w:val="18"/>
              </w:rPr>
              <w:t> </w:t>
            </w:r>
            <w:r>
              <w:rPr>
                <w:rFonts w:ascii="宋体" w:hAnsi="宋体" w:cs="宋体" w:eastAsia="宋体" w:hint="default"/>
                <w:spacing w:val="-3"/>
                <w:sz w:val="18"/>
                <w:szCs w:val="18"/>
              </w:rPr>
              <w:t>号——金融工具列报</w:t>
            </w:r>
          </w:p>
          <w:p>
            <w:pPr>
              <w:pStyle w:val="TableParagraph"/>
              <w:spacing w:line="309" w:lineRule="auto" w:before="63"/>
              <w:ind w:left="105" w:right="98"/>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2017 </w:t>
            </w:r>
            <w:r>
              <w:rPr>
                <w:rFonts w:ascii="宋体" w:hAnsi="宋体" w:cs="宋体" w:eastAsia="宋体" w:hint="default"/>
                <w:spacing w:val="-3"/>
                <w:sz w:val="18"/>
                <w:szCs w:val="18"/>
              </w:rPr>
              <w:t>年修订）》（财会〔</w:t>
            </w:r>
            <w:r>
              <w:rPr>
                <w:rFonts w:ascii="Times New Roman" w:hAnsi="Times New Roman" w:cs="Times New Roman" w:eastAsia="Times New Roman" w:hint="default"/>
                <w:spacing w:val="-3"/>
                <w:sz w:val="18"/>
                <w:szCs w:val="18"/>
              </w:rPr>
              <w:t>2017</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14</w:t>
            </w:r>
            <w:r>
              <w:rPr>
                <w:rFonts w:ascii="Times New Roman" w:hAnsi="Times New Roman" w:cs="Times New Roman" w:eastAsia="Times New Roman" w:hint="default"/>
                <w:spacing w:val="-2"/>
                <w:sz w:val="18"/>
                <w:szCs w:val="18"/>
              </w:rPr>
              <w:t> </w:t>
            </w:r>
            <w:r>
              <w:rPr>
                <w:rFonts w:ascii="宋体" w:hAnsi="宋体" w:cs="宋体" w:eastAsia="宋体" w:hint="default"/>
                <w:spacing w:val="-3"/>
                <w:sz w:val="18"/>
                <w:szCs w:val="18"/>
              </w:rPr>
              <w:t>号）（上述准则统称“新金融工具准</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z w:val="18"/>
                <w:szCs w:val="18"/>
              </w:rPr>
              <w:t>则”），要求境内上市企业自</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10"/>
              <w:ind w:left="105"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月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7"/>
                <w:sz w:val="18"/>
                <w:szCs w:val="18"/>
              </w:rPr>
              <w:t> </w:t>
            </w:r>
            <w:r>
              <w:rPr>
                <w:rFonts w:ascii="宋体" w:hAnsi="宋体" w:cs="宋体" w:eastAsia="宋体" w:hint="default"/>
                <w:spacing w:val="-3"/>
                <w:sz w:val="18"/>
                <w:szCs w:val="18"/>
              </w:rPr>
              <w:t>日起执行新金融工具准则。</w:t>
            </w:r>
          </w:p>
        </w:tc>
        <w:tc>
          <w:tcPr>
            <w:tcW w:w="3189" w:type="dxa"/>
            <w:tcBorders>
              <w:top w:val="single" w:sz="4" w:space="0" w:color="000000"/>
              <w:left w:val="single" w:sz="4" w:space="0" w:color="000000"/>
              <w:bottom w:val="single" w:sz="4" w:space="0" w:color="000000"/>
              <w:right w:val="single" w:sz="4" w:space="0" w:color="000000"/>
            </w:tcBorders>
          </w:tcPr>
          <w:p>
            <w:pP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105" w:right="12"/>
              <w:jc w:val="left"/>
              <w:rPr>
                <w:rFonts w:ascii="宋体" w:hAnsi="宋体" w:cs="宋体" w:eastAsia="宋体" w:hint="default"/>
                <w:sz w:val="18"/>
                <w:szCs w:val="18"/>
              </w:rPr>
            </w:pPr>
            <w:r>
              <w:rPr>
                <w:rFonts w:ascii="宋体" w:hAnsi="宋体" w:cs="宋体" w:eastAsia="宋体" w:hint="default"/>
                <w:spacing w:val="-8"/>
                <w:w w:val="101"/>
                <w:sz w:val="18"/>
                <w:szCs w:val="18"/>
              </w:rPr>
              <w:t>管理金融资产的业务模式、以金融资产</w:t>
            </w:r>
            <w:r>
              <w:rPr>
                <w:rFonts w:ascii="宋体" w:hAnsi="宋体" w:cs="宋体" w:eastAsia="宋体" w:hint="default"/>
                <w:spacing w:val="-83"/>
                <w:w w:val="101"/>
                <w:sz w:val="18"/>
                <w:szCs w:val="18"/>
              </w:rPr>
              <w:t> </w:t>
            </w:r>
            <w:r>
              <w:rPr>
                <w:rFonts w:ascii="宋体" w:hAnsi="宋体" w:cs="宋体" w:eastAsia="宋体" w:hint="default"/>
                <w:spacing w:val="-83"/>
                <w:w w:val="101"/>
                <w:sz w:val="18"/>
                <w:szCs w:val="18"/>
              </w:rPr>
            </w:r>
            <w:r>
              <w:rPr>
                <w:rFonts w:ascii="宋体" w:hAnsi="宋体" w:cs="宋体" w:eastAsia="宋体" w:hint="default"/>
                <w:spacing w:val="-3"/>
                <w:sz w:val="18"/>
                <w:szCs w:val="18"/>
              </w:rPr>
              <w:t>初始确认时的事实和情况为基础评估</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8"/>
                <w:w w:val="101"/>
                <w:sz w:val="18"/>
                <w:szCs w:val="18"/>
              </w:rPr>
              <w:t>该金融资产上的合同现金流量特征，将</w:t>
            </w:r>
            <w:r>
              <w:rPr>
                <w:rFonts w:ascii="宋体" w:hAnsi="宋体" w:cs="宋体" w:eastAsia="宋体" w:hint="default"/>
                <w:spacing w:val="-83"/>
                <w:w w:val="101"/>
                <w:sz w:val="18"/>
                <w:szCs w:val="18"/>
              </w:rPr>
              <w:t> </w:t>
            </w:r>
            <w:r>
              <w:rPr>
                <w:rFonts w:ascii="宋体" w:hAnsi="宋体" w:cs="宋体" w:eastAsia="宋体" w:hint="default"/>
                <w:spacing w:val="-83"/>
                <w:w w:val="101"/>
                <w:sz w:val="18"/>
                <w:szCs w:val="18"/>
              </w:rPr>
            </w:r>
            <w:r>
              <w:rPr>
                <w:rFonts w:ascii="宋体" w:hAnsi="宋体" w:cs="宋体" w:eastAsia="宋体" w:hint="default"/>
                <w:spacing w:val="-3"/>
                <w:sz w:val="18"/>
                <w:szCs w:val="18"/>
              </w:rPr>
              <w:t>金融资产分为三类：按摊余成本计量、</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按公允价值计量且其变动计入其他综</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合收益及按公允价值计量且其变动计</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8"/>
                <w:sz w:val="18"/>
                <w:szCs w:val="18"/>
              </w:rPr>
              <w:t>入当期损益。其中，对于按公允价值计</w:t>
            </w:r>
            <w:r>
              <w:rPr>
                <w:rFonts w:ascii="宋体" w:hAnsi="宋体" w:cs="宋体" w:eastAsia="宋体" w:hint="default"/>
                <w:spacing w:val="-41"/>
                <w:sz w:val="18"/>
                <w:szCs w:val="18"/>
              </w:rPr>
              <w:t> </w:t>
            </w:r>
            <w:r>
              <w:rPr>
                <w:rFonts w:ascii="宋体" w:hAnsi="宋体" w:cs="宋体" w:eastAsia="宋体" w:hint="default"/>
                <w:spacing w:val="-41"/>
                <w:sz w:val="18"/>
                <w:szCs w:val="18"/>
              </w:rPr>
            </w:r>
            <w:r>
              <w:rPr>
                <w:rFonts w:ascii="宋体" w:hAnsi="宋体" w:cs="宋体" w:eastAsia="宋体" w:hint="default"/>
                <w:spacing w:val="-3"/>
                <w:sz w:val="18"/>
                <w:szCs w:val="18"/>
              </w:rPr>
              <w:t>量且其变动计入其他综合收益的权益</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工具投资，当该金融资产终止确认时，</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之前计入其他综合收益的累计利得或</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损失将从其他综合收益转入留存收益，</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z w:val="18"/>
                <w:szCs w:val="18"/>
              </w:rPr>
              <w:t>不计入当期损益。</w:t>
            </w:r>
          </w:p>
        </w:tc>
      </w:tr>
      <w:tr>
        <w:trPr>
          <w:trHeight w:val="2900" w:hRule="exact"/>
        </w:trPr>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Times New Roman" w:hAnsi="Times New Roman" w:cs="Times New Roman" w:eastAsia="Times New Roman" w:hint="default"/>
                <w:sz w:val="18"/>
                <w:szCs w:val="18"/>
              </w:rPr>
            </w:pPr>
            <w:r>
              <w:rPr>
                <w:rFonts w:ascii="宋体" w:hAnsi="宋体" w:cs="宋体" w:eastAsia="宋体" w:hint="default"/>
                <w:spacing w:val="-3"/>
                <w:sz w:val="18"/>
                <w:szCs w:val="18"/>
              </w:rPr>
              <w:t>②其他会计政策变更，财政部于</w:t>
            </w:r>
            <w:r>
              <w:rPr>
                <w:rFonts w:ascii="宋体" w:hAnsi="宋体" w:cs="宋体" w:eastAsia="宋体" w:hint="default"/>
                <w:spacing w:val="-2"/>
                <w:sz w:val="18"/>
                <w:szCs w:val="18"/>
              </w:rPr>
              <w:t> </w:t>
            </w:r>
            <w:r>
              <w:rPr>
                <w:rFonts w:ascii="Times New Roman" w:hAnsi="Times New Roman" w:cs="Times New Roman" w:eastAsia="Times New Roman" w:hint="default"/>
                <w:sz w:val="18"/>
                <w:szCs w:val="18"/>
              </w:rPr>
              <w:t>2019</w:t>
            </w:r>
          </w:p>
          <w:p>
            <w:pPr>
              <w:pStyle w:val="TableParagraph"/>
              <w:spacing w:line="240" w:lineRule="auto" w:before="63"/>
              <w:ind w:left="105"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30 </w:t>
            </w:r>
            <w:r>
              <w:rPr>
                <w:rFonts w:ascii="宋体" w:hAnsi="宋体" w:cs="宋体" w:eastAsia="宋体" w:hint="default"/>
                <w:sz w:val="18"/>
                <w:szCs w:val="18"/>
              </w:rPr>
              <w:t>日和</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19 </w:t>
            </w:r>
            <w:r>
              <w:rPr>
                <w:rFonts w:ascii="宋体" w:hAnsi="宋体" w:cs="宋体" w:eastAsia="宋体" w:hint="default"/>
                <w:sz w:val="18"/>
                <w:szCs w:val="18"/>
              </w:rPr>
              <w:t>日分别</w:t>
            </w:r>
          </w:p>
          <w:p>
            <w:pPr>
              <w:pStyle w:val="TableParagraph"/>
              <w:spacing w:line="304" w:lineRule="auto" w:before="63"/>
              <w:ind w:left="105" w:right="2"/>
              <w:jc w:val="left"/>
              <w:rPr>
                <w:rFonts w:ascii="宋体" w:hAnsi="宋体" w:cs="宋体" w:eastAsia="宋体" w:hint="default"/>
                <w:sz w:val="18"/>
                <w:szCs w:val="18"/>
              </w:rPr>
            </w:pPr>
            <w:r>
              <w:rPr>
                <w:rFonts w:ascii="宋体" w:hAnsi="宋体" w:cs="宋体" w:eastAsia="宋体" w:hint="default"/>
                <w:spacing w:val="-8"/>
                <w:sz w:val="18"/>
                <w:szCs w:val="18"/>
              </w:rPr>
              <w:t>颁布了《关于修订印发</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年度</w:t>
            </w:r>
            <w:r>
              <w:rPr>
                <w:rFonts w:ascii="Times New Roman" w:hAnsi="Times New Roman" w:cs="Times New Roman" w:eastAsia="Times New Roman" w:hint="default"/>
                <w:sz w:val="18"/>
                <w:szCs w:val="18"/>
              </w:rPr>
              <w:t>-</w:t>
            </w:r>
            <w:r>
              <w:rPr>
                <w:rFonts w:ascii="宋体" w:hAnsi="宋体" w:cs="宋体" w:eastAsia="宋体" w:hint="default"/>
                <w:sz w:val="18"/>
                <w:szCs w:val="18"/>
              </w:rPr>
              <w:t>般企</w:t>
            </w:r>
            <w:r>
              <w:rPr>
                <w:rFonts w:ascii="宋体" w:hAnsi="宋体" w:cs="宋体" w:eastAsia="宋体" w:hint="default"/>
                <w:spacing w:val="-73"/>
                <w:sz w:val="18"/>
                <w:szCs w:val="18"/>
              </w:rPr>
              <w:t> </w:t>
            </w:r>
            <w:r>
              <w:rPr>
                <w:rFonts w:ascii="宋体" w:hAnsi="宋体" w:cs="宋体" w:eastAsia="宋体" w:hint="default"/>
                <w:sz w:val="18"/>
                <w:szCs w:val="18"/>
              </w:rPr>
              <w:t>业财务报表格式的通知》</w:t>
            </w:r>
            <w:r>
              <w:rPr>
                <w:rFonts w:ascii="Times New Roman" w:hAnsi="Times New Roman" w:cs="Times New Roman" w:eastAsia="Times New Roman" w:hint="default"/>
                <w:sz w:val="18"/>
                <w:szCs w:val="18"/>
              </w:rPr>
              <w:t>(</w:t>
            </w:r>
            <w:r>
              <w:rPr>
                <w:rFonts w:ascii="宋体" w:hAnsi="宋体" w:cs="宋体" w:eastAsia="宋体" w:hint="default"/>
                <w:sz w:val="18"/>
                <w:szCs w:val="18"/>
              </w:rPr>
              <w:t>财会</w:t>
            </w:r>
            <w:r>
              <w:rPr>
                <w:rFonts w:ascii="Times New Roman" w:hAnsi="Times New Roman" w:cs="Times New Roman" w:eastAsia="Times New Roman" w:hint="default"/>
                <w:sz w:val="18"/>
                <w:szCs w:val="18"/>
              </w:rPr>
              <w:t>[2019]6</w:t>
            </w:r>
            <w:r>
              <w:rPr>
                <w:rFonts w:ascii="Times New Roman" w:hAnsi="Times New Roman" w:cs="Times New Roman" w:eastAsia="Times New Roman" w:hint="default"/>
                <w:w w:val="101"/>
                <w:sz w:val="18"/>
                <w:szCs w:val="18"/>
              </w:rPr>
              <w:t> </w:t>
            </w:r>
            <w:r>
              <w:rPr>
                <w:rFonts w:ascii="宋体" w:hAnsi="宋体" w:cs="宋体" w:eastAsia="宋体" w:hint="default"/>
                <w:spacing w:val="-3"/>
                <w:sz w:val="18"/>
                <w:szCs w:val="18"/>
              </w:rPr>
              <w:t>号</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和《关于修订印发合并财务报表格</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1"/>
                <w:w w:val="101"/>
                <w:sz w:val="18"/>
                <w:szCs w:val="18"/>
              </w:rPr>
              <w:t>式</w:t>
            </w:r>
            <w:r>
              <w:rPr>
                <w:rFonts w:ascii="Times New Roman" w:hAnsi="Times New Roman" w:cs="Times New Roman" w:eastAsia="Times New Roman" w:hint="default"/>
                <w:spacing w:val="-1"/>
                <w:w w:val="101"/>
                <w:sz w:val="18"/>
                <w:szCs w:val="18"/>
              </w:rPr>
              <w:t>(2019</w:t>
            </w:r>
            <w:r>
              <w:rPr>
                <w:rFonts w:ascii="Times New Roman" w:hAnsi="Times New Roman" w:cs="Times New Roman" w:eastAsia="Times New Roman" w:hint="default"/>
                <w:w w:val="101"/>
                <w:sz w:val="18"/>
                <w:szCs w:val="18"/>
              </w:rPr>
              <w:t> </w:t>
            </w:r>
            <w:r>
              <w:rPr>
                <w:rFonts w:ascii="宋体" w:hAnsi="宋体" w:cs="宋体" w:eastAsia="宋体" w:hint="default"/>
                <w:spacing w:val="-7"/>
                <w:w w:val="101"/>
                <w:sz w:val="18"/>
                <w:szCs w:val="18"/>
              </w:rPr>
              <w:t>版</w:t>
            </w:r>
            <w:r>
              <w:rPr>
                <w:rFonts w:ascii="Times New Roman" w:hAnsi="Times New Roman" w:cs="Times New Roman" w:eastAsia="Times New Roman" w:hint="default"/>
                <w:spacing w:val="-7"/>
                <w:w w:val="101"/>
                <w:sz w:val="18"/>
                <w:szCs w:val="18"/>
              </w:rPr>
              <w:t>)</w:t>
            </w:r>
            <w:r>
              <w:rPr>
                <w:rFonts w:ascii="宋体" w:hAnsi="宋体" w:cs="宋体" w:eastAsia="宋体" w:hint="default"/>
                <w:spacing w:val="-7"/>
                <w:w w:val="101"/>
                <w:sz w:val="18"/>
                <w:szCs w:val="18"/>
              </w:rPr>
              <w:t>的通知》</w:t>
            </w:r>
            <w:r>
              <w:rPr>
                <w:rFonts w:ascii="Times New Roman" w:hAnsi="Times New Roman" w:cs="Times New Roman" w:eastAsia="Times New Roman" w:hint="default"/>
                <w:spacing w:val="-7"/>
                <w:w w:val="101"/>
                <w:sz w:val="18"/>
                <w:szCs w:val="18"/>
              </w:rPr>
              <w:t>(</w:t>
            </w:r>
            <w:r>
              <w:rPr>
                <w:rFonts w:ascii="宋体" w:hAnsi="宋体" w:cs="宋体" w:eastAsia="宋体" w:hint="default"/>
                <w:spacing w:val="-7"/>
                <w:w w:val="101"/>
                <w:sz w:val="18"/>
                <w:szCs w:val="18"/>
              </w:rPr>
              <w:t>财会</w:t>
            </w:r>
            <w:r>
              <w:rPr>
                <w:rFonts w:ascii="Times New Roman" w:hAnsi="Times New Roman" w:cs="Times New Roman" w:eastAsia="Times New Roman" w:hint="default"/>
                <w:spacing w:val="-7"/>
                <w:w w:val="101"/>
                <w:sz w:val="18"/>
                <w:szCs w:val="18"/>
              </w:rPr>
              <w:t>[2019]16</w:t>
            </w:r>
            <w:r>
              <w:rPr>
                <w:rFonts w:ascii="Times New Roman" w:hAnsi="Times New Roman" w:cs="Times New Roman" w:eastAsia="Times New Roman" w:hint="default"/>
                <w:spacing w:val="-3"/>
                <w:w w:val="101"/>
                <w:sz w:val="18"/>
                <w:szCs w:val="18"/>
              </w:rPr>
              <w:t> </w:t>
            </w:r>
            <w:r>
              <w:rPr>
                <w:rFonts w:ascii="宋体" w:hAnsi="宋体" w:cs="宋体" w:eastAsia="宋体" w:hint="default"/>
                <w:w w:val="101"/>
                <w:sz w:val="18"/>
                <w:szCs w:val="18"/>
              </w:rPr>
              <w:t>号</w:t>
            </w:r>
            <w:r>
              <w:rPr>
                <w:rFonts w:ascii="Times New Roman" w:hAnsi="Times New Roman" w:cs="Times New Roman" w:eastAsia="Times New Roman" w:hint="default"/>
                <w:w w:val="101"/>
                <w:sz w:val="18"/>
                <w:szCs w:val="18"/>
              </w:rPr>
              <w:t>)</w:t>
            </w:r>
            <w:r>
              <w:rPr>
                <w:rFonts w:ascii="宋体" w:hAnsi="宋体" w:cs="宋体" w:eastAsia="宋体" w:hint="default"/>
                <w:w w:val="101"/>
                <w:sz w:val="18"/>
                <w:szCs w:val="18"/>
              </w:rPr>
              <w:t>。 </w:t>
            </w:r>
            <w:r>
              <w:rPr>
                <w:rFonts w:ascii="宋体" w:hAnsi="宋体" w:cs="宋体" w:eastAsia="宋体" w:hint="default"/>
                <w:spacing w:val="-8"/>
                <w:w w:val="101"/>
                <w:sz w:val="18"/>
                <w:szCs w:val="18"/>
              </w:rPr>
              <w:t>此项会计政策变更采用追溯调整法，本</w:t>
            </w:r>
            <w:r>
              <w:rPr>
                <w:rFonts w:ascii="宋体" w:hAnsi="宋体" w:cs="宋体" w:eastAsia="宋体" w:hint="default"/>
                <w:spacing w:val="-78"/>
                <w:w w:val="101"/>
                <w:sz w:val="18"/>
                <w:szCs w:val="18"/>
              </w:rPr>
              <w:t> </w:t>
            </w:r>
            <w:r>
              <w:rPr>
                <w:rFonts w:ascii="宋体" w:hAnsi="宋体" w:cs="宋体" w:eastAsia="宋体" w:hint="default"/>
                <w:spacing w:val="-78"/>
                <w:w w:val="101"/>
                <w:sz w:val="18"/>
                <w:szCs w:val="18"/>
              </w:rPr>
            </w:r>
            <w:r>
              <w:rPr>
                <w:rFonts w:ascii="宋体" w:hAnsi="宋体" w:cs="宋体" w:eastAsia="宋体" w:hint="default"/>
                <w:spacing w:val="-3"/>
                <w:sz w:val="18"/>
                <w:szCs w:val="18"/>
              </w:rPr>
              <w:t>公司已按上述通知要求编制</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年财</w:t>
            </w:r>
            <w:r>
              <w:rPr>
                <w:rFonts w:ascii="宋体" w:hAnsi="宋体" w:cs="宋体" w:eastAsia="宋体" w:hint="default"/>
                <w:spacing w:val="-62"/>
                <w:sz w:val="18"/>
                <w:szCs w:val="18"/>
              </w:rPr>
              <w:t> </w:t>
            </w:r>
            <w:r>
              <w:rPr>
                <w:rFonts w:ascii="宋体" w:hAnsi="宋体" w:cs="宋体" w:eastAsia="宋体" w:hint="default"/>
                <w:sz w:val="18"/>
                <w:szCs w:val="18"/>
              </w:rPr>
              <w:t>务报表。</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2"/>
                <w:szCs w:val="22"/>
              </w:rPr>
            </w:pPr>
          </w:p>
          <w:p>
            <w:pPr>
              <w:pStyle w:val="TableParagraph"/>
              <w:spacing w:line="307" w:lineRule="auto"/>
              <w:ind w:left="106" w:right="94"/>
              <w:jc w:val="both"/>
              <w:rPr>
                <w:rFonts w:ascii="Times New Roman" w:hAnsi="Times New Roman" w:cs="Times New Roman" w:eastAsia="Times New Roman" w:hint="default"/>
                <w:sz w:val="18"/>
                <w:szCs w:val="18"/>
              </w:rPr>
            </w:pPr>
            <w:r>
              <w:rPr>
                <w:rFonts w:ascii="宋体" w:hAnsi="宋体" w:cs="宋体" w:eastAsia="宋体" w:hint="default"/>
                <w:sz w:val="18"/>
                <w:szCs w:val="18"/>
              </w:rPr>
              <w:t>本公司于</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日召开第四届</w:t>
            </w:r>
            <w:r>
              <w:rPr>
                <w:rFonts w:ascii="宋体" w:hAnsi="宋体" w:cs="宋体" w:eastAsia="宋体" w:hint="default"/>
                <w:w w:val="101"/>
                <w:sz w:val="18"/>
                <w:szCs w:val="18"/>
              </w:rPr>
              <w:t> </w:t>
            </w:r>
            <w:r>
              <w:rPr>
                <w:rFonts w:ascii="宋体" w:hAnsi="宋体" w:cs="宋体" w:eastAsia="宋体" w:hint="default"/>
                <w:spacing w:val="-8"/>
                <w:sz w:val="18"/>
                <w:szCs w:val="18"/>
              </w:rPr>
              <w:t>董事会第七次会议，审议通过《关于会</w:t>
            </w:r>
            <w:r>
              <w:rPr>
                <w:rFonts w:ascii="宋体" w:hAnsi="宋体" w:cs="宋体" w:eastAsia="宋体" w:hint="default"/>
                <w:spacing w:val="-42"/>
                <w:sz w:val="18"/>
                <w:szCs w:val="18"/>
              </w:rPr>
              <w:t> </w:t>
            </w:r>
            <w:r>
              <w:rPr>
                <w:rFonts w:ascii="宋体" w:hAnsi="宋体" w:cs="宋体" w:eastAsia="宋体" w:hint="default"/>
                <w:spacing w:val="-42"/>
                <w:sz w:val="18"/>
                <w:szCs w:val="18"/>
              </w:rPr>
            </w:r>
            <w:r>
              <w:rPr>
                <w:rFonts w:ascii="宋体" w:hAnsi="宋体" w:cs="宋体" w:eastAsia="宋体" w:hint="default"/>
                <w:spacing w:val="-3"/>
                <w:sz w:val="18"/>
                <w:szCs w:val="18"/>
              </w:rPr>
              <w:t>计政策变更的议案》；本公司于</w:t>
            </w:r>
            <w:r>
              <w:rPr>
                <w:rFonts w:ascii="宋体" w:hAnsi="宋体" w:cs="宋体" w:eastAsia="宋体" w:hint="default"/>
                <w:spacing w:val="-2"/>
                <w:sz w:val="18"/>
                <w:szCs w:val="18"/>
              </w:rPr>
              <w:t> </w:t>
            </w:r>
            <w:r>
              <w:rPr>
                <w:rFonts w:ascii="Times New Roman" w:hAnsi="Times New Roman" w:cs="Times New Roman" w:eastAsia="Times New Roman" w:hint="default"/>
                <w:sz w:val="18"/>
                <w:szCs w:val="18"/>
              </w:rPr>
              <w:t>2020</w:t>
            </w:r>
          </w:p>
          <w:p>
            <w:pPr>
              <w:pStyle w:val="TableParagraph"/>
              <w:spacing w:line="312" w:lineRule="auto" w:before="7"/>
              <w:ind w:left="106" w:right="94"/>
              <w:jc w:val="both"/>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9"/>
                <w:sz w:val="18"/>
                <w:szCs w:val="18"/>
              </w:rPr>
              <w:t> </w:t>
            </w:r>
            <w:r>
              <w:rPr>
                <w:rFonts w:ascii="宋体" w:hAnsi="宋体" w:cs="宋体" w:eastAsia="宋体" w:hint="default"/>
                <w:spacing w:val="-3"/>
                <w:sz w:val="18"/>
                <w:szCs w:val="18"/>
              </w:rPr>
              <w:t>日召开第四届董事会第七次</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8"/>
                <w:sz w:val="18"/>
                <w:szCs w:val="18"/>
              </w:rPr>
              <w:t>会议，审议通过《关于会计政策变更的</w:t>
            </w:r>
            <w:r>
              <w:rPr>
                <w:rFonts w:ascii="宋体" w:hAnsi="宋体" w:cs="宋体" w:eastAsia="宋体" w:hint="default"/>
                <w:spacing w:val="-42"/>
                <w:sz w:val="18"/>
                <w:szCs w:val="18"/>
              </w:rPr>
              <w:t> </w:t>
            </w:r>
            <w:r>
              <w:rPr>
                <w:rFonts w:ascii="宋体" w:hAnsi="宋体" w:cs="宋体" w:eastAsia="宋体" w:hint="default"/>
                <w:spacing w:val="-42"/>
                <w:sz w:val="18"/>
                <w:szCs w:val="18"/>
              </w:rPr>
            </w:r>
            <w:r>
              <w:rPr>
                <w:rFonts w:ascii="宋体" w:hAnsi="宋体" w:cs="宋体" w:eastAsia="宋体" w:hint="default"/>
                <w:sz w:val="18"/>
                <w:szCs w:val="18"/>
              </w:rPr>
              <w:t>议案》</w:t>
            </w:r>
          </w:p>
        </w:tc>
        <w:tc>
          <w:tcPr>
            <w:tcW w:w="3193" w:type="dxa"/>
            <w:tcBorders>
              <w:top w:val="single" w:sz="4" w:space="0" w:color="000000"/>
              <w:left w:val="single" w:sz="4" w:space="0" w:color="000000"/>
              <w:bottom w:val="single" w:sz="4" w:space="0" w:color="000000"/>
              <w:right w:val="single" w:sz="4" w:space="0" w:color="000000"/>
            </w:tcBorders>
          </w:tcPr>
          <w:p>
            <w:pPr/>
          </w:p>
        </w:tc>
      </w:tr>
    </w:tbl>
    <w:p>
      <w:pPr>
        <w:pStyle w:val="BodyText"/>
        <w:spacing w:line="316" w:lineRule="auto" w:before="10"/>
        <w:ind w:left="633" w:right="0"/>
        <w:jc w:val="left"/>
      </w:pPr>
      <w:r>
        <w:rPr>
          <w:spacing w:val="-3"/>
        </w:rPr>
        <w:t>①执行新金融工具准则对本公司的主要变化和影响如下：</w:t>
      </w:r>
      <w:r>
        <w:rPr>
          <w:spacing w:val="-15"/>
        </w:rPr>
        <w:t> </w:t>
      </w:r>
      <w:r>
        <w:rPr>
          <w:spacing w:val="-15"/>
        </w:rPr>
      </w:r>
      <w:r>
        <w:rPr/>
        <w:t>本集团于</w:t>
      </w:r>
      <w:r>
        <w:rPr>
          <w:rFonts w:ascii="宋体" w:hAnsi="宋体" w:cs="宋体" w:eastAsia="宋体" w:hint="default"/>
        </w:rPr>
        <w:t>2019</w:t>
      </w:r>
      <w:r>
        <w:rPr/>
        <w:t>年</w:t>
      </w:r>
      <w:r>
        <w:rPr>
          <w:rFonts w:ascii="宋体" w:hAnsi="宋体" w:cs="宋体" w:eastAsia="宋体" w:hint="default"/>
        </w:rPr>
        <w:t>1</w:t>
      </w:r>
      <w:r>
        <w:rPr/>
        <w:t>月</w:t>
      </w:r>
      <w:r>
        <w:rPr>
          <w:rFonts w:ascii="宋体" w:hAnsi="宋体" w:cs="宋体" w:eastAsia="宋体" w:hint="default"/>
        </w:rPr>
        <w:t>1</w:t>
      </w:r>
      <w:r>
        <w:rPr/>
        <w:t>日及以后将持有的部分非交易性股权投资重分类为以公允价值计量且其变动计入当期损益的金</w:t>
      </w:r>
    </w:p>
    <w:p>
      <w:pPr>
        <w:pStyle w:val="BodyText"/>
        <w:spacing w:line="319" w:lineRule="auto" w:before="19"/>
        <w:ind w:right="1124"/>
        <w:jc w:val="both"/>
      </w:pPr>
      <w:r>
        <w:rPr>
          <w:spacing w:val="-4"/>
        </w:rPr>
        <w:t>融资产，列报为其他非流动金融资产。本公司在日常资金管理中将部分银行承兑汇票背书或贴现，既以收取合同现金流量又</w:t>
      </w:r>
      <w:r>
        <w:rPr>
          <w:spacing w:val="43"/>
        </w:rPr>
        <w:t> </w:t>
      </w:r>
      <w:r>
        <w:rPr>
          <w:spacing w:val="43"/>
        </w:rPr>
      </w:r>
      <w:r>
        <w:rPr>
          <w:spacing w:val="-4"/>
        </w:rPr>
        <w:t>以出售金融资产为目标，因此，本公司在</w:t>
      </w:r>
      <w:r>
        <w:rPr>
          <w:rFonts w:ascii="宋体" w:hAnsi="宋体" w:cs="宋体" w:eastAsia="宋体" w:hint="default"/>
          <w:spacing w:val="-4"/>
        </w:rPr>
        <w:t>2019</w:t>
      </w:r>
      <w:r>
        <w:rPr>
          <w:spacing w:val="-4"/>
        </w:rPr>
        <w:t>年</w:t>
      </w:r>
      <w:r>
        <w:rPr>
          <w:rFonts w:ascii="宋体" w:hAnsi="宋体" w:cs="宋体" w:eastAsia="宋体" w:hint="default"/>
          <w:spacing w:val="-4"/>
        </w:rPr>
        <w:t>1</w:t>
      </w:r>
      <w:r>
        <w:rPr>
          <w:spacing w:val="-4"/>
        </w:rPr>
        <w:t>月</w:t>
      </w:r>
      <w:r>
        <w:rPr>
          <w:rFonts w:ascii="宋体" w:hAnsi="宋体" w:cs="宋体" w:eastAsia="宋体" w:hint="default"/>
          <w:spacing w:val="-4"/>
        </w:rPr>
        <w:t>1</w:t>
      </w:r>
      <w:r>
        <w:rPr>
          <w:spacing w:val="-4"/>
        </w:rPr>
        <w:t>日及以后将该等应收票据重分类为以公允价值计量且其变动计入其他综</w:t>
      </w:r>
      <w:r>
        <w:rPr>
          <w:spacing w:val="51"/>
        </w:rPr>
        <w:t> </w:t>
      </w:r>
      <w:r>
        <w:rPr>
          <w:spacing w:val="51"/>
        </w:rPr>
      </w:r>
      <w:r>
        <w:rPr>
          <w:spacing w:val="-3"/>
        </w:rPr>
        <w:t>合收益金融资产类别，列报为应收款项融资。</w:t>
      </w:r>
    </w:p>
    <w:p>
      <w:pPr>
        <w:pStyle w:val="BodyText"/>
        <w:spacing w:line="316" w:lineRule="auto" w:before="17"/>
        <w:ind w:left="633" w:right="6445"/>
        <w:jc w:val="left"/>
      </w:pPr>
      <w:r>
        <w:rPr>
          <w:rFonts w:ascii="宋体" w:hAnsi="宋体" w:cs="宋体" w:eastAsia="宋体" w:hint="default"/>
          <w:spacing w:val="-3"/>
        </w:rPr>
        <w:t>A</w:t>
      </w:r>
      <w:r>
        <w:rPr>
          <w:spacing w:val="-3"/>
        </w:rPr>
        <w:t>、首次执行日前后金融资产分类和计量对比表</w:t>
      </w:r>
      <w:r>
        <w:rPr>
          <w:spacing w:val="-23"/>
        </w:rPr>
        <w:t> </w:t>
      </w:r>
      <w:r>
        <w:rPr>
          <w:spacing w:val="-23"/>
        </w:rPr>
      </w:r>
      <w:r>
        <w:rPr>
          <w:rFonts w:ascii="宋体" w:hAnsi="宋体" w:cs="宋体" w:eastAsia="宋体" w:hint="default"/>
          <w:spacing w:val="-3"/>
        </w:rPr>
        <w:t>a</w:t>
      </w:r>
      <w:r>
        <w:rPr>
          <w:spacing w:val="-3"/>
        </w:rPr>
        <w:t>、对合并财务报表的影响</w:t>
      </w:r>
    </w:p>
    <w:tbl>
      <w:tblPr>
        <w:tblW w:w="0" w:type="auto"/>
        <w:jc w:val="left"/>
        <w:tblInd w:w="131" w:type="dxa"/>
        <w:tblLayout w:type="fixed"/>
        <w:tblCellMar>
          <w:top w:w="0" w:type="dxa"/>
          <w:left w:w="0" w:type="dxa"/>
          <w:bottom w:w="0" w:type="dxa"/>
          <w:right w:w="0" w:type="dxa"/>
        </w:tblCellMar>
        <w:tblLook w:val="01E0"/>
      </w:tblPr>
      <w:tblGrid>
        <w:gridCol w:w="1961"/>
        <w:gridCol w:w="2699"/>
        <w:gridCol w:w="2069"/>
        <w:gridCol w:w="3038"/>
      </w:tblGrid>
      <w:tr>
        <w:trPr>
          <w:trHeight w:val="350" w:hRule="exact"/>
        </w:trPr>
        <w:tc>
          <w:tcPr>
            <w:tcW w:w="4660" w:type="dxa"/>
            <w:gridSpan w:val="2"/>
            <w:tcBorders>
              <w:top w:val="single" w:sz="6" w:space="0" w:color="000000"/>
              <w:left w:val="nil" w:sz="6" w:space="0" w:color="auto"/>
              <w:bottom w:val="single" w:sz="6" w:space="0" w:color="000000"/>
              <w:right w:val="single" w:sz="6" w:space="0" w:color="000000"/>
            </w:tcBorders>
          </w:tcPr>
          <w:p>
            <w:pPr>
              <w:pStyle w:val="TableParagraph"/>
              <w:spacing w:line="240" w:lineRule="auto" w:before="20"/>
              <w:ind w:left="1253" w:right="0"/>
              <w:jc w:val="left"/>
              <w:rPr>
                <w:rFonts w:ascii="宋体" w:hAnsi="宋体" w:cs="宋体" w:eastAsia="宋体" w:hint="default"/>
                <w:sz w:val="18"/>
                <w:szCs w:val="18"/>
              </w:rPr>
            </w:pPr>
            <w:r>
              <w:rPr>
                <w:rFonts w:ascii="宋体" w:hAnsi="宋体" w:cs="宋体" w:eastAsia="宋体" w:hint="default"/>
                <w:b/>
                <w:bCs/>
                <w:sz w:val="18"/>
                <w:szCs w:val="18"/>
              </w:rPr>
              <w:t>2018</w:t>
            </w:r>
            <w:r>
              <w:rPr>
                <w:rFonts w:ascii="宋体" w:hAnsi="宋体" w:cs="宋体" w:eastAsia="宋体" w:hint="default"/>
                <w:b/>
                <w:bCs/>
                <w:sz w:val="18"/>
                <w:szCs w:val="18"/>
              </w:rPr>
              <w:t>年</w:t>
            </w:r>
            <w:r>
              <w:rPr>
                <w:rFonts w:ascii="宋体" w:hAnsi="宋体" w:cs="宋体" w:eastAsia="宋体" w:hint="default"/>
                <w:b/>
                <w:bCs/>
                <w:sz w:val="18"/>
                <w:szCs w:val="18"/>
              </w:rPr>
              <w:t>12</w:t>
            </w:r>
            <w:r>
              <w:rPr>
                <w:rFonts w:ascii="宋体" w:hAnsi="宋体" w:cs="宋体" w:eastAsia="宋体" w:hint="default"/>
                <w:b/>
                <w:bCs/>
                <w:sz w:val="18"/>
                <w:szCs w:val="18"/>
              </w:rPr>
              <w:t>月</w:t>
            </w:r>
            <w:r>
              <w:rPr>
                <w:rFonts w:ascii="宋体" w:hAnsi="宋体" w:cs="宋体" w:eastAsia="宋体" w:hint="default"/>
                <w:b/>
                <w:bCs/>
                <w:sz w:val="18"/>
                <w:szCs w:val="18"/>
              </w:rPr>
              <w:t>31</w:t>
            </w:r>
            <w:r>
              <w:rPr>
                <w:rFonts w:ascii="宋体" w:hAnsi="宋体" w:cs="宋体" w:eastAsia="宋体" w:hint="default"/>
                <w:b/>
                <w:bCs/>
                <w:sz w:val="18"/>
                <w:szCs w:val="18"/>
              </w:rPr>
              <w:t>日（变更前）</w:t>
            </w:r>
            <w:r>
              <w:rPr>
                <w:rFonts w:ascii="宋体" w:hAnsi="宋体" w:cs="宋体" w:eastAsia="宋体" w:hint="default"/>
                <w:sz w:val="18"/>
                <w:szCs w:val="18"/>
              </w:rPr>
            </w:r>
          </w:p>
        </w:tc>
        <w:tc>
          <w:tcPr>
            <w:tcW w:w="5107" w:type="dxa"/>
            <w:gridSpan w:val="2"/>
            <w:tcBorders>
              <w:top w:val="single" w:sz="6" w:space="0" w:color="000000"/>
              <w:left w:val="single" w:sz="6" w:space="0" w:color="000000"/>
              <w:bottom w:val="single" w:sz="6" w:space="0" w:color="000000"/>
              <w:right w:val="nil" w:sz="6" w:space="0" w:color="auto"/>
            </w:tcBorders>
          </w:tcPr>
          <w:p>
            <w:pPr>
              <w:pStyle w:val="TableParagraph"/>
              <w:spacing w:line="240" w:lineRule="auto" w:before="20"/>
              <w:ind w:left="1550" w:right="0"/>
              <w:jc w:val="left"/>
              <w:rPr>
                <w:rFonts w:ascii="宋体" w:hAnsi="宋体" w:cs="宋体" w:eastAsia="宋体" w:hint="default"/>
                <w:sz w:val="18"/>
                <w:szCs w:val="18"/>
              </w:rPr>
            </w:pPr>
            <w:r>
              <w:rPr>
                <w:rFonts w:ascii="宋体" w:hAnsi="宋体" w:cs="宋体" w:eastAsia="宋体" w:hint="default"/>
                <w:b/>
                <w:bCs/>
                <w:sz w:val="18"/>
                <w:szCs w:val="18"/>
              </w:rPr>
              <w:t>2019</w:t>
            </w:r>
            <w:r>
              <w:rPr>
                <w:rFonts w:ascii="宋体" w:hAnsi="宋体" w:cs="宋体" w:eastAsia="宋体" w:hint="default"/>
                <w:b/>
                <w:bCs/>
                <w:sz w:val="18"/>
                <w:szCs w:val="18"/>
              </w:rPr>
              <w:t>年</w:t>
            </w:r>
            <w:r>
              <w:rPr>
                <w:rFonts w:ascii="宋体" w:hAnsi="宋体" w:cs="宋体" w:eastAsia="宋体" w:hint="default"/>
                <w:b/>
                <w:bCs/>
                <w:sz w:val="18"/>
                <w:szCs w:val="18"/>
              </w:rPr>
              <w:t>1</w:t>
            </w:r>
            <w:r>
              <w:rPr>
                <w:rFonts w:ascii="宋体" w:hAnsi="宋体" w:cs="宋体" w:eastAsia="宋体" w:hint="default"/>
                <w:b/>
                <w:bCs/>
                <w:sz w:val="18"/>
                <w:szCs w:val="18"/>
              </w:rPr>
              <w:t>月</w:t>
            </w:r>
            <w:r>
              <w:rPr>
                <w:rFonts w:ascii="宋体" w:hAnsi="宋体" w:cs="宋体" w:eastAsia="宋体" w:hint="default"/>
                <w:b/>
                <w:bCs/>
                <w:sz w:val="18"/>
                <w:szCs w:val="18"/>
              </w:rPr>
              <w:t>1</w:t>
            </w:r>
            <w:r>
              <w:rPr>
                <w:rFonts w:ascii="宋体" w:hAnsi="宋体" w:cs="宋体" w:eastAsia="宋体" w:hint="default"/>
                <w:b/>
                <w:bCs/>
                <w:sz w:val="18"/>
                <w:szCs w:val="18"/>
              </w:rPr>
              <w:t>日（变更后）</w:t>
            </w:r>
            <w:r>
              <w:rPr>
                <w:rFonts w:ascii="宋体" w:hAnsi="宋体" w:cs="宋体" w:eastAsia="宋体" w:hint="default"/>
                <w:sz w:val="18"/>
                <w:szCs w:val="18"/>
              </w:rPr>
            </w:r>
          </w:p>
        </w:tc>
      </w:tr>
      <w:tr>
        <w:trPr>
          <w:trHeight w:val="346" w:hRule="exact"/>
        </w:trPr>
        <w:tc>
          <w:tcPr>
            <w:tcW w:w="1961"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20"/>
              <w:ind w:left="24"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3" w:right="0"/>
              <w:jc w:val="center"/>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c>
        <w:tc>
          <w:tcPr>
            <w:tcW w:w="20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9"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038"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20"/>
              <w:ind w:right="3"/>
              <w:jc w:val="center"/>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c>
      </w:tr>
      <w:tr>
        <w:trPr>
          <w:trHeight w:val="346" w:hRule="exact"/>
        </w:trPr>
        <w:tc>
          <w:tcPr>
            <w:tcW w:w="1961"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20"/>
              <w:ind w:left="23"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2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
              <w:jc w:val="right"/>
              <w:rPr>
                <w:rFonts w:ascii="宋体" w:hAnsi="宋体" w:cs="宋体" w:eastAsia="宋体" w:hint="default"/>
                <w:sz w:val="18"/>
                <w:szCs w:val="18"/>
              </w:rPr>
            </w:pPr>
            <w:r>
              <w:rPr>
                <w:rFonts w:ascii="宋体"/>
                <w:w w:val="101"/>
                <w:sz w:val="18"/>
              </w:rPr>
              <w:t>-</w:t>
            </w:r>
            <w:r>
              <w:rPr>
                <w:rFonts w:ascii="宋体"/>
                <w:sz w:val="18"/>
              </w:rPr>
            </w:r>
          </w:p>
        </w:tc>
        <w:tc>
          <w:tcPr>
            <w:tcW w:w="20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3038"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20"/>
              <w:ind w:right="3"/>
              <w:jc w:val="right"/>
              <w:rPr>
                <w:rFonts w:ascii="宋体" w:hAnsi="宋体" w:cs="宋体" w:eastAsia="宋体" w:hint="default"/>
                <w:sz w:val="18"/>
                <w:szCs w:val="18"/>
              </w:rPr>
            </w:pPr>
            <w:r>
              <w:rPr>
                <w:rFonts w:ascii="宋体"/>
                <w:spacing w:val="-1"/>
                <w:sz w:val="18"/>
              </w:rPr>
              <w:t>7,107,793.00</w:t>
            </w:r>
          </w:p>
        </w:tc>
      </w:tr>
      <w:tr>
        <w:trPr>
          <w:trHeight w:val="346" w:hRule="exact"/>
        </w:trPr>
        <w:tc>
          <w:tcPr>
            <w:tcW w:w="1961"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20"/>
              <w:ind w:left="23" w:right="0"/>
              <w:jc w:val="left"/>
              <w:rPr>
                <w:rFonts w:ascii="宋体" w:hAnsi="宋体" w:cs="宋体" w:eastAsia="宋体" w:hint="default"/>
                <w:sz w:val="18"/>
                <w:szCs w:val="18"/>
              </w:rPr>
            </w:pPr>
            <w:r>
              <w:rPr>
                <w:rFonts w:ascii="宋体" w:hAnsi="宋体" w:cs="宋体" w:eastAsia="宋体" w:hint="default"/>
                <w:sz w:val="18"/>
                <w:szCs w:val="18"/>
              </w:rPr>
              <w:t>应收票据减值准备</w:t>
            </w:r>
          </w:p>
        </w:tc>
        <w:tc>
          <w:tcPr>
            <w:tcW w:w="2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
              <w:jc w:val="right"/>
              <w:rPr>
                <w:rFonts w:ascii="宋体" w:hAnsi="宋体" w:cs="宋体" w:eastAsia="宋体" w:hint="default"/>
                <w:sz w:val="18"/>
                <w:szCs w:val="18"/>
              </w:rPr>
            </w:pPr>
            <w:r>
              <w:rPr>
                <w:rFonts w:ascii="宋体"/>
                <w:w w:val="101"/>
                <w:sz w:val="18"/>
              </w:rPr>
              <w:t>-</w:t>
            </w:r>
            <w:r>
              <w:rPr>
                <w:rFonts w:ascii="宋体"/>
                <w:sz w:val="18"/>
              </w:rPr>
            </w:r>
          </w:p>
        </w:tc>
        <w:tc>
          <w:tcPr>
            <w:tcW w:w="20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应收票据减值准备</w:t>
            </w:r>
          </w:p>
        </w:tc>
        <w:tc>
          <w:tcPr>
            <w:tcW w:w="3038"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20"/>
              <w:ind w:right="3"/>
              <w:jc w:val="right"/>
              <w:rPr>
                <w:rFonts w:ascii="宋体" w:hAnsi="宋体" w:cs="宋体" w:eastAsia="宋体" w:hint="default"/>
                <w:sz w:val="18"/>
                <w:szCs w:val="18"/>
              </w:rPr>
            </w:pPr>
            <w:r>
              <w:rPr>
                <w:rFonts w:ascii="宋体"/>
                <w:spacing w:val="-1"/>
                <w:sz w:val="18"/>
              </w:rPr>
              <w:t>355,389.65</w:t>
            </w:r>
          </w:p>
        </w:tc>
      </w:tr>
      <w:tr>
        <w:trPr>
          <w:trHeight w:val="350" w:hRule="exact"/>
        </w:trPr>
        <w:tc>
          <w:tcPr>
            <w:tcW w:w="1961" w:type="dxa"/>
            <w:vMerge w:val="restart"/>
            <w:tcBorders>
              <w:top w:val="single" w:sz="6" w:space="0" w:color="000000"/>
              <w:left w:val="nil" w:sz="6" w:space="0" w:color="auto"/>
              <w:right w:val="single" w:sz="6" w:space="0" w:color="000000"/>
            </w:tcBorders>
          </w:tcPr>
          <w:p>
            <w:pPr>
              <w:pStyle w:val="TableParagraph"/>
              <w:spacing w:line="240" w:lineRule="auto" w:before="25"/>
              <w:ind w:left="23"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2699" w:type="dxa"/>
            <w:vMerge w:val="restart"/>
            <w:tcBorders>
              <w:top w:val="single" w:sz="6" w:space="0" w:color="000000"/>
              <w:left w:val="single" w:sz="6" w:space="0" w:color="000000"/>
              <w:right w:val="single" w:sz="6" w:space="0" w:color="000000"/>
            </w:tcBorders>
          </w:tcPr>
          <w:p>
            <w:pPr>
              <w:pStyle w:val="TableParagraph"/>
              <w:spacing w:line="240" w:lineRule="auto" w:before="25"/>
              <w:ind w:left="1431" w:right="-10"/>
              <w:jc w:val="left"/>
              <w:rPr>
                <w:rFonts w:ascii="宋体" w:hAnsi="宋体" w:cs="宋体" w:eastAsia="宋体" w:hint="default"/>
                <w:sz w:val="18"/>
                <w:szCs w:val="18"/>
              </w:rPr>
            </w:pPr>
            <w:r>
              <w:rPr>
                <w:rFonts w:ascii="宋体"/>
                <w:spacing w:val="-2"/>
                <w:sz w:val="18"/>
              </w:rPr>
              <w:t>190,589,070.05</w:t>
            </w:r>
          </w:p>
        </w:tc>
        <w:tc>
          <w:tcPr>
            <w:tcW w:w="20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5"/>
              <w:ind w:left="4" w:right="0"/>
              <w:jc w:val="left"/>
              <w:rPr>
                <w:rFonts w:ascii="宋体" w:hAnsi="宋体" w:cs="宋体" w:eastAsia="宋体" w:hint="default"/>
                <w:sz w:val="18"/>
                <w:szCs w:val="18"/>
              </w:rPr>
            </w:pPr>
            <w:r>
              <w:rPr>
                <w:rFonts w:ascii="宋体" w:hAnsi="宋体" w:cs="宋体" w:eastAsia="宋体" w:hint="default"/>
                <w:spacing w:val="-3"/>
                <w:sz w:val="18"/>
                <w:szCs w:val="18"/>
              </w:rPr>
              <w:t>交易性金融资产</w:t>
            </w:r>
          </w:p>
        </w:tc>
        <w:tc>
          <w:tcPr>
            <w:tcW w:w="3038"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25"/>
              <w:ind w:right="8"/>
              <w:jc w:val="right"/>
              <w:rPr>
                <w:rFonts w:ascii="宋体" w:hAnsi="宋体" w:cs="宋体" w:eastAsia="宋体" w:hint="default"/>
                <w:sz w:val="18"/>
                <w:szCs w:val="18"/>
              </w:rPr>
            </w:pPr>
            <w:r>
              <w:rPr>
                <w:rFonts w:ascii="宋体"/>
                <w:spacing w:val="-2"/>
                <w:sz w:val="18"/>
              </w:rPr>
              <w:t>107,106,000.00</w:t>
            </w:r>
          </w:p>
        </w:tc>
      </w:tr>
      <w:tr>
        <w:trPr>
          <w:trHeight w:val="346" w:hRule="exact"/>
        </w:trPr>
        <w:tc>
          <w:tcPr>
            <w:tcW w:w="1961" w:type="dxa"/>
            <w:vMerge/>
            <w:tcBorders>
              <w:left w:val="nil" w:sz="6" w:space="0" w:color="auto"/>
              <w:bottom w:val="single" w:sz="6" w:space="0" w:color="000000"/>
              <w:right w:val="single" w:sz="6" w:space="0" w:color="000000"/>
            </w:tcBorders>
          </w:tcPr>
          <w:p>
            <w:pPr/>
          </w:p>
        </w:tc>
        <w:tc>
          <w:tcPr>
            <w:tcW w:w="2699" w:type="dxa"/>
            <w:vMerge/>
            <w:tcBorders>
              <w:left w:val="single" w:sz="6" w:space="0" w:color="000000"/>
              <w:bottom w:val="single" w:sz="6" w:space="0" w:color="000000"/>
              <w:right w:val="single" w:sz="6" w:space="0" w:color="000000"/>
            </w:tcBorders>
          </w:tcPr>
          <w:p>
            <w:pPr/>
          </w:p>
        </w:tc>
        <w:tc>
          <w:tcPr>
            <w:tcW w:w="20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3038"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20"/>
              <w:ind w:right="3"/>
              <w:jc w:val="right"/>
              <w:rPr>
                <w:rFonts w:ascii="宋体" w:hAnsi="宋体" w:cs="宋体" w:eastAsia="宋体" w:hint="default"/>
                <w:sz w:val="18"/>
                <w:szCs w:val="18"/>
              </w:rPr>
            </w:pPr>
            <w:r>
              <w:rPr>
                <w:rFonts w:ascii="宋体"/>
                <w:spacing w:val="-1"/>
                <w:sz w:val="18"/>
              </w:rPr>
              <w:t>83,483,070.05</w:t>
            </w:r>
          </w:p>
        </w:tc>
      </w:tr>
      <w:tr>
        <w:trPr>
          <w:trHeight w:val="346" w:hRule="exact"/>
        </w:trPr>
        <w:tc>
          <w:tcPr>
            <w:tcW w:w="1961"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20"/>
              <w:ind w:left="23" w:right="0"/>
              <w:jc w:val="left"/>
              <w:rPr>
                <w:rFonts w:ascii="宋体" w:hAnsi="宋体" w:cs="宋体" w:eastAsia="宋体" w:hint="default"/>
                <w:sz w:val="18"/>
                <w:szCs w:val="18"/>
              </w:rPr>
            </w:pPr>
            <w:r>
              <w:rPr>
                <w:rFonts w:ascii="宋体" w:hAnsi="宋体" w:cs="宋体" w:eastAsia="宋体" w:hint="default"/>
                <w:spacing w:val="-3"/>
                <w:sz w:val="18"/>
                <w:szCs w:val="18"/>
              </w:rPr>
              <w:t>可供出售金融产</w:t>
            </w:r>
          </w:p>
        </w:tc>
        <w:tc>
          <w:tcPr>
            <w:tcW w:w="2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0"/>
              <w:jc w:val="right"/>
              <w:rPr>
                <w:rFonts w:ascii="宋体" w:hAnsi="宋体" w:cs="宋体" w:eastAsia="宋体" w:hint="default"/>
                <w:sz w:val="18"/>
                <w:szCs w:val="18"/>
              </w:rPr>
            </w:pPr>
            <w:r>
              <w:rPr>
                <w:rFonts w:ascii="宋体"/>
                <w:spacing w:val="-1"/>
                <w:sz w:val="18"/>
              </w:rPr>
              <w:t>13,000,000.00</w:t>
            </w:r>
          </w:p>
        </w:tc>
        <w:tc>
          <w:tcPr>
            <w:tcW w:w="20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pacing w:val="-3"/>
                <w:sz w:val="18"/>
                <w:szCs w:val="18"/>
              </w:rPr>
              <w:t>其他非流动金融资产</w:t>
            </w:r>
          </w:p>
        </w:tc>
        <w:tc>
          <w:tcPr>
            <w:tcW w:w="3038"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20"/>
              <w:ind w:right="3"/>
              <w:jc w:val="right"/>
              <w:rPr>
                <w:rFonts w:ascii="宋体" w:hAnsi="宋体" w:cs="宋体" w:eastAsia="宋体" w:hint="default"/>
                <w:sz w:val="18"/>
                <w:szCs w:val="18"/>
              </w:rPr>
            </w:pPr>
            <w:r>
              <w:rPr>
                <w:rFonts w:ascii="宋体"/>
                <w:spacing w:val="-1"/>
                <w:sz w:val="18"/>
              </w:rPr>
              <w:t>13,000,000.00</w:t>
            </w:r>
          </w:p>
        </w:tc>
      </w:tr>
      <w:tr>
        <w:trPr>
          <w:trHeight w:val="350" w:hRule="exact"/>
        </w:trPr>
        <w:tc>
          <w:tcPr>
            <w:tcW w:w="1961"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20"/>
              <w:ind w:left="23" w:right="0"/>
              <w:jc w:val="left"/>
              <w:rPr>
                <w:rFonts w:ascii="宋体" w:hAnsi="宋体" w:cs="宋体" w:eastAsia="宋体" w:hint="default"/>
                <w:sz w:val="18"/>
                <w:szCs w:val="18"/>
              </w:rPr>
            </w:pPr>
            <w:r>
              <w:rPr>
                <w:rFonts w:ascii="宋体" w:hAnsi="宋体" w:cs="宋体" w:eastAsia="宋体" w:hint="default"/>
                <w:spacing w:val="-3"/>
                <w:sz w:val="18"/>
                <w:szCs w:val="18"/>
              </w:rPr>
              <w:t>递延所得税资产</w:t>
            </w:r>
          </w:p>
        </w:tc>
        <w:tc>
          <w:tcPr>
            <w:tcW w:w="2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0"/>
              <w:jc w:val="right"/>
              <w:rPr>
                <w:rFonts w:ascii="宋体" w:hAnsi="宋体" w:cs="宋体" w:eastAsia="宋体" w:hint="default"/>
                <w:sz w:val="18"/>
                <w:szCs w:val="18"/>
              </w:rPr>
            </w:pPr>
            <w:r>
              <w:rPr>
                <w:rFonts w:ascii="宋体"/>
                <w:spacing w:val="-1"/>
                <w:sz w:val="18"/>
              </w:rPr>
              <w:t>27,114,094.91</w:t>
            </w:r>
          </w:p>
        </w:tc>
        <w:tc>
          <w:tcPr>
            <w:tcW w:w="20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pacing w:val="-3"/>
                <w:sz w:val="18"/>
                <w:szCs w:val="18"/>
              </w:rPr>
              <w:t>递延所得税资产</w:t>
            </w:r>
          </w:p>
        </w:tc>
        <w:tc>
          <w:tcPr>
            <w:tcW w:w="3038"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20"/>
              <w:ind w:right="3"/>
              <w:jc w:val="right"/>
              <w:rPr>
                <w:rFonts w:ascii="宋体" w:hAnsi="宋体" w:cs="宋体" w:eastAsia="宋体" w:hint="default"/>
                <w:sz w:val="18"/>
                <w:szCs w:val="18"/>
              </w:rPr>
            </w:pPr>
            <w:r>
              <w:rPr>
                <w:rFonts w:ascii="宋体"/>
                <w:spacing w:val="-1"/>
                <w:sz w:val="18"/>
              </w:rPr>
              <w:t>27,167,403.36</w:t>
            </w:r>
          </w:p>
        </w:tc>
      </w:tr>
      <w:tr>
        <w:trPr>
          <w:trHeight w:val="346" w:hRule="exact"/>
        </w:trPr>
        <w:tc>
          <w:tcPr>
            <w:tcW w:w="1961"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20"/>
              <w:ind w:left="23"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2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
              <w:jc w:val="right"/>
              <w:rPr>
                <w:rFonts w:ascii="宋体" w:hAnsi="宋体" w:cs="宋体" w:eastAsia="宋体" w:hint="default"/>
                <w:sz w:val="18"/>
                <w:szCs w:val="18"/>
              </w:rPr>
            </w:pPr>
            <w:r>
              <w:rPr>
                <w:rFonts w:ascii="宋体"/>
                <w:w w:val="101"/>
                <w:sz w:val="18"/>
              </w:rPr>
              <w:t>-</w:t>
            </w:r>
            <w:r>
              <w:rPr>
                <w:rFonts w:ascii="宋体"/>
                <w:sz w:val="18"/>
              </w:rPr>
            </w:r>
          </w:p>
        </w:tc>
        <w:tc>
          <w:tcPr>
            <w:tcW w:w="20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3038"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20"/>
              <w:ind w:right="3"/>
              <w:jc w:val="right"/>
              <w:rPr>
                <w:rFonts w:ascii="宋体" w:hAnsi="宋体" w:cs="宋体" w:eastAsia="宋体" w:hint="default"/>
                <w:sz w:val="18"/>
                <w:szCs w:val="18"/>
              </w:rPr>
            </w:pPr>
            <w:r>
              <w:rPr>
                <w:rFonts w:ascii="宋体"/>
                <w:spacing w:val="-1"/>
                <w:sz w:val="18"/>
              </w:rPr>
              <w:t>7,107,793.00</w:t>
            </w:r>
          </w:p>
        </w:tc>
      </w:tr>
      <w:tr>
        <w:trPr>
          <w:trHeight w:val="346" w:hRule="exact"/>
        </w:trPr>
        <w:tc>
          <w:tcPr>
            <w:tcW w:w="1961"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20"/>
              <w:ind w:left="23"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2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0"/>
              <w:jc w:val="right"/>
              <w:rPr>
                <w:rFonts w:ascii="宋体" w:hAnsi="宋体" w:cs="宋体" w:eastAsia="宋体" w:hint="default"/>
                <w:sz w:val="18"/>
                <w:szCs w:val="18"/>
              </w:rPr>
            </w:pPr>
            <w:r>
              <w:rPr>
                <w:rFonts w:ascii="宋体"/>
                <w:spacing w:val="-2"/>
                <w:sz w:val="18"/>
              </w:rPr>
              <w:t>429,684,583.57</w:t>
            </w:r>
          </w:p>
        </w:tc>
        <w:tc>
          <w:tcPr>
            <w:tcW w:w="20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3038"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20"/>
              <w:ind w:right="3"/>
              <w:jc w:val="right"/>
              <w:rPr>
                <w:rFonts w:ascii="宋体" w:hAnsi="宋体" w:cs="宋体" w:eastAsia="宋体" w:hint="default"/>
                <w:sz w:val="18"/>
                <w:szCs w:val="18"/>
              </w:rPr>
            </w:pPr>
            <w:r>
              <w:rPr>
                <w:rFonts w:ascii="宋体"/>
                <w:spacing w:val="-2"/>
                <w:sz w:val="18"/>
              </w:rPr>
              <w:t>429,382,502.37</w:t>
            </w:r>
          </w:p>
        </w:tc>
      </w:tr>
    </w:tbl>
    <w:p>
      <w:pPr>
        <w:pStyle w:val="BodyText"/>
        <w:spacing w:line="240" w:lineRule="auto" w:before="19"/>
        <w:ind w:left="633" w:right="0"/>
        <w:jc w:val="left"/>
      </w:pPr>
      <w:r>
        <w:rPr>
          <w:rFonts w:ascii="宋体" w:hAnsi="宋体" w:cs="宋体" w:eastAsia="宋体" w:hint="default"/>
        </w:rPr>
        <w:t>b</w:t>
      </w:r>
      <w:r>
        <w:rPr/>
        <w:t>、对母公司财务报表的影响</w:t>
      </w:r>
    </w:p>
    <w:p>
      <w:pPr>
        <w:spacing w:line="240" w:lineRule="auto" w:before="0"/>
        <w:rPr>
          <w:rFonts w:ascii="宋体" w:hAnsi="宋体" w:cs="宋体" w:eastAsia="宋体" w:hint="default"/>
          <w:sz w:val="5"/>
          <w:szCs w:val="5"/>
        </w:rPr>
      </w:pPr>
    </w:p>
    <w:tbl>
      <w:tblPr>
        <w:tblW w:w="0" w:type="auto"/>
        <w:jc w:val="left"/>
        <w:tblInd w:w="146" w:type="dxa"/>
        <w:tblLayout w:type="fixed"/>
        <w:tblCellMar>
          <w:top w:w="0" w:type="dxa"/>
          <w:left w:w="0" w:type="dxa"/>
          <w:bottom w:w="0" w:type="dxa"/>
          <w:right w:w="0" w:type="dxa"/>
        </w:tblCellMar>
        <w:tblLook w:val="01E0"/>
      </w:tblPr>
      <w:tblGrid>
        <w:gridCol w:w="2514"/>
        <w:gridCol w:w="2127"/>
        <w:gridCol w:w="1767"/>
        <w:gridCol w:w="3364"/>
      </w:tblGrid>
      <w:tr>
        <w:trPr>
          <w:trHeight w:val="351" w:hRule="exact"/>
        </w:trPr>
        <w:tc>
          <w:tcPr>
            <w:tcW w:w="4641" w:type="dxa"/>
            <w:gridSpan w:val="2"/>
            <w:tcBorders>
              <w:top w:val="single" w:sz="6" w:space="0" w:color="000000"/>
              <w:left w:val="nil" w:sz="6" w:space="0" w:color="auto"/>
              <w:bottom w:val="single" w:sz="6" w:space="0" w:color="000000"/>
              <w:right w:val="single" w:sz="6" w:space="0" w:color="000000"/>
            </w:tcBorders>
          </w:tcPr>
          <w:p>
            <w:pPr>
              <w:pStyle w:val="TableParagraph"/>
              <w:spacing w:line="240" w:lineRule="auto" w:before="20"/>
              <w:ind w:left="1234" w:right="0"/>
              <w:jc w:val="left"/>
              <w:rPr>
                <w:rFonts w:ascii="宋体" w:hAnsi="宋体" w:cs="宋体" w:eastAsia="宋体" w:hint="default"/>
                <w:sz w:val="18"/>
                <w:szCs w:val="18"/>
              </w:rPr>
            </w:pPr>
            <w:r>
              <w:rPr>
                <w:rFonts w:ascii="宋体" w:hAnsi="宋体" w:cs="宋体" w:eastAsia="宋体" w:hint="default"/>
                <w:b/>
                <w:bCs/>
                <w:sz w:val="18"/>
                <w:szCs w:val="18"/>
              </w:rPr>
              <w:t>2018</w:t>
            </w:r>
            <w:r>
              <w:rPr>
                <w:rFonts w:ascii="宋体" w:hAnsi="宋体" w:cs="宋体" w:eastAsia="宋体" w:hint="default"/>
                <w:b/>
                <w:bCs/>
                <w:sz w:val="18"/>
                <w:szCs w:val="18"/>
              </w:rPr>
              <w:t>年</w:t>
            </w:r>
            <w:r>
              <w:rPr>
                <w:rFonts w:ascii="宋体" w:hAnsi="宋体" w:cs="宋体" w:eastAsia="宋体" w:hint="default"/>
                <w:b/>
                <w:bCs/>
                <w:sz w:val="18"/>
                <w:szCs w:val="18"/>
              </w:rPr>
              <w:t>12</w:t>
            </w:r>
            <w:r>
              <w:rPr>
                <w:rFonts w:ascii="宋体" w:hAnsi="宋体" w:cs="宋体" w:eastAsia="宋体" w:hint="default"/>
                <w:b/>
                <w:bCs/>
                <w:sz w:val="18"/>
                <w:szCs w:val="18"/>
              </w:rPr>
              <w:t>月</w:t>
            </w:r>
            <w:r>
              <w:rPr>
                <w:rFonts w:ascii="宋体" w:hAnsi="宋体" w:cs="宋体" w:eastAsia="宋体" w:hint="default"/>
                <w:b/>
                <w:bCs/>
                <w:sz w:val="18"/>
                <w:szCs w:val="18"/>
              </w:rPr>
              <w:t>31</w:t>
            </w:r>
            <w:r>
              <w:rPr>
                <w:rFonts w:ascii="宋体" w:hAnsi="宋体" w:cs="宋体" w:eastAsia="宋体" w:hint="default"/>
                <w:b/>
                <w:bCs/>
                <w:sz w:val="18"/>
                <w:szCs w:val="18"/>
              </w:rPr>
              <w:t>日（变更前）</w:t>
            </w:r>
            <w:r>
              <w:rPr>
                <w:rFonts w:ascii="宋体" w:hAnsi="宋体" w:cs="宋体" w:eastAsia="宋体" w:hint="default"/>
                <w:sz w:val="18"/>
                <w:szCs w:val="18"/>
              </w:rPr>
            </w:r>
          </w:p>
        </w:tc>
        <w:tc>
          <w:tcPr>
            <w:tcW w:w="5131" w:type="dxa"/>
            <w:gridSpan w:val="2"/>
            <w:tcBorders>
              <w:top w:val="single" w:sz="6" w:space="0" w:color="000000"/>
              <w:left w:val="single" w:sz="6" w:space="0" w:color="000000"/>
              <w:bottom w:val="single" w:sz="6" w:space="0" w:color="000000"/>
              <w:right w:val="nil" w:sz="6" w:space="0" w:color="auto"/>
            </w:tcBorders>
          </w:tcPr>
          <w:p>
            <w:pPr>
              <w:pStyle w:val="TableParagraph"/>
              <w:spacing w:line="240" w:lineRule="auto" w:before="20"/>
              <w:ind w:left="1560" w:right="0"/>
              <w:jc w:val="left"/>
              <w:rPr>
                <w:rFonts w:ascii="宋体" w:hAnsi="宋体" w:cs="宋体" w:eastAsia="宋体" w:hint="default"/>
                <w:sz w:val="18"/>
                <w:szCs w:val="18"/>
              </w:rPr>
            </w:pPr>
            <w:r>
              <w:rPr>
                <w:rFonts w:ascii="宋体" w:hAnsi="宋体" w:cs="宋体" w:eastAsia="宋体" w:hint="default"/>
                <w:b/>
                <w:bCs/>
                <w:sz w:val="18"/>
                <w:szCs w:val="18"/>
              </w:rPr>
              <w:t>2019</w:t>
            </w:r>
            <w:r>
              <w:rPr>
                <w:rFonts w:ascii="宋体" w:hAnsi="宋体" w:cs="宋体" w:eastAsia="宋体" w:hint="default"/>
                <w:b/>
                <w:bCs/>
                <w:sz w:val="18"/>
                <w:szCs w:val="18"/>
              </w:rPr>
              <w:t>年</w:t>
            </w:r>
            <w:r>
              <w:rPr>
                <w:rFonts w:ascii="宋体" w:hAnsi="宋体" w:cs="宋体" w:eastAsia="宋体" w:hint="default"/>
                <w:b/>
                <w:bCs/>
                <w:sz w:val="18"/>
                <w:szCs w:val="18"/>
              </w:rPr>
              <w:t>1</w:t>
            </w:r>
            <w:r>
              <w:rPr>
                <w:rFonts w:ascii="宋体" w:hAnsi="宋体" w:cs="宋体" w:eastAsia="宋体" w:hint="default"/>
                <w:b/>
                <w:bCs/>
                <w:sz w:val="18"/>
                <w:szCs w:val="18"/>
              </w:rPr>
              <w:t>月</w:t>
            </w:r>
            <w:r>
              <w:rPr>
                <w:rFonts w:ascii="宋体" w:hAnsi="宋体" w:cs="宋体" w:eastAsia="宋体" w:hint="default"/>
                <w:b/>
                <w:bCs/>
                <w:sz w:val="18"/>
                <w:szCs w:val="18"/>
              </w:rPr>
              <w:t>1</w:t>
            </w:r>
            <w:r>
              <w:rPr>
                <w:rFonts w:ascii="宋体" w:hAnsi="宋体" w:cs="宋体" w:eastAsia="宋体" w:hint="default"/>
                <w:b/>
                <w:bCs/>
                <w:sz w:val="18"/>
                <w:szCs w:val="18"/>
              </w:rPr>
              <w:t>日（变更后）</w:t>
            </w:r>
            <w:r>
              <w:rPr>
                <w:rFonts w:ascii="宋体" w:hAnsi="宋体" w:cs="宋体" w:eastAsia="宋体" w:hint="default"/>
                <w:sz w:val="18"/>
                <w:szCs w:val="18"/>
              </w:rPr>
            </w:r>
          </w:p>
        </w:tc>
      </w:tr>
      <w:tr>
        <w:trPr>
          <w:trHeight w:val="346" w:hRule="exact"/>
        </w:trPr>
        <w:tc>
          <w:tcPr>
            <w:tcW w:w="2514"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20"/>
              <w:ind w:left="9"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700" w:right="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c>
        <w:tc>
          <w:tcPr>
            <w:tcW w:w="17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364"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20"/>
              <w:ind w:right="3"/>
              <w:jc w:val="center"/>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c>
      </w:tr>
      <w:tr>
        <w:trPr>
          <w:trHeight w:val="346" w:hRule="exact"/>
        </w:trPr>
        <w:tc>
          <w:tcPr>
            <w:tcW w:w="2514"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20"/>
              <w:ind w:left="9"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859" w:right="-10"/>
              <w:jc w:val="left"/>
              <w:rPr>
                <w:rFonts w:ascii="宋体" w:hAnsi="宋体" w:cs="宋体" w:eastAsia="宋体" w:hint="default"/>
                <w:sz w:val="18"/>
                <w:szCs w:val="18"/>
              </w:rPr>
            </w:pPr>
            <w:r>
              <w:rPr>
                <w:rFonts w:ascii="宋体"/>
                <w:spacing w:val="-2"/>
                <w:sz w:val="18"/>
              </w:rPr>
              <w:t>118,267,038.54</w:t>
            </w:r>
          </w:p>
        </w:tc>
        <w:tc>
          <w:tcPr>
            <w:tcW w:w="17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pacing w:val="-3"/>
                <w:sz w:val="18"/>
                <w:szCs w:val="18"/>
              </w:rPr>
              <w:t>交易性金融资产</w:t>
            </w:r>
          </w:p>
        </w:tc>
        <w:tc>
          <w:tcPr>
            <w:tcW w:w="3364"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20"/>
              <w:ind w:left="2088" w:right="0"/>
              <w:jc w:val="left"/>
              <w:rPr>
                <w:rFonts w:ascii="宋体" w:hAnsi="宋体" w:cs="宋体" w:eastAsia="宋体" w:hint="default"/>
                <w:sz w:val="18"/>
                <w:szCs w:val="18"/>
              </w:rPr>
            </w:pPr>
            <w:r>
              <w:rPr>
                <w:rFonts w:ascii="宋体"/>
                <w:spacing w:val="-2"/>
                <w:sz w:val="18"/>
              </w:rPr>
              <w:t>101,606,000.00</w:t>
            </w:r>
          </w:p>
        </w:tc>
      </w:tr>
    </w:tbl>
    <w:p>
      <w:pPr>
        <w:spacing w:after="0" w:line="240" w:lineRule="auto"/>
        <w:jc w:val="left"/>
        <w:rPr>
          <w:rFonts w:ascii="宋体" w:hAnsi="宋体" w:cs="宋体" w:eastAsia="宋体" w:hint="default"/>
          <w:sz w:val="18"/>
          <w:szCs w:val="18"/>
        </w:rPr>
        <w:sectPr>
          <w:pgSz w:w="11910" w:h="16840"/>
          <w:pgMar w:header="784" w:footer="1022" w:top="1100" w:bottom="1220" w:left="980" w:right="0"/>
        </w:sectPr>
      </w:pPr>
    </w:p>
    <w:p>
      <w:pPr>
        <w:spacing w:line="240" w:lineRule="auto" w:before="7"/>
        <w:rPr>
          <w:rFonts w:ascii="宋体" w:hAnsi="宋体" w:cs="宋体" w:eastAsia="宋体" w:hint="default"/>
          <w:sz w:val="25"/>
          <w:szCs w:val="25"/>
        </w:rPr>
      </w:pPr>
    </w:p>
    <w:tbl>
      <w:tblPr>
        <w:tblW w:w="0" w:type="auto"/>
        <w:jc w:val="left"/>
        <w:tblInd w:w="131" w:type="dxa"/>
        <w:tblLayout w:type="fixed"/>
        <w:tblCellMar>
          <w:top w:w="0" w:type="dxa"/>
          <w:left w:w="0" w:type="dxa"/>
          <w:bottom w:w="0" w:type="dxa"/>
          <w:right w:w="0" w:type="dxa"/>
        </w:tblCellMar>
        <w:tblLook w:val="01E0"/>
      </w:tblPr>
      <w:tblGrid>
        <w:gridCol w:w="2528"/>
        <w:gridCol w:w="2127"/>
        <w:gridCol w:w="1767"/>
        <w:gridCol w:w="3364"/>
      </w:tblGrid>
      <w:tr>
        <w:trPr>
          <w:trHeight w:val="346" w:hRule="exact"/>
        </w:trPr>
        <w:tc>
          <w:tcPr>
            <w:tcW w:w="2528" w:type="dxa"/>
            <w:tcBorders>
              <w:top w:val="single" w:sz="6" w:space="0" w:color="000000"/>
              <w:left w:val="nil" w:sz="6" w:space="0" w:color="auto"/>
              <w:bottom w:val="single" w:sz="6" w:space="0" w:color="000000"/>
              <w:right w:val="single" w:sz="6" w:space="0" w:color="000000"/>
            </w:tcBorders>
          </w:tcPr>
          <w:p>
            <w:pPr/>
          </w:p>
        </w:tc>
        <w:tc>
          <w:tcPr>
            <w:tcW w:w="2127" w:type="dxa"/>
            <w:tcBorders>
              <w:top w:val="single" w:sz="6" w:space="0" w:color="000000"/>
              <w:left w:val="single" w:sz="6" w:space="0" w:color="000000"/>
              <w:bottom w:val="single" w:sz="6" w:space="0" w:color="000000"/>
              <w:right w:val="single" w:sz="6" w:space="0" w:color="000000"/>
            </w:tcBorders>
          </w:tcPr>
          <w:p>
            <w:pPr/>
          </w:p>
        </w:tc>
        <w:tc>
          <w:tcPr>
            <w:tcW w:w="17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3364"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20"/>
              <w:ind w:right="7"/>
              <w:jc w:val="right"/>
              <w:rPr>
                <w:rFonts w:ascii="宋体" w:hAnsi="宋体" w:cs="宋体" w:eastAsia="宋体" w:hint="default"/>
                <w:sz w:val="18"/>
                <w:szCs w:val="18"/>
              </w:rPr>
            </w:pPr>
            <w:r>
              <w:rPr>
                <w:rFonts w:ascii="宋体"/>
                <w:spacing w:val="-2"/>
                <w:sz w:val="18"/>
              </w:rPr>
              <w:t>16,661,038.54</w:t>
            </w:r>
          </w:p>
        </w:tc>
      </w:tr>
      <w:tr>
        <w:trPr>
          <w:trHeight w:val="350" w:hRule="exact"/>
        </w:trPr>
        <w:tc>
          <w:tcPr>
            <w:tcW w:w="2528"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25"/>
              <w:ind w:left="23"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5"/>
              <w:ind w:left="946" w:right="-10"/>
              <w:jc w:val="left"/>
              <w:rPr>
                <w:rFonts w:ascii="宋体" w:hAnsi="宋体" w:cs="宋体" w:eastAsia="宋体" w:hint="default"/>
                <w:sz w:val="18"/>
                <w:szCs w:val="18"/>
              </w:rPr>
            </w:pPr>
            <w:r>
              <w:rPr>
                <w:rFonts w:ascii="宋体"/>
                <w:sz w:val="18"/>
              </w:rPr>
              <w:t>10,000,000.00</w:t>
            </w:r>
          </w:p>
        </w:tc>
        <w:tc>
          <w:tcPr>
            <w:tcW w:w="17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5"/>
              <w:ind w:left="67" w:right="0"/>
              <w:jc w:val="left"/>
              <w:rPr>
                <w:rFonts w:ascii="宋体" w:hAnsi="宋体" w:cs="宋体" w:eastAsia="宋体" w:hint="default"/>
                <w:sz w:val="18"/>
                <w:szCs w:val="18"/>
              </w:rPr>
            </w:pPr>
            <w:r>
              <w:rPr>
                <w:rFonts w:ascii="宋体" w:hAnsi="宋体" w:cs="宋体" w:eastAsia="宋体" w:hint="default"/>
                <w:spacing w:val="-3"/>
                <w:sz w:val="18"/>
                <w:szCs w:val="18"/>
              </w:rPr>
              <w:t>其他非流动金融资产</w:t>
            </w:r>
          </w:p>
        </w:tc>
        <w:tc>
          <w:tcPr>
            <w:tcW w:w="3364"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25"/>
              <w:ind w:right="3"/>
              <w:jc w:val="right"/>
              <w:rPr>
                <w:rFonts w:ascii="宋体" w:hAnsi="宋体" w:cs="宋体" w:eastAsia="宋体" w:hint="default"/>
                <w:sz w:val="18"/>
                <w:szCs w:val="18"/>
              </w:rPr>
            </w:pPr>
            <w:r>
              <w:rPr>
                <w:rFonts w:ascii="宋体"/>
                <w:spacing w:val="-1"/>
                <w:sz w:val="18"/>
              </w:rPr>
              <w:t>10,000,000.00</w:t>
            </w:r>
          </w:p>
        </w:tc>
      </w:tr>
    </w:tbl>
    <w:p>
      <w:pPr>
        <w:spacing w:line="240" w:lineRule="auto" w:before="2"/>
        <w:rPr>
          <w:rFonts w:ascii="宋体" w:hAnsi="宋体" w:cs="宋体" w:eastAsia="宋体" w:hint="default"/>
          <w:sz w:val="21"/>
          <w:szCs w:val="21"/>
        </w:rPr>
      </w:pPr>
    </w:p>
    <w:p>
      <w:pPr>
        <w:pStyle w:val="BodyText"/>
        <w:spacing w:line="240" w:lineRule="auto"/>
        <w:ind w:left="633" w:right="0"/>
        <w:jc w:val="left"/>
      </w:pPr>
      <w:r>
        <w:rPr>
          <w:spacing w:val="-3"/>
        </w:rPr>
        <w:t>②执行其他会计政策变更，对可比期间的财务报表的项目与金额产生影响如下：</w:t>
      </w:r>
    </w:p>
    <w:p>
      <w:pPr>
        <w:spacing w:line="240" w:lineRule="auto" w:before="0"/>
        <w:rPr>
          <w:rFonts w:ascii="宋体" w:hAnsi="宋体" w:cs="宋体" w:eastAsia="宋体" w:hint="default"/>
          <w:sz w:val="5"/>
          <w:szCs w:val="5"/>
        </w:rPr>
      </w:pPr>
    </w:p>
    <w:tbl>
      <w:tblPr>
        <w:tblW w:w="0" w:type="auto"/>
        <w:jc w:val="left"/>
        <w:tblInd w:w="146" w:type="dxa"/>
        <w:tblLayout w:type="fixed"/>
        <w:tblCellMar>
          <w:top w:w="0" w:type="dxa"/>
          <w:left w:w="0" w:type="dxa"/>
          <w:bottom w:w="0" w:type="dxa"/>
          <w:right w:w="0" w:type="dxa"/>
        </w:tblCellMar>
        <w:tblLook w:val="01E0"/>
      </w:tblPr>
      <w:tblGrid>
        <w:gridCol w:w="2634"/>
        <w:gridCol w:w="2454"/>
        <w:gridCol w:w="1911"/>
        <w:gridCol w:w="2706"/>
      </w:tblGrid>
      <w:tr>
        <w:trPr>
          <w:trHeight w:val="346" w:hRule="exact"/>
        </w:trPr>
        <w:tc>
          <w:tcPr>
            <w:tcW w:w="5088" w:type="dxa"/>
            <w:gridSpan w:val="2"/>
            <w:tcBorders>
              <w:top w:val="single" w:sz="6" w:space="0" w:color="000000"/>
              <w:left w:val="nil" w:sz="6" w:space="0" w:color="auto"/>
              <w:bottom w:val="single" w:sz="6" w:space="0" w:color="000000"/>
              <w:right w:val="single" w:sz="6" w:space="0" w:color="000000"/>
            </w:tcBorders>
          </w:tcPr>
          <w:p>
            <w:pPr>
              <w:pStyle w:val="TableParagraph"/>
              <w:spacing w:line="240" w:lineRule="auto" w:before="20"/>
              <w:ind w:left="1642" w:right="0"/>
              <w:jc w:val="left"/>
              <w:rPr>
                <w:rFonts w:ascii="宋体" w:hAnsi="宋体" w:cs="宋体" w:eastAsia="宋体" w:hint="default"/>
                <w:sz w:val="18"/>
                <w:szCs w:val="18"/>
              </w:rPr>
            </w:pPr>
            <w:r>
              <w:rPr>
                <w:rFonts w:ascii="宋体" w:hAnsi="宋体" w:cs="宋体" w:eastAsia="宋体" w:hint="default"/>
                <w:sz w:val="18"/>
                <w:szCs w:val="18"/>
              </w:rPr>
              <w:t>原列报报表项目及金额</w:t>
            </w:r>
          </w:p>
        </w:tc>
        <w:tc>
          <w:tcPr>
            <w:tcW w:w="4617" w:type="dxa"/>
            <w:gridSpan w:val="2"/>
            <w:tcBorders>
              <w:top w:val="single" w:sz="6" w:space="0" w:color="000000"/>
              <w:left w:val="single" w:sz="6" w:space="0" w:color="000000"/>
              <w:bottom w:val="single" w:sz="6" w:space="0" w:color="000000"/>
              <w:right w:val="nil" w:sz="6" w:space="0" w:color="auto"/>
            </w:tcBorders>
          </w:tcPr>
          <w:p>
            <w:pPr>
              <w:pStyle w:val="TableParagraph"/>
              <w:spacing w:line="240" w:lineRule="auto" w:before="20"/>
              <w:ind w:left="1401" w:right="0"/>
              <w:jc w:val="left"/>
              <w:rPr>
                <w:rFonts w:ascii="宋体" w:hAnsi="宋体" w:cs="宋体" w:eastAsia="宋体" w:hint="default"/>
                <w:sz w:val="18"/>
                <w:szCs w:val="18"/>
              </w:rPr>
            </w:pPr>
            <w:r>
              <w:rPr>
                <w:rFonts w:ascii="宋体" w:hAnsi="宋体" w:cs="宋体" w:eastAsia="宋体" w:hint="default"/>
                <w:sz w:val="18"/>
                <w:szCs w:val="18"/>
              </w:rPr>
              <w:t>新列报报表项目及金额</w:t>
            </w:r>
          </w:p>
        </w:tc>
      </w:tr>
      <w:tr>
        <w:trPr>
          <w:trHeight w:val="346" w:hRule="exact"/>
        </w:trPr>
        <w:tc>
          <w:tcPr>
            <w:tcW w:w="2634" w:type="dxa"/>
            <w:vMerge w:val="restart"/>
            <w:tcBorders>
              <w:top w:val="single" w:sz="6" w:space="0" w:color="000000"/>
              <w:left w:val="nil" w:sz="6" w:space="0" w:color="auto"/>
              <w:right w:val="single" w:sz="6" w:space="0" w:color="000000"/>
            </w:tcBorders>
          </w:tcPr>
          <w:p>
            <w:pPr>
              <w:pStyle w:val="TableParagraph"/>
              <w:spacing w:line="240" w:lineRule="auto" w:before="20"/>
              <w:ind w:left="9" w:right="0"/>
              <w:jc w:val="left"/>
              <w:rPr>
                <w:rFonts w:ascii="宋体" w:hAnsi="宋体" w:cs="宋体" w:eastAsia="宋体" w:hint="default"/>
                <w:sz w:val="18"/>
                <w:szCs w:val="18"/>
              </w:rPr>
            </w:pPr>
            <w:r>
              <w:rPr>
                <w:rFonts w:ascii="宋体" w:hAnsi="宋体" w:cs="宋体" w:eastAsia="宋体" w:hint="default"/>
                <w:spacing w:val="-3"/>
                <w:sz w:val="18"/>
                <w:szCs w:val="18"/>
              </w:rPr>
              <w:t>应收票据及应收账款</w:t>
            </w:r>
          </w:p>
        </w:tc>
        <w:tc>
          <w:tcPr>
            <w:tcW w:w="2454" w:type="dxa"/>
            <w:vMerge w:val="restart"/>
            <w:tcBorders>
              <w:top w:val="single" w:sz="6" w:space="0" w:color="000000"/>
              <w:left w:val="single" w:sz="6" w:space="0" w:color="000000"/>
              <w:right w:val="single" w:sz="6" w:space="0" w:color="000000"/>
            </w:tcBorders>
          </w:tcPr>
          <w:p>
            <w:pPr>
              <w:pStyle w:val="TableParagraph"/>
              <w:spacing w:line="240" w:lineRule="auto" w:before="20"/>
              <w:ind w:left="1090" w:right="0"/>
              <w:jc w:val="left"/>
              <w:rPr>
                <w:rFonts w:ascii="宋体" w:hAnsi="宋体" w:cs="宋体" w:eastAsia="宋体" w:hint="default"/>
                <w:sz w:val="18"/>
                <w:szCs w:val="18"/>
              </w:rPr>
            </w:pPr>
            <w:r>
              <w:rPr>
                <w:rFonts w:ascii="宋体"/>
                <w:sz w:val="18"/>
              </w:rPr>
              <w:t>869,801,744.37</w:t>
            </w:r>
          </w:p>
        </w:tc>
        <w:tc>
          <w:tcPr>
            <w:tcW w:w="19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2706"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20"/>
              <w:ind w:right="99"/>
              <w:jc w:val="right"/>
              <w:rPr>
                <w:rFonts w:ascii="宋体" w:hAnsi="宋体" w:cs="宋体" w:eastAsia="宋体" w:hint="default"/>
                <w:sz w:val="18"/>
                <w:szCs w:val="18"/>
              </w:rPr>
            </w:pPr>
            <w:r>
              <w:rPr>
                <w:rFonts w:ascii="宋体"/>
                <w:w w:val="101"/>
                <w:sz w:val="18"/>
              </w:rPr>
              <w:t>-</w:t>
            </w:r>
            <w:r>
              <w:rPr>
                <w:rFonts w:ascii="宋体"/>
                <w:sz w:val="18"/>
              </w:rPr>
            </w:r>
          </w:p>
        </w:tc>
      </w:tr>
      <w:tr>
        <w:trPr>
          <w:trHeight w:val="350" w:hRule="exact"/>
        </w:trPr>
        <w:tc>
          <w:tcPr>
            <w:tcW w:w="2634" w:type="dxa"/>
            <w:vMerge/>
            <w:tcBorders>
              <w:left w:val="nil" w:sz="6" w:space="0" w:color="auto"/>
              <w:bottom w:val="single" w:sz="6" w:space="0" w:color="000000"/>
              <w:right w:val="single" w:sz="6" w:space="0" w:color="000000"/>
            </w:tcBorders>
          </w:tcPr>
          <w:p>
            <w:pPr/>
          </w:p>
        </w:tc>
        <w:tc>
          <w:tcPr>
            <w:tcW w:w="2454" w:type="dxa"/>
            <w:vMerge/>
            <w:tcBorders>
              <w:left w:val="single" w:sz="6" w:space="0" w:color="000000"/>
              <w:bottom w:val="single" w:sz="6" w:space="0" w:color="000000"/>
              <w:right w:val="single" w:sz="6" w:space="0" w:color="000000"/>
            </w:tcBorders>
          </w:tcPr>
          <w:p>
            <w:pPr/>
          </w:p>
        </w:tc>
        <w:tc>
          <w:tcPr>
            <w:tcW w:w="19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706"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20"/>
              <w:ind w:right="94"/>
              <w:jc w:val="right"/>
              <w:rPr>
                <w:rFonts w:ascii="宋体" w:hAnsi="宋体" w:cs="宋体" w:eastAsia="宋体" w:hint="default"/>
                <w:sz w:val="18"/>
                <w:szCs w:val="18"/>
              </w:rPr>
            </w:pPr>
            <w:r>
              <w:rPr>
                <w:rFonts w:ascii="宋体"/>
                <w:spacing w:val="-2"/>
                <w:sz w:val="18"/>
              </w:rPr>
              <w:t>869,801,744.37</w:t>
            </w:r>
          </w:p>
        </w:tc>
      </w:tr>
      <w:tr>
        <w:trPr>
          <w:trHeight w:val="346" w:hRule="exact"/>
        </w:trPr>
        <w:tc>
          <w:tcPr>
            <w:tcW w:w="2634" w:type="dxa"/>
            <w:vMerge w:val="restart"/>
            <w:tcBorders>
              <w:top w:val="single" w:sz="6" w:space="0" w:color="000000"/>
              <w:left w:val="nil" w:sz="6" w:space="0" w:color="auto"/>
              <w:right w:val="single" w:sz="6" w:space="0" w:color="000000"/>
            </w:tcBorders>
          </w:tcPr>
          <w:p>
            <w:pPr>
              <w:pStyle w:val="TableParagraph"/>
              <w:spacing w:line="240" w:lineRule="auto" w:before="20"/>
              <w:ind w:left="9" w:right="0"/>
              <w:jc w:val="left"/>
              <w:rPr>
                <w:rFonts w:ascii="宋体" w:hAnsi="宋体" w:cs="宋体" w:eastAsia="宋体" w:hint="default"/>
                <w:sz w:val="18"/>
                <w:szCs w:val="18"/>
              </w:rPr>
            </w:pPr>
            <w:r>
              <w:rPr>
                <w:rFonts w:ascii="宋体" w:hAnsi="宋体" w:cs="宋体" w:eastAsia="宋体" w:hint="default"/>
                <w:spacing w:val="-3"/>
                <w:sz w:val="18"/>
                <w:szCs w:val="18"/>
              </w:rPr>
              <w:t>应付票据及应付账款</w:t>
            </w:r>
          </w:p>
        </w:tc>
        <w:tc>
          <w:tcPr>
            <w:tcW w:w="2454" w:type="dxa"/>
            <w:vMerge w:val="restart"/>
            <w:tcBorders>
              <w:top w:val="single" w:sz="6" w:space="0" w:color="000000"/>
              <w:left w:val="single" w:sz="6" w:space="0" w:color="000000"/>
              <w:right w:val="single" w:sz="6" w:space="0" w:color="000000"/>
            </w:tcBorders>
          </w:tcPr>
          <w:p>
            <w:pPr>
              <w:pStyle w:val="TableParagraph"/>
              <w:spacing w:line="240" w:lineRule="auto" w:before="20"/>
              <w:ind w:left="1090" w:right="0"/>
              <w:jc w:val="left"/>
              <w:rPr>
                <w:rFonts w:ascii="宋体" w:hAnsi="宋体" w:cs="宋体" w:eastAsia="宋体" w:hint="default"/>
                <w:sz w:val="18"/>
                <w:szCs w:val="18"/>
              </w:rPr>
            </w:pPr>
            <w:r>
              <w:rPr>
                <w:rFonts w:ascii="宋体"/>
                <w:sz w:val="18"/>
              </w:rPr>
              <w:t>626,534,420.36</w:t>
            </w:r>
          </w:p>
        </w:tc>
        <w:tc>
          <w:tcPr>
            <w:tcW w:w="19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2706"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20"/>
              <w:ind w:right="94"/>
              <w:jc w:val="right"/>
              <w:rPr>
                <w:rFonts w:ascii="宋体" w:hAnsi="宋体" w:cs="宋体" w:eastAsia="宋体" w:hint="default"/>
                <w:sz w:val="18"/>
                <w:szCs w:val="18"/>
              </w:rPr>
            </w:pPr>
            <w:r>
              <w:rPr>
                <w:rFonts w:ascii="宋体"/>
                <w:spacing w:val="-1"/>
                <w:sz w:val="18"/>
              </w:rPr>
              <w:t>30,590,360.43</w:t>
            </w:r>
          </w:p>
        </w:tc>
      </w:tr>
      <w:tr>
        <w:trPr>
          <w:trHeight w:val="346" w:hRule="exact"/>
        </w:trPr>
        <w:tc>
          <w:tcPr>
            <w:tcW w:w="2634" w:type="dxa"/>
            <w:vMerge/>
            <w:tcBorders>
              <w:left w:val="nil" w:sz="6" w:space="0" w:color="auto"/>
              <w:bottom w:val="single" w:sz="6" w:space="0" w:color="000000"/>
              <w:right w:val="single" w:sz="6" w:space="0" w:color="000000"/>
            </w:tcBorders>
          </w:tcPr>
          <w:p>
            <w:pPr/>
          </w:p>
        </w:tc>
        <w:tc>
          <w:tcPr>
            <w:tcW w:w="2454" w:type="dxa"/>
            <w:vMerge/>
            <w:tcBorders>
              <w:left w:val="single" w:sz="6" w:space="0" w:color="000000"/>
              <w:bottom w:val="single" w:sz="6" w:space="0" w:color="000000"/>
              <w:right w:val="single" w:sz="6" w:space="0" w:color="000000"/>
            </w:tcBorders>
          </w:tcPr>
          <w:p>
            <w:pPr/>
          </w:p>
        </w:tc>
        <w:tc>
          <w:tcPr>
            <w:tcW w:w="19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706"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20"/>
              <w:ind w:right="94"/>
              <w:jc w:val="right"/>
              <w:rPr>
                <w:rFonts w:ascii="宋体" w:hAnsi="宋体" w:cs="宋体" w:eastAsia="宋体" w:hint="default"/>
                <w:sz w:val="18"/>
                <w:szCs w:val="18"/>
              </w:rPr>
            </w:pPr>
            <w:r>
              <w:rPr>
                <w:rFonts w:ascii="宋体"/>
                <w:spacing w:val="-2"/>
                <w:sz w:val="18"/>
              </w:rPr>
              <w:t>595,944,059.93</w:t>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3"/>
          <w:szCs w:val="23"/>
        </w:rPr>
      </w:pPr>
    </w:p>
    <w:p>
      <w:pPr>
        <w:pStyle w:val="Heading4"/>
        <w:spacing w:line="240" w:lineRule="auto" w:before="36"/>
        <w:ind w:right="0"/>
        <w:jc w:val="left"/>
        <w:rPr>
          <w:b w:val="0"/>
          <w:bCs w:val="0"/>
        </w:rPr>
      </w:pPr>
      <w:bookmarkStart w:name="（2）重要会计估计变更" w:id="230"/>
      <w:bookmarkEnd w:id="230"/>
      <w:r>
        <w:rPr>
          <w:b w:val="0"/>
          <w:bCs w:val="0"/>
        </w:rPr>
      </w:r>
      <w:r>
        <w:rPr/>
        <w:t>（</w:t>
      </w:r>
      <w:r>
        <w:rPr>
          <w:rFonts w:ascii="Times New Roman" w:hAnsi="Times New Roman" w:cs="Times New Roman" w:eastAsia="Times New Roman" w:hint="default"/>
        </w:rPr>
        <w:t>2</w:t>
      </w:r>
      <w:r>
        <w:rPr/>
        <w:t>）重要会计估计变更</w:t>
      </w:r>
      <w:r>
        <w:rPr>
          <w:b w:val="0"/>
          <w:bCs w:val="0"/>
        </w:rPr>
      </w:r>
    </w:p>
    <w:p>
      <w:pPr>
        <w:spacing w:line="240" w:lineRule="auto" w:before="1"/>
        <w:rPr>
          <w:rFonts w:ascii="宋体" w:hAnsi="宋体" w:cs="宋体" w:eastAsia="宋体" w:hint="default"/>
          <w:b/>
          <w:bCs/>
          <w:sz w:val="27"/>
          <w:szCs w:val="27"/>
        </w:rPr>
      </w:pPr>
    </w:p>
    <w:p>
      <w:pPr>
        <w:pStyle w:val="BodyText"/>
        <w:spacing w:line="240" w:lineRule="auto" w:before="0"/>
        <w:ind w:right="0"/>
        <w:jc w:val="left"/>
      </w:pPr>
      <w:r>
        <w:rPr/>
        <w:t>□ </w:t>
      </w:r>
      <w:r>
        <w:rPr>
          <w:spacing w:val="-3"/>
        </w:rPr>
        <w:t>适用 </w:t>
      </w:r>
      <w:r>
        <w:rPr/>
        <w:t>√</w:t>
      </w:r>
      <w:r>
        <w:rPr>
          <w:spacing w:val="13"/>
        </w:rPr>
        <w:t> </w:t>
      </w:r>
      <w:r>
        <w:rPr/>
        <w:t>不适用</w:t>
      </w:r>
    </w:p>
    <w:p>
      <w:pPr>
        <w:spacing w:line="240" w:lineRule="auto" w:before="4"/>
        <w:rPr>
          <w:rFonts w:ascii="宋体" w:hAnsi="宋体" w:cs="宋体" w:eastAsia="宋体" w:hint="default"/>
          <w:sz w:val="26"/>
          <w:szCs w:val="26"/>
        </w:rPr>
      </w:pPr>
    </w:p>
    <w:p>
      <w:pPr>
        <w:pStyle w:val="Heading4"/>
        <w:spacing w:line="240" w:lineRule="auto"/>
        <w:ind w:right="0"/>
        <w:jc w:val="left"/>
        <w:rPr>
          <w:b w:val="0"/>
          <w:bCs w:val="0"/>
        </w:rPr>
      </w:pPr>
      <w:bookmarkStart w:name="（3）2019年起执行新金融工具准则、新收入准则或新租赁准则调整执行当年年初财务" w:id="231"/>
      <w:bookmarkEnd w:id="231"/>
      <w:r>
        <w:rPr>
          <w:b w:val="0"/>
          <w:bCs w:val="0"/>
        </w:rPr>
      </w:r>
      <w:r>
        <w:rPr/>
        <w:t>（</w:t>
      </w:r>
      <w:r>
        <w:rPr>
          <w:rFonts w:ascii="Times New Roman" w:hAnsi="Times New Roman" w:cs="Times New Roman" w:eastAsia="Times New Roman" w:hint="default"/>
        </w:rPr>
        <w:t>3</w:t>
      </w:r>
      <w:r>
        <w:rPr/>
        <w:t>）</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年起执行新金融工具准则、新收入准则或新租赁准则调整执行当年年初财务报表相关项目情况</w:t>
      </w:r>
      <w:r>
        <w:rPr>
          <w:b w:val="0"/>
          <w:bCs w:val="0"/>
        </w:rPr>
      </w:r>
    </w:p>
    <w:p>
      <w:pPr>
        <w:spacing w:line="240" w:lineRule="auto" w:before="6"/>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784" w:footer="1022" w:top="1100" w:bottom="1220" w:left="980" w:right="0"/>
        </w:sectPr>
      </w:pPr>
    </w:p>
    <w:p>
      <w:pPr>
        <w:pStyle w:val="BodyText"/>
        <w:spacing w:line="357" w:lineRule="auto"/>
        <w:ind w:right="-18"/>
        <w:jc w:val="left"/>
      </w:pPr>
      <w:r>
        <w:rPr/>
        <w:t>√ </w:t>
      </w:r>
      <w:r>
        <w:rPr>
          <w:spacing w:val="-3"/>
        </w:rPr>
        <w:t>适用 </w:t>
      </w:r>
      <w:r>
        <w:rPr/>
        <w:t>□</w:t>
      </w:r>
      <w:r>
        <w:rPr>
          <w:spacing w:val="13"/>
        </w:rPr>
        <w:t> </w:t>
      </w:r>
      <w:r>
        <w:rPr/>
        <w:t>不适用</w:t>
      </w:r>
      <w:r>
        <w:rPr>
          <w:w w:val="101"/>
        </w:rPr>
        <w:t> </w:t>
      </w:r>
      <w:r>
        <w:rPr>
          <w:spacing w:val="-3"/>
        </w:rPr>
        <w:t>合并资产负债表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pStyle w:val="BodyText"/>
        <w:spacing w:line="240" w:lineRule="auto" w:before="0"/>
        <w:ind w:right="0"/>
        <w:jc w:val="left"/>
      </w:pPr>
      <w:r>
        <w:rPr/>
        <w:t>单位：元</w:t>
      </w:r>
    </w:p>
    <w:p>
      <w:pPr>
        <w:spacing w:after="0" w:line="240" w:lineRule="auto"/>
        <w:jc w:val="left"/>
        <w:sectPr>
          <w:type w:val="continuous"/>
          <w:pgSz w:w="11910" w:h="16840"/>
          <w:pgMar w:top="1100" w:bottom="1220" w:left="980" w:right="0"/>
          <w:cols w:num="2" w:equalWidth="0">
            <w:col w:w="1690" w:space="7231"/>
            <w:col w:w="2009"/>
          </w:cols>
        </w:sectPr>
      </w:pP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209"/>
        <w:gridCol w:w="2454"/>
        <w:gridCol w:w="2454"/>
        <w:gridCol w:w="2453"/>
      </w:tblGrid>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7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7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c>
          <w:tcPr>
            <w:tcW w:w="24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调整数</w:t>
            </w:r>
          </w:p>
        </w:tc>
      </w:tr>
      <w:tr>
        <w:trPr>
          <w:trHeight w:val="398"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463,500,284.85</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463,500,284.85</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65"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交易性金融资产</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107,106,000.00</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107,106,000.00</w:t>
            </w:r>
          </w:p>
        </w:tc>
      </w:tr>
      <w:tr>
        <w:trPr>
          <w:trHeight w:val="1028"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05" w:right="109" w:firstLine="360"/>
              <w:jc w:val="both"/>
              <w:rPr>
                <w:rFonts w:ascii="宋体" w:hAnsi="宋体" w:cs="宋体" w:eastAsia="宋体" w:hint="default"/>
                <w:sz w:val="18"/>
                <w:szCs w:val="18"/>
              </w:rPr>
            </w:pPr>
            <w:r>
              <w:rPr>
                <w:rFonts w:ascii="宋体" w:hAnsi="宋体" w:cs="宋体" w:eastAsia="宋体" w:hint="default"/>
                <w:spacing w:val="-3"/>
                <w:sz w:val="18"/>
                <w:szCs w:val="18"/>
              </w:rPr>
              <w:t>以公允价值计量且其</w:t>
            </w:r>
            <w:r>
              <w:rPr>
                <w:rFonts w:ascii="宋体" w:hAnsi="宋体" w:cs="宋体" w:eastAsia="宋体" w:hint="default"/>
                <w:w w:val="101"/>
                <w:sz w:val="18"/>
                <w:szCs w:val="18"/>
              </w:rPr>
              <w:t> </w:t>
            </w:r>
            <w:r>
              <w:rPr>
                <w:rFonts w:ascii="宋体" w:hAnsi="宋体" w:cs="宋体" w:eastAsia="宋体" w:hint="default"/>
                <w:spacing w:val="-3"/>
                <w:sz w:val="18"/>
                <w:szCs w:val="18"/>
              </w:rPr>
              <w:t>变动计入当期损益的金融</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宋体" w:hAnsi="宋体" w:cs="宋体" w:eastAsia="宋体" w:hint="default"/>
                <w:sz w:val="18"/>
                <w:szCs w:val="18"/>
              </w:rPr>
              <w:t>资产</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12,750.00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12,750.00</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6,752,403.35</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6,752,403.35</w:t>
            </w:r>
          </w:p>
        </w:tc>
      </w:tr>
      <w:tr>
        <w:trPr>
          <w:trHeight w:val="399"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869,801,744.37</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869,801,744.37</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应收款项融资</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19,076,353.80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19,076,353.80</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65" w:right="0"/>
              <w:jc w:val="left"/>
              <w:rPr>
                <w:rFonts w:ascii="宋体" w:hAnsi="宋体" w:cs="宋体" w:eastAsia="宋体" w:hint="default"/>
                <w:sz w:val="18"/>
                <w:szCs w:val="18"/>
              </w:rPr>
            </w:pPr>
            <w:r>
              <w:rPr>
                <w:rFonts w:ascii="宋体" w:hAnsi="宋体" w:cs="宋体" w:eastAsia="宋体" w:hint="default"/>
                <w:spacing w:val="-3"/>
                <w:sz w:val="18"/>
                <w:szCs w:val="18"/>
              </w:rPr>
              <w:t>应收分保合同准备金</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30,847,606.67</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30,847,606.67</w:t>
            </w:r>
          </w:p>
        </w:tc>
        <w:tc>
          <w:tcPr>
            <w:tcW w:w="2453"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100" w:bottom="1220" w:left="980" w:right="0"/>
        </w:sectPr>
      </w:pPr>
    </w:p>
    <w:p>
      <w:pPr>
        <w:spacing w:line="240" w:lineRule="auto" w:before="1"/>
        <w:rPr>
          <w:rFonts w:ascii="Times New Roman" w:hAnsi="Times New Roman" w:cs="Times New Roman" w:eastAsia="Times New Roman" w:hint="default"/>
          <w:sz w:val="29"/>
          <w:szCs w:val="29"/>
        </w:rPr>
      </w:pPr>
    </w:p>
    <w:tbl>
      <w:tblPr>
        <w:tblW w:w="0" w:type="auto"/>
        <w:jc w:val="left"/>
        <w:tblInd w:w="148" w:type="dxa"/>
        <w:tblLayout w:type="fixed"/>
        <w:tblCellMar>
          <w:top w:w="0" w:type="dxa"/>
          <w:left w:w="0" w:type="dxa"/>
          <w:bottom w:w="0" w:type="dxa"/>
          <w:right w:w="0" w:type="dxa"/>
        </w:tblCellMar>
        <w:tblLook w:val="01E0"/>
      </w:tblPr>
      <w:tblGrid>
        <w:gridCol w:w="2209"/>
        <w:gridCol w:w="2454"/>
        <w:gridCol w:w="2454"/>
        <w:gridCol w:w="2453"/>
      </w:tblGrid>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48" w:right="0"/>
              <w:jc w:val="left"/>
              <w:rPr>
                <w:rFonts w:ascii="宋体" w:hAnsi="宋体" w:cs="宋体" w:eastAsia="宋体" w:hint="default"/>
                <w:sz w:val="18"/>
                <w:szCs w:val="18"/>
              </w:rPr>
            </w:pPr>
            <w:r>
              <w:rPr>
                <w:rFonts w:ascii="宋体" w:hAnsi="宋体" w:cs="宋体" w:eastAsia="宋体" w:hint="default"/>
                <w:spacing w:val="-3"/>
                <w:sz w:val="18"/>
                <w:szCs w:val="18"/>
              </w:rPr>
              <w:t>其中：应收利息</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341,850.62</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341,850.62</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86"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233,094,230.84</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233,094,230.84</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合同资产</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持有待售资产</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8"/>
              <w:ind w:left="105" w:right="109" w:firstLine="360"/>
              <w:jc w:val="left"/>
              <w:rPr>
                <w:rFonts w:ascii="宋体" w:hAnsi="宋体" w:cs="宋体" w:eastAsia="宋体" w:hint="default"/>
                <w:sz w:val="18"/>
                <w:szCs w:val="18"/>
              </w:rPr>
            </w:pPr>
            <w:r>
              <w:rPr>
                <w:rFonts w:ascii="宋体" w:hAnsi="宋体" w:cs="宋体" w:eastAsia="宋体" w:hint="default"/>
                <w:spacing w:val="-3"/>
                <w:sz w:val="18"/>
                <w:szCs w:val="18"/>
              </w:rPr>
              <w:t>一年内到期的非流动</w:t>
            </w:r>
            <w:r>
              <w:rPr>
                <w:rFonts w:ascii="宋体" w:hAnsi="宋体" w:cs="宋体" w:eastAsia="宋体" w:hint="default"/>
                <w:w w:val="101"/>
                <w:sz w:val="18"/>
                <w:szCs w:val="18"/>
              </w:rPr>
              <w:t> </w:t>
            </w:r>
            <w:r>
              <w:rPr>
                <w:rFonts w:ascii="宋体" w:hAnsi="宋体" w:cs="宋体" w:eastAsia="宋体" w:hint="default"/>
                <w:sz w:val="18"/>
                <w:szCs w:val="18"/>
              </w:rPr>
              <w:t>资产</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190,589,070.05</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83,483,070.05</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-107,106,000.00</w:t>
            </w: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1,806,922,040.58</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1,813,674,443.93</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6,752,403.35</w:t>
            </w:r>
          </w:p>
        </w:tc>
      </w:tr>
      <w:tr>
        <w:trPr>
          <w:trHeight w:val="398"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4"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9"/>
              <w:ind w:left="465" w:right="0"/>
              <w:jc w:val="left"/>
              <w:rPr>
                <w:rFonts w:ascii="宋体" w:hAnsi="宋体" w:cs="宋体" w:eastAsia="宋体" w:hint="default"/>
                <w:sz w:val="18"/>
                <w:szCs w:val="18"/>
              </w:rPr>
            </w:pPr>
            <w:r>
              <w:rPr>
                <w:rFonts w:ascii="宋体" w:hAnsi="宋体" w:cs="宋体" w:eastAsia="宋体" w:hint="default"/>
                <w:spacing w:val="-3"/>
                <w:sz w:val="18"/>
                <w:szCs w:val="18"/>
              </w:rPr>
              <w:t>发放贷款和垫款</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债权投资</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13,000,000.00</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-13,000,000.00</w:t>
            </w:r>
          </w:p>
        </w:tc>
      </w:tr>
      <w:tr>
        <w:trPr>
          <w:trHeight w:val="398"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其他债权投资</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9"/>
              <w:ind w:left="465" w:right="0"/>
              <w:jc w:val="left"/>
              <w:rPr>
                <w:rFonts w:ascii="宋体" w:hAnsi="宋体" w:cs="宋体" w:eastAsia="宋体" w:hint="default"/>
                <w:sz w:val="18"/>
                <w:szCs w:val="18"/>
              </w:rPr>
            </w:pPr>
            <w:r>
              <w:rPr>
                <w:rFonts w:ascii="宋体" w:hAnsi="宋体" w:cs="宋体" w:eastAsia="宋体" w:hint="default"/>
                <w:spacing w:val="-3"/>
                <w:sz w:val="18"/>
                <w:szCs w:val="18"/>
              </w:rPr>
              <w:t>持有至到期投资</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3,556,443.61</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3,556,443.61</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其他权益工具投资</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9"/>
              <w:ind w:left="465" w:right="0"/>
              <w:jc w:val="left"/>
              <w:rPr>
                <w:rFonts w:ascii="宋体" w:hAnsi="宋体" w:cs="宋体" w:eastAsia="宋体" w:hint="default"/>
                <w:sz w:val="18"/>
                <w:szCs w:val="18"/>
              </w:rPr>
            </w:pPr>
            <w:r>
              <w:rPr>
                <w:rFonts w:ascii="宋体" w:hAnsi="宋体" w:cs="宋体" w:eastAsia="宋体" w:hint="default"/>
                <w:spacing w:val="-3"/>
                <w:sz w:val="18"/>
                <w:szCs w:val="18"/>
              </w:rPr>
              <w:t>其他非流动金融资产</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99"/>
              <w:jc w:val="right"/>
              <w:rPr>
                <w:rFonts w:ascii="Times New Roman" w:hAnsi="Times New Roman" w:cs="Times New Roman" w:eastAsia="Times New Roman" w:hint="default"/>
                <w:sz w:val="18"/>
                <w:szCs w:val="18"/>
              </w:rPr>
            </w:pPr>
            <w:r>
              <w:rPr>
                <w:rFonts w:ascii="Times New Roman"/>
                <w:spacing w:val="-1"/>
                <w:sz w:val="18"/>
              </w:rPr>
              <w:t>13,000,000.00</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94"/>
              <w:jc w:val="right"/>
              <w:rPr>
                <w:rFonts w:ascii="Times New Roman" w:hAnsi="Times New Roman" w:cs="Times New Roman" w:eastAsia="Times New Roman" w:hint="default"/>
                <w:sz w:val="18"/>
                <w:szCs w:val="18"/>
              </w:rPr>
            </w:pPr>
            <w:r>
              <w:rPr>
                <w:rFonts w:ascii="Times New Roman"/>
                <w:spacing w:val="-1"/>
                <w:sz w:val="18"/>
              </w:rPr>
              <w:t>13,000,000.00</w:t>
            </w: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26,782,166.04</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26,782,166.04</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161,777,040.12</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161,777,040.12</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pacing w:val="-3"/>
                <w:sz w:val="18"/>
                <w:szCs w:val="18"/>
              </w:rPr>
              <w:t>生产性生物资产</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使用权资产</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33,872,888.78</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33,872,888.78</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65"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190,529,767.81</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190,529,767.81</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3,138,236.64</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3,138,236.64</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递延所得税资产</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27,114,094.91</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27,167,403.36</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53,308.45</w:t>
            </w: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pacing w:val="-3"/>
                <w:sz w:val="18"/>
                <w:szCs w:val="18"/>
              </w:rPr>
              <w:t>其他非流动资产</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2,420,383.39</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2,420,383.39</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pacing w:val="-3"/>
                <w:sz w:val="18"/>
                <w:szCs w:val="18"/>
              </w:rPr>
              <w:t>非流动资产合计</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462,191,021.30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462,244,329.75</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53,308.45</w:t>
            </w: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2,269,113,061.88</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pacing w:val="-2"/>
                <w:sz w:val="18"/>
              </w:rPr>
              <w:t>2,275,918,773.68</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6,805,711.80</w:t>
            </w:r>
          </w:p>
        </w:tc>
      </w:tr>
    </w:tbl>
    <w:p>
      <w:pPr>
        <w:spacing w:after="0" w:line="240" w:lineRule="auto"/>
        <w:jc w:val="right"/>
        <w:rPr>
          <w:rFonts w:ascii="Times New Roman" w:hAnsi="Times New Roman" w:cs="Times New Roman" w:eastAsia="Times New Roman" w:hint="default"/>
          <w:sz w:val="18"/>
          <w:szCs w:val="18"/>
        </w:rPr>
        <w:sectPr>
          <w:pgSz w:w="11910" w:h="16840"/>
          <w:pgMar w:header="784" w:footer="1022" w:top="1100" w:bottom="1220" w:left="980" w:right="0"/>
        </w:sectPr>
      </w:pPr>
    </w:p>
    <w:p>
      <w:pPr>
        <w:spacing w:line="240" w:lineRule="auto" w:before="1"/>
        <w:rPr>
          <w:rFonts w:ascii="Times New Roman" w:hAnsi="Times New Roman" w:cs="Times New Roman" w:eastAsia="Times New Roman" w:hint="default"/>
          <w:sz w:val="29"/>
          <w:szCs w:val="29"/>
        </w:rPr>
      </w:pPr>
    </w:p>
    <w:tbl>
      <w:tblPr>
        <w:tblW w:w="0" w:type="auto"/>
        <w:jc w:val="left"/>
        <w:tblInd w:w="148" w:type="dxa"/>
        <w:tblLayout w:type="fixed"/>
        <w:tblCellMar>
          <w:top w:w="0" w:type="dxa"/>
          <w:left w:w="0" w:type="dxa"/>
          <w:bottom w:w="0" w:type="dxa"/>
          <w:right w:w="0" w:type="dxa"/>
        </w:tblCellMar>
        <w:tblLook w:val="01E0"/>
      </w:tblPr>
      <w:tblGrid>
        <w:gridCol w:w="2209"/>
        <w:gridCol w:w="2454"/>
        <w:gridCol w:w="2454"/>
        <w:gridCol w:w="2453"/>
      </w:tblGrid>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98"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100,000,000.00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100,000,000.00</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pacing w:val="-3"/>
                <w:sz w:val="18"/>
                <w:szCs w:val="18"/>
              </w:rPr>
              <w:t>向中央银行借款</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交易性金融负债</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102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105" w:right="108" w:firstLine="360"/>
              <w:jc w:val="both"/>
              <w:rPr>
                <w:rFonts w:ascii="宋体" w:hAnsi="宋体" w:cs="宋体" w:eastAsia="宋体" w:hint="default"/>
                <w:sz w:val="18"/>
                <w:szCs w:val="18"/>
              </w:rPr>
            </w:pPr>
            <w:r>
              <w:rPr>
                <w:rFonts w:ascii="宋体" w:hAnsi="宋体" w:cs="宋体" w:eastAsia="宋体" w:hint="default"/>
                <w:spacing w:val="-3"/>
                <w:sz w:val="18"/>
                <w:szCs w:val="18"/>
              </w:rPr>
              <w:t>以公允价值计量且其</w:t>
            </w:r>
            <w:r>
              <w:rPr>
                <w:rFonts w:ascii="宋体" w:hAnsi="宋体" w:cs="宋体" w:eastAsia="宋体" w:hint="default"/>
                <w:w w:val="101"/>
                <w:sz w:val="18"/>
                <w:szCs w:val="18"/>
              </w:rPr>
              <w:t> </w:t>
            </w:r>
            <w:r>
              <w:rPr>
                <w:rFonts w:ascii="宋体" w:hAnsi="宋体" w:cs="宋体" w:eastAsia="宋体" w:hint="default"/>
                <w:spacing w:val="-3"/>
                <w:sz w:val="18"/>
                <w:szCs w:val="18"/>
              </w:rPr>
              <w:t>变动计入当期损益的金融</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宋体" w:hAnsi="宋体" w:cs="宋体" w:eastAsia="宋体" w:hint="default"/>
                <w:sz w:val="18"/>
                <w:szCs w:val="18"/>
              </w:rPr>
              <w:t>负债</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376,800.00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376,800.00</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30,590,360.43</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30,590,360.43</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595,944,059.93</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595,944,059.93</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399"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65"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42,527,082.79</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42,527,082.79</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z w:val="18"/>
                <w:szCs w:val="18"/>
              </w:rPr>
              <w:t>合同负债</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109"/>
              <w:jc w:val="right"/>
              <w:rPr>
                <w:rFonts w:ascii="宋体" w:hAnsi="宋体" w:cs="宋体" w:eastAsia="宋体" w:hint="default"/>
                <w:sz w:val="18"/>
                <w:szCs w:val="18"/>
              </w:rPr>
            </w:pPr>
            <w:r>
              <w:rPr>
                <w:rFonts w:ascii="宋体" w:hAnsi="宋体" w:cs="宋体" w:eastAsia="宋体" w:hint="default"/>
                <w:spacing w:val="-3"/>
                <w:sz w:val="18"/>
                <w:szCs w:val="18"/>
              </w:rPr>
              <w:t>卖出回购金融资产款</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109"/>
              <w:jc w:val="right"/>
              <w:rPr>
                <w:rFonts w:ascii="宋体" w:hAnsi="宋体" w:cs="宋体" w:eastAsia="宋体" w:hint="default"/>
                <w:sz w:val="18"/>
                <w:szCs w:val="18"/>
              </w:rPr>
            </w:pPr>
            <w:r>
              <w:rPr>
                <w:rFonts w:ascii="宋体" w:hAnsi="宋体" w:cs="宋体" w:eastAsia="宋体" w:hint="default"/>
                <w:spacing w:val="-3"/>
                <w:sz w:val="18"/>
                <w:szCs w:val="18"/>
              </w:rPr>
              <w:t>吸收存款及同业存放</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399"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代理买卖证券款</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pacing w:val="-3"/>
                <w:sz w:val="18"/>
                <w:szCs w:val="18"/>
              </w:rPr>
              <w:t>代理承销证券款</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36,781,950.91</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36,781,950.91</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84,070,061.97</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84,070,061.97</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399"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61,284,582.69</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61,284,582.69</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648" w:right="0"/>
              <w:jc w:val="left"/>
              <w:rPr>
                <w:rFonts w:ascii="宋体" w:hAnsi="宋体" w:cs="宋体" w:eastAsia="宋体" w:hint="default"/>
                <w:sz w:val="18"/>
                <w:szCs w:val="18"/>
              </w:rPr>
            </w:pPr>
            <w:r>
              <w:rPr>
                <w:rFonts w:ascii="宋体" w:hAnsi="宋体" w:cs="宋体" w:eastAsia="宋体" w:hint="default"/>
                <w:spacing w:val="-3"/>
                <w:sz w:val="18"/>
                <w:szCs w:val="18"/>
              </w:rPr>
              <w:t>其中：应付利息</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365,644.43</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365,644.43</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86"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1,187,472.00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1,187,472.00</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9"/>
              <w:ind w:left="465" w:right="0"/>
              <w:jc w:val="left"/>
              <w:rPr>
                <w:rFonts w:ascii="宋体" w:hAnsi="宋体" w:cs="宋体" w:eastAsia="宋体" w:hint="default"/>
                <w:sz w:val="18"/>
                <w:szCs w:val="18"/>
              </w:rPr>
            </w:pPr>
            <w:r>
              <w:rPr>
                <w:rFonts w:ascii="宋体" w:hAnsi="宋体" w:cs="宋体" w:eastAsia="宋体" w:hint="default"/>
                <w:sz w:val="18"/>
                <w:szCs w:val="18"/>
              </w:rPr>
              <w:t>持有待售负债</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05" w:right="109" w:firstLine="360"/>
              <w:jc w:val="left"/>
              <w:rPr>
                <w:rFonts w:ascii="宋体" w:hAnsi="宋体" w:cs="宋体" w:eastAsia="宋体" w:hint="default"/>
                <w:sz w:val="18"/>
                <w:szCs w:val="18"/>
              </w:rPr>
            </w:pPr>
            <w:r>
              <w:rPr>
                <w:rFonts w:ascii="宋体" w:hAnsi="宋体" w:cs="宋体" w:eastAsia="宋体" w:hint="default"/>
                <w:spacing w:val="-3"/>
                <w:sz w:val="18"/>
                <w:szCs w:val="18"/>
              </w:rPr>
              <w:t>一年内到期的非流动</w:t>
            </w:r>
            <w:r>
              <w:rPr>
                <w:rFonts w:ascii="宋体" w:hAnsi="宋体" w:cs="宋体" w:eastAsia="宋体" w:hint="default"/>
                <w:w w:val="101"/>
                <w:sz w:val="18"/>
                <w:szCs w:val="18"/>
              </w:rPr>
              <w:t> </w:t>
            </w:r>
            <w:r>
              <w:rPr>
                <w:rFonts w:ascii="宋体" w:hAnsi="宋体" w:cs="宋体" w:eastAsia="宋体" w:hint="default"/>
                <w:sz w:val="18"/>
                <w:szCs w:val="18"/>
              </w:rPr>
              <w:t>负债</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7,107,793.00</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7,107,793.00</w:t>
            </w:r>
          </w:p>
        </w:tc>
      </w:tr>
      <w:tr>
        <w:trPr>
          <w:trHeight w:val="401"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951,574,898.72</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958,682,691.72</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7,107,793.00</w:t>
            </w:r>
          </w:p>
        </w:tc>
      </w:tr>
      <w:tr>
        <w:trPr>
          <w:trHeight w:val="401"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105"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保险合同准备金</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399"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65"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648" w:right="0"/>
              <w:jc w:val="left"/>
              <w:rPr>
                <w:rFonts w:ascii="宋体" w:hAnsi="宋体" w:cs="宋体" w:eastAsia="宋体" w:hint="default"/>
                <w:sz w:val="18"/>
                <w:szCs w:val="18"/>
              </w:rPr>
            </w:pPr>
            <w:r>
              <w:rPr>
                <w:rFonts w:ascii="宋体" w:hAnsi="宋体" w:cs="宋体" w:eastAsia="宋体" w:hint="default"/>
                <w:spacing w:val="-3"/>
                <w:sz w:val="18"/>
                <w:szCs w:val="18"/>
              </w:rPr>
              <w:t>其中：优先股</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86"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84" w:footer="1022" w:top="1100" w:bottom="1220" w:left="980" w:right="0"/>
        </w:sectPr>
      </w:pPr>
    </w:p>
    <w:p>
      <w:pPr>
        <w:spacing w:line="240" w:lineRule="auto" w:before="1"/>
        <w:rPr>
          <w:rFonts w:ascii="Times New Roman" w:hAnsi="Times New Roman" w:cs="Times New Roman" w:eastAsia="Times New Roman" w:hint="default"/>
          <w:sz w:val="29"/>
          <w:szCs w:val="29"/>
        </w:rPr>
      </w:pPr>
    </w:p>
    <w:tbl>
      <w:tblPr>
        <w:tblW w:w="0" w:type="auto"/>
        <w:jc w:val="left"/>
        <w:tblInd w:w="148" w:type="dxa"/>
        <w:tblLayout w:type="fixed"/>
        <w:tblCellMar>
          <w:top w:w="0" w:type="dxa"/>
          <w:left w:w="0" w:type="dxa"/>
          <w:bottom w:w="0" w:type="dxa"/>
          <w:right w:w="0" w:type="dxa"/>
        </w:tblCellMar>
        <w:tblLook w:val="01E0"/>
      </w:tblPr>
      <w:tblGrid>
        <w:gridCol w:w="2209"/>
        <w:gridCol w:w="2454"/>
        <w:gridCol w:w="2454"/>
        <w:gridCol w:w="2453"/>
      </w:tblGrid>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租赁负债</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16,513,980.73</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16,513,980.73</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7,273,589.76</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7,273,589.76</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递延所得税负债</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pacing w:val="-3"/>
                <w:sz w:val="18"/>
                <w:szCs w:val="18"/>
              </w:rPr>
              <w:t>其他非流动负债</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非流动负债合计</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23,787,570.49</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23,787,570.49</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975,362,469.21</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982,470,262.21</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7,107,793.00</w:t>
            </w:r>
          </w:p>
        </w:tc>
      </w:tr>
      <w:tr>
        <w:trPr>
          <w:trHeight w:val="398"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619,214,834.00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619,214,834.00</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65"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48" w:right="0"/>
              <w:jc w:val="left"/>
              <w:rPr>
                <w:rFonts w:ascii="宋体" w:hAnsi="宋体" w:cs="宋体" w:eastAsia="宋体" w:hint="default"/>
                <w:sz w:val="18"/>
                <w:szCs w:val="18"/>
              </w:rPr>
            </w:pPr>
            <w:r>
              <w:rPr>
                <w:rFonts w:ascii="宋体" w:hAnsi="宋体" w:cs="宋体" w:eastAsia="宋体" w:hint="default"/>
                <w:spacing w:val="-3"/>
                <w:sz w:val="18"/>
                <w:szCs w:val="18"/>
              </w:rPr>
              <w:t>其中：优先股</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86"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208,841,224.84</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208,841,224.84</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65"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35,282,708.10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35,282,708.10</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58,527.18</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58,527.18</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47,223,013.84</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47,223,013.84</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65"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429,684,583.57</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429,382,502.37</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-302,081.20</w:t>
            </w:r>
          </w:p>
        </w:tc>
      </w:tr>
      <w:tr>
        <w:trPr>
          <w:trHeight w:val="710"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05" w:right="109"/>
              <w:jc w:val="left"/>
              <w:rPr>
                <w:rFonts w:ascii="宋体" w:hAnsi="宋体" w:cs="宋体" w:eastAsia="宋体" w:hint="default"/>
                <w:sz w:val="18"/>
                <w:szCs w:val="18"/>
              </w:rPr>
            </w:pPr>
            <w:r>
              <w:rPr>
                <w:rFonts w:ascii="宋体" w:hAnsi="宋体" w:cs="宋体" w:eastAsia="宋体" w:hint="default"/>
                <w:spacing w:val="-3"/>
                <w:sz w:val="18"/>
                <w:szCs w:val="18"/>
              </w:rPr>
              <w:t>归属于母公司所有者权益</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宋体" w:hAnsi="宋体" w:cs="宋体" w:eastAsia="宋体" w:hint="default"/>
                <w:sz w:val="18"/>
                <w:szCs w:val="18"/>
              </w:rPr>
              <w:t>合计</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2"/>
                <w:sz w:val="18"/>
              </w:rPr>
              <w:t>1,269,739,475.33</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1,269,437,394.13</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-302,081.20</w:t>
            </w:r>
          </w:p>
        </w:tc>
      </w:tr>
      <w:tr>
        <w:trPr>
          <w:trHeight w:val="404"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2"/>
                <w:sz w:val="18"/>
              </w:rPr>
              <w:t>24,011,117.34</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2"/>
                <w:sz w:val="18"/>
              </w:rPr>
              <w:t>24,011,117.34</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所有者权益合计</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1,293,750,592.67</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1,293,448,511.47</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-302,081.20</w:t>
            </w: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2,269,113,061.88</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pacing w:val="-2"/>
                <w:sz w:val="18"/>
              </w:rPr>
              <w:t>2,275,918,773.68</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6,805,711.80</w:t>
            </w:r>
          </w:p>
        </w:tc>
      </w:tr>
    </w:tbl>
    <w:p>
      <w:pPr>
        <w:spacing w:after="0" w:line="240" w:lineRule="auto"/>
        <w:jc w:val="right"/>
        <w:rPr>
          <w:rFonts w:ascii="Times New Roman" w:hAnsi="Times New Roman" w:cs="Times New Roman" w:eastAsia="Times New Roman" w:hint="default"/>
          <w:sz w:val="18"/>
          <w:szCs w:val="18"/>
        </w:rPr>
        <w:sectPr>
          <w:pgSz w:w="11910" w:h="16840"/>
          <w:pgMar w:header="784" w:footer="1022" w:top="1100" w:bottom="1220" w:left="980" w:right="0"/>
        </w:sectPr>
      </w:pPr>
    </w:p>
    <w:p>
      <w:pPr>
        <w:pStyle w:val="BodyText"/>
        <w:spacing w:line="357" w:lineRule="auto" w:before="53"/>
        <w:ind w:right="-19"/>
        <w:jc w:val="left"/>
      </w:pPr>
      <w:r>
        <w:rPr/>
        <w:t>调整情况说明</w:t>
      </w:r>
      <w:r>
        <w:rPr>
          <w:spacing w:val="-86"/>
        </w:rPr>
        <w:t> </w:t>
      </w:r>
      <w:r>
        <w:rPr>
          <w:spacing w:val="-86"/>
        </w:rPr>
      </w:r>
      <w:r>
        <w:rPr/>
        <w:t>无。</w:t>
      </w:r>
      <w:r>
        <w:rPr>
          <w:spacing w:val="-86"/>
        </w:rPr>
        <w:t> </w:t>
      </w:r>
      <w:r>
        <w:rPr>
          <w:spacing w:val="-2"/>
        </w:rPr>
        <w:t>母公司资产负债表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2"/>
          <w:szCs w:val="12"/>
        </w:rPr>
      </w:pPr>
    </w:p>
    <w:p>
      <w:pPr>
        <w:pStyle w:val="BodyText"/>
        <w:spacing w:line="240" w:lineRule="auto" w:before="0"/>
        <w:ind w:right="0"/>
        <w:jc w:val="left"/>
      </w:pPr>
      <w:r>
        <w:rPr/>
        <w:t>单位：元</w:t>
      </w:r>
    </w:p>
    <w:p>
      <w:pPr>
        <w:spacing w:after="0" w:line="240" w:lineRule="auto"/>
        <w:jc w:val="left"/>
        <w:sectPr>
          <w:type w:val="continuous"/>
          <w:pgSz w:w="11910" w:h="16840"/>
          <w:pgMar w:top="1100" w:bottom="1220" w:left="980" w:right="0"/>
          <w:cols w:num="2" w:equalWidth="0">
            <w:col w:w="1599" w:space="7323"/>
            <w:col w:w="2008"/>
          </w:cols>
        </w:sectPr>
      </w:pPr>
    </w:p>
    <w:p>
      <w:pPr>
        <w:spacing w:line="240" w:lineRule="auto" w:before="10"/>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209"/>
        <w:gridCol w:w="2454"/>
        <w:gridCol w:w="2454"/>
        <w:gridCol w:w="2453"/>
      </w:tblGrid>
      <w:tr>
        <w:trPr>
          <w:trHeight w:val="401"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47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47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c>
          <w:tcPr>
            <w:tcW w:w="24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9" w:right="0"/>
              <w:jc w:val="center"/>
              <w:rPr>
                <w:rFonts w:ascii="宋体" w:hAnsi="宋体" w:cs="宋体" w:eastAsia="宋体" w:hint="default"/>
                <w:sz w:val="18"/>
                <w:szCs w:val="18"/>
              </w:rPr>
            </w:pPr>
            <w:r>
              <w:rPr>
                <w:rFonts w:ascii="宋体" w:hAnsi="宋体" w:cs="宋体" w:eastAsia="宋体" w:hint="default"/>
                <w:sz w:val="18"/>
                <w:szCs w:val="18"/>
              </w:rPr>
              <w:t>调整数</w:t>
            </w: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4"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65"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214" w:right="0"/>
              <w:jc w:val="left"/>
              <w:rPr>
                <w:rFonts w:ascii="Times New Roman" w:hAnsi="Times New Roman" w:cs="Times New Roman" w:eastAsia="Times New Roman" w:hint="default"/>
                <w:sz w:val="18"/>
                <w:szCs w:val="18"/>
              </w:rPr>
            </w:pPr>
            <w:r>
              <w:rPr>
                <w:rFonts w:ascii="Times New Roman"/>
                <w:sz w:val="18"/>
              </w:rPr>
              <w:t>193,955,577.49</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193,955,577.49</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交易性金融资产</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101,606,000.00</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219" w:right="0"/>
              <w:jc w:val="left"/>
              <w:rPr>
                <w:rFonts w:ascii="Times New Roman" w:hAnsi="Times New Roman" w:cs="Times New Roman" w:eastAsia="Times New Roman" w:hint="default"/>
                <w:sz w:val="18"/>
                <w:szCs w:val="18"/>
              </w:rPr>
            </w:pPr>
            <w:r>
              <w:rPr>
                <w:rFonts w:ascii="Times New Roman"/>
                <w:sz w:val="18"/>
              </w:rPr>
              <w:t>101,606,000.00</w:t>
            </w: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7"/>
              <w:ind w:left="465" w:right="0"/>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100" w:bottom="1220" w:left="980" w:right="0"/>
        </w:sectPr>
      </w:pPr>
    </w:p>
    <w:p>
      <w:pPr>
        <w:spacing w:line="240" w:lineRule="auto" w:before="1"/>
        <w:rPr>
          <w:rFonts w:ascii="Times New Roman" w:hAnsi="Times New Roman" w:cs="Times New Roman" w:eastAsia="Times New Roman" w:hint="default"/>
          <w:sz w:val="29"/>
          <w:szCs w:val="29"/>
        </w:rPr>
      </w:pPr>
    </w:p>
    <w:tbl>
      <w:tblPr>
        <w:tblW w:w="0" w:type="auto"/>
        <w:jc w:val="left"/>
        <w:tblInd w:w="148" w:type="dxa"/>
        <w:tblLayout w:type="fixed"/>
        <w:tblCellMar>
          <w:top w:w="0" w:type="dxa"/>
          <w:left w:w="0" w:type="dxa"/>
          <w:bottom w:w="0" w:type="dxa"/>
          <w:right w:w="0" w:type="dxa"/>
        </w:tblCellMar>
        <w:tblLook w:val="01E0"/>
      </w:tblPr>
      <w:tblGrid>
        <w:gridCol w:w="2209"/>
        <w:gridCol w:w="2454"/>
        <w:gridCol w:w="2454"/>
        <w:gridCol w:w="2453"/>
      </w:tblGrid>
      <w:tr>
        <w:trPr>
          <w:trHeight w:val="672"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10"/>
              <w:ind w:left="105" w:right="109"/>
              <w:jc w:val="left"/>
              <w:rPr>
                <w:rFonts w:ascii="宋体" w:hAnsi="宋体" w:cs="宋体" w:eastAsia="宋体" w:hint="default"/>
                <w:sz w:val="18"/>
                <w:szCs w:val="18"/>
              </w:rPr>
            </w:pPr>
            <w:r>
              <w:rPr>
                <w:rFonts w:ascii="宋体" w:hAnsi="宋体" w:cs="宋体" w:eastAsia="宋体" w:hint="default"/>
                <w:spacing w:val="-3"/>
                <w:sz w:val="18"/>
                <w:szCs w:val="18"/>
              </w:rPr>
              <w:t>变动计入当期损益的金融</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宋体" w:hAnsi="宋体" w:cs="宋体" w:eastAsia="宋体" w:hint="default"/>
                <w:sz w:val="18"/>
                <w:szCs w:val="18"/>
              </w:rPr>
              <w:t>资产</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12,750.00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12,750.00</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224,411,359.04</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224,411,359.04</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应收款项融资</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7,112,395.52</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7,112,395.52</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65"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110,557,439.18</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110,557,439.18</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48" w:right="0"/>
              <w:jc w:val="left"/>
              <w:rPr>
                <w:rFonts w:ascii="宋体" w:hAnsi="宋体" w:cs="宋体" w:eastAsia="宋体" w:hint="default"/>
                <w:sz w:val="18"/>
                <w:szCs w:val="18"/>
              </w:rPr>
            </w:pPr>
            <w:r>
              <w:rPr>
                <w:rFonts w:ascii="宋体" w:hAnsi="宋体" w:cs="宋体" w:eastAsia="宋体" w:hint="default"/>
                <w:spacing w:val="-3"/>
                <w:sz w:val="18"/>
                <w:szCs w:val="18"/>
              </w:rPr>
              <w:t>其中：应收利息</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240,370.43</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240,370.43</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86"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3,655,406.34</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3,655,406.34</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65" w:right="0"/>
              <w:jc w:val="left"/>
              <w:rPr>
                <w:rFonts w:ascii="宋体" w:hAnsi="宋体" w:cs="宋体" w:eastAsia="宋体" w:hint="default"/>
                <w:sz w:val="18"/>
                <w:szCs w:val="18"/>
              </w:rPr>
            </w:pPr>
            <w:r>
              <w:rPr>
                <w:rFonts w:ascii="宋体" w:hAnsi="宋体" w:cs="宋体" w:eastAsia="宋体" w:hint="default"/>
                <w:sz w:val="18"/>
                <w:szCs w:val="18"/>
              </w:rPr>
              <w:t>合同资产</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持有待售资产</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710"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05" w:right="109" w:firstLine="360"/>
              <w:jc w:val="left"/>
              <w:rPr>
                <w:rFonts w:ascii="宋体" w:hAnsi="宋体" w:cs="宋体" w:eastAsia="宋体" w:hint="default"/>
                <w:sz w:val="18"/>
                <w:szCs w:val="18"/>
              </w:rPr>
            </w:pPr>
            <w:r>
              <w:rPr>
                <w:rFonts w:ascii="宋体" w:hAnsi="宋体" w:cs="宋体" w:eastAsia="宋体" w:hint="default"/>
                <w:spacing w:val="-3"/>
                <w:sz w:val="18"/>
                <w:szCs w:val="18"/>
              </w:rPr>
              <w:t>一年内到期的非流动</w:t>
            </w:r>
            <w:r>
              <w:rPr>
                <w:rFonts w:ascii="宋体" w:hAnsi="宋体" w:cs="宋体" w:eastAsia="宋体" w:hint="default"/>
                <w:w w:val="101"/>
                <w:sz w:val="18"/>
                <w:szCs w:val="18"/>
              </w:rPr>
              <w:t> </w:t>
            </w:r>
            <w:r>
              <w:rPr>
                <w:rFonts w:ascii="宋体" w:hAnsi="宋体" w:cs="宋体" w:eastAsia="宋体" w:hint="default"/>
                <w:sz w:val="18"/>
                <w:szCs w:val="18"/>
              </w:rPr>
              <w:t>资产</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118,267,038.54</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16,661,038.54</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-101,606,000.00</w:t>
            </w: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657,971,966.11</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657,971,966.11</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98"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债权投资</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10,000,000.00</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-10,000,000.00</w:t>
            </w: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其他债权投资</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持有至到期投资</w:t>
            </w:r>
            <w:r>
              <w:rPr>
                <w:rFonts w:ascii="宋体" w:hAnsi="宋体" w:cs="宋体" w:eastAsia="宋体" w:hint="default"/>
                <w:sz w:val="18"/>
                <w:szCs w:val="18"/>
              </w:rPr>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677,635,343.32</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677,635,343.32</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65" w:right="0"/>
              <w:jc w:val="left"/>
              <w:rPr>
                <w:rFonts w:ascii="宋体" w:hAnsi="宋体" w:cs="宋体" w:eastAsia="宋体" w:hint="default"/>
                <w:sz w:val="18"/>
                <w:szCs w:val="18"/>
              </w:rPr>
            </w:pPr>
            <w:r>
              <w:rPr>
                <w:rFonts w:ascii="宋体" w:hAnsi="宋体" w:cs="宋体" w:eastAsia="宋体" w:hint="default"/>
                <w:sz w:val="18"/>
                <w:szCs w:val="18"/>
              </w:rPr>
              <w:t>其他权益工具投资</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其他非流动金融资产</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10,000,000.00</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10,000,000.00</w:t>
            </w:r>
          </w:p>
        </w:tc>
      </w:tr>
      <w:tr>
        <w:trPr>
          <w:trHeight w:val="398"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2,138,318.34</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2,138,318.34</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29,216,258.52</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29,216,258.52</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65"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生产性生物资产</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使用权资产</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65"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5,066,971.12</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5,066,971.12</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84" w:footer="1022" w:top="1100" w:bottom="1220" w:left="980" w:right="0"/>
        </w:sectPr>
      </w:pPr>
    </w:p>
    <w:p>
      <w:pPr>
        <w:spacing w:line="240" w:lineRule="auto" w:before="1"/>
        <w:rPr>
          <w:rFonts w:ascii="Times New Roman" w:hAnsi="Times New Roman" w:cs="Times New Roman" w:eastAsia="Times New Roman" w:hint="default"/>
          <w:sz w:val="29"/>
          <w:szCs w:val="29"/>
        </w:rPr>
      </w:pPr>
    </w:p>
    <w:tbl>
      <w:tblPr>
        <w:tblW w:w="0" w:type="auto"/>
        <w:jc w:val="left"/>
        <w:tblInd w:w="148" w:type="dxa"/>
        <w:tblLayout w:type="fixed"/>
        <w:tblCellMar>
          <w:top w:w="0" w:type="dxa"/>
          <w:left w:w="0" w:type="dxa"/>
          <w:bottom w:w="0" w:type="dxa"/>
          <w:right w:w="0" w:type="dxa"/>
        </w:tblCellMar>
        <w:tblLook w:val="01E0"/>
      </w:tblPr>
      <w:tblGrid>
        <w:gridCol w:w="2209"/>
        <w:gridCol w:w="2454"/>
        <w:gridCol w:w="2454"/>
        <w:gridCol w:w="2453"/>
      </w:tblGrid>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3,138,236.64</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3,138,236.64</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递延所得税资产</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3,138,505.97</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3,138,505.97</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pacing w:val="-3"/>
                <w:sz w:val="18"/>
                <w:szCs w:val="18"/>
              </w:rPr>
              <w:t>其他非流动资产</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1,921,709.30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1,921,709.30</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非流动资产合计</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732,255,343.21</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732,255,343.21</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1,390,227,309.32</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pacing w:val="-2"/>
                <w:sz w:val="18"/>
              </w:rPr>
              <w:t>1,390,227,309.32</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4"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40,000,000.00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40,000,000.00</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交易性金融负债</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05" w:right="109" w:firstLine="360"/>
              <w:jc w:val="both"/>
              <w:rPr>
                <w:rFonts w:ascii="宋体" w:hAnsi="宋体" w:cs="宋体" w:eastAsia="宋体" w:hint="default"/>
                <w:sz w:val="18"/>
                <w:szCs w:val="18"/>
              </w:rPr>
            </w:pPr>
            <w:r>
              <w:rPr>
                <w:rFonts w:ascii="宋体" w:hAnsi="宋体" w:cs="宋体" w:eastAsia="宋体" w:hint="default"/>
                <w:spacing w:val="-3"/>
                <w:sz w:val="18"/>
                <w:szCs w:val="18"/>
              </w:rPr>
              <w:t>以公允价值计量且其</w:t>
            </w:r>
            <w:r>
              <w:rPr>
                <w:rFonts w:ascii="宋体" w:hAnsi="宋体" w:cs="宋体" w:eastAsia="宋体" w:hint="default"/>
                <w:w w:val="101"/>
                <w:sz w:val="18"/>
                <w:szCs w:val="18"/>
              </w:rPr>
              <w:t> </w:t>
            </w:r>
            <w:r>
              <w:rPr>
                <w:rFonts w:ascii="宋体" w:hAnsi="宋体" w:cs="宋体" w:eastAsia="宋体" w:hint="default"/>
                <w:spacing w:val="-3"/>
                <w:sz w:val="18"/>
                <w:szCs w:val="18"/>
              </w:rPr>
              <w:t>变动计入当期损益的金融</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宋体" w:hAnsi="宋体" w:cs="宋体" w:eastAsia="宋体" w:hint="default"/>
                <w:sz w:val="18"/>
                <w:szCs w:val="18"/>
              </w:rPr>
              <w:t>负债</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399"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65"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376,800.00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376,800.00</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20,147,000.00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20,147,000.00</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181,537,452.80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181,537,452.80</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9,563,226.33</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9,563,226.33</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399"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合同负债</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6,217,063.89</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6,217,063.89</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2,036,973.66</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2,036,973.66</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124,682,379.20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124,682,379.20</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399"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86"/>
              <w:jc w:val="right"/>
              <w:rPr>
                <w:rFonts w:ascii="宋体" w:hAnsi="宋体" w:cs="宋体" w:eastAsia="宋体" w:hint="default"/>
                <w:sz w:val="18"/>
                <w:szCs w:val="18"/>
              </w:rPr>
            </w:pPr>
            <w:r>
              <w:rPr>
                <w:rFonts w:ascii="宋体" w:hAnsi="宋体" w:cs="宋体" w:eastAsia="宋体" w:hint="default"/>
                <w:spacing w:val="-3"/>
                <w:sz w:val="18"/>
                <w:szCs w:val="18"/>
              </w:rPr>
              <w:t>其中：应付利息</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157,571.46</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157,571.46</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right="286"/>
              <w:jc w:val="right"/>
              <w:rPr>
                <w:rFonts w:ascii="宋体" w:hAnsi="宋体" w:cs="宋体" w:eastAsia="宋体" w:hint="default"/>
                <w:sz w:val="18"/>
                <w:szCs w:val="18"/>
              </w:rPr>
            </w:pPr>
            <w:r>
              <w:rPr>
                <w:rFonts w:ascii="宋体" w:hAnsi="宋体" w:cs="宋体" w:eastAsia="宋体" w:hint="default"/>
                <w:spacing w:val="-2"/>
                <w:sz w:val="18"/>
                <w:szCs w:val="18"/>
              </w:rPr>
              <w:t>应付股利</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592,740.00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592,740.00</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持有待售负债</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05" w:right="109" w:firstLine="360"/>
              <w:jc w:val="left"/>
              <w:rPr>
                <w:rFonts w:ascii="宋体" w:hAnsi="宋体" w:cs="宋体" w:eastAsia="宋体" w:hint="default"/>
                <w:sz w:val="18"/>
                <w:szCs w:val="18"/>
              </w:rPr>
            </w:pPr>
            <w:r>
              <w:rPr>
                <w:rFonts w:ascii="宋体" w:hAnsi="宋体" w:cs="宋体" w:eastAsia="宋体" w:hint="default"/>
                <w:spacing w:val="-3"/>
                <w:sz w:val="18"/>
                <w:szCs w:val="18"/>
              </w:rPr>
              <w:t>一年内到期的非流动</w:t>
            </w:r>
            <w:r>
              <w:rPr>
                <w:rFonts w:ascii="宋体" w:hAnsi="宋体" w:cs="宋体" w:eastAsia="宋体" w:hint="default"/>
                <w:w w:val="101"/>
                <w:sz w:val="18"/>
                <w:szCs w:val="18"/>
              </w:rPr>
              <w:t> </w:t>
            </w:r>
            <w:r>
              <w:rPr>
                <w:rFonts w:ascii="宋体" w:hAnsi="宋体" w:cs="宋体" w:eastAsia="宋体" w:hint="default"/>
                <w:sz w:val="18"/>
                <w:szCs w:val="18"/>
              </w:rPr>
              <w:t>负债</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399"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65"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384,560,895.88</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384,560,895.88</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399"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65"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648" w:right="0"/>
              <w:jc w:val="left"/>
              <w:rPr>
                <w:rFonts w:ascii="宋体" w:hAnsi="宋体" w:cs="宋体" w:eastAsia="宋体" w:hint="default"/>
                <w:sz w:val="18"/>
                <w:szCs w:val="18"/>
              </w:rPr>
            </w:pPr>
            <w:r>
              <w:rPr>
                <w:rFonts w:ascii="宋体" w:hAnsi="宋体" w:cs="宋体" w:eastAsia="宋体" w:hint="default"/>
                <w:spacing w:val="-3"/>
                <w:sz w:val="18"/>
                <w:szCs w:val="18"/>
              </w:rPr>
              <w:t>其中：优先股</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86"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租赁负债</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399"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65"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right="286"/>
              <w:jc w:val="right"/>
              <w:rPr>
                <w:rFonts w:ascii="宋体" w:hAnsi="宋体" w:cs="宋体" w:eastAsia="宋体" w:hint="default"/>
                <w:sz w:val="18"/>
                <w:szCs w:val="18"/>
              </w:rPr>
            </w:pPr>
            <w:r>
              <w:rPr>
                <w:rFonts w:ascii="宋体" w:hAnsi="宋体" w:cs="宋体" w:eastAsia="宋体" w:hint="default"/>
                <w:spacing w:val="-2"/>
                <w:sz w:val="18"/>
                <w:szCs w:val="18"/>
              </w:rPr>
              <w:t>长期应付职工薪酬</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452,714.99</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452,714.99</w:t>
            </w:r>
          </w:p>
        </w:tc>
        <w:tc>
          <w:tcPr>
            <w:tcW w:w="2453"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84" w:footer="1022" w:top="1100" w:bottom="1220" w:left="980" w:right="0"/>
        </w:sectPr>
      </w:pPr>
    </w:p>
    <w:p>
      <w:pPr>
        <w:spacing w:line="240" w:lineRule="auto" w:before="1"/>
        <w:rPr>
          <w:rFonts w:ascii="Times New Roman" w:hAnsi="Times New Roman" w:cs="Times New Roman" w:eastAsia="Times New Roman" w:hint="default"/>
          <w:sz w:val="29"/>
          <w:szCs w:val="29"/>
        </w:rPr>
      </w:pPr>
    </w:p>
    <w:tbl>
      <w:tblPr>
        <w:tblW w:w="0" w:type="auto"/>
        <w:jc w:val="left"/>
        <w:tblInd w:w="148" w:type="dxa"/>
        <w:tblLayout w:type="fixed"/>
        <w:tblCellMar>
          <w:top w:w="0" w:type="dxa"/>
          <w:left w:w="0" w:type="dxa"/>
          <w:bottom w:w="0" w:type="dxa"/>
          <w:right w:w="0" w:type="dxa"/>
        </w:tblCellMar>
        <w:tblLook w:val="01E0"/>
      </w:tblPr>
      <w:tblGrid>
        <w:gridCol w:w="2209"/>
        <w:gridCol w:w="2454"/>
        <w:gridCol w:w="2454"/>
        <w:gridCol w:w="2453"/>
      </w:tblGrid>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2,373,589.76</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2,373,589.76</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递延所得税负债</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pacing w:val="-3"/>
                <w:sz w:val="18"/>
                <w:szCs w:val="18"/>
              </w:rPr>
              <w:t>其他非流动负债</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非流动负债合计</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2,826,304.75</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2,826,304.75</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387,387,200.63</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387,387,200.63</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4"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619,214,834.00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619,214,834.00</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48" w:right="0"/>
              <w:jc w:val="left"/>
              <w:rPr>
                <w:rFonts w:ascii="宋体" w:hAnsi="宋体" w:cs="宋体" w:eastAsia="宋体" w:hint="default"/>
                <w:sz w:val="18"/>
                <w:szCs w:val="18"/>
              </w:rPr>
            </w:pPr>
            <w:r>
              <w:rPr>
                <w:rFonts w:ascii="宋体" w:hAnsi="宋体" w:cs="宋体" w:eastAsia="宋体" w:hint="default"/>
                <w:spacing w:val="-3"/>
                <w:sz w:val="18"/>
                <w:szCs w:val="18"/>
              </w:rPr>
              <w:t>其中：优先股</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86"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206,546,194.45</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206,546,194.45</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65"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35,282,708.10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35,282,708.10</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47,223,013.84</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47,223,013.84</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65"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165,138,774.50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165,138,774.50</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所有者权益合计</w:t>
            </w:r>
            <w:r>
              <w:rPr>
                <w:rFonts w:ascii="宋体" w:hAnsi="宋体" w:cs="宋体" w:eastAsia="宋体" w:hint="default"/>
                <w:sz w:val="18"/>
                <w:szCs w:val="18"/>
              </w:rPr>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1,002,840,108.69</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pacing w:val="-2"/>
                <w:sz w:val="18"/>
              </w:rPr>
              <w:t>1,002,840,108.69</w:t>
            </w:r>
          </w:p>
        </w:tc>
        <w:tc>
          <w:tcPr>
            <w:tcW w:w="24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1,390,227,309.32</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pacing w:val="-2"/>
                <w:sz w:val="18"/>
              </w:rPr>
              <w:t>1,390,227,309.32</w:t>
            </w:r>
          </w:p>
        </w:tc>
        <w:tc>
          <w:tcPr>
            <w:tcW w:w="2453" w:type="dxa"/>
            <w:tcBorders>
              <w:top w:val="single" w:sz="4" w:space="0" w:color="000000"/>
              <w:left w:val="single" w:sz="4" w:space="0" w:color="000000"/>
              <w:bottom w:val="single" w:sz="4" w:space="0" w:color="000000"/>
              <w:right w:val="single" w:sz="4" w:space="0" w:color="000000"/>
            </w:tcBorders>
          </w:tcPr>
          <w:p>
            <w:pPr/>
          </w:p>
        </w:tc>
      </w:tr>
    </w:tbl>
    <w:p>
      <w:pPr>
        <w:pStyle w:val="BodyText"/>
        <w:spacing w:line="352" w:lineRule="auto" w:before="53"/>
        <w:ind w:right="9666"/>
        <w:jc w:val="left"/>
      </w:pPr>
      <w:r>
        <w:rPr>
          <w:spacing w:val="-2"/>
        </w:rPr>
        <w:t>调整情况说明</w:t>
      </w:r>
      <w:r>
        <w:rPr>
          <w:spacing w:val="-74"/>
        </w:rPr>
        <w:t> </w:t>
      </w:r>
      <w:r>
        <w:rPr>
          <w:spacing w:val="-74"/>
        </w:rPr>
      </w:r>
      <w:r>
        <w:rPr/>
        <w:t>无。</w:t>
      </w:r>
    </w:p>
    <w:p>
      <w:pPr>
        <w:spacing w:line="240" w:lineRule="auto" w:before="7"/>
        <w:rPr>
          <w:rFonts w:ascii="宋体" w:hAnsi="宋体" w:cs="宋体" w:eastAsia="宋体" w:hint="default"/>
          <w:sz w:val="20"/>
          <w:szCs w:val="20"/>
        </w:rPr>
      </w:pPr>
    </w:p>
    <w:p>
      <w:pPr>
        <w:pStyle w:val="Heading4"/>
        <w:spacing w:line="240" w:lineRule="auto"/>
        <w:ind w:right="0"/>
        <w:jc w:val="left"/>
        <w:rPr>
          <w:b w:val="0"/>
          <w:bCs w:val="0"/>
        </w:rPr>
      </w:pPr>
      <w:bookmarkStart w:name="（4）2019年起执行新金融工具准则或新租赁准则追溯调整前期比较数据说明" w:id="232"/>
      <w:bookmarkEnd w:id="232"/>
      <w:r>
        <w:rPr>
          <w:b w:val="0"/>
          <w:bCs w:val="0"/>
        </w:rPr>
      </w:r>
      <w:r>
        <w:rPr/>
        <w:t>（</w:t>
      </w:r>
      <w:r>
        <w:rPr>
          <w:rFonts w:ascii="Times New Roman" w:hAnsi="Times New Roman" w:cs="Times New Roman" w:eastAsia="Times New Roman" w:hint="default"/>
        </w:rPr>
        <w:t>4</w:t>
      </w:r>
      <w:r>
        <w:rPr/>
        <w:t>）</w:t>
      </w:r>
      <w:r>
        <w:rPr>
          <w:rFonts w:ascii="Times New Roman" w:hAnsi="Times New Roman" w:cs="Times New Roman" w:eastAsia="Times New Roman" w:hint="default"/>
        </w:rPr>
        <w:t>2019</w:t>
      </w:r>
      <w:r>
        <w:rPr>
          <w:rFonts w:ascii="Times New Roman" w:hAnsi="Times New Roman" w:cs="Times New Roman" w:eastAsia="Times New Roman" w:hint="default"/>
          <w:spacing w:val="3"/>
        </w:rPr>
        <w:t> </w:t>
      </w:r>
      <w:r>
        <w:rPr/>
        <w:t>年起执行新金融工具准则或新租赁准则追溯调整前期比较数据说明</w:t>
      </w:r>
      <w:r>
        <w:rPr>
          <w:b w:val="0"/>
          <w:bCs w:val="0"/>
        </w:rPr>
      </w:r>
    </w:p>
    <w:p>
      <w:pPr>
        <w:spacing w:line="240" w:lineRule="auto" w:before="1"/>
        <w:rPr>
          <w:rFonts w:ascii="宋体" w:hAnsi="宋体" w:cs="宋体" w:eastAsia="宋体" w:hint="default"/>
          <w:b/>
          <w:bCs/>
          <w:sz w:val="27"/>
          <w:szCs w:val="27"/>
        </w:rPr>
      </w:pPr>
    </w:p>
    <w:p>
      <w:pPr>
        <w:pStyle w:val="BodyText"/>
        <w:spacing w:line="240" w:lineRule="auto" w:before="0"/>
        <w:ind w:right="0"/>
        <w:jc w:val="left"/>
      </w:pPr>
      <w:r>
        <w:rPr/>
        <w:t>□ </w:t>
      </w:r>
      <w:r>
        <w:rPr>
          <w:spacing w:val="-3"/>
        </w:rPr>
        <w:t>适用 </w:t>
      </w:r>
      <w:r>
        <w:rPr/>
        <w:t>√</w:t>
      </w:r>
      <w:r>
        <w:rPr>
          <w:spacing w:val="13"/>
        </w:rPr>
        <w:t> </w:t>
      </w:r>
      <w:r>
        <w:rPr/>
        <w:t>不适用</w:t>
      </w:r>
    </w:p>
    <w:p>
      <w:pPr>
        <w:spacing w:line="240" w:lineRule="auto" w:before="4"/>
        <w:rPr>
          <w:rFonts w:ascii="宋体" w:hAnsi="宋体" w:cs="宋体" w:eastAsia="宋体" w:hint="default"/>
          <w:sz w:val="26"/>
          <w:szCs w:val="26"/>
        </w:rPr>
      </w:pPr>
    </w:p>
    <w:p>
      <w:pPr>
        <w:pStyle w:val="Heading4"/>
        <w:spacing w:line="240" w:lineRule="auto"/>
        <w:ind w:right="0"/>
        <w:jc w:val="left"/>
        <w:rPr>
          <w:b w:val="0"/>
          <w:bCs w:val="0"/>
        </w:rPr>
      </w:pPr>
      <w:bookmarkStart w:name="45、其他" w:id="233"/>
      <w:bookmarkEnd w:id="233"/>
      <w:r>
        <w:rPr>
          <w:b w:val="0"/>
          <w:bCs w:val="0"/>
        </w:rPr>
      </w:r>
      <w:r>
        <w:rPr>
          <w:rFonts w:ascii="Times New Roman" w:hAnsi="Times New Roman" w:cs="Times New Roman" w:eastAsia="Times New Roman" w:hint="default"/>
        </w:rPr>
        <w:t>45</w:t>
      </w:r>
      <w:r>
        <w:rPr/>
        <w:t>、其他</w:t>
      </w:r>
      <w:r>
        <w:rPr>
          <w:b w:val="0"/>
          <w:bCs w:val="0"/>
        </w:rPr>
      </w:r>
    </w:p>
    <w:p>
      <w:pPr>
        <w:spacing w:line="240" w:lineRule="auto" w:before="9"/>
        <w:rPr>
          <w:rFonts w:ascii="宋体" w:hAnsi="宋体" w:cs="宋体" w:eastAsia="宋体" w:hint="default"/>
          <w:b/>
          <w:bCs/>
          <w:sz w:val="26"/>
          <w:szCs w:val="26"/>
        </w:rPr>
      </w:pPr>
    </w:p>
    <w:p>
      <w:pPr>
        <w:pStyle w:val="BodyText"/>
        <w:spacing w:line="240" w:lineRule="auto" w:before="0"/>
        <w:ind w:right="0"/>
        <w:jc w:val="left"/>
      </w:pPr>
      <w:r>
        <w:rPr/>
        <w:t>无。</w:t>
      </w:r>
    </w:p>
    <w:p>
      <w:pPr>
        <w:spacing w:line="240" w:lineRule="auto" w:before="9"/>
        <w:rPr>
          <w:rFonts w:ascii="宋体" w:hAnsi="宋体" w:cs="宋体" w:eastAsia="宋体" w:hint="default"/>
          <w:sz w:val="24"/>
          <w:szCs w:val="24"/>
        </w:rPr>
      </w:pPr>
    </w:p>
    <w:p>
      <w:pPr>
        <w:pStyle w:val="Heading2"/>
        <w:spacing w:line="240" w:lineRule="auto"/>
        <w:ind w:right="0"/>
        <w:jc w:val="left"/>
        <w:rPr>
          <w:b w:val="0"/>
          <w:bCs w:val="0"/>
        </w:rPr>
      </w:pPr>
      <w:bookmarkStart w:name="六、税项" w:id="234"/>
      <w:bookmarkEnd w:id="234"/>
      <w:r>
        <w:rPr>
          <w:b w:val="0"/>
          <w:bCs w:val="0"/>
        </w:rPr>
      </w:r>
      <w:r>
        <w:rPr/>
        <w:t>六、税项</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0"/>
        <w:jc w:val="left"/>
        <w:rPr>
          <w:b w:val="0"/>
          <w:bCs w:val="0"/>
        </w:rPr>
      </w:pPr>
      <w:bookmarkStart w:name="1、主要税种及税率" w:id="235"/>
      <w:bookmarkEnd w:id="235"/>
      <w:r>
        <w:rPr>
          <w:b w:val="0"/>
          <w:bCs w:val="0"/>
        </w:rPr>
      </w:r>
      <w:r>
        <w:rPr>
          <w:rFonts w:ascii="Times New Roman" w:hAnsi="Times New Roman" w:cs="Times New Roman" w:eastAsia="Times New Roman" w:hint="default"/>
        </w:rPr>
        <w:t>1</w:t>
      </w:r>
      <w:r>
        <w:rPr/>
        <w:t>、主要税种及税率</w:t>
      </w:r>
      <w:r>
        <w:rPr>
          <w:b w:val="0"/>
          <w:bCs w:val="0"/>
        </w:rPr>
      </w:r>
    </w:p>
    <w:p>
      <w:pPr>
        <w:spacing w:line="240" w:lineRule="auto" w:before="11"/>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税种</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计税依据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税率</w:t>
            </w:r>
          </w:p>
        </w:tc>
      </w:tr>
      <w:tr>
        <w:trPr>
          <w:trHeight w:val="398"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6" w:right="0"/>
              <w:jc w:val="left"/>
              <w:rPr>
                <w:rFonts w:ascii="宋体" w:hAnsi="宋体" w:cs="宋体" w:eastAsia="宋体" w:hint="default"/>
                <w:sz w:val="18"/>
                <w:szCs w:val="18"/>
              </w:rPr>
            </w:pPr>
            <w:r>
              <w:rPr>
                <w:rFonts w:ascii="宋体" w:hAnsi="宋体" w:cs="宋体" w:eastAsia="宋体" w:hint="default"/>
                <w:spacing w:val="-3"/>
                <w:sz w:val="18"/>
                <w:szCs w:val="18"/>
              </w:rPr>
              <w:t>销售货物及租赁业务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16%</w:t>
            </w:r>
            <w:r>
              <w:rPr>
                <w:rFonts w:ascii="宋体" w:hAnsi="宋体" w:cs="宋体" w:eastAsia="宋体" w:hint="default"/>
                <w:sz w:val="18"/>
                <w:szCs w:val="18"/>
              </w:rPr>
              <w:t>、</w:t>
            </w:r>
            <w:r>
              <w:rPr>
                <w:rFonts w:ascii="Times New Roman" w:hAnsi="Times New Roman" w:cs="Times New Roman" w:eastAsia="Times New Roman" w:hint="default"/>
                <w:sz w:val="18"/>
                <w:szCs w:val="18"/>
              </w:rPr>
              <w:t>13%</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pacing w:val="-3"/>
                <w:sz w:val="18"/>
                <w:szCs w:val="18"/>
              </w:rPr>
              <w:t>城市维护建设税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6" w:right="0"/>
              <w:jc w:val="left"/>
              <w:rPr>
                <w:rFonts w:ascii="宋体" w:hAnsi="宋体" w:cs="宋体" w:eastAsia="宋体" w:hint="default"/>
                <w:sz w:val="18"/>
                <w:szCs w:val="18"/>
              </w:rPr>
            </w:pPr>
            <w:r>
              <w:rPr>
                <w:rFonts w:ascii="宋体" w:hAnsi="宋体" w:cs="宋体" w:eastAsia="宋体" w:hint="default"/>
                <w:spacing w:val="-3"/>
                <w:sz w:val="18"/>
                <w:szCs w:val="18"/>
              </w:rPr>
              <w:t>按实际缴纳的流转税计缴</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5" w:right="0"/>
              <w:jc w:val="left"/>
              <w:rPr>
                <w:rFonts w:ascii="Times New Roman" w:hAnsi="Times New Roman" w:cs="Times New Roman" w:eastAsia="Times New Roman" w:hint="default"/>
                <w:sz w:val="18"/>
                <w:szCs w:val="18"/>
              </w:rPr>
            </w:pPr>
            <w:r>
              <w:rPr>
                <w:rFonts w:ascii="Times New Roman"/>
                <w:sz w:val="18"/>
              </w:rPr>
              <w:t>7%</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6" w:right="0"/>
              <w:jc w:val="left"/>
              <w:rPr>
                <w:rFonts w:ascii="宋体" w:hAnsi="宋体" w:cs="宋体" w:eastAsia="宋体" w:hint="default"/>
                <w:sz w:val="18"/>
                <w:szCs w:val="18"/>
              </w:rPr>
            </w:pPr>
            <w:r>
              <w:rPr>
                <w:rFonts w:ascii="宋体" w:hAnsi="宋体" w:cs="宋体" w:eastAsia="宋体" w:hint="default"/>
                <w:spacing w:val="-3"/>
                <w:sz w:val="18"/>
                <w:szCs w:val="18"/>
              </w:rPr>
              <w:t>按应纳税所得额计缴</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25%</w:t>
            </w:r>
            <w:r>
              <w:rPr>
                <w:rFonts w:ascii="宋体" w:hAnsi="宋体" w:cs="宋体" w:eastAsia="宋体" w:hint="default"/>
                <w:sz w:val="18"/>
                <w:szCs w:val="18"/>
              </w:rPr>
              <w:t>、</w:t>
            </w:r>
            <w:r>
              <w:rPr>
                <w:rFonts w:ascii="Times New Roman" w:hAnsi="Times New Roman" w:cs="Times New Roman" w:eastAsia="Times New Roman" w:hint="default"/>
                <w:sz w:val="18"/>
                <w:szCs w:val="18"/>
              </w:rPr>
              <w:t>15%</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6" w:right="0"/>
              <w:jc w:val="left"/>
              <w:rPr>
                <w:rFonts w:ascii="宋体" w:hAnsi="宋体" w:cs="宋体" w:eastAsia="宋体" w:hint="default"/>
                <w:sz w:val="18"/>
                <w:szCs w:val="18"/>
              </w:rPr>
            </w:pPr>
            <w:r>
              <w:rPr>
                <w:rFonts w:ascii="宋体" w:hAnsi="宋体" w:cs="宋体" w:eastAsia="宋体" w:hint="default"/>
                <w:sz w:val="18"/>
                <w:szCs w:val="18"/>
              </w:rPr>
              <w:t>建筑安装服务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3"/>
                <w:sz w:val="18"/>
                <w:szCs w:val="18"/>
              </w:rPr>
              <w:t>10%</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9%</w:t>
            </w:r>
            <w:r>
              <w:rPr>
                <w:rFonts w:ascii="Times New Roman" w:hAnsi="Times New Roman" w:cs="Times New Roman" w:eastAsia="Times New Roman" w:hint="default"/>
                <w:sz w:val="18"/>
                <w:szCs w:val="18"/>
              </w:rPr>
            </w:r>
          </w:p>
        </w:tc>
      </w:tr>
    </w:tbl>
    <w:p>
      <w:pPr>
        <w:spacing w:after="0" w:line="240" w:lineRule="auto"/>
        <w:jc w:val="left"/>
        <w:rPr>
          <w:rFonts w:ascii="Times New Roman" w:hAnsi="Times New Roman" w:cs="Times New Roman" w:eastAsia="Times New Roman" w:hint="default"/>
          <w:sz w:val="18"/>
          <w:szCs w:val="18"/>
        </w:rPr>
        <w:sectPr>
          <w:pgSz w:w="11910" w:h="16840"/>
          <w:pgMar w:header="784" w:footer="1022" w:top="1100" w:bottom="1220" w:left="980" w:right="0"/>
        </w:sectPr>
      </w:pPr>
    </w:p>
    <w:p>
      <w:pPr>
        <w:spacing w:line="240" w:lineRule="auto" w:before="7"/>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6" w:right="0"/>
              <w:jc w:val="left"/>
              <w:rPr>
                <w:rFonts w:ascii="宋体" w:hAnsi="宋体" w:cs="宋体" w:eastAsia="宋体" w:hint="default"/>
                <w:sz w:val="18"/>
                <w:szCs w:val="18"/>
              </w:rPr>
            </w:pPr>
            <w:r>
              <w:rPr>
                <w:rFonts w:ascii="宋体" w:hAnsi="宋体" w:cs="宋体" w:eastAsia="宋体" w:hint="default"/>
                <w:spacing w:val="-3"/>
                <w:sz w:val="18"/>
                <w:szCs w:val="18"/>
              </w:rPr>
              <w:t>维护业务、设计业务、软件服务业务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5" w:right="0"/>
              <w:jc w:val="left"/>
              <w:rPr>
                <w:rFonts w:ascii="Times New Roman" w:hAnsi="Times New Roman" w:cs="Times New Roman" w:eastAsia="Times New Roman" w:hint="default"/>
                <w:sz w:val="18"/>
                <w:szCs w:val="18"/>
              </w:rPr>
            </w:pPr>
            <w:r>
              <w:rPr>
                <w:rFonts w:ascii="Times New Roman"/>
                <w:sz w:val="18"/>
              </w:rPr>
              <w:t>6%</w:t>
            </w:r>
          </w:p>
        </w:tc>
      </w:tr>
      <w:tr>
        <w:trPr>
          <w:trHeight w:val="398"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6" w:right="0"/>
              <w:jc w:val="left"/>
              <w:rPr>
                <w:rFonts w:ascii="宋体" w:hAnsi="宋体" w:cs="宋体" w:eastAsia="宋体" w:hint="default"/>
                <w:sz w:val="18"/>
                <w:szCs w:val="18"/>
              </w:rPr>
            </w:pPr>
            <w:r>
              <w:rPr>
                <w:rFonts w:ascii="宋体" w:hAnsi="宋体" w:cs="宋体" w:eastAsia="宋体" w:hint="default"/>
                <w:spacing w:val="-3"/>
                <w:sz w:val="18"/>
                <w:szCs w:val="18"/>
              </w:rPr>
              <w:t>按实际缴纳的流转税计缴</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5" w:right="0"/>
              <w:jc w:val="left"/>
              <w:rPr>
                <w:rFonts w:ascii="Times New Roman" w:hAnsi="Times New Roman" w:cs="Times New Roman" w:eastAsia="Times New Roman" w:hint="default"/>
                <w:sz w:val="18"/>
                <w:szCs w:val="18"/>
              </w:rPr>
            </w:pPr>
            <w:r>
              <w:rPr>
                <w:rFonts w:ascii="Times New Roman"/>
                <w:sz w:val="18"/>
              </w:rPr>
              <w:t>3%</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z w:val="18"/>
                <w:szCs w:val="18"/>
              </w:rPr>
              <w:t>地方教育附加</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6" w:right="0"/>
              <w:jc w:val="left"/>
              <w:rPr>
                <w:rFonts w:ascii="宋体" w:hAnsi="宋体" w:cs="宋体" w:eastAsia="宋体" w:hint="default"/>
                <w:sz w:val="18"/>
                <w:szCs w:val="18"/>
              </w:rPr>
            </w:pPr>
            <w:r>
              <w:rPr>
                <w:rFonts w:ascii="宋体" w:hAnsi="宋体" w:cs="宋体" w:eastAsia="宋体" w:hint="default"/>
                <w:spacing w:val="-3"/>
                <w:sz w:val="18"/>
                <w:szCs w:val="18"/>
              </w:rPr>
              <w:t>按实际缴纳的流转税计缴</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5" w:right="0"/>
              <w:jc w:val="left"/>
              <w:rPr>
                <w:rFonts w:ascii="Times New Roman" w:hAnsi="Times New Roman" w:cs="Times New Roman" w:eastAsia="Times New Roman" w:hint="default"/>
                <w:sz w:val="18"/>
                <w:szCs w:val="18"/>
              </w:rPr>
            </w:pPr>
            <w:r>
              <w:rPr>
                <w:rFonts w:ascii="Times New Roman"/>
                <w:sz w:val="18"/>
              </w:rPr>
              <w:t>2%</w:t>
            </w:r>
          </w:p>
        </w:tc>
      </w:tr>
    </w:tbl>
    <w:p>
      <w:pPr>
        <w:pStyle w:val="BodyText"/>
        <w:spacing w:line="240" w:lineRule="auto" w:before="53"/>
        <w:ind w:right="0"/>
        <w:jc w:val="left"/>
      </w:pPr>
      <w:r>
        <w:rPr>
          <w:spacing w:val="-3"/>
        </w:rPr>
        <w:t>存在不同企业所得税税率纳税主体的，披露情况说明</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4783"/>
        <w:gridCol w:w="4787"/>
      </w:tblGrid>
      <w:tr>
        <w:trPr>
          <w:trHeight w:val="403"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8" w:right="0"/>
              <w:jc w:val="center"/>
              <w:rPr>
                <w:rFonts w:ascii="宋体" w:hAnsi="宋体" w:cs="宋体" w:eastAsia="宋体" w:hint="default"/>
                <w:sz w:val="18"/>
                <w:szCs w:val="18"/>
              </w:rPr>
            </w:pPr>
            <w:r>
              <w:rPr>
                <w:rFonts w:ascii="宋体" w:hAnsi="宋体" w:cs="宋体" w:eastAsia="宋体" w:hint="default"/>
                <w:sz w:val="18"/>
                <w:szCs w:val="18"/>
              </w:rPr>
              <w:t>纳税主体名称</w:t>
            </w:r>
          </w:p>
        </w:tc>
        <w:tc>
          <w:tcPr>
            <w:tcW w:w="47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所得税税率</w:t>
            </w:r>
          </w:p>
        </w:tc>
      </w:tr>
      <w:tr>
        <w:trPr>
          <w:trHeight w:val="398"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深圳市奥拓软件技术有限公司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5" w:right="0"/>
              <w:jc w:val="left"/>
              <w:rPr>
                <w:rFonts w:ascii="Times New Roman" w:hAnsi="Times New Roman" w:cs="Times New Roman" w:eastAsia="Times New Roman" w:hint="default"/>
                <w:sz w:val="18"/>
                <w:szCs w:val="18"/>
              </w:rPr>
            </w:pPr>
            <w:r>
              <w:rPr>
                <w:rFonts w:ascii="Times New Roman"/>
                <w:sz w:val="18"/>
              </w:rPr>
              <w:t>25%</w:t>
            </w:r>
          </w:p>
        </w:tc>
      </w:tr>
      <w:tr>
        <w:trPr>
          <w:trHeight w:val="404"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pacing w:val="-3"/>
                <w:sz w:val="18"/>
                <w:szCs w:val="18"/>
              </w:rPr>
              <w:t>深圳市奥拓光电科技有限公司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5" w:right="0"/>
              <w:jc w:val="left"/>
              <w:rPr>
                <w:rFonts w:ascii="Times New Roman" w:hAnsi="Times New Roman" w:cs="Times New Roman" w:eastAsia="Times New Roman" w:hint="default"/>
                <w:sz w:val="18"/>
                <w:szCs w:val="18"/>
              </w:rPr>
            </w:pPr>
            <w:r>
              <w:rPr>
                <w:rFonts w:ascii="Times New Roman"/>
                <w:sz w:val="18"/>
              </w:rPr>
              <w:t>25%</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深圳前海奥拓投资有限公司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5" w:right="0"/>
              <w:jc w:val="left"/>
              <w:rPr>
                <w:rFonts w:ascii="Times New Roman" w:hAnsi="Times New Roman" w:cs="Times New Roman" w:eastAsia="Times New Roman" w:hint="default"/>
                <w:sz w:val="18"/>
                <w:szCs w:val="18"/>
              </w:rPr>
            </w:pPr>
            <w:r>
              <w:rPr>
                <w:rFonts w:ascii="Times New Roman"/>
                <w:sz w:val="18"/>
              </w:rPr>
              <w:t>25%</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深圳市奥拓体育文化发展有限公司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5" w:right="0"/>
              <w:jc w:val="left"/>
              <w:rPr>
                <w:rFonts w:ascii="Times New Roman" w:hAnsi="Times New Roman" w:cs="Times New Roman" w:eastAsia="Times New Roman" w:hint="default"/>
                <w:sz w:val="18"/>
                <w:szCs w:val="18"/>
              </w:rPr>
            </w:pPr>
            <w:r>
              <w:rPr>
                <w:rFonts w:ascii="Times New Roman"/>
                <w:sz w:val="18"/>
              </w:rPr>
              <w:t>25%</w:t>
            </w:r>
          </w:p>
        </w:tc>
      </w:tr>
      <w:tr>
        <w:trPr>
          <w:trHeight w:val="398"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北京市奥拓电子科技有限公司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5" w:right="0"/>
              <w:jc w:val="left"/>
              <w:rPr>
                <w:rFonts w:ascii="Times New Roman" w:hAnsi="Times New Roman" w:cs="Times New Roman" w:eastAsia="Times New Roman" w:hint="default"/>
                <w:sz w:val="18"/>
                <w:szCs w:val="18"/>
              </w:rPr>
            </w:pPr>
            <w:r>
              <w:rPr>
                <w:rFonts w:ascii="Times New Roman"/>
                <w:sz w:val="18"/>
              </w:rPr>
              <w:t>25%</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pacing w:val="-3"/>
                <w:sz w:val="18"/>
                <w:szCs w:val="18"/>
              </w:rPr>
              <w:t>上海奥拓翰明计算机科技有限公司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5" w:right="0"/>
              <w:jc w:val="left"/>
              <w:rPr>
                <w:rFonts w:ascii="Times New Roman" w:hAnsi="Times New Roman" w:cs="Times New Roman" w:eastAsia="Times New Roman" w:hint="default"/>
                <w:sz w:val="18"/>
                <w:szCs w:val="18"/>
              </w:rPr>
            </w:pPr>
            <w:r>
              <w:rPr>
                <w:rFonts w:ascii="Times New Roman"/>
                <w:sz w:val="18"/>
              </w:rPr>
              <w:t>15%</w:t>
            </w:r>
          </w:p>
        </w:tc>
      </w:tr>
      <w:tr>
        <w:trPr>
          <w:trHeight w:val="404"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pacing w:val="-3"/>
                <w:sz w:val="18"/>
                <w:szCs w:val="18"/>
              </w:rPr>
              <w:t>深圳市奥拓电子股份有限公司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5" w:right="0"/>
              <w:jc w:val="left"/>
              <w:rPr>
                <w:rFonts w:ascii="Times New Roman" w:hAnsi="Times New Roman" w:cs="Times New Roman" w:eastAsia="Times New Roman" w:hint="default"/>
                <w:sz w:val="18"/>
                <w:szCs w:val="18"/>
              </w:rPr>
            </w:pPr>
            <w:r>
              <w:rPr>
                <w:rFonts w:ascii="Times New Roman"/>
                <w:sz w:val="18"/>
              </w:rPr>
              <w:t>15%</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南京奥拓电子科技有限公司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5" w:right="0"/>
              <w:jc w:val="left"/>
              <w:rPr>
                <w:rFonts w:ascii="Times New Roman" w:hAnsi="Times New Roman" w:cs="Times New Roman" w:eastAsia="Times New Roman" w:hint="default"/>
                <w:sz w:val="18"/>
                <w:szCs w:val="18"/>
              </w:rPr>
            </w:pPr>
            <w:r>
              <w:rPr>
                <w:rFonts w:ascii="Times New Roman"/>
                <w:sz w:val="18"/>
              </w:rPr>
              <w:t>15%</w:t>
            </w:r>
          </w:p>
        </w:tc>
      </w:tr>
      <w:tr>
        <w:trPr>
          <w:trHeight w:val="398"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惠州市奥拓电子科技有限公司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5" w:right="0"/>
              <w:jc w:val="left"/>
              <w:rPr>
                <w:rFonts w:ascii="Times New Roman" w:hAnsi="Times New Roman" w:cs="Times New Roman" w:eastAsia="Times New Roman" w:hint="default"/>
                <w:sz w:val="18"/>
                <w:szCs w:val="18"/>
              </w:rPr>
            </w:pPr>
            <w:r>
              <w:rPr>
                <w:rFonts w:ascii="Times New Roman"/>
                <w:sz w:val="18"/>
              </w:rPr>
              <w:t>15%</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pacing w:val="-3"/>
                <w:sz w:val="18"/>
                <w:szCs w:val="18"/>
              </w:rPr>
              <w:t>深圳市千百辉照明工程有限公司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5" w:right="0"/>
              <w:jc w:val="left"/>
              <w:rPr>
                <w:rFonts w:ascii="Times New Roman" w:hAnsi="Times New Roman" w:cs="Times New Roman" w:eastAsia="Times New Roman" w:hint="default"/>
                <w:sz w:val="18"/>
                <w:szCs w:val="18"/>
              </w:rPr>
            </w:pPr>
            <w:r>
              <w:rPr>
                <w:rFonts w:ascii="Times New Roman"/>
                <w:sz w:val="18"/>
              </w:rPr>
              <w:t>15%</w:t>
            </w:r>
          </w:p>
        </w:tc>
      </w:tr>
      <w:tr>
        <w:trPr>
          <w:trHeight w:val="404"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pacing w:val="-3"/>
                <w:sz w:val="18"/>
                <w:szCs w:val="18"/>
              </w:rPr>
              <w:t>深圳市奥拓立翔光电科技有限公司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5" w:right="0"/>
              <w:jc w:val="left"/>
              <w:rPr>
                <w:rFonts w:ascii="Times New Roman" w:hAnsi="Times New Roman" w:cs="Times New Roman" w:eastAsia="Times New Roman" w:hint="default"/>
                <w:sz w:val="18"/>
                <w:szCs w:val="18"/>
              </w:rPr>
            </w:pPr>
            <w:r>
              <w:rPr>
                <w:rFonts w:ascii="Times New Roman"/>
                <w:sz w:val="18"/>
              </w:rPr>
              <w:t>15%</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深圳前海奥拓体育文化投资有限公司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5" w:right="0"/>
              <w:jc w:val="left"/>
              <w:rPr>
                <w:rFonts w:ascii="Times New Roman" w:hAnsi="Times New Roman" w:cs="Times New Roman" w:eastAsia="Times New Roman" w:hint="default"/>
                <w:sz w:val="18"/>
                <w:szCs w:val="18"/>
              </w:rPr>
            </w:pPr>
            <w:r>
              <w:rPr>
                <w:rFonts w:ascii="Times New Roman"/>
                <w:sz w:val="18"/>
              </w:rPr>
              <w:t>25%</w:t>
            </w:r>
          </w:p>
        </w:tc>
      </w:tr>
      <w:tr>
        <w:trPr>
          <w:trHeight w:val="398"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武汉市奥拓智能科技有限公司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5" w:right="0"/>
              <w:jc w:val="left"/>
              <w:rPr>
                <w:rFonts w:ascii="Times New Roman" w:hAnsi="Times New Roman" w:cs="Times New Roman" w:eastAsia="Times New Roman" w:hint="default"/>
                <w:sz w:val="18"/>
                <w:szCs w:val="18"/>
              </w:rPr>
            </w:pPr>
            <w:r>
              <w:rPr>
                <w:rFonts w:ascii="Times New Roman"/>
                <w:sz w:val="18"/>
              </w:rPr>
              <w:t>25%</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pacing w:val="-3"/>
                <w:sz w:val="18"/>
                <w:szCs w:val="18"/>
              </w:rPr>
              <w:t>南京奥拓软件技术有限公司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5" w:right="0"/>
              <w:jc w:val="left"/>
              <w:rPr>
                <w:rFonts w:ascii="Times New Roman" w:hAnsi="Times New Roman" w:cs="Times New Roman" w:eastAsia="Times New Roman" w:hint="default"/>
                <w:sz w:val="18"/>
                <w:szCs w:val="18"/>
              </w:rPr>
            </w:pPr>
            <w:r>
              <w:rPr>
                <w:rFonts w:ascii="Times New Roman"/>
                <w:sz w:val="18"/>
              </w:rPr>
              <w:t>25%</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2、税收优惠" w:id="236"/>
      <w:bookmarkEnd w:id="236"/>
      <w:r>
        <w:rPr>
          <w:b w:val="0"/>
          <w:bCs w:val="0"/>
        </w:rPr>
      </w:r>
      <w:r>
        <w:rPr>
          <w:rFonts w:ascii="Times New Roman" w:hAnsi="Times New Roman" w:cs="Times New Roman" w:eastAsia="Times New Roman" w:hint="default"/>
        </w:rPr>
        <w:t>2</w:t>
      </w:r>
      <w:r>
        <w:rPr/>
        <w:t>、税收优惠</w:t>
      </w:r>
      <w:r>
        <w:rPr>
          <w:b w:val="0"/>
          <w:bCs w:val="0"/>
        </w:rPr>
      </w:r>
    </w:p>
    <w:p>
      <w:pPr>
        <w:spacing w:line="240" w:lineRule="auto" w:before="9"/>
        <w:rPr>
          <w:rFonts w:ascii="宋体" w:hAnsi="宋体" w:cs="宋体" w:eastAsia="宋体" w:hint="default"/>
          <w:b/>
          <w:bCs/>
          <w:sz w:val="26"/>
          <w:szCs w:val="26"/>
        </w:rPr>
      </w:pPr>
    </w:p>
    <w:p>
      <w:pPr>
        <w:pStyle w:val="BodyText"/>
        <w:spacing w:line="316" w:lineRule="auto" w:before="0"/>
        <w:ind w:left="633" w:right="0"/>
        <w:jc w:val="left"/>
      </w:pPr>
      <w:r>
        <w:rPr/>
        <w:t>（</w:t>
      </w:r>
      <w:r>
        <w:rPr>
          <w:rFonts w:ascii="宋体" w:hAnsi="宋体" w:cs="宋体" w:eastAsia="宋体" w:hint="default"/>
        </w:rPr>
        <w:t>1</w:t>
      </w:r>
      <w:r>
        <w:rPr/>
        <w:t>）企业所得税</w:t>
      </w:r>
      <w:r>
        <w:rPr>
          <w:spacing w:val="-87"/>
        </w:rPr>
        <w:t> </w:t>
      </w:r>
      <w:r>
        <w:rPr>
          <w:spacing w:val="-87"/>
        </w:rPr>
      </w:r>
      <w:r>
        <w:rPr>
          <w:rFonts w:ascii="宋体" w:hAnsi="宋体" w:cs="宋体" w:eastAsia="宋体" w:hint="default"/>
          <w:spacing w:val="-1"/>
        </w:rPr>
        <w:t>2017</w:t>
      </w:r>
      <w:r>
        <w:rPr>
          <w:spacing w:val="-1"/>
        </w:rPr>
        <w:t>年</w:t>
      </w:r>
      <w:r>
        <w:rPr>
          <w:rFonts w:ascii="宋体" w:hAnsi="宋体" w:cs="宋体" w:eastAsia="宋体" w:hint="default"/>
          <w:spacing w:val="-1"/>
        </w:rPr>
        <w:t>10</w:t>
      </w:r>
      <w:r>
        <w:rPr>
          <w:spacing w:val="-1"/>
        </w:rPr>
        <w:t>月</w:t>
      </w:r>
      <w:r>
        <w:rPr>
          <w:rFonts w:ascii="宋体" w:hAnsi="宋体" w:cs="宋体" w:eastAsia="宋体" w:hint="default"/>
          <w:spacing w:val="-1"/>
        </w:rPr>
        <w:t>31</w:t>
      </w:r>
      <w:r>
        <w:rPr>
          <w:spacing w:val="-1"/>
        </w:rPr>
        <w:t>日，本公司经重新认定为高新技术企业，有效期三年，企业所得税率为</w:t>
      </w:r>
      <w:r>
        <w:rPr>
          <w:rFonts w:ascii="宋体" w:hAnsi="宋体" w:cs="宋体" w:eastAsia="宋体" w:hint="default"/>
          <w:spacing w:val="-1"/>
        </w:rPr>
        <w:t>15%</w:t>
      </w:r>
      <w:r>
        <w:rPr>
          <w:spacing w:val="-1"/>
        </w:rPr>
        <w:t>，已向深圳市南山区税务局</w:t>
      </w:r>
    </w:p>
    <w:p>
      <w:pPr>
        <w:pStyle w:val="BodyText"/>
        <w:spacing w:line="240" w:lineRule="auto" w:before="19"/>
        <w:ind w:right="0"/>
        <w:jc w:val="left"/>
      </w:pPr>
      <w:r>
        <w:rPr/>
        <w:t>备案。</w:t>
      </w:r>
    </w:p>
    <w:p>
      <w:pPr>
        <w:pStyle w:val="BodyText"/>
        <w:spacing w:line="316" w:lineRule="auto" w:before="77"/>
        <w:ind w:right="0" w:firstLine="480"/>
        <w:jc w:val="left"/>
      </w:pPr>
      <w:r>
        <w:rPr>
          <w:spacing w:val="-3"/>
        </w:rPr>
        <w:t>本公司之子公司惠州市奥拓电子科技有限公司（以下简称“惠州奥拓”）经《关于广东省</w:t>
      </w:r>
      <w:r>
        <w:rPr>
          <w:rFonts w:ascii="宋体" w:hAnsi="宋体" w:cs="宋体" w:eastAsia="宋体" w:hint="default"/>
          <w:spacing w:val="-3"/>
        </w:rPr>
        <w:t>2019</w:t>
      </w:r>
      <w:r>
        <w:rPr>
          <w:spacing w:val="-3"/>
        </w:rPr>
        <w:t>年第三批高新技术企业</w:t>
      </w:r>
      <w:r>
        <w:rPr>
          <w:w w:val="101"/>
        </w:rPr>
        <w:t> </w:t>
      </w:r>
      <w:r>
        <w:rPr/>
        <w:t>备案的复函》（国科火（</w:t>
      </w:r>
      <w:r>
        <w:rPr>
          <w:rFonts w:ascii="宋体" w:hAnsi="宋体" w:cs="宋体" w:eastAsia="宋体" w:hint="default"/>
        </w:rPr>
        <w:t>2020</w:t>
      </w:r>
      <w:r>
        <w:rPr/>
        <w:t>）</w:t>
      </w:r>
      <w:r>
        <w:rPr>
          <w:rFonts w:ascii="宋体" w:hAnsi="宋体" w:cs="宋体" w:eastAsia="宋体" w:hint="default"/>
        </w:rPr>
        <w:t>54</w:t>
      </w:r>
      <w:r>
        <w:rPr/>
        <w:t>号）予以高新技术企业备案，证书编号</w:t>
      </w:r>
      <w:r>
        <w:rPr>
          <w:rFonts w:ascii="宋体" w:hAnsi="宋体" w:cs="宋体" w:eastAsia="宋体" w:hint="default"/>
        </w:rPr>
        <w:t>GR201944008598</w:t>
      </w:r>
      <w:r>
        <w:rPr/>
        <w:t>。</w:t>
      </w:r>
    </w:p>
    <w:p>
      <w:pPr>
        <w:pStyle w:val="BodyText"/>
        <w:spacing w:line="316" w:lineRule="auto" w:before="19"/>
        <w:ind w:right="0" w:firstLine="480"/>
        <w:jc w:val="left"/>
      </w:pPr>
      <w:r>
        <w:rPr>
          <w:rFonts w:ascii="宋体" w:hAnsi="宋体" w:cs="宋体" w:eastAsia="宋体" w:hint="default"/>
          <w:spacing w:val="-5"/>
        </w:rPr>
        <w:t>2017</w:t>
      </w:r>
      <w:r>
        <w:rPr>
          <w:spacing w:val="-5"/>
        </w:rPr>
        <w:t>年</w:t>
      </w:r>
      <w:r>
        <w:rPr>
          <w:rFonts w:ascii="宋体" w:hAnsi="宋体" w:cs="宋体" w:eastAsia="宋体" w:hint="default"/>
          <w:spacing w:val="-5"/>
        </w:rPr>
        <w:t>12</w:t>
      </w:r>
      <w:r>
        <w:rPr>
          <w:spacing w:val="-5"/>
        </w:rPr>
        <w:t>月</w:t>
      </w:r>
      <w:r>
        <w:rPr>
          <w:rFonts w:ascii="宋体" w:hAnsi="宋体" w:cs="宋体" w:eastAsia="宋体" w:hint="default"/>
          <w:spacing w:val="-5"/>
        </w:rPr>
        <w:t>27</w:t>
      </w:r>
      <w:r>
        <w:rPr>
          <w:spacing w:val="-5"/>
        </w:rPr>
        <w:t>日，本公司之子公司南京奥拓电子科技有限公司（以下简称“南京奥拓”）经重新认定为高新技术企业，</w:t>
      </w:r>
      <w:r>
        <w:rPr>
          <w:w w:val="101"/>
        </w:rPr>
        <w:t> </w:t>
      </w:r>
      <w:r>
        <w:rPr>
          <w:spacing w:val="-4"/>
        </w:rPr>
        <w:t>有效期三年，企业所得税率</w:t>
      </w:r>
      <w:r>
        <w:rPr>
          <w:rFonts w:ascii="宋体" w:hAnsi="宋体" w:cs="宋体" w:eastAsia="宋体" w:hint="default"/>
          <w:spacing w:val="-4"/>
        </w:rPr>
        <w:t>15%</w:t>
      </w:r>
      <w:r>
        <w:rPr>
          <w:spacing w:val="-4"/>
        </w:rPr>
        <w:t>，已由南京雨花区税务局核准备案；</w:t>
      </w:r>
      <w:r>
        <w:rPr>
          <w:rFonts w:ascii="宋体" w:hAnsi="宋体" w:cs="宋体" w:eastAsia="宋体" w:hint="default"/>
          <w:spacing w:val="-4"/>
        </w:rPr>
        <w:t>2017</w:t>
      </w:r>
      <w:r>
        <w:rPr>
          <w:spacing w:val="-4"/>
        </w:rPr>
        <w:t>年</w:t>
      </w:r>
      <w:r>
        <w:rPr>
          <w:rFonts w:ascii="宋体" w:hAnsi="宋体" w:cs="宋体" w:eastAsia="宋体" w:hint="default"/>
          <w:spacing w:val="-4"/>
        </w:rPr>
        <w:t>9</w:t>
      </w:r>
      <w:r>
        <w:rPr>
          <w:spacing w:val="-4"/>
        </w:rPr>
        <w:t>月南京奥拓经认定为科技型中小企业，有效期三</w:t>
      </w:r>
      <w:r>
        <w:rPr>
          <w:spacing w:val="57"/>
        </w:rPr>
        <w:t> </w:t>
      </w:r>
      <w:r>
        <w:rPr>
          <w:spacing w:val="57"/>
        </w:rPr>
      </w:r>
      <w:r>
        <w:rPr/>
        <w:t>年，研发费用按</w:t>
      </w:r>
      <w:r>
        <w:rPr>
          <w:rFonts w:ascii="宋体" w:hAnsi="宋体" w:cs="宋体" w:eastAsia="宋体" w:hint="default"/>
        </w:rPr>
        <w:t>75%</w:t>
      </w:r>
      <w:r>
        <w:rPr/>
        <w:t>加计扣除。</w:t>
      </w:r>
    </w:p>
    <w:p>
      <w:pPr>
        <w:pStyle w:val="BodyText"/>
        <w:spacing w:line="316" w:lineRule="auto" w:before="19"/>
        <w:ind w:right="0" w:firstLine="480"/>
        <w:jc w:val="left"/>
      </w:pPr>
      <w:r>
        <w:rPr>
          <w:spacing w:val="-5"/>
        </w:rPr>
        <w:t>本公司之孙公司南京奥拓软件技术有限公司（以下简称“南京软件”）企业自</w:t>
      </w:r>
      <w:r>
        <w:rPr>
          <w:rFonts w:ascii="宋体" w:hAnsi="宋体" w:cs="宋体" w:eastAsia="宋体" w:hint="default"/>
          <w:spacing w:val="-5"/>
        </w:rPr>
        <w:t>2016</w:t>
      </w:r>
      <w:r>
        <w:rPr>
          <w:spacing w:val="-5"/>
        </w:rPr>
        <w:t>年所得税享受两免三减半优惠政策，</w:t>
      </w:r>
      <w:r>
        <w:rPr>
          <w:w w:val="101"/>
        </w:rPr>
        <w:t> </w:t>
      </w:r>
      <w:r>
        <w:rPr>
          <w:spacing w:val="-3"/>
        </w:rPr>
        <w:t>已由南京雨花区税务局核准备案。</w:t>
      </w:r>
    </w:p>
    <w:p>
      <w:pPr>
        <w:pStyle w:val="BodyText"/>
        <w:spacing w:line="316" w:lineRule="auto" w:before="19"/>
        <w:ind w:right="1123" w:firstLine="480"/>
        <w:jc w:val="both"/>
      </w:pPr>
      <w:r>
        <w:rPr>
          <w:rFonts w:ascii="宋体" w:hAnsi="宋体" w:cs="宋体" w:eastAsia="宋体" w:hint="default"/>
          <w:spacing w:val="-3"/>
        </w:rPr>
        <w:t>2017</w:t>
      </w:r>
      <w:r>
        <w:rPr>
          <w:spacing w:val="-3"/>
        </w:rPr>
        <w:t>年</w:t>
      </w:r>
      <w:r>
        <w:rPr>
          <w:rFonts w:ascii="宋体" w:hAnsi="宋体" w:cs="宋体" w:eastAsia="宋体" w:hint="default"/>
          <w:spacing w:val="-3"/>
        </w:rPr>
        <w:t>11</w:t>
      </w:r>
      <w:r>
        <w:rPr>
          <w:spacing w:val="-3"/>
        </w:rPr>
        <w:t>月</w:t>
      </w:r>
      <w:r>
        <w:rPr>
          <w:rFonts w:ascii="宋体" w:hAnsi="宋体" w:cs="宋体" w:eastAsia="宋体" w:hint="default"/>
          <w:spacing w:val="-3"/>
        </w:rPr>
        <w:t>23</w:t>
      </w:r>
      <w:r>
        <w:rPr>
          <w:spacing w:val="-3"/>
        </w:rPr>
        <w:t>日，本公司之孙公司上海奥拓翰明计算机科技有限公司（以下简称“上海翰明”）（曾用名：上海翰明</w:t>
      </w:r>
      <w:r>
        <w:rPr>
          <w:w w:val="101"/>
        </w:rPr>
        <w:t> </w:t>
      </w:r>
      <w:r>
        <w:rPr>
          <w:spacing w:val="-3"/>
        </w:rPr>
        <w:t>计算机科技有限公司）经复审认定为国家高新技术企业，有效期三年，企业所得税率</w:t>
      </w:r>
      <w:r>
        <w:rPr>
          <w:rFonts w:ascii="宋体" w:hAnsi="宋体" w:cs="宋体" w:eastAsia="宋体" w:hint="default"/>
          <w:spacing w:val="-3"/>
        </w:rPr>
        <w:t>15%</w:t>
      </w:r>
      <w:r>
        <w:rPr>
          <w:spacing w:val="-3"/>
        </w:rPr>
        <w:t>，已由上海市税务局长宁区分局第</w:t>
      </w:r>
      <w:r>
        <w:rPr>
          <w:spacing w:val="79"/>
        </w:rPr>
        <w:t> </w:t>
      </w:r>
      <w:r>
        <w:rPr>
          <w:spacing w:val="79"/>
        </w:rPr>
      </w:r>
      <w:r>
        <w:rPr>
          <w:spacing w:val="-3"/>
        </w:rPr>
        <w:t>七税务所核准备案；</w:t>
      </w:r>
      <w:r>
        <w:rPr>
          <w:rFonts w:ascii="宋体" w:hAnsi="宋体" w:cs="宋体" w:eastAsia="宋体" w:hint="default"/>
          <w:spacing w:val="-3"/>
        </w:rPr>
        <w:t>2017</w:t>
      </w:r>
      <w:r>
        <w:rPr>
          <w:spacing w:val="-3"/>
        </w:rPr>
        <w:t>年</w:t>
      </w:r>
      <w:r>
        <w:rPr>
          <w:rFonts w:ascii="宋体" w:hAnsi="宋体" w:cs="宋体" w:eastAsia="宋体" w:hint="default"/>
          <w:spacing w:val="-3"/>
        </w:rPr>
        <w:t>12</w:t>
      </w:r>
      <w:r>
        <w:rPr>
          <w:spacing w:val="-3"/>
        </w:rPr>
        <w:t>月，上海翰明经认定为科技型中小企业，有效期三年，研发费用按</w:t>
      </w:r>
      <w:r>
        <w:rPr>
          <w:rFonts w:ascii="宋体" w:hAnsi="宋体" w:cs="宋体" w:eastAsia="宋体" w:hint="default"/>
          <w:spacing w:val="-3"/>
        </w:rPr>
        <w:t>75%</w:t>
      </w:r>
      <w:r>
        <w:rPr>
          <w:spacing w:val="-3"/>
        </w:rPr>
        <w:t>加计扣除。</w:t>
      </w:r>
    </w:p>
    <w:p>
      <w:pPr>
        <w:pStyle w:val="BodyText"/>
        <w:spacing w:line="319" w:lineRule="auto" w:before="19"/>
        <w:ind w:right="0" w:firstLine="480"/>
        <w:jc w:val="left"/>
      </w:pPr>
      <w:r>
        <w:rPr>
          <w:rFonts w:ascii="宋体" w:hAnsi="宋体" w:cs="宋体" w:eastAsia="宋体" w:hint="default"/>
          <w:spacing w:val="-1"/>
        </w:rPr>
        <w:t>2019</w:t>
      </w:r>
      <w:r>
        <w:rPr>
          <w:spacing w:val="-1"/>
        </w:rPr>
        <w:t>年</w:t>
      </w:r>
      <w:r>
        <w:rPr>
          <w:rFonts w:ascii="宋体" w:hAnsi="宋体" w:cs="宋体" w:eastAsia="宋体" w:hint="default"/>
          <w:spacing w:val="-1"/>
        </w:rPr>
        <w:t>12</w:t>
      </w:r>
      <w:r>
        <w:rPr>
          <w:spacing w:val="-1"/>
        </w:rPr>
        <w:t>月</w:t>
      </w:r>
      <w:r>
        <w:rPr>
          <w:rFonts w:ascii="宋体" w:hAnsi="宋体" w:cs="宋体" w:eastAsia="宋体" w:hint="default"/>
          <w:spacing w:val="-1"/>
        </w:rPr>
        <w:t>9</w:t>
      </w:r>
      <w:r>
        <w:rPr>
          <w:spacing w:val="-1"/>
        </w:rPr>
        <w:t>日，本公司之子公司深圳市千百辉照明工程有限公司（以下简称“千百辉”）经认定为国家高新技术企</w:t>
      </w:r>
      <w:r>
        <w:rPr>
          <w:w w:val="101"/>
        </w:rPr>
        <w:t> </w:t>
      </w:r>
      <w:r>
        <w:rPr>
          <w:spacing w:val="-3"/>
        </w:rPr>
        <w:t>业，有效期三年，企业所得税率</w:t>
      </w:r>
      <w:r>
        <w:rPr>
          <w:rFonts w:ascii="宋体" w:hAnsi="宋体" w:cs="宋体" w:eastAsia="宋体" w:hint="default"/>
          <w:spacing w:val="-3"/>
        </w:rPr>
        <w:t>15%</w:t>
      </w:r>
      <w:r>
        <w:rPr>
          <w:spacing w:val="-3"/>
        </w:rPr>
        <w:t>，已向深圳市福田区税务局备案。</w:t>
      </w:r>
    </w:p>
    <w:p>
      <w:pPr>
        <w:pStyle w:val="BodyText"/>
        <w:spacing w:line="316" w:lineRule="auto" w:before="17"/>
        <w:ind w:left="633" w:right="1120"/>
        <w:jc w:val="left"/>
      </w:pPr>
      <w:r>
        <w:rPr/>
        <w:t>（</w:t>
      </w:r>
      <w:r>
        <w:rPr>
          <w:rFonts w:ascii="宋体" w:hAnsi="宋体" w:cs="宋体" w:eastAsia="宋体" w:hint="default"/>
        </w:rPr>
        <w:t>2</w:t>
      </w:r>
      <w:r>
        <w:rPr/>
        <w:t>）增值税</w:t>
      </w:r>
      <w:r>
        <w:rPr>
          <w:spacing w:val="-87"/>
        </w:rPr>
        <w:t> </w:t>
      </w:r>
      <w:r>
        <w:rPr>
          <w:spacing w:val="-87"/>
        </w:rPr>
      </w:r>
      <w:r>
        <w:rPr>
          <w:rFonts w:ascii="宋体" w:hAnsi="宋体" w:cs="宋体" w:eastAsia="宋体" w:hint="default"/>
          <w:spacing w:val="-3"/>
        </w:rPr>
        <w:t>2005</w:t>
      </w:r>
      <w:r>
        <w:rPr>
          <w:spacing w:val="-3"/>
        </w:rPr>
        <w:t>年</w:t>
      </w:r>
      <w:r>
        <w:rPr>
          <w:rFonts w:ascii="宋体" w:hAnsi="宋体" w:cs="宋体" w:eastAsia="宋体" w:hint="default"/>
          <w:spacing w:val="-3"/>
        </w:rPr>
        <w:t>12</w:t>
      </w:r>
      <w:r>
        <w:rPr>
          <w:spacing w:val="-3"/>
        </w:rPr>
        <w:t>月</w:t>
      </w:r>
      <w:r>
        <w:rPr>
          <w:rFonts w:ascii="宋体" w:hAnsi="宋体" w:cs="宋体" w:eastAsia="宋体" w:hint="default"/>
          <w:spacing w:val="-3"/>
        </w:rPr>
        <w:t>30</w:t>
      </w:r>
      <w:r>
        <w:rPr>
          <w:spacing w:val="-3"/>
        </w:rPr>
        <w:t>日，深圳市奥拓软件技术有限公司（以下简称“奥拓软件”）经深圳市科技和信息局认定为软件企业。</w:t>
      </w:r>
    </w:p>
    <w:p>
      <w:pPr>
        <w:spacing w:after="0" w:line="316" w:lineRule="auto"/>
        <w:jc w:val="left"/>
        <w:sectPr>
          <w:pgSz w:w="11910" w:h="16840"/>
          <w:pgMar w:header="784" w:footer="1022" w:top="1100" w:bottom="1220" w:left="980" w:right="0"/>
        </w:sectPr>
      </w:pPr>
    </w:p>
    <w:p>
      <w:pPr>
        <w:spacing w:line="240" w:lineRule="auto" w:before="10"/>
        <w:rPr>
          <w:rFonts w:ascii="宋体" w:hAnsi="宋体" w:cs="宋体" w:eastAsia="宋体" w:hint="default"/>
          <w:sz w:val="22"/>
          <w:szCs w:val="22"/>
        </w:rPr>
      </w:pPr>
    </w:p>
    <w:p>
      <w:pPr>
        <w:pStyle w:val="BodyText"/>
        <w:spacing w:line="316" w:lineRule="auto"/>
        <w:ind w:right="1120"/>
        <w:jc w:val="left"/>
      </w:pPr>
      <w:r>
        <w:rPr>
          <w:spacing w:val="-4"/>
        </w:rPr>
        <w:t>根据国发</w:t>
      </w:r>
      <w:r>
        <w:rPr>
          <w:rFonts w:ascii="宋体" w:hAnsi="宋体" w:cs="宋体" w:eastAsia="宋体" w:hint="default"/>
          <w:spacing w:val="-4"/>
        </w:rPr>
        <w:t>[2011]4</w:t>
      </w:r>
      <w:r>
        <w:rPr>
          <w:spacing w:val="-4"/>
        </w:rPr>
        <w:t>号《国务院关于印发进一步鼓励软件产业和集成电路产业发展若干政策的通知》及财税</w:t>
      </w:r>
      <w:r>
        <w:rPr>
          <w:rFonts w:ascii="宋体" w:hAnsi="宋体" w:cs="宋体" w:eastAsia="宋体" w:hint="default"/>
          <w:spacing w:val="-4"/>
        </w:rPr>
        <w:t>[2011]100</w:t>
      </w:r>
      <w:r>
        <w:rPr>
          <w:spacing w:val="-4"/>
        </w:rPr>
        <w:t>号文件，</w:t>
      </w:r>
      <w:r>
        <w:rPr>
          <w:spacing w:val="61"/>
        </w:rPr>
        <w:t> </w:t>
      </w:r>
      <w:r>
        <w:rPr>
          <w:spacing w:val="61"/>
        </w:rPr>
      </w:r>
      <w:r>
        <w:rPr/>
        <w:t>奥拓软件销售其自行开发生产的软件产品，对增值税实际税负超过</w:t>
      </w:r>
      <w:r>
        <w:rPr>
          <w:rFonts w:ascii="宋体" w:hAnsi="宋体" w:cs="宋体" w:eastAsia="宋体" w:hint="default"/>
        </w:rPr>
        <w:t>3%</w:t>
      </w:r>
      <w:r>
        <w:rPr/>
        <w:t>的部分继续享受软件行业增值税即征即退的优惠政</w:t>
      </w:r>
      <w:r>
        <w:rPr>
          <w:spacing w:val="85"/>
        </w:rPr>
        <w:t> </w:t>
      </w:r>
      <w:r>
        <w:rPr>
          <w:spacing w:val="85"/>
        </w:rPr>
      </w:r>
      <w:r>
        <w:rPr/>
        <w:t>策。</w:t>
      </w:r>
    </w:p>
    <w:p>
      <w:pPr>
        <w:pStyle w:val="BodyText"/>
        <w:spacing w:line="316" w:lineRule="auto" w:before="19"/>
        <w:ind w:right="1127" w:firstLine="633"/>
        <w:jc w:val="both"/>
      </w:pPr>
      <w:r>
        <w:rPr>
          <w:rFonts w:ascii="宋体" w:hAnsi="宋体" w:cs="宋体" w:eastAsia="宋体" w:hint="default"/>
          <w:spacing w:val="-3"/>
        </w:rPr>
        <w:t>2016</w:t>
      </w:r>
      <w:r>
        <w:rPr>
          <w:spacing w:val="-3"/>
        </w:rPr>
        <w:t>年</w:t>
      </w:r>
      <w:r>
        <w:rPr>
          <w:rFonts w:ascii="宋体" w:hAnsi="宋体" w:cs="宋体" w:eastAsia="宋体" w:hint="default"/>
          <w:spacing w:val="-3"/>
        </w:rPr>
        <w:t>4</w:t>
      </w:r>
      <w:r>
        <w:rPr>
          <w:spacing w:val="-3"/>
        </w:rPr>
        <w:t>月</w:t>
      </w:r>
      <w:r>
        <w:rPr>
          <w:rFonts w:ascii="宋体" w:hAnsi="宋体" w:cs="宋体" w:eastAsia="宋体" w:hint="default"/>
          <w:spacing w:val="-3"/>
        </w:rPr>
        <w:t>18</w:t>
      </w:r>
      <w:r>
        <w:rPr>
          <w:spacing w:val="-3"/>
        </w:rPr>
        <w:t>日，南京软件经江苏省软件行业协会认定为软件企业。根据国发</w:t>
      </w:r>
      <w:r>
        <w:rPr>
          <w:rFonts w:ascii="宋体" w:hAnsi="宋体" w:cs="宋体" w:eastAsia="宋体" w:hint="default"/>
          <w:spacing w:val="-3"/>
        </w:rPr>
        <w:t>[2011]4</w:t>
      </w:r>
      <w:r>
        <w:rPr>
          <w:spacing w:val="-3"/>
        </w:rPr>
        <w:t>号《国务院关于印发进一步鼓</w:t>
      </w:r>
      <w:r>
        <w:rPr>
          <w:w w:val="101"/>
        </w:rPr>
        <w:t> </w:t>
      </w:r>
      <w:r>
        <w:rPr>
          <w:spacing w:val="-3"/>
        </w:rPr>
        <w:t>励软件产业和集成电路产业发展若干政策的通知》及财税</w:t>
      </w:r>
      <w:r>
        <w:rPr>
          <w:rFonts w:ascii="宋体" w:hAnsi="宋体" w:cs="宋体" w:eastAsia="宋体" w:hint="default"/>
          <w:spacing w:val="-3"/>
        </w:rPr>
        <w:t>[2011]100</w:t>
      </w:r>
      <w:r>
        <w:rPr>
          <w:spacing w:val="-3"/>
        </w:rPr>
        <w:t>号文件，南京软件销售其自行开发生产的软件产品，对</w:t>
      </w:r>
      <w:r>
        <w:rPr/>
        <w:t> </w:t>
      </w:r>
      <w:r>
        <w:rPr/>
      </w:r>
      <w:r>
        <w:rPr>
          <w:spacing w:val="-3"/>
        </w:rPr>
        <w:t>增值税实际税负超过</w:t>
      </w:r>
      <w:r>
        <w:rPr>
          <w:rFonts w:ascii="宋体" w:hAnsi="宋体" w:cs="宋体" w:eastAsia="宋体" w:hint="default"/>
          <w:spacing w:val="-3"/>
        </w:rPr>
        <w:t>3%</w:t>
      </w:r>
      <w:r>
        <w:rPr>
          <w:spacing w:val="-3"/>
        </w:rPr>
        <w:t>的部分享受软件行业增值税即征即退的优惠政策。</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Heading4"/>
        <w:spacing w:line="240" w:lineRule="auto" w:before="136"/>
        <w:ind w:right="0"/>
        <w:jc w:val="left"/>
        <w:rPr>
          <w:b w:val="0"/>
          <w:bCs w:val="0"/>
        </w:rPr>
      </w:pPr>
      <w:bookmarkStart w:name="3、其他" w:id="237"/>
      <w:bookmarkEnd w:id="237"/>
      <w:r>
        <w:rPr>
          <w:b w:val="0"/>
          <w:bCs w:val="0"/>
        </w:rPr>
      </w:r>
      <w:r>
        <w:rPr>
          <w:rFonts w:ascii="Times New Roman" w:hAnsi="Times New Roman" w:cs="Times New Roman" w:eastAsia="Times New Roman" w:hint="default"/>
        </w:rPr>
        <w:t>3</w:t>
      </w:r>
      <w:r>
        <w:rPr/>
        <w:t>、其他</w:t>
      </w:r>
      <w:r>
        <w:rPr>
          <w:b w:val="0"/>
          <w:bCs w:val="0"/>
        </w:rPr>
      </w:r>
    </w:p>
    <w:p>
      <w:pPr>
        <w:spacing w:line="240" w:lineRule="auto" w:before="5"/>
        <w:rPr>
          <w:rFonts w:ascii="宋体" w:hAnsi="宋体" w:cs="宋体" w:eastAsia="宋体" w:hint="default"/>
          <w:b/>
          <w:bCs/>
          <w:sz w:val="26"/>
          <w:szCs w:val="26"/>
        </w:rPr>
      </w:pPr>
    </w:p>
    <w:p>
      <w:pPr>
        <w:pStyle w:val="BodyText"/>
        <w:spacing w:line="240" w:lineRule="auto" w:before="0"/>
        <w:ind w:right="0"/>
        <w:jc w:val="left"/>
      </w:pPr>
      <w:r>
        <w:rPr/>
        <w:t>无。</w:t>
      </w:r>
    </w:p>
    <w:p>
      <w:pPr>
        <w:spacing w:line="240" w:lineRule="auto" w:before="9"/>
        <w:rPr>
          <w:rFonts w:ascii="宋体" w:hAnsi="宋体" w:cs="宋体" w:eastAsia="宋体" w:hint="default"/>
          <w:sz w:val="24"/>
          <w:szCs w:val="24"/>
        </w:rPr>
      </w:pPr>
    </w:p>
    <w:p>
      <w:pPr>
        <w:pStyle w:val="Heading2"/>
        <w:spacing w:line="240" w:lineRule="auto"/>
        <w:ind w:right="0"/>
        <w:jc w:val="left"/>
        <w:rPr>
          <w:b w:val="0"/>
          <w:bCs w:val="0"/>
        </w:rPr>
      </w:pPr>
      <w:bookmarkStart w:name="七、合并财务报表项目注释" w:id="238"/>
      <w:bookmarkEnd w:id="238"/>
      <w:r>
        <w:rPr>
          <w:b w:val="0"/>
          <w:bCs w:val="0"/>
        </w:rPr>
      </w:r>
      <w:r>
        <w:rPr/>
        <w:t>七、合并财务报表项目注释</w:t>
      </w:r>
      <w:r>
        <w:rPr>
          <w:b w:val="0"/>
          <w:bCs w:val="0"/>
        </w:rPr>
      </w:r>
    </w:p>
    <w:p>
      <w:pPr>
        <w:spacing w:line="240" w:lineRule="auto" w:before="4"/>
        <w:rPr>
          <w:rFonts w:ascii="宋体" w:hAnsi="宋体" w:cs="宋体" w:eastAsia="宋体" w:hint="default"/>
          <w:b/>
          <w:bCs/>
          <w:sz w:val="25"/>
          <w:szCs w:val="25"/>
        </w:rPr>
      </w:pPr>
    </w:p>
    <w:p>
      <w:pPr>
        <w:pStyle w:val="Heading4"/>
        <w:spacing w:line="240" w:lineRule="auto"/>
        <w:ind w:right="0"/>
        <w:jc w:val="left"/>
        <w:rPr>
          <w:b w:val="0"/>
          <w:bCs w:val="0"/>
        </w:rPr>
      </w:pPr>
      <w:bookmarkStart w:name="1、货币资金" w:id="239"/>
      <w:bookmarkEnd w:id="239"/>
      <w:r>
        <w:rPr>
          <w:b w:val="0"/>
          <w:bCs w:val="0"/>
        </w:rPr>
      </w:r>
      <w:r>
        <w:rPr>
          <w:rFonts w:ascii="Times New Roman" w:hAnsi="Times New Roman" w:cs="Times New Roman" w:eastAsia="Times New Roman" w:hint="default"/>
        </w:rPr>
        <w:t>1</w:t>
      </w:r>
      <w:r>
        <w:rPr/>
        <w:t>、货币资金</w:t>
      </w:r>
      <w:r>
        <w:rPr>
          <w:b w:val="0"/>
          <w:bCs w:val="0"/>
        </w:rPr>
      </w:r>
    </w:p>
    <w:p>
      <w:pPr>
        <w:spacing w:line="240" w:lineRule="auto" w:before="9"/>
        <w:rPr>
          <w:rFonts w:ascii="宋体" w:hAnsi="宋体" w:cs="宋体" w:eastAsia="宋体" w:hint="default"/>
          <w:b/>
          <w:bCs/>
          <w:sz w:val="26"/>
          <w:szCs w:val="26"/>
        </w:rPr>
      </w:pPr>
    </w:p>
    <w:p>
      <w:pPr>
        <w:pStyle w:val="BodyText"/>
        <w:spacing w:line="240" w:lineRule="auto" w:before="0"/>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398"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库存现金</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191,064.16</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216,081.35</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602,505,910.98</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453,410,162.03</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其他货币资金</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14,822,462.44</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9,874,041.47</w:t>
            </w:r>
          </w:p>
        </w:tc>
      </w:tr>
      <w:tr>
        <w:trPr>
          <w:trHeight w:val="398"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617,519,437.58</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463,500,284.85</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88" w:right="0"/>
              <w:jc w:val="left"/>
              <w:rPr>
                <w:rFonts w:ascii="宋体" w:hAnsi="宋体" w:cs="宋体" w:eastAsia="宋体" w:hint="default"/>
                <w:sz w:val="18"/>
                <w:szCs w:val="18"/>
              </w:rPr>
            </w:pPr>
            <w:r>
              <w:rPr>
                <w:rFonts w:ascii="宋体" w:hAnsi="宋体" w:cs="宋体" w:eastAsia="宋体" w:hint="default"/>
                <w:spacing w:val="-3"/>
                <w:sz w:val="18"/>
                <w:szCs w:val="18"/>
              </w:rPr>
              <w:t>其中：存放在境外的款项总额</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10,258,150.35</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29,614,645.27</w:t>
            </w:r>
          </w:p>
        </w:tc>
      </w:tr>
    </w:tbl>
    <w:p>
      <w:pPr>
        <w:pStyle w:val="BodyText"/>
        <w:spacing w:line="240" w:lineRule="auto" w:before="54"/>
        <w:ind w:right="0"/>
        <w:jc w:val="left"/>
      </w:pPr>
      <w:r>
        <w:rPr/>
        <w:t>其他说明</w:t>
      </w:r>
    </w:p>
    <w:p>
      <w:pPr>
        <w:pStyle w:val="BodyText"/>
        <w:spacing w:line="316" w:lineRule="auto" w:before="115"/>
        <w:ind w:right="0" w:firstLine="456"/>
        <w:jc w:val="left"/>
      </w:pPr>
      <w:r>
        <w:rPr>
          <w:spacing w:val="-4"/>
        </w:rPr>
        <w:t>年末其他货币资金中</w:t>
      </w:r>
      <w:r>
        <w:rPr>
          <w:rFonts w:ascii="宋体" w:hAnsi="宋体" w:cs="宋体" w:eastAsia="宋体" w:hint="default"/>
          <w:spacing w:val="-4"/>
        </w:rPr>
        <w:t>14,822,462.44</w:t>
      </w:r>
      <w:r>
        <w:rPr>
          <w:spacing w:val="-4"/>
        </w:rPr>
        <w:t>元为受限保证金，年末无证券账户资金，年初其他货币资金中</w:t>
      </w:r>
      <w:r>
        <w:rPr>
          <w:rFonts w:ascii="宋体" w:hAnsi="宋体" w:cs="宋体" w:eastAsia="宋体" w:hint="default"/>
          <w:spacing w:val="-4"/>
        </w:rPr>
        <w:t>4,773,829.66</w:t>
      </w:r>
      <w:r>
        <w:rPr>
          <w:spacing w:val="-4"/>
        </w:rPr>
        <w:t>元为受</w:t>
      </w:r>
      <w:r>
        <w:rPr>
          <w:w w:val="101"/>
        </w:rPr>
        <w:t> </w:t>
      </w:r>
      <w:r>
        <w:rPr/>
        <w:t>限保证金，</w:t>
      </w:r>
      <w:r>
        <w:rPr>
          <w:rFonts w:ascii="宋体" w:hAnsi="宋体" w:cs="宋体" w:eastAsia="宋体" w:hint="default"/>
        </w:rPr>
        <w:t>5,100,211.81</w:t>
      </w:r>
      <w:r>
        <w:rPr/>
        <w:t>元为证券账户资金。</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Heading4"/>
        <w:spacing w:line="240" w:lineRule="auto" w:before="137"/>
        <w:ind w:right="0"/>
        <w:jc w:val="left"/>
        <w:rPr>
          <w:b w:val="0"/>
          <w:bCs w:val="0"/>
        </w:rPr>
      </w:pPr>
      <w:bookmarkStart w:name="2、交易性金融资产" w:id="240"/>
      <w:bookmarkEnd w:id="240"/>
      <w:r>
        <w:rPr>
          <w:b w:val="0"/>
          <w:bCs w:val="0"/>
        </w:rPr>
      </w:r>
      <w:r>
        <w:rPr>
          <w:rFonts w:ascii="Times New Roman" w:hAnsi="Times New Roman" w:cs="Times New Roman" w:eastAsia="Times New Roman" w:hint="default"/>
        </w:rPr>
        <w:t>2</w:t>
      </w:r>
      <w:r>
        <w:rPr/>
        <w:t>、交易性金融资产</w:t>
      </w:r>
      <w:r>
        <w:rPr>
          <w:b w:val="0"/>
          <w:bCs w:val="0"/>
        </w:rPr>
      </w:r>
    </w:p>
    <w:p>
      <w:pPr>
        <w:spacing w:line="240" w:lineRule="auto" w:before="9"/>
        <w:rPr>
          <w:rFonts w:ascii="宋体" w:hAnsi="宋体" w:cs="宋体" w:eastAsia="宋体" w:hint="default"/>
          <w:b/>
          <w:bCs/>
          <w:sz w:val="26"/>
          <w:szCs w:val="26"/>
        </w:rPr>
      </w:pPr>
    </w:p>
    <w:p>
      <w:pPr>
        <w:pStyle w:val="BodyText"/>
        <w:spacing w:line="240" w:lineRule="auto" w:before="0"/>
        <w:ind w:left="0" w:right="1122"/>
        <w:jc w:val="right"/>
      </w:pPr>
      <w:r>
        <w:rPr/>
        <w:t>单位：</w:t>
      </w:r>
      <w:r>
        <w:rPr>
          <w:spacing w:val="5"/>
        </w:rPr>
        <w:t> </w:t>
      </w:r>
      <w:r>
        <w:rPr/>
        <w:t>元</w:t>
      </w:r>
    </w:p>
    <w:p>
      <w:pPr>
        <w:spacing w:line="240" w:lineRule="auto" w:before="10"/>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9"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716"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4" w:lineRule="auto" w:before="53"/>
              <w:ind w:left="105" w:right="185"/>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以公允价值计量且其变动计入当期损</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z w:val="18"/>
                <w:szCs w:val="18"/>
              </w:rPr>
              <w:t>益的金融资产</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71,460,000.00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107,106,000.00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88"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银行理财</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71,460,000.00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107,106,000.00</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288"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71,460,000.00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107,106,000.00</w:t>
            </w:r>
          </w:p>
        </w:tc>
      </w:tr>
    </w:tbl>
    <w:p>
      <w:pPr>
        <w:pStyle w:val="BodyText"/>
        <w:spacing w:line="357" w:lineRule="auto" w:before="53"/>
        <w:ind w:right="9861"/>
        <w:jc w:val="left"/>
      </w:pPr>
      <w:r>
        <w:rPr>
          <w:spacing w:val="-2"/>
        </w:rPr>
        <w:t>其他说明：</w:t>
      </w:r>
      <w:r>
        <w:rPr>
          <w:spacing w:val="-78"/>
        </w:rPr>
        <w:t> </w:t>
      </w:r>
      <w:r>
        <w:rPr>
          <w:spacing w:val="-78"/>
        </w:rPr>
      </w:r>
      <w:r>
        <w:rPr/>
        <w:t>无。</w:t>
      </w:r>
    </w:p>
    <w:p>
      <w:pPr>
        <w:spacing w:after="0" w:line="357" w:lineRule="auto"/>
        <w:jc w:val="left"/>
        <w:sectPr>
          <w:pgSz w:w="11910" w:h="16840"/>
          <w:pgMar w:header="784" w:footer="1022" w:top="1100" w:bottom="1220" w:left="980" w:right="0"/>
        </w:sectPr>
      </w:pPr>
    </w:p>
    <w:p>
      <w:pPr>
        <w:spacing w:line="240" w:lineRule="auto" w:before="13"/>
        <w:rPr>
          <w:rFonts w:ascii="宋体" w:hAnsi="宋体" w:cs="宋体" w:eastAsia="宋体" w:hint="default"/>
          <w:sz w:val="21"/>
          <w:szCs w:val="21"/>
        </w:rPr>
      </w:pPr>
    </w:p>
    <w:p>
      <w:pPr>
        <w:pStyle w:val="Heading4"/>
        <w:spacing w:line="240" w:lineRule="auto" w:before="36"/>
        <w:ind w:right="0"/>
        <w:jc w:val="left"/>
        <w:rPr>
          <w:b w:val="0"/>
          <w:bCs w:val="0"/>
        </w:rPr>
      </w:pPr>
      <w:bookmarkStart w:name="3、衍生金融资产" w:id="241"/>
      <w:bookmarkEnd w:id="241"/>
      <w:r>
        <w:rPr>
          <w:b w:val="0"/>
          <w:bCs w:val="0"/>
        </w:rPr>
      </w:r>
      <w:r>
        <w:rPr>
          <w:rFonts w:ascii="Times New Roman" w:hAnsi="Times New Roman" w:cs="Times New Roman" w:eastAsia="Times New Roman" w:hint="default"/>
        </w:rPr>
        <w:t>3</w:t>
      </w:r>
      <w:r>
        <w:rPr/>
        <w:t>、衍生金融资产</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9"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z w:val="18"/>
              </w:rPr>
              <w:t>0.00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12,750.00</w:t>
            </w:r>
          </w:p>
        </w:tc>
      </w:tr>
      <w:tr>
        <w:trPr>
          <w:trHeight w:val="398"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12,750.00</w:t>
            </w:r>
          </w:p>
        </w:tc>
      </w:tr>
    </w:tbl>
    <w:p>
      <w:pPr>
        <w:pStyle w:val="BodyText"/>
        <w:spacing w:line="357" w:lineRule="auto" w:before="53"/>
        <w:ind w:right="9666"/>
        <w:jc w:val="left"/>
      </w:pPr>
      <w:r>
        <w:rPr/>
        <w:t>其他说明：</w:t>
      </w:r>
      <w:r>
        <w:rPr>
          <w:w w:val="101"/>
        </w:rPr>
        <w:t> </w:t>
      </w:r>
      <w:r>
        <w:rPr/>
        <w:t>无。</w:t>
      </w:r>
    </w:p>
    <w:p>
      <w:pPr>
        <w:spacing w:line="240" w:lineRule="auto" w:before="3"/>
        <w:rPr>
          <w:rFonts w:ascii="宋体" w:hAnsi="宋体" w:cs="宋体" w:eastAsia="宋体" w:hint="default"/>
          <w:sz w:val="20"/>
          <w:szCs w:val="20"/>
        </w:rPr>
      </w:pPr>
    </w:p>
    <w:p>
      <w:pPr>
        <w:pStyle w:val="Heading4"/>
        <w:spacing w:line="240" w:lineRule="auto"/>
        <w:ind w:right="0"/>
        <w:jc w:val="left"/>
        <w:rPr>
          <w:b w:val="0"/>
          <w:bCs w:val="0"/>
        </w:rPr>
      </w:pPr>
      <w:bookmarkStart w:name="4、应收票据" w:id="242"/>
      <w:bookmarkEnd w:id="242"/>
      <w:r>
        <w:rPr>
          <w:b w:val="0"/>
          <w:bCs w:val="0"/>
        </w:rPr>
      </w:r>
      <w:r>
        <w:rPr>
          <w:rFonts w:ascii="Times New Roman" w:hAnsi="Times New Roman" w:cs="Times New Roman" w:eastAsia="Times New Roman" w:hint="default"/>
        </w:rPr>
        <w:t>4</w:t>
      </w:r>
      <w:r>
        <w:rPr/>
        <w:t>、应收票据</w:t>
      </w:r>
      <w:r>
        <w:rPr>
          <w:b w:val="0"/>
          <w:bCs w:val="0"/>
        </w:rPr>
      </w:r>
    </w:p>
    <w:p>
      <w:pPr>
        <w:spacing w:line="240" w:lineRule="auto" w:before="5"/>
        <w:rPr>
          <w:rFonts w:ascii="宋体" w:hAnsi="宋体" w:cs="宋体" w:eastAsia="宋体" w:hint="default"/>
          <w:b/>
          <w:bCs/>
          <w:sz w:val="24"/>
          <w:szCs w:val="24"/>
        </w:rPr>
      </w:pPr>
    </w:p>
    <w:p>
      <w:pPr>
        <w:pStyle w:val="Heading4"/>
        <w:spacing w:line="240" w:lineRule="auto"/>
        <w:ind w:right="0"/>
        <w:jc w:val="left"/>
        <w:rPr>
          <w:b w:val="0"/>
          <w:bCs w:val="0"/>
        </w:rPr>
      </w:pPr>
      <w:bookmarkStart w:name="（1）应收票据分类列示" w:id="243"/>
      <w:bookmarkEnd w:id="243"/>
      <w:r>
        <w:rPr>
          <w:b w:val="0"/>
          <w:bCs w:val="0"/>
        </w:rPr>
      </w:r>
      <w:r>
        <w:rPr/>
        <w:t>（</w:t>
      </w:r>
      <w:r>
        <w:rPr>
          <w:rFonts w:ascii="Times New Roman" w:hAnsi="Times New Roman" w:cs="Times New Roman" w:eastAsia="Times New Roman" w:hint="default"/>
        </w:rPr>
        <w:t>1</w:t>
      </w:r>
      <w:r>
        <w:rPr/>
        <w:t>）应收票据分类列示</w:t>
      </w:r>
      <w:r>
        <w:rPr>
          <w:b w:val="0"/>
          <w:bCs w:val="0"/>
        </w:rPr>
      </w:r>
    </w:p>
    <w:p>
      <w:pPr>
        <w:spacing w:line="240" w:lineRule="auto" w:before="7"/>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10"/>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9"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商业承兑票据</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16,618,164.76</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6,752,403.35</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16,618,164.76</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6,752,403.35</w:t>
            </w:r>
          </w:p>
        </w:tc>
      </w:tr>
    </w:tbl>
    <w:p>
      <w:pPr>
        <w:pStyle w:val="BodyText"/>
        <w:spacing w:line="240" w:lineRule="auto" w:before="54"/>
        <w:ind w:left="0" w:right="1122"/>
        <w:jc w:val="right"/>
      </w:pPr>
      <w:r>
        <w:rPr/>
        <w:t>单位：</w:t>
      </w:r>
      <w:r>
        <w:rPr>
          <w:spacing w:val="5"/>
        </w:rPr>
        <w:t> </w:t>
      </w:r>
      <w:r>
        <w:rPr/>
        <w:t>元</w:t>
      </w:r>
    </w:p>
    <w:p>
      <w:pPr>
        <w:spacing w:line="240" w:lineRule="auto" w:before="10"/>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637"/>
        <w:gridCol w:w="764"/>
        <w:gridCol w:w="758"/>
        <w:gridCol w:w="764"/>
        <w:gridCol w:w="764"/>
        <w:gridCol w:w="787"/>
        <w:gridCol w:w="778"/>
        <w:gridCol w:w="797"/>
        <w:gridCol w:w="932"/>
        <w:gridCol w:w="797"/>
        <w:gridCol w:w="792"/>
      </w:tblGrid>
      <w:tr>
        <w:trPr>
          <w:trHeight w:val="396" w:hRule="exact"/>
        </w:trPr>
        <w:tc>
          <w:tcPr>
            <w:tcW w:w="163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2"/>
              <w:ind w:left="4"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3837"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6"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10"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8" w:hRule="exact"/>
        </w:trPr>
        <w:tc>
          <w:tcPr>
            <w:tcW w:w="1637" w:type="dxa"/>
            <w:vMerge/>
            <w:tcBorders>
              <w:left w:val="single" w:sz="4" w:space="0" w:color="000000"/>
              <w:right w:val="single" w:sz="4" w:space="0" w:color="000000"/>
            </w:tcBorders>
            <w:shd w:val="clear" w:color="auto" w:fill="D2D2D2"/>
          </w:tcPr>
          <w:p>
            <w:pPr/>
          </w:p>
        </w:tc>
        <w:tc>
          <w:tcPr>
            <w:tcW w:w="152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39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39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8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9"/>
                <w:szCs w:val="19"/>
              </w:rPr>
            </w:pPr>
          </w:p>
          <w:p>
            <w:pPr>
              <w:pStyle w:val="TableParagraph"/>
              <w:spacing w:line="321" w:lineRule="auto"/>
              <w:ind w:left="302" w:right="113" w:hanging="183"/>
              <w:jc w:val="left"/>
              <w:rPr>
                <w:rFonts w:ascii="宋体" w:hAnsi="宋体" w:cs="宋体" w:eastAsia="宋体" w:hint="default"/>
                <w:sz w:val="18"/>
                <w:szCs w:val="18"/>
              </w:rPr>
            </w:pPr>
            <w:r>
              <w:rPr>
                <w:rFonts w:ascii="宋体" w:hAnsi="宋体" w:cs="宋体" w:eastAsia="宋体" w:hint="default"/>
                <w:sz w:val="18"/>
                <w:szCs w:val="18"/>
              </w:rPr>
              <w:t>账面价</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值</w:t>
            </w:r>
          </w:p>
        </w:tc>
        <w:tc>
          <w:tcPr>
            <w:tcW w:w="157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2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2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99"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9"/>
                <w:szCs w:val="19"/>
              </w:rPr>
            </w:pPr>
          </w:p>
          <w:p>
            <w:pPr>
              <w:pStyle w:val="TableParagraph"/>
              <w:spacing w:line="321" w:lineRule="auto"/>
              <w:ind w:left="302" w:right="113" w:hanging="178"/>
              <w:jc w:val="left"/>
              <w:rPr>
                <w:rFonts w:ascii="宋体" w:hAnsi="宋体" w:cs="宋体" w:eastAsia="宋体" w:hint="default"/>
                <w:sz w:val="18"/>
                <w:szCs w:val="18"/>
              </w:rPr>
            </w:pPr>
            <w:r>
              <w:rPr>
                <w:rFonts w:ascii="宋体" w:hAnsi="宋体" w:cs="宋体" w:eastAsia="宋体" w:hint="default"/>
                <w:sz w:val="18"/>
                <w:szCs w:val="18"/>
              </w:rPr>
              <w:t>账面价</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值</w:t>
            </w:r>
          </w:p>
        </w:tc>
      </w:tr>
      <w:tr>
        <w:trPr>
          <w:trHeight w:val="720" w:hRule="exact"/>
        </w:trPr>
        <w:tc>
          <w:tcPr>
            <w:tcW w:w="1637" w:type="dxa"/>
            <w:vMerge/>
            <w:tcBorders>
              <w:left w:val="single" w:sz="4" w:space="0" w:color="000000"/>
              <w:bottom w:val="single" w:sz="4" w:space="0" w:color="000000"/>
              <w:right w:val="single" w:sz="4" w:space="0" w:color="000000"/>
            </w:tcBorders>
            <w:shd w:val="clear" w:color="auto" w:fill="D2D2D2"/>
          </w:tcPr>
          <w:p>
            <w:pPr/>
          </w:p>
        </w:tc>
        <w:tc>
          <w:tcPr>
            <w:tcW w:w="7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9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92"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97"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287" w:right="99" w:hanging="178"/>
              <w:jc w:val="left"/>
              <w:rPr>
                <w:rFonts w:ascii="宋体" w:hAnsi="宋体" w:cs="宋体" w:eastAsia="宋体" w:hint="default"/>
                <w:sz w:val="18"/>
                <w:szCs w:val="18"/>
              </w:rPr>
            </w:pPr>
            <w:r>
              <w:rPr>
                <w:rFonts w:ascii="宋体" w:hAnsi="宋体" w:cs="宋体" w:eastAsia="宋体" w:hint="default"/>
                <w:sz w:val="18"/>
                <w:szCs w:val="18"/>
              </w:rPr>
              <w:t>计提比</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例</w:t>
            </w:r>
          </w:p>
        </w:tc>
        <w:tc>
          <w:tcPr>
            <w:tcW w:w="787" w:type="dxa"/>
            <w:vMerge/>
            <w:tcBorders>
              <w:left w:val="single" w:sz="4" w:space="0" w:color="000000"/>
              <w:bottom w:val="single" w:sz="4" w:space="0" w:color="000000"/>
              <w:right w:val="single" w:sz="4" w:space="0" w:color="000000"/>
            </w:tcBorders>
            <w:shd w:val="clear" w:color="auto" w:fill="D2D2D2"/>
          </w:tcPr>
          <w:p>
            <w:pPr/>
          </w:p>
        </w:tc>
        <w:tc>
          <w:tcPr>
            <w:tcW w:w="7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20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21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9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28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307" w:right="118" w:hanging="183"/>
              <w:jc w:val="left"/>
              <w:rPr>
                <w:rFonts w:ascii="宋体" w:hAnsi="宋体" w:cs="宋体" w:eastAsia="宋体" w:hint="default"/>
                <w:sz w:val="18"/>
                <w:szCs w:val="18"/>
              </w:rPr>
            </w:pPr>
            <w:r>
              <w:rPr>
                <w:rFonts w:ascii="宋体" w:hAnsi="宋体" w:cs="宋体" w:eastAsia="宋体" w:hint="default"/>
                <w:sz w:val="18"/>
                <w:szCs w:val="18"/>
              </w:rPr>
              <w:t>计提比</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例</w:t>
            </w:r>
          </w:p>
        </w:tc>
        <w:tc>
          <w:tcPr>
            <w:tcW w:w="792" w:type="dxa"/>
            <w:vMerge/>
            <w:tcBorders>
              <w:left w:val="single" w:sz="4" w:space="0" w:color="000000"/>
              <w:bottom w:val="single" w:sz="4" w:space="0" w:color="000000"/>
              <w:right w:val="single" w:sz="4" w:space="0" w:color="000000"/>
            </w:tcBorders>
            <w:shd w:val="clear" w:color="auto" w:fill="D2D2D2"/>
          </w:tcPr>
          <w:p>
            <w:pPr/>
          </w:p>
        </w:tc>
      </w:tr>
      <w:tr>
        <w:trPr>
          <w:trHeight w:val="394" w:hRule="exact"/>
        </w:trPr>
        <w:tc>
          <w:tcPr>
            <w:tcW w:w="1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88"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76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5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8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7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93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2"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715" w:hRule="exact"/>
        </w:trPr>
        <w:tc>
          <w:tcPr>
            <w:tcW w:w="1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8"/>
              <w:ind w:left="105" w:right="257"/>
              <w:jc w:val="left"/>
              <w:rPr>
                <w:rFonts w:ascii="宋体" w:hAnsi="宋体" w:cs="宋体" w:eastAsia="宋体" w:hint="default"/>
                <w:sz w:val="18"/>
                <w:szCs w:val="18"/>
              </w:rPr>
            </w:pPr>
            <w:r>
              <w:rPr>
                <w:rFonts w:ascii="宋体" w:hAnsi="宋体" w:cs="宋体" w:eastAsia="宋体" w:hint="default"/>
                <w:spacing w:val="-3"/>
                <w:sz w:val="18"/>
                <w:szCs w:val="18"/>
              </w:rPr>
              <w:t>按组合计提坏账</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3"/>
                <w:sz w:val="18"/>
                <w:szCs w:val="18"/>
              </w:rPr>
              <w:t>准备的应收票据</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10" w:right="0"/>
              <w:jc w:val="left"/>
              <w:rPr>
                <w:rFonts w:ascii="Times New Roman" w:hAnsi="Times New Roman" w:cs="Times New Roman" w:eastAsia="Times New Roman" w:hint="default"/>
                <w:sz w:val="18"/>
                <w:szCs w:val="18"/>
              </w:rPr>
            </w:pPr>
            <w:r>
              <w:rPr>
                <w:rFonts w:ascii="Times New Roman"/>
                <w:sz w:val="18"/>
              </w:rPr>
              <w:t>18,143,</w:t>
            </w:r>
          </w:p>
          <w:p>
            <w:pPr>
              <w:pStyle w:val="TableParagraph"/>
              <w:spacing w:line="240" w:lineRule="auto" w:before="105"/>
              <w:ind w:left="153" w:right="0"/>
              <w:jc w:val="left"/>
              <w:rPr>
                <w:rFonts w:ascii="Times New Roman" w:hAnsi="Times New Roman" w:cs="Times New Roman" w:eastAsia="Times New Roman" w:hint="default"/>
                <w:sz w:val="18"/>
                <w:szCs w:val="18"/>
              </w:rPr>
            </w:pPr>
            <w:r>
              <w:rPr>
                <w:rFonts w:ascii="Times New Roman"/>
                <w:sz w:val="18"/>
              </w:rPr>
              <w:t>626.06</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53"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left="499" w:right="0"/>
              <w:jc w:val="lef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9" w:right="0"/>
              <w:jc w:val="center"/>
              <w:rPr>
                <w:rFonts w:ascii="Times New Roman" w:hAnsi="Times New Roman" w:cs="Times New Roman" w:eastAsia="Times New Roman" w:hint="default"/>
                <w:sz w:val="18"/>
                <w:szCs w:val="18"/>
              </w:rPr>
            </w:pPr>
            <w:r>
              <w:rPr>
                <w:rFonts w:ascii="Times New Roman"/>
                <w:sz w:val="18"/>
              </w:rPr>
              <w:t>1,525,4</w:t>
            </w:r>
          </w:p>
          <w:p>
            <w:pPr>
              <w:pStyle w:val="TableParagraph"/>
              <w:spacing w:line="240" w:lineRule="auto" w:before="105"/>
              <w:ind w:left="154" w:right="0"/>
              <w:jc w:val="center"/>
              <w:rPr>
                <w:rFonts w:ascii="Times New Roman" w:hAnsi="Times New Roman" w:cs="Times New Roman" w:eastAsia="Times New Roman" w:hint="default"/>
                <w:sz w:val="18"/>
                <w:szCs w:val="18"/>
              </w:rPr>
            </w:pPr>
            <w:r>
              <w:rPr>
                <w:rFonts w:ascii="Times New Roman"/>
                <w:sz w:val="18"/>
              </w:rPr>
              <w:t>61.30</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8.41%</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39" w:right="0"/>
              <w:jc w:val="left"/>
              <w:rPr>
                <w:rFonts w:ascii="Times New Roman" w:hAnsi="Times New Roman" w:cs="Times New Roman" w:eastAsia="Times New Roman" w:hint="default"/>
                <w:sz w:val="18"/>
                <w:szCs w:val="18"/>
              </w:rPr>
            </w:pPr>
            <w:r>
              <w:rPr>
                <w:rFonts w:ascii="Times New Roman"/>
                <w:sz w:val="18"/>
              </w:rPr>
              <w:t>16,618,</w:t>
            </w:r>
          </w:p>
          <w:p>
            <w:pPr>
              <w:pStyle w:val="TableParagraph"/>
              <w:spacing w:line="240" w:lineRule="auto" w:before="105"/>
              <w:ind w:left="182" w:right="0"/>
              <w:jc w:val="left"/>
              <w:rPr>
                <w:rFonts w:ascii="Times New Roman" w:hAnsi="Times New Roman" w:cs="Times New Roman" w:eastAsia="Times New Roman" w:hint="default"/>
                <w:sz w:val="18"/>
                <w:szCs w:val="18"/>
              </w:rPr>
            </w:pPr>
            <w:r>
              <w:rPr>
                <w:rFonts w:ascii="Times New Roman"/>
                <w:sz w:val="18"/>
              </w:rPr>
              <w:t>164.76</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33" w:right="0"/>
              <w:jc w:val="center"/>
              <w:rPr>
                <w:rFonts w:ascii="Times New Roman" w:hAnsi="Times New Roman" w:cs="Times New Roman" w:eastAsia="Times New Roman" w:hint="default"/>
                <w:sz w:val="18"/>
                <w:szCs w:val="18"/>
              </w:rPr>
            </w:pPr>
            <w:r>
              <w:rPr>
                <w:rFonts w:ascii="Times New Roman"/>
                <w:sz w:val="18"/>
              </w:rPr>
              <w:t>7,107,7</w:t>
            </w:r>
          </w:p>
          <w:p>
            <w:pPr>
              <w:pStyle w:val="TableParagraph"/>
              <w:spacing w:line="240" w:lineRule="auto" w:before="105"/>
              <w:ind w:left="167" w:right="0"/>
              <w:jc w:val="center"/>
              <w:rPr>
                <w:rFonts w:ascii="Times New Roman" w:hAnsi="Times New Roman" w:cs="Times New Roman" w:eastAsia="Times New Roman" w:hint="default"/>
                <w:sz w:val="18"/>
                <w:szCs w:val="18"/>
              </w:rPr>
            </w:pPr>
            <w:r>
              <w:rPr>
                <w:rFonts w:ascii="Times New Roman"/>
                <w:sz w:val="18"/>
              </w:rPr>
              <w:t>93.00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3"/>
              <w:jc w:val="right"/>
              <w:rPr>
                <w:rFonts w:ascii="Times New Roman" w:hAnsi="Times New Roman" w:cs="Times New Roman" w:eastAsia="Times New Roman" w:hint="default"/>
                <w:sz w:val="18"/>
                <w:szCs w:val="18"/>
              </w:rPr>
            </w:pPr>
            <w:r>
              <w:rPr>
                <w:rFonts w:ascii="Times New Roman"/>
                <w:spacing w:val="-1"/>
                <w:sz w:val="18"/>
              </w:rPr>
              <w:t>100.00</w:t>
            </w:r>
          </w:p>
          <w:p>
            <w:pPr>
              <w:pStyle w:val="TableParagraph"/>
              <w:spacing w:line="240" w:lineRule="auto" w:before="105"/>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6"/>
              <w:jc w:val="right"/>
              <w:rPr>
                <w:rFonts w:ascii="Times New Roman" w:hAnsi="Times New Roman" w:cs="Times New Roman" w:eastAsia="Times New Roman" w:hint="default"/>
                <w:sz w:val="18"/>
                <w:szCs w:val="18"/>
              </w:rPr>
            </w:pPr>
            <w:r>
              <w:rPr>
                <w:rFonts w:ascii="Times New Roman"/>
                <w:spacing w:val="-1"/>
                <w:sz w:val="18"/>
              </w:rPr>
              <w:t>355,389.</w:t>
            </w:r>
          </w:p>
          <w:p>
            <w:pPr>
              <w:pStyle w:val="TableParagraph"/>
              <w:spacing w:line="240" w:lineRule="auto" w:before="105"/>
              <w:ind w:right="95"/>
              <w:jc w:val="right"/>
              <w:rPr>
                <w:rFonts w:ascii="Times New Roman" w:hAnsi="Times New Roman" w:cs="Times New Roman" w:eastAsia="Times New Roman" w:hint="default"/>
                <w:sz w:val="18"/>
                <w:szCs w:val="18"/>
              </w:rPr>
            </w:pPr>
            <w:r>
              <w:rPr>
                <w:rFonts w:ascii="Times New Roman"/>
                <w:sz w:val="18"/>
              </w:rPr>
              <w:t>65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5.00%</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47" w:right="0"/>
              <w:jc w:val="center"/>
              <w:rPr>
                <w:rFonts w:ascii="Times New Roman" w:hAnsi="Times New Roman" w:cs="Times New Roman" w:eastAsia="Times New Roman" w:hint="default"/>
                <w:sz w:val="18"/>
                <w:szCs w:val="18"/>
              </w:rPr>
            </w:pPr>
            <w:r>
              <w:rPr>
                <w:rFonts w:ascii="Times New Roman"/>
                <w:sz w:val="18"/>
              </w:rPr>
              <w:t>6,752,4</w:t>
            </w:r>
          </w:p>
          <w:p>
            <w:pPr>
              <w:pStyle w:val="TableParagraph"/>
              <w:spacing w:line="240" w:lineRule="auto" w:before="105"/>
              <w:ind w:left="182" w:right="0"/>
              <w:jc w:val="center"/>
              <w:rPr>
                <w:rFonts w:ascii="Times New Roman" w:hAnsi="Times New Roman" w:cs="Times New Roman" w:eastAsia="Times New Roman" w:hint="default"/>
                <w:sz w:val="18"/>
                <w:szCs w:val="18"/>
              </w:rPr>
            </w:pPr>
            <w:r>
              <w:rPr>
                <w:rFonts w:ascii="Times New Roman"/>
                <w:sz w:val="18"/>
              </w:rPr>
              <w:t>03.35</w:t>
            </w:r>
          </w:p>
        </w:tc>
      </w:tr>
      <w:tr>
        <w:trPr>
          <w:trHeight w:val="403" w:hRule="exact"/>
        </w:trPr>
        <w:tc>
          <w:tcPr>
            <w:tcW w:w="1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88"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76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5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8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7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93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2"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716" w:hRule="exact"/>
        </w:trPr>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商业承兑汇票</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10" w:right="0"/>
              <w:jc w:val="left"/>
              <w:rPr>
                <w:rFonts w:ascii="Times New Roman" w:hAnsi="Times New Roman" w:cs="Times New Roman" w:eastAsia="Times New Roman" w:hint="default"/>
                <w:sz w:val="18"/>
                <w:szCs w:val="18"/>
              </w:rPr>
            </w:pPr>
            <w:r>
              <w:rPr>
                <w:rFonts w:ascii="Times New Roman"/>
                <w:sz w:val="18"/>
              </w:rPr>
              <w:t>18,143,</w:t>
            </w:r>
          </w:p>
          <w:p>
            <w:pPr>
              <w:pStyle w:val="TableParagraph"/>
              <w:spacing w:line="240" w:lineRule="auto" w:before="105"/>
              <w:ind w:left="153" w:right="0"/>
              <w:jc w:val="left"/>
              <w:rPr>
                <w:rFonts w:ascii="Times New Roman" w:hAnsi="Times New Roman" w:cs="Times New Roman" w:eastAsia="Times New Roman" w:hint="default"/>
                <w:sz w:val="18"/>
                <w:szCs w:val="18"/>
              </w:rPr>
            </w:pPr>
            <w:r>
              <w:rPr>
                <w:rFonts w:ascii="Times New Roman"/>
                <w:sz w:val="18"/>
              </w:rPr>
              <w:t>626.06</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53"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left="499" w:right="0"/>
              <w:jc w:val="lef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9" w:right="0"/>
              <w:jc w:val="center"/>
              <w:rPr>
                <w:rFonts w:ascii="Times New Roman" w:hAnsi="Times New Roman" w:cs="Times New Roman" w:eastAsia="Times New Roman" w:hint="default"/>
                <w:sz w:val="18"/>
                <w:szCs w:val="18"/>
              </w:rPr>
            </w:pPr>
            <w:r>
              <w:rPr>
                <w:rFonts w:ascii="Times New Roman"/>
                <w:sz w:val="18"/>
              </w:rPr>
              <w:t>1,525,4</w:t>
            </w:r>
          </w:p>
          <w:p>
            <w:pPr>
              <w:pStyle w:val="TableParagraph"/>
              <w:spacing w:line="240" w:lineRule="auto" w:before="105"/>
              <w:ind w:left="154" w:right="0"/>
              <w:jc w:val="center"/>
              <w:rPr>
                <w:rFonts w:ascii="Times New Roman" w:hAnsi="Times New Roman" w:cs="Times New Roman" w:eastAsia="Times New Roman" w:hint="default"/>
                <w:sz w:val="18"/>
                <w:szCs w:val="18"/>
              </w:rPr>
            </w:pPr>
            <w:r>
              <w:rPr>
                <w:rFonts w:ascii="Times New Roman"/>
                <w:sz w:val="18"/>
              </w:rPr>
              <w:t>61.30</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8.41%</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9" w:right="0"/>
              <w:jc w:val="left"/>
              <w:rPr>
                <w:rFonts w:ascii="Times New Roman" w:hAnsi="Times New Roman" w:cs="Times New Roman" w:eastAsia="Times New Roman" w:hint="default"/>
                <w:sz w:val="18"/>
                <w:szCs w:val="18"/>
              </w:rPr>
            </w:pPr>
            <w:r>
              <w:rPr>
                <w:rFonts w:ascii="Times New Roman"/>
                <w:sz w:val="18"/>
              </w:rPr>
              <w:t>16,618,</w:t>
            </w:r>
          </w:p>
          <w:p>
            <w:pPr>
              <w:pStyle w:val="TableParagraph"/>
              <w:spacing w:line="240" w:lineRule="auto" w:before="105"/>
              <w:ind w:left="182" w:right="0"/>
              <w:jc w:val="left"/>
              <w:rPr>
                <w:rFonts w:ascii="Times New Roman" w:hAnsi="Times New Roman" w:cs="Times New Roman" w:eastAsia="Times New Roman" w:hint="default"/>
                <w:sz w:val="18"/>
                <w:szCs w:val="18"/>
              </w:rPr>
            </w:pPr>
            <w:r>
              <w:rPr>
                <w:rFonts w:ascii="Times New Roman"/>
                <w:sz w:val="18"/>
              </w:rPr>
              <w:t>164.76</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33" w:right="0"/>
              <w:jc w:val="center"/>
              <w:rPr>
                <w:rFonts w:ascii="Times New Roman" w:hAnsi="Times New Roman" w:cs="Times New Roman" w:eastAsia="Times New Roman" w:hint="default"/>
                <w:sz w:val="18"/>
                <w:szCs w:val="18"/>
              </w:rPr>
            </w:pPr>
            <w:r>
              <w:rPr>
                <w:rFonts w:ascii="Times New Roman"/>
                <w:sz w:val="18"/>
              </w:rPr>
              <w:t>7,107,7</w:t>
            </w:r>
          </w:p>
          <w:p>
            <w:pPr>
              <w:pStyle w:val="TableParagraph"/>
              <w:spacing w:line="240" w:lineRule="auto" w:before="105"/>
              <w:ind w:left="167" w:right="0"/>
              <w:jc w:val="center"/>
              <w:rPr>
                <w:rFonts w:ascii="Times New Roman" w:hAnsi="Times New Roman" w:cs="Times New Roman" w:eastAsia="Times New Roman" w:hint="default"/>
                <w:sz w:val="18"/>
                <w:szCs w:val="18"/>
              </w:rPr>
            </w:pPr>
            <w:r>
              <w:rPr>
                <w:rFonts w:ascii="Times New Roman"/>
                <w:sz w:val="18"/>
              </w:rPr>
              <w:t>93.00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3"/>
              <w:jc w:val="right"/>
              <w:rPr>
                <w:rFonts w:ascii="Times New Roman" w:hAnsi="Times New Roman" w:cs="Times New Roman" w:eastAsia="Times New Roman" w:hint="default"/>
                <w:sz w:val="18"/>
                <w:szCs w:val="18"/>
              </w:rPr>
            </w:pPr>
            <w:r>
              <w:rPr>
                <w:rFonts w:ascii="Times New Roman"/>
                <w:spacing w:val="-1"/>
                <w:sz w:val="18"/>
              </w:rPr>
              <w:t>100.00</w:t>
            </w:r>
          </w:p>
          <w:p>
            <w:pPr>
              <w:pStyle w:val="TableParagraph"/>
              <w:spacing w:line="240" w:lineRule="auto" w:before="105"/>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6"/>
              <w:jc w:val="right"/>
              <w:rPr>
                <w:rFonts w:ascii="Times New Roman" w:hAnsi="Times New Roman" w:cs="Times New Roman" w:eastAsia="Times New Roman" w:hint="default"/>
                <w:sz w:val="18"/>
                <w:szCs w:val="18"/>
              </w:rPr>
            </w:pPr>
            <w:r>
              <w:rPr>
                <w:rFonts w:ascii="Times New Roman"/>
                <w:spacing w:val="-1"/>
                <w:sz w:val="18"/>
              </w:rPr>
              <w:t>355,389.</w:t>
            </w:r>
          </w:p>
          <w:p>
            <w:pPr>
              <w:pStyle w:val="TableParagraph"/>
              <w:spacing w:line="240" w:lineRule="auto" w:before="105"/>
              <w:ind w:right="95"/>
              <w:jc w:val="right"/>
              <w:rPr>
                <w:rFonts w:ascii="Times New Roman" w:hAnsi="Times New Roman" w:cs="Times New Roman" w:eastAsia="Times New Roman" w:hint="default"/>
                <w:sz w:val="18"/>
                <w:szCs w:val="18"/>
              </w:rPr>
            </w:pPr>
            <w:r>
              <w:rPr>
                <w:rFonts w:ascii="Times New Roman"/>
                <w:sz w:val="18"/>
              </w:rPr>
              <w:t>65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5.00%</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47" w:right="0"/>
              <w:jc w:val="center"/>
              <w:rPr>
                <w:rFonts w:ascii="Times New Roman" w:hAnsi="Times New Roman" w:cs="Times New Roman" w:eastAsia="Times New Roman" w:hint="default"/>
                <w:sz w:val="18"/>
                <w:szCs w:val="18"/>
              </w:rPr>
            </w:pPr>
            <w:r>
              <w:rPr>
                <w:rFonts w:ascii="Times New Roman"/>
                <w:sz w:val="18"/>
              </w:rPr>
              <w:t>6,752,4</w:t>
            </w:r>
          </w:p>
          <w:p>
            <w:pPr>
              <w:pStyle w:val="TableParagraph"/>
              <w:spacing w:line="240" w:lineRule="auto" w:before="105"/>
              <w:ind w:left="182" w:right="0"/>
              <w:jc w:val="center"/>
              <w:rPr>
                <w:rFonts w:ascii="Times New Roman" w:hAnsi="Times New Roman" w:cs="Times New Roman" w:eastAsia="Times New Roman" w:hint="default"/>
                <w:sz w:val="18"/>
                <w:szCs w:val="18"/>
              </w:rPr>
            </w:pPr>
            <w:r>
              <w:rPr>
                <w:rFonts w:ascii="Times New Roman"/>
                <w:sz w:val="18"/>
              </w:rPr>
              <w:t>03.35</w:t>
            </w:r>
          </w:p>
        </w:tc>
      </w:tr>
      <w:tr>
        <w:trPr>
          <w:trHeight w:val="715" w:hRule="exact"/>
        </w:trPr>
        <w:tc>
          <w:tcPr>
            <w:tcW w:w="1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10" w:right="0"/>
              <w:jc w:val="left"/>
              <w:rPr>
                <w:rFonts w:ascii="Times New Roman" w:hAnsi="Times New Roman" w:cs="Times New Roman" w:eastAsia="Times New Roman" w:hint="default"/>
                <w:sz w:val="18"/>
                <w:szCs w:val="18"/>
              </w:rPr>
            </w:pPr>
            <w:r>
              <w:rPr>
                <w:rFonts w:ascii="Times New Roman"/>
                <w:sz w:val="18"/>
              </w:rPr>
              <w:t>18,143,</w:t>
            </w:r>
          </w:p>
          <w:p>
            <w:pPr>
              <w:pStyle w:val="TableParagraph"/>
              <w:spacing w:line="240" w:lineRule="auto" w:before="105"/>
              <w:ind w:left="153" w:right="0"/>
              <w:jc w:val="left"/>
              <w:rPr>
                <w:rFonts w:ascii="Times New Roman" w:hAnsi="Times New Roman" w:cs="Times New Roman" w:eastAsia="Times New Roman" w:hint="default"/>
                <w:sz w:val="18"/>
                <w:szCs w:val="18"/>
              </w:rPr>
            </w:pPr>
            <w:r>
              <w:rPr>
                <w:rFonts w:ascii="Times New Roman"/>
                <w:sz w:val="18"/>
              </w:rPr>
              <w:t>626.06</w:t>
            </w:r>
          </w:p>
        </w:tc>
        <w:tc>
          <w:tcPr>
            <w:tcW w:w="758" w:type="dxa"/>
            <w:tcBorders>
              <w:top w:val="single" w:sz="4" w:space="0" w:color="000000"/>
              <w:left w:val="single" w:sz="4" w:space="0" w:color="000000"/>
              <w:bottom w:val="single" w:sz="4" w:space="0" w:color="000000"/>
              <w:right w:val="single" w:sz="4" w:space="0" w:color="000000"/>
            </w:tcBorders>
          </w:tcPr>
          <w:p>
            <w:pP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9" w:right="0"/>
              <w:jc w:val="center"/>
              <w:rPr>
                <w:rFonts w:ascii="Times New Roman" w:hAnsi="Times New Roman" w:cs="Times New Roman" w:eastAsia="Times New Roman" w:hint="default"/>
                <w:sz w:val="18"/>
                <w:szCs w:val="18"/>
              </w:rPr>
            </w:pPr>
            <w:r>
              <w:rPr>
                <w:rFonts w:ascii="Times New Roman"/>
                <w:sz w:val="18"/>
              </w:rPr>
              <w:t>1,525,4</w:t>
            </w:r>
          </w:p>
          <w:p>
            <w:pPr>
              <w:pStyle w:val="TableParagraph"/>
              <w:spacing w:line="240" w:lineRule="auto" w:before="105"/>
              <w:ind w:left="154" w:right="0"/>
              <w:jc w:val="center"/>
              <w:rPr>
                <w:rFonts w:ascii="Times New Roman" w:hAnsi="Times New Roman" w:cs="Times New Roman" w:eastAsia="Times New Roman" w:hint="default"/>
                <w:sz w:val="18"/>
                <w:szCs w:val="18"/>
              </w:rPr>
            </w:pPr>
            <w:r>
              <w:rPr>
                <w:rFonts w:ascii="Times New Roman"/>
                <w:sz w:val="18"/>
              </w:rPr>
              <w:t>61.30</w:t>
            </w:r>
          </w:p>
        </w:tc>
        <w:tc>
          <w:tcPr>
            <w:tcW w:w="764" w:type="dxa"/>
            <w:tcBorders>
              <w:top w:val="single" w:sz="4" w:space="0" w:color="000000"/>
              <w:left w:val="single" w:sz="4" w:space="0" w:color="000000"/>
              <w:bottom w:val="single" w:sz="4" w:space="0" w:color="000000"/>
              <w:right w:val="single" w:sz="4" w:space="0" w:color="000000"/>
            </w:tcBorders>
          </w:tcPr>
          <w:p>
            <w:pP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9" w:right="0"/>
              <w:jc w:val="left"/>
              <w:rPr>
                <w:rFonts w:ascii="Times New Roman" w:hAnsi="Times New Roman" w:cs="Times New Roman" w:eastAsia="Times New Roman" w:hint="default"/>
                <w:sz w:val="18"/>
                <w:szCs w:val="18"/>
              </w:rPr>
            </w:pPr>
            <w:r>
              <w:rPr>
                <w:rFonts w:ascii="Times New Roman"/>
                <w:sz w:val="18"/>
              </w:rPr>
              <w:t>16,618,</w:t>
            </w:r>
          </w:p>
          <w:p>
            <w:pPr>
              <w:pStyle w:val="TableParagraph"/>
              <w:spacing w:line="240" w:lineRule="auto" w:before="105"/>
              <w:ind w:left="182" w:right="0"/>
              <w:jc w:val="left"/>
              <w:rPr>
                <w:rFonts w:ascii="Times New Roman" w:hAnsi="Times New Roman" w:cs="Times New Roman" w:eastAsia="Times New Roman" w:hint="default"/>
                <w:sz w:val="18"/>
                <w:szCs w:val="18"/>
              </w:rPr>
            </w:pPr>
            <w:r>
              <w:rPr>
                <w:rFonts w:ascii="Times New Roman"/>
                <w:sz w:val="18"/>
              </w:rPr>
              <w:t>164.76</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33" w:right="0"/>
              <w:jc w:val="center"/>
              <w:rPr>
                <w:rFonts w:ascii="Times New Roman" w:hAnsi="Times New Roman" w:cs="Times New Roman" w:eastAsia="Times New Roman" w:hint="default"/>
                <w:sz w:val="18"/>
                <w:szCs w:val="18"/>
              </w:rPr>
            </w:pPr>
            <w:r>
              <w:rPr>
                <w:rFonts w:ascii="Times New Roman"/>
                <w:sz w:val="18"/>
              </w:rPr>
              <w:t>7,107,7</w:t>
            </w:r>
          </w:p>
          <w:p>
            <w:pPr>
              <w:pStyle w:val="TableParagraph"/>
              <w:spacing w:line="240" w:lineRule="auto" w:before="105"/>
              <w:ind w:left="167" w:right="0"/>
              <w:jc w:val="center"/>
              <w:rPr>
                <w:rFonts w:ascii="Times New Roman" w:hAnsi="Times New Roman" w:cs="Times New Roman" w:eastAsia="Times New Roman" w:hint="default"/>
                <w:sz w:val="18"/>
                <w:szCs w:val="18"/>
              </w:rPr>
            </w:pPr>
            <w:r>
              <w:rPr>
                <w:rFonts w:ascii="Times New Roman"/>
                <w:sz w:val="18"/>
              </w:rPr>
              <w:t>93.00</w:t>
            </w:r>
          </w:p>
        </w:tc>
        <w:tc>
          <w:tcPr>
            <w:tcW w:w="797" w:type="dxa"/>
            <w:tcBorders>
              <w:top w:val="single" w:sz="4" w:space="0" w:color="000000"/>
              <w:left w:val="single" w:sz="4" w:space="0" w:color="000000"/>
              <w:bottom w:val="single" w:sz="4" w:space="0" w:color="000000"/>
              <w:right w:val="single" w:sz="4" w:space="0" w:color="000000"/>
            </w:tcBorders>
          </w:tcPr>
          <w:p>
            <w:pP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6"/>
              <w:jc w:val="right"/>
              <w:rPr>
                <w:rFonts w:ascii="Times New Roman" w:hAnsi="Times New Roman" w:cs="Times New Roman" w:eastAsia="Times New Roman" w:hint="default"/>
                <w:sz w:val="18"/>
                <w:szCs w:val="18"/>
              </w:rPr>
            </w:pPr>
            <w:r>
              <w:rPr>
                <w:rFonts w:ascii="Times New Roman"/>
                <w:spacing w:val="-1"/>
                <w:sz w:val="18"/>
              </w:rPr>
              <w:t>355,389.</w:t>
            </w:r>
          </w:p>
          <w:p>
            <w:pPr>
              <w:pStyle w:val="TableParagraph"/>
              <w:spacing w:line="240" w:lineRule="auto" w:before="105"/>
              <w:ind w:right="95"/>
              <w:jc w:val="right"/>
              <w:rPr>
                <w:rFonts w:ascii="Times New Roman" w:hAnsi="Times New Roman" w:cs="Times New Roman" w:eastAsia="Times New Roman" w:hint="default"/>
                <w:sz w:val="18"/>
                <w:szCs w:val="18"/>
              </w:rPr>
            </w:pPr>
            <w:r>
              <w:rPr>
                <w:rFonts w:ascii="Times New Roman"/>
                <w:sz w:val="18"/>
              </w:rPr>
              <w:t>65</w:t>
            </w:r>
          </w:p>
        </w:tc>
        <w:tc>
          <w:tcPr>
            <w:tcW w:w="797" w:type="dxa"/>
            <w:tcBorders>
              <w:top w:val="single" w:sz="4" w:space="0" w:color="000000"/>
              <w:left w:val="single" w:sz="4" w:space="0" w:color="000000"/>
              <w:bottom w:val="single" w:sz="4" w:space="0" w:color="000000"/>
              <w:right w:val="single" w:sz="4" w:space="0" w:color="000000"/>
            </w:tcBorders>
          </w:tcPr>
          <w:p>
            <w:pP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47" w:right="0"/>
              <w:jc w:val="center"/>
              <w:rPr>
                <w:rFonts w:ascii="Times New Roman" w:hAnsi="Times New Roman" w:cs="Times New Roman" w:eastAsia="Times New Roman" w:hint="default"/>
                <w:sz w:val="18"/>
                <w:szCs w:val="18"/>
              </w:rPr>
            </w:pPr>
            <w:r>
              <w:rPr>
                <w:rFonts w:ascii="Times New Roman"/>
                <w:sz w:val="18"/>
              </w:rPr>
              <w:t>6,752,4</w:t>
            </w:r>
          </w:p>
          <w:p>
            <w:pPr>
              <w:pStyle w:val="TableParagraph"/>
              <w:spacing w:line="240" w:lineRule="auto" w:before="105"/>
              <w:ind w:left="182" w:right="0"/>
              <w:jc w:val="center"/>
              <w:rPr>
                <w:rFonts w:ascii="Times New Roman" w:hAnsi="Times New Roman" w:cs="Times New Roman" w:eastAsia="Times New Roman" w:hint="default"/>
                <w:sz w:val="18"/>
                <w:szCs w:val="18"/>
              </w:rPr>
            </w:pPr>
            <w:r>
              <w:rPr>
                <w:rFonts w:ascii="Times New Roman"/>
                <w:sz w:val="18"/>
              </w:rPr>
              <w:t>03.35</w:t>
            </w:r>
          </w:p>
        </w:tc>
      </w:tr>
    </w:tbl>
    <w:p>
      <w:pPr>
        <w:pStyle w:val="BodyText"/>
        <w:spacing w:line="240" w:lineRule="auto" w:before="53"/>
        <w:ind w:right="0"/>
        <w:jc w:val="left"/>
      </w:pPr>
      <w:r>
        <w:rPr/>
        <w:t>按单项计提坏账准备：</w:t>
      </w:r>
    </w:p>
    <w:p>
      <w:pPr>
        <w:pStyle w:val="BodyText"/>
        <w:spacing w:line="240" w:lineRule="auto" w:before="115"/>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16"/>
        <w:gridCol w:w="1916"/>
        <w:gridCol w:w="1911"/>
        <w:gridCol w:w="1916"/>
        <w:gridCol w:w="1916"/>
      </w:tblGrid>
      <w:tr>
        <w:trPr>
          <w:trHeight w:val="398" w:hRule="exact"/>
        </w:trPr>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765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3" w:hRule="exact"/>
        </w:trPr>
        <w:tc>
          <w:tcPr>
            <w:tcW w:w="1916" w:type="dxa"/>
            <w:vMerge/>
            <w:tcBorders>
              <w:left w:val="single" w:sz="4" w:space="0" w:color="000000"/>
              <w:bottom w:val="single" w:sz="4" w:space="0" w:color="000000"/>
              <w:right w:val="single" w:sz="4" w:space="0" w:color="000000"/>
            </w:tcBorders>
            <w:shd w:val="clear" w:color="auto" w:fill="D2D2D2"/>
          </w:tcPr>
          <w:p>
            <w:pP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0"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0"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5"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5" w:right="0"/>
              <w:jc w:val="left"/>
              <w:rPr>
                <w:rFonts w:ascii="宋体" w:hAnsi="宋体" w:cs="宋体" w:eastAsia="宋体" w:hint="default"/>
                <w:sz w:val="18"/>
                <w:szCs w:val="18"/>
              </w:rPr>
            </w:pPr>
            <w:r>
              <w:rPr>
                <w:rFonts w:ascii="宋体" w:hAnsi="宋体" w:cs="宋体" w:eastAsia="宋体" w:hint="default"/>
                <w:sz w:val="18"/>
                <w:szCs w:val="18"/>
              </w:rPr>
              <w:t>计提理由</w:t>
            </w:r>
          </w:p>
        </w:tc>
      </w:tr>
    </w:tbl>
    <w:p>
      <w:pPr>
        <w:pStyle w:val="BodyText"/>
        <w:spacing w:line="240" w:lineRule="auto" w:before="53"/>
        <w:ind w:right="0"/>
        <w:jc w:val="left"/>
      </w:pPr>
      <w:r>
        <w:rPr/>
        <w:t>按组合计提坏账准备：</w:t>
      </w:r>
    </w:p>
    <w:p>
      <w:pPr>
        <w:pStyle w:val="BodyText"/>
        <w:spacing w:line="240" w:lineRule="auto" w:before="120"/>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391"/>
        <w:gridCol w:w="7178"/>
      </w:tblGrid>
      <w:tr>
        <w:trPr>
          <w:trHeight w:val="403"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71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r>
    </w:tbl>
    <w:p>
      <w:pPr>
        <w:spacing w:after="0" w:line="240" w:lineRule="auto"/>
        <w:jc w:val="center"/>
        <w:rPr>
          <w:rFonts w:ascii="宋体" w:hAnsi="宋体" w:cs="宋体" w:eastAsia="宋体" w:hint="default"/>
          <w:sz w:val="18"/>
          <w:szCs w:val="18"/>
        </w:rPr>
        <w:sectPr>
          <w:pgSz w:w="11910" w:h="16840"/>
          <w:pgMar w:header="784" w:footer="1022" w:top="1100" w:bottom="1220" w:left="980" w:right="0"/>
        </w:sectPr>
      </w:pPr>
    </w:p>
    <w:p>
      <w:pPr>
        <w:spacing w:line="240" w:lineRule="auto" w:before="7"/>
        <w:rPr>
          <w:rFonts w:ascii="宋体" w:hAnsi="宋体" w:cs="宋体" w:eastAsia="宋体" w:hint="default"/>
          <w:sz w:val="25"/>
          <w:szCs w:val="25"/>
        </w:rPr>
      </w:pPr>
    </w:p>
    <w:tbl>
      <w:tblPr>
        <w:tblW w:w="0" w:type="auto"/>
        <w:jc w:val="left"/>
        <w:tblInd w:w="148" w:type="dxa"/>
        <w:tblLayout w:type="fixed"/>
        <w:tblCellMar>
          <w:top w:w="0" w:type="dxa"/>
          <w:left w:w="0" w:type="dxa"/>
          <w:bottom w:w="0" w:type="dxa"/>
          <w:right w:w="0" w:type="dxa"/>
        </w:tblCellMar>
        <w:tblLook w:val="01E0"/>
      </w:tblPr>
      <w:tblGrid>
        <w:gridCol w:w="2391"/>
        <w:gridCol w:w="2396"/>
        <w:gridCol w:w="2391"/>
        <w:gridCol w:w="2391"/>
      </w:tblGrid>
      <w:tr>
        <w:trPr>
          <w:trHeight w:val="403"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3"/>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590"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0"/>
                <w:szCs w:val="20"/>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商业承兑汇票</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99"/>
              <w:jc w:val="right"/>
              <w:rPr>
                <w:rFonts w:ascii="Arial" w:hAnsi="Arial" w:cs="Arial" w:eastAsia="Arial" w:hint="default"/>
                <w:sz w:val="18"/>
                <w:szCs w:val="18"/>
              </w:rPr>
            </w:pPr>
            <w:r>
              <w:rPr>
                <w:rFonts w:ascii="Arial"/>
                <w:spacing w:val="-2"/>
                <w:sz w:val="18"/>
              </w:rPr>
              <w:t>18,143,626.06</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99"/>
              <w:jc w:val="right"/>
              <w:rPr>
                <w:rFonts w:ascii="Arial" w:hAnsi="Arial" w:cs="Arial" w:eastAsia="Arial" w:hint="default"/>
                <w:sz w:val="18"/>
                <w:szCs w:val="18"/>
              </w:rPr>
            </w:pPr>
            <w:r>
              <w:rPr>
                <w:rFonts w:ascii="Arial"/>
                <w:spacing w:val="-2"/>
                <w:sz w:val="18"/>
              </w:rPr>
              <w:t>1,525,461.30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95"/>
              <w:jc w:val="right"/>
              <w:rPr>
                <w:rFonts w:ascii="Arial" w:hAnsi="Arial" w:cs="Arial" w:eastAsia="Arial" w:hint="default"/>
                <w:sz w:val="18"/>
                <w:szCs w:val="18"/>
              </w:rPr>
            </w:pPr>
            <w:r>
              <w:rPr>
                <w:rFonts w:ascii="Arial"/>
                <w:spacing w:val="-2"/>
                <w:sz w:val="18"/>
              </w:rPr>
              <w:t>8.41%</w:t>
            </w:r>
          </w:p>
        </w:tc>
      </w:tr>
      <w:tr>
        <w:trPr>
          <w:trHeight w:val="399"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18,143,626.06</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1,525,461.30</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bl>
    <w:p>
      <w:pPr>
        <w:spacing w:after="0" w:line="240" w:lineRule="auto"/>
        <w:jc w:val="center"/>
        <w:rPr>
          <w:rFonts w:ascii="Times New Roman" w:hAnsi="Times New Roman" w:cs="Times New Roman" w:eastAsia="Times New Roman" w:hint="default"/>
          <w:sz w:val="18"/>
          <w:szCs w:val="18"/>
        </w:rPr>
        <w:sectPr>
          <w:pgSz w:w="11910" w:h="16840"/>
          <w:pgMar w:header="784" w:footer="1022" w:top="1100" w:bottom="1220" w:left="980" w:right="0"/>
        </w:sectPr>
      </w:pPr>
    </w:p>
    <w:p>
      <w:pPr>
        <w:pStyle w:val="BodyText"/>
        <w:spacing w:line="360" w:lineRule="auto" w:before="53"/>
        <w:ind w:right="0"/>
        <w:jc w:val="left"/>
      </w:pPr>
      <w:r>
        <w:rPr>
          <w:spacing w:val="-3"/>
        </w:rPr>
        <w:t>确定该组合依据的说明：</w:t>
      </w:r>
      <w:r>
        <w:rPr>
          <w:spacing w:val="-56"/>
        </w:rPr>
        <w:t> </w:t>
      </w:r>
      <w:r>
        <w:rPr>
          <w:spacing w:val="-56"/>
        </w:rPr>
      </w:r>
      <w:r>
        <w:rPr/>
        <w:t>无。</w:t>
      </w:r>
      <w:r>
        <w:rPr>
          <w:spacing w:val="-86"/>
        </w:rPr>
        <w:t> </w:t>
      </w:r>
      <w:r>
        <w:rPr/>
        <w:t>按组合计提坏账准备：</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13"/>
          <w:szCs w:val="13"/>
        </w:rPr>
      </w:pPr>
    </w:p>
    <w:p>
      <w:pPr>
        <w:pStyle w:val="BodyText"/>
        <w:spacing w:line="240" w:lineRule="auto" w:before="0"/>
        <w:ind w:right="0"/>
        <w:jc w:val="left"/>
      </w:pPr>
      <w:r>
        <w:rPr/>
        <w:t>单位：</w:t>
      </w:r>
      <w:r>
        <w:rPr>
          <w:spacing w:val="5"/>
        </w:rPr>
        <w:t> </w:t>
      </w:r>
      <w:r>
        <w:rPr/>
        <w:t>元</w:t>
      </w:r>
    </w:p>
    <w:p>
      <w:pPr>
        <w:spacing w:after="0" w:line="240" w:lineRule="auto"/>
        <w:jc w:val="left"/>
        <w:sectPr>
          <w:type w:val="continuous"/>
          <w:pgSz w:w="11910" w:h="16840"/>
          <w:pgMar w:top="1100" w:bottom="1220" w:left="980" w:right="0"/>
          <w:cols w:num="2" w:equalWidth="0">
            <w:col w:w="2136" w:space="6694"/>
            <w:col w:w="2100"/>
          </w:cols>
        </w:sectPr>
      </w:pP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391"/>
        <w:gridCol w:w="2396"/>
        <w:gridCol w:w="2391"/>
        <w:gridCol w:w="2393"/>
      </w:tblGrid>
      <w:tr>
        <w:trPr>
          <w:trHeight w:val="403" w:hRule="exact"/>
        </w:trPr>
        <w:tc>
          <w:tcPr>
            <w:tcW w:w="23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7181"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3" w:hRule="exact"/>
        </w:trPr>
        <w:tc>
          <w:tcPr>
            <w:tcW w:w="2391" w:type="dxa"/>
            <w:vMerge/>
            <w:tcBorders>
              <w:left w:val="single" w:sz="4" w:space="0" w:color="000000"/>
              <w:bottom w:val="single" w:sz="4" w:space="0" w:color="000000"/>
              <w:right w:val="single" w:sz="4" w:space="0" w:color="000000"/>
            </w:tcBorders>
            <w:shd w:val="clear" w:color="auto" w:fill="D2D2D2"/>
          </w:tcPr>
          <w:p>
            <w:pP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3"/>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 w:right="0"/>
              <w:jc w:val="center"/>
              <w:rPr>
                <w:rFonts w:ascii="宋体" w:hAnsi="宋体" w:cs="宋体" w:eastAsia="宋体" w:hint="default"/>
                <w:sz w:val="18"/>
                <w:szCs w:val="18"/>
              </w:rPr>
            </w:pPr>
            <w:r>
              <w:rPr>
                <w:rFonts w:ascii="宋体" w:hAnsi="宋体" w:cs="宋体" w:eastAsia="宋体" w:hint="default"/>
                <w:sz w:val="18"/>
                <w:szCs w:val="18"/>
              </w:rPr>
              <w:t>计提比例</w:t>
            </w:r>
          </w:p>
        </w:tc>
      </w:tr>
    </w:tbl>
    <w:p>
      <w:pPr>
        <w:pStyle w:val="BodyText"/>
        <w:spacing w:line="357" w:lineRule="auto" w:before="53"/>
        <w:ind w:right="0"/>
        <w:jc w:val="left"/>
      </w:pPr>
      <w:r>
        <w:rPr>
          <w:spacing w:val="-3"/>
        </w:rPr>
        <w:t>确定该组合依据的说明：</w:t>
      </w:r>
      <w:r>
        <w:rPr>
          <w:spacing w:val="-56"/>
        </w:rPr>
        <w:t> </w:t>
      </w:r>
      <w:r>
        <w:rPr>
          <w:spacing w:val="-56"/>
        </w:rPr>
      </w:r>
      <w:r>
        <w:rPr>
          <w:spacing w:val="-3"/>
        </w:rPr>
        <w:t>如是按照预期信用损失一般模型计提应收票据坏账准备，请参照其他应收款的披露方式披露坏账准备的相关信息：</w:t>
      </w:r>
    </w:p>
    <w:p>
      <w:pPr>
        <w:pStyle w:val="BodyText"/>
        <w:spacing w:line="240" w:lineRule="auto" w:before="32"/>
        <w:ind w:right="0"/>
        <w:jc w:val="left"/>
      </w:pPr>
      <w:r>
        <w:rPr/>
        <w:t>□ </w:t>
      </w:r>
      <w:r>
        <w:rPr>
          <w:spacing w:val="-3"/>
        </w:rPr>
        <w:t>适用 </w:t>
      </w:r>
      <w:r>
        <w:rPr/>
        <w:t>√</w:t>
      </w:r>
      <w:r>
        <w:rPr>
          <w:spacing w:val="13"/>
        </w:rPr>
        <w:t> </w:t>
      </w:r>
      <w:r>
        <w:rPr/>
        <w:t>不适用</w:t>
      </w:r>
    </w:p>
    <w:p>
      <w:pPr>
        <w:spacing w:line="240" w:lineRule="auto" w:before="4"/>
        <w:rPr>
          <w:rFonts w:ascii="宋体" w:hAnsi="宋体" w:cs="宋体" w:eastAsia="宋体" w:hint="default"/>
          <w:sz w:val="26"/>
          <w:szCs w:val="26"/>
        </w:rPr>
      </w:pPr>
    </w:p>
    <w:p>
      <w:pPr>
        <w:pStyle w:val="Heading4"/>
        <w:spacing w:line="240" w:lineRule="auto"/>
        <w:ind w:right="0"/>
        <w:jc w:val="left"/>
        <w:rPr>
          <w:b w:val="0"/>
          <w:bCs w:val="0"/>
        </w:rPr>
      </w:pPr>
      <w:bookmarkStart w:name="（2）本期计提、收回或转回的坏账准备情况" w:id="244"/>
      <w:bookmarkEnd w:id="244"/>
      <w:r>
        <w:rPr>
          <w:b w:val="0"/>
          <w:bCs w:val="0"/>
        </w:rPr>
      </w:r>
      <w:r>
        <w:rPr/>
        <w:t>（</w:t>
      </w:r>
      <w:r>
        <w:rPr>
          <w:rFonts w:ascii="Times New Roman" w:hAnsi="Times New Roman" w:cs="Times New Roman" w:eastAsia="Times New Roman" w:hint="default"/>
        </w:rPr>
        <w:t>2</w:t>
      </w:r>
      <w:r>
        <w:rPr/>
        <w:t>）本期计提、收回或转回的坏账准备情况</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right="0"/>
        <w:jc w:val="left"/>
      </w:pPr>
      <w:r>
        <w:rPr>
          <w:spacing w:val="-3"/>
        </w:rPr>
        <w:t>本期计提坏账准备情况：</w:t>
      </w:r>
    </w:p>
    <w:p>
      <w:pPr>
        <w:pStyle w:val="BodyText"/>
        <w:spacing w:line="240" w:lineRule="auto" w:before="115"/>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369"/>
        <w:gridCol w:w="1368"/>
        <w:gridCol w:w="1369"/>
        <w:gridCol w:w="1368"/>
        <w:gridCol w:w="1364"/>
        <w:gridCol w:w="1369"/>
        <w:gridCol w:w="1369"/>
      </w:tblGrid>
      <w:tr>
        <w:trPr>
          <w:trHeight w:val="401" w:hRule="exact"/>
        </w:trPr>
        <w:tc>
          <w:tcPr>
            <w:tcW w:w="136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321"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546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本期变动金额</w:t>
            </w:r>
          </w:p>
        </w:tc>
        <w:tc>
          <w:tcPr>
            <w:tcW w:w="136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32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1369"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4" w:right="0"/>
              <w:jc w:val="center"/>
              <w:rPr>
                <w:rFonts w:ascii="宋体" w:hAnsi="宋体" w:cs="宋体" w:eastAsia="宋体" w:hint="default"/>
                <w:sz w:val="18"/>
                <w:szCs w:val="18"/>
              </w:rPr>
            </w:pPr>
            <w:r>
              <w:rPr>
                <w:rFonts w:ascii="宋体" w:hAnsi="宋体" w:cs="宋体" w:eastAsia="宋体" w:hint="default"/>
                <w:sz w:val="18"/>
                <w:szCs w:val="18"/>
              </w:rPr>
              <w:t>计提</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230" w:right="0"/>
              <w:jc w:val="left"/>
              <w:rPr>
                <w:rFonts w:ascii="宋体" w:hAnsi="宋体" w:cs="宋体" w:eastAsia="宋体" w:hint="default"/>
                <w:sz w:val="18"/>
                <w:szCs w:val="18"/>
              </w:rPr>
            </w:pPr>
            <w:r>
              <w:rPr>
                <w:rFonts w:ascii="宋体" w:hAnsi="宋体" w:cs="宋体" w:eastAsia="宋体" w:hint="default"/>
                <w:sz w:val="18"/>
                <w:szCs w:val="18"/>
              </w:rPr>
              <w:t>收回或转回</w:t>
            </w:r>
          </w:p>
        </w:tc>
        <w:tc>
          <w:tcPr>
            <w:tcW w:w="13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核销</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5"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369"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商业承兑汇票</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355,389.65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1,525,461.30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355,389.65</w:t>
            </w:r>
          </w:p>
        </w:tc>
        <w:tc>
          <w:tcPr>
            <w:tcW w:w="1364"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1,525,461.30</w:t>
            </w:r>
          </w:p>
        </w:tc>
      </w:tr>
      <w:tr>
        <w:trPr>
          <w:trHeight w:val="404"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355,389.65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1,525,461.30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355,389.65</w:t>
            </w:r>
          </w:p>
        </w:tc>
        <w:tc>
          <w:tcPr>
            <w:tcW w:w="1364"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1,525,461.30</w:t>
            </w:r>
          </w:p>
        </w:tc>
      </w:tr>
    </w:tbl>
    <w:p>
      <w:pPr>
        <w:pStyle w:val="BodyText"/>
        <w:spacing w:line="240" w:lineRule="auto" w:before="53"/>
        <w:ind w:right="0"/>
        <w:jc w:val="left"/>
      </w:pPr>
      <w:r>
        <w:rPr>
          <w:spacing w:val="-3"/>
        </w:rPr>
        <w:t>其中本期坏账准备收回或转回金额重要的：</w:t>
      </w:r>
    </w:p>
    <w:p>
      <w:pPr>
        <w:pStyle w:val="BodyText"/>
        <w:spacing w:line="240" w:lineRule="auto" w:before="115"/>
        <w:ind w:right="0"/>
        <w:jc w:val="left"/>
      </w:pPr>
      <w:r>
        <w:rPr/>
        <w:t>□ </w:t>
      </w:r>
      <w:r>
        <w:rPr>
          <w:spacing w:val="-3"/>
        </w:rPr>
        <w:t>适用 </w:t>
      </w:r>
      <w:r>
        <w:rPr/>
        <w:t>√</w:t>
      </w:r>
      <w:r>
        <w:rPr>
          <w:spacing w:val="13"/>
        </w:rPr>
        <w:t> </w:t>
      </w:r>
      <w:r>
        <w:rPr/>
        <w:t>不适用</w:t>
      </w:r>
    </w:p>
    <w:p>
      <w:pPr>
        <w:spacing w:line="240" w:lineRule="auto" w:before="8"/>
        <w:rPr>
          <w:rFonts w:ascii="宋体" w:hAnsi="宋体" w:cs="宋体" w:eastAsia="宋体" w:hint="default"/>
          <w:sz w:val="26"/>
          <w:szCs w:val="26"/>
        </w:rPr>
      </w:pPr>
    </w:p>
    <w:p>
      <w:pPr>
        <w:pStyle w:val="Heading4"/>
        <w:spacing w:line="240" w:lineRule="auto"/>
        <w:ind w:right="0"/>
        <w:jc w:val="left"/>
        <w:rPr>
          <w:b w:val="0"/>
          <w:bCs w:val="0"/>
        </w:rPr>
      </w:pPr>
      <w:bookmarkStart w:name="（3）期末公司已质押的应收票据" w:id="245"/>
      <w:bookmarkEnd w:id="245"/>
      <w:r>
        <w:rPr>
          <w:b w:val="0"/>
          <w:bCs w:val="0"/>
        </w:rPr>
      </w:r>
      <w:r>
        <w:rPr/>
        <w:t>（</w:t>
      </w:r>
      <w:r>
        <w:rPr>
          <w:rFonts w:ascii="Times New Roman" w:hAnsi="Times New Roman" w:cs="Times New Roman" w:eastAsia="Times New Roman" w:hint="default"/>
        </w:rPr>
        <w:t>3</w:t>
      </w:r>
      <w:r>
        <w:rPr/>
        <w:t>）期末公司已质押的应收票据</w:t>
      </w:r>
      <w:r>
        <w:rPr>
          <w:b w:val="0"/>
          <w:bCs w:val="0"/>
        </w:rPr>
      </w:r>
    </w:p>
    <w:p>
      <w:pPr>
        <w:spacing w:line="240" w:lineRule="auto" w:before="7"/>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4788"/>
        <w:gridCol w:w="4782"/>
      </w:tblGrid>
      <w:tr>
        <w:trPr>
          <w:trHeight w:val="403"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7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pacing w:val="-3"/>
                <w:sz w:val="18"/>
                <w:szCs w:val="18"/>
              </w:rPr>
              <w:t>期末已质押金额</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4）期末公司已背书或贴现且在资产负债表日尚未到期的应收票据" w:id="246"/>
      <w:bookmarkEnd w:id="246"/>
      <w:r>
        <w:rPr>
          <w:b w:val="0"/>
          <w:bCs w:val="0"/>
        </w:rPr>
      </w:r>
      <w:r>
        <w:rPr/>
        <w:t>（</w:t>
      </w:r>
      <w:r>
        <w:rPr>
          <w:rFonts w:ascii="Times New Roman" w:hAnsi="Times New Roman" w:cs="Times New Roman" w:eastAsia="Times New Roman" w:hint="default"/>
        </w:rPr>
        <w:t>4</w:t>
      </w:r>
      <w:r>
        <w:rPr/>
        <w:t>）期末公司已背书或贴现且在资产负债表日尚未到期的应收票据</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10"/>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874" w:right="0"/>
              <w:jc w:val="left"/>
              <w:rPr>
                <w:rFonts w:ascii="宋体" w:hAnsi="宋体" w:cs="宋体" w:eastAsia="宋体" w:hint="default"/>
                <w:sz w:val="18"/>
                <w:szCs w:val="18"/>
              </w:rPr>
            </w:pPr>
            <w:r>
              <w:rPr>
                <w:rFonts w:ascii="宋体" w:hAnsi="宋体" w:cs="宋体" w:eastAsia="宋体" w:hint="default"/>
                <w:sz w:val="18"/>
                <w:szCs w:val="18"/>
              </w:rPr>
              <w:t>期末终止确认金额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782" w:right="0"/>
              <w:jc w:val="left"/>
              <w:rPr>
                <w:rFonts w:ascii="宋体" w:hAnsi="宋体" w:cs="宋体" w:eastAsia="宋体" w:hint="default"/>
                <w:sz w:val="18"/>
                <w:szCs w:val="18"/>
              </w:rPr>
            </w:pPr>
            <w:r>
              <w:rPr>
                <w:rFonts w:ascii="宋体" w:hAnsi="宋体" w:cs="宋体" w:eastAsia="宋体" w:hint="default"/>
                <w:spacing w:val="-3"/>
                <w:sz w:val="18"/>
                <w:szCs w:val="18"/>
              </w:rPr>
              <w:t>期末未终止确认金额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商业承兑票据</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z w:val="18"/>
              </w:rPr>
              <w:t>0.00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1,300,000.00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z w:val="18"/>
              </w:rPr>
              <w:t>0.00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1,300,000.00</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100" w:bottom="1220" w:left="980" w:right="0"/>
        </w:sectPr>
      </w:pPr>
    </w:p>
    <w:p>
      <w:pPr>
        <w:spacing w:line="240" w:lineRule="auto" w:before="13"/>
        <w:rPr>
          <w:rFonts w:ascii="宋体" w:hAnsi="宋体" w:cs="宋体" w:eastAsia="宋体" w:hint="default"/>
          <w:sz w:val="21"/>
          <w:szCs w:val="21"/>
        </w:rPr>
      </w:pPr>
    </w:p>
    <w:p>
      <w:pPr>
        <w:pStyle w:val="Heading4"/>
        <w:spacing w:line="240" w:lineRule="auto" w:before="36"/>
        <w:ind w:right="0"/>
        <w:jc w:val="left"/>
        <w:rPr>
          <w:b w:val="0"/>
          <w:bCs w:val="0"/>
        </w:rPr>
      </w:pPr>
      <w:bookmarkStart w:name="（5）期末公司因出票人未履约而将其转应收账款的票据" w:id="247"/>
      <w:bookmarkEnd w:id="247"/>
      <w:r>
        <w:rPr>
          <w:b w:val="0"/>
          <w:bCs w:val="0"/>
        </w:rPr>
      </w:r>
      <w:r>
        <w:rPr/>
        <w:t>（</w:t>
      </w:r>
      <w:r>
        <w:rPr>
          <w:rFonts w:ascii="Times New Roman" w:hAnsi="Times New Roman" w:cs="Times New Roman" w:eastAsia="Times New Roman" w:hint="default"/>
        </w:rPr>
        <w:t>5</w:t>
      </w:r>
      <w:r>
        <w:rPr/>
        <w:t>）期末公司因出票人未履约而将其转应收账款的票据</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4788"/>
        <w:gridCol w:w="4782"/>
      </w:tblGrid>
      <w:tr>
        <w:trPr>
          <w:trHeight w:val="404"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7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574" w:right="0"/>
              <w:jc w:val="left"/>
              <w:rPr>
                <w:rFonts w:ascii="宋体" w:hAnsi="宋体" w:cs="宋体" w:eastAsia="宋体" w:hint="default"/>
                <w:sz w:val="18"/>
                <w:szCs w:val="18"/>
              </w:rPr>
            </w:pPr>
            <w:r>
              <w:rPr>
                <w:rFonts w:ascii="宋体" w:hAnsi="宋体" w:cs="宋体" w:eastAsia="宋体" w:hint="default"/>
                <w:spacing w:val="-3"/>
                <w:sz w:val="18"/>
                <w:szCs w:val="18"/>
              </w:rPr>
              <w:t>期末转应收账款金额</w:t>
            </w:r>
          </w:p>
        </w:tc>
      </w:tr>
    </w:tbl>
    <w:p>
      <w:pPr>
        <w:pStyle w:val="BodyText"/>
        <w:spacing w:line="240" w:lineRule="auto" w:before="53"/>
        <w:ind w:right="0"/>
        <w:jc w:val="left"/>
      </w:pPr>
      <w:r>
        <w:rPr/>
        <w:t>其他说明</w:t>
      </w:r>
    </w:p>
    <w:p>
      <w:pPr>
        <w:pStyle w:val="BodyText"/>
        <w:spacing w:line="240" w:lineRule="auto" w:before="115"/>
        <w:ind w:left="513" w:right="0"/>
        <w:jc w:val="left"/>
      </w:pPr>
      <w:r>
        <w:rPr>
          <w:spacing w:val="-3"/>
        </w:rPr>
        <w:t>年末无因出票人未履约而将其转应收账款的票据</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4"/>
          <w:szCs w:val="14"/>
        </w:rPr>
      </w:pPr>
    </w:p>
    <w:p>
      <w:pPr>
        <w:pStyle w:val="Heading4"/>
        <w:spacing w:line="240" w:lineRule="auto"/>
        <w:ind w:right="0"/>
        <w:jc w:val="left"/>
        <w:rPr>
          <w:b w:val="0"/>
          <w:bCs w:val="0"/>
        </w:rPr>
      </w:pPr>
      <w:bookmarkStart w:name="（6）本期实际核销的应收票据情况" w:id="248"/>
      <w:bookmarkEnd w:id="248"/>
      <w:r>
        <w:rPr>
          <w:b w:val="0"/>
          <w:bCs w:val="0"/>
        </w:rPr>
      </w:r>
      <w:r>
        <w:rPr/>
        <w:t>（</w:t>
      </w:r>
      <w:r>
        <w:rPr>
          <w:rFonts w:ascii="Times New Roman" w:hAnsi="Times New Roman" w:cs="Times New Roman" w:eastAsia="Times New Roman" w:hint="default"/>
        </w:rPr>
        <w:t>6</w:t>
      </w:r>
      <w:r>
        <w:rPr/>
        <w:t>）本期实际核销的应收票据情况</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4788"/>
        <w:gridCol w:w="4782"/>
      </w:tblGrid>
      <w:tr>
        <w:trPr>
          <w:trHeight w:val="403"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7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核销金额</w:t>
            </w:r>
          </w:p>
        </w:tc>
      </w:tr>
    </w:tbl>
    <w:p>
      <w:pPr>
        <w:pStyle w:val="BodyText"/>
        <w:spacing w:line="240" w:lineRule="auto" w:before="53"/>
        <w:ind w:right="0"/>
        <w:jc w:val="left"/>
      </w:pPr>
      <w:r>
        <w:rPr>
          <w:spacing w:val="-3"/>
        </w:rPr>
        <w:t>其中重要的应收票据核销情况：</w:t>
      </w:r>
    </w:p>
    <w:p>
      <w:pPr>
        <w:pStyle w:val="BodyText"/>
        <w:spacing w:line="240" w:lineRule="auto" w:before="120"/>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599"/>
        <w:gridCol w:w="1594"/>
        <w:gridCol w:w="1595"/>
        <w:gridCol w:w="1594"/>
        <w:gridCol w:w="1594"/>
        <w:gridCol w:w="1594"/>
      </w:tblGrid>
      <w:tr>
        <w:trPr>
          <w:trHeight w:val="715" w:hRule="exact"/>
        </w:trPr>
        <w:tc>
          <w:tcPr>
            <w:tcW w:w="1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436"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249" w:right="0"/>
              <w:jc w:val="left"/>
              <w:rPr>
                <w:rFonts w:ascii="宋体" w:hAnsi="宋体" w:cs="宋体" w:eastAsia="宋体" w:hint="default"/>
                <w:sz w:val="18"/>
                <w:szCs w:val="18"/>
              </w:rPr>
            </w:pPr>
            <w:r>
              <w:rPr>
                <w:rFonts w:ascii="宋体" w:hAnsi="宋体" w:cs="宋体" w:eastAsia="宋体" w:hint="default"/>
                <w:sz w:val="18"/>
                <w:szCs w:val="18"/>
              </w:rPr>
              <w:t>应收票据性质</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427"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427"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58" w:right="0"/>
              <w:jc w:val="left"/>
              <w:rPr>
                <w:rFonts w:ascii="宋体" w:hAnsi="宋体" w:cs="宋体" w:eastAsia="宋体" w:hint="default"/>
                <w:sz w:val="18"/>
                <w:szCs w:val="18"/>
              </w:rPr>
            </w:pPr>
            <w:r>
              <w:rPr>
                <w:rFonts w:ascii="宋体" w:hAnsi="宋体" w:cs="宋体" w:eastAsia="宋体" w:hint="default"/>
                <w:spacing w:val="-3"/>
                <w:sz w:val="18"/>
                <w:szCs w:val="18"/>
              </w:rPr>
              <w:t>履行的核销程序</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432" w:right="156" w:hanging="270"/>
              <w:jc w:val="left"/>
              <w:rPr>
                <w:rFonts w:ascii="宋体" w:hAnsi="宋体" w:cs="宋体" w:eastAsia="宋体" w:hint="default"/>
                <w:sz w:val="18"/>
                <w:szCs w:val="18"/>
              </w:rPr>
            </w:pPr>
            <w:r>
              <w:rPr>
                <w:rFonts w:ascii="宋体" w:hAnsi="宋体" w:cs="宋体" w:eastAsia="宋体" w:hint="default"/>
                <w:spacing w:val="-3"/>
                <w:sz w:val="18"/>
                <w:szCs w:val="18"/>
              </w:rPr>
              <w:t>款项是否由关联</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交易产生</w:t>
            </w:r>
          </w:p>
        </w:tc>
      </w:tr>
    </w:tbl>
    <w:p>
      <w:pPr>
        <w:pStyle w:val="BodyText"/>
        <w:spacing w:line="357" w:lineRule="auto" w:before="53"/>
        <w:ind w:right="9020"/>
        <w:jc w:val="left"/>
      </w:pPr>
      <w:r>
        <w:rPr>
          <w:spacing w:val="-3"/>
        </w:rPr>
        <w:t>应收票据核销说明：</w:t>
      </w:r>
      <w:r>
        <w:rPr>
          <w:spacing w:val="-62"/>
        </w:rPr>
        <w:t> </w:t>
      </w:r>
      <w:r>
        <w:rPr>
          <w:spacing w:val="-62"/>
        </w:rPr>
      </w:r>
      <w:r>
        <w:rPr/>
        <w:t>无。</w:t>
      </w:r>
    </w:p>
    <w:p>
      <w:pPr>
        <w:spacing w:line="240" w:lineRule="auto" w:before="3"/>
        <w:rPr>
          <w:rFonts w:ascii="宋体" w:hAnsi="宋体" w:cs="宋体" w:eastAsia="宋体" w:hint="default"/>
          <w:sz w:val="20"/>
          <w:szCs w:val="20"/>
        </w:rPr>
      </w:pPr>
    </w:p>
    <w:p>
      <w:pPr>
        <w:pStyle w:val="Heading4"/>
        <w:spacing w:line="240" w:lineRule="auto"/>
        <w:ind w:right="0"/>
        <w:jc w:val="left"/>
        <w:rPr>
          <w:b w:val="0"/>
          <w:bCs w:val="0"/>
        </w:rPr>
      </w:pPr>
      <w:bookmarkStart w:name="5、应收账款" w:id="249"/>
      <w:bookmarkEnd w:id="249"/>
      <w:r>
        <w:rPr>
          <w:b w:val="0"/>
          <w:bCs w:val="0"/>
        </w:rPr>
      </w:r>
      <w:r>
        <w:rPr>
          <w:rFonts w:ascii="Times New Roman" w:hAnsi="Times New Roman" w:cs="Times New Roman" w:eastAsia="Times New Roman" w:hint="default"/>
        </w:rPr>
        <w:t>5</w:t>
      </w:r>
      <w:r>
        <w:rPr/>
        <w:t>、应收账款</w:t>
      </w:r>
      <w:r>
        <w:rPr>
          <w:b w:val="0"/>
          <w:bCs w:val="0"/>
        </w:rPr>
      </w:r>
    </w:p>
    <w:p>
      <w:pPr>
        <w:spacing w:line="240" w:lineRule="auto" w:before="5"/>
        <w:rPr>
          <w:rFonts w:ascii="宋体" w:hAnsi="宋体" w:cs="宋体" w:eastAsia="宋体" w:hint="default"/>
          <w:b/>
          <w:bCs/>
          <w:sz w:val="24"/>
          <w:szCs w:val="24"/>
        </w:rPr>
      </w:pPr>
    </w:p>
    <w:p>
      <w:pPr>
        <w:pStyle w:val="Heading4"/>
        <w:spacing w:line="240" w:lineRule="auto"/>
        <w:ind w:right="0"/>
        <w:jc w:val="left"/>
        <w:rPr>
          <w:b w:val="0"/>
          <w:bCs w:val="0"/>
        </w:rPr>
      </w:pPr>
      <w:bookmarkStart w:name="（1）应收账款分类披露" w:id="250"/>
      <w:bookmarkEnd w:id="250"/>
      <w:r>
        <w:rPr>
          <w:b w:val="0"/>
          <w:bCs w:val="0"/>
        </w:rPr>
      </w:r>
      <w:r>
        <w:rPr/>
        <w:t>（</w:t>
      </w:r>
      <w:r>
        <w:rPr>
          <w:rFonts w:ascii="Times New Roman" w:hAnsi="Times New Roman" w:cs="Times New Roman" w:eastAsia="Times New Roman" w:hint="default"/>
        </w:rPr>
        <w:t>1</w:t>
      </w:r>
      <w:r>
        <w:rPr/>
        <w:t>）应收账款分类披露</w:t>
      </w:r>
      <w:r>
        <w:rPr>
          <w:b w:val="0"/>
          <w:bCs w:val="0"/>
        </w:rPr>
      </w:r>
    </w:p>
    <w:p>
      <w:pPr>
        <w:spacing w:line="240" w:lineRule="auto" w:before="7"/>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637"/>
        <w:gridCol w:w="764"/>
        <w:gridCol w:w="758"/>
        <w:gridCol w:w="764"/>
        <w:gridCol w:w="764"/>
        <w:gridCol w:w="787"/>
        <w:gridCol w:w="778"/>
        <w:gridCol w:w="797"/>
        <w:gridCol w:w="797"/>
        <w:gridCol w:w="792"/>
        <w:gridCol w:w="931"/>
      </w:tblGrid>
      <w:tr>
        <w:trPr>
          <w:trHeight w:val="398" w:hRule="exact"/>
        </w:trPr>
        <w:tc>
          <w:tcPr>
            <w:tcW w:w="163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9"/>
              <w:ind w:left="4"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3837"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6"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1637" w:type="dxa"/>
            <w:vMerge/>
            <w:tcBorders>
              <w:left w:val="single" w:sz="4" w:space="0" w:color="000000"/>
              <w:right w:val="single" w:sz="4" w:space="0" w:color="000000"/>
            </w:tcBorders>
            <w:shd w:val="clear" w:color="auto" w:fill="D2D2D2"/>
          </w:tcPr>
          <w:p>
            <w:pPr/>
          </w:p>
        </w:tc>
        <w:tc>
          <w:tcPr>
            <w:tcW w:w="152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39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39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8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9"/>
                <w:szCs w:val="19"/>
              </w:rPr>
            </w:pPr>
          </w:p>
          <w:p>
            <w:pPr>
              <w:pStyle w:val="TableParagraph"/>
              <w:spacing w:line="316" w:lineRule="auto"/>
              <w:ind w:left="302" w:right="113" w:hanging="183"/>
              <w:jc w:val="left"/>
              <w:rPr>
                <w:rFonts w:ascii="宋体" w:hAnsi="宋体" w:cs="宋体" w:eastAsia="宋体" w:hint="default"/>
                <w:sz w:val="18"/>
                <w:szCs w:val="18"/>
              </w:rPr>
            </w:pPr>
            <w:r>
              <w:rPr>
                <w:rFonts w:ascii="宋体" w:hAnsi="宋体" w:cs="宋体" w:eastAsia="宋体" w:hint="default"/>
                <w:sz w:val="18"/>
                <w:szCs w:val="18"/>
              </w:rPr>
              <w:t>账面价</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值</w:t>
            </w:r>
          </w:p>
        </w:tc>
        <w:tc>
          <w:tcPr>
            <w:tcW w:w="157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2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3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9"/>
                <w:szCs w:val="19"/>
              </w:rPr>
            </w:pPr>
          </w:p>
          <w:p>
            <w:pPr>
              <w:pStyle w:val="TableParagraph"/>
              <w:spacing w:line="316" w:lineRule="auto"/>
              <w:ind w:left="374" w:right="185" w:hanging="183"/>
              <w:jc w:val="left"/>
              <w:rPr>
                <w:rFonts w:ascii="宋体" w:hAnsi="宋体" w:cs="宋体" w:eastAsia="宋体" w:hint="default"/>
                <w:sz w:val="18"/>
                <w:szCs w:val="18"/>
              </w:rPr>
            </w:pPr>
            <w:r>
              <w:rPr>
                <w:rFonts w:ascii="宋体" w:hAnsi="宋体" w:cs="宋体" w:eastAsia="宋体" w:hint="default"/>
                <w:sz w:val="18"/>
                <w:szCs w:val="18"/>
              </w:rPr>
              <w:t>账面价</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值</w:t>
            </w:r>
          </w:p>
        </w:tc>
      </w:tr>
      <w:tr>
        <w:trPr>
          <w:trHeight w:val="721" w:hRule="exact"/>
        </w:trPr>
        <w:tc>
          <w:tcPr>
            <w:tcW w:w="1637" w:type="dxa"/>
            <w:vMerge/>
            <w:tcBorders>
              <w:left w:val="single" w:sz="4" w:space="0" w:color="000000"/>
              <w:bottom w:val="single" w:sz="4" w:space="0" w:color="000000"/>
              <w:right w:val="single" w:sz="4" w:space="0" w:color="000000"/>
            </w:tcBorders>
            <w:shd w:val="clear" w:color="auto" w:fill="D2D2D2"/>
          </w:tcPr>
          <w:p>
            <w:pPr/>
          </w:p>
        </w:tc>
        <w:tc>
          <w:tcPr>
            <w:tcW w:w="7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9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92"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97"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4" w:lineRule="auto" w:before="53"/>
              <w:ind w:left="287" w:right="99" w:hanging="178"/>
              <w:jc w:val="left"/>
              <w:rPr>
                <w:rFonts w:ascii="宋体" w:hAnsi="宋体" w:cs="宋体" w:eastAsia="宋体" w:hint="default"/>
                <w:sz w:val="18"/>
                <w:szCs w:val="18"/>
              </w:rPr>
            </w:pPr>
            <w:r>
              <w:rPr>
                <w:rFonts w:ascii="宋体" w:hAnsi="宋体" w:cs="宋体" w:eastAsia="宋体" w:hint="default"/>
                <w:sz w:val="18"/>
                <w:szCs w:val="18"/>
              </w:rPr>
              <w:t>计提比</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例</w:t>
            </w:r>
          </w:p>
        </w:tc>
        <w:tc>
          <w:tcPr>
            <w:tcW w:w="787" w:type="dxa"/>
            <w:vMerge/>
            <w:tcBorders>
              <w:left w:val="single" w:sz="4" w:space="0" w:color="000000"/>
              <w:bottom w:val="single" w:sz="4" w:space="0" w:color="000000"/>
              <w:right w:val="single" w:sz="4" w:space="0" w:color="000000"/>
            </w:tcBorders>
            <w:shd w:val="clear" w:color="auto" w:fill="D2D2D2"/>
          </w:tcPr>
          <w:p>
            <w:pPr/>
          </w:p>
        </w:tc>
        <w:tc>
          <w:tcPr>
            <w:tcW w:w="7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20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21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21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4" w:lineRule="auto" w:before="53"/>
              <w:ind w:left="302" w:right="113" w:hanging="178"/>
              <w:jc w:val="left"/>
              <w:rPr>
                <w:rFonts w:ascii="宋体" w:hAnsi="宋体" w:cs="宋体" w:eastAsia="宋体" w:hint="default"/>
                <w:sz w:val="18"/>
                <w:szCs w:val="18"/>
              </w:rPr>
            </w:pPr>
            <w:r>
              <w:rPr>
                <w:rFonts w:ascii="宋体" w:hAnsi="宋体" w:cs="宋体" w:eastAsia="宋体" w:hint="default"/>
                <w:sz w:val="18"/>
                <w:szCs w:val="18"/>
              </w:rPr>
              <w:t>计提比</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例</w:t>
            </w:r>
          </w:p>
        </w:tc>
        <w:tc>
          <w:tcPr>
            <w:tcW w:w="931" w:type="dxa"/>
            <w:vMerge/>
            <w:tcBorders>
              <w:left w:val="single" w:sz="4" w:space="0" w:color="000000"/>
              <w:bottom w:val="single" w:sz="4" w:space="0" w:color="000000"/>
              <w:right w:val="single" w:sz="4" w:space="0" w:color="000000"/>
            </w:tcBorders>
            <w:shd w:val="clear" w:color="auto" w:fill="D2D2D2"/>
          </w:tcPr>
          <w:p>
            <w:pPr/>
          </w:p>
        </w:tc>
      </w:tr>
      <w:tr>
        <w:trPr>
          <w:trHeight w:val="398" w:hRule="exact"/>
        </w:trPr>
        <w:tc>
          <w:tcPr>
            <w:tcW w:w="1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76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5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8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7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93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1027" w:hRule="exact"/>
        </w:trPr>
        <w:tc>
          <w:tcPr>
            <w:tcW w:w="1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21" w:lineRule="auto"/>
              <w:ind w:left="105" w:right="257"/>
              <w:jc w:val="left"/>
              <w:rPr>
                <w:rFonts w:ascii="宋体" w:hAnsi="宋体" w:cs="宋体" w:eastAsia="宋体" w:hint="default"/>
                <w:sz w:val="18"/>
                <w:szCs w:val="18"/>
              </w:rPr>
            </w:pPr>
            <w:r>
              <w:rPr>
                <w:rFonts w:ascii="宋体" w:hAnsi="宋体" w:cs="宋体" w:eastAsia="宋体" w:hint="default"/>
                <w:spacing w:val="-3"/>
                <w:sz w:val="18"/>
                <w:szCs w:val="18"/>
              </w:rPr>
              <w:t>按组合计提坏账</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3"/>
                <w:sz w:val="18"/>
                <w:szCs w:val="18"/>
              </w:rPr>
              <w:t>准备的应收账款</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993,59</w:t>
            </w:r>
          </w:p>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2,891.2</w:t>
            </w:r>
          </w:p>
          <w:p>
            <w:pPr>
              <w:pStyle w:val="TableParagraph"/>
              <w:spacing w:line="240" w:lineRule="auto" w:before="110"/>
              <w:ind w:right="103"/>
              <w:jc w:val="right"/>
              <w:rPr>
                <w:rFonts w:ascii="Times New Roman" w:hAnsi="Times New Roman" w:cs="Times New Roman" w:eastAsia="Times New Roman" w:hint="default"/>
                <w:sz w:val="18"/>
                <w:szCs w:val="18"/>
              </w:rPr>
            </w:pPr>
            <w:r>
              <w:rPr>
                <w:rFonts w:ascii="Times New Roman"/>
                <w:w w:val="101"/>
                <w:sz w:val="18"/>
              </w:rPr>
              <w:t>4</w:t>
            </w:r>
            <w:r>
              <w:rPr>
                <w:rFonts w:ascii="Times New Roman"/>
                <w:sz w:val="18"/>
              </w:rPr>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53"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10"/>
              <w:ind w:left="499" w:right="0"/>
              <w:jc w:val="lef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3"/>
              <w:jc w:val="right"/>
              <w:rPr>
                <w:rFonts w:ascii="Times New Roman" w:hAnsi="Times New Roman" w:cs="Times New Roman" w:eastAsia="Times New Roman" w:hint="default"/>
                <w:sz w:val="18"/>
                <w:szCs w:val="18"/>
              </w:rPr>
            </w:pPr>
            <w:r>
              <w:rPr>
                <w:rFonts w:ascii="Times New Roman"/>
                <w:spacing w:val="-1"/>
                <w:sz w:val="18"/>
              </w:rPr>
              <w:t>109,09</w:t>
            </w:r>
          </w:p>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7,237.0</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8</w:t>
            </w:r>
            <w:r>
              <w:rPr>
                <w:rFonts w:ascii="Times New Roman"/>
                <w:sz w:val="18"/>
              </w:rPr>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10.98</w:t>
            </w:r>
          </w:p>
          <w:p>
            <w:pPr>
              <w:pStyle w:val="TableParagraph"/>
              <w:spacing w:line="240" w:lineRule="auto" w:before="110"/>
              <w:ind w:right="96"/>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3"/>
              <w:jc w:val="right"/>
              <w:rPr>
                <w:rFonts w:ascii="Times New Roman" w:hAnsi="Times New Roman" w:cs="Times New Roman" w:eastAsia="Times New Roman" w:hint="default"/>
                <w:sz w:val="18"/>
                <w:szCs w:val="18"/>
              </w:rPr>
            </w:pPr>
            <w:r>
              <w:rPr>
                <w:rFonts w:ascii="Times New Roman"/>
                <w:spacing w:val="-1"/>
                <w:sz w:val="18"/>
              </w:rPr>
              <w:t>884,49</w:t>
            </w:r>
          </w:p>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5,654.1</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6</w:t>
            </w:r>
            <w:r>
              <w:rPr>
                <w:rFonts w:ascii="Times New Roman"/>
                <w:sz w:val="18"/>
              </w:rPr>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940,98</w:t>
            </w:r>
          </w:p>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0,535.3</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5</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3"/>
              <w:jc w:val="right"/>
              <w:rPr>
                <w:rFonts w:ascii="Times New Roman" w:hAnsi="Times New Roman" w:cs="Times New Roman" w:eastAsia="Times New Roman" w:hint="default"/>
                <w:sz w:val="18"/>
                <w:szCs w:val="18"/>
              </w:rPr>
            </w:pPr>
            <w:r>
              <w:rPr>
                <w:rFonts w:ascii="Times New Roman"/>
                <w:spacing w:val="-1"/>
                <w:sz w:val="18"/>
              </w:rPr>
              <w:t>100.00</w:t>
            </w:r>
          </w:p>
          <w:p>
            <w:pPr>
              <w:pStyle w:val="TableParagraph"/>
              <w:spacing w:line="240" w:lineRule="auto" w:before="110"/>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49" w:right="0"/>
              <w:jc w:val="left"/>
              <w:rPr>
                <w:rFonts w:ascii="Times New Roman" w:hAnsi="Times New Roman" w:cs="Times New Roman" w:eastAsia="Times New Roman" w:hint="default"/>
                <w:sz w:val="18"/>
                <w:szCs w:val="18"/>
              </w:rPr>
            </w:pPr>
            <w:r>
              <w:rPr>
                <w:rFonts w:ascii="Times New Roman"/>
                <w:sz w:val="18"/>
              </w:rPr>
              <w:t>71,178,</w:t>
            </w:r>
          </w:p>
          <w:p>
            <w:pPr>
              <w:pStyle w:val="TableParagraph"/>
              <w:spacing w:line="240" w:lineRule="auto" w:before="110"/>
              <w:ind w:left="192" w:right="0"/>
              <w:jc w:val="left"/>
              <w:rPr>
                <w:rFonts w:ascii="Times New Roman" w:hAnsi="Times New Roman" w:cs="Times New Roman" w:eastAsia="Times New Roman" w:hint="default"/>
                <w:sz w:val="18"/>
                <w:szCs w:val="18"/>
              </w:rPr>
            </w:pPr>
            <w:r>
              <w:rPr>
                <w:rFonts w:ascii="Times New Roman"/>
                <w:sz w:val="18"/>
              </w:rPr>
              <w:t>790.98</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7.56%</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93" w:right="0"/>
              <w:jc w:val="center"/>
              <w:rPr>
                <w:rFonts w:ascii="Times New Roman" w:hAnsi="Times New Roman" w:cs="Times New Roman" w:eastAsia="Times New Roman" w:hint="default"/>
                <w:sz w:val="18"/>
                <w:szCs w:val="18"/>
              </w:rPr>
            </w:pPr>
            <w:r>
              <w:rPr>
                <w:rFonts w:ascii="Times New Roman"/>
                <w:sz w:val="18"/>
              </w:rPr>
              <w:t>869,801,</w:t>
            </w:r>
          </w:p>
          <w:p>
            <w:pPr>
              <w:pStyle w:val="TableParagraph"/>
              <w:spacing w:line="240" w:lineRule="auto" w:before="110"/>
              <w:ind w:left="230" w:right="0"/>
              <w:jc w:val="center"/>
              <w:rPr>
                <w:rFonts w:ascii="Times New Roman" w:hAnsi="Times New Roman" w:cs="Times New Roman" w:eastAsia="Times New Roman" w:hint="default"/>
                <w:sz w:val="18"/>
                <w:szCs w:val="18"/>
              </w:rPr>
            </w:pPr>
            <w:r>
              <w:rPr>
                <w:rFonts w:ascii="Times New Roman"/>
                <w:sz w:val="18"/>
              </w:rPr>
              <w:t>744.37</w:t>
            </w:r>
          </w:p>
        </w:tc>
      </w:tr>
      <w:tr>
        <w:trPr>
          <w:trHeight w:val="399" w:hRule="exact"/>
        </w:trPr>
        <w:tc>
          <w:tcPr>
            <w:tcW w:w="1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76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5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8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7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93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1027" w:hRule="exact"/>
        </w:trPr>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宋体" w:hAnsi="宋体" w:cs="宋体" w:eastAsia="宋体" w:hint="default"/>
                <w:sz w:val="18"/>
                <w:szCs w:val="18"/>
              </w:rPr>
              <w:t>账龄组合</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993,59</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pacing w:val="-1"/>
                <w:sz w:val="18"/>
              </w:rPr>
              <w:t>2,891.2</w:t>
            </w:r>
          </w:p>
          <w:p>
            <w:pPr>
              <w:pStyle w:val="TableParagraph"/>
              <w:spacing w:line="240" w:lineRule="auto" w:before="110"/>
              <w:ind w:right="103"/>
              <w:jc w:val="right"/>
              <w:rPr>
                <w:rFonts w:ascii="Times New Roman" w:hAnsi="Times New Roman" w:cs="Times New Roman" w:eastAsia="Times New Roman" w:hint="default"/>
                <w:sz w:val="18"/>
                <w:szCs w:val="18"/>
              </w:rPr>
            </w:pPr>
            <w:r>
              <w:rPr>
                <w:rFonts w:ascii="Times New Roman"/>
                <w:w w:val="101"/>
                <w:sz w:val="18"/>
              </w:rPr>
              <w:t>4</w:t>
            </w:r>
            <w:r>
              <w:rPr>
                <w:rFonts w:ascii="Times New Roman"/>
                <w:sz w:val="18"/>
              </w:rPr>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53"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left="499" w:right="0"/>
              <w:jc w:val="lef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3"/>
              <w:jc w:val="right"/>
              <w:rPr>
                <w:rFonts w:ascii="Times New Roman" w:hAnsi="Times New Roman" w:cs="Times New Roman" w:eastAsia="Times New Roman" w:hint="default"/>
                <w:sz w:val="18"/>
                <w:szCs w:val="18"/>
              </w:rPr>
            </w:pPr>
            <w:r>
              <w:rPr>
                <w:rFonts w:ascii="Times New Roman"/>
                <w:spacing w:val="-1"/>
                <w:sz w:val="18"/>
              </w:rPr>
              <w:t>109,09</w:t>
            </w:r>
          </w:p>
          <w:p>
            <w:pPr>
              <w:pStyle w:val="TableParagraph"/>
              <w:spacing w:line="240" w:lineRule="auto" w:before="105"/>
              <w:ind w:right="94"/>
              <w:jc w:val="right"/>
              <w:rPr>
                <w:rFonts w:ascii="Times New Roman" w:hAnsi="Times New Roman" w:cs="Times New Roman" w:eastAsia="Times New Roman" w:hint="default"/>
                <w:sz w:val="18"/>
                <w:szCs w:val="18"/>
              </w:rPr>
            </w:pPr>
            <w:r>
              <w:rPr>
                <w:rFonts w:ascii="Times New Roman"/>
                <w:spacing w:val="-1"/>
                <w:sz w:val="18"/>
              </w:rPr>
              <w:t>7,237.0</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8</w:t>
            </w:r>
            <w:r>
              <w:rPr>
                <w:rFonts w:ascii="Times New Roman"/>
                <w:sz w:val="18"/>
              </w:rPr>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10.98</w:t>
            </w:r>
          </w:p>
          <w:p>
            <w:pPr>
              <w:pStyle w:val="TableParagraph"/>
              <w:spacing w:line="240" w:lineRule="auto" w:before="105"/>
              <w:ind w:right="96"/>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3"/>
              <w:jc w:val="right"/>
              <w:rPr>
                <w:rFonts w:ascii="Times New Roman" w:hAnsi="Times New Roman" w:cs="Times New Roman" w:eastAsia="Times New Roman" w:hint="default"/>
                <w:sz w:val="18"/>
                <w:szCs w:val="18"/>
              </w:rPr>
            </w:pPr>
            <w:r>
              <w:rPr>
                <w:rFonts w:ascii="Times New Roman"/>
                <w:spacing w:val="-1"/>
                <w:sz w:val="18"/>
              </w:rPr>
              <w:t>884,49</w:t>
            </w:r>
          </w:p>
          <w:p>
            <w:pPr>
              <w:pStyle w:val="TableParagraph"/>
              <w:spacing w:line="240" w:lineRule="auto" w:before="105"/>
              <w:ind w:right="94"/>
              <w:jc w:val="right"/>
              <w:rPr>
                <w:rFonts w:ascii="Times New Roman" w:hAnsi="Times New Roman" w:cs="Times New Roman" w:eastAsia="Times New Roman" w:hint="default"/>
                <w:sz w:val="18"/>
                <w:szCs w:val="18"/>
              </w:rPr>
            </w:pPr>
            <w:r>
              <w:rPr>
                <w:rFonts w:ascii="Times New Roman"/>
                <w:spacing w:val="-1"/>
                <w:sz w:val="18"/>
              </w:rPr>
              <w:t>5,654.1</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6</w:t>
            </w:r>
            <w:r>
              <w:rPr>
                <w:rFonts w:ascii="Times New Roman"/>
                <w:sz w:val="18"/>
              </w:rPr>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940,98</w:t>
            </w:r>
          </w:p>
          <w:p>
            <w:pPr>
              <w:pStyle w:val="TableParagraph"/>
              <w:spacing w:line="240" w:lineRule="auto" w:before="105"/>
              <w:ind w:right="94"/>
              <w:jc w:val="right"/>
              <w:rPr>
                <w:rFonts w:ascii="Times New Roman" w:hAnsi="Times New Roman" w:cs="Times New Roman" w:eastAsia="Times New Roman" w:hint="default"/>
                <w:sz w:val="18"/>
                <w:szCs w:val="18"/>
              </w:rPr>
            </w:pPr>
            <w:r>
              <w:rPr>
                <w:rFonts w:ascii="Times New Roman"/>
                <w:spacing w:val="-1"/>
                <w:sz w:val="18"/>
              </w:rPr>
              <w:t>0,535.3</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5</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3"/>
              <w:jc w:val="right"/>
              <w:rPr>
                <w:rFonts w:ascii="Times New Roman" w:hAnsi="Times New Roman" w:cs="Times New Roman" w:eastAsia="Times New Roman" w:hint="default"/>
                <w:sz w:val="18"/>
                <w:szCs w:val="18"/>
              </w:rPr>
            </w:pPr>
            <w:r>
              <w:rPr>
                <w:rFonts w:ascii="Times New Roman"/>
                <w:spacing w:val="-1"/>
                <w:sz w:val="18"/>
              </w:rPr>
              <w:t>100.00</w:t>
            </w:r>
          </w:p>
          <w:p>
            <w:pPr>
              <w:pStyle w:val="TableParagraph"/>
              <w:spacing w:line="240" w:lineRule="auto" w:before="105"/>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49" w:right="0"/>
              <w:jc w:val="left"/>
              <w:rPr>
                <w:rFonts w:ascii="Times New Roman" w:hAnsi="Times New Roman" w:cs="Times New Roman" w:eastAsia="Times New Roman" w:hint="default"/>
                <w:sz w:val="18"/>
                <w:szCs w:val="18"/>
              </w:rPr>
            </w:pPr>
            <w:r>
              <w:rPr>
                <w:rFonts w:ascii="Times New Roman"/>
                <w:sz w:val="18"/>
              </w:rPr>
              <w:t>71,178,</w:t>
            </w:r>
          </w:p>
          <w:p>
            <w:pPr>
              <w:pStyle w:val="TableParagraph"/>
              <w:spacing w:line="240" w:lineRule="auto" w:before="105"/>
              <w:ind w:left="192" w:right="0"/>
              <w:jc w:val="left"/>
              <w:rPr>
                <w:rFonts w:ascii="Times New Roman" w:hAnsi="Times New Roman" w:cs="Times New Roman" w:eastAsia="Times New Roman" w:hint="default"/>
                <w:sz w:val="18"/>
                <w:szCs w:val="18"/>
              </w:rPr>
            </w:pPr>
            <w:r>
              <w:rPr>
                <w:rFonts w:ascii="Times New Roman"/>
                <w:sz w:val="18"/>
              </w:rPr>
              <w:t>790.98</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7.56%</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93" w:right="0"/>
              <w:jc w:val="center"/>
              <w:rPr>
                <w:rFonts w:ascii="Times New Roman" w:hAnsi="Times New Roman" w:cs="Times New Roman" w:eastAsia="Times New Roman" w:hint="default"/>
                <w:sz w:val="18"/>
                <w:szCs w:val="18"/>
              </w:rPr>
            </w:pPr>
            <w:r>
              <w:rPr>
                <w:rFonts w:ascii="Times New Roman"/>
                <w:sz w:val="18"/>
              </w:rPr>
              <w:t>869,801,</w:t>
            </w:r>
          </w:p>
          <w:p>
            <w:pPr>
              <w:pStyle w:val="TableParagraph"/>
              <w:spacing w:line="240" w:lineRule="auto" w:before="105"/>
              <w:ind w:left="230" w:right="0"/>
              <w:jc w:val="center"/>
              <w:rPr>
                <w:rFonts w:ascii="Times New Roman" w:hAnsi="Times New Roman" w:cs="Times New Roman" w:eastAsia="Times New Roman" w:hint="default"/>
                <w:sz w:val="18"/>
                <w:szCs w:val="18"/>
              </w:rPr>
            </w:pPr>
            <w:r>
              <w:rPr>
                <w:rFonts w:ascii="Times New Roman"/>
                <w:sz w:val="18"/>
              </w:rPr>
              <w:t>744.37</w:t>
            </w:r>
          </w:p>
        </w:tc>
      </w:tr>
      <w:tr>
        <w:trPr>
          <w:trHeight w:val="1028" w:hRule="exact"/>
        </w:trPr>
        <w:tc>
          <w:tcPr>
            <w:tcW w:w="1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1"/>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993,59</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pacing w:val="-1"/>
                <w:sz w:val="18"/>
              </w:rPr>
              <w:t>2,891.2</w:t>
            </w:r>
          </w:p>
          <w:p>
            <w:pPr>
              <w:pStyle w:val="TableParagraph"/>
              <w:spacing w:line="240" w:lineRule="auto" w:before="109"/>
              <w:ind w:right="103"/>
              <w:jc w:val="right"/>
              <w:rPr>
                <w:rFonts w:ascii="Times New Roman" w:hAnsi="Times New Roman" w:cs="Times New Roman" w:eastAsia="Times New Roman" w:hint="default"/>
                <w:sz w:val="18"/>
                <w:szCs w:val="18"/>
              </w:rPr>
            </w:pPr>
            <w:r>
              <w:rPr>
                <w:rFonts w:ascii="Times New Roman"/>
                <w:w w:val="101"/>
                <w:sz w:val="18"/>
              </w:rPr>
              <w:t>4</w:t>
            </w:r>
            <w:r>
              <w:rPr>
                <w:rFonts w:ascii="Times New Roman"/>
                <w:sz w:val="18"/>
              </w:rPr>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53"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left="499" w:right="0"/>
              <w:jc w:val="lef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3"/>
              <w:jc w:val="right"/>
              <w:rPr>
                <w:rFonts w:ascii="Times New Roman" w:hAnsi="Times New Roman" w:cs="Times New Roman" w:eastAsia="Times New Roman" w:hint="default"/>
                <w:sz w:val="18"/>
                <w:szCs w:val="18"/>
              </w:rPr>
            </w:pPr>
            <w:r>
              <w:rPr>
                <w:rFonts w:ascii="Times New Roman"/>
                <w:spacing w:val="-1"/>
                <w:sz w:val="18"/>
              </w:rPr>
              <w:t>109,09</w:t>
            </w:r>
          </w:p>
          <w:p>
            <w:pPr>
              <w:pStyle w:val="TableParagraph"/>
              <w:spacing w:line="240" w:lineRule="auto" w:before="105"/>
              <w:ind w:right="94"/>
              <w:jc w:val="right"/>
              <w:rPr>
                <w:rFonts w:ascii="Times New Roman" w:hAnsi="Times New Roman" w:cs="Times New Roman" w:eastAsia="Times New Roman" w:hint="default"/>
                <w:sz w:val="18"/>
                <w:szCs w:val="18"/>
              </w:rPr>
            </w:pPr>
            <w:r>
              <w:rPr>
                <w:rFonts w:ascii="Times New Roman"/>
                <w:spacing w:val="-1"/>
                <w:sz w:val="18"/>
              </w:rPr>
              <w:t>7,237.0</w:t>
            </w:r>
          </w:p>
          <w:p>
            <w:pPr>
              <w:pStyle w:val="TableParagraph"/>
              <w:spacing w:line="240" w:lineRule="auto" w:before="109"/>
              <w:ind w:right="98"/>
              <w:jc w:val="right"/>
              <w:rPr>
                <w:rFonts w:ascii="Times New Roman" w:hAnsi="Times New Roman" w:cs="Times New Roman" w:eastAsia="Times New Roman" w:hint="default"/>
                <w:sz w:val="18"/>
                <w:szCs w:val="18"/>
              </w:rPr>
            </w:pPr>
            <w:r>
              <w:rPr>
                <w:rFonts w:ascii="Times New Roman"/>
                <w:w w:val="101"/>
                <w:sz w:val="18"/>
              </w:rPr>
              <w:t>8</w:t>
            </w:r>
            <w:r>
              <w:rPr>
                <w:rFonts w:ascii="Times New Roman"/>
                <w:sz w:val="18"/>
              </w:rPr>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10.98</w:t>
            </w:r>
          </w:p>
          <w:p>
            <w:pPr>
              <w:pStyle w:val="TableParagraph"/>
              <w:spacing w:line="240" w:lineRule="auto" w:before="105"/>
              <w:ind w:right="96"/>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3"/>
              <w:jc w:val="right"/>
              <w:rPr>
                <w:rFonts w:ascii="Times New Roman" w:hAnsi="Times New Roman" w:cs="Times New Roman" w:eastAsia="Times New Roman" w:hint="default"/>
                <w:sz w:val="18"/>
                <w:szCs w:val="18"/>
              </w:rPr>
            </w:pPr>
            <w:r>
              <w:rPr>
                <w:rFonts w:ascii="Times New Roman"/>
                <w:spacing w:val="-1"/>
                <w:sz w:val="18"/>
              </w:rPr>
              <w:t>884,49</w:t>
            </w:r>
          </w:p>
          <w:p>
            <w:pPr>
              <w:pStyle w:val="TableParagraph"/>
              <w:spacing w:line="240" w:lineRule="auto" w:before="105"/>
              <w:ind w:right="94"/>
              <w:jc w:val="right"/>
              <w:rPr>
                <w:rFonts w:ascii="Times New Roman" w:hAnsi="Times New Roman" w:cs="Times New Roman" w:eastAsia="Times New Roman" w:hint="default"/>
                <w:sz w:val="18"/>
                <w:szCs w:val="18"/>
              </w:rPr>
            </w:pPr>
            <w:r>
              <w:rPr>
                <w:rFonts w:ascii="Times New Roman"/>
                <w:spacing w:val="-1"/>
                <w:sz w:val="18"/>
              </w:rPr>
              <w:t>5,654.1</w:t>
            </w:r>
          </w:p>
          <w:p>
            <w:pPr>
              <w:pStyle w:val="TableParagraph"/>
              <w:spacing w:line="240" w:lineRule="auto" w:before="109"/>
              <w:ind w:right="98"/>
              <w:jc w:val="right"/>
              <w:rPr>
                <w:rFonts w:ascii="Times New Roman" w:hAnsi="Times New Roman" w:cs="Times New Roman" w:eastAsia="Times New Roman" w:hint="default"/>
                <w:sz w:val="18"/>
                <w:szCs w:val="18"/>
              </w:rPr>
            </w:pPr>
            <w:r>
              <w:rPr>
                <w:rFonts w:ascii="Times New Roman"/>
                <w:w w:val="101"/>
                <w:sz w:val="18"/>
              </w:rPr>
              <w:t>6</w:t>
            </w:r>
            <w:r>
              <w:rPr>
                <w:rFonts w:ascii="Times New Roman"/>
                <w:sz w:val="18"/>
              </w:rPr>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940,98</w:t>
            </w:r>
          </w:p>
          <w:p>
            <w:pPr>
              <w:pStyle w:val="TableParagraph"/>
              <w:spacing w:line="240" w:lineRule="auto" w:before="105"/>
              <w:ind w:right="94"/>
              <w:jc w:val="right"/>
              <w:rPr>
                <w:rFonts w:ascii="Times New Roman" w:hAnsi="Times New Roman" w:cs="Times New Roman" w:eastAsia="Times New Roman" w:hint="default"/>
                <w:sz w:val="18"/>
                <w:szCs w:val="18"/>
              </w:rPr>
            </w:pPr>
            <w:r>
              <w:rPr>
                <w:rFonts w:ascii="Times New Roman"/>
                <w:spacing w:val="-1"/>
                <w:sz w:val="18"/>
              </w:rPr>
              <w:t>0,535.3</w:t>
            </w:r>
          </w:p>
          <w:p>
            <w:pPr>
              <w:pStyle w:val="TableParagraph"/>
              <w:spacing w:line="240" w:lineRule="auto" w:before="109"/>
              <w:ind w:right="98"/>
              <w:jc w:val="right"/>
              <w:rPr>
                <w:rFonts w:ascii="Times New Roman" w:hAnsi="Times New Roman" w:cs="Times New Roman" w:eastAsia="Times New Roman" w:hint="default"/>
                <w:sz w:val="18"/>
                <w:szCs w:val="18"/>
              </w:rPr>
            </w:pPr>
            <w:r>
              <w:rPr>
                <w:rFonts w:ascii="Times New Roman"/>
                <w:w w:val="101"/>
                <w:sz w:val="18"/>
              </w:rPr>
              <w:t>5</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3"/>
              <w:jc w:val="right"/>
              <w:rPr>
                <w:rFonts w:ascii="Times New Roman" w:hAnsi="Times New Roman" w:cs="Times New Roman" w:eastAsia="Times New Roman" w:hint="default"/>
                <w:sz w:val="18"/>
                <w:szCs w:val="18"/>
              </w:rPr>
            </w:pPr>
            <w:r>
              <w:rPr>
                <w:rFonts w:ascii="Times New Roman"/>
                <w:spacing w:val="-1"/>
                <w:sz w:val="18"/>
              </w:rPr>
              <w:t>100.00</w:t>
            </w:r>
          </w:p>
          <w:p>
            <w:pPr>
              <w:pStyle w:val="TableParagraph"/>
              <w:spacing w:line="240" w:lineRule="auto" w:before="105"/>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49" w:right="0"/>
              <w:jc w:val="left"/>
              <w:rPr>
                <w:rFonts w:ascii="Times New Roman" w:hAnsi="Times New Roman" w:cs="Times New Roman" w:eastAsia="Times New Roman" w:hint="default"/>
                <w:sz w:val="18"/>
                <w:szCs w:val="18"/>
              </w:rPr>
            </w:pPr>
            <w:r>
              <w:rPr>
                <w:rFonts w:ascii="Times New Roman"/>
                <w:sz w:val="18"/>
              </w:rPr>
              <w:t>71,178,</w:t>
            </w:r>
          </w:p>
          <w:p>
            <w:pPr>
              <w:pStyle w:val="TableParagraph"/>
              <w:spacing w:line="240" w:lineRule="auto" w:before="105"/>
              <w:ind w:left="192" w:right="0"/>
              <w:jc w:val="left"/>
              <w:rPr>
                <w:rFonts w:ascii="Times New Roman" w:hAnsi="Times New Roman" w:cs="Times New Roman" w:eastAsia="Times New Roman" w:hint="default"/>
                <w:sz w:val="18"/>
                <w:szCs w:val="18"/>
              </w:rPr>
            </w:pPr>
            <w:r>
              <w:rPr>
                <w:rFonts w:ascii="Times New Roman"/>
                <w:sz w:val="18"/>
              </w:rPr>
              <w:t>790.98</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7.56%</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93" w:right="0"/>
              <w:jc w:val="center"/>
              <w:rPr>
                <w:rFonts w:ascii="Times New Roman" w:hAnsi="Times New Roman" w:cs="Times New Roman" w:eastAsia="Times New Roman" w:hint="default"/>
                <w:sz w:val="18"/>
                <w:szCs w:val="18"/>
              </w:rPr>
            </w:pPr>
            <w:r>
              <w:rPr>
                <w:rFonts w:ascii="Times New Roman"/>
                <w:sz w:val="18"/>
              </w:rPr>
              <w:t>869,801,</w:t>
            </w:r>
          </w:p>
          <w:p>
            <w:pPr>
              <w:pStyle w:val="TableParagraph"/>
              <w:spacing w:line="240" w:lineRule="auto" w:before="105"/>
              <w:ind w:left="230" w:right="0"/>
              <w:jc w:val="center"/>
              <w:rPr>
                <w:rFonts w:ascii="Times New Roman" w:hAnsi="Times New Roman" w:cs="Times New Roman" w:eastAsia="Times New Roman" w:hint="default"/>
                <w:sz w:val="18"/>
                <w:szCs w:val="18"/>
              </w:rPr>
            </w:pPr>
            <w:r>
              <w:rPr>
                <w:rFonts w:ascii="Times New Roman"/>
                <w:sz w:val="18"/>
              </w:rPr>
              <w:t>744.37</w:t>
            </w:r>
          </w:p>
        </w:tc>
      </w:tr>
    </w:tbl>
    <w:p>
      <w:pPr>
        <w:pStyle w:val="BodyText"/>
        <w:spacing w:line="240" w:lineRule="auto" w:before="53"/>
        <w:ind w:right="0"/>
        <w:jc w:val="left"/>
      </w:pPr>
      <w:r>
        <w:rPr/>
        <w:t>按单项计提坏账准备：</w:t>
      </w:r>
    </w:p>
    <w:p>
      <w:pPr>
        <w:spacing w:after="0" w:line="240" w:lineRule="auto"/>
        <w:jc w:val="left"/>
        <w:sectPr>
          <w:pgSz w:w="11910" w:h="16840"/>
          <w:pgMar w:header="784" w:footer="1022" w:top="1100" w:bottom="1220" w:left="980" w:right="0"/>
        </w:sectPr>
      </w:pPr>
    </w:p>
    <w:p>
      <w:pPr>
        <w:spacing w:line="240" w:lineRule="auto" w:before="2"/>
        <w:rPr>
          <w:rFonts w:ascii="宋体" w:hAnsi="宋体" w:cs="宋体" w:eastAsia="宋体" w:hint="default"/>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16"/>
        <w:gridCol w:w="1916"/>
        <w:gridCol w:w="1911"/>
        <w:gridCol w:w="1916"/>
        <w:gridCol w:w="1916"/>
      </w:tblGrid>
      <w:tr>
        <w:trPr>
          <w:trHeight w:val="403" w:hRule="exact"/>
        </w:trPr>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765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4" w:hRule="exact"/>
        </w:trPr>
        <w:tc>
          <w:tcPr>
            <w:tcW w:w="1916" w:type="dxa"/>
            <w:vMerge/>
            <w:tcBorders>
              <w:left w:val="single" w:sz="4" w:space="0" w:color="000000"/>
              <w:bottom w:val="single" w:sz="4" w:space="0" w:color="000000"/>
              <w:right w:val="single" w:sz="4" w:space="0" w:color="000000"/>
            </w:tcBorders>
            <w:shd w:val="clear" w:color="auto" w:fill="D2D2D2"/>
          </w:tcPr>
          <w:p>
            <w:pP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0"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0"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5"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5" w:right="0"/>
              <w:jc w:val="left"/>
              <w:rPr>
                <w:rFonts w:ascii="宋体" w:hAnsi="宋体" w:cs="宋体" w:eastAsia="宋体" w:hint="default"/>
                <w:sz w:val="18"/>
                <w:szCs w:val="18"/>
              </w:rPr>
            </w:pPr>
            <w:r>
              <w:rPr>
                <w:rFonts w:ascii="宋体" w:hAnsi="宋体" w:cs="宋体" w:eastAsia="宋体" w:hint="default"/>
                <w:sz w:val="18"/>
                <w:szCs w:val="18"/>
              </w:rPr>
              <w:t>计提理由</w:t>
            </w:r>
          </w:p>
        </w:tc>
      </w:tr>
    </w:tbl>
    <w:p>
      <w:pPr>
        <w:pStyle w:val="BodyText"/>
        <w:spacing w:line="240" w:lineRule="auto" w:before="53"/>
        <w:ind w:right="0"/>
        <w:jc w:val="left"/>
      </w:pPr>
      <w:r>
        <w:rPr/>
        <w:t>按组合计提坏账准备：</w:t>
      </w:r>
    </w:p>
    <w:p>
      <w:pPr>
        <w:pStyle w:val="BodyText"/>
        <w:spacing w:line="240" w:lineRule="auto" w:before="119"/>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391"/>
        <w:gridCol w:w="2396"/>
        <w:gridCol w:w="2391"/>
        <w:gridCol w:w="2391"/>
      </w:tblGrid>
      <w:tr>
        <w:trPr>
          <w:trHeight w:val="403" w:hRule="exact"/>
        </w:trPr>
        <w:tc>
          <w:tcPr>
            <w:tcW w:w="23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7178"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398" w:hRule="exact"/>
        </w:trPr>
        <w:tc>
          <w:tcPr>
            <w:tcW w:w="2391" w:type="dxa"/>
            <w:vMerge/>
            <w:tcBorders>
              <w:left w:val="single" w:sz="4" w:space="0" w:color="000000"/>
              <w:bottom w:val="single" w:sz="4" w:space="0" w:color="000000"/>
              <w:right w:val="single" w:sz="4" w:space="0" w:color="000000"/>
            </w:tcBorders>
            <w:shd w:val="clear" w:color="auto" w:fill="D2D2D2"/>
          </w:tcPr>
          <w:p>
            <w:pP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3"/>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404"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年以内</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442,662,467.79</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22,134,182.55</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5.00%</w:t>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340,604,964.27</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34,060,496.43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10.00%</w:t>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180,855,780.41</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36,171,156.09</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20.00%</w:t>
            </w:r>
          </w:p>
        </w:tc>
      </w:tr>
      <w:tr>
        <w:trPr>
          <w:trHeight w:val="398"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15,525,070.77</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7,762,535.39</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50.00%</w:t>
            </w:r>
          </w:p>
        </w:tc>
      </w:tr>
      <w:tr>
        <w:trPr>
          <w:trHeight w:val="404"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9,951,482.78</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4,975,741.40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50.00%</w:t>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年以上</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3,993,125.22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3,993,125.22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2"/>
                <w:sz w:val="18"/>
              </w:rPr>
              <w:t>100.00%</w:t>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993,592,891.24</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109,097,237.08</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10.98%</w:t>
            </w:r>
          </w:p>
        </w:tc>
      </w:tr>
    </w:tbl>
    <w:p>
      <w:pPr>
        <w:spacing w:after="0" w:line="240" w:lineRule="auto"/>
        <w:jc w:val="right"/>
        <w:rPr>
          <w:rFonts w:ascii="Times New Roman" w:hAnsi="Times New Roman" w:cs="Times New Roman" w:eastAsia="Times New Roman" w:hint="default"/>
          <w:sz w:val="18"/>
          <w:szCs w:val="18"/>
        </w:rPr>
        <w:sectPr>
          <w:pgSz w:w="11910" w:h="16840"/>
          <w:pgMar w:header="784" w:footer="1022" w:top="1100" w:bottom="1220" w:left="980" w:right="0"/>
        </w:sectPr>
      </w:pPr>
    </w:p>
    <w:p>
      <w:pPr>
        <w:pStyle w:val="BodyText"/>
        <w:spacing w:line="357" w:lineRule="auto" w:before="53"/>
        <w:ind w:right="0"/>
        <w:jc w:val="left"/>
      </w:pPr>
      <w:r>
        <w:rPr>
          <w:spacing w:val="-3"/>
        </w:rPr>
        <w:t>确定该组合依据的说明：</w:t>
      </w:r>
      <w:r>
        <w:rPr>
          <w:spacing w:val="-56"/>
        </w:rPr>
        <w:t> </w:t>
      </w:r>
      <w:r>
        <w:rPr>
          <w:spacing w:val="-56"/>
        </w:rPr>
      </w:r>
      <w:r>
        <w:rPr/>
        <w:t>无。</w:t>
      </w:r>
      <w:r>
        <w:rPr>
          <w:spacing w:val="-86"/>
        </w:rPr>
        <w:t> </w:t>
      </w:r>
      <w:r>
        <w:rPr/>
        <w:t>按组合计提坏账准备：</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2"/>
          <w:szCs w:val="12"/>
        </w:rPr>
      </w:pPr>
    </w:p>
    <w:p>
      <w:pPr>
        <w:pStyle w:val="BodyText"/>
        <w:spacing w:line="240" w:lineRule="auto" w:before="0"/>
        <w:ind w:right="0"/>
        <w:jc w:val="left"/>
      </w:pPr>
      <w:r>
        <w:rPr/>
        <w:t>单位：</w:t>
      </w:r>
      <w:r>
        <w:rPr>
          <w:spacing w:val="5"/>
        </w:rPr>
        <w:t> </w:t>
      </w:r>
      <w:r>
        <w:rPr/>
        <w:t>元</w:t>
      </w:r>
    </w:p>
    <w:p>
      <w:pPr>
        <w:spacing w:after="0" w:line="240" w:lineRule="auto"/>
        <w:jc w:val="left"/>
        <w:sectPr>
          <w:type w:val="continuous"/>
          <w:pgSz w:w="11910" w:h="16840"/>
          <w:pgMar w:top="1100" w:bottom="1220" w:left="980" w:right="0"/>
          <w:cols w:num="2" w:equalWidth="0">
            <w:col w:w="2136" w:space="6694"/>
            <w:col w:w="2100"/>
          </w:cols>
        </w:sectPr>
      </w:pP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391"/>
        <w:gridCol w:w="2396"/>
        <w:gridCol w:w="2391"/>
        <w:gridCol w:w="2393"/>
      </w:tblGrid>
      <w:tr>
        <w:trPr>
          <w:trHeight w:val="403" w:hRule="exact"/>
        </w:trPr>
        <w:tc>
          <w:tcPr>
            <w:tcW w:w="23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7181"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3" w:hRule="exact"/>
        </w:trPr>
        <w:tc>
          <w:tcPr>
            <w:tcW w:w="2391" w:type="dxa"/>
            <w:vMerge/>
            <w:tcBorders>
              <w:left w:val="single" w:sz="4" w:space="0" w:color="000000"/>
              <w:bottom w:val="single" w:sz="4" w:space="0" w:color="000000"/>
              <w:right w:val="single" w:sz="4" w:space="0" w:color="000000"/>
            </w:tcBorders>
            <w:shd w:val="clear" w:color="auto" w:fill="D2D2D2"/>
          </w:tcPr>
          <w:p>
            <w:pP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3"/>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 w:right="0"/>
              <w:jc w:val="center"/>
              <w:rPr>
                <w:rFonts w:ascii="宋体" w:hAnsi="宋体" w:cs="宋体" w:eastAsia="宋体" w:hint="default"/>
                <w:sz w:val="18"/>
                <w:szCs w:val="18"/>
              </w:rPr>
            </w:pPr>
            <w:r>
              <w:rPr>
                <w:rFonts w:ascii="宋体" w:hAnsi="宋体" w:cs="宋体" w:eastAsia="宋体" w:hint="default"/>
                <w:sz w:val="18"/>
                <w:szCs w:val="18"/>
              </w:rPr>
              <w:t>计提比例</w:t>
            </w:r>
          </w:p>
        </w:tc>
      </w:tr>
    </w:tbl>
    <w:p>
      <w:pPr>
        <w:spacing w:after="0" w:line="240" w:lineRule="auto"/>
        <w:jc w:val="center"/>
        <w:rPr>
          <w:rFonts w:ascii="宋体" w:hAnsi="宋体" w:cs="宋体" w:eastAsia="宋体" w:hint="default"/>
          <w:sz w:val="18"/>
          <w:szCs w:val="18"/>
        </w:rPr>
        <w:sectPr>
          <w:type w:val="continuous"/>
          <w:pgSz w:w="11910" w:h="16840"/>
          <w:pgMar w:top="1100" w:bottom="1220" w:left="980" w:right="0"/>
        </w:sectPr>
      </w:pPr>
    </w:p>
    <w:p>
      <w:pPr>
        <w:pStyle w:val="BodyText"/>
        <w:spacing w:line="360" w:lineRule="auto" w:before="54"/>
        <w:ind w:right="0"/>
        <w:jc w:val="left"/>
      </w:pPr>
      <w:r>
        <w:rPr>
          <w:spacing w:val="-3"/>
        </w:rPr>
        <w:t>确定该组合依据的说明：</w:t>
      </w:r>
      <w:r>
        <w:rPr>
          <w:spacing w:val="-56"/>
        </w:rPr>
        <w:t> </w:t>
      </w:r>
      <w:r>
        <w:rPr>
          <w:spacing w:val="-56"/>
        </w:rPr>
      </w:r>
      <w:r>
        <w:rPr/>
        <w:t>无。</w:t>
      </w:r>
      <w:r>
        <w:rPr>
          <w:spacing w:val="-86"/>
        </w:rPr>
        <w:t> </w:t>
      </w:r>
      <w:r>
        <w:rPr/>
        <w:t>按组合计提坏账准备：</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2"/>
          <w:szCs w:val="12"/>
        </w:rPr>
      </w:pPr>
    </w:p>
    <w:p>
      <w:pPr>
        <w:pStyle w:val="BodyText"/>
        <w:spacing w:line="240" w:lineRule="auto" w:before="0"/>
        <w:ind w:right="0"/>
        <w:jc w:val="left"/>
      </w:pPr>
      <w:r>
        <w:rPr/>
        <w:t>单位：</w:t>
      </w:r>
      <w:r>
        <w:rPr>
          <w:spacing w:val="5"/>
        </w:rPr>
        <w:t> </w:t>
      </w:r>
      <w:r>
        <w:rPr/>
        <w:t>元</w:t>
      </w:r>
    </w:p>
    <w:p>
      <w:pPr>
        <w:spacing w:after="0" w:line="240" w:lineRule="auto"/>
        <w:jc w:val="left"/>
        <w:sectPr>
          <w:type w:val="continuous"/>
          <w:pgSz w:w="11910" w:h="16840"/>
          <w:pgMar w:top="1100" w:bottom="1220" w:left="980" w:right="0"/>
          <w:cols w:num="2" w:equalWidth="0">
            <w:col w:w="2136" w:space="6694"/>
            <w:col w:w="2100"/>
          </w:cols>
        </w:sectPr>
      </w:pP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391"/>
        <w:gridCol w:w="2396"/>
        <w:gridCol w:w="2391"/>
        <w:gridCol w:w="2393"/>
      </w:tblGrid>
      <w:tr>
        <w:trPr>
          <w:trHeight w:val="399" w:hRule="exact"/>
        </w:trPr>
        <w:tc>
          <w:tcPr>
            <w:tcW w:w="23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7181"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6"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3" w:hRule="exact"/>
        </w:trPr>
        <w:tc>
          <w:tcPr>
            <w:tcW w:w="2391" w:type="dxa"/>
            <w:vMerge/>
            <w:tcBorders>
              <w:left w:val="single" w:sz="4" w:space="0" w:color="000000"/>
              <w:bottom w:val="single" w:sz="4" w:space="0" w:color="000000"/>
              <w:right w:val="single" w:sz="4" w:space="0" w:color="000000"/>
            </w:tcBorders>
            <w:shd w:val="clear" w:color="auto" w:fill="D2D2D2"/>
          </w:tcPr>
          <w:p>
            <w:pP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3"/>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 w:right="0"/>
              <w:jc w:val="center"/>
              <w:rPr>
                <w:rFonts w:ascii="宋体" w:hAnsi="宋体" w:cs="宋体" w:eastAsia="宋体" w:hint="default"/>
                <w:sz w:val="18"/>
                <w:szCs w:val="18"/>
              </w:rPr>
            </w:pPr>
            <w:r>
              <w:rPr>
                <w:rFonts w:ascii="宋体" w:hAnsi="宋体" w:cs="宋体" w:eastAsia="宋体" w:hint="default"/>
                <w:sz w:val="18"/>
                <w:szCs w:val="18"/>
              </w:rPr>
              <w:t>计提比例</w:t>
            </w:r>
          </w:p>
        </w:tc>
      </w:tr>
    </w:tbl>
    <w:p>
      <w:pPr>
        <w:pStyle w:val="BodyText"/>
        <w:spacing w:line="362" w:lineRule="auto" w:before="53"/>
        <w:ind w:right="0"/>
        <w:jc w:val="left"/>
      </w:pPr>
      <w:r>
        <w:rPr>
          <w:spacing w:val="-3"/>
        </w:rPr>
        <w:t>确定该组合依据的说明：</w:t>
      </w:r>
      <w:r>
        <w:rPr>
          <w:spacing w:val="-56"/>
        </w:rPr>
        <w:t> </w:t>
      </w:r>
      <w:r>
        <w:rPr>
          <w:spacing w:val="-56"/>
        </w:rPr>
      </w:r>
      <w:r>
        <w:rPr>
          <w:spacing w:val="-3"/>
        </w:rPr>
        <w:t>如是按照预期信用损失一般模型计提应收账款坏账准备，请参照其他应收款的披露方式披露坏账准备的相关信息：</w:t>
      </w:r>
    </w:p>
    <w:p>
      <w:pPr>
        <w:pStyle w:val="BodyText"/>
        <w:spacing w:line="362" w:lineRule="auto" w:before="23"/>
        <w:ind w:right="9217"/>
        <w:jc w:val="left"/>
      </w:pPr>
      <w:r>
        <w:rPr/>
        <w:t>□ </w:t>
      </w:r>
      <w:r>
        <w:rPr>
          <w:spacing w:val="-3"/>
        </w:rPr>
        <w:t>适用 </w:t>
      </w:r>
      <w:r>
        <w:rPr/>
        <w:t>√</w:t>
      </w:r>
      <w:r>
        <w:rPr>
          <w:spacing w:val="13"/>
        </w:rPr>
        <w:t> </w:t>
      </w:r>
      <w:r>
        <w:rPr/>
        <w:t>不适用</w:t>
      </w:r>
      <w:r>
        <w:rPr>
          <w:w w:val="101"/>
        </w:rPr>
        <w:t> </w:t>
      </w:r>
      <w:r>
        <w:rPr/>
        <w:t>按账龄披露</w:t>
      </w:r>
    </w:p>
    <w:p>
      <w:pPr>
        <w:pStyle w:val="BodyText"/>
        <w:spacing w:line="240" w:lineRule="auto" w:before="23"/>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4788"/>
        <w:gridCol w:w="4782"/>
      </w:tblGrid>
      <w:tr>
        <w:trPr>
          <w:trHeight w:val="398"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47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账面余额</w:t>
            </w:r>
          </w:p>
        </w:tc>
      </w:tr>
      <w:tr>
        <w:trPr>
          <w:trHeight w:val="408"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年以内（含</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pacing w:val="-5"/>
                <w:sz w:val="18"/>
                <w:szCs w:val="18"/>
              </w:rPr>
              <w:t>年）</w:t>
            </w:r>
            <w:r>
              <w:rPr>
                <w:rFonts w:ascii="宋体" w:hAnsi="宋体" w:cs="宋体" w:eastAsia="宋体" w:hint="default"/>
                <w:sz w:val="18"/>
                <w:szCs w:val="18"/>
              </w:rPr>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442,662,467.79</w:t>
            </w:r>
          </w:p>
        </w:tc>
      </w:tr>
      <w:tr>
        <w:trPr>
          <w:trHeight w:val="399" w:hRule="exact"/>
        </w:trPr>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年以内</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442,662,467.79</w:t>
            </w:r>
          </w:p>
        </w:tc>
      </w:tr>
      <w:tr>
        <w:trPr>
          <w:trHeight w:val="403"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年</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340,604,964.27</w:t>
            </w:r>
          </w:p>
        </w:tc>
      </w:tr>
      <w:tr>
        <w:trPr>
          <w:trHeight w:val="403"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年</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180,855,780.41</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100" w:bottom="1220" w:left="980" w:right="0"/>
        </w:sectPr>
      </w:pPr>
    </w:p>
    <w:p>
      <w:pPr>
        <w:spacing w:line="240" w:lineRule="auto" w:before="7"/>
        <w:rPr>
          <w:rFonts w:ascii="宋体" w:hAnsi="宋体" w:cs="宋体" w:eastAsia="宋体" w:hint="default"/>
          <w:sz w:val="25"/>
          <w:szCs w:val="25"/>
        </w:rPr>
      </w:pPr>
    </w:p>
    <w:tbl>
      <w:tblPr>
        <w:tblW w:w="0" w:type="auto"/>
        <w:jc w:val="left"/>
        <w:tblInd w:w="148" w:type="dxa"/>
        <w:tblLayout w:type="fixed"/>
        <w:tblCellMar>
          <w:top w:w="0" w:type="dxa"/>
          <w:left w:w="0" w:type="dxa"/>
          <w:bottom w:w="0" w:type="dxa"/>
          <w:right w:w="0" w:type="dxa"/>
        </w:tblCellMar>
        <w:tblLook w:val="01E0"/>
      </w:tblPr>
      <w:tblGrid>
        <w:gridCol w:w="4788"/>
        <w:gridCol w:w="4782"/>
      </w:tblGrid>
      <w:tr>
        <w:trPr>
          <w:trHeight w:val="403"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年以上</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29,469,678.77</w:t>
            </w:r>
          </w:p>
        </w:tc>
      </w:tr>
      <w:tr>
        <w:trPr>
          <w:trHeight w:val="401"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3810"/>
              <w:jc w:val="right"/>
              <w:rPr>
                <w:rFonts w:ascii="宋体" w:hAnsi="宋体" w:cs="宋体" w:eastAsia="宋体" w:hint="default"/>
                <w:sz w:val="18"/>
                <w:szCs w:val="18"/>
              </w:rPr>
            </w:pPr>
            <w:r>
              <w:rPr>
                <w:rFonts w:ascii="Times New Roman" w:hAnsi="Times New Roman" w:cs="Times New Roman" w:eastAsia="Times New Roman" w:hint="default"/>
                <w:sz w:val="18"/>
                <w:szCs w:val="18"/>
              </w:rPr>
              <w:t>3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年</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15,525,070.77</w:t>
            </w:r>
          </w:p>
        </w:tc>
      </w:tr>
      <w:tr>
        <w:trPr>
          <w:trHeight w:val="401"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right="3810"/>
              <w:jc w:val="right"/>
              <w:rPr>
                <w:rFonts w:ascii="宋体" w:hAnsi="宋体" w:cs="宋体" w:eastAsia="宋体" w:hint="default"/>
                <w:sz w:val="18"/>
                <w:szCs w:val="18"/>
              </w:rPr>
            </w:pPr>
            <w:r>
              <w:rPr>
                <w:rFonts w:ascii="Times New Roman" w:hAnsi="Times New Roman" w:cs="Times New Roman" w:eastAsia="Times New Roman" w:hint="default"/>
                <w:sz w:val="18"/>
                <w:szCs w:val="18"/>
              </w:rPr>
              <w:t>4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年</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94"/>
              <w:jc w:val="right"/>
              <w:rPr>
                <w:rFonts w:ascii="Times New Roman" w:hAnsi="Times New Roman" w:cs="Times New Roman" w:eastAsia="Times New Roman" w:hint="default"/>
                <w:sz w:val="18"/>
                <w:szCs w:val="18"/>
              </w:rPr>
            </w:pPr>
            <w:r>
              <w:rPr>
                <w:rFonts w:ascii="Times New Roman"/>
                <w:spacing w:val="-1"/>
                <w:sz w:val="18"/>
              </w:rPr>
              <w:t>9,951,482.78</w:t>
            </w:r>
          </w:p>
        </w:tc>
      </w:tr>
      <w:tr>
        <w:trPr>
          <w:trHeight w:val="403"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3811"/>
              <w:jc w:val="righ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3,993,125.22</w:t>
            </w:r>
          </w:p>
        </w:tc>
      </w:tr>
      <w:tr>
        <w:trPr>
          <w:trHeight w:val="403"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993,592,891.24</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2）本期计提、收回或转回的坏账准备情况" w:id="251"/>
      <w:bookmarkEnd w:id="251"/>
      <w:r>
        <w:rPr>
          <w:b w:val="0"/>
          <w:bCs w:val="0"/>
        </w:rPr>
      </w:r>
      <w:r>
        <w:rPr/>
        <w:t>（</w:t>
      </w:r>
      <w:r>
        <w:rPr>
          <w:rFonts w:ascii="Times New Roman" w:hAnsi="Times New Roman" w:cs="Times New Roman" w:eastAsia="Times New Roman" w:hint="default"/>
        </w:rPr>
        <w:t>2</w:t>
      </w:r>
      <w:r>
        <w:rPr/>
        <w:t>）本期计提、收回或转回的坏账准备情况</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right="0"/>
        <w:jc w:val="left"/>
      </w:pPr>
      <w:r>
        <w:rPr>
          <w:spacing w:val="-3"/>
        </w:rPr>
        <w:t>本期计提坏账准备情况：</w:t>
      </w:r>
    </w:p>
    <w:p>
      <w:pPr>
        <w:pStyle w:val="BodyText"/>
        <w:spacing w:line="240" w:lineRule="auto" w:before="115"/>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369"/>
        <w:gridCol w:w="1368"/>
        <w:gridCol w:w="1369"/>
        <w:gridCol w:w="1368"/>
        <w:gridCol w:w="1364"/>
        <w:gridCol w:w="1369"/>
        <w:gridCol w:w="1369"/>
      </w:tblGrid>
      <w:tr>
        <w:trPr>
          <w:trHeight w:val="403" w:hRule="exact"/>
        </w:trPr>
        <w:tc>
          <w:tcPr>
            <w:tcW w:w="136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321"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546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本期变动金额</w:t>
            </w:r>
          </w:p>
        </w:tc>
        <w:tc>
          <w:tcPr>
            <w:tcW w:w="136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32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98" w:hRule="exact"/>
        </w:trPr>
        <w:tc>
          <w:tcPr>
            <w:tcW w:w="1369"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计提</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30" w:right="0"/>
              <w:jc w:val="left"/>
              <w:rPr>
                <w:rFonts w:ascii="宋体" w:hAnsi="宋体" w:cs="宋体" w:eastAsia="宋体" w:hint="default"/>
                <w:sz w:val="18"/>
                <w:szCs w:val="18"/>
              </w:rPr>
            </w:pPr>
            <w:r>
              <w:rPr>
                <w:rFonts w:ascii="宋体" w:hAnsi="宋体" w:cs="宋体" w:eastAsia="宋体" w:hint="default"/>
                <w:sz w:val="18"/>
                <w:szCs w:val="18"/>
              </w:rPr>
              <w:t>收回或转回</w:t>
            </w:r>
          </w:p>
        </w:tc>
        <w:tc>
          <w:tcPr>
            <w:tcW w:w="13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94" w:right="0"/>
              <w:jc w:val="left"/>
              <w:rPr>
                <w:rFonts w:ascii="宋体" w:hAnsi="宋体" w:cs="宋体" w:eastAsia="宋体" w:hint="default"/>
                <w:sz w:val="18"/>
                <w:szCs w:val="18"/>
              </w:rPr>
            </w:pPr>
            <w:r>
              <w:rPr>
                <w:rFonts w:ascii="宋体" w:hAnsi="宋体" w:cs="宋体" w:eastAsia="宋体" w:hint="default"/>
                <w:sz w:val="18"/>
                <w:szCs w:val="18"/>
              </w:rPr>
              <w:t>核销</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369" w:type="dxa"/>
            <w:vMerge/>
            <w:tcBorders>
              <w:left w:val="single" w:sz="4" w:space="0" w:color="000000"/>
              <w:bottom w:val="single" w:sz="4" w:space="0" w:color="000000"/>
              <w:right w:val="single" w:sz="4" w:space="0" w:color="000000"/>
            </w:tcBorders>
            <w:shd w:val="clear" w:color="auto" w:fill="D2D2D2"/>
          </w:tcPr>
          <w:p>
            <w:pPr/>
          </w:p>
        </w:tc>
      </w:tr>
      <w:tr>
        <w:trPr>
          <w:trHeight w:val="404"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账龄组合</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71,178,790.98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37,918,446.10</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533" w:right="0"/>
              <w:jc w:val="left"/>
              <w:rPr>
                <w:rFonts w:ascii="Times New Roman" w:hAnsi="Times New Roman" w:cs="Times New Roman" w:eastAsia="Times New Roman" w:hint="default"/>
                <w:sz w:val="18"/>
                <w:szCs w:val="18"/>
              </w:rPr>
            </w:pPr>
            <w:r>
              <w:rPr>
                <w:rFonts w:ascii="Times New Roman"/>
                <w:sz w:val="18"/>
              </w:rPr>
              <w:t>81,120.77</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38" w:right="0"/>
              <w:jc w:val="center"/>
              <w:rPr>
                <w:rFonts w:ascii="Times New Roman" w:hAnsi="Times New Roman" w:cs="Times New Roman" w:eastAsia="Times New Roman" w:hint="default"/>
                <w:sz w:val="18"/>
                <w:szCs w:val="18"/>
              </w:rPr>
            </w:pPr>
            <w:r>
              <w:rPr>
                <w:rFonts w:ascii="Times New Roman"/>
                <w:sz w:val="18"/>
              </w:rPr>
              <w:t>109,097,237.08</w:t>
            </w: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71,178,790.98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37,918,446.10</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533" w:right="0"/>
              <w:jc w:val="left"/>
              <w:rPr>
                <w:rFonts w:ascii="Times New Roman" w:hAnsi="Times New Roman" w:cs="Times New Roman" w:eastAsia="Times New Roman" w:hint="default"/>
                <w:sz w:val="18"/>
                <w:szCs w:val="18"/>
              </w:rPr>
            </w:pPr>
            <w:r>
              <w:rPr>
                <w:rFonts w:ascii="Times New Roman"/>
                <w:sz w:val="18"/>
              </w:rPr>
              <w:t>81,120.77</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38" w:right="0"/>
              <w:jc w:val="center"/>
              <w:rPr>
                <w:rFonts w:ascii="Times New Roman" w:hAnsi="Times New Roman" w:cs="Times New Roman" w:eastAsia="Times New Roman" w:hint="default"/>
                <w:sz w:val="18"/>
                <w:szCs w:val="18"/>
              </w:rPr>
            </w:pPr>
            <w:r>
              <w:rPr>
                <w:rFonts w:ascii="Times New Roman"/>
                <w:sz w:val="18"/>
              </w:rPr>
              <w:t>109,097,237.08</w:t>
            </w:r>
          </w:p>
        </w:tc>
      </w:tr>
    </w:tbl>
    <w:p>
      <w:pPr>
        <w:pStyle w:val="BodyText"/>
        <w:spacing w:line="240" w:lineRule="auto" w:before="53"/>
        <w:ind w:right="0"/>
        <w:jc w:val="left"/>
      </w:pPr>
      <w:r>
        <w:rPr>
          <w:spacing w:val="-3"/>
        </w:rPr>
        <w:t>其中本期坏账准备收回或转回金额重要的：</w:t>
      </w:r>
    </w:p>
    <w:p>
      <w:pPr>
        <w:pStyle w:val="BodyText"/>
        <w:spacing w:line="240" w:lineRule="auto" w:before="119"/>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965" w:right="0"/>
              <w:jc w:val="left"/>
              <w:rPr>
                <w:rFonts w:ascii="宋体" w:hAnsi="宋体" w:cs="宋体" w:eastAsia="宋体" w:hint="default"/>
                <w:sz w:val="18"/>
                <w:szCs w:val="18"/>
              </w:rPr>
            </w:pPr>
            <w:r>
              <w:rPr>
                <w:rFonts w:ascii="宋体" w:hAnsi="宋体" w:cs="宋体" w:eastAsia="宋体" w:hint="default"/>
                <w:spacing w:val="-3"/>
                <w:sz w:val="18"/>
                <w:szCs w:val="18"/>
              </w:rPr>
              <w:t>收回或转回金额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9" w:right="0"/>
              <w:jc w:val="center"/>
              <w:rPr>
                <w:rFonts w:ascii="宋体" w:hAnsi="宋体" w:cs="宋体" w:eastAsia="宋体" w:hint="default"/>
                <w:sz w:val="18"/>
                <w:szCs w:val="18"/>
              </w:rPr>
            </w:pPr>
            <w:r>
              <w:rPr>
                <w:rFonts w:ascii="宋体" w:hAnsi="宋体" w:cs="宋体" w:eastAsia="宋体" w:hint="default"/>
                <w:sz w:val="18"/>
                <w:szCs w:val="18"/>
              </w:rPr>
              <w:t>收回方式</w:t>
            </w:r>
          </w:p>
        </w:tc>
      </w:tr>
    </w:tbl>
    <w:p>
      <w:pPr>
        <w:pStyle w:val="BodyText"/>
        <w:spacing w:line="240" w:lineRule="auto" w:before="10"/>
        <w:ind w:right="0"/>
        <w:jc w:val="left"/>
      </w:pPr>
      <w:r>
        <w:rPr/>
        <w:t>无。</w:t>
      </w:r>
    </w:p>
    <w:p>
      <w:pPr>
        <w:spacing w:line="240" w:lineRule="auto" w:before="0"/>
        <w:rPr>
          <w:rFonts w:ascii="宋体" w:hAnsi="宋体" w:cs="宋体" w:eastAsia="宋体" w:hint="default"/>
          <w:sz w:val="18"/>
          <w:szCs w:val="18"/>
        </w:rPr>
      </w:pPr>
    </w:p>
    <w:p>
      <w:pPr>
        <w:pStyle w:val="Heading4"/>
        <w:spacing w:line="240" w:lineRule="auto" w:before="118"/>
        <w:ind w:right="0"/>
        <w:jc w:val="left"/>
        <w:rPr>
          <w:b w:val="0"/>
          <w:bCs w:val="0"/>
        </w:rPr>
      </w:pPr>
      <w:bookmarkStart w:name="（3）本期实际核销的应收账款情况" w:id="252"/>
      <w:bookmarkEnd w:id="252"/>
      <w:r>
        <w:rPr>
          <w:b w:val="0"/>
          <w:bCs w:val="0"/>
        </w:rPr>
      </w:r>
      <w:r>
        <w:rPr/>
        <w:t>（</w:t>
      </w:r>
      <w:r>
        <w:rPr>
          <w:rFonts w:ascii="Times New Roman" w:hAnsi="Times New Roman" w:cs="Times New Roman" w:eastAsia="Times New Roman" w:hint="default"/>
        </w:rPr>
        <w:t>3</w:t>
      </w:r>
      <w:r>
        <w:rPr/>
        <w:t>）本期实际核销的应收账款情况</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4788"/>
        <w:gridCol w:w="4782"/>
      </w:tblGrid>
      <w:tr>
        <w:trPr>
          <w:trHeight w:val="403"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7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核销金额</w:t>
            </w:r>
          </w:p>
        </w:tc>
      </w:tr>
      <w:tr>
        <w:trPr>
          <w:trHeight w:val="403" w:hRule="exact"/>
        </w:trPr>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81,120.77</w:t>
            </w:r>
          </w:p>
        </w:tc>
      </w:tr>
    </w:tbl>
    <w:p>
      <w:pPr>
        <w:pStyle w:val="BodyText"/>
        <w:spacing w:line="240" w:lineRule="auto" w:before="53"/>
        <w:ind w:right="0"/>
        <w:jc w:val="left"/>
      </w:pPr>
      <w:r>
        <w:rPr>
          <w:spacing w:val="-3"/>
        </w:rPr>
        <w:t>其中重要的应收账款核销情况：</w:t>
      </w:r>
    </w:p>
    <w:p>
      <w:pPr>
        <w:pStyle w:val="BodyText"/>
        <w:spacing w:line="240" w:lineRule="auto" w:before="119"/>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599"/>
        <w:gridCol w:w="1594"/>
        <w:gridCol w:w="1595"/>
        <w:gridCol w:w="1594"/>
        <w:gridCol w:w="1594"/>
        <w:gridCol w:w="1594"/>
      </w:tblGrid>
      <w:tr>
        <w:trPr>
          <w:trHeight w:val="715" w:hRule="exact"/>
        </w:trPr>
        <w:tc>
          <w:tcPr>
            <w:tcW w:w="1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36"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9" w:right="0"/>
              <w:jc w:val="left"/>
              <w:rPr>
                <w:rFonts w:ascii="宋体" w:hAnsi="宋体" w:cs="宋体" w:eastAsia="宋体" w:hint="default"/>
                <w:sz w:val="18"/>
                <w:szCs w:val="18"/>
              </w:rPr>
            </w:pPr>
            <w:r>
              <w:rPr>
                <w:rFonts w:ascii="宋体" w:hAnsi="宋体" w:cs="宋体" w:eastAsia="宋体" w:hint="default"/>
                <w:sz w:val="18"/>
                <w:szCs w:val="18"/>
              </w:rPr>
              <w:t>应收账款性质</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27"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27"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58" w:right="0"/>
              <w:jc w:val="left"/>
              <w:rPr>
                <w:rFonts w:ascii="宋体" w:hAnsi="宋体" w:cs="宋体" w:eastAsia="宋体" w:hint="default"/>
                <w:sz w:val="18"/>
                <w:szCs w:val="18"/>
              </w:rPr>
            </w:pPr>
            <w:r>
              <w:rPr>
                <w:rFonts w:ascii="宋体" w:hAnsi="宋体" w:cs="宋体" w:eastAsia="宋体" w:hint="default"/>
                <w:spacing w:val="-3"/>
                <w:sz w:val="18"/>
                <w:szCs w:val="18"/>
              </w:rPr>
              <w:t>履行的核销程序</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432" w:right="156" w:hanging="270"/>
              <w:jc w:val="left"/>
              <w:rPr>
                <w:rFonts w:ascii="宋体" w:hAnsi="宋体" w:cs="宋体" w:eastAsia="宋体" w:hint="default"/>
                <w:sz w:val="18"/>
                <w:szCs w:val="18"/>
              </w:rPr>
            </w:pPr>
            <w:r>
              <w:rPr>
                <w:rFonts w:ascii="宋体" w:hAnsi="宋体" w:cs="宋体" w:eastAsia="宋体" w:hint="default"/>
                <w:spacing w:val="-3"/>
                <w:sz w:val="18"/>
                <w:szCs w:val="18"/>
              </w:rPr>
              <w:t>款项是否由关联</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交易产生</w:t>
            </w:r>
          </w:p>
        </w:tc>
      </w:tr>
    </w:tbl>
    <w:p>
      <w:pPr>
        <w:pStyle w:val="BodyText"/>
        <w:spacing w:line="352" w:lineRule="auto" w:before="53"/>
        <w:ind w:right="9020"/>
        <w:jc w:val="left"/>
      </w:pPr>
      <w:r>
        <w:rPr>
          <w:spacing w:val="-3"/>
        </w:rPr>
        <w:t>应收账款核销说明：</w:t>
      </w:r>
      <w:r>
        <w:rPr>
          <w:spacing w:val="-62"/>
        </w:rPr>
        <w:t> </w:t>
      </w:r>
      <w:r>
        <w:rPr>
          <w:spacing w:val="-62"/>
        </w:rPr>
      </w:r>
      <w:r>
        <w:rPr/>
        <w:t>无。</w:t>
      </w:r>
    </w:p>
    <w:p>
      <w:pPr>
        <w:spacing w:line="240" w:lineRule="auto" w:before="7"/>
        <w:rPr>
          <w:rFonts w:ascii="宋体" w:hAnsi="宋体" w:cs="宋体" w:eastAsia="宋体" w:hint="default"/>
          <w:sz w:val="20"/>
          <w:szCs w:val="20"/>
        </w:rPr>
      </w:pPr>
    </w:p>
    <w:p>
      <w:pPr>
        <w:pStyle w:val="Heading4"/>
        <w:spacing w:line="240" w:lineRule="auto"/>
        <w:ind w:right="0"/>
        <w:jc w:val="left"/>
        <w:rPr>
          <w:b w:val="0"/>
          <w:bCs w:val="0"/>
        </w:rPr>
      </w:pPr>
      <w:bookmarkStart w:name="（4）按欠款方归集的期末余额前五名的应收账款情况" w:id="253"/>
      <w:bookmarkEnd w:id="253"/>
      <w:r>
        <w:rPr>
          <w:b w:val="0"/>
          <w:bCs w:val="0"/>
        </w:rPr>
      </w:r>
      <w:r>
        <w:rPr/>
        <w:t>（</w:t>
      </w:r>
      <w:r>
        <w:rPr>
          <w:rFonts w:ascii="Times New Roman" w:hAnsi="Times New Roman" w:cs="Times New Roman" w:eastAsia="Times New Roman" w:hint="default"/>
        </w:rPr>
        <w:t>4</w:t>
      </w:r>
      <w:r>
        <w:rPr/>
        <w:t>）按欠款方归集的期末余额前五名的应收账款情况</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83"/>
        <w:gridCol w:w="2531"/>
        <w:gridCol w:w="2526"/>
        <w:gridCol w:w="2531"/>
      </w:tblGrid>
      <w:tr>
        <w:trPr>
          <w:trHeight w:val="716" w:hRule="exact"/>
        </w:trPr>
        <w:tc>
          <w:tcPr>
            <w:tcW w:w="19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628"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25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537" w:right="0"/>
              <w:jc w:val="left"/>
              <w:rPr>
                <w:rFonts w:ascii="宋体" w:hAnsi="宋体" w:cs="宋体" w:eastAsia="宋体" w:hint="default"/>
                <w:sz w:val="18"/>
                <w:szCs w:val="18"/>
              </w:rPr>
            </w:pPr>
            <w:r>
              <w:rPr>
                <w:rFonts w:ascii="宋体" w:hAnsi="宋体" w:cs="宋体" w:eastAsia="宋体" w:hint="default"/>
                <w:sz w:val="18"/>
                <w:szCs w:val="18"/>
              </w:rPr>
              <w:t>应收账款期末余额</w:t>
            </w:r>
          </w:p>
        </w:tc>
        <w:tc>
          <w:tcPr>
            <w:tcW w:w="25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989" w:right="170" w:hanging="812"/>
              <w:jc w:val="left"/>
              <w:rPr>
                <w:rFonts w:ascii="宋体" w:hAnsi="宋体" w:cs="宋体" w:eastAsia="宋体" w:hint="default"/>
                <w:sz w:val="18"/>
                <w:szCs w:val="18"/>
              </w:rPr>
            </w:pPr>
            <w:r>
              <w:rPr>
                <w:rFonts w:ascii="宋体" w:hAnsi="宋体" w:cs="宋体" w:eastAsia="宋体" w:hint="default"/>
                <w:spacing w:val="-3"/>
                <w:sz w:val="18"/>
                <w:szCs w:val="18"/>
              </w:rPr>
              <w:t>占应收账款期末余额合计数</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的比例</w:t>
            </w:r>
          </w:p>
        </w:tc>
        <w:tc>
          <w:tcPr>
            <w:tcW w:w="25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542" w:right="0"/>
              <w:jc w:val="left"/>
              <w:rPr>
                <w:rFonts w:ascii="宋体" w:hAnsi="宋体" w:cs="宋体" w:eastAsia="宋体" w:hint="default"/>
                <w:sz w:val="18"/>
                <w:szCs w:val="18"/>
              </w:rPr>
            </w:pPr>
            <w:r>
              <w:rPr>
                <w:rFonts w:ascii="宋体" w:hAnsi="宋体" w:cs="宋体" w:eastAsia="宋体" w:hint="default"/>
                <w:sz w:val="18"/>
                <w:szCs w:val="18"/>
              </w:rPr>
              <w:t>坏账准备期末余额</w:t>
            </w:r>
          </w:p>
        </w:tc>
      </w:tr>
      <w:tr>
        <w:trPr>
          <w:trHeight w:val="398" w:hRule="exact"/>
        </w:trPr>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2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119,541,007.89</w:t>
            </w:r>
          </w:p>
        </w:tc>
        <w:tc>
          <w:tcPr>
            <w:tcW w:w="2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12.03%</w:t>
            </w:r>
          </w:p>
        </w:tc>
        <w:tc>
          <w:tcPr>
            <w:tcW w:w="2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10,364,699.97</w:t>
            </w:r>
          </w:p>
        </w:tc>
      </w:tr>
      <w:tr>
        <w:trPr>
          <w:trHeight w:val="403" w:hRule="exact"/>
        </w:trPr>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2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45,157,964.73</w:t>
            </w:r>
          </w:p>
        </w:tc>
        <w:tc>
          <w:tcPr>
            <w:tcW w:w="2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5"/>
              <w:jc w:val="right"/>
              <w:rPr>
                <w:rFonts w:ascii="Times New Roman" w:hAnsi="Times New Roman" w:cs="Times New Roman" w:eastAsia="Times New Roman" w:hint="default"/>
                <w:sz w:val="18"/>
                <w:szCs w:val="18"/>
              </w:rPr>
            </w:pPr>
            <w:r>
              <w:rPr>
                <w:rFonts w:ascii="Times New Roman"/>
                <w:spacing w:val="-1"/>
                <w:sz w:val="18"/>
              </w:rPr>
              <w:t>4.54%</w:t>
            </w:r>
          </w:p>
        </w:tc>
        <w:tc>
          <w:tcPr>
            <w:tcW w:w="2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4,383,945.83</w:t>
            </w:r>
          </w:p>
        </w:tc>
      </w:tr>
    </w:tbl>
    <w:p>
      <w:pPr>
        <w:spacing w:after="0" w:line="240" w:lineRule="auto"/>
        <w:jc w:val="right"/>
        <w:rPr>
          <w:rFonts w:ascii="Times New Roman" w:hAnsi="Times New Roman" w:cs="Times New Roman" w:eastAsia="Times New Roman" w:hint="default"/>
          <w:sz w:val="18"/>
          <w:szCs w:val="18"/>
        </w:rPr>
        <w:sectPr>
          <w:pgSz w:w="11910" w:h="16840"/>
          <w:pgMar w:header="784" w:footer="1022" w:top="1100" w:bottom="1220" w:left="980" w:right="0"/>
        </w:sectPr>
      </w:pPr>
    </w:p>
    <w:p>
      <w:pPr>
        <w:spacing w:line="240" w:lineRule="auto" w:before="7"/>
        <w:rPr>
          <w:rFonts w:ascii="宋体" w:hAnsi="宋体" w:cs="宋体" w:eastAsia="宋体" w:hint="default"/>
          <w:sz w:val="25"/>
          <w:szCs w:val="25"/>
        </w:rPr>
      </w:pPr>
    </w:p>
    <w:tbl>
      <w:tblPr>
        <w:tblW w:w="0" w:type="auto"/>
        <w:jc w:val="left"/>
        <w:tblInd w:w="148" w:type="dxa"/>
        <w:tblLayout w:type="fixed"/>
        <w:tblCellMar>
          <w:top w:w="0" w:type="dxa"/>
          <w:left w:w="0" w:type="dxa"/>
          <w:bottom w:w="0" w:type="dxa"/>
          <w:right w:w="0" w:type="dxa"/>
        </w:tblCellMar>
        <w:tblLook w:val="01E0"/>
      </w:tblPr>
      <w:tblGrid>
        <w:gridCol w:w="1983"/>
        <w:gridCol w:w="2531"/>
        <w:gridCol w:w="2526"/>
        <w:gridCol w:w="2531"/>
      </w:tblGrid>
      <w:tr>
        <w:trPr>
          <w:trHeight w:val="403" w:hRule="exact"/>
        </w:trPr>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2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43,942,012.56</w:t>
            </w:r>
          </w:p>
        </w:tc>
        <w:tc>
          <w:tcPr>
            <w:tcW w:w="2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4.43%</w:t>
            </w:r>
          </w:p>
        </w:tc>
        <w:tc>
          <w:tcPr>
            <w:tcW w:w="2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3,696,398.26</w:t>
            </w:r>
          </w:p>
        </w:tc>
      </w:tr>
      <w:tr>
        <w:trPr>
          <w:trHeight w:val="398" w:hRule="exact"/>
        </w:trPr>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2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36,149,543.01</w:t>
            </w:r>
          </w:p>
        </w:tc>
        <w:tc>
          <w:tcPr>
            <w:tcW w:w="2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3.64%</w:t>
            </w:r>
          </w:p>
        </w:tc>
        <w:tc>
          <w:tcPr>
            <w:tcW w:w="2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3,614,954.30</w:t>
            </w:r>
          </w:p>
        </w:tc>
      </w:tr>
      <w:tr>
        <w:trPr>
          <w:trHeight w:val="404" w:hRule="exact"/>
        </w:trPr>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2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29,952,339.58</w:t>
            </w:r>
          </w:p>
        </w:tc>
        <w:tc>
          <w:tcPr>
            <w:tcW w:w="2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5"/>
              <w:jc w:val="right"/>
              <w:rPr>
                <w:rFonts w:ascii="Times New Roman" w:hAnsi="Times New Roman" w:cs="Times New Roman" w:eastAsia="Times New Roman" w:hint="default"/>
                <w:sz w:val="18"/>
                <w:szCs w:val="18"/>
              </w:rPr>
            </w:pPr>
            <w:r>
              <w:rPr>
                <w:rFonts w:ascii="Times New Roman"/>
                <w:spacing w:val="-1"/>
                <w:sz w:val="18"/>
              </w:rPr>
              <w:t>3.01%</w:t>
            </w:r>
          </w:p>
        </w:tc>
        <w:tc>
          <w:tcPr>
            <w:tcW w:w="2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8,178,345.84</w:t>
            </w:r>
          </w:p>
        </w:tc>
      </w:tr>
      <w:tr>
        <w:trPr>
          <w:trHeight w:val="403" w:hRule="exact"/>
        </w:trPr>
        <w:tc>
          <w:tcPr>
            <w:tcW w:w="19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274,742,867.77</w:t>
            </w:r>
          </w:p>
        </w:tc>
        <w:tc>
          <w:tcPr>
            <w:tcW w:w="2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27.65%</w:t>
            </w:r>
          </w:p>
        </w:tc>
        <w:tc>
          <w:tcPr>
            <w:tcW w:w="2531" w:type="dxa"/>
            <w:tcBorders>
              <w:top w:val="single" w:sz="4" w:space="0" w:color="000000"/>
              <w:left w:val="single" w:sz="4" w:space="0" w:color="000000"/>
              <w:bottom w:val="single" w:sz="4" w:space="0" w:color="000000"/>
              <w:right w:val="single" w:sz="4" w:space="0" w:color="000000"/>
            </w:tcBorders>
            <w:shd w:val="clear" w:color="auto" w:fill="D2D2D2"/>
          </w:tcPr>
          <w:p>
            <w:pP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5）因金融资产转移而终止确认的应收账款" w:id="254"/>
      <w:bookmarkEnd w:id="254"/>
      <w:r>
        <w:rPr>
          <w:b w:val="0"/>
          <w:bCs w:val="0"/>
        </w:rPr>
      </w:r>
      <w:r>
        <w:rPr/>
        <w:t>（</w:t>
      </w:r>
      <w:r>
        <w:rPr>
          <w:rFonts w:ascii="Times New Roman" w:hAnsi="Times New Roman" w:cs="Times New Roman" w:eastAsia="Times New Roman" w:hint="default"/>
        </w:rPr>
        <w:t>5</w:t>
      </w:r>
      <w:r>
        <w:rPr/>
        <w:t>）因金融资产转移而终止确认的应收账款</w:t>
      </w:r>
      <w:r>
        <w:rPr>
          <w:b w:val="0"/>
          <w:bCs w:val="0"/>
        </w:rPr>
      </w:r>
    </w:p>
    <w:p>
      <w:pPr>
        <w:spacing w:line="240" w:lineRule="auto" w:before="4"/>
        <w:rPr>
          <w:rFonts w:ascii="宋体" w:hAnsi="宋体" w:cs="宋体" w:eastAsia="宋体" w:hint="default"/>
          <w:b/>
          <w:bCs/>
          <w:sz w:val="26"/>
          <w:szCs w:val="26"/>
        </w:rPr>
      </w:pPr>
    </w:p>
    <w:p>
      <w:pPr>
        <w:pStyle w:val="BodyText"/>
        <w:spacing w:line="240" w:lineRule="auto" w:before="0"/>
        <w:ind w:right="0"/>
        <w:jc w:val="left"/>
      </w:pPr>
      <w:r>
        <w:rPr>
          <w:spacing w:val="-3"/>
        </w:rPr>
        <w:t>无因金融资产转移而终止确认的应收账款。</w:t>
      </w:r>
    </w:p>
    <w:p>
      <w:pPr>
        <w:spacing w:line="240" w:lineRule="auto" w:before="0"/>
        <w:rPr>
          <w:rFonts w:ascii="宋体" w:hAnsi="宋体" w:cs="宋体" w:eastAsia="宋体" w:hint="default"/>
          <w:sz w:val="18"/>
          <w:szCs w:val="18"/>
        </w:rPr>
      </w:pPr>
    </w:p>
    <w:p>
      <w:pPr>
        <w:pStyle w:val="Heading4"/>
        <w:spacing w:line="240" w:lineRule="auto" w:before="118"/>
        <w:ind w:right="0"/>
        <w:jc w:val="left"/>
        <w:rPr>
          <w:b w:val="0"/>
          <w:bCs w:val="0"/>
        </w:rPr>
      </w:pPr>
      <w:bookmarkStart w:name="（6）转移应收账款且继续涉入形成的资产、负债金额" w:id="255"/>
      <w:bookmarkEnd w:id="255"/>
      <w:r>
        <w:rPr>
          <w:b w:val="0"/>
          <w:bCs w:val="0"/>
        </w:rPr>
      </w:r>
      <w:r>
        <w:rPr/>
        <w:t>（</w:t>
      </w:r>
      <w:r>
        <w:rPr>
          <w:rFonts w:ascii="Times New Roman" w:hAnsi="Times New Roman" w:cs="Times New Roman" w:eastAsia="Times New Roman" w:hint="default"/>
        </w:rPr>
        <w:t>6</w:t>
      </w:r>
      <w:r>
        <w:rPr/>
        <w:t>）转移应收账款且继续涉入形成的资产、负债金额</w:t>
      </w:r>
      <w:r>
        <w:rPr>
          <w:b w:val="0"/>
          <w:bCs w:val="0"/>
        </w:rPr>
      </w:r>
    </w:p>
    <w:p>
      <w:pPr>
        <w:spacing w:line="240" w:lineRule="auto" w:before="9"/>
        <w:rPr>
          <w:rFonts w:ascii="宋体" w:hAnsi="宋体" w:cs="宋体" w:eastAsia="宋体" w:hint="default"/>
          <w:b/>
          <w:bCs/>
          <w:sz w:val="26"/>
          <w:szCs w:val="26"/>
        </w:rPr>
      </w:pPr>
    </w:p>
    <w:p>
      <w:pPr>
        <w:pStyle w:val="BodyText"/>
        <w:spacing w:line="362" w:lineRule="auto" w:before="0"/>
        <w:ind w:right="6445"/>
        <w:jc w:val="left"/>
      </w:pPr>
      <w:r>
        <w:rPr>
          <w:spacing w:val="-3"/>
        </w:rPr>
        <w:t>无转移应收账款且继续涉入形成的资产、负债金额。</w:t>
      </w:r>
      <w:r>
        <w:rPr>
          <w:spacing w:val="-21"/>
        </w:rPr>
        <w:t> </w:t>
      </w:r>
      <w:r>
        <w:rPr>
          <w:spacing w:val="-21"/>
        </w:rPr>
      </w:r>
      <w:r>
        <w:rPr/>
        <w:t>其他说明：</w:t>
      </w:r>
    </w:p>
    <w:p>
      <w:pPr>
        <w:pStyle w:val="BodyText"/>
        <w:spacing w:line="240" w:lineRule="auto" w:before="19"/>
        <w:ind w:right="0"/>
        <w:jc w:val="left"/>
      </w:pPr>
      <w:r>
        <w:rPr>
          <w:spacing w:val="-3"/>
        </w:rPr>
        <w:t>无所有权受到限制的应收账款。</w:t>
      </w:r>
    </w:p>
    <w:p>
      <w:pPr>
        <w:spacing w:line="240" w:lineRule="auto" w:before="0"/>
        <w:rPr>
          <w:rFonts w:ascii="宋体" w:hAnsi="宋体" w:cs="宋体" w:eastAsia="宋体" w:hint="default"/>
          <w:sz w:val="18"/>
          <w:szCs w:val="18"/>
        </w:rPr>
      </w:pPr>
    </w:p>
    <w:p>
      <w:pPr>
        <w:pStyle w:val="Heading4"/>
        <w:spacing w:line="240" w:lineRule="auto" w:before="118"/>
        <w:ind w:right="0"/>
        <w:jc w:val="left"/>
        <w:rPr>
          <w:b w:val="0"/>
          <w:bCs w:val="0"/>
        </w:rPr>
      </w:pPr>
      <w:bookmarkStart w:name="6、应收款项融资" w:id="256"/>
      <w:bookmarkEnd w:id="256"/>
      <w:r>
        <w:rPr>
          <w:b w:val="0"/>
          <w:bCs w:val="0"/>
        </w:rPr>
      </w:r>
      <w:r>
        <w:rPr>
          <w:rFonts w:ascii="Times New Roman" w:hAnsi="Times New Roman" w:cs="Times New Roman" w:eastAsia="Times New Roman" w:hint="default"/>
        </w:rPr>
        <w:t>6</w:t>
      </w:r>
      <w:r>
        <w:rPr/>
        <w:t>、应收款项融资</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1401"/>
              <w:jc w:val="right"/>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9"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98"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4,500,000.00</w:t>
            </w:r>
          </w:p>
        </w:tc>
        <w:tc>
          <w:tcPr>
            <w:tcW w:w="319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1401"/>
              <w:jc w:val="righ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4,500,000.00</w:t>
            </w:r>
          </w:p>
        </w:tc>
        <w:tc>
          <w:tcPr>
            <w:tcW w:w="3193"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3"/>
        <w:ind w:right="0"/>
        <w:jc w:val="left"/>
      </w:pPr>
      <w:r>
        <w:rPr>
          <w:spacing w:val="-3"/>
        </w:rPr>
        <w:t>应收款项融资本期增减变动及公允价值变动情况</w:t>
      </w:r>
    </w:p>
    <w:p>
      <w:pPr>
        <w:pStyle w:val="BodyText"/>
        <w:spacing w:line="357" w:lineRule="auto" w:before="120"/>
        <w:ind w:right="1317"/>
        <w:jc w:val="left"/>
      </w:pPr>
      <w:r>
        <w:rPr/>
        <w:t>□ </w:t>
      </w:r>
      <w:r>
        <w:rPr>
          <w:spacing w:val="-3"/>
        </w:rPr>
        <w:t>适用 </w:t>
      </w:r>
      <w:r>
        <w:rPr/>
        <w:t>√ 不适用</w:t>
      </w:r>
      <w:r>
        <w:rPr>
          <w:spacing w:val="-77"/>
        </w:rPr>
        <w:t> </w:t>
      </w:r>
      <w:r>
        <w:rPr>
          <w:spacing w:val="-77"/>
        </w:rPr>
      </w:r>
      <w:r>
        <w:rPr>
          <w:spacing w:val="-3"/>
        </w:rPr>
        <w:t>如是按照预期信用损失一般模型计提应收款项融资减值准备，请参照其他应收款的披露方式披露减值准备的相关信息：</w:t>
      </w:r>
    </w:p>
    <w:p>
      <w:pPr>
        <w:pStyle w:val="BodyText"/>
        <w:spacing w:line="357" w:lineRule="auto" w:before="31"/>
        <w:ind w:right="9217"/>
        <w:jc w:val="left"/>
      </w:pPr>
      <w:r>
        <w:rPr/>
        <w:t>□ </w:t>
      </w:r>
      <w:r>
        <w:rPr>
          <w:spacing w:val="-3"/>
        </w:rPr>
        <w:t>适用 </w:t>
      </w:r>
      <w:r>
        <w:rPr/>
        <w:t>√</w:t>
      </w:r>
      <w:r>
        <w:rPr>
          <w:spacing w:val="13"/>
        </w:rPr>
        <w:t> </w:t>
      </w:r>
      <w:r>
        <w:rPr/>
        <w:t>不适用</w:t>
      </w:r>
      <w:r>
        <w:rPr>
          <w:w w:val="101"/>
        </w:rPr>
        <w:t> </w:t>
      </w:r>
      <w:r>
        <w:rPr/>
        <w:t>其他说明：</w:t>
      </w:r>
    </w:p>
    <w:p>
      <w:pPr>
        <w:pStyle w:val="BodyText"/>
        <w:spacing w:line="319" w:lineRule="auto" w:before="22"/>
        <w:ind w:right="1123" w:firstLine="480"/>
        <w:jc w:val="both"/>
      </w:pPr>
      <w:r>
        <w:rPr>
          <w:spacing w:val="-3"/>
        </w:rPr>
        <w:t>本公司视其日常资金管理的需要，将银行承兑汇票分类为以公允价值计量且其变动计入其他综合收益的金融资产。本</w:t>
      </w:r>
      <w:r>
        <w:rPr>
          <w:w w:val="101"/>
        </w:rPr>
        <w:t> </w:t>
      </w:r>
      <w:r>
        <w:rPr>
          <w:spacing w:val="-4"/>
        </w:rPr>
        <w:t>公司按照整个存续期信用损失计量损失准备，本公司认为商业银行具有较高的信用，银行承兑汇票到期不获支付的可能性较</w:t>
      </w:r>
      <w:r>
        <w:rPr>
          <w:spacing w:val="42"/>
        </w:rPr>
        <w:t> </w:t>
      </w:r>
      <w:r>
        <w:rPr>
          <w:spacing w:val="42"/>
        </w:rPr>
      </w:r>
      <w:r>
        <w:rPr>
          <w:spacing w:val="-3"/>
        </w:rPr>
        <w:t>低，因此不计提预期信用损失。</w:t>
      </w:r>
    </w:p>
    <w:p>
      <w:pPr>
        <w:spacing w:line="240" w:lineRule="auto" w:before="6"/>
        <w:rPr>
          <w:rFonts w:ascii="宋体" w:hAnsi="宋体" w:cs="宋体" w:eastAsia="宋体" w:hint="default"/>
          <w:sz w:val="22"/>
          <w:szCs w:val="22"/>
        </w:rPr>
      </w:pPr>
    </w:p>
    <w:p>
      <w:pPr>
        <w:pStyle w:val="Heading4"/>
        <w:spacing w:line="240" w:lineRule="auto"/>
        <w:ind w:right="0"/>
        <w:jc w:val="left"/>
        <w:rPr>
          <w:b w:val="0"/>
          <w:bCs w:val="0"/>
        </w:rPr>
      </w:pPr>
      <w:bookmarkStart w:name="7、预付款项" w:id="257"/>
      <w:bookmarkEnd w:id="257"/>
      <w:r>
        <w:rPr>
          <w:b w:val="0"/>
          <w:bCs w:val="0"/>
        </w:rPr>
      </w:r>
      <w:r>
        <w:rPr>
          <w:rFonts w:ascii="Times New Roman" w:hAnsi="Times New Roman" w:cs="Times New Roman" w:eastAsia="Times New Roman" w:hint="default"/>
        </w:rPr>
        <w:t>7</w:t>
      </w:r>
      <w:r>
        <w:rPr/>
        <w:t>、预付款项</w:t>
      </w:r>
      <w:r>
        <w:rPr>
          <w:b w:val="0"/>
          <w:bCs w:val="0"/>
        </w:rPr>
      </w:r>
    </w:p>
    <w:p>
      <w:pPr>
        <w:spacing w:line="240" w:lineRule="auto" w:before="5"/>
        <w:rPr>
          <w:rFonts w:ascii="宋体" w:hAnsi="宋体" w:cs="宋体" w:eastAsia="宋体" w:hint="default"/>
          <w:b/>
          <w:bCs/>
          <w:sz w:val="24"/>
          <w:szCs w:val="24"/>
        </w:rPr>
      </w:pPr>
    </w:p>
    <w:p>
      <w:pPr>
        <w:pStyle w:val="Heading4"/>
        <w:spacing w:line="240" w:lineRule="auto"/>
        <w:ind w:right="0"/>
        <w:jc w:val="left"/>
        <w:rPr>
          <w:b w:val="0"/>
          <w:bCs w:val="0"/>
        </w:rPr>
      </w:pPr>
      <w:bookmarkStart w:name="（1）预付款项按账龄列示" w:id="258"/>
      <w:bookmarkEnd w:id="258"/>
      <w:r>
        <w:rPr>
          <w:b w:val="0"/>
          <w:bCs w:val="0"/>
        </w:rPr>
      </w:r>
      <w:r>
        <w:rPr/>
        <w:t>（</w:t>
      </w:r>
      <w:r>
        <w:rPr>
          <w:rFonts w:ascii="Times New Roman" w:hAnsi="Times New Roman" w:cs="Times New Roman" w:eastAsia="Times New Roman" w:hint="default"/>
        </w:rPr>
        <w:t>1</w:t>
      </w:r>
      <w:r>
        <w:rPr/>
        <w:t>）预付款项按账龄列示</w:t>
      </w:r>
      <w:r>
        <w:rPr>
          <w:b w:val="0"/>
          <w:bCs w:val="0"/>
        </w:rPr>
      </w:r>
    </w:p>
    <w:p>
      <w:pPr>
        <w:spacing w:line="240" w:lineRule="auto" w:before="1"/>
        <w:rPr>
          <w:rFonts w:ascii="宋体" w:hAnsi="宋体" w:cs="宋体" w:eastAsia="宋体" w:hint="default"/>
          <w:b/>
          <w:bCs/>
          <w:sz w:val="27"/>
          <w:szCs w:val="27"/>
        </w:rPr>
      </w:pPr>
    </w:p>
    <w:p>
      <w:pPr>
        <w:pStyle w:val="BodyText"/>
        <w:spacing w:line="240" w:lineRule="auto" w:before="0"/>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11"/>
        <w:gridCol w:w="1916"/>
        <w:gridCol w:w="1916"/>
        <w:gridCol w:w="1916"/>
        <w:gridCol w:w="1916"/>
      </w:tblGrid>
      <w:tr>
        <w:trPr>
          <w:trHeight w:val="398" w:hRule="exact"/>
        </w:trPr>
        <w:tc>
          <w:tcPr>
            <w:tcW w:w="191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0"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383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3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1911" w:type="dxa"/>
            <w:vMerge/>
            <w:tcBorders>
              <w:left w:val="single" w:sz="4" w:space="0" w:color="000000"/>
              <w:bottom w:val="single" w:sz="4" w:space="0" w:color="000000"/>
              <w:right w:val="single" w:sz="4" w:space="0" w:color="000000"/>
            </w:tcBorders>
            <w:shd w:val="clear" w:color="auto" w:fill="D2D2D2"/>
          </w:tcPr>
          <w:p>
            <w:pP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比例</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比例</w:t>
            </w:r>
          </w:p>
        </w:tc>
      </w:tr>
      <w:tr>
        <w:trPr>
          <w:trHeight w:val="404"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年以内</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14,715,204.12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74.69%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17,881,511.78</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93.74%</w:t>
            </w: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年</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4,414,750.31</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22.41%</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1,176,939.35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6.17%</w:t>
            </w:r>
          </w:p>
        </w:tc>
      </w:tr>
      <w:tr>
        <w:trPr>
          <w:trHeight w:val="398"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年</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558,493.36</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2.83%</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17,902.67</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0.09%</w:t>
            </w:r>
          </w:p>
        </w:tc>
      </w:tr>
    </w:tbl>
    <w:p>
      <w:pPr>
        <w:spacing w:after="0" w:line="240" w:lineRule="auto"/>
        <w:jc w:val="right"/>
        <w:rPr>
          <w:rFonts w:ascii="Times New Roman" w:hAnsi="Times New Roman" w:cs="Times New Roman" w:eastAsia="Times New Roman" w:hint="default"/>
          <w:sz w:val="18"/>
          <w:szCs w:val="18"/>
        </w:rPr>
        <w:sectPr>
          <w:pgSz w:w="11910" w:h="16840"/>
          <w:pgMar w:header="784" w:footer="1022" w:top="1100" w:bottom="1220" w:left="980" w:right="0"/>
        </w:sectPr>
      </w:pPr>
    </w:p>
    <w:p>
      <w:pPr>
        <w:spacing w:line="240" w:lineRule="auto" w:before="7"/>
        <w:rPr>
          <w:rFonts w:ascii="宋体" w:hAnsi="宋体" w:cs="宋体" w:eastAsia="宋体" w:hint="default"/>
          <w:sz w:val="25"/>
          <w:szCs w:val="25"/>
        </w:rPr>
      </w:pPr>
    </w:p>
    <w:tbl>
      <w:tblPr>
        <w:tblW w:w="0" w:type="auto"/>
        <w:jc w:val="left"/>
        <w:tblInd w:w="148" w:type="dxa"/>
        <w:tblLayout w:type="fixed"/>
        <w:tblCellMar>
          <w:top w:w="0" w:type="dxa"/>
          <w:left w:w="0" w:type="dxa"/>
          <w:bottom w:w="0" w:type="dxa"/>
          <w:right w:w="0" w:type="dxa"/>
        </w:tblCellMar>
        <w:tblLook w:val="01E0"/>
      </w:tblPr>
      <w:tblGrid>
        <w:gridCol w:w="1911"/>
        <w:gridCol w:w="1916"/>
        <w:gridCol w:w="1916"/>
        <w:gridCol w:w="1916"/>
        <w:gridCol w:w="1916"/>
      </w:tblGrid>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年以上</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13,603.67</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0.07%</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19,702,051.46</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2"/>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768" w:right="0"/>
              <w:jc w:val="left"/>
              <w:rPr>
                <w:rFonts w:ascii="Times New Roman" w:hAnsi="Times New Roman" w:cs="Times New Roman" w:eastAsia="Times New Roman" w:hint="default"/>
                <w:sz w:val="18"/>
                <w:szCs w:val="18"/>
              </w:rPr>
            </w:pPr>
            <w:r>
              <w:rPr>
                <w:rFonts w:ascii="Times New Roman"/>
                <w:sz w:val="18"/>
              </w:rPr>
              <w:t>19,076,353.80</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2"/>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bl>
    <w:p>
      <w:pPr>
        <w:pStyle w:val="BodyText"/>
        <w:spacing w:line="333" w:lineRule="auto" w:before="53"/>
        <w:ind w:right="5829"/>
        <w:jc w:val="left"/>
      </w:pPr>
      <w:r>
        <w:rPr/>
        <w:t>账龄超过 </w:t>
      </w:r>
      <w:r>
        <w:rPr>
          <w:rFonts w:ascii="Times New Roman" w:hAnsi="Times New Roman" w:cs="Times New Roman" w:eastAsia="Times New Roman" w:hint="default"/>
        </w:rPr>
        <w:t>1 </w:t>
      </w:r>
      <w:r>
        <w:rPr>
          <w:spacing w:val="-3"/>
        </w:rPr>
        <w:t>年且金额重要的预付款项未及时结算原因的说明：</w:t>
      </w:r>
      <w:r>
        <w:rPr>
          <w:spacing w:val="-70"/>
        </w:rPr>
        <w:t> </w:t>
      </w:r>
      <w:r>
        <w:rPr>
          <w:spacing w:val="-70"/>
        </w:rPr>
      </w:r>
      <w:r>
        <w:rPr/>
        <w:t>无。</w:t>
      </w:r>
    </w:p>
    <w:p>
      <w:pPr>
        <w:spacing w:line="240" w:lineRule="auto" w:before="8"/>
        <w:rPr>
          <w:rFonts w:ascii="宋体" w:hAnsi="宋体" w:cs="宋体" w:eastAsia="宋体" w:hint="default"/>
          <w:sz w:val="21"/>
          <w:szCs w:val="21"/>
        </w:rPr>
      </w:pPr>
    </w:p>
    <w:p>
      <w:pPr>
        <w:pStyle w:val="Heading4"/>
        <w:spacing w:line="240" w:lineRule="auto"/>
        <w:ind w:right="0"/>
        <w:jc w:val="left"/>
        <w:rPr>
          <w:b w:val="0"/>
          <w:bCs w:val="0"/>
        </w:rPr>
      </w:pPr>
      <w:bookmarkStart w:name="（2）按预付对象归集的期末余额前五名的预付款情况" w:id="259"/>
      <w:bookmarkEnd w:id="259"/>
      <w:r>
        <w:rPr>
          <w:b w:val="0"/>
          <w:bCs w:val="0"/>
        </w:rPr>
      </w:r>
      <w:r>
        <w:rPr/>
        <w:t>（</w:t>
      </w:r>
      <w:r>
        <w:rPr>
          <w:rFonts w:ascii="Times New Roman" w:hAnsi="Times New Roman" w:cs="Times New Roman" w:eastAsia="Times New Roman" w:hint="default"/>
        </w:rPr>
        <w:t>2</w:t>
      </w:r>
      <w:r>
        <w:rPr/>
        <w:t>）按预付对象归集的期末余额前五名的预付款情况</w:t>
      </w:r>
      <w:r>
        <w:rPr>
          <w:b w:val="0"/>
          <w:bCs w:val="0"/>
        </w:rPr>
      </w:r>
    </w:p>
    <w:p>
      <w:pPr>
        <w:spacing w:line="240" w:lineRule="auto" w:before="9"/>
        <w:rPr>
          <w:rFonts w:ascii="宋体" w:hAnsi="宋体" w:cs="宋体" w:eastAsia="宋体" w:hint="default"/>
          <w:b/>
          <w:bCs/>
          <w:sz w:val="26"/>
          <w:szCs w:val="26"/>
        </w:rPr>
      </w:pPr>
    </w:p>
    <w:p>
      <w:pPr>
        <w:pStyle w:val="BodyText"/>
        <w:spacing w:line="319" w:lineRule="auto" w:before="0"/>
        <w:ind w:right="1120" w:firstLine="480"/>
        <w:jc w:val="left"/>
      </w:pPr>
      <w:r>
        <w:rPr>
          <w:spacing w:val="-1"/>
        </w:rPr>
        <w:t>本公司按预付对象归集的年末余额前五名预付账款汇总金额为</w:t>
      </w:r>
      <w:r>
        <w:rPr>
          <w:rFonts w:ascii="宋体" w:hAnsi="宋体" w:cs="宋体" w:eastAsia="宋体" w:hint="default"/>
          <w:spacing w:val="-1"/>
        </w:rPr>
        <w:t>11,080,896.02</w:t>
      </w:r>
      <w:r>
        <w:rPr>
          <w:spacing w:val="-1"/>
        </w:rPr>
        <w:t>元，占预付账款年末余额合计数的比例</w:t>
      </w:r>
      <w:r>
        <w:rPr>
          <w:w w:val="101"/>
        </w:rPr>
        <w:t> </w:t>
      </w:r>
      <w:r>
        <w:rPr/>
        <w:t>为</w:t>
      </w:r>
      <w:r>
        <w:rPr>
          <w:rFonts w:ascii="宋体" w:hAnsi="宋体" w:cs="宋体" w:eastAsia="宋体" w:hint="default"/>
        </w:rPr>
        <w:t>56.24%</w:t>
      </w:r>
      <w:r>
        <w:rPr/>
        <w:t>。</w:t>
      </w:r>
    </w:p>
    <w:p>
      <w:pPr>
        <w:spacing w:line="240" w:lineRule="auto" w:before="0"/>
        <w:rPr>
          <w:rFonts w:ascii="宋体" w:hAnsi="宋体" w:cs="宋体" w:eastAsia="宋体" w:hint="default"/>
          <w:sz w:val="18"/>
          <w:szCs w:val="18"/>
        </w:rPr>
      </w:pPr>
    </w:p>
    <w:p>
      <w:pPr>
        <w:pStyle w:val="BodyText"/>
        <w:spacing w:line="352" w:lineRule="auto" w:before="136"/>
        <w:ind w:right="9861"/>
        <w:jc w:val="left"/>
      </w:pPr>
      <w:r>
        <w:rPr>
          <w:spacing w:val="-2"/>
        </w:rPr>
        <w:t>其他说明：</w:t>
      </w:r>
      <w:r>
        <w:rPr>
          <w:spacing w:val="-78"/>
        </w:rPr>
        <w:t> </w:t>
      </w:r>
      <w:r>
        <w:rPr>
          <w:spacing w:val="-78"/>
        </w:rPr>
      </w:r>
      <w:r>
        <w:rPr/>
        <w:t>无。</w:t>
      </w:r>
    </w:p>
    <w:p>
      <w:pPr>
        <w:spacing w:line="240" w:lineRule="auto" w:before="8"/>
        <w:rPr>
          <w:rFonts w:ascii="宋体" w:hAnsi="宋体" w:cs="宋体" w:eastAsia="宋体" w:hint="default"/>
          <w:sz w:val="20"/>
          <w:szCs w:val="20"/>
        </w:rPr>
      </w:pPr>
    </w:p>
    <w:p>
      <w:pPr>
        <w:pStyle w:val="Heading4"/>
        <w:spacing w:line="240" w:lineRule="auto"/>
        <w:ind w:right="0"/>
        <w:jc w:val="left"/>
        <w:rPr>
          <w:b w:val="0"/>
          <w:bCs w:val="0"/>
        </w:rPr>
      </w:pPr>
      <w:bookmarkStart w:name="8、其他应收款" w:id="260"/>
      <w:bookmarkEnd w:id="260"/>
      <w:r>
        <w:rPr>
          <w:b w:val="0"/>
          <w:bCs w:val="0"/>
        </w:rPr>
      </w:r>
      <w:r>
        <w:rPr>
          <w:rFonts w:ascii="Times New Roman" w:hAnsi="Times New Roman" w:cs="Times New Roman" w:eastAsia="Times New Roman" w:hint="default"/>
        </w:rPr>
        <w:t>8</w:t>
      </w:r>
      <w:r>
        <w:rPr/>
        <w:t>、其他应收款</w:t>
      </w:r>
      <w:r>
        <w:rPr>
          <w:b w:val="0"/>
          <w:bCs w:val="0"/>
        </w:rPr>
      </w:r>
    </w:p>
    <w:p>
      <w:pPr>
        <w:spacing w:line="240" w:lineRule="auto" w:before="9"/>
        <w:rPr>
          <w:rFonts w:ascii="宋体" w:hAnsi="宋体" w:cs="宋体" w:eastAsia="宋体" w:hint="default"/>
          <w:b/>
          <w:bCs/>
          <w:sz w:val="26"/>
          <w:szCs w:val="26"/>
        </w:rPr>
      </w:pPr>
    </w:p>
    <w:p>
      <w:pPr>
        <w:pStyle w:val="BodyText"/>
        <w:spacing w:line="240" w:lineRule="auto" w:before="0"/>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99"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1,012,831.63</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341,850.62</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1,000,000.00</w:t>
            </w:r>
          </w:p>
        </w:tc>
        <w:tc>
          <w:tcPr>
            <w:tcW w:w="319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27,335,000.51</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30,505,756.05</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29,347,832.14</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30,847,606.67</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1）应收利息" w:id="261"/>
      <w:bookmarkEnd w:id="261"/>
      <w:r>
        <w:rPr>
          <w:b w:val="0"/>
          <w:bCs w:val="0"/>
        </w:rPr>
      </w:r>
      <w:r>
        <w:rPr/>
        <w:t>（</w:t>
      </w:r>
      <w:r>
        <w:rPr>
          <w:rFonts w:ascii="Times New Roman" w:hAnsi="Times New Roman" w:cs="Times New Roman" w:eastAsia="Times New Roman" w:hint="default"/>
        </w:rPr>
        <w:t>1</w:t>
      </w:r>
      <w:r>
        <w:rPr/>
        <w:t>）应收利息</w:t>
      </w:r>
      <w:r>
        <w:rPr>
          <w:b w:val="0"/>
          <w:bCs w:val="0"/>
        </w:rPr>
      </w:r>
    </w:p>
    <w:p>
      <w:pPr>
        <w:spacing w:line="240" w:lineRule="auto" w:before="5"/>
        <w:rPr>
          <w:rFonts w:ascii="宋体" w:hAnsi="宋体" w:cs="宋体" w:eastAsia="宋体" w:hint="default"/>
          <w:b/>
          <w:bCs/>
          <w:sz w:val="24"/>
          <w:szCs w:val="24"/>
        </w:rPr>
      </w:pPr>
    </w:p>
    <w:p>
      <w:pPr>
        <w:pStyle w:val="Heading4"/>
        <w:spacing w:line="240" w:lineRule="auto"/>
        <w:ind w:right="0"/>
        <w:jc w:val="left"/>
        <w:rPr>
          <w:b w:val="0"/>
          <w:bCs w:val="0"/>
        </w:rPr>
      </w:pPr>
      <w:bookmarkStart w:name="1）应收利息分类" w:id="262"/>
      <w:bookmarkEnd w:id="262"/>
      <w:r>
        <w:rPr>
          <w:b w:val="0"/>
          <w:bCs w:val="0"/>
        </w:rPr>
      </w:r>
      <w:r>
        <w:rPr>
          <w:rFonts w:ascii="Times New Roman" w:hAnsi="Times New Roman" w:cs="Times New Roman" w:eastAsia="Times New Roman" w:hint="default"/>
        </w:rPr>
        <w:t>1</w:t>
      </w:r>
      <w:r>
        <w:rPr/>
        <w:t>）应收利息分类</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93"/>
        <w:gridCol w:w="3189"/>
        <w:gridCol w:w="3193"/>
      </w:tblGrid>
      <w:tr>
        <w:trPr>
          <w:trHeight w:val="404" w:hRule="exact"/>
        </w:trPr>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98" w:hRule="exact"/>
        </w:trPr>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1,012,831.63</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pacing w:val="-1"/>
                <w:sz w:val="18"/>
              </w:rPr>
              <w:t>341,850.62</w:t>
            </w:r>
          </w:p>
        </w:tc>
      </w:tr>
      <w:tr>
        <w:trPr>
          <w:trHeight w:val="403" w:hRule="exact"/>
        </w:trPr>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1,012,831.63</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8"/>
              <w:jc w:val="right"/>
              <w:rPr>
                <w:rFonts w:ascii="Times New Roman" w:hAnsi="Times New Roman" w:cs="Times New Roman" w:eastAsia="Times New Roman" w:hint="default"/>
                <w:sz w:val="18"/>
                <w:szCs w:val="18"/>
              </w:rPr>
            </w:pPr>
            <w:r>
              <w:rPr>
                <w:rFonts w:ascii="Times New Roman"/>
                <w:spacing w:val="-1"/>
                <w:sz w:val="18"/>
              </w:rPr>
              <w:t>341,850.62</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2）重要逾期利息" w:id="263"/>
      <w:bookmarkEnd w:id="263"/>
      <w:r>
        <w:rPr>
          <w:b w:val="0"/>
          <w:bCs w:val="0"/>
        </w:rPr>
      </w:r>
      <w:r>
        <w:rPr>
          <w:rFonts w:ascii="Times New Roman" w:hAnsi="Times New Roman" w:cs="Times New Roman" w:eastAsia="Times New Roman" w:hint="default"/>
        </w:rPr>
        <w:t>2</w:t>
      </w:r>
      <w:r>
        <w:rPr/>
        <w:t>）重要逾期利息</w:t>
      </w:r>
      <w:r>
        <w:rPr>
          <w:b w:val="0"/>
          <w:bCs w:val="0"/>
        </w:rPr>
      </w:r>
    </w:p>
    <w:p>
      <w:pPr>
        <w:spacing w:line="240" w:lineRule="auto" w:before="7"/>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16"/>
        <w:gridCol w:w="1916"/>
        <w:gridCol w:w="1911"/>
        <w:gridCol w:w="1916"/>
        <w:gridCol w:w="1916"/>
      </w:tblGrid>
      <w:tr>
        <w:trPr>
          <w:trHeight w:val="715"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595" w:right="0"/>
              <w:jc w:val="left"/>
              <w:rPr>
                <w:rFonts w:ascii="宋体" w:hAnsi="宋体" w:cs="宋体" w:eastAsia="宋体" w:hint="default"/>
                <w:sz w:val="18"/>
                <w:szCs w:val="18"/>
              </w:rPr>
            </w:pPr>
            <w:r>
              <w:rPr>
                <w:rFonts w:ascii="宋体" w:hAnsi="宋体" w:cs="宋体" w:eastAsia="宋体" w:hint="default"/>
                <w:sz w:val="18"/>
                <w:szCs w:val="18"/>
              </w:rPr>
              <w:t>借款单位</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590"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590" w:right="0"/>
              <w:jc w:val="left"/>
              <w:rPr>
                <w:rFonts w:ascii="宋体" w:hAnsi="宋体" w:cs="宋体" w:eastAsia="宋体" w:hint="default"/>
                <w:sz w:val="18"/>
                <w:szCs w:val="18"/>
              </w:rPr>
            </w:pPr>
            <w:r>
              <w:rPr>
                <w:rFonts w:ascii="宋体" w:hAnsi="宋体" w:cs="宋体" w:eastAsia="宋体" w:hint="default"/>
                <w:sz w:val="18"/>
                <w:szCs w:val="18"/>
              </w:rPr>
              <w:t>逾期时间</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595" w:right="0"/>
              <w:jc w:val="left"/>
              <w:rPr>
                <w:rFonts w:ascii="宋体" w:hAnsi="宋体" w:cs="宋体" w:eastAsia="宋体" w:hint="default"/>
                <w:sz w:val="18"/>
                <w:szCs w:val="18"/>
              </w:rPr>
            </w:pPr>
            <w:r>
              <w:rPr>
                <w:rFonts w:ascii="宋体" w:hAnsi="宋体" w:cs="宋体" w:eastAsia="宋体" w:hint="default"/>
                <w:sz w:val="18"/>
                <w:szCs w:val="18"/>
              </w:rPr>
              <w:t>逾期原因</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686" w:right="137" w:hanging="543"/>
              <w:jc w:val="left"/>
              <w:rPr>
                <w:rFonts w:ascii="宋体" w:hAnsi="宋体" w:cs="宋体" w:eastAsia="宋体" w:hint="default"/>
                <w:sz w:val="18"/>
                <w:szCs w:val="18"/>
              </w:rPr>
            </w:pPr>
            <w:r>
              <w:rPr>
                <w:rFonts w:ascii="宋体" w:hAnsi="宋体" w:cs="宋体" w:eastAsia="宋体" w:hint="default"/>
                <w:spacing w:val="-3"/>
                <w:sz w:val="18"/>
                <w:szCs w:val="18"/>
              </w:rPr>
              <w:t>是否发生减值及其判</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断依据</w:t>
            </w:r>
          </w:p>
        </w:tc>
      </w:tr>
    </w:tbl>
    <w:p>
      <w:pPr>
        <w:pStyle w:val="BodyText"/>
        <w:spacing w:line="352" w:lineRule="auto" w:before="53"/>
        <w:ind w:right="9861"/>
        <w:jc w:val="left"/>
      </w:pPr>
      <w:r>
        <w:rPr>
          <w:spacing w:val="-2"/>
        </w:rPr>
        <w:t>其他说明：</w:t>
      </w:r>
      <w:r>
        <w:rPr>
          <w:spacing w:val="-78"/>
        </w:rPr>
        <w:t> </w:t>
      </w:r>
      <w:r>
        <w:rPr>
          <w:spacing w:val="-78"/>
        </w:rPr>
      </w:r>
      <w:r>
        <w:rPr/>
        <w:t>无。</w:t>
      </w:r>
    </w:p>
    <w:p>
      <w:pPr>
        <w:spacing w:after="0" w:line="352" w:lineRule="auto"/>
        <w:jc w:val="left"/>
        <w:sectPr>
          <w:pgSz w:w="11910" w:h="16840"/>
          <w:pgMar w:header="784" w:footer="1022" w:top="1100" w:bottom="1220" w:left="980" w:right="0"/>
        </w:sectPr>
      </w:pPr>
    </w:p>
    <w:p>
      <w:pPr>
        <w:spacing w:line="240" w:lineRule="auto" w:before="13"/>
        <w:rPr>
          <w:rFonts w:ascii="宋体" w:hAnsi="宋体" w:cs="宋体" w:eastAsia="宋体" w:hint="default"/>
          <w:sz w:val="21"/>
          <w:szCs w:val="21"/>
        </w:rPr>
      </w:pPr>
    </w:p>
    <w:p>
      <w:pPr>
        <w:pStyle w:val="Heading4"/>
        <w:spacing w:line="240" w:lineRule="auto" w:before="36"/>
        <w:ind w:right="0"/>
        <w:jc w:val="left"/>
        <w:rPr>
          <w:b w:val="0"/>
          <w:bCs w:val="0"/>
        </w:rPr>
      </w:pPr>
      <w:bookmarkStart w:name="3）坏账准备计提情况" w:id="264"/>
      <w:bookmarkEnd w:id="264"/>
      <w:r>
        <w:rPr>
          <w:b w:val="0"/>
          <w:bCs w:val="0"/>
        </w:rPr>
      </w:r>
      <w:r>
        <w:rPr>
          <w:rFonts w:ascii="Times New Roman" w:hAnsi="Times New Roman" w:cs="Times New Roman" w:eastAsia="Times New Roman" w:hint="default"/>
        </w:rPr>
        <w:t>3</w:t>
      </w:r>
      <w:r>
        <w:rPr/>
        <w:t>）坏账准备计提情况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before="0"/>
        <w:ind w:right="0"/>
        <w:jc w:val="left"/>
      </w:pPr>
      <w:r>
        <w:rPr/>
        <w:t>□ </w:t>
      </w:r>
      <w:r>
        <w:rPr>
          <w:spacing w:val="-3"/>
        </w:rPr>
        <w:t>适用 </w:t>
      </w:r>
      <w:r>
        <w:rPr/>
        <w:t>√</w:t>
      </w:r>
      <w:r>
        <w:rPr>
          <w:spacing w:val="13"/>
        </w:rPr>
        <w:t> </w:t>
      </w:r>
      <w:r>
        <w:rPr/>
        <w:t>不适用</w:t>
      </w:r>
    </w:p>
    <w:p>
      <w:pPr>
        <w:spacing w:line="240" w:lineRule="auto" w:before="4"/>
        <w:rPr>
          <w:rFonts w:ascii="宋体" w:hAnsi="宋体" w:cs="宋体" w:eastAsia="宋体" w:hint="default"/>
          <w:sz w:val="26"/>
          <w:szCs w:val="26"/>
        </w:rPr>
      </w:pPr>
    </w:p>
    <w:p>
      <w:pPr>
        <w:pStyle w:val="Heading4"/>
        <w:spacing w:line="240" w:lineRule="auto"/>
        <w:ind w:right="0"/>
        <w:jc w:val="left"/>
        <w:rPr>
          <w:b w:val="0"/>
          <w:bCs w:val="0"/>
        </w:rPr>
      </w:pPr>
      <w:bookmarkStart w:name="（2）应收股利" w:id="265"/>
      <w:bookmarkEnd w:id="265"/>
      <w:r>
        <w:rPr>
          <w:b w:val="0"/>
          <w:bCs w:val="0"/>
        </w:rPr>
      </w:r>
      <w:r>
        <w:rPr/>
        <w:t>（</w:t>
      </w:r>
      <w:r>
        <w:rPr>
          <w:rFonts w:ascii="Times New Roman" w:hAnsi="Times New Roman" w:cs="Times New Roman" w:eastAsia="Times New Roman" w:hint="default"/>
        </w:rPr>
        <w:t>2</w:t>
      </w:r>
      <w:r>
        <w:rPr/>
        <w:t>）应收股利</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0"/>
        <w:jc w:val="left"/>
        <w:rPr>
          <w:b w:val="0"/>
          <w:bCs w:val="0"/>
        </w:rPr>
      </w:pPr>
      <w:bookmarkStart w:name="1）应收股利分类" w:id="266"/>
      <w:bookmarkEnd w:id="266"/>
      <w:r>
        <w:rPr>
          <w:b w:val="0"/>
          <w:bCs w:val="0"/>
        </w:rPr>
      </w:r>
      <w:r>
        <w:rPr>
          <w:rFonts w:ascii="Times New Roman" w:hAnsi="Times New Roman" w:cs="Times New Roman" w:eastAsia="Times New Roman" w:hint="default"/>
        </w:rPr>
        <w:t>1</w:t>
      </w:r>
      <w:r>
        <w:rPr/>
        <w:t>）应收股利分类</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93"/>
        <w:gridCol w:w="3189"/>
        <w:gridCol w:w="3193"/>
      </w:tblGrid>
      <w:tr>
        <w:trPr>
          <w:trHeight w:val="403" w:hRule="exact"/>
        </w:trPr>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81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项目</w:t>
            </w:r>
            <w:r>
              <w:rPr>
                <w:rFonts w:ascii="Times New Roman" w:hAnsi="Times New Roman" w:cs="Times New Roman" w:eastAsia="Times New Roman" w:hint="default"/>
                <w:sz w:val="18"/>
                <w:szCs w:val="18"/>
              </w:rPr>
              <w:t>(</w:t>
            </w:r>
            <w:r>
              <w:rPr>
                <w:rFonts w:ascii="宋体" w:hAnsi="宋体" w:cs="宋体" w:eastAsia="宋体" w:hint="default"/>
                <w:sz w:val="18"/>
                <w:szCs w:val="18"/>
              </w:rPr>
              <w:t>或被投资单位</w:t>
            </w:r>
            <w:r>
              <w:rPr>
                <w:rFonts w:ascii="Times New Roman" w:hAnsi="Times New Roman" w:cs="Times New Roman" w:eastAsia="Times New Roman" w:hint="default"/>
                <w:sz w:val="18"/>
                <w:szCs w:val="18"/>
              </w:rPr>
              <w:t>)</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1,000,000.00</w:t>
            </w:r>
          </w:p>
        </w:tc>
        <w:tc>
          <w:tcPr>
            <w:tcW w:w="3193"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1,000,000.00</w:t>
            </w:r>
          </w:p>
        </w:tc>
        <w:tc>
          <w:tcPr>
            <w:tcW w:w="3193"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2）重要的账龄超过1年的应收股利" w:id="267"/>
      <w:bookmarkEnd w:id="267"/>
      <w:r>
        <w:rPr>
          <w:b w:val="0"/>
          <w:bCs w:val="0"/>
        </w:rPr>
      </w:r>
      <w:r>
        <w:rPr>
          <w:rFonts w:ascii="Times New Roman" w:hAnsi="Times New Roman" w:cs="Times New Roman" w:eastAsia="Times New Roman" w:hint="default"/>
        </w:rPr>
        <w:t>2</w:t>
      </w:r>
      <w:r>
        <w:rPr/>
        <w:t>）重要的账龄超过</w:t>
      </w:r>
      <w:r>
        <w:rPr>
          <w:spacing w:val="-50"/>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年的应收股利</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16"/>
        <w:gridCol w:w="1916"/>
        <w:gridCol w:w="1911"/>
        <w:gridCol w:w="1916"/>
        <w:gridCol w:w="1916"/>
      </w:tblGrid>
      <w:tr>
        <w:trPr>
          <w:trHeight w:val="715"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7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项目</w:t>
            </w:r>
            <w:r>
              <w:rPr>
                <w:rFonts w:ascii="Times New Roman" w:hAnsi="Times New Roman" w:cs="Times New Roman" w:eastAsia="Times New Roman" w:hint="default"/>
                <w:sz w:val="18"/>
                <w:szCs w:val="18"/>
              </w:rPr>
              <w:t>(</w:t>
            </w:r>
            <w:r>
              <w:rPr>
                <w:rFonts w:ascii="宋体" w:hAnsi="宋体" w:cs="宋体" w:eastAsia="宋体" w:hint="default"/>
                <w:sz w:val="18"/>
                <w:szCs w:val="18"/>
              </w:rPr>
              <w:t>或被投资单位</w:t>
            </w:r>
            <w:r>
              <w:rPr>
                <w:rFonts w:ascii="Times New Roman" w:hAnsi="Times New Roman" w:cs="Times New Roman" w:eastAsia="Times New Roman" w:hint="default"/>
                <w:sz w:val="18"/>
                <w:szCs w:val="18"/>
              </w:rPr>
              <w:t>)</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590"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413" w:right="0"/>
              <w:jc w:val="left"/>
              <w:rPr>
                <w:rFonts w:ascii="宋体" w:hAnsi="宋体" w:cs="宋体" w:eastAsia="宋体" w:hint="default"/>
                <w:sz w:val="18"/>
                <w:szCs w:val="18"/>
              </w:rPr>
            </w:pPr>
            <w:r>
              <w:rPr>
                <w:rFonts w:ascii="宋体" w:hAnsi="宋体" w:cs="宋体" w:eastAsia="宋体" w:hint="default"/>
                <w:sz w:val="18"/>
                <w:szCs w:val="18"/>
              </w:rPr>
              <w:t>未收回的原因</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686" w:right="137" w:hanging="543"/>
              <w:jc w:val="left"/>
              <w:rPr>
                <w:rFonts w:ascii="宋体" w:hAnsi="宋体" w:cs="宋体" w:eastAsia="宋体" w:hint="default"/>
                <w:sz w:val="18"/>
                <w:szCs w:val="18"/>
              </w:rPr>
            </w:pPr>
            <w:r>
              <w:rPr>
                <w:rFonts w:ascii="宋体" w:hAnsi="宋体" w:cs="宋体" w:eastAsia="宋体" w:hint="default"/>
                <w:spacing w:val="-3"/>
                <w:sz w:val="18"/>
                <w:szCs w:val="18"/>
              </w:rPr>
              <w:t>是否发生减值及其判</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断依据</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3）坏账准备计提情况" w:id="268"/>
      <w:bookmarkEnd w:id="268"/>
      <w:r>
        <w:rPr>
          <w:b w:val="0"/>
          <w:bCs w:val="0"/>
        </w:rPr>
      </w:r>
      <w:r>
        <w:rPr>
          <w:rFonts w:ascii="Times New Roman" w:hAnsi="Times New Roman" w:cs="Times New Roman" w:eastAsia="Times New Roman" w:hint="default"/>
        </w:rPr>
        <w:t>3</w:t>
      </w:r>
      <w:r>
        <w:rPr/>
        <w:t>）坏账准备计提情况</w:t>
      </w:r>
      <w:r>
        <w:rPr>
          <w:b w:val="0"/>
          <w:bCs w:val="0"/>
        </w:rPr>
      </w:r>
    </w:p>
    <w:p>
      <w:pPr>
        <w:spacing w:line="240" w:lineRule="auto" w:before="9"/>
        <w:rPr>
          <w:rFonts w:ascii="宋体" w:hAnsi="宋体" w:cs="宋体" w:eastAsia="宋体" w:hint="default"/>
          <w:b/>
          <w:bCs/>
          <w:sz w:val="26"/>
          <w:szCs w:val="26"/>
        </w:rPr>
      </w:pPr>
    </w:p>
    <w:p>
      <w:pPr>
        <w:pStyle w:val="BodyText"/>
        <w:spacing w:line="362" w:lineRule="auto" w:before="0"/>
        <w:ind w:right="9217"/>
        <w:jc w:val="left"/>
      </w:pPr>
      <w:r>
        <w:rPr/>
        <w:t>□ </w:t>
      </w:r>
      <w:r>
        <w:rPr>
          <w:spacing w:val="-3"/>
        </w:rPr>
        <w:t>适用 </w:t>
      </w:r>
      <w:r>
        <w:rPr/>
        <w:t>√</w:t>
      </w:r>
      <w:r>
        <w:rPr>
          <w:spacing w:val="13"/>
        </w:rPr>
        <w:t> </w:t>
      </w:r>
      <w:r>
        <w:rPr/>
        <w:t>不适用</w:t>
      </w:r>
      <w:r>
        <w:rPr>
          <w:w w:val="101"/>
        </w:rPr>
        <w:t> </w:t>
      </w:r>
      <w:r>
        <w:rPr/>
        <w:t>其他说明：</w:t>
      </w:r>
    </w:p>
    <w:p>
      <w:pPr>
        <w:pStyle w:val="BodyText"/>
        <w:spacing w:line="240" w:lineRule="auto" w:before="18"/>
        <w:ind w:right="0"/>
        <w:jc w:val="left"/>
      </w:pPr>
      <w:r>
        <w:rPr/>
        <w:t>无。</w:t>
      </w:r>
    </w:p>
    <w:p>
      <w:pPr>
        <w:spacing w:line="240" w:lineRule="auto" w:before="0"/>
        <w:rPr>
          <w:rFonts w:ascii="宋体" w:hAnsi="宋体" w:cs="宋体" w:eastAsia="宋体" w:hint="default"/>
          <w:sz w:val="18"/>
          <w:szCs w:val="18"/>
        </w:rPr>
      </w:pPr>
    </w:p>
    <w:p>
      <w:pPr>
        <w:pStyle w:val="Heading4"/>
        <w:spacing w:line="240" w:lineRule="auto" w:before="118"/>
        <w:ind w:right="0"/>
        <w:jc w:val="left"/>
        <w:rPr>
          <w:b w:val="0"/>
          <w:bCs w:val="0"/>
        </w:rPr>
      </w:pPr>
      <w:bookmarkStart w:name="（3）其他应收款" w:id="269"/>
      <w:bookmarkEnd w:id="269"/>
      <w:r>
        <w:rPr>
          <w:b w:val="0"/>
          <w:bCs w:val="0"/>
        </w:rPr>
      </w:r>
      <w:r>
        <w:rPr/>
        <w:t>（</w:t>
      </w:r>
      <w:r>
        <w:rPr>
          <w:rFonts w:ascii="Times New Roman" w:hAnsi="Times New Roman" w:cs="Times New Roman" w:eastAsia="Times New Roman" w:hint="default"/>
        </w:rPr>
        <w:t>3</w:t>
      </w:r>
      <w:r>
        <w:rPr/>
        <w:t>）其他应收款</w:t>
      </w:r>
      <w:r>
        <w:rPr>
          <w:b w:val="0"/>
          <w:bCs w:val="0"/>
        </w:rPr>
      </w:r>
    </w:p>
    <w:p>
      <w:pPr>
        <w:spacing w:line="240" w:lineRule="auto" w:before="5"/>
        <w:rPr>
          <w:rFonts w:ascii="宋体" w:hAnsi="宋体" w:cs="宋体" w:eastAsia="宋体" w:hint="default"/>
          <w:b/>
          <w:bCs/>
          <w:sz w:val="24"/>
          <w:szCs w:val="24"/>
        </w:rPr>
      </w:pPr>
    </w:p>
    <w:p>
      <w:pPr>
        <w:pStyle w:val="Heading4"/>
        <w:spacing w:line="240" w:lineRule="auto"/>
        <w:ind w:right="0"/>
        <w:jc w:val="left"/>
        <w:rPr>
          <w:b w:val="0"/>
          <w:bCs w:val="0"/>
        </w:rPr>
      </w:pPr>
      <w:bookmarkStart w:name="1）其他应收款按款项性质分类情况" w:id="270"/>
      <w:bookmarkEnd w:id="270"/>
      <w:r>
        <w:rPr>
          <w:b w:val="0"/>
          <w:bCs w:val="0"/>
        </w:rPr>
      </w:r>
      <w:r>
        <w:rPr>
          <w:rFonts w:ascii="Times New Roman" w:hAnsi="Times New Roman" w:cs="Times New Roman" w:eastAsia="Times New Roman" w:hint="default"/>
        </w:rPr>
        <w:t>1</w:t>
      </w:r>
      <w:r>
        <w:rPr/>
        <w:t>）其他应收款按款项性质分类情况</w:t>
      </w:r>
      <w:r>
        <w:rPr>
          <w:b w:val="0"/>
          <w:bCs w:val="0"/>
        </w:rPr>
      </w:r>
    </w:p>
    <w:p>
      <w:pPr>
        <w:spacing w:line="240" w:lineRule="auto" w:before="7"/>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1"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46"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应收出口退税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1,123,430.78</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1,497,933.22</w:t>
            </w:r>
          </w:p>
        </w:tc>
      </w:tr>
      <w:tr>
        <w:trPr>
          <w:trHeight w:val="398"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押金</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7,907,447.70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5,187,697.67</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5"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94"/>
              <w:jc w:val="right"/>
              <w:rPr>
                <w:rFonts w:ascii="Times New Roman" w:hAnsi="Times New Roman" w:cs="Times New Roman" w:eastAsia="Times New Roman" w:hint="default"/>
                <w:sz w:val="18"/>
                <w:szCs w:val="18"/>
              </w:rPr>
            </w:pPr>
            <w:r>
              <w:rPr>
                <w:rFonts w:ascii="Times New Roman"/>
                <w:spacing w:val="-1"/>
                <w:sz w:val="18"/>
              </w:rPr>
              <w:t>12,487,602.33</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99"/>
              <w:jc w:val="right"/>
              <w:rPr>
                <w:rFonts w:ascii="Times New Roman" w:hAnsi="Times New Roman" w:cs="Times New Roman" w:eastAsia="Times New Roman" w:hint="default"/>
                <w:sz w:val="18"/>
                <w:szCs w:val="18"/>
              </w:rPr>
            </w:pPr>
            <w:r>
              <w:rPr>
                <w:rFonts w:ascii="Times New Roman"/>
                <w:spacing w:val="-1"/>
                <w:sz w:val="18"/>
              </w:rPr>
              <w:t>18,170,520.32</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10,689,055.77</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9,148,197.34</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32,207,536.58</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34,004,348.55</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2）坏账准备计提情况" w:id="271"/>
      <w:bookmarkEnd w:id="271"/>
      <w:r>
        <w:rPr>
          <w:b w:val="0"/>
          <w:bCs w:val="0"/>
        </w:rPr>
      </w:r>
      <w:r>
        <w:rPr>
          <w:rFonts w:ascii="Times New Roman" w:hAnsi="Times New Roman" w:cs="Times New Roman" w:eastAsia="Times New Roman" w:hint="default"/>
        </w:rPr>
        <w:t>2</w:t>
      </w:r>
      <w:r>
        <w:rPr/>
        <w:t>）坏账准备计提情况</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16"/>
        <w:gridCol w:w="1652"/>
        <w:gridCol w:w="2098"/>
        <w:gridCol w:w="2103"/>
        <w:gridCol w:w="1800"/>
      </w:tblGrid>
      <w:tr>
        <w:trPr>
          <w:trHeight w:val="403"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5"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1" w:right="0"/>
              <w:jc w:val="left"/>
              <w:rPr>
                <w:rFonts w:ascii="宋体" w:hAnsi="宋体" w:cs="宋体" w:eastAsia="宋体" w:hint="default"/>
                <w:sz w:val="18"/>
                <w:szCs w:val="18"/>
              </w:rPr>
            </w:pPr>
            <w:r>
              <w:rPr>
                <w:rFonts w:ascii="宋体" w:hAnsi="宋体" w:cs="宋体" w:eastAsia="宋体" w:hint="default"/>
                <w:sz w:val="18"/>
                <w:szCs w:val="18"/>
              </w:rPr>
              <w:t>第一阶段</w:t>
            </w:r>
          </w:p>
        </w:tc>
        <w:tc>
          <w:tcPr>
            <w:tcW w:w="20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86" w:right="0"/>
              <w:jc w:val="left"/>
              <w:rPr>
                <w:rFonts w:ascii="宋体" w:hAnsi="宋体" w:cs="宋体" w:eastAsia="宋体" w:hint="default"/>
                <w:sz w:val="18"/>
                <w:szCs w:val="18"/>
              </w:rPr>
            </w:pPr>
            <w:r>
              <w:rPr>
                <w:rFonts w:ascii="宋体" w:hAnsi="宋体" w:cs="宋体" w:eastAsia="宋体" w:hint="default"/>
                <w:sz w:val="18"/>
                <w:szCs w:val="18"/>
              </w:rPr>
              <w:t>第二阶段</w:t>
            </w:r>
          </w:p>
        </w:tc>
        <w:tc>
          <w:tcPr>
            <w:tcW w:w="21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86" w:right="0"/>
              <w:jc w:val="left"/>
              <w:rPr>
                <w:rFonts w:ascii="宋体" w:hAnsi="宋体" w:cs="宋体" w:eastAsia="宋体" w:hint="default"/>
                <w:sz w:val="18"/>
                <w:szCs w:val="18"/>
              </w:rPr>
            </w:pPr>
            <w:r>
              <w:rPr>
                <w:rFonts w:ascii="宋体" w:hAnsi="宋体" w:cs="宋体" w:eastAsia="宋体" w:hint="default"/>
                <w:sz w:val="18"/>
                <w:szCs w:val="18"/>
              </w:rPr>
              <w:t>第三阶段</w:t>
            </w:r>
          </w:p>
        </w:tc>
        <w:tc>
          <w:tcPr>
            <w:tcW w:w="1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合计</w:t>
            </w:r>
          </w:p>
        </w:tc>
      </w:tr>
    </w:tbl>
    <w:p>
      <w:pPr>
        <w:spacing w:after="0" w:line="240" w:lineRule="auto"/>
        <w:jc w:val="center"/>
        <w:rPr>
          <w:rFonts w:ascii="宋体" w:hAnsi="宋体" w:cs="宋体" w:eastAsia="宋体" w:hint="default"/>
          <w:sz w:val="18"/>
          <w:szCs w:val="18"/>
        </w:rPr>
        <w:sectPr>
          <w:pgSz w:w="11910" w:h="16840"/>
          <w:pgMar w:header="784" w:footer="1022" w:top="1100" w:bottom="1220" w:left="980" w:right="0"/>
        </w:sectPr>
      </w:pPr>
    </w:p>
    <w:p>
      <w:pPr>
        <w:spacing w:line="240" w:lineRule="auto" w:before="7"/>
        <w:rPr>
          <w:rFonts w:ascii="宋体" w:hAnsi="宋体" w:cs="宋体" w:eastAsia="宋体" w:hint="default"/>
          <w:sz w:val="25"/>
          <w:szCs w:val="25"/>
        </w:rPr>
      </w:pPr>
    </w:p>
    <w:tbl>
      <w:tblPr>
        <w:tblW w:w="0" w:type="auto"/>
        <w:jc w:val="left"/>
        <w:tblInd w:w="148" w:type="dxa"/>
        <w:tblLayout w:type="fixed"/>
        <w:tblCellMar>
          <w:top w:w="0" w:type="dxa"/>
          <w:left w:w="0" w:type="dxa"/>
          <w:bottom w:w="0" w:type="dxa"/>
          <w:right w:w="0" w:type="dxa"/>
        </w:tblCellMar>
        <w:tblLook w:val="01E0"/>
      </w:tblPr>
      <w:tblGrid>
        <w:gridCol w:w="1916"/>
        <w:gridCol w:w="1652"/>
        <w:gridCol w:w="2098"/>
        <w:gridCol w:w="2103"/>
        <w:gridCol w:w="1800"/>
      </w:tblGrid>
      <w:tr>
        <w:trPr>
          <w:trHeight w:val="715"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461" w:right="137" w:hanging="312"/>
              <w:jc w:val="left"/>
              <w:rPr>
                <w:rFonts w:ascii="宋体" w:hAnsi="宋体" w:cs="宋体" w:eastAsia="宋体" w:hint="default"/>
                <w:sz w:val="18"/>
                <w:szCs w:val="18"/>
              </w:rPr>
            </w:pPr>
            <w:r>
              <w:rPr>
                <w:rFonts w:ascii="宋体" w:hAnsi="宋体" w:cs="宋体" w:eastAsia="宋体" w:hint="default"/>
                <w:sz w:val="18"/>
                <w:szCs w:val="18"/>
              </w:rPr>
              <w:t>未来</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6"/>
                <w:sz w:val="18"/>
                <w:szCs w:val="18"/>
              </w:rPr>
              <w:t> </w:t>
            </w:r>
            <w:r>
              <w:rPr>
                <w:rFonts w:ascii="宋体" w:hAnsi="宋体" w:cs="宋体" w:eastAsia="宋体" w:hint="default"/>
                <w:spacing w:val="-3"/>
                <w:sz w:val="18"/>
                <w:szCs w:val="18"/>
              </w:rPr>
              <w:t>个月预期</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信用损失</w:t>
            </w:r>
          </w:p>
        </w:tc>
        <w:tc>
          <w:tcPr>
            <w:tcW w:w="20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263" w:right="137" w:hanging="120"/>
              <w:jc w:val="left"/>
              <w:rPr>
                <w:rFonts w:ascii="Times New Roman" w:hAnsi="Times New Roman" w:cs="Times New Roman" w:eastAsia="Times New Roman" w:hint="default"/>
                <w:sz w:val="18"/>
                <w:szCs w:val="18"/>
              </w:rPr>
            </w:pPr>
            <w:r>
              <w:rPr>
                <w:rFonts w:ascii="宋体" w:hAnsi="宋体" w:cs="宋体" w:eastAsia="宋体" w:hint="default"/>
                <w:spacing w:val="-2"/>
                <w:sz w:val="18"/>
                <w:szCs w:val="18"/>
              </w:rPr>
              <w:t>整个存续期预期信用损</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失</w:t>
            </w:r>
            <w:r>
              <w:rPr>
                <w:rFonts w:ascii="Times New Roman" w:hAnsi="Times New Roman" w:cs="Times New Roman" w:eastAsia="Times New Roman" w:hint="default"/>
                <w:sz w:val="18"/>
                <w:szCs w:val="18"/>
              </w:rPr>
              <w:t>(</w:t>
            </w:r>
            <w:r>
              <w:rPr>
                <w:rFonts w:ascii="宋体" w:hAnsi="宋体" w:cs="宋体" w:eastAsia="宋体" w:hint="default"/>
                <w:sz w:val="18"/>
                <w:szCs w:val="18"/>
              </w:rPr>
              <w:t>未发生信用减值</w:t>
            </w:r>
            <w:r>
              <w:rPr>
                <w:rFonts w:ascii="Times New Roman" w:hAnsi="Times New Roman" w:cs="Times New Roman" w:eastAsia="Times New Roman" w:hint="default"/>
                <w:sz w:val="18"/>
                <w:szCs w:val="18"/>
              </w:rPr>
              <w:t>)</w:t>
            </w:r>
          </w:p>
        </w:tc>
        <w:tc>
          <w:tcPr>
            <w:tcW w:w="21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264" w:right="142" w:hanging="120"/>
              <w:jc w:val="left"/>
              <w:rPr>
                <w:rFonts w:ascii="Times New Roman" w:hAnsi="Times New Roman" w:cs="Times New Roman" w:eastAsia="Times New Roman" w:hint="default"/>
                <w:sz w:val="18"/>
                <w:szCs w:val="18"/>
              </w:rPr>
            </w:pPr>
            <w:r>
              <w:rPr>
                <w:rFonts w:ascii="宋体" w:hAnsi="宋体" w:cs="宋体" w:eastAsia="宋体" w:hint="default"/>
                <w:spacing w:val="-2"/>
                <w:sz w:val="18"/>
                <w:szCs w:val="18"/>
              </w:rPr>
              <w:t>整个存续期预期信用损</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失</w:t>
            </w:r>
            <w:r>
              <w:rPr>
                <w:rFonts w:ascii="Times New Roman" w:hAnsi="Times New Roman" w:cs="Times New Roman" w:eastAsia="Times New Roman" w:hint="default"/>
                <w:sz w:val="18"/>
                <w:szCs w:val="18"/>
              </w:rPr>
              <w:t>(</w:t>
            </w:r>
            <w:r>
              <w:rPr>
                <w:rFonts w:ascii="宋体" w:hAnsi="宋体" w:cs="宋体" w:eastAsia="宋体" w:hint="default"/>
                <w:sz w:val="18"/>
                <w:szCs w:val="18"/>
              </w:rPr>
              <w:t>已发生信用减值</w:t>
            </w:r>
            <w:r>
              <w:rPr>
                <w:rFonts w:ascii="Times New Roman" w:hAnsi="Times New Roman" w:cs="Times New Roman" w:eastAsia="Times New Roman" w:hint="default"/>
                <w:sz w:val="18"/>
                <w:szCs w:val="18"/>
              </w:rPr>
              <w:t>)</w:t>
            </w:r>
          </w:p>
        </w:tc>
        <w:tc>
          <w:tcPr>
            <w:tcW w:w="18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日余额</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595" w:right="0"/>
              <w:jc w:val="left"/>
              <w:rPr>
                <w:rFonts w:ascii="Times New Roman" w:hAnsi="Times New Roman" w:cs="Times New Roman" w:eastAsia="Times New Roman" w:hint="default"/>
                <w:sz w:val="18"/>
                <w:szCs w:val="18"/>
              </w:rPr>
            </w:pPr>
            <w:r>
              <w:rPr>
                <w:rFonts w:ascii="Times New Roman"/>
                <w:sz w:val="18"/>
              </w:rPr>
              <w:t>3,498,592.50</w:t>
            </w:r>
          </w:p>
        </w:tc>
        <w:tc>
          <w:tcPr>
            <w:tcW w:w="2098" w:type="dxa"/>
            <w:tcBorders>
              <w:top w:val="single" w:sz="4" w:space="0" w:color="000000"/>
              <w:left w:val="single" w:sz="4" w:space="0" w:color="000000"/>
              <w:bottom w:val="single" w:sz="4" w:space="0" w:color="000000"/>
              <w:right w:val="single" w:sz="4" w:space="0" w:color="000000"/>
            </w:tcBorders>
          </w:tcPr>
          <w:p>
            <w:pPr/>
          </w:p>
        </w:tc>
        <w:tc>
          <w:tcPr>
            <w:tcW w:w="2103"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744" w:right="0"/>
              <w:jc w:val="left"/>
              <w:rPr>
                <w:rFonts w:ascii="Times New Roman" w:hAnsi="Times New Roman" w:cs="Times New Roman" w:eastAsia="Times New Roman" w:hint="default"/>
                <w:sz w:val="18"/>
                <w:szCs w:val="18"/>
              </w:rPr>
            </w:pPr>
            <w:r>
              <w:rPr>
                <w:rFonts w:ascii="Times New Roman"/>
                <w:sz w:val="18"/>
              </w:rPr>
              <w:t>3,498,592.50</w:t>
            </w:r>
          </w:p>
        </w:tc>
      </w:tr>
      <w:tr>
        <w:trPr>
          <w:trHeight w:val="713"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6"/>
              <w:ind w:left="105" w:right="127"/>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日余额</w:t>
            </w:r>
            <w:r>
              <w:rPr>
                <w:rFonts w:ascii="宋体" w:hAnsi="宋体" w:cs="宋体" w:eastAsia="宋体" w:hint="default"/>
                <w:w w:val="101"/>
                <w:sz w:val="18"/>
                <w:szCs w:val="18"/>
              </w:rPr>
              <w:t> </w:t>
            </w:r>
            <w:r>
              <w:rPr>
                <w:rFonts w:ascii="宋体" w:hAnsi="宋体" w:cs="宋体" w:eastAsia="宋体" w:hint="default"/>
                <w:sz w:val="18"/>
                <w:szCs w:val="18"/>
              </w:rPr>
              <w:t>在本期</w:t>
            </w:r>
          </w:p>
        </w:tc>
        <w:tc>
          <w:tcPr>
            <w:tcW w:w="1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643" w:right="0"/>
              <w:jc w:val="left"/>
              <w:rPr>
                <w:rFonts w:ascii="宋体" w:hAnsi="宋体" w:cs="宋体" w:eastAsia="宋体" w:hint="default"/>
                <w:sz w:val="18"/>
                <w:szCs w:val="18"/>
              </w:rPr>
            </w:pPr>
            <w:r>
              <w:rPr>
                <w:rFonts w:ascii="宋体" w:hAnsi="宋体" w:cs="宋体" w:eastAsia="宋体" w:hint="default"/>
                <w:sz w:val="18"/>
                <w:szCs w:val="18"/>
              </w:rPr>
              <w:t>——</w:t>
            </w:r>
          </w:p>
        </w:tc>
        <w:tc>
          <w:tcPr>
            <w:tcW w:w="20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w:t>
            </w:r>
          </w:p>
        </w:tc>
        <w:tc>
          <w:tcPr>
            <w:tcW w:w="21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1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715" w:right="0"/>
              <w:jc w:val="left"/>
              <w:rPr>
                <w:rFonts w:ascii="宋体" w:hAnsi="宋体" w:cs="宋体" w:eastAsia="宋体" w:hint="default"/>
                <w:sz w:val="18"/>
                <w:szCs w:val="18"/>
              </w:rPr>
            </w:pPr>
            <w:r>
              <w:rPr>
                <w:rFonts w:ascii="宋体" w:hAnsi="宋体" w:cs="宋体" w:eastAsia="宋体" w:hint="default"/>
                <w:sz w:val="18"/>
                <w:szCs w:val="18"/>
              </w:rPr>
              <w:t>——</w:t>
            </w:r>
          </w:p>
        </w:tc>
      </w:tr>
      <w:tr>
        <w:trPr>
          <w:trHeight w:val="403"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本期计提</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595" w:right="0"/>
              <w:jc w:val="left"/>
              <w:rPr>
                <w:rFonts w:ascii="Times New Roman" w:hAnsi="Times New Roman" w:cs="Times New Roman" w:eastAsia="Times New Roman" w:hint="default"/>
                <w:sz w:val="18"/>
                <w:szCs w:val="18"/>
              </w:rPr>
            </w:pPr>
            <w:r>
              <w:rPr>
                <w:rFonts w:ascii="Times New Roman"/>
                <w:sz w:val="18"/>
              </w:rPr>
              <w:t>1,373,943.57</w:t>
            </w:r>
          </w:p>
        </w:tc>
        <w:tc>
          <w:tcPr>
            <w:tcW w:w="2098" w:type="dxa"/>
            <w:tcBorders>
              <w:top w:val="single" w:sz="4" w:space="0" w:color="000000"/>
              <w:left w:val="single" w:sz="4" w:space="0" w:color="000000"/>
              <w:bottom w:val="single" w:sz="4" w:space="0" w:color="000000"/>
              <w:right w:val="single" w:sz="4" w:space="0" w:color="000000"/>
            </w:tcBorders>
          </w:tcPr>
          <w:p>
            <w:pPr/>
          </w:p>
        </w:tc>
        <w:tc>
          <w:tcPr>
            <w:tcW w:w="2103"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744" w:right="0"/>
              <w:jc w:val="left"/>
              <w:rPr>
                <w:rFonts w:ascii="Times New Roman" w:hAnsi="Times New Roman" w:cs="Times New Roman" w:eastAsia="Times New Roman" w:hint="default"/>
                <w:sz w:val="18"/>
                <w:szCs w:val="18"/>
              </w:rPr>
            </w:pPr>
            <w:r>
              <w:rPr>
                <w:rFonts w:ascii="Times New Roman"/>
                <w:sz w:val="18"/>
              </w:rPr>
              <w:t>1,373,943.57</w:t>
            </w:r>
          </w:p>
        </w:tc>
      </w:tr>
      <w:tr>
        <w:trPr>
          <w:trHeight w:val="716"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105" w:right="127"/>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日余</w:t>
            </w:r>
            <w:r>
              <w:rPr>
                <w:rFonts w:ascii="宋体" w:hAnsi="宋体" w:cs="宋体" w:eastAsia="宋体" w:hint="default"/>
                <w:w w:val="101"/>
                <w:sz w:val="18"/>
                <w:szCs w:val="18"/>
              </w:rPr>
              <w:t> </w:t>
            </w:r>
            <w:r>
              <w:rPr>
                <w:rFonts w:ascii="宋体" w:hAnsi="宋体" w:cs="宋体" w:eastAsia="宋体" w:hint="default"/>
                <w:sz w:val="18"/>
                <w:szCs w:val="18"/>
              </w:rPr>
              <w:t>额</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595" w:right="0"/>
              <w:jc w:val="left"/>
              <w:rPr>
                <w:rFonts w:ascii="Times New Roman" w:hAnsi="Times New Roman" w:cs="Times New Roman" w:eastAsia="Times New Roman" w:hint="default"/>
                <w:sz w:val="18"/>
                <w:szCs w:val="18"/>
              </w:rPr>
            </w:pPr>
            <w:r>
              <w:rPr>
                <w:rFonts w:ascii="Times New Roman"/>
                <w:sz w:val="18"/>
              </w:rPr>
              <w:t>4,872,536.07</w:t>
            </w:r>
          </w:p>
        </w:tc>
        <w:tc>
          <w:tcPr>
            <w:tcW w:w="2098" w:type="dxa"/>
            <w:tcBorders>
              <w:top w:val="single" w:sz="4" w:space="0" w:color="000000"/>
              <w:left w:val="single" w:sz="4" w:space="0" w:color="000000"/>
              <w:bottom w:val="single" w:sz="4" w:space="0" w:color="000000"/>
              <w:right w:val="single" w:sz="4" w:space="0" w:color="000000"/>
            </w:tcBorders>
          </w:tcPr>
          <w:p>
            <w:pPr/>
          </w:p>
        </w:tc>
        <w:tc>
          <w:tcPr>
            <w:tcW w:w="2103"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744" w:right="0"/>
              <w:jc w:val="left"/>
              <w:rPr>
                <w:rFonts w:ascii="Times New Roman" w:hAnsi="Times New Roman" w:cs="Times New Roman" w:eastAsia="Times New Roman" w:hint="default"/>
                <w:sz w:val="18"/>
                <w:szCs w:val="18"/>
              </w:rPr>
            </w:pPr>
            <w:r>
              <w:rPr>
                <w:rFonts w:ascii="Times New Roman"/>
                <w:sz w:val="18"/>
              </w:rPr>
              <w:t>4,872,536.07</w:t>
            </w:r>
          </w:p>
        </w:tc>
      </w:tr>
    </w:tbl>
    <w:p>
      <w:pPr>
        <w:spacing w:after="0" w:line="240" w:lineRule="auto"/>
        <w:jc w:val="left"/>
        <w:rPr>
          <w:rFonts w:ascii="Times New Roman" w:hAnsi="Times New Roman" w:cs="Times New Roman" w:eastAsia="Times New Roman" w:hint="default"/>
          <w:sz w:val="18"/>
          <w:szCs w:val="18"/>
        </w:rPr>
        <w:sectPr>
          <w:pgSz w:w="11910" w:h="16840"/>
          <w:pgMar w:header="784" w:footer="1022" w:top="1100" w:bottom="1220" w:left="980" w:right="0"/>
        </w:sectPr>
      </w:pPr>
    </w:p>
    <w:p>
      <w:pPr>
        <w:pStyle w:val="BodyText"/>
        <w:spacing w:line="240" w:lineRule="auto" w:before="53"/>
        <w:ind w:right="0"/>
        <w:jc w:val="left"/>
      </w:pPr>
      <w:r>
        <w:rPr>
          <w:spacing w:val="-3"/>
        </w:rPr>
        <w:t>损失准备本期变动金额重大的账面余额变动情况</w:t>
      </w:r>
    </w:p>
    <w:p>
      <w:pPr>
        <w:pStyle w:val="BodyText"/>
        <w:spacing w:line="362" w:lineRule="auto" w:before="115"/>
        <w:ind w:right="2229"/>
        <w:jc w:val="left"/>
      </w:pPr>
      <w:r>
        <w:rPr/>
        <w:t>□ </w:t>
      </w:r>
      <w:r>
        <w:rPr>
          <w:spacing w:val="-3"/>
        </w:rPr>
        <w:t>适用 </w:t>
      </w:r>
      <w:r>
        <w:rPr/>
        <w:t>√</w:t>
      </w:r>
      <w:r>
        <w:rPr>
          <w:spacing w:val="13"/>
        </w:rPr>
        <w:t> </w:t>
      </w:r>
      <w:r>
        <w:rPr/>
        <w:t>不适用</w:t>
      </w:r>
      <w:r>
        <w:rPr>
          <w:w w:val="101"/>
        </w:rPr>
        <w:t> </w:t>
      </w:r>
      <w:r>
        <w:rPr/>
        <w:t>按账龄披露</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2"/>
          <w:szCs w:val="12"/>
        </w:rPr>
      </w:pPr>
    </w:p>
    <w:p>
      <w:pPr>
        <w:pStyle w:val="BodyText"/>
        <w:spacing w:line="240" w:lineRule="auto" w:before="0"/>
        <w:ind w:right="0"/>
        <w:jc w:val="left"/>
      </w:pPr>
      <w:r>
        <w:rPr/>
        <w:t>单位：</w:t>
      </w:r>
      <w:r>
        <w:rPr>
          <w:spacing w:val="5"/>
        </w:rPr>
        <w:t> </w:t>
      </w:r>
      <w:r>
        <w:rPr/>
        <w:t>元</w:t>
      </w:r>
    </w:p>
    <w:p>
      <w:pPr>
        <w:spacing w:after="0" w:line="240" w:lineRule="auto"/>
        <w:jc w:val="left"/>
        <w:sectPr>
          <w:type w:val="continuous"/>
          <w:pgSz w:w="11910" w:h="16840"/>
          <w:pgMar w:top="1100" w:bottom="1220" w:left="980" w:right="0"/>
          <w:cols w:num="2" w:equalWidth="0">
            <w:col w:w="3937" w:space="4894"/>
            <w:col w:w="2099"/>
          </w:cols>
        </w:sectPr>
      </w:pPr>
    </w:p>
    <w:p>
      <w:pPr>
        <w:spacing w:line="240" w:lineRule="auto" w:before="10"/>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4788"/>
        <w:gridCol w:w="4782"/>
      </w:tblGrid>
      <w:tr>
        <w:trPr>
          <w:trHeight w:val="397"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4"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47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4" w:right="0"/>
              <w:jc w:val="center"/>
              <w:rPr>
                <w:rFonts w:ascii="宋体" w:hAnsi="宋体" w:cs="宋体" w:eastAsia="宋体" w:hint="default"/>
                <w:sz w:val="18"/>
                <w:szCs w:val="18"/>
              </w:rPr>
            </w:pPr>
            <w:r>
              <w:rPr>
                <w:rFonts w:ascii="宋体" w:hAnsi="宋体" w:cs="宋体" w:eastAsia="宋体" w:hint="default"/>
                <w:sz w:val="18"/>
                <w:szCs w:val="18"/>
              </w:rPr>
              <w:t>账面余额</w:t>
            </w:r>
          </w:p>
        </w:tc>
      </w:tr>
      <w:tr>
        <w:trPr>
          <w:trHeight w:val="408"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年以内（含</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pacing w:val="-5"/>
                <w:sz w:val="18"/>
                <w:szCs w:val="18"/>
              </w:rPr>
              <w:t>年）</w:t>
            </w:r>
            <w:r>
              <w:rPr>
                <w:rFonts w:ascii="宋体" w:hAnsi="宋体" w:cs="宋体" w:eastAsia="宋体" w:hint="default"/>
                <w:sz w:val="18"/>
                <w:szCs w:val="18"/>
              </w:rPr>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2"/>
                <w:sz w:val="18"/>
              </w:rPr>
              <w:t>19,611,348.32</w:t>
            </w:r>
          </w:p>
        </w:tc>
      </w:tr>
      <w:tr>
        <w:trPr>
          <w:trHeight w:val="403" w:hRule="exact"/>
        </w:trPr>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年以内</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19,611,348.32</w:t>
            </w:r>
          </w:p>
        </w:tc>
      </w:tr>
      <w:tr>
        <w:trPr>
          <w:trHeight w:val="401"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年</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4,396,127.82</w:t>
            </w:r>
          </w:p>
        </w:tc>
      </w:tr>
      <w:tr>
        <w:trPr>
          <w:trHeight w:val="401"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年</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94"/>
              <w:jc w:val="right"/>
              <w:rPr>
                <w:rFonts w:ascii="Times New Roman" w:hAnsi="Times New Roman" w:cs="Times New Roman" w:eastAsia="Times New Roman" w:hint="default"/>
                <w:sz w:val="18"/>
                <w:szCs w:val="18"/>
              </w:rPr>
            </w:pPr>
            <w:r>
              <w:rPr>
                <w:rFonts w:ascii="Times New Roman"/>
                <w:spacing w:val="-1"/>
                <w:sz w:val="18"/>
              </w:rPr>
              <w:t>3,231,449.89</w:t>
            </w:r>
          </w:p>
        </w:tc>
      </w:tr>
      <w:tr>
        <w:trPr>
          <w:trHeight w:val="403"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年以上</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4,968,610.55</w:t>
            </w:r>
          </w:p>
        </w:tc>
      </w:tr>
      <w:tr>
        <w:trPr>
          <w:trHeight w:val="403"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8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年</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3,490,675.55</w:t>
            </w:r>
          </w:p>
        </w:tc>
      </w:tr>
      <w:tr>
        <w:trPr>
          <w:trHeight w:val="401"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8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年</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834,415.00</w:t>
            </w:r>
          </w:p>
        </w:tc>
      </w:tr>
      <w:tr>
        <w:trPr>
          <w:trHeight w:val="401"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28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94"/>
              <w:jc w:val="right"/>
              <w:rPr>
                <w:rFonts w:ascii="Times New Roman" w:hAnsi="Times New Roman" w:cs="Times New Roman" w:eastAsia="Times New Roman" w:hint="default"/>
                <w:sz w:val="18"/>
                <w:szCs w:val="18"/>
              </w:rPr>
            </w:pPr>
            <w:r>
              <w:rPr>
                <w:rFonts w:ascii="Times New Roman"/>
                <w:spacing w:val="-1"/>
                <w:sz w:val="18"/>
              </w:rPr>
              <w:t>643,520.00</w:t>
            </w:r>
          </w:p>
        </w:tc>
      </w:tr>
      <w:tr>
        <w:trPr>
          <w:trHeight w:val="403"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32,207,536.58</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3）本期计提、收回或转回的坏账准备情况" w:id="272"/>
      <w:bookmarkEnd w:id="272"/>
      <w:r>
        <w:rPr>
          <w:b w:val="0"/>
          <w:bCs w:val="0"/>
        </w:rPr>
      </w:r>
      <w:r>
        <w:rPr>
          <w:rFonts w:ascii="Times New Roman" w:hAnsi="Times New Roman" w:cs="Times New Roman" w:eastAsia="Times New Roman" w:hint="default"/>
        </w:rPr>
        <w:t>3</w:t>
      </w:r>
      <w:r>
        <w:rPr/>
        <w:t>）本期计提、收回或转回的坏账准备情况</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right="0"/>
        <w:jc w:val="left"/>
      </w:pPr>
      <w:r>
        <w:rPr>
          <w:spacing w:val="-3"/>
        </w:rPr>
        <w:t>本期计提坏账准备情况：</w:t>
      </w:r>
    </w:p>
    <w:p>
      <w:pPr>
        <w:pStyle w:val="BodyText"/>
        <w:spacing w:line="240" w:lineRule="auto" w:before="119"/>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417"/>
        <w:gridCol w:w="1100"/>
        <w:gridCol w:w="1191"/>
        <w:gridCol w:w="1306"/>
        <w:gridCol w:w="1090"/>
        <w:gridCol w:w="1738"/>
        <w:gridCol w:w="1728"/>
      </w:tblGrid>
      <w:tr>
        <w:trPr>
          <w:trHeight w:val="403" w:hRule="exact"/>
        </w:trPr>
        <w:tc>
          <w:tcPr>
            <w:tcW w:w="141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10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87"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5325"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本期变动金额</w:t>
            </w:r>
          </w:p>
        </w:tc>
        <w:tc>
          <w:tcPr>
            <w:tcW w:w="172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99"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3" w:hRule="exact"/>
        </w:trPr>
        <w:tc>
          <w:tcPr>
            <w:tcW w:w="1417" w:type="dxa"/>
            <w:vMerge/>
            <w:tcBorders>
              <w:left w:val="single" w:sz="4" w:space="0" w:color="000000"/>
              <w:bottom w:val="single" w:sz="4" w:space="0" w:color="000000"/>
              <w:right w:val="single" w:sz="4" w:space="0" w:color="000000"/>
            </w:tcBorders>
            <w:shd w:val="clear" w:color="auto" w:fill="D2D2D2"/>
          </w:tcPr>
          <w:p>
            <w:pPr/>
          </w:p>
        </w:tc>
        <w:tc>
          <w:tcPr>
            <w:tcW w:w="1100" w:type="dxa"/>
            <w:vMerge/>
            <w:tcBorders>
              <w:left w:val="single" w:sz="4" w:space="0" w:color="000000"/>
              <w:bottom w:val="single" w:sz="4" w:space="0" w:color="000000"/>
              <w:right w:val="single" w:sz="4" w:space="0" w:color="000000"/>
            </w:tcBorders>
            <w:shd w:val="clear" w:color="auto" w:fill="D2D2D2"/>
          </w:tcPr>
          <w:p>
            <w:pPr/>
          </w:p>
        </w:tc>
        <w:tc>
          <w:tcPr>
            <w:tcW w:w="1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计提</w:t>
            </w:r>
          </w:p>
        </w:tc>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96" w:right="0"/>
              <w:jc w:val="left"/>
              <w:rPr>
                <w:rFonts w:ascii="宋体" w:hAnsi="宋体" w:cs="宋体" w:eastAsia="宋体" w:hint="default"/>
                <w:sz w:val="18"/>
                <w:szCs w:val="18"/>
              </w:rPr>
            </w:pPr>
            <w:r>
              <w:rPr>
                <w:rFonts w:ascii="宋体" w:hAnsi="宋体" w:cs="宋体" w:eastAsia="宋体" w:hint="default"/>
                <w:sz w:val="18"/>
                <w:szCs w:val="18"/>
              </w:rPr>
              <w:t>收回或转回</w:t>
            </w:r>
          </w:p>
        </w:tc>
        <w:tc>
          <w:tcPr>
            <w:tcW w:w="10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60" w:right="0"/>
              <w:jc w:val="left"/>
              <w:rPr>
                <w:rFonts w:ascii="宋体" w:hAnsi="宋体" w:cs="宋体" w:eastAsia="宋体" w:hint="default"/>
                <w:sz w:val="18"/>
                <w:szCs w:val="18"/>
              </w:rPr>
            </w:pPr>
            <w:r>
              <w:rPr>
                <w:rFonts w:ascii="宋体" w:hAnsi="宋体" w:cs="宋体" w:eastAsia="宋体" w:hint="default"/>
                <w:sz w:val="18"/>
                <w:szCs w:val="18"/>
              </w:rPr>
              <w:t>核销</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728" w:type="dxa"/>
            <w:vMerge/>
            <w:tcBorders>
              <w:left w:val="single" w:sz="4" w:space="0" w:color="000000"/>
              <w:bottom w:val="single" w:sz="4" w:space="0" w:color="000000"/>
              <w:right w:val="single" w:sz="4" w:space="0" w:color="000000"/>
            </w:tcBorders>
            <w:shd w:val="clear" w:color="auto" w:fill="D2D2D2"/>
          </w:tcPr>
          <w:p>
            <w:pPr/>
          </w:p>
        </w:tc>
      </w:tr>
      <w:tr>
        <w:trPr>
          <w:trHeight w:val="711" w:hRule="exact"/>
        </w:trPr>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账龄组合</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3,498,592.5</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37" w:right="0"/>
              <w:jc w:val="center"/>
              <w:rPr>
                <w:rFonts w:ascii="Times New Roman" w:hAnsi="Times New Roman" w:cs="Times New Roman" w:eastAsia="Times New Roman" w:hint="default"/>
                <w:sz w:val="18"/>
                <w:szCs w:val="18"/>
              </w:rPr>
            </w:pPr>
            <w:r>
              <w:rPr>
                <w:rFonts w:ascii="Times New Roman"/>
                <w:sz w:val="18"/>
              </w:rPr>
              <w:t>1,373,943.57</w:t>
            </w:r>
          </w:p>
        </w:tc>
        <w:tc>
          <w:tcPr>
            <w:tcW w:w="1306"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1738" w:type="dxa"/>
            <w:tcBorders>
              <w:top w:val="single" w:sz="4" w:space="0" w:color="000000"/>
              <w:left w:val="single" w:sz="4" w:space="0" w:color="000000"/>
              <w:bottom w:val="single" w:sz="4" w:space="0" w:color="000000"/>
              <w:right w:val="single" w:sz="4" w:space="0" w:color="000000"/>
            </w:tcBorders>
          </w:tcPr>
          <w:p>
            <w:pP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4,872,536.07</w:t>
            </w:r>
          </w:p>
        </w:tc>
      </w:tr>
      <w:tr>
        <w:trPr>
          <w:trHeight w:val="715" w:hRule="exact"/>
        </w:trPr>
        <w:tc>
          <w:tcPr>
            <w:tcW w:w="14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3,498,592.5</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37" w:right="0"/>
              <w:jc w:val="center"/>
              <w:rPr>
                <w:rFonts w:ascii="Times New Roman" w:hAnsi="Times New Roman" w:cs="Times New Roman" w:eastAsia="Times New Roman" w:hint="default"/>
                <w:sz w:val="18"/>
                <w:szCs w:val="18"/>
              </w:rPr>
            </w:pPr>
            <w:r>
              <w:rPr>
                <w:rFonts w:ascii="Times New Roman"/>
                <w:sz w:val="18"/>
              </w:rPr>
              <w:t>1,373,943.57</w:t>
            </w:r>
          </w:p>
        </w:tc>
        <w:tc>
          <w:tcPr>
            <w:tcW w:w="1306"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1738" w:type="dxa"/>
            <w:tcBorders>
              <w:top w:val="single" w:sz="4" w:space="0" w:color="000000"/>
              <w:left w:val="single" w:sz="4" w:space="0" w:color="000000"/>
              <w:bottom w:val="single" w:sz="4" w:space="0" w:color="000000"/>
              <w:right w:val="single" w:sz="4" w:space="0" w:color="000000"/>
            </w:tcBorders>
          </w:tcPr>
          <w:p>
            <w:pP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4,872,536.07</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100" w:bottom="1220" w:left="980" w:right="0"/>
        </w:sectPr>
      </w:pPr>
    </w:p>
    <w:p>
      <w:pPr>
        <w:pStyle w:val="BodyText"/>
        <w:spacing w:line="316" w:lineRule="auto" w:before="10"/>
        <w:ind w:right="0"/>
        <w:jc w:val="left"/>
      </w:pPr>
      <w:r>
        <w:rPr/>
        <w:t>无。</w:t>
      </w:r>
      <w:r>
        <w:rPr>
          <w:spacing w:val="-86"/>
        </w:rPr>
        <w:t> </w:t>
      </w:r>
      <w:r>
        <w:rPr>
          <w:spacing w:val="-3"/>
        </w:rPr>
        <w:t>其中本期坏账准备转回或收回金额重要的：</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5"/>
          <w:szCs w:val="15"/>
        </w:rPr>
      </w:pPr>
    </w:p>
    <w:p>
      <w:pPr>
        <w:pStyle w:val="BodyText"/>
        <w:spacing w:line="240" w:lineRule="auto" w:before="0"/>
        <w:ind w:right="0"/>
        <w:jc w:val="left"/>
      </w:pPr>
      <w:r>
        <w:rPr/>
        <w:t>单位：</w:t>
      </w:r>
      <w:r>
        <w:rPr>
          <w:spacing w:val="5"/>
        </w:rPr>
        <w:t> </w:t>
      </w:r>
      <w:r>
        <w:rPr/>
        <w:t>元</w:t>
      </w:r>
    </w:p>
    <w:p>
      <w:pPr>
        <w:spacing w:after="0" w:line="240" w:lineRule="auto"/>
        <w:jc w:val="left"/>
        <w:sectPr>
          <w:type w:val="continuous"/>
          <w:pgSz w:w="11910" w:h="16840"/>
          <w:pgMar w:top="1100" w:bottom="1220" w:left="980" w:right="0"/>
          <w:cols w:num="2" w:equalWidth="0">
            <w:col w:w="3577" w:space="5254"/>
            <w:col w:w="2099"/>
          </w:cols>
        </w:sectPr>
      </w:pP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65" w:right="0"/>
              <w:jc w:val="left"/>
              <w:rPr>
                <w:rFonts w:ascii="宋体" w:hAnsi="宋体" w:cs="宋体" w:eastAsia="宋体" w:hint="default"/>
                <w:sz w:val="18"/>
                <w:szCs w:val="18"/>
              </w:rPr>
            </w:pPr>
            <w:r>
              <w:rPr>
                <w:rFonts w:ascii="宋体" w:hAnsi="宋体" w:cs="宋体" w:eastAsia="宋体" w:hint="default"/>
                <w:spacing w:val="-3"/>
                <w:sz w:val="18"/>
                <w:szCs w:val="18"/>
              </w:rPr>
              <w:t>转回或收回金额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收回方式</w:t>
            </w:r>
          </w:p>
        </w:tc>
      </w:tr>
    </w:tbl>
    <w:p>
      <w:pPr>
        <w:spacing w:after="0" w:line="240" w:lineRule="auto"/>
        <w:jc w:val="center"/>
        <w:rPr>
          <w:rFonts w:ascii="宋体" w:hAnsi="宋体" w:cs="宋体" w:eastAsia="宋体" w:hint="default"/>
          <w:sz w:val="18"/>
          <w:szCs w:val="18"/>
        </w:rPr>
        <w:sectPr>
          <w:type w:val="continuous"/>
          <w:pgSz w:w="11910" w:h="16840"/>
          <w:pgMar w:top="1100" w:bottom="1220" w:left="980" w:right="0"/>
        </w:sectPr>
      </w:pPr>
    </w:p>
    <w:p>
      <w:pPr>
        <w:spacing w:line="240" w:lineRule="auto" w:before="10"/>
        <w:rPr>
          <w:rFonts w:ascii="宋体" w:hAnsi="宋体" w:cs="宋体" w:eastAsia="宋体" w:hint="default"/>
          <w:sz w:val="22"/>
          <w:szCs w:val="22"/>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4"/>
        <w:spacing w:line="240" w:lineRule="auto" w:before="118"/>
        <w:ind w:right="0"/>
        <w:jc w:val="left"/>
        <w:rPr>
          <w:b w:val="0"/>
          <w:bCs w:val="0"/>
        </w:rPr>
      </w:pPr>
      <w:bookmarkStart w:name="4）本期实际核销的其他应收款情况" w:id="273"/>
      <w:bookmarkEnd w:id="273"/>
      <w:r>
        <w:rPr>
          <w:b w:val="0"/>
          <w:bCs w:val="0"/>
        </w:rPr>
      </w:r>
      <w:r>
        <w:rPr>
          <w:rFonts w:ascii="Times New Roman" w:hAnsi="Times New Roman" w:cs="Times New Roman" w:eastAsia="Times New Roman" w:hint="default"/>
        </w:rPr>
        <w:t>4</w:t>
      </w:r>
      <w:r>
        <w:rPr/>
        <w:t>）本期实际核销的其他应收款情况</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4783"/>
        <w:gridCol w:w="4787"/>
      </w:tblGrid>
      <w:tr>
        <w:trPr>
          <w:trHeight w:val="398"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7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核销金额</w:t>
            </w:r>
          </w:p>
        </w:tc>
      </w:tr>
    </w:tbl>
    <w:p>
      <w:pPr>
        <w:pStyle w:val="BodyText"/>
        <w:spacing w:line="240" w:lineRule="auto" w:before="53"/>
        <w:ind w:right="0"/>
        <w:jc w:val="left"/>
      </w:pPr>
      <w:r>
        <w:rPr>
          <w:spacing w:val="-3"/>
        </w:rPr>
        <w:t>其中重要的其他应收款核销情况：</w:t>
      </w:r>
    </w:p>
    <w:p>
      <w:pPr>
        <w:pStyle w:val="BodyText"/>
        <w:spacing w:line="240" w:lineRule="auto" w:before="119"/>
        <w:ind w:left="0" w:right="1122"/>
        <w:jc w:val="right"/>
      </w:pPr>
      <w:r>
        <w:rPr/>
        <w:t>单位：</w:t>
      </w:r>
      <w:r>
        <w:rPr>
          <w:spacing w:val="5"/>
        </w:rPr>
        <w:t> </w:t>
      </w:r>
      <w:r>
        <w:rPr/>
        <w:t>元</w:t>
      </w:r>
    </w:p>
    <w:p>
      <w:pPr>
        <w:spacing w:line="240" w:lineRule="auto" w:before="10"/>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594"/>
        <w:gridCol w:w="1594"/>
        <w:gridCol w:w="1595"/>
        <w:gridCol w:w="1594"/>
        <w:gridCol w:w="1599"/>
        <w:gridCol w:w="1594"/>
      </w:tblGrid>
      <w:tr>
        <w:trPr>
          <w:trHeight w:val="71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163" w:right="0"/>
              <w:jc w:val="left"/>
              <w:rPr>
                <w:rFonts w:ascii="宋体" w:hAnsi="宋体" w:cs="宋体" w:eastAsia="宋体" w:hint="default"/>
                <w:sz w:val="18"/>
                <w:szCs w:val="18"/>
              </w:rPr>
            </w:pPr>
            <w:r>
              <w:rPr>
                <w:rFonts w:ascii="宋体" w:hAnsi="宋体" w:cs="宋体" w:eastAsia="宋体" w:hint="default"/>
                <w:spacing w:val="-3"/>
                <w:sz w:val="18"/>
                <w:szCs w:val="18"/>
              </w:rPr>
              <w:t>其他应收款性质</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1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163" w:right="0"/>
              <w:jc w:val="left"/>
              <w:rPr>
                <w:rFonts w:ascii="宋体" w:hAnsi="宋体" w:cs="宋体" w:eastAsia="宋体" w:hint="default"/>
                <w:sz w:val="18"/>
                <w:szCs w:val="18"/>
              </w:rPr>
            </w:pPr>
            <w:r>
              <w:rPr>
                <w:rFonts w:ascii="宋体" w:hAnsi="宋体" w:cs="宋体" w:eastAsia="宋体" w:hint="default"/>
                <w:spacing w:val="-3"/>
                <w:sz w:val="18"/>
                <w:szCs w:val="18"/>
              </w:rPr>
              <w:t>履行的核销程序</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6"/>
              <w:ind w:left="427" w:right="161" w:hanging="270"/>
              <w:jc w:val="left"/>
              <w:rPr>
                <w:rFonts w:ascii="宋体" w:hAnsi="宋体" w:cs="宋体" w:eastAsia="宋体" w:hint="default"/>
                <w:sz w:val="18"/>
                <w:szCs w:val="18"/>
              </w:rPr>
            </w:pPr>
            <w:r>
              <w:rPr>
                <w:rFonts w:ascii="宋体" w:hAnsi="宋体" w:cs="宋体" w:eastAsia="宋体" w:hint="default"/>
                <w:spacing w:val="-3"/>
                <w:sz w:val="18"/>
                <w:szCs w:val="18"/>
              </w:rPr>
              <w:t>款项是否由关联</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交易产生</w:t>
            </w:r>
          </w:p>
        </w:tc>
      </w:tr>
    </w:tbl>
    <w:p>
      <w:pPr>
        <w:pStyle w:val="BodyText"/>
        <w:spacing w:line="357" w:lineRule="auto" w:before="53"/>
        <w:ind w:right="8823"/>
        <w:jc w:val="left"/>
      </w:pPr>
      <w:r>
        <w:rPr>
          <w:spacing w:val="-2"/>
        </w:rPr>
        <w:t>其他应收款核销说明：</w:t>
      </w:r>
      <w:r>
        <w:rPr>
          <w:spacing w:val="-66"/>
        </w:rPr>
        <w:t> </w:t>
      </w:r>
      <w:r>
        <w:rPr>
          <w:spacing w:val="-66"/>
        </w:rPr>
      </w:r>
      <w:r>
        <w:rPr/>
        <w:t>无。</w:t>
      </w:r>
    </w:p>
    <w:p>
      <w:pPr>
        <w:spacing w:line="240" w:lineRule="auto" w:before="4"/>
        <w:rPr>
          <w:rFonts w:ascii="宋体" w:hAnsi="宋体" w:cs="宋体" w:eastAsia="宋体" w:hint="default"/>
          <w:sz w:val="20"/>
          <w:szCs w:val="20"/>
        </w:rPr>
      </w:pPr>
    </w:p>
    <w:p>
      <w:pPr>
        <w:pStyle w:val="Heading4"/>
        <w:spacing w:line="240" w:lineRule="auto"/>
        <w:ind w:right="0"/>
        <w:jc w:val="left"/>
        <w:rPr>
          <w:b w:val="0"/>
          <w:bCs w:val="0"/>
        </w:rPr>
      </w:pPr>
      <w:bookmarkStart w:name="5）按欠款方归集的期末余额前五名的其他应收款情况" w:id="274"/>
      <w:bookmarkEnd w:id="274"/>
      <w:r>
        <w:rPr>
          <w:b w:val="0"/>
          <w:bCs w:val="0"/>
        </w:rPr>
      </w:r>
      <w:r>
        <w:rPr>
          <w:rFonts w:ascii="Times New Roman" w:hAnsi="Times New Roman" w:cs="Times New Roman" w:eastAsia="Times New Roman" w:hint="default"/>
        </w:rPr>
        <w:t>5</w:t>
      </w:r>
      <w:r>
        <w:rPr/>
        <w:t>）按欠款方归集的期末余额前五名的其他应收款情况</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594"/>
        <w:gridCol w:w="1594"/>
        <w:gridCol w:w="1595"/>
        <w:gridCol w:w="1594"/>
        <w:gridCol w:w="1599"/>
        <w:gridCol w:w="1594"/>
      </w:tblGrid>
      <w:tr>
        <w:trPr>
          <w:trHeight w:val="102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432"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345" w:right="0"/>
              <w:jc w:val="left"/>
              <w:rPr>
                <w:rFonts w:ascii="宋体" w:hAnsi="宋体" w:cs="宋体" w:eastAsia="宋体" w:hint="default"/>
                <w:sz w:val="18"/>
                <w:szCs w:val="18"/>
              </w:rPr>
            </w:pPr>
            <w:r>
              <w:rPr>
                <w:rFonts w:ascii="宋体" w:hAnsi="宋体" w:cs="宋体" w:eastAsia="宋体" w:hint="default"/>
                <w:sz w:val="18"/>
                <w:szCs w:val="18"/>
              </w:rPr>
              <w:t>款项的性质</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43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9"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163" w:right="161"/>
              <w:jc w:val="center"/>
              <w:rPr>
                <w:rFonts w:ascii="宋体" w:hAnsi="宋体" w:cs="宋体" w:eastAsia="宋体" w:hint="default"/>
                <w:sz w:val="18"/>
                <w:szCs w:val="18"/>
              </w:rPr>
            </w:pPr>
            <w:r>
              <w:rPr>
                <w:rFonts w:ascii="宋体" w:hAnsi="宋体" w:cs="宋体" w:eastAsia="宋体" w:hint="default"/>
                <w:spacing w:val="-3"/>
                <w:sz w:val="18"/>
                <w:szCs w:val="18"/>
              </w:rPr>
              <w:t>占其他应收款期</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3"/>
                <w:sz w:val="18"/>
                <w:szCs w:val="18"/>
              </w:rPr>
              <w:t>末余额合计数的</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比例</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701" w:right="161" w:hanging="543"/>
              <w:jc w:val="left"/>
              <w:rPr>
                <w:rFonts w:ascii="宋体" w:hAnsi="宋体" w:cs="宋体" w:eastAsia="宋体" w:hint="default"/>
                <w:sz w:val="18"/>
                <w:szCs w:val="18"/>
              </w:rPr>
            </w:pPr>
            <w:r>
              <w:rPr>
                <w:rFonts w:ascii="宋体" w:hAnsi="宋体" w:cs="宋体" w:eastAsia="宋体" w:hint="default"/>
                <w:spacing w:val="-3"/>
                <w:sz w:val="18"/>
                <w:szCs w:val="18"/>
              </w:rPr>
              <w:t>坏账准备期末余</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额</w:t>
            </w:r>
          </w:p>
        </w:tc>
      </w:tr>
      <w:tr>
        <w:trPr>
          <w:trHeight w:val="715"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21" w:lineRule="auto" w:before="53"/>
              <w:ind w:left="105" w:right="214"/>
              <w:jc w:val="left"/>
              <w:rPr>
                <w:rFonts w:ascii="宋体" w:hAnsi="宋体" w:cs="宋体" w:eastAsia="宋体" w:hint="default"/>
                <w:sz w:val="18"/>
                <w:szCs w:val="18"/>
              </w:rPr>
            </w:pPr>
            <w:r>
              <w:rPr>
                <w:rFonts w:ascii="宋体" w:hAnsi="宋体" w:cs="宋体" w:eastAsia="宋体" w:hint="default"/>
                <w:spacing w:val="-3"/>
                <w:sz w:val="18"/>
                <w:szCs w:val="18"/>
              </w:rPr>
              <w:t>深圳国立商事认</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证中心</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押金</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3,407,050.00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10.58%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177,378.10</w:t>
            </w:r>
          </w:p>
        </w:tc>
      </w:tr>
      <w:tr>
        <w:trPr>
          <w:trHeight w:val="716"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105" w:right="214"/>
              <w:jc w:val="left"/>
              <w:rPr>
                <w:rFonts w:ascii="宋体" w:hAnsi="宋体" w:cs="宋体" w:eastAsia="宋体" w:hint="default"/>
                <w:sz w:val="18"/>
                <w:szCs w:val="18"/>
              </w:rPr>
            </w:pPr>
            <w:r>
              <w:rPr>
                <w:rFonts w:ascii="宋体" w:hAnsi="宋体" w:cs="宋体" w:eastAsia="宋体" w:hint="default"/>
                <w:spacing w:val="-3"/>
                <w:sz w:val="18"/>
                <w:szCs w:val="18"/>
              </w:rPr>
              <w:t>重庆市渝北区公</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3"/>
                <w:sz w:val="18"/>
                <w:szCs w:val="18"/>
              </w:rPr>
              <w:t>共资源交易中心</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投标保证金</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3,000,000.00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年以内</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9.31%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150,000.00</w:t>
            </w:r>
          </w:p>
        </w:tc>
      </w:tr>
      <w:tr>
        <w:trPr>
          <w:trHeight w:val="715"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105" w:right="214"/>
              <w:jc w:val="left"/>
              <w:rPr>
                <w:rFonts w:ascii="宋体" w:hAnsi="宋体" w:cs="宋体" w:eastAsia="宋体" w:hint="default"/>
                <w:sz w:val="18"/>
                <w:szCs w:val="18"/>
              </w:rPr>
            </w:pPr>
            <w:r>
              <w:rPr>
                <w:rFonts w:ascii="宋体" w:hAnsi="宋体" w:cs="宋体" w:eastAsia="宋体" w:hint="default"/>
                <w:spacing w:val="-3"/>
                <w:sz w:val="18"/>
                <w:szCs w:val="18"/>
              </w:rPr>
              <w:t>广州奥迪通用照</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明有限公司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借款</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2,750,000.00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8.54%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1,375,000.00</w:t>
            </w:r>
          </w:p>
        </w:tc>
      </w:tr>
      <w:tr>
        <w:trPr>
          <w:trHeight w:val="710"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105" w:right="214"/>
              <w:jc w:val="left"/>
              <w:rPr>
                <w:rFonts w:ascii="宋体" w:hAnsi="宋体" w:cs="宋体" w:eastAsia="宋体" w:hint="default"/>
                <w:sz w:val="18"/>
                <w:szCs w:val="18"/>
              </w:rPr>
            </w:pPr>
            <w:r>
              <w:rPr>
                <w:rFonts w:ascii="宋体" w:hAnsi="宋体" w:cs="宋体" w:eastAsia="宋体" w:hint="default"/>
                <w:spacing w:val="-3"/>
                <w:sz w:val="18"/>
                <w:szCs w:val="18"/>
              </w:rPr>
              <w:t>青岛市市政建设</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管理处</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履约保证金</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2,150,000.00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6.68%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215,000.00</w:t>
            </w:r>
          </w:p>
        </w:tc>
      </w:tr>
      <w:tr>
        <w:trPr>
          <w:trHeight w:val="404"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张明星</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员工借款</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1,334,937.08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年以内</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pacing w:val="-1"/>
                <w:sz w:val="18"/>
              </w:rPr>
              <w:t>4.14%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66,746.85</w:t>
            </w: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12,641,987.08</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pacing w:val="-1"/>
                <w:sz w:val="18"/>
              </w:rPr>
              <w:t>39.25%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1,984,124.95</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6）涉及政府补助的应收款项" w:id="275"/>
      <w:bookmarkEnd w:id="275"/>
      <w:r>
        <w:rPr>
          <w:b w:val="0"/>
          <w:bCs w:val="0"/>
        </w:rPr>
      </w:r>
      <w:r>
        <w:rPr>
          <w:rFonts w:ascii="Times New Roman" w:hAnsi="Times New Roman" w:cs="Times New Roman" w:eastAsia="Times New Roman" w:hint="default"/>
        </w:rPr>
        <w:t>6</w:t>
      </w:r>
      <w:r>
        <w:rPr/>
        <w:t>）涉及政府补助的应收款项</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10"/>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11"/>
        <w:gridCol w:w="1916"/>
        <w:gridCol w:w="1916"/>
        <w:gridCol w:w="1916"/>
        <w:gridCol w:w="1916"/>
      </w:tblGrid>
      <w:tr>
        <w:trPr>
          <w:trHeight w:val="71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590"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235" w:right="0"/>
              <w:jc w:val="left"/>
              <w:rPr>
                <w:rFonts w:ascii="宋体" w:hAnsi="宋体" w:cs="宋体" w:eastAsia="宋体" w:hint="default"/>
                <w:sz w:val="18"/>
                <w:szCs w:val="18"/>
              </w:rPr>
            </w:pPr>
            <w:r>
              <w:rPr>
                <w:rFonts w:ascii="宋体" w:hAnsi="宋体" w:cs="宋体" w:eastAsia="宋体" w:hint="default"/>
                <w:sz w:val="18"/>
                <w:szCs w:val="18"/>
              </w:rPr>
              <w:t>政府补助项目名称</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595"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595" w:right="0"/>
              <w:jc w:val="left"/>
              <w:rPr>
                <w:rFonts w:ascii="宋体" w:hAnsi="宋体" w:cs="宋体" w:eastAsia="宋体" w:hint="default"/>
                <w:sz w:val="18"/>
                <w:szCs w:val="18"/>
              </w:rPr>
            </w:pPr>
            <w:r>
              <w:rPr>
                <w:rFonts w:ascii="宋体" w:hAnsi="宋体" w:cs="宋体" w:eastAsia="宋体" w:hint="default"/>
                <w:sz w:val="18"/>
                <w:szCs w:val="18"/>
              </w:rPr>
              <w:t>期末账龄</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6"/>
              <w:ind w:left="590" w:right="142" w:hanging="452"/>
              <w:jc w:val="left"/>
              <w:rPr>
                <w:rFonts w:ascii="宋体" w:hAnsi="宋体" w:cs="宋体" w:eastAsia="宋体" w:hint="default"/>
                <w:sz w:val="18"/>
                <w:szCs w:val="18"/>
              </w:rPr>
            </w:pPr>
            <w:r>
              <w:rPr>
                <w:rFonts w:ascii="宋体" w:hAnsi="宋体" w:cs="宋体" w:eastAsia="宋体" w:hint="default"/>
                <w:spacing w:val="-3"/>
                <w:sz w:val="18"/>
                <w:szCs w:val="18"/>
              </w:rPr>
              <w:t>预计收取的时间、金</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额及依据</w:t>
            </w:r>
          </w:p>
        </w:tc>
      </w:tr>
    </w:tbl>
    <w:p>
      <w:pPr>
        <w:pStyle w:val="BodyText"/>
        <w:spacing w:line="240" w:lineRule="auto" w:before="10"/>
        <w:ind w:right="0"/>
        <w:jc w:val="left"/>
      </w:pPr>
      <w:r>
        <w:rPr>
          <w:spacing w:val="-3"/>
        </w:rPr>
        <w:t>公司本年不存在涉及政府补助的应收款项。</w:t>
      </w:r>
    </w:p>
    <w:p>
      <w:pPr>
        <w:spacing w:line="240" w:lineRule="auto" w:before="0"/>
        <w:rPr>
          <w:rFonts w:ascii="宋体" w:hAnsi="宋体" w:cs="宋体" w:eastAsia="宋体" w:hint="default"/>
          <w:sz w:val="18"/>
          <w:szCs w:val="18"/>
        </w:rPr>
      </w:pPr>
    </w:p>
    <w:p>
      <w:pPr>
        <w:pStyle w:val="Heading4"/>
        <w:spacing w:line="240" w:lineRule="auto" w:before="118"/>
        <w:ind w:right="0"/>
        <w:jc w:val="left"/>
        <w:rPr>
          <w:b w:val="0"/>
          <w:bCs w:val="0"/>
        </w:rPr>
      </w:pPr>
      <w:bookmarkStart w:name="7）因金融资产转移而终止确认的其他应收款" w:id="276"/>
      <w:bookmarkEnd w:id="276"/>
      <w:r>
        <w:rPr>
          <w:b w:val="0"/>
          <w:bCs w:val="0"/>
        </w:rPr>
      </w:r>
      <w:r>
        <w:rPr>
          <w:rFonts w:ascii="Times New Roman" w:hAnsi="Times New Roman" w:cs="Times New Roman" w:eastAsia="Times New Roman" w:hint="default"/>
        </w:rPr>
        <w:t>7</w:t>
      </w:r>
      <w:r>
        <w:rPr/>
        <w:t>）因金融资产转移而终止确认的其他应收款</w:t>
      </w:r>
      <w:r>
        <w:rPr>
          <w:b w:val="0"/>
          <w:bCs w:val="0"/>
        </w:rPr>
      </w:r>
    </w:p>
    <w:p>
      <w:pPr>
        <w:spacing w:line="240" w:lineRule="auto" w:before="9"/>
        <w:rPr>
          <w:rFonts w:ascii="宋体" w:hAnsi="宋体" w:cs="宋体" w:eastAsia="宋体" w:hint="default"/>
          <w:b/>
          <w:bCs/>
          <w:sz w:val="26"/>
          <w:szCs w:val="26"/>
        </w:rPr>
      </w:pPr>
    </w:p>
    <w:p>
      <w:pPr>
        <w:pStyle w:val="BodyText"/>
        <w:spacing w:line="240" w:lineRule="auto" w:before="0"/>
        <w:ind w:right="0"/>
        <w:jc w:val="left"/>
      </w:pPr>
      <w:r>
        <w:rPr>
          <w:spacing w:val="-3"/>
        </w:rPr>
        <w:t>无因金融资产转移而终止确认的其他应收款。</w:t>
      </w:r>
    </w:p>
    <w:p>
      <w:pPr>
        <w:spacing w:after="0" w:line="240" w:lineRule="auto"/>
        <w:jc w:val="left"/>
        <w:sectPr>
          <w:pgSz w:w="11910" w:h="16840"/>
          <w:pgMar w:header="784" w:footer="1022" w:top="1100" w:bottom="1220" w:left="980" w:right="0"/>
        </w:sectPr>
      </w:pPr>
    </w:p>
    <w:p>
      <w:pPr>
        <w:spacing w:line="240" w:lineRule="auto" w:before="13"/>
        <w:rPr>
          <w:rFonts w:ascii="宋体" w:hAnsi="宋体" w:cs="宋体" w:eastAsia="宋体" w:hint="default"/>
          <w:sz w:val="21"/>
          <w:szCs w:val="21"/>
        </w:rPr>
      </w:pPr>
    </w:p>
    <w:p>
      <w:pPr>
        <w:pStyle w:val="Heading4"/>
        <w:spacing w:line="240" w:lineRule="auto" w:before="36"/>
        <w:ind w:right="0"/>
        <w:jc w:val="left"/>
        <w:rPr>
          <w:b w:val="0"/>
          <w:bCs w:val="0"/>
        </w:rPr>
      </w:pPr>
      <w:bookmarkStart w:name="8）转移其他应收款且继续涉入形成的资产、负债金额" w:id="277"/>
      <w:bookmarkEnd w:id="277"/>
      <w:r>
        <w:rPr>
          <w:b w:val="0"/>
          <w:bCs w:val="0"/>
        </w:rPr>
      </w:r>
      <w:r>
        <w:rPr>
          <w:rFonts w:ascii="Times New Roman" w:hAnsi="Times New Roman" w:cs="Times New Roman" w:eastAsia="Times New Roman" w:hint="default"/>
        </w:rPr>
        <w:t>8</w:t>
      </w:r>
      <w:r>
        <w:rPr/>
        <w:t>）转移其他应收款且继续涉入形成的资产、负债金额</w:t>
      </w:r>
      <w:r>
        <w:rPr>
          <w:b w:val="0"/>
          <w:bCs w:val="0"/>
        </w:rPr>
      </w:r>
    </w:p>
    <w:p>
      <w:pPr>
        <w:spacing w:line="240" w:lineRule="auto" w:before="4"/>
        <w:rPr>
          <w:rFonts w:ascii="宋体" w:hAnsi="宋体" w:cs="宋体" w:eastAsia="宋体" w:hint="default"/>
          <w:b/>
          <w:bCs/>
          <w:sz w:val="26"/>
          <w:szCs w:val="26"/>
        </w:rPr>
      </w:pPr>
    </w:p>
    <w:p>
      <w:pPr>
        <w:pStyle w:val="BodyText"/>
        <w:spacing w:line="362" w:lineRule="auto" w:before="0"/>
        <w:ind w:right="6445"/>
        <w:jc w:val="left"/>
      </w:pPr>
      <w:r>
        <w:rPr>
          <w:spacing w:val="-3"/>
        </w:rPr>
        <w:t>无转移其他应收款且继续涉入形成的资产、负债金额。</w:t>
      </w:r>
      <w:r>
        <w:rPr>
          <w:spacing w:val="-16"/>
        </w:rPr>
        <w:t> </w:t>
      </w:r>
      <w:r>
        <w:rPr>
          <w:spacing w:val="-16"/>
        </w:rPr>
      </w:r>
      <w:r>
        <w:rPr/>
        <w:t>其他说明：</w:t>
      </w:r>
    </w:p>
    <w:p>
      <w:pPr>
        <w:pStyle w:val="BodyText"/>
        <w:spacing w:line="240" w:lineRule="auto" w:before="18"/>
        <w:ind w:right="0"/>
        <w:jc w:val="left"/>
      </w:pPr>
      <w:r>
        <w:rPr/>
        <w:t>无。</w:t>
      </w:r>
    </w:p>
    <w:p>
      <w:pPr>
        <w:spacing w:line="240" w:lineRule="auto" w:before="0"/>
        <w:rPr>
          <w:rFonts w:ascii="宋体" w:hAnsi="宋体" w:cs="宋体" w:eastAsia="宋体" w:hint="default"/>
          <w:sz w:val="18"/>
          <w:szCs w:val="18"/>
        </w:rPr>
      </w:pPr>
    </w:p>
    <w:p>
      <w:pPr>
        <w:pStyle w:val="Heading4"/>
        <w:spacing w:line="240" w:lineRule="auto" w:before="118"/>
        <w:ind w:right="0"/>
        <w:jc w:val="left"/>
        <w:rPr>
          <w:b w:val="0"/>
          <w:bCs w:val="0"/>
        </w:rPr>
      </w:pPr>
      <w:bookmarkStart w:name="9、存货" w:id="278"/>
      <w:bookmarkEnd w:id="278"/>
      <w:r>
        <w:rPr>
          <w:b w:val="0"/>
          <w:bCs w:val="0"/>
        </w:rPr>
      </w:r>
      <w:r>
        <w:rPr>
          <w:rFonts w:ascii="Times New Roman" w:hAnsi="Times New Roman" w:cs="Times New Roman" w:eastAsia="Times New Roman" w:hint="default"/>
        </w:rPr>
        <w:t>9</w:t>
      </w:r>
      <w:r>
        <w:rPr/>
        <w:t>、存货</w:t>
      </w:r>
      <w:r>
        <w:rPr>
          <w:b w:val="0"/>
          <w:bCs w:val="0"/>
        </w:rPr>
      </w:r>
    </w:p>
    <w:p>
      <w:pPr>
        <w:spacing w:line="240" w:lineRule="auto" w:before="1"/>
        <w:rPr>
          <w:rFonts w:ascii="宋体" w:hAnsi="宋体" w:cs="宋体" w:eastAsia="宋体" w:hint="default"/>
          <w:b/>
          <w:bCs/>
          <w:sz w:val="27"/>
          <w:szCs w:val="27"/>
        </w:rPr>
      </w:pPr>
    </w:p>
    <w:p>
      <w:pPr>
        <w:pStyle w:val="BodyText"/>
        <w:spacing w:line="240" w:lineRule="auto" w:before="0"/>
        <w:ind w:right="0"/>
        <w:jc w:val="left"/>
      </w:pPr>
      <w:r>
        <w:rPr/>
        <w:t>是否已执行新收入准则</w:t>
      </w:r>
    </w:p>
    <w:p>
      <w:pPr>
        <w:pStyle w:val="BodyText"/>
        <w:spacing w:line="240" w:lineRule="auto" w:before="115"/>
        <w:ind w:right="0"/>
        <w:jc w:val="left"/>
      </w:pPr>
      <w:r>
        <w:rPr/>
        <w:t>□ 是 √</w:t>
      </w:r>
      <w:r>
        <w:rPr>
          <w:spacing w:val="2"/>
        </w:rPr>
        <w:t> </w:t>
      </w:r>
      <w:r>
        <w:rPr/>
        <w:t>否</w:t>
      </w:r>
    </w:p>
    <w:p>
      <w:pPr>
        <w:spacing w:line="240" w:lineRule="auto" w:before="4"/>
        <w:rPr>
          <w:rFonts w:ascii="宋体" w:hAnsi="宋体" w:cs="宋体" w:eastAsia="宋体" w:hint="default"/>
          <w:sz w:val="26"/>
          <w:szCs w:val="26"/>
        </w:rPr>
      </w:pPr>
    </w:p>
    <w:p>
      <w:pPr>
        <w:pStyle w:val="Heading4"/>
        <w:spacing w:line="240" w:lineRule="auto"/>
        <w:ind w:right="0"/>
        <w:jc w:val="left"/>
        <w:rPr>
          <w:b w:val="0"/>
          <w:bCs w:val="0"/>
        </w:rPr>
      </w:pPr>
      <w:bookmarkStart w:name="（1）存货分类" w:id="279"/>
      <w:bookmarkEnd w:id="279"/>
      <w:r>
        <w:rPr>
          <w:b w:val="0"/>
          <w:bCs w:val="0"/>
        </w:rPr>
      </w:r>
      <w:r>
        <w:rPr/>
        <w:t>（</w:t>
      </w:r>
      <w:r>
        <w:rPr>
          <w:rFonts w:ascii="Times New Roman" w:hAnsi="Times New Roman" w:cs="Times New Roman" w:eastAsia="Times New Roman" w:hint="default"/>
        </w:rPr>
        <w:t>1</w:t>
      </w:r>
      <w:r>
        <w:rPr/>
        <w:t>）存货分类</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0"/>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369"/>
        <w:gridCol w:w="1368"/>
        <w:gridCol w:w="1369"/>
        <w:gridCol w:w="1368"/>
        <w:gridCol w:w="1364"/>
        <w:gridCol w:w="1369"/>
        <w:gridCol w:w="1369"/>
      </w:tblGrid>
      <w:tr>
        <w:trPr>
          <w:trHeight w:val="398" w:hRule="exact"/>
        </w:trPr>
        <w:tc>
          <w:tcPr>
            <w:tcW w:w="136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105"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1"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1369"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2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21"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21"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16"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22"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21"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50,254,623.36</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2,513,405.91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47,741,217.45</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48,044,026.13</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1,435,839.22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46,608,186.91</w:t>
            </w: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76,208,321.31</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2,521,873.27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73,686,448.04</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60,314,811.58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565,373.62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59,749,437.96</w:t>
            </w:r>
          </w:p>
        </w:tc>
      </w:tr>
      <w:tr>
        <w:trPr>
          <w:trHeight w:val="399"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62,775,822.08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3,913,203.88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58,862,618.20</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50,857,127.23</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2,637,492.98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48,219,634.25</w:t>
            </w:r>
          </w:p>
        </w:tc>
      </w:tr>
      <w:tr>
        <w:trPr>
          <w:trHeight w:val="1027"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105" w:right="166"/>
              <w:jc w:val="both"/>
              <w:rPr>
                <w:rFonts w:ascii="宋体" w:hAnsi="宋体" w:cs="宋体" w:eastAsia="宋体" w:hint="default"/>
                <w:sz w:val="18"/>
                <w:szCs w:val="18"/>
              </w:rPr>
            </w:pPr>
            <w:r>
              <w:rPr>
                <w:rFonts w:ascii="宋体" w:hAnsi="宋体" w:cs="宋体" w:eastAsia="宋体" w:hint="default"/>
                <w:spacing w:val="-2"/>
                <w:sz w:val="18"/>
                <w:szCs w:val="18"/>
              </w:rPr>
              <w:t>建造合同形成</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的已完工未结</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算资产</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22,791,229.59</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22,791,229.59</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40,585,384.31</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40,585,384.31</w:t>
            </w:r>
          </w:p>
        </w:tc>
      </w:tr>
      <w:tr>
        <w:trPr>
          <w:trHeight w:val="404"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发出商品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32,190,077.87</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628,290.39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31,561,787.48</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38,933,618.80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1,002,031.39</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37,931,587.41</w:t>
            </w: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委托加工物资</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654,553.48</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654,553.48</w:t>
            </w:r>
          </w:p>
        </w:tc>
        <w:tc>
          <w:tcPr>
            <w:tcW w:w="1364"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244,874,627.69</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9,576,773.45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235,297,854.24</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238,734,968.05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5,640,737.21</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233,094,230.84</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2）存货跌价准备" w:id="280"/>
      <w:bookmarkEnd w:id="280"/>
      <w:r>
        <w:rPr>
          <w:b w:val="0"/>
          <w:bCs w:val="0"/>
        </w:rPr>
      </w:r>
      <w:r>
        <w:rPr/>
        <w:t>（</w:t>
      </w:r>
      <w:r>
        <w:rPr>
          <w:rFonts w:ascii="Times New Roman" w:hAnsi="Times New Roman" w:cs="Times New Roman" w:eastAsia="Times New Roman" w:hint="default"/>
        </w:rPr>
        <w:t>2</w:t>
      </w:r>
      <w:r>
        <w:rPr/>
        <w:t>）存货跌价准备</w:t>
      </w:r>
      <w:r>
        <w:rPr>
          <w:b w:val="0"/>
          <w:bCs w:val="0"/>
        </w:rPr>
      </w:r>
    </w:p>
    <w:p>
      <w:pPr>
        <w:spacing w:line="240" w:lineRule="auto" w:before="7"/>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369"/>
        <w:gridCol w:w="1368"/>
        <w:gridCol w:w="1369"/>
        <w:gridCol w:w="1368"/>
        <w:gridCol w:w="1364"/>
        <w:gridCol w:w="1369"/>
        <w:gridCol w:w="1369"/>
      </w:tblGrid>
      <w:tr>
        <w:trPr>
          <w:trHeight w:val="403" w:hRule="exact"/>
        </w:trPr>
        <w:tc>
          <w:tcPr>
            <w:tcW w:w="136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321"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826"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273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821"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36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32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3" w:hRule="exact"/>
        </w:trPr>
        <w:tc>
          <w:tcPr>
            <w:tcW w:w="1369"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计提</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3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25" w:right="0"/>
              <w:jc w:val="left"/>
              <w:rPr>
                <w:rFonts w:ascii="宋体" w:hAnsi="宋体" w:cs="宋体" w:eastAsia="宋体" w:hint="default"/>
                <w:sz w:val="18"/>
                <w:szCs w:val="18"/>
              </w:rPr>
            </w:pPr>
            <w:r>
              <w:rPr>
                <w:rFonts w:ascii="宋体" w:hAnsi="宋体" w:cs="宋体" w:eastAsia="宋体" w:hint="default"/>
                <w:sz w:val="18"/>
                <w:szCs w:val="18"/>
              </w:rPr>
              <w:t>转回或转销</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369" w:type="dxa"/>
            <w:vMerge/>
            <w:tcBorders>
              <w:left w:val="single" w:sz="4" w:space="0" w:color="000000"/>
              <w:bottom w:val="single" w:sz="4" w:space="0" w:color="000000"/>
              <w:right w:val="single" w:sz="4" w:space="0" w:color="000000"/>
            </w:tcBorders>
            <w:shd w:val="clear" w:color="auto" w:fill="D2D2D2"/>
          </w:tcPr>
          <w:p>
            <w:pPr/>
          </w:p>
        </w:tc>
      </w:tr>
      <w:tr>
        <w:trPr>
          <w:trHeight w:val="399"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1,435,839.22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1,098,866.34</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21,299.65</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2,513,405.91</w:t>
            </w: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565,373.62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1,956,499.65</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2,521,873.27</w:t>
            </w: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2,637,492.98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1,388,371.39</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112,660.49</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3,913,203.88</w:t>
            </w: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发出商品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1,002,031.39</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518,897.28</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892,638.28</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628,290.39</w:t>
            </w:r>
          </w:p>
        </w:tc>
      </w:tr>
      <w:tr>
        <w:trPr>
          <w:trHeight w:val="398"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5,640,737.21</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4,962,634.66</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1,026,598.42</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9,576,773.45</w:t>
            </w:r>
          </w:p>
        </w:tc>
      </w:tr>
    </w:tbl>
    <w:p>
      <w:pPr>
        <w:pStyle w:val="BodyText"/>
        <w:spacing w:line="240" w:lineRule="auto" w:before="11"/>
        <w:ind w:left="633" w:right="0"/>
        <w:jc w:val="left"/>
      </w:pPr>
      <w:r>
        <w:rPr>
          <w:spacing w:val="-3"/>
        </w:rPr>
        <w:t>存货跌价准备计提依据及本年转回或转销原因</w:t>
      </w:r>
    </w:p>
    <w:p>
      <w:pPr>
        <w:spacing w:line="240" w:lineRule="auto" w:before="0"/>
        <w:rPr>
          <w:rFonts w:ascii="宋体" w:hAnsi="宋体" w:cs="宋体" w:eastAsia="宋体" w:hint="default"/>
          <w:sz w:val="5"/>
          <w:szCs w:val="5"/>
        </w:rPr>
      </w:pPr>
    </w:p>
    <w:tbl>
      <w:tblPr>
        <w:tblW w:w="0" w:type="auto"/>
        <w:jc w:val="left"/>
        <w:tblInd w:w="138" w:type="dxa"/>
        <w:tblLayout w:type="fixed"/>
        <w:tblCellMar>
          <w:top w:w="0" w:type="dxa"/>
          <w:left w:w="0" w:type="dxa"/>
          <w:bottom w:w="0" w:type="dxa"/>
          <w:right w:w="0" w:type="dxa"/>
        </w:tblCellMar>
        <w:tblLook w:val="01E0"/>
      </w:tblPr>
      <w:tblGrid>
        <w:gridCol w:w="2077"/>
        <w:gridCol w:w="2531"/>
        <w:gridCol w:w="2531"/>
        <w:gridCol w:w="2533"/>
      </w:tblGrid>
      <w:tr>
        <w:trPr>
          <w:trHeight w:val="662" w:hRule="exact"/>
        </w:trPr>
        <w:tc>
          <w:tcPr>
            <w:tcW w:w="2077"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25"/>
              <w:ind w:left="2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53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5"/>
              <w:ind w:left="902" w:right="435" w:hanging="447"/>
              <w:jc w:val="left"/>
              <w:rPr>
                <w:rFonts w:ascii="宋体" w:hAnsi="宋体" w:cs="宋体" w:eastAsia="宋体" w:hint="default"/>
                <w:sz w:val="18"/>
                <w:szCs w:val="18"/>
              </w:rPr>
            </w:pPr>
            <w:r>
              <w:rPr>
                <w:rFonts w:ascii="宋体" w:hAnsi="宋体" w:cs="宋体" w:eastAsia="宋体" w:hint="default"/>
                <w:spacing w:val="-3"/>
                <w:sz w:val="18"/>
                <w:szCs w:val="18"/>
              </w:rPr>
              <w:t>计提存货跌价准备的</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具体依据</w:t>
            </w:r>
          </w:p>
        </w:tc>
        <w:tc>
          <w:tcPr>
            <w:tcW w:w="25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5"/>
              <w:ind w:left="91" w:right="0"/>
              <w:jc w:val="left"/>
              <w:rPr>
                <w:rFonts w:ascii="宋体" w:hAnsi="宋体" w:cs="宋体" w:eastAsia="宋体" w:hint="default"/>
                <w:sz w:val="18"/>
                <w:szCs w:val="18"/>
              </w:rPr>
            </w:pPr>
            <w:r>
              <w:rPr>
                <w:rFonts w:ascii="宋体" w:hAnsi="宋体" w:cs="宋体" w:eastAsia="宋体" w:hint="default"/>
                <w:spacing w:val="-3"/>
                <w:sz w:val="18"/>
                <w:szCs w:val="18"/>
              </w:rPr>
              <w:t>本年转回存货跌价准备的原因</w:t>
            </w:r>
          </w:p>
        </w:tc>
        <w:tc>
          <w:tcPr>
            <w:tcW w:w="2533"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25"/>
              <w:ind w:left="91" w:right="0"/>
              <w:jc w:val="left"/>
              <w:rPr>
                <w:rFonts w:ascii="宋体" w:hAnsi="宋体" w:cs="宋体" w:eastAsia="宋体" w:hint="default"/>
                <w:sz w:val="18"/>
                <w:szCs w:val="18"/>
              </w:rPr>
            </w:pPr>
            <w:r>
              <w:rPr>
                <w:rFonts w:ascii="宋体" w:hAnsi="宋体" w:cs="宋体" w:eastAsia="宋体" w:hint="default"/>
                <w:spacing w:val="-3"/>
                <w:sz w:val="18"/>
                <w:szCs w:val="18"/>
              </w:rPr>
              <w:t>本年转销存货跌价准备的原因</w:t>
            </w:r>
          </w:p>
        </w:tc>
      </w:tr>
    </w:tbl>
    <w:p>
      <w:pPr>
        <w:spacing w:after="0" w:line="240" w:lineRule="auto"/>
        <w:jc w:val="left"/>
        <w:rPr>
          <w:rFonts w:ascii="宋体" w:hAnsi="宋体" w:cs="宋体" w:eastAsia="宋体" w:hint="default"/>
          <w:sz w:val="18"/>
          <w:szCs w:val="18"/>
        </w:rPr>
        <w:sectPr>
          <w:pgSz w:w="11910" w:h="16840"/>
          <w:pgMar w:header="784" w:footer="1022" w:top="1100" w:bottom="1220" w:left="980" w:right="0"/>
        </w:sectPr>
      </w:pPr>
    </w:p>
    <w:p>
      <w:pPr>
        <w:spacing w:line="240" w:lineRule="auto" w:before="7"/>
        <w:rPr>
          <w:rFonts w:ascii="宋体" w:hAnsi="宋体" w:cs="宋体" w:eastAsia="宋体" w:hint="default"/>
          <w:sz w:val="25"/>
          <w:szCs w:val="25"/>
        </w:rPr>
      </w:pPr>
    </w:p>
    <w:tbl>
      <w:tblPr>
        <w:tblW w:w="0" w:type="auto"/>
        <w:jc w:val="left"/>
        <w:tblInd w:w="131" w:type="dxa"/>
        <w:tblLayout w:type="fixed"/>
        <w:tblCellMar>
          <w:top w:w="0" w:type="dxa"/>
          <w:left w:w="0" w:type="dxa"/>
          <w:bottom w:w="0" w:type="dxa"/>
          <w:right w:w="0" w:type="dxa"/>
        </w:tblCellMar>
        <w:tblLook w:val="01E0"/>
      </w:tblPr>
      <w:tblGrid>
        <w:gridCol w:w="2077"/>
        <w:gridCol w:w="2531"/>
        <w:gridCol w:w="2531"/>
        <w:gridCol w:w="2533"/>
      </w:tblGrid>
      <w:tr>
        <w:trPr>
          <w:trHeight w:val="346" w:hRule="exact"/>
        </w:trPr>
        <w:tc>
          <w:tcPr>
            <w:tcW w:w="2077"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20"/>
              <w:ind w:left="23"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25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8" w:right="0"/>
              <w:jc w:val="center"/>
              <w:rPr>
                <w:rFonts w:ascii="宋体" w:hAnsi="宋体" w:cs="宋体" w:eastAsia="宋体" w:hint="default"/>
                <w:sz w:val="18"/>
                <w:szCs w:val="18"/>
              </w:rPr>
            </w:pPr>
            <w:r>
              <w:rPr>
                <w:rFonts w:ascii="宋体" w:hAnsi="宋体" w:cs="宋体" w:eastAsia="宋体" w:hint="default"/>
                <w:spacing w:val="-3"/>
                <w:sz w:val="18"/>
                <w:szCs w:val="18"/>
              </w:rPr>
              <w:t>可变现净值低于成本</w:t>
            </w:r>
          </w:p>
        </w:tc>
        <w:tc>
          <w:tcPr>
            <w:tcW w:w="25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center"/>
              <w:rPr>
                <w:rFonts w:ascii="宋体" w:hAnsi="宋体" w:cs="宋体" w:eastAsia="宋体" w:hint="default"/>
                <w:sz w:val="18"/>
                <w:szCs w:val="18"/>
              </w:rPr>
            </w:pPr>
            <w:r>
              <w:rPr>
                <w:rFonts w:ascii="宋体"/>
                <w:w w:val="101"/>
                <w:sz w:val="18"/>
              </w:rPr>
              <w:t>-</w:t>
            </w:r>
            <w:r>
              <w:rPr>
                <w:rFonts w:ascii="宋体"/>
                <w:sz w:val="18"/>
              </w:rPr>
            </w:r>
          </w:p>
        </w:tc>
        <w:tc>
          <w:tcPr>
            <w:tcW w:w="2533"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销售</w:t>
            </w:r>
          </w:p>
        </w:tc>
      </w:tr>
      <w:tr>
        <w:trPr>
          <w:trHeight w:val="350" w:hRule="exact"/>
        </w:trPr>
        <w:tc>
          <w:tcPr>
            <w:tcW w:w="2077"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20"/>
              <w:ind w:left="23" w:right="0"/>
              <w:jc w:val="left"/>
              <w:rPr>
                <w:rFonts w:ascii="宋体" w:hAnsi="宋体" w:cs="宋体" w:eastAsia="宋体" w:hint="default"/>
                <w:sz w:val="18"/>
                <w:szCs w:val="18"/>
              </w:rPr>
            </w:pPr>
            <w:r>
              <w:rPr>
                <w:rFonts w:ascii="宋体" w:hAnsi="宋体" w:cs="宋体" w:eastAsia="宋体" w:hint="default"/>
                <w:sz w:val="18"/>
                <w:szCs w:val="18"/>
              </w:rPr>
              <w:t>产成品</w:t>
            </w:r>
          </w:p>
        </w:tc>
        <w:tc>
          <w:tcPr>
            <w:tcW w:w="25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8" w:right="0"/>
              <w:jc w:val="center"/>
              <w:rPr>
                <w:rFonts w:ascii="宋体" w:hAnsi="宋体" w:cs="宋体" w:eastAsia="宋体" w:hint="default"/>
                <w:sz w:val="18"/>
                <w:szCs w:val="18"/>
              </w:rPr>
            </w:pPr>
            <w:r>
              <w:rPr>
                <w:rFonts w:ascii="宋体" w:hAnsi="宋体" w:cs="宋体" w:eastAsia="宋体" w:hint="default"/>
                <w:spacing w:val="-3"/>
                <w:sz w:val="18"/>
                <w:szCs w:val="18"/>
              </w:rPr>
              <w:t>可变现净值低于成本</w:t>
            </w:r>
          </w:p>
        </w:tc>
        <w:tc>
          <w:tcPr>
            <w:tcW w:w="25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center"/>
              <w:rPr>
                <w:rFonts w:ascii="宋体" w:hAnsi="宋体" w:cs="宋体" w:eastAsia="宋体" w:hint="default"/>
                <w:sz w:val="18"/>
                <w:szCs w:val="18"/>
              </w:rPr>
            </w:pPr>
            <w:r>
              <w:rPr>
                <w:rFonts w:ascii="宋体"/>
                <w:w w:val="101"/>
                <w:sz w:val="18"/>
              </w:rPr>
              <w:t>-</w:t>
            </w:r>
            <w:r>
              <w:rPr>
                <w:rFonts w:ascii="宋体"/>
                <w:sz w:val="18"/>
              </w:rPr>
            </w:r>
          </w:p>
        </w:tc>
        <w:tc>
          <w:tcPr>
            <w:tcW w:w="2533"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销售</w:t>
            </w:r>
          </w:p>
        </w:tc>
      </w:tr>
      <w:tr>
        <w:trPr>
          <w:trHeight w:val="346" w:hRule="exact"/>
        </w:trPr>
        <w:tc>
          <w:tcPr>
            <w:tcW w:w="2077"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20"/>
              <w:ind w:left="23" w:right="0"/>
              <w:jc w:val="left"/>
              <w:rPr>
                <w:rFonts w:ascii="宋体" w:hAnsi="宋体" w:cs="宋体" w:eastAsia="宋体" w:hint="default"/>
                <w:sz w:val="18"/>
                <w:szCs w:val="18"/>
              </w:rPr>
            </w:pPr>
            <w:r>
              <w:rPr>
                <w:rFonts w:ascii="宋体" w:hAnsi="宋体" w:cs="宋体" w:eastAsia="宋体" w:hint="default"/>
                <w:sz w:val="18"/>
                <w:szCs w:val="18"/>
              </w:rPr>
              <w:t>发出商品</w:t>
            </w:r>
          </w:p>
        </w:tc>
        <w:tc>
          <w:tcPr>
            <w:tcW w:w="25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8" w:right="0"/>
              <w:jc w:val="center"/>
              <w:rPr>
                <w:rFonts w:ascii="宋体" w:hAnsi="宋体" w:cs="宋体" w:eastAsia="宋体" w:hint="default"/>
                <w:sz w:val="18"/>
                <w:szCs w:val="18"/>
              </w:rPr>
            </w:pPr>
            <w:r>
              <w:rPr>
                <w:rFonts w:ascii="宋体" w:hAnsi="宋体" w:cs="宋体" w:eastAsia="宋体" w:hint="default"/>
                <w:spacing w:val="-3"/>
                <w:sz w:val="18"/>
                <w:szCs w:val="18"/>
              </w:rPr>
              <w:t>可变现净值低于成本</w:t>
            </w:r>
          </w:p>
        </w:tc>
        <w:tc>
          <w:tcPr>
            <w:tcW w:w="25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center"/>
              <w:rPr>
                <w:rFonts w:ascii="宋体" w:hAnsi="宋体" w:cs="宋体" w:eastAsia="宋体" w:hint="default"/>
                <w:sz w:val="18"/>
                <w:szCs w:val="18"/>
              </w:rPr>
            </w:pPr>
            <w:r>
              <w:rPr>
                <w:rFonts w:ascii="宋体"/>
                <w:w w:val="101"/>
                <w:sz w:val="18"/>
              </w:rPr>
              <w:t>-</w:t>
            </w:r>
            <w:r>
              <w:rPr>
                <w:rFonts w:ascii="宋体"/>
                <w:sz w:val="18"/>
              </w:rPr>
            </w:r>
          </w:p>
        </w:tc>
        <w:tc>
          <w:tcPr>
            <w:tcW w:w="2533"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销售</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6"/>
          <w:szCs w:val="26"/>
        </w:rPr>
      </w:pPr>
    </w:p>
    <w:p>
      <w:pPr>
        <w:pStyle w:val="Heading4"/>
        <w:spacing w:line="240" w:lineRule="auto" w:before="36"/>
        <w:ind w:right="0"/>
        <w:jc w:val="left"/>
        <w:rPr>
          <w:b w:val="0"/>
          <w:bCs w:val="0"/>
        </w:rPr>
      </w:pPr>
      <w:bookmarkStart w:name="（3）存货期末余额含有借款费用资本化金额的说明" w:id="281"/>
      <w:bookmarkEnd w:id="281"/>
      <w:r>
        <w:rPr>
          <w:b w:val="0"/>
          <w:bCs w:val="0"/>
        </w:rPr>
      </w:r>
      <w:r>
        <w:rPr/>
        <w:t>（</w:t>
      </w:r>
      <w:r>
        <w:rPr>
          <w:rFonts w:ascii="Times New Roman" w:hAnsi="Times New Roman" w:cs="Times New Roman" w:eastAsia="Times New Roman" w:hint="default"/>
        </w:rPr>
        <w:t>3</w:t>
      </w:r>
      <w:r>
        <w:rPr/>
        <w:t>）存货期末余额含有借款费用资本化金额的说明</w:t>
      </w:r>
      <w:r>
        <w:rPr>
          <w:b w:val="0"/>
          <w:bCs w:val="0"/>
        </w:rPr>
      </w:r>
    </w:p>
    <w:p>
      <w:pPr>
        <w:spacing w:line="240" w:lineRule="auto" w:before="5"/>
        <w:rPr>
          <w:rFonts w:ascii="宋体" w:hAnsi="宋体" w:cs="宋体" w:eastAsia="宋体" w:hint="default"/>
          <w:b/>
          <w:bCs/>
          <w:sz w:val="26"/>
          <w:szCs w:val="26"/>
        </w:rPr>
      </w:pPr>
    </w:p>
    <w:p>
      <w:pPr>
        <w:pStyle w:val="BodyText"/>
        <w:spacing w:line="240" w:lineRule="auto" w:before="0"/>
        <w:ind w:right="0"/>
        <w:jc w:val="left"/>
      </w:pPr>
      <w:r>
        <w:rPr/>
        <w:t>无。</w:t>
      </w:r>
    </w:p>
    <w:p>
      <w:pPr>
        <w:spacing w:line="240" w:lineRule="auto" w:before="0"/>
        <w:rPr>
          <w:rFonts w:ascii="宋体" w:hAnsi="宋体" w:cs="宋体" w:eastAsia="宋体" w:hint="default"/>
          <w:sz w:val="18"/>
          <w:szCs w:val="18"/>
        </w:rPr>
      </w:pPr>
    </w:p>
    <w:p>
      <w:pPr>
        <w:pStyle w:val="Heading4"/>
        <w:spacing w:line="240" w:lineRule="auto" w:before="118"/>
        <w:ind w:right="0"/>
        <w:jc w:val="left"/>
        <w:rPr>
          <w:b w:val="0"/>
          <w:bCs w:val="0"/>
        </w:rPr>
      </w:pPr>
      <w:bookmarkStart w:name="（4）期末建造合同形成的已完工未结算资产情况" w:id="282"/>
      <w:bookmarkEnd w:id="282"/>
      <w:r>
        <w:rPr>
          <w:b w:val="0"/>
          <w:bCs w:val="0"/>
        </w:rPr>
      </w:r>
      <w:r>
        <w:rPr/>
        <w:t>（</w:t>
      </w:r>
      <w:r>
        <w:rPr>
          <w:rFonts w:ascii="Times New Roman" w:hAnsi="Times New Roman" w:cs="Times New Roman" w:eastAsia="Times New Roman" w:hint="default"/>
        </w:rPr>
        <w:t>4</w:t>
      </w:r>
      <w:r>
        <w:rPr/>
        <w:t>）期末建造合同形成的已完工未结算资产情况</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4783"/>
        <w:gridCol w:w="4787"/>
      </w:tblGrid>
      <w:tr>
        <w:trPr>
          <w:trHeight w:val="399"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7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金额</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pacing w:val="-3"/>
                <w:sz w:val="18"/>
                <w:szCs w:val="18"/>
              </w:rPr>
              <w:t>累计已发生成本</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943,241,038.29</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累计已确认毛利</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321,918,406.13</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减：预计损失</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z w:val="18"/>
              </w:rPr>
              <w:t>0.00</w:t>
            </w:r>
          </w:p>
        </w:tc>
      </w:tr>
      <w:tr>
        <w:trPr>
          <w:trHeight w:val="404"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已办理结算的金额</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1,242,368,214.83</w:t>
            </w:r>
          </w:p>
        </w:tc>
      </w:tr>
      <w:tr>
        <w:trPr>
          <w:trHeight w:val="398"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建造合同形成的已完工未结算资产</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22,791,229.59</w:t>
            </w:r>
          </w:p>
        </w:tc>
      </w:tr>
    </w:tbl>
    <w:p>
      <w:pPr>
        <w:pStyle w:val="BodyText"/>
        <w:spacing w:line="357" w:lineRule="auto" w:before="53"/>
        <w:ind w:right="9666"/>
        <w:jc w:val="left"/>
      </w:pPr>
      <w:r>
        <w:rPr/>
        <w:t>其他说明：</w:t>
      </w:r>
      <w:r>
        <w:rPr>
          <w:w w:val="101"/>
        </w:rPr>
        <w:t> </w:t>
      </w:r>
      <w:r>
        <w:rPr/>
        <w:t>无。</w:t>
      </w:r>
    </w:p>
    <w:p>
      <w:pPr>
        <w:spacing w:line="240" w:lineRule="auto" w:before="4"/>
        <w:rPr>
          <w:rFonts w:ascii="宋体" w:hAnsi="宋体" w:cs="宋体" w:eastAsia="宋体" w:hint="default"/>
          <w:sz w:val="20"/>
          <w:szCs w:val="20"/>
        </w:rPr>
      </w:pPr>
    </w:p>
    <w:p>
      <w:pPr>
        <w:pStyle w:val="Heading4"/>
        <w:spacing w:line="240" w:lineRule="auto"/>
        <w:ind w:right="0"/>
        <w:jc w:val="left"/>
        <w:rPr>
          <w:b w:val="0"/>
          <w:bCs w:val="0"/>
        </w:rPr>
      </w:pPr>
      <w:bookmarkStart w:name="10、合同资产" w:id="283"/>
      <w:bookmarkEnd w:id="283"/>
      <w:r>
        <w:rPr>
          <w:b w:val="0"/>
          <w:bCs w:val="0"/>
        </w:rPr>
      </w:r>
      <w:r>
        <w:rPr>
          <w:rFonts w:ascii="Times New Roman" w:hAnsi="Times New Roman" w:cs="Times New Roman" w:eastAsia="Times New Roman" w:hint="default"/>
        </w:rPr>
        <w:t>10</w:t>
      </w:r>
      <w:r>
        <w:rPr/>
        <w:t>、合同资产</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132"/>
        <w:gridCol w:w="1196"/>
        <w:gridCol w:w="1330"/>
        <w:gridCol w:w="1196"/>
        <w:gridCol w:w="1195"/>
        <w:gridCol w:w="1201"/>
        <w:gridCol w:w="1323"/>
      </w:tblGrid>
      <w:tr>
        <w:trPr>
          <w:trHeight w:val="401" w:hRule="exact"/>
        </w:trPr>
        <w:tc>
          <w:tcPr>
            <w:tcW w:w="213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721"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719"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2132" w:type="dxa"/>
            <w:vMerge/>
            <w:tcBorders>
              <w:left w:val="single" w:sz="4" w:space="0" w:color="000000"/>
              <w:bottom w:val="single" w:sz="4" w:space="0" w:color="000000"/>
              <w:right w:val="single" w:sz="4" w:space="0" w:color="000000"/>
            </w:tcBorders>
            <w:shd w:val="clear" w:color="auto" w:fill="D2D2D2"/>
          </w:tcPr>
          <w:p>
            <w:pP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23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302"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235"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23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235"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293"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pStyle w:val="BodyText"/>
        <w:spacing w:line="240" w:lineRule="auto" w:before="54"/>
        <w:ind w:right="0"/>
        <w:jc w:val="left"/>
      </w:pPr>
      <w:r>
        <w:rPr>
          <w:spacing w:val="-3"/>
        </w:rPr>
        <w:t>合同资产的账面价值在本期内发生的重大变动金额和原因：</w:t>
      </w:r>
    </w:p>
    <w:p>
      <w:pPr>
        <w:pStyle w:val="BodyText"/>
        <w:spacing w:line="240" w:lineRule="auto" w:before="119"/>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204"/>
        <w:gridCol w:w="2420"/>
        <w:gridCol w:w="4945"/>
      </w:tblGrid>
      <w:tr>
        <w:trPr>
          <w:trHeight w:val="403" w:hRule="exact"/>
        </w:trPr>
        <w:tc>
          <w:tcPr>
            <w:tcW w:w="22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4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 w:right="0"/>
              <w:jc w:val="center"/>
              <w:rPr>
                <w:rFonts w:ascii="宋体" w:hAnsi="宋体" w:cs="宋体" w:eastAsia="宋体" w:hint="default"/>
                <w:sz w:val="18"/>
                <w:szCs w:val="18"/>
              </w:rPr>
            </w:pPr>
            <w:r>
              <w:rPr>
                <w:rFonts w:ascii="宋体" w:hAnsi="宋体" w:cs="宋体" w:eastAsia="宋体" w:hint="default"/>
                <w:sz w:val="18"/>
                <w:szCs w:val="18"/>
              </w:rPr>
              <w:t>变动金额</w:t>
            </w:r>
          </w:p>
        </w:tc>
        <w:tc>
          <w:tcPr>
            <w:tcW w:w="4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变动原因</w:t>
            </w:r>
          </w:p>
        </w:tc>
      </w:tr>
    </w:tbl>
    <w:p>
      <w:pPr>
        <w:pStyle w:val="BodyText"/>
        <w:spacing w:line="240" w:lineRule="auto" w:before="53"/>
        <w:ind w:right="0"/>
        <w:jc w:val="left"/>
      </w:pPr>
      <w:r>
        <w:rPr>
          <w:spacing w:val="-3"/>
        </w:rPr>
        <w:t>如是按照预期信用损失一般模型计提合同资产坏账准备，请参照其他应收款的披露方式披露坏账准备的相关信息：</w:t>
      </w:r>
    </w:p>
    <w:p>
      <w:pPr>
        <w:pStyle w:val="BodyText"/>
        <w:spacing w:line="357" w:lineRule="auto" w:before="119"/>
        <w:ind w:right="7667"/>
        <w:jc w:val="left"/>
      </w:pPr>
      <w:r>
        <w:rPr/>
        <w:t>□ </w:t>
      </w:r>
      <w:r>
        <w:rPr>
          <w:spacing w:val="-3"/>
        </w:rPr>
        <w:t>适用 </w:t>
      </w:r>
      <w:r>
        <w:rPr/>
        <w:t>√ 不适用</w:t>
      </w:r>
      <w:r>
        <w:rPr>
          <w:spacing w:val="-77"/>
        </w:rPr>
        <w:t> </w:t>
      </w:r>
      <w:r>
        <w:rPr>
          <w:spacing w:val="-77"/>
        </w:rPr>
      </w:r>
      <w:r>
        <w:rPr>
          <w:spacing w:val="-3"/>
        </w:rPr>
        <w:t>本期合同资产计提减值准备情况</w:t>
      </w:r>
    </w:p>
    <w:p>
      <w:pPr>
        <w:pStyle w:val="BodyText"/>
        <w:spacing w:line="240" w:lineRule="auto" w:before="26"/>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16"/>
        <w:gridCol w:w="1916"/>
        <w:gridCol w:w="1911"/>
        <w:gridCol w:w="1916"/>
        <w:gridCol w:w="1916"/>
      </w:tblGrid>
      <w:tr>
        <w:trPr>
          <w:trHeight w:val="403"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0" w:right="0"/>
              <w:jc w:val="left"/>
              <w:rPr>
                <w:rFonts w:ascii="宋体" w:hAnsi="宋体" w:cs="宋体" w:eastAsia="宋体" w:hint="default"/>
                <w:sz w:val="18"/>
                <w:szCs w:val="18"/>
              </w:rPr>
            </w:pPr>
            <w:r>
              <w:rPr>
                <w:rFonts w:ascii="宋体" w:hAnsi="宋体" w:cs="宋体" w:eastAsia="宋体" w:hint="default"/>
                <w:sz w:val="18"/>
                <w:szCs w:val="18"/>
              </w:rPr>
              <w:t>本期计提</w:t>
            </w:r>
          </w:p>
        </w:tc>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0" w:right="0"/>
              <w:jc w:val="left"/>
              <w:rPr>
                <w:rFonts w:ascii="宋体" w:hAnsi="宋体" w:cs="宋体" w:eastAsia="宋体" w:hint="default"/>
                <w:sz w:val="18"/>
                <w:szCs w:val="18"/>
              </w:rPr>
            </w:pPr>
            <w:r>
              <w:rPr>
                <w:rFonts w:ascii="宋体" w:hAnsi="宋体" w:cs="宋体" w:eastAsia="宋体" w:hint="default"/>
                <w:sz w:val="18"/>
                <w:szCs w:val="18"/>
              </w:rPr>
              <w:t>本期转回</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9" w:right="0"/>
              <w:jc w:val="left"/>
              <w:rPr>
                <w:rFonts w:ascii="宋体" w:hAnsi="宋体" w:cs="宋体" w:eastAsia="宋体" w:hint="default"/>
                <w:sz w:val="18"/>
                <w:szCs w:val="18"/>
              </w:rPr>
            </w:pPr>
            <w:r>
              <w:rPr>
                <w:rFonts w:ascii="宋体" w:hAnsi="宋体" w:cs="宋体" w:eastAsia="宋体" w:hint="default"/>
                <w:spacing w:val="-3"/>
                <w:sz w:val="18"/>
                <w:szCs w:val="18"/>
              </w:rPr>
              <w:t>本期转销</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核销</w:t>
            </w:r>
            <w:r>
              <w:rPr>
                <w:rFonts w:ascii="宋体" w:hAnsi="宋体" w:cs="宋体" w:eastAsia="宋体" w:hint="default"/>
                <w:sz w:val="18"/>
                <w:szCs w:val="18"/>
              </w:rPr>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原因</w:t>
            </w:r>
          </w:p>
        </w:tc>
      </w:tr>
    </w:tbl>
    <w:p>
      <w:pPr>
        <w:pStyle w:val="BodyText"/>
        <w:spacing w:line="352" w:lineRule="auto" w:before="53"/>
        <w:ind w:right="9861"/>
        <w:jc w:val="left"/>
      </w:pPr>
      <w:r>
        <w:rPr>
          <w:spacing w:val="-2"/>
        </w:rPr>
        <w:t>其他说明：</w:t>
      </w:r>
      <w:r>
        <w:rPr>
          <w:spacing w:val="-78"/>
        </w:rPr>
        <w:t> </w:t>
      </w:r>
      <w:r>
        <w:rPr>
          <w:spacing w:val="-78"/>
        </w:rPr>
      </w:r>
      <w:r>
        <w:rPr/>
        <w:t>无。</w:t>
      </w:r>
    </w:p>
    <w:p>
      <w:pPr>
        <w:spacing w:after="0" w:line="352" w:lineRule="auto"/>
        <w:jc w:val="left"/>
        <w:sectPr>
          <w:pgSz w:w="11910" w:h="16840"/>
          <w:pgMar w:header="784" w:footer="1022" w:top="1100" w:bottom="1220" w:left="980" w:right="0"/>
        </w:sectPr>
      </w:pPr>
    </w:p>
    <w:p>
      <w:pPr>
        <w:spacing w:line="240" w:lineRule="auto" w:before="13"/>
        <w:rPr>
          <w:rFonts w:ascii="宋体" w:hAnsi="宋体" w:cs="宋体" w:eastAsia="宋体" w:hint="default"/>
          <w:sz w:val="21"/>
          <w:szCs w:val="21"/>
        </w:rPr>
      </w:pPr>
    </w:p>
    <w:p>
      <w:pPr>
        <w:pStyle w:val="Heading4"/>
        <w:spacing w:line="240" w:lineRule="auto" w:before="36"/>
        <w:ind w:right="0"/>
        <w:jc w:val="left"/>
        <w:rPr>
          <w:b w:val="0"/>
          <w:bCs w:val="0"/>
        </w:rPr>
      </w:pPr>
      <w:bookmarkStart w:name="11、持有待售资产" w:id="284"/>
      <w:bookmarkEnd w:id="284"/>
      <w:r>
        <w:rPr>
          <w:b w:val="0"/>
          <w:bCs w:val="0"/>
        </w:rPr>
      </w:r>
      <w:r>
        <w:rPr>
          <w:rFonts w:ascii="Times New Roman" w:hAnsi="Times New Roman" w:cs="Times New Roman" w:eastAsia="Times New Roman" w:hint="default"/>
        </w:rPr>
        <w:t>11</w:t>
      </w:r>
      <w:r>
        <w:rPr/>
        <w:t>、持有待售资产</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369"/>
        <w:gridCol w:w="1368"/>
        <w:gridCol w:w="1369"/>
        <w:gridCol w:w="1364"/>
        <w:gridCol w:w="1368"/>
        <w:gridCol w:w="1369"/>
        <w:gridCol w:w="1369"/>
      </w:tblGrid>
      <w:tr>
        <w:trPr>
          <w:trHeight w:val="404"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39"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321"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34" w:right="0"/>
              <w:jc w:val="left"/>
              <w:rPr>
                <w:rFonts w:ascii="宋体" w:hAnsi="宋体" w:cs="宋体" w:eastAsia="宋体" w:hint="default"/>
                <w:sz w:val="18"/>
                <w:szCs w:val="18"/>
              </w:rPr>
            </w:pPr>
            <w:r>
              <w:rPr>
                <w:rFonts w:ascii="宋体" w:hAnsi="宋体" w:cs="宋体" w:eastAsia="宋体" w:hint="default"/>
                <w:sz w:val="18"/>
                <w:szCs w:val="18"/>
              </w:rPr>
              <w:t>期末账面价值</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321" w:right="0"/>
              <w:jc w:val="left"/>
              <w:rPr>
                <w:rFonts w:ascii="宋体" w:hAnsi="宋体" w:cs="宋体" w:eastAsia="宋体" w:hint="default"/>
                <w:sz w:val="18"/>
                <w:szCs w:val="18"/>
              </w:rPr>
            </w:pPr>
            <w:r>
              <w:rPr>
                <w:rFonts w:ascii="宋体" w:hAnsi="宋体" w:cs="宋体" w:eastAsia="宋体" w:hint="default"/>
                <w:sz w:val="18"/>
                <w:szCs w:val="18"/>
              </w:rPr>
              <w:t>公允价值</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39" w:right="0"/>
              <w:jc w:val="left"/>
              <w:rPr>
                <w:rFonts w:ascii="宋体" w:hAnsi="宋体" w:cs="宋体" w:eastAsia="宋体" w:hint="default"/>
                <w:sz w:val="18"/>
                <w:szCs w:val="18"/>
              </w:rPr>
            </w:pPr>
            <w:r>
              <w:rPr>
                <w:rFonts w:ascii="宋体" w:hAnsi="宋体" w:cs="宋体" w:eastAsia="宋体" w:hint="default"/>
                <w:sz w:val="18"/>
                <w:szCs w:val="18"/>
              </w:rPr>
              <w:t>预计处置费用</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39" w:right="0"/>
              <w:jc w:val="left"/>
              <w:rPr>
                <w:rFonts w:ascii="宋体" w:hAnsi="宋体" w:cs="宋体" w:eastAsia="宋体" w:hint="default"/>
                <w:sz w:val="18"/>
                <w:szCs w:val="18"/>
              </w:rPr>
            </w:pPr>
            <w:r>
              <w:rPr>
                <w:rFonts w:ascii="宋体" w:hAnsi="宋体" w:cs="宋体" w:eastAsia="宋体" w:hint="default"/>
                <w:sz w:val="18"/>
                <w:szCs w:val="18"/>
              </w:rPr>
              <w:t>预计处置时间</w:t>
            </w:r>
          </w:p>
        </w:tc>
      </w:tr>
    </w:tbl>
    <w:p>
      <w:pPr>
        <w:pStyle w:val="BodyText"/>
        <w:spacing w:line="357" w:lineRule="auto" w:before="53"/>
        <w:ind w:right="9861"/>
        <w:jc w:val="left"/>
      </w:pPr>
      <w:r>
        <w:rPr>
          <w:spacing w:val="-2"/>
        </w:rPr>
        <w:t>其他说明：</w:t>
      </w:r>
      <w:r>
        <w:rPr>
          <w:spacing w:val="-78"/>
        </w:rPr>
        <w:t> </w:t>
      </w:r>
      <w:r>
        <w:rPr>
          <w:spacing w:val="-78"/>
        </w:rPr>
      </w:r>
      <w:r>
        <w:rPr/>
        <w:t>无。</w:t>
      </w:r>
    </w:p>
    <w:p>
      <w:pPr>
        <w:spacing w:line="240" w:lineRule="auto" w:before="3"/>
        <w:rPr>
          <w:rFonts w:ascii="宋体" w:hAnsi="宋体" w:cs="宋体" w:eastAsia="宋体" w:hint="default"/>
          <w:sz w:val="20"/>
          <w:szCs w:val="20"/>
        </w:rPr>
      </w:pPr>
    </w:p>
    <w:p>
      <w:pPr>
        <w:pStyle w:val="Heading4"/>
        <w:spacing w:line="240" w:lineRule="auto"/>
        <w:ind w:right="0"/>
        <w:jc w:val="left"/>
        <w:rPr>
          <w:b w:val="0"/>
          <w:bCs w:val="0"/>
        </w:rPr>
      </w:pPr>
      <w:bookmarkStart w:name="12、一年内到期的非流动资产" w:id="285"/>
      <w:bookmarkEnd w:id="285"/>
      <w:r>
        <w:rPr>
          <w:b w:val="0"/>
          <w:bCs w:val="0"/>
        </w:rPr>
      </w:r>
      <w:r>
        <w:rPr>
          <w:rFonts w:ascii="Times New Roman" w:hAnsi="Times New Roman" w:cs="Times New Roman" w:eastAsia="Times New Roman" w:hint="default"/>
        </w:rPr>
        <w:t>12</w:t>
      </w:r>
      <w:r>
        <w:rPr/>
        <w:t>、一年内到期的非流动资产</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240" w:lineRule="auto" w:before="53"/>
        <w:ind w:right="0"/>
        <w:jc w:val="left"/>
      </w:pPr>
      <w:r>
        <w:rPr/>
        <w:t>重要的债权投资</w:t>
      </w:r>
      <w:r>
        <w:rPr>
          <w:rFonts w:ascii="Times New Roman" w:hAnsi="Times New Roman" w:cs="Times New Roman" w:eastAsia="Times New Roman" w:hint="default"/>
        </w:rPr>
        <w:t>/</w:t>
      </w:r>
      <w:r>
        <w:rPr/>
        <w:t>其他债权投资</w:t>
      </w:r>
    </w:p>
    <w:p>
      <w:pPr>
        <w:pStyle w:val="BodyText"/>
        <w:spacing w:line="240" w:lineRule="auto" w:before="106"/>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16"/>
        <w:gridCol w:w="960"/>
        <w:gridCol w:w="956"/>
        <w:gridCol w:w="956"/>
        <w:gridCol w:w="960"/>
        <w:gridCol w:w="956"/>
        <w:gridCol w:w="956"/>
        <w:gridCol w:w="956"/>
        <w:gridCol w:w="960"/>
      </w:tblGrid>
      <w:tr>
        <w:trPr>
          <w:trHeight w:val="403" w:hRule="exact"/>
        </w:trPr>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595" w:right="0"/>
              <w:jc w:val="left"/>
              <w:rPr>
                <w:rFonts w:ascii="宋体" w:hAnsi="宋体" w:cs="宋体" w:eastAsia="宋体" w:hint="default"/>
                <w:sz w:val="18"/>
                <w:szCs w:val="18"/>
              </w:rPr>
            </w:pPr>
            <w:r>
              <w:rPr>
                <w:rFonts w:ascii="宋体" w:hAnsi="宋体" w:cs="宋体" w:eastAsia="宋体" w:hint="default"/>
                <w:sz w:val="18"/>
                <w:szCs w:val="18"/>
              </w:rPr>
              <w:t>债权项目</w:t>
            </w:r>
          </w:p>
        </w:tc>
        <w:tc>
          <w:tcPr>
            <w:tcW w:w="3832"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27"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1916" w:type="dxa"/>
            <w:vMerge/>
            <w:tcBorders>
              <w:left w:val="single" w:sz="4" w:space="0" w:color="000000"/>
              <w:bottom w:val="single" w:sz="4" w:space="0" w:color="000000"/>
              <w:right w:val="single" w:sz="4" w:space="0" w:color="000000"/>
            </w:tcBorders>
            <w:shd w:val="clear" w:color="auto" w:fill="D2D2D2"/>
          </w:tcPr>
          <w:p>
            <w:pPr/>
          </w:p>
        </w:tc>
        <w:tc>
          <w:tcPr>
            <w:tcW w:w="9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93" w:right="0"/>
              <w:jc w:val="left"/>
              <w:rPr>
                <w:rFonts w:ascii="宋体" w:hAnsi="宋体" w:cs="宋体" w:eastAsia="宋体" w:hint="default"/>
                <w:sz w:val="18"/>
                <w:szCs w:val="18"/>
              </w:rPr>
            </w:pPr>
            <w:r>
              <w:rPr>
                <w:rFonts w:ascii="宋体" w:hAnsi="宋体" w:cs="宋体" w:eastAsia="宋体" w:hint="default"/>
                <w:sz w:val="18"/>
                <w:szCs w:val="18"/>
              </w:rPr>
              <w:t>面值</w:t>
            </w:r>
          </w:p>
        </w:tc>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0" w:right="0"/>
              <w:jc w:val="left"/>
              <w:rPr>
                <w:rFonts w:ascii="宋体" w:hAnsi="宋体" w:cs="宋体" w:eastAsia="宋体" w:hint="default"/>
                <w:sz w:val="18"/>
                <w:szCs w:val="18"/>
              </w:rPr>
            </w:pPr>
            <w:r>
              <w:rPr>
                <w:rFonts w:ascii="宋体" w:hAnsi="宋体" w:cs="宋体" w:eastAsia="宋体" w:hint="default"/>
                <w:sz w:val="18"/>
                <w:szCs w:val="18"/>
              </w:rPr>
              <w:t>票面利率</w:t>
            </w:r>
          </w:p>
        </w:tc>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5" w:right="0"/>
              <w:jc w:val="left"/>
              <w:rPr>
                <w:rFonts w:ascii="宋体" w:hAnsi="宋体" w:cs="宋体" w:eastAsia="宋体" w:hint="default"/>
                <w:sz w:val="18"/>
                <w:szCs w:val="18"/>
              </w:rPr>
            </w:pPr>
            <w:r>
              <w:rPr>
                <w:rFonts w:ascii="宋体" w:hAnsi="宋体" w:cs="宋体" w:eastAsia="宋体" w:hint="default"/>
                <w:sz w:val="18"/>
                <w:szCs w:val="18"/>
              </w:rPr>
              <w:t>实际利率</w:t>
            </w:r>
          </w:p>
        </w:tc>
        <w:tc>
          <w:tcPr>
            <w:tcW w:w="9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06" w:right="0"/>
              <w:jc w:val="left"/>
              <w:rPr>
                <w:rFonts w:ascii="宋体" w:hAnsi="宋体" w:cs="宋体" w:eastAsia="宋体" w:hint="default"/>
                <w:sz w:val="18"/>
                <w:szCs w:val="18"/>
              </w:rPr>
            </w:pPr>
            <w:r>
              <w:rPr>
                <w:rFonts w:ascii="宋体" w:hAnsi="宋体" w:cs="宋体" w:eastAsia="宋体" w:hint="default"/>
                <w:sz w:val="18"/>
                <w:szCs w:val="18"/>
              </w:rPr>
              <w:t>到期日</w:t>
            </w:r>
          </w:p>
        </w:tc>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88" w:right="0"/>
              <w:jc w:val="left"/>
              <w:rPr>
                <w:rFonts w:ascii="宋体" w:hAnsi="宋体" w:cs="宋体" w:eastAsia="宋体" w:hint="default"/>
                <w:sz w:val="18"/>
                <w:szCs w:val="18"/>
              </w:rPr>
            </w:pPr>
            <w:r>
              <w:rPr>
                <w:rFonts w:ascii="宋体" w:hAnsi="宋体" w:cs="宋体" w:eastAsia="宋体" w:hint="default"/>
                <w:sz w:val="18"/>
                <w:szCs w:val="18"/>
              </w:rPr>
              <w:t>面值</w:t>
            </w:r>
          </w:p>
        </w:tc>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5" w:right="0"/>
              <w:jc w:val="left"/>
              <w:rPr>
                <w:rFonts w:ascii="宋体" w:hAnsi="宋体" w:cs="宋体" w:eastAsia="宋体" w:hint="default"/>
                <w:sz w:val="18"/>
                <w:szCs w:val="18"/>
              </w:rPr>
            </w:pPr>
            <w:r>
              <w:rPr>
                <w:rFonts w:ascii="宋体" w:hAnsi="宋体" w:cs="宋体" w:eastAsia="宋体" w:hint="default"/>
                <w:sz w:val="18"/>
                <w:szCs w:val="18"/>
              </w:rPr>
              <w:t>票面利率</w:t>
            </w:r>
          </w:p>
        </w:tc>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5" w:right="0"/>
              <w:jc w:val="left"/>
              <w:rPr>
                <w:rFonts w:ascii="宋体" w:hAnsi="宋体" w:cs="宋体" w:eastAsia="宋体" w:hint="default"/>
                <w:sz w:val="18"/>
                <w:szCs w:val="18"/>
              </w:rPr>
            </w:pPr>
            <w:r>
              <w:rPr>
                <w:rFonts w:ascii="宋体" w:hAnsi="宋体" w:cs="宋体" w:eastAsia="宋体" w:hint="default"/>
                <w:sz w:val="18"/>
                <w:szCs w:val="18"/>
              </w:rPr>
              <w:t>实际利率</w:t>
            </w:r>
          </w:p>
        </w:tc>
        <w:tc>
          <w:tcPr>
            <w:tcW w:w="9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06" w:right="0"/>
              <w:jc w:val="left"/>
              <w:rPr>
                <w:rFonts w:ascii="宋体" w:hAnsi="宋体" w:cs="宋体" w:eastAsia="宋体" w:hint="default"/>
                <w:sz w:val="18"/>
                <w:szCs w:val="18"/>
              </w:rPr>
            </w:pPr>
            <w:r>
              <w:rPr>
                <w:rFonts w:ascii="宋体" w:hAnsi="宋体" w:cs="宋体" w:eastAsia="宋体" w:hint="default"/>
                <w:sz w:val="18"/>
                <w:szCs w:val="18"/>
              </w:rPr>
              <w:t>到期日</w:t>
            </w:r>
          </w:p>
        </w:tc>
      </w:tr>
    </w:tbl>
    <w:p>
      <w:pPr>
        <w:pStyle w:val="BodyText"/>
        <w:spacing w:line="352" w:lineRule="auto" w:before="53"/>
        <w:ind w:right="9861"/>
        <w:jc w:val="left"/>
      </w:pPr>
      <w:r>
        <w:rPr>
          <w:spacing w:val="-2"/>
        </w:rPr>
        <w:t>其他说明：</w:t>
      </w:r>
      <w:r>
        <w:rPr>
          <w:spacing w:val="-78"/>
        </w:rPr>
        <w:t> </w:t>
      </w:r>
      <w:r>
        <w:rPr>
          <w:spacing w:val="-78"/>
        </w:rPr>
      </w:r>
      <w:r>
        <w:rPr/>
        <w:t>无。</w:t>
      </w:r>
    </w:p>
    <w:p>
      <w:pPr>
        <w:spacing w:line="240" w:lineRule="auto" w:before="7"/>
        <w:rPr>
          <w:rFonts w:ascii="宋体" w:hAnsi="宋体" w:cs="宋体" w:eastAsia="宋体" w:hint="default"/>
          <w:sz w:val="20"/>
          <w:szCs w:val="20"/>
        </w:rPr>
      </w:pPr>
    </w:p>
    <w:p>
      <w:pPr>
        <w:pStyle w:val="Heading4"/>
        <w:spacing w:line="240" w:lineRule="auto"/>
        <w:ind w:right="0"/>
        <w:jc w:val="left"/>
        <w:rPr>
          <w:b w:val="0"/>
          <w:bCs w:val="0"/>
        </w:rPr>
      </w:pPr>
      <w:bookmarkStart w:name="13、其他流动资产" w:id="286"/>
      <w:bookmarkEnd w:id="286"/>
      <w:r>
        <w:rPr>
          <w:b w:val="0"/>
          <w:bCs w:val="0"/>
        </w:rPr>
      </w:r>
      <w:r>
        <w:rPr>
          <w:rFonts w:ascii="Times New Roman" w:hAnsi="Times New Roman" w:cs="Times New Roman" w:eastAsia="Times New Roman" w:hint="default"/>
        </w:rPr>
        <w:t>13</w:t>
      </w:r>
      <w:r>
        <w:rPr/>
        <w:t>、其他流动资产</w:t>
      </w:r>
      <w:r>
        <w:rPr>
          <w:b w:val="0"/>
          <w:bCs w:val="0"/>
        </w:rPr>
      </w:r>
    </w:p>
    <w:p>
      <w:pPr>
        <w:spacing w:line="240" w:lineRule="auto" w:before="6"/>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784" w:footer="1022" w:top="1100" w:bottom="1220" w:left="980" w:right="0"/>
        </w:sectPr>
      </w:pPr>
    </w:p>
    <w:p>
      <w:pPr>
        <w:pStyle w:val="BodyText"/>
        <w:spacing w:line="240" w:lineRule="auto"/>
        <w:ind w:right="0"/>
        <w:jc w:val="left"/>
      </w:pPr>
      <w:r>
        <w:rPr>
          <w:spacing w:val="-2"/>
        </w:rPr>
        <w:t>是否已执行新收入准则</w:t>
      </w:r>
    </w:p>
    <w:p>
      <w:pPr>
        <w:pStyle w:val="BodyText"/>
        <w:spacing w:line="240" w:lineRule="auto" w:before="115"/>
        <w:ind w:right="0"/>
        <w:jc w:val="left"/>
      </w:pPr>
      <w:r>
        <w:rPr/>
        <w:t>□ 是 √</w:t>
      </w:r>
      <w:r>
        <w:rPr>
          <w:spacing w:val="2"/>
        </w:rPr>
        <w:t> </w:t>
      </w:r>
      <w:r>
        <w:rPr/>
        <w:t>否</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pStyle w:val="BodyText"/>
        <w:spacing w:line="240" w:lineRule="auto" w:before="0"/>
        <w:ind w:right="0"/>
        <w:jc w:val="left"/>
      </w:pPr>
      <w:r>
        <w:rPr/>
        <w:t>单位：</w:t>
      </w:r>
      <w:r>
        <w:rPr>
          <w:spacing w:val="5"/>
        </w:rPr>
        <w:t> </w:t>
      </w:r>
      <w:r>
        <w:rPr/>
        <w:t>元</w:t>
      </w:r>
    </w:p>
    <w:p>
      <w:pPr>
        <w:spacing w:after="0" w:line="240" w:lineRule="auto"/>
        <w:jc w:val="left"/>
        <w:sectPr>
          <w:type w:val="continuous"/>
          <w:pgSz w:w="11910" w:h="16840"/>
          <w:pgMar w:top="1100" w:bottom="1220" w:left="980" w:right="0"/>
          <w:cols w:num="2" w:equalWidth="0">
            <w:col w:w="1959" w:space="6872"/>
            <w:col w:w="2099"/>
          </w:cols>
        </w:sectPr>
      </w:pP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398"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银行理财产品</w:t>
            </w:r>
          </w:p>
        </w:tc>
        <w:tc>
          <w:tcPr>
            <w:tcW w:w="3193" w:type="dxa"/>
            <w:tcBorders>
              <w:top w:val="single" w:sz="4" w:space="0" w:color="000000"/>
              <w:left w:val="single" w:sz="4" w:space="0" w:color="000000"/>
              <w:bottom w:val="single" w:sz="4" w:space="0" w:color="000000"/>
              <w:right w:val="single" w:sz="4" w:space="0" w:color="000000"/>
            </w:tcBorders>
          </w:tcPr>
          <w:p>
            <w:pP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46,000,000.00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待抵扣增值税进项</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22,509,231.99</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27,226,278.00</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预缴增值税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6,066,694.31</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pacing w:val="-1"/>
                <w:sz w:val="18"/>
              </w:rPr>
              <w:t>7,238,067.28</w:t>
            </w:r>
          </w:p>
        </w:tc>
      </w:tr>
      <w:tr>
        <w:trPr>
          <w:trHeight w:val="398"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预付费用款</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3,084,134.48</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3,018,724.77</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31,660,060.78</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83,483,070.05</w:t>
            </w:r>
          </w:p>
        </w:tc>
      </w:tr>
    </w:tbl>
    <w:p>
      <w:pPr>
        <w:pStyle w:val="BodyText"/>
        <w:spacing w:line="240" w:lineRule="auto" w:before="53"/>
        <w:ind w:right="0"/>
        <w:jc w:val="left"/>
      </w:pPr>
      <w:r>
        <w:rPr/>
        <w:t>其他说明：</w:t>
      </w:r>
    </w:p>
    <w:p>
      <w:pPr>
        <w:pStyle w:val="BodyText"/>
        <w:spacing w:line="240" w:lineRule="auto" w:before="115"/>
        <w:ind w:left="633" w:right="0"/>
        <w:jc w:val="left"/>
      </w:pPr>
      <w:r>
        <w:rPr>
          <w:spacing w:val="-3"/>
        </w:rPr>
        <w:t>预缴增值税系支付已发生纳税义务的税金。</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4"/>
          <w:szCs w:val="14"/>
        </w:rPr>
      </w:pPr>
    </w:p>
    <w:p>
      <w:pPr>
        <w:pStyle w:val="Heading4"/>
        <w:spacing w:line="240" w:lineRule="auto"/>
        <w:ind w:right="0"/>
        <w:jc w:val="left"/>
        <w:rPr>
          <w:b w:val="0"/>
          <w:bCs w:val="0"/>
        </w:rPr>
      </w:pPr>
      <w:bookmarkStart w:name="14、债权投资" w:id="287"/>
      <w:bookmarkEnd w:id="287"/>
      <w:r>
        <w:rPr>
          <w:b w:val="0"/>
          <w:bCs w:val="0"/>
        </w:rPr>
      </w:r>
      <w:r>
        <w:rPr>
          <w:rFonts w:ascii="Times New Roman" w:hAnsi="Times New Roman" w:cs="Times New Roman" w:eastAsia="Times New Roman" w:hint="default"/>
        </w:rPr>
        <w:t>14</w:t>
      </w:r>
      <w:r>
        <w:rPr/>
        <w:t>、债权投资</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369"/>
        <w:gridCol w:w="1368"/>
        <w:gridCol w:w="1369"/>
        <w:gridCol w:w="1368"/>
        <w:gridCol w:w="1364"/>
        <w:gridCol w:w="1369"/>
        <w:gridCol w:w="1369"/>
      </w:tblGrid>
      <w:tr>
        <w:trPr>
          <w:trHeight w:val="404" w:hRule="exact"/>
        </w:trPr>
        <w:tc>
          <w:tcPr>
            <w:tcW w:w="136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105"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1"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2"/>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1369"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2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21"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21"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16"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22"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21"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pStyle w:val="BodyText"/>
        <w:spacing w:line="240" w:lineRule="auto" w:before="53"/>
        <w:ind w:right="0"/>
        <w:jc w:val="left"/>
      </w:pPr>
      <w:r>
        <w:rPr>
          <w:spacing w:val="-3"/>
        </w:rPr>
        <w:t>重要的债权投资</w:t>
      </w:r>
    </w:p>
    <w:p>
      <w:pPr>
        <w:spacing w:after="0" w:line="240" w:lineRule="auto"/>
        <w:jc w:val="left"/>
        <w:sectPr>
          <w:type w:val="continuous"/>
          <w:pgSz w:w="11910" w:h="16840"/>
          <w:pgMar w:top="1100" w:bottom="1220" w:left="980" w:right="0"/>
        </w:sectPr>
      </w:pPr>
    </w:p>
    <w:p>
      <w:pPr>
        <w:spacing w:line="240" w:lineRule="auto" w:before="2"/>
        <w:rPr>
          <w:rFonts w:ascii="宋体" w:hAnsi="宋体" w:cs="宋体" w:eastAsia="宋体" w:hint="default"/>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16"/>
        <w:gridCol w:w="960"/>
        <w:gridCol w:w="956"/>
        <w:gridCol w:w="956"/>
        <w:gridCol w:w="960"/>
        <w:gridCol w:w="956"/>
        <w:gridCol w:w="956"/>
        <w:gridCol w:w="956"/>
        <w:gridCol w:w="960"/>
      </w:tblGrid>
      <w:tr>
        <w:trPr>
          <w:trHeight w:val="403" w:hRule="exact"/>
        </w:trPr>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595" w:right="0"/>
              <w:jc w:val="left"/>
              <w:rPr>
                <w:rFonts w:ascii="宋体" w:hAnsi="宋体" w:cs="宋体" w:eastAsia="宋体" w:hint="default"/>
                <w:sz w:val="18"/>
                <w:szCs w:val="18"/>
              </w:rPr>
            </w:pPr>
            <w:r>
              <w:rPr>
                <w:rFonts w:ascii="宋体" w:hAnsi="宋体" w:cs="宋体" w:eastAsia="宋体" w:hint="default"/>
                <w:sz w:val="18"/>
                <w:szCs w:val="18"/>
              </w:rPr>
              <w:t>债权项目</w:t>
            </w:r>
          </w:p>
        </w:tc>
        <w:tc>
          <w:tcPr>
            <w:tcW w:w="3832"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27"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4" w:hRule="exact"/>
        </w:trPr>
        <w:tc>
          <w:tcPr>
            <w:tcW w:w="1916" w:type="dxa"/>
            <w:vMerge/>
            <w:tcBorders>
              <w:left w:val="single" w:sz="4" w:space="0" w:color="000000"/>
              <w:bottom w:val="single" w:sz="4" w:space="0" w:color="000000"/>
              <w:right w:val="single" w:sz="4" w:space="0" w:color="000000"/>
            </w:tcBorders>
            <w:shd w:val="clear" w:color="auto" w:fill="D2D2D2"/>
          </w:tcPr>
          <w:p>
            <w:pPr/>
          </w:p>
        </w:tc>
        <w:tc>
          <w:tcPr>
            <w:tcW w:w="9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93" w:right="0"/>
              <w:jc w:val="left"/>
              <w:rPr>
                <w:rFonts w:ascii="宋体" w:hAnsi="宋体" w:cs="宋体" w:eastAsia="宋体" w:hint="default"/>
                <w:sz w:val="18"/>
                <w:szCs w:val="18"/>
              </w:rPr>
            </w:pPr>
            <w:r>
              <w:rPr>
                <w:rFonts w:ascii="宋体" w:hAnsi="宋体" w:cs="宋体" w:eastAsia="宋体" w:hint="default"/>
                <w:sz w:val="18"/>
                <w:szCs w:val="18"/>
              </w:rPr>
              <w:t>面值</w:t>
            </w:r>
          </w:p>
        </w:tc>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0" w:right="0"/>
              <w:jc w:val="left"/>
              <w:rPr>
                <w:rFonts w:ascii="宋体" w:hAnsi="宋体" w:cs="宋体" w:eastAsia="宋体" w:hint="default"/>
                <w:sz w:val="18"/>
                <w:szCs w:val="18"/>
              </w:rPr>
            </w:pPr>
            <w:r>
              <w:rPr>
                <w:rFonts w:ascii="宋体" w:hAnsi="宋体" w:cs="宋体" w:eastAsia="宋体" w:hint="default"/>
                <w:sz w:val="18"/>
                <w:szCs w:val="18"/>
              </w:rPr>
              <w:t>票面利率</w:t>
            </w:r>
          </w:p>
        </w:tc>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5" w:right="0"/>
              <w:jc w:val="left"/>
              <w:rPr>
                <w:rFonts w:ascii="宋体" w:hAnsi="宋体" w:cs="宋体" w:eastAsia="宋体" w:hint="default"/>
                <w:sz w:val="18"/>
                <w:szCs w:val="18"/>
              </w:rPr>
            </w:pPr>
            <w:r>
              <w:rPr>
                <w:rFonts w:ascii="宋体" w:hAnsi="宋体" w:cs="宋体" w:eastAsia="宋体" w:hint="default"/>
                <w:sz w:val="18"/>
                <w:szCs w:val="18"/>
              </w:rPr>
              <w:t>实际利率</w:t>
            </w:r>
          </w:p>
        </w:tc>
        <w:tc>
          <w:tcPr>
            <w:tcW w:w="9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06" w:right="0"/>
              <w:jc w:val="left"/>
              <w:rPr>
                <w:rFonts w:ascii="宋体" w:hAnsi="宋体" w:cs="宋体" w:eastAsia="宋体" w:hint="default"/>
                <w:sz w:val="18"/>
                <w:szCs w:val="18"/>
              </w:rPr>
            </w:pPr>
            <w:r>
              <w:rPr>
                <w:rFonts w:ascii="宋体" w:hAnsi="宋体" w:cs="宋体" w:eastAsia="宋体" w:hint="default"/>
                <w:sz w:val="18"/>
                <w:szCs w:val="18"/>
              </w:rPr>
              <w:t>到期日</w:t>
            </w:r>
          </w:p>
        </w:tc>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88" w:right="0"/>
              <w:jc w:val="left"/>
              <w:rPr>
                <w:rFonts w:ascii="宋体" w:hAnsi="宋体" w:cs="宋体" w:eastAsia="宋体" w:hint="default"/>
                <w:sz w:val="18"/>
                <w:szCs w:val="18"/>
              </w:rPr>
            </w:pPr>
            <w:r>
              <w:rPr>
                <w:rFonts w:ascii="宋体" w:hAnsi="宋体" w:cs="宋体" w:eastAsia="宋体" w:hint="default"/>
                <w:sz w:val="18"/>
                <w:szCs w:val="18"/>
              </w:rPr>
              <w:t>面值</w:t>
            </w:r>
          </w:p>
        </w:tc>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5" w:right="0"/>
              <w:jc w:val="left"/>
              <w:rPr>
                <w:rFonts w:ascii="宋体" w:hAnsi="宋体" w:cs="宋体" w:eastAsia="宋体" w:hint="default"/>
                <w:sz w:val="18"/>
                <w:szCs w:val="18"/>
              </w:rPr>
            </w:pPr>
            <w:r>
              <w:rPr>
                <w:rFonts w:ascii="宋体" w:hAnsi="宋体" w:cs="宋体" w:eastAsia="宋体" w:hint="default"/>
                <w:sz w:val="18"/>
                <w:szCs w:val="18"/>
              </w:rPr>
              <w:t>票面利率</w:t>
            </w:r>
          </w:p>
        </w:tc>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5" w:right="0"/>
              <w:jc w:val="left"/>
              <w:rPr>
                <w:rFonts w:ascii="宋体" w:hAnsi="宋体" w:cs="宋体" w:eastAsia="宋体" w:hint="default"/>
                <w:sz w:val="18"/>
                <w:szCs w:val="18"/>
              </w:rPr>
            </w:pPr>
            <w:r>
              <w:rPr>
                <w:rFonts w:ascii="宋体" w:hAnsi="宋体" w:cs="宋体" w:eastAsia="宋体" w:hint="default"/>
                <w:sz w:val="18"/>
                <w:szCs w:val="18"/>
              </w:rPr>
              <w:t>实际利率</w:t>
            </w:r>
          </w:p>
        </w:tc>
        <w:tc>
          <w:tcPr>
            <w:tcW w:w="9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06" w:right="0"/>
              <w:jc w:val="left"/>
              <w:rPr>
                <w:rFonts w:ascii="宋体" w:hAnsi="宋体" w:cs="宋体" w:eastAsia="宋体" w:hint="default"/>
                <w:sz w:val="18"/>
                <w:szCs w:val="18"/>
              </w:rPr>
            </w:pPr>
            <w:r>
              <w:rPr>
                <w:rFonts w:ascii="宋体" w:hAnsi="宋体" w:cs="宋体" w:eastAsia="宋体" w:hint="default"/>
                <w:sz w:val="18"/>
                <w:szCs w:val="18"/>
              </w:rPr>
              <w:t>到期日</w:t>
            </w:r>
          </w:p>
        </w:tc>
      </w:tr>
    </w:tbl>
    <w:p>
      <w:pPr>
        <w:pStyle w:val="BodyText"/>
        <w:spacing w:line="240" w:lineRule="auto" w:before="53"/>
        <w:ind w:right="0"/>
        <w:jc w:val="left"/>
      </w:pPr>
      <w:r>
        <w:rPr/>
        <w:t>减值准备计提情况</w:t>
      </w:r>
    </w:p>
    <w:p>
      <w:pPr>
        <w:pStyle w:val="BodyText"/>
        <w:spacing w:line="240" w:lineRule="auto" w:before="119"/>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16"/>
        <w:gridCol w:w="1652"/>
        <w:gridCol w:w="2098"/>
        <w:gridCol w:w="2103"/>
        <w:gridCol w:w="1800"/>
      </w:tblGrid>
      <w:tr>
        <w:trPr>
          <w:trHeight w:val="403" w:hRule="exact"/>
        </w:trPr>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595"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第一阶段</w:t>
            </w:r>
          </w:p>
        </w:tc>
        <w:tc>
          <w:tcPr>
            <w:tcW w:w="20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第二阶段</w:t>
            </w:r>
          </w:p>
        </w:tc>
        <w:tc>
          <w:tcPr>
            <w:tcW w:w="21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第三阶段</w:t>
            </w:r>
          </w:p>
        </w:tc>
        <w:tc>
          <w:tcPr>
            <w:tcW w:w="180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711" w:hRule="exact"/>
        </w:trPr>
        <w:tc>
          <w:tcPr>
            <w:tcW w:w="1916" w:type="dxa"/>
            <w:vMerge/>
            <w:tcBorders>
              <w:left w:val="single" w:sz="4" w:space="0" w:color="000000"/>
              <w:bottom w:val="single" w:sz="4" w:space="0" w:color="000000"/>
              <w:right w:val="single" w:sz="4" w:space="0" w:color="000000"/>
            </w:tcBorders>
            <w:shd w:val="clear" w:color="auto" w:fill="D2D2D2"/>
          </w:tcPr>
          <w:p>
            <w:pPr/>
          </w:p>
        </w:tc>
        <w:tc>
          <w:tcPr>
            <w:tcW w:w="1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461" w:right="137" w:hanging="312"/>
              <w:jc w:val="left"/>
              <w:rPr>
                <w:rFonts w:ascii="宋体" w:hAnsi="宋体" w:cs="宋体" w:eastAsia="宋体" w:hint="default"/>
                <w:sz w:val="18"/>
                <w:szCs w:val="18"/>
              </w:rPr>
            </w:pPr>
            <w:r>
              <w:rPr>
                <w:rFonts w:ascii="宋体" w:hAnsi="宋体" w:cs="宋体" w:eastAsia="宋体" w:hint="default"/>
                <w:sz w:val="18"/>
                <w:szCs w:val="18"/>
              </w:rPr>
              <w:t>未来</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6"/>
                <w:sz w:val="18"/>
                <w:szCs w:val="18"/>
              </w:rPr>
              <w:t> </w:t>
            </w:r>
            <w:r>
              <w:rPr>
                <w:rFonts w:ascii="宋体" w:hAnsi="宋体" w:cs="宋体" w:eastAsia="宋体" w:hint="default"/>
                <w:spacing w:val="-3"/>
                <w:sz w:val="18"/>
                <w:szCs w:val="18"/>
              </w:rPr>
              <w:t>个月预期</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信用损失</w:t>
            </w:r>
          </w:p>
        </w:tc>
        <w:tc>
          <w:tcPr>
            <w:tcW w:w="20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263" w:right="137" w:hanging="120"/>
              <w:jc w:val="left"/>
              <w:rPr>
                <w:rFonts w:ascii="Times New Roman" w:hAnsi="Times New Roman" w:cs="Times New Roman" w:eastAsia="Times New Roman" w:hint="default"/>
                <w:sz w:val="18"/>
                <w:szCs w:val="18"/>
              </w:rPr>
            </w:pPr>
            <w:r>
              <w:rPr>
                <w:rFonts w:ascii="宋体" w:hAnsi="宋体" w:cs="宋体" w:eastAsia="宋体" w:hint="default"/>
                <w:spacing w:val="-2"/>
                <w:sz w:val="18"/>
                <w:szCs w:val="18"/>
              </w:rPr>
              <w:t>整个存续期预期信用损</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失</w:t>
            </w:r>
            <w:r>
              <w:rPr>
                <w:rFonts w:ascii="Times New Roman" w:hAnsi="Times New Roman" w:cs="Times New Roman" w:eastAsia="Times New Roman" w:hint="default"/>
                <w:sz w:val="18"/>
                <w:szCs w:val="18"/>
              </w:rPr>
              <w:t>(</w:t>
            </w:r>
            <w:r>
              <w:rPr>
                <w:rFonts w:ascii="宋体" w:hAnsi="宋体" w:cs="宋体" w:eastAsia="宋体" w:hint="default"/>
                <w:sz w:val="18"/>
                <w:szCs w:val="18"/>
              </w:rPr>
              <w:t>未发生信用减值</w:t>
            </w:r>
            <w:r>
              <w:rPr>
                <w:rFonts w:ascii="Times New Roman" w:hAnsi="Times New Roman" w:cs="Times New Roman" w:eastAsia="Times New Roman" w:hint="default"/>
                <w:sz w:val="18"/>
                <w:szCs w:val="18"/>
              </w:rPr>
              <w:t>)</w:t>
            </w:r>
          </w:p>
        </w:tc>
        <w:tc>
          <w:tcPr>
            <w:tcW w:w="21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264" w:right="142" w:hanging="120"/>
              <w:jc w:val="left"/>
              <w:rPr>
                <w:rFonts w:ascii="Times New Roman" w:hAnsi="Times New Roman" w:cs="Times New Roman" w:eastAsia="Times New Roman" w:hint="default"/>
                <w:sz w:val="18"/>
                <w:szCs w:val="18"/>
              </w:rPr>
            </w:pPr>
            <w:r>
              <w:rPr>
                <w:rFonts w:ascii="宋体" w:hAnsi="宋体" w:cs="宋体" w:eastAsia="宋体" w:hint="default"/>
                <w:spacing w:val="-2"/>
                <w:sz w:val="18"/>
                <w:szCs w:val="18"/>
              </w:rPr>
              <w:t>整个存续期预期信用损</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失</w:t>
            </w:r>
            <w:r>
              <w:rPr>
                <w:rFonts w:ascii="Times New Roman" w:hAnsi="Times New Roman" w:cs="Times New Roman" w:eastAsia="Times New Roman" w:hint="default"/>
                <w:sz w:val="18"/>
                <w:szCs w:val="18"/>
              </w:rPr>
              <w:t>(</w:t>
            </w:r>
            <w:r>
              <w:rPr>
                <w:rFonts w:ascii="宋体" w:hAnsi="宋体" w:cs="宋体" w:eastAsia="宋体" w:hint="default"/>
                <w:sz w:val="18"/>
                <w:szCs w:val="18"/>
              </w:rPr>
              <w:t>已发生信用减值</w:t>
            </w:r>
            <w:r>
              <w:rPr>
                <w:rFonts w:ascii="Times New Roman" w:hAnsi="Times New Roman" w:cs="Times New Roman" w:eastAsia="Times New Roman" w:hint="default"/>
                <w:sz w:val="18"/>
                <w:szCs w:val="18"/>
              </w:rPr>
              <w:t>)</w:t>
            </w:r>
          </w:p>
        </w:tc>
        <w:tc>
          <w:tcPr>
            <w:tcW w:w="1800" w:type="dxa"/>
            <w:vMerge/>
            <w:tcBorders>
              <w:left w:val="single" w:sz="4" w:space="0" w:color="000000"/>
              <w:bottom w:val="single" w:sz="4" w:space="0" w:color="000000"/>
              <w:right w:val="single" w:sz="4" w:space="0" w:color="000000"/>
            </w:tcBorders>
            <w:shd w:val="clear" w:color="auto" w:fill="D2D2D2"/>
          </w:tcPr>
          <w:p>
            <w:pPr/>
          </w:p>
        </w:tc>
      </w:tr>
      <w:tr>
        <w:trPr>
          <w:trHeight w:val="715"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4" w:lineRule="auto" w:before="53"/>
              <w:ind w:left="105" w:right="127"/>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日余额</w:t>
            </w:r>
            <w:r>
              <w:rPr>
                <w:rFonts w:ascii="宋体" w:hAnsi="宋体" w:cs="宋体" w:eastAsia="宋体" w:hint="default"/>
                <w:w w:val="101"/>
                <w:sz w:val="18"/>
                <w:szCs w:val="18"/>
              </w:rPr>
              <w:t> </w:t>
            </w:r>
            <w:r>
              <w:rPr>
                <w:rFonts w:ascii="宋体" w:hAnsi="宋体" w:cs="宋体" w:eastAsia="宋体" w:hint="default"/>
                <w:sz w:val="18"/>
                <w:szCs w:val="18"/>
              </w:rPr>
              <w:t>在本期</w:t>
            </w:r>
          </w:p>
        </w:tc>
        <w:tc>
          <w:tcPr>
            <w:tcW w:w="1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w:t>
            </w:r>
          </w:p>
        </w:tc>
        <w:tc>
          <w:tcPr>
            <w:tcW w:w="20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w:t>
            </w:r>
          </w:p>
        </w:tc>
        <w:tc>
          <w:tcPr>
            <w:tcW w:w="21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1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w:t>
            </w:r>
          </w:p>
        </w:tc>
      </w:tr>
    </w:tbl>
    <w:p>
      <w:pPr>
        <w:pStyle w:val="BodyText"/>
        <w:spacing w:line="240" w:lineRule="auto" w:before="53"/>
        <w:ind w:right="0"/>
        <w:jc w:val="left"/>
      </w:pPr>
      <w:r>
        <w:rPr>
          <w:spacing w:val="-3"/>
        </w:rPr>
        <w:t>损失准备本期变动金额重大的账面余额变动情况</w:t>
      </w:r>
    </w:p>
    <w:p>
      <w:pPr>
        <w:pStyle w:val="BodyText"/>
        <w:spacing w:line="357" w:lineRule="auto" w:before="119"/>
        <w:ind w:right="9217"/>
        <w:jc w:val="left"/>
      </w:pPr>
      <w:r>
        <w:rPr/>
        <w:t>□ </w:t>
      </w:r>
      <w:r>
        <w:rPr>
          <w:spacing w:val="-3"/>
        </w:rPr>
        <w:t>适用 </w:t>
      </w:r>
      <w:r>
        <w:rPr/>
        <w:t>√</w:t>
      </w:r>
      <w:r>
        <w:rPr>
          <w:spacing w:val="13"/>
        </w:rPr>
        <w:t> </w:t>
      </w:r>
      <w:r>
        <w:rPr/>
        <w:t>不适用</w:t>
      </w:r>
      <w:r>
        <w:rPr>
          <w:w w:val="101"/>
        </w:rPr>
        <w:t> </w:t>
      </w:r>
      <w:r>
        <w:rPr/>
        <w:t>其他说明：</w:t>
      </w:r>
    </w:p>
    <w:p>
      <w:pPr>
        <w:pStyle w:val="BodyText"/>
        <w:spacing w:line="240" w:lineRule="auto" w:before="26"/>
        <w:ind w:right="0"/>
        <w:jc w:val="left"/>
      </w:pPr>
      <w:r>
        <w:rPr/>
        <w:t>无。</w:t>
      </w:r>
    </w:p>
    <w:p>
      <w:pPr>
        <w:spacing w:line="240" w:lineRule="auto" w:before="0"/>
        <w:rPr>
          <w:rFonts w:ascii="宋体" w:hAnsi="宋体" w:cs="宋体" w:eastAsia="宋体" w:hint="default"/>
          <w:sz w:val="18"/>
          <w:szCs w:val="18"/>
        </w:rPr>
      </w:pPr>
    </w:p>
    <w:p>
      <w:pPr>
        <w:pStyle w:val="Heading4"/>
        <w:spacing w:line="240" w:lineRule="auto" w:before="118"/>
        <w:ind w:right="0"/>
        <w:jc w:val="left"/>
        <w:rPr>
          <w:b w:val="0"/>
          <w:bCs w:val="0"/>
        </w:rPr>
      </w:pPr>
      <w:bookmarkStart w:name="15、其他债权投资" w:id="288"/>
      <w:bookmarkEnd w:id="288"/>
      <w:r>
        <w:rPr>
          <w:b w:val="0"/>
          <w:bCs w:val="0"/>
        </w:rPr>
      </w:r>
      <w:r>
        <w:rPr>
          <w:rFonts w:ascii="Times New Roman" w:hAnsi="Times New Roman" w:cs="Times New Roman" w:eastAsia="Times New Roman" w:hint="default"/>
        </w:rPr>
        <w:t>15</w:t>
      </w:r>
      <w:r>
        <w:rPr/>
        <w:t>、其他债权投资</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297"/>
        <w:gridCol w:w="1037"/>
        <w:gridCol w:w="1033"/>
        <w:gridCol w:w="1032"/>
        <w:gridCol w:w="1037"/>
        <w:gridCol w:w="1032"/>
        <w:gridCol w:w="1037"/>
        <w:gridCol w:w="1032"/>
        <w:gridCol w:w="1037"/>
      </w:tblGrid>
      <w:tr>
        <w:trPr>
          <w:trHeight w:val="1652" w:hRule="exact"/>
        </w:trPr>
        <w:tc>
          <w:tcPr>
            <w:tcW w:w="1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0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5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0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48" w:right="0"/>
              <w:jc w:val="left"/>
              <w:rPr>
                <w:rFonts w:ascii="宋体" w:hAnsi="宋体" w:cs="宋体" w:eastAsia="宋体" w:hint="default"/>
                <w:sz w:val="18"/>
                <w:szCs w:val="18"/>
              </w:rPr>
            </w:pPr>
            <w:r>
              <w:rPr>
                <w:rFonts w:ascii="宋体" w:hAnsi="宋体" w:cs="宋体" w:eastAsia="宋体" w:hint="default"/>
                <w:sz w:val="18"/>
                <w:szCs w:val="18"/>
              </w:rPr>
              <w:t>应计利息</w:t>
            </w:r>
          </w:p>
        </w:tc>
        <w:tc>
          <w:tcPr>
            <w:tcW w:w="10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2"/>
                <w:szCs w:val="22"/>
              </w:rPr>
            </w:pPr>
          </w:p>
          <w:p>
            <w:pPr>
              <w:pStyle w:val="TableParagraph"/>
              <w:spacing w:line="316" w:lineRule="auto"/>
              <w:ind w:left="153" w:right="141"/>
              <w:jc w:val="left"/>
              <w:rPr>
                <w:rFonts w:ascii="宋体" w:hAnsi="宋体" w:cs="宋体" w:eastAsia="宋体" w:hint="default"/>
                <w:sz w:val="18"/>
                <w:szCs w:val="18"/>
              </w:rPr>
            </w:pPr>
            <w:r>
              <w:rPr>
                <w:rFonts w:ascii="宋体" w:hAnsi="宋体" w:cs="宋体" w:eastAsia="宋体" w:hint="default"/>
                <w:sz w:val="18"/>
                <w:szCs w:val="18"/>
              </w:rPr>
              <w:t>本期公允</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价值变动</w:t>
            </w:r>
          </w:p>
        </w:tc>
        <w:tc>
          <w:tcPr>
            <w:tcW w:w="10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53"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0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331" w:right="0"/>
              <w:jc w:val="left"/>
              <w:rPr>
                <w:rFonts w:ascii="宋体" w:hAnsi="宋体" w:cs="宋体" w:eastAsia="宋体" w:hint="default"/>
                <w:sz w:val="18"/>
                <w:szCs w:val="18"/>
              </w:rPr>
            </w:pPr>
            <w:r>
              <w:rPr>
                <w:rFonts w:ascii="宋体" w:hAnsi="宋体" w:cs="宋体" w:eastAsia="宋体" w:hint="default"/>
                <w:sz w:val="18"/>
                <w:szCs w:val="18"/>
              </w:rPr>
              <w:t>成本</w:t>
            </w:r>
          </w:p>
        </w:tc>
        <w:tc>
          <w:tcPr>
            <w:tcW w:w="10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2"/>
                <w:szCs w:val="22"/>
              </w:rPr>
            </w:pPr>
          </w:p>
          <w:p>
            <w:pPr>
              <w:pStyle w:val="TableParagraph"/>
              <w:spacing w:line="316" w:lineRule="auto"/>
              <w:ind w:left="153" w:right="147"/>
              <w:jc w:val="left"/>
              <w:rPr>
                <w:rFonts w:ascii="宋体" w:hAnsi="宋体" w:cs="宋体" w:eastAsia="宋体" w:hint="default"/>
                <w:sz w:val="18"/>
                <w:szCs w:val="18"/>
              </w:rPr>
            </w:pPr>
            <w:r>
              <w:rPr>
                <w:rFonts w:ascii="宋体" w:hAnsi="宋体" w:cs="宋体" w:eastAsia="宋体" w:hint="default"/>
                <w:sz w:val="18"/>
                <w:szCs w:val="18"/>
              </w:rPr>
              <w:t>累计公允</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价值变动</w:t>
            </w:r>
          </w:p>
        </w:tc>
        <w:tc>
          <w:tcPr>
            <w:tcW w:w="10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148" w:right="147"/>
              <w:jc w:val="center"/>
              <w:rPr>
                <w:rFonts w:ascii="宋体" w:hAnsi="宋体" w:cs="宋体" w:eastAsia="宋体" w:hint="default"/>
                <w:sz w:val="18"/>
                <w:szCs w:val="18"/>
              </w:rPr>
            </w:pPr>
            <w:r>
              <w:rPr>
                <w:rFonts w:ascii="宋体" w:hAnsi="宋体" w:cs="宋体" w:eastAsia="宋体" w:hint="default"/>
                <w:spacing w:val="-2"/>
                <w:sz w:val="18"/>
                <w:szCs w:val="18"/>
              </w:rPr>
              <w:t>累计在其</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2"/>
                <w:sz w:val="18"/>
                <w:szCs w:val="18"/>
              </w:rPr>
              <w:t>他综合收</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2"/>
                <w:sz w:val="18"/>
                <w:szCs w:val="18"/>
              </w:rPr>
              <w:t>益中确认</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2"/>
                <w:sz w:val="18"/>
                <w:szCs w:val="18"/>
              </w:rPr>
              <w:t>的损失准</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备</w:t>
            </w:r>
          </w:p>
        </w:tc>
        <w:tc>
          <w:tcPr>
            <w:tcW w:w="10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336" w:right="0"/>
              <w:jc w:val="left"/>
              <w:rPr>
                <w:rFonts w:ascii="宋体" w:hAnsi="宋体" w:cs="宋体" w:eastAsia="宋体" w:hint="default"/>
                <w:sz w:val="18"/>
                <w:szCs w:val="18"/>
              </w:rPr>
            </w:pPr>
            <w:r>
              <w:rPr>
                <w:rFonts w:ascii="宋体" w:hAnsi="宋体" w:cs="宋体" w:eastAsia="宋体" w:hint="default"/>
                <w:sz w:val="18"/>
                <w:szCs w:val="18"/>
              </w:rPr>
              <w:t>备注</w:t>
            </w:r>
          </w:p>
        </w:tc>
      </w:tr>
    </w:tbl>
    <w:p>
      <w:pPr>
        <w:pStyle w:val="BodyText"/>
        <w:spacing w:line="240" w:lineRule="auto" w:before="53"/>
        <w:ind w:right="0"/>
        <w:jc w:val="left"/>
      </w:pPr>
      <w:r>
        <w:rPr>
          <w:spacing w:val="-3"/>
        </w:rPr>
        <w:t>重要的其他债权投资</w:t>
      </w:r>
    </w:p>
    <w:p>
      <w:pPr>
        <w:pStyle w:val="BodyText"/>
        <w:spacing w:line="240" w:lineRule="auto" w:before="119"/>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16"/>
        <w:gridCol w:w="960"/>
        <w:gridCol w:w="956"/>
        <w:gridCol w:w="956"/>
        <w:gridCol w:w="960"/>
        <w:gridCol w:w="956"/>
        <w:gridCol w:w="956"/>
        <w:gridCol w:w="956"/>
        <w:gridCol w:w="960"/>
      </w:tblGrid>
      <w:tr>
        <w:trPr>
          <w:trHeight w:val="403" w:hRule="exact"/>
        </w:trPr>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12" w:right="0"/>
              <w:jc w:val="left"/>
              <w:rPr>
                <w:rFonts w:ascii="宋体" w:hAnsi="宋体" w:cs="宋体" w:eastAsia="宋体" w:hint="default"/>
                <w:sz w:val="18"/>
                <w:szCs w:val="18"/>
              </w:rPr>
            </w:pPr>
            <w:r>
              <w:rPr>
                <w:rFonts w:ascii="宋体" w:hAnsi="宋体" w:cs="宋体" w:eastAsia="宋体" w:hint="default"/>
                <w:sz w:val="18"/>
                <w:szCs w:val="18"/>
              </w:rPr>
              <w:t>其他债权项目</w:t>
            </w:r>
          </w:p>
        </w:tc>
        <w:tc>
          <w:tcPr>
            <w:tcW w:w="3832"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27"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4" w:hRule="exact"/>
        </w:trPr>
        <w:tc>
          <w:tcPr>
            <w:tcW w:w="1916" w:type="dxa"/>
            <w:vMerge/>
            <w:tcBorders>
              <w:left w:val="single" w:sz="4" w:space="0" w:color="000000"/>
              <w:bottom w:val="single" w:sz="4" w:space="0" w:color="000000"/>
              <w:right w:val="single" w:sz="4" w:space="0" w:color="000000"/>
            </w:tcBorders>
            <w:shd w:val="clear" w:color="auto" w:fill="D2D2D2"/>
          </w:tcPr>
          <w:p>
            <w:pPr/>
          </w:p>
        </w:tc>
        <w:tc>
          <w:tcPr>
            <w:tcW w:w="9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293" w:right="0"/>
              <w:jc w:val="left"/>
              <w:rPr>
                <w:rFonts w:ascii="宋体" w:hAnsi="宋体" w:cs="宋体" w:eastAsia="宋体" w:hint="default"/>
                <w:sz w:val="18"/>
                <w:szCs w:val="18"/>
              </w:rPr>
            </w:pPr>
            <w:r>
              <w:rPr>
                <w:rFonts w:ascii="宋体" w:hAnsi="宋体" w:cs="宋体" w:eastAsia="宋体" w:hint="default"/>
                <w:sz w:val="18"/>
                <w:szCs w:val="18"/>
              </w:rPr>
              <w:t>面值</w:t>
            </w:r>
          </w:p>
        </w:tc>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10" w:right="0"/>
              <w:jc w:val="left"/>
              <w:rPr>
                <w:rFonts w:ascii="宋体" w:hAnsi="宋体" w:cs="宋体" w:eastAsia="宋体" w:hint="default"/>
                <w:sz w:val="18"/>
                <w:szCs w:val="18"/>
              </w:rPr>
            </w:pPr>
            <w:r>
              <w:rPr>
                <w:rFonts w:ascii="宋体" w:hAnsi="宋体" w:cs="宋体" w:eastAsia="宋体" w:hint="default"/>
                <w:sz w:val="18"/>
                <w:szCs w:val="18"/>
              </w:rPr>
              <w:t>票面利率</w:t>
            </w:r>
          </w:p>
        </w:tc>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15" w:right="0"/>
              <w:jc w:val="left"/>
              <w:rPr>
                <w:rFonts w:ascii="宋体" w:hAnsi="宋体" w:cs="宋体" w:eastAsia="宋体" w:hint="default"/>
                <w:sz w:val="18"/>
                <w:szCs w:val="18"/>
              </w:rPr>
            </w:pPr>
            <w:r>
              <w:rPr>
                <w:rFonts w:ascii="宋体" w:hAnsi="宋体" w:cs="宋体" w:eastAsia="宋体" w:hint="default"/>
                <w:sz w:val="18"/>
                <w:szCs w:val="18"/>
              </w:rPr>
              <w:t>实际利率</w:t>
            </w:r>
          </w:p>
        </w:tc>
        <w:tc>
          <w:tcPr>
            <w:tcW w:w="9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206" w:right="0"/>
              <w:jc w:val="left"/>
              <w:rPr>
                <w:rFonts w:ascii="宋体" w:hAnsi="宋体" w:cs="宋体" w:eastAsia="宋体" w:hint="default"/>
                <w:sz w:val="18"/>
                <w:szCs w:val="18"/>
              </w:rPr>
            </w:pPr>
            <w:r>
              <w:rPr>
                <w:rFonts w:ascii="宋体" w:hAnsi="宋体" w:cs="宋体" w:eastAsia="宋体" w:hint="default"/>
                <w:sz w:val="18"/>
                <w:szCs w:val="18"/>
              </w:rPr>
              <w:t>到期日</w:t>
            </w:r>
          </w:p>
        </w:tc>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288" w:right="0"/>
              <w:jc w:val="left"/>
              <w:rPr>
                <w:rFonts w:ascii="宋体" w:hAnsi="宋体" w:cs="宋体" w:eastAsia="宋体" w:hint="default"/>
                <w:sz w:val="18"/>
                <w:szCs w:val="18"/>
              </w:rPr>
            </w:pPr>
            <w:r>
              <w:rPr>
                <w:rFonts w:ascii="宋体" w:hAnsi="宋体" w:cs="宋体" w:eastAsia="宋体" w:hint="default"/>
                <w:sz w:val="18"/>
                <w:szCs w:val="18"/>
              </w:rPr>
              <w:t>面值</w:t>
            </w:r>
          </w:p>
        </w:tc>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15" w:right="0"/>
              <w:jc w:val="left"/>
              <w:rPr>
                <w:rFonts w:ascii="宋体" w:hAnsi="宋体" w:cs="宋体" w:eastAsia="宋体" w:hint="default"/>
                <w:sz w:val="18"/>
                <w:szCs w:val="18"/>
              </w:rPr>
            </w:pPr>
            <w:r>
              <w:rPr>
                <w:rFonts w:ascii="宋体" w:hAnsi="宋体" w:cs="宋体" w:eastAsia="宋体" w:hint="default"/>
                <w:sz w:val="18"/>
                <w:szCs w:val="18"/>
              </w:rPr>
              <w:t>票面利率</w:t>
            </w:r>
          </w:p>
        </w:tc>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15" w:right="0"/>
              <w:jc w:val="left"/>
              <w:rPr>
                <w:rFonts w:ascii="宋体" w:hAnsi="宋体" w:cs="宋体" w:eastAsia="宋体" w:hint="default"/>
                <w:sz w:val="18"/>
                <w:szCs w:val="18"/>
              </w:rPr>
            </w:pPr>
            <w:r>
              <w:rPr>
                <w:rFonts w:ascii="宋体" w:hAnsi="宋体" w:cs="宋体" w:eastAsia="宋体" w:hint="default"/>
                <w:sz w:val="18"/>
                <w:szCs w:val="18"/>
              </w:rPr>
              <w:t>实际利率</w:t>
            </w:r>
          </w:p>
        </w:tc>
        <w:tc>
          <w:tcPr>
            <w:tcW w:w="9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206" w:right="0"/>
              <w:jc w:val="left"/>
              <w:rPr>
                <w:rFonts w:ascii="宋体" w:hAnsi="宋体" w:cs="宋体" w:eastAsia="宋体" w:hint="default"/>
                <w:sz w:val="18"/>
                <w:szCs w:val="18"/>
              </w:rPr>
            </w:pPr>
            <w:r>
              <w:rPr>
                <w:rFonts w:ascii="宋体" w:hAnsi="宋体" w:cs="宋体" w:eastAsia="宋体" w:hint="default"/>
                <w:sz w:val="18"/>
                <w:szCs w:val="18"/>
              </w:rPr>
              <w:t>到期日</w:t>
            </w:r>
          </w:p>
        </w:tc>
      </w:tr>
    </w:tbl>
    <w:p>
      <w:pPr>
        <w:pStyle w:val="BodyText"/>
        <w:spacing w:line="240" w:lineRule="auto" w:before="53"/>
        <w:ind w:right="0"/>
        <w:jc w:val="left"/>
      </w:pPr>
      <w:r>
        <w:rPr/>
        <w:t>减值准备计提情况</w:t>
      </w:r>
    </w:p>
    <w:p>
      <w:pPr>
        <w:pStyle w:val="BodyText"/>
        <w:spacing w:line="240" w:lineRule="auto" w:before="115"/>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16"/>
        <w:gridCol w:w="1652"/>
        <w:gridCol w:w="2098"/>
        <w:gridCol w:w="2103"/>
        <w:gridCol w:w="1800"/>
      </w:tblGrid>
      <w:tr>
        <w:trPr>
          <w:trHeight w:val="398" w:hRule="exact"/>
        </w:trPr>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595"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第一阶段</w:t>
            </w:r>
          </w:p>
        </w:tc>
        <w:tc>
          <w:tcPr>
            <w:tcW w:w="20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第二阶段</w:t>
            </w:r>
          </w:p>
        </w:tc>
        <w:tc>
          <w:tcPr>
            <w:tcW w:w="21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第三阶段</w:t>
            </w:r>
          </w:p>
        </w:tc>
        <w:tc>
          <w:tcPr>
            <w:tcW w:w="180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716" w:hRule="exact"/>
        </w:trPr>
        <w:tc>
          <w:tcPr>
            <w:tcW w:w="1916" w:type="dxa"/>
            <w:vMerge/>
            <w:tcBorders>
              <w:left w:val="single" w:sz="4" w:space="0" w:color="000000"/>
              <w:bottom w:val="single" w:sz="4" w:space="0" w:color="000000"/>
              <w:right w:val="single" w:sz="4" w:space="0" w:color="000000"/>
            </w:tcBorders>
            <w:shd w:val="clear" w:color="auto" w:fill="D2D2D2"/>
          </w:tcPr>
          <w:p>
            <w:pPr/>
          </w:p>
        </w:tc>
        <w:tc>
          <w:tcPr>
            <w:tcW w:w="1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4" w:lineRule="auto" w:before="53"/>
              <w:ind w:left="461" w:right="137" w:hanging="312"/>
              <w:jc w:val="left"/>
              <w:rPr>
                <w:rFonts w:ascii="宋体" w:hAnsi="宋体" w:cs="宋体" w:eastAsia="宋体" w:hint="default"/>
                <w:sz w:val="18"/>
                <w:szCs w:val="18"/>
              </w:rPr>
            </w:pPr>
            <w:r>
              <w:rPr>
                <w:rFonts w:ascii="宋体" w:hAnsi="宋体" w:cs="宋体" w:eastAsia="宋体" w:hint="default"/>
                <w:sz w:val="18"/>
                <w:szCs w:val="18"/>
              </w:rPr>
              <w:t>未来</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6"/>
                <w:sz w:val="18"/>
                <w:szCs w:val="18"/>
              </w:rPr>
              <w:t> </w:t>
            </w:r>
            <w:r>
              <w:rPr>
                <w:rFonts w:ascii="宋体" w:hAnsi="宋体" w:cs="宋体" w:eastAsia="宋体" w:hint="default"/>
                <w:spacing w:val="-3"/>
                <w:sz w:val="18"/>
                <w:szCs w:val="18"/>
              </w:rPr>
              <w:t>个月预期</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信用损失</w:t>
            </w:r>
          </w:p>
        </w:tc>
        <w:tc>
          <w:tcPr>
            <w:tcW w:w="20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4" w:lineRule="auto" w:before="53"/>
              <w:ind w:left="263" w:right="137" w:hanging="120"/>
              <w:jc w:val="left"/>
              <w:rPr>
                <w:rFonts w:ascii="Times New Roman" w:hAnsi="Times New Roman" w:cs="Times New Roman" w:eastAsia="Times New Roman" w:hint="default"/>
                <w:sz w:val="18"/>
                <w:szCs w:val="18"/>
              </w:rPr>
            </w:pPr>
            <w:r>
              <w:rPr>
                <w:rFonts w:ascii="宋体" w:hAnsi="宋体" w:cs="宋体" w:eastAsia="宋体" w:hint="default"/>
                <w:spacing w:val="-2"/>
                <w:sz w:val="18"/>
                <w:szCs w:val="18"/>
              </w:rPr>
              <w:t>整个存续期预期信用损</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失</w:t>
            </w:r>
            <w:r>
              <w:rPr>
                <w:rFonts w:ascii="Times New Roman" w:hAnsi="Times New Roman" w:cs="Times New Roman" w:eastAsia="Times New Roman" w:hint="default"/>
                <w:sz w:val="18"/>
                <w:szCs w:val="18"/>
              </w:rPr>
              <w:t>(</w:t>
            </w:r>
            <w:r>
              <w:rPr>
                <w:rFonts w:ascii="宋体" w:hAnsi="宋体" w:cs="宋体" w:eastAsia="宋体" w:hint="default"/>
                <w:sz w:val="18"/>
                <w:szCs w:val="18"/>
              </w:rPr>
              <w:t>未发生信用减值</w:t>
            </w:r>
            <w:r>
              <w:rPr>
                <w:rFonts w:ascii="Times New Roman" w:hAnsi="Times New Roman" w:cs="Times New Roman" w:eastAsia="Times New Roman" w:hint="default"/>
                <w:sz w:val="18"/>
                <w:szCs w:val="18"/>
              </w:rPr>
              <w:t>)</w:t>
            </w:r>
          </w:p>
        </w:tc>
        <w:tc>
          <w:tcPr>
            <w:tcW w:w="21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4" w:lineRule="auto" w:before="53"/>
              <w:ind w:left="264" w:right="142" w:hanging="120"/>
              <w:jc w:val="left"/>
              <w:rPr>
                <w:rFonts w:ascii="Times New Roman" w:hAnsi="Times New Roman" w:cs="Times New Roman" w:eastAsia="Times New Roman" w:hint="default"/>
                <w:sz w:val="18"/>
                <w:szCs w:val="18"/>
              </w:rPr>
            </w:pPr>
            <w:r>
              <w:rPr>
                <w:rFonts w:ascii="宋体" w:hAnsi="宋体" w:cs="宋体" w:eastAsia="宋体" w:hint="default"/>
                <w:spacing w:val="-2"/>
                <w:sz w:val="18"/>
                <w:szCs w:val="18"/>
              </w:rPr>
              <w:t>整个存续期预期信用损</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失</w:t>
            </w:r>
            <w:r>
              <w:rPr>
                <w:rFonts w:ascii="Times New Roman" w:hAnsi="Times New Roman" w:cs="Times New Roman" w:eastAsia="Times New Roman" w:hint="default"/>
                <w:sz w:val="18"/>
                <w:szCs w:val="18"/>
              </w:rPr>
              <w:t>(</w:t>
            </w:r>
            <w:r>
              <w:rPr>
                <w:rFonts w:ascii="宋体" w:hAnsi="宋体" w:cs="宋体" w:eastAsia="宋体" w:hint="default"/>
                <w:sz w:val="18"/>
                <w:szCs w:val="18"/>
              </w:rPr>
              <w:t>已发生信用减值</w:t>
            </w:r>
            <w:r>
              <w:rPr>
                <w:rFonts w:ascii="Times New Roman" w:hAnsi="Times New Roman" w:cs="Times New Roman" w:eastAsia="Times New Roman" w:hint="default"/>
                <w:sz w:val="18"/>
                <w:szCs w:val="18"/>
              </w:rPr>
              <w:t>)</w:t>
            </w:r>
          </w:p>
        </w:tc>
        <w:tc>
          <w:tcPr>
            <w:tcW w:w="1800" w:type="dxa"/>
            <w:vMerge/>
            <w:tcBorders>
              <w:left w:val="single" w:sz="4" w:space="0" w:color="000000"/>
              <w:bottom w:val="single" w:sz="4" w:space="0" w:color="000000"/>
              <w:right w:val="single" w:sz="4" w:space="0" w:color="000000"/>
            </w:tcBorders>
            <w:shd w:val="clear" w:color="auto" w:fill="D2D2D2"/>
          </w:tcPr>
          <w:p>
            <w:pPr/>
          </w:p>
        </w:tc>
      </w:tr>
      <w:tr>
        <w:trPr>
          <w:trHeight w:val="715"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4" w:lineRule="auto" w:before="53"/>
              <w:ind w:left="105" w:right="127"/>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日余额</w:t>
            </w:r>
            <w:r>
              <w:rPr>
                <w:rFonts w:ascii="宋体" w:hAnsi="宋体" w:cs="宋体" w:eastAsia="宋体" w:hint="default"/>
                <w:w w:val="101"/>
                <w:sz w:val="18"/>
                <w:szCs w:val="18"/>
              </w:rPr>
              <w:t> </w:t>
            </w:r>
            <w:r>
              <w:rPr>
                <w:rFonts w:ascii="宋体" w:hAnsi="宋体" w:cs="宋体" w:eastAsia="宋体" w:hint="default"/>
                <w:sz w:val="18"/>
                <w:szCs w:val="18"/>
              </w:rPr>
              <w:t>在本期</w:t>
            </w:r>
          </w:p>
        </w:tc>
        <w:tc>
          <w:tcPr>
            <w:tcW w:w="1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w:t>
            </w:r>
          </w:p>
        </w:tc>
        <w:tc>
          <w:tcPr>
            <w:tcW w:w="20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w:t>
            </w:r>
          </w:p>
        </w:tc>
        <w:tc>
          <w:tcPr>
            <w:tcW w:w="21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1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w:t>
            </w:r>
          </w:p>
        </w:tc>
      </w:tr>
    </w:tbl>
    <w:p>
      <w:pPr>
        <w:pStyle w:val="BodyText"/>
        <w:spacing w:line="240" w:lineRule="auto" w:before="53"/>
        <w:ind w:right="0"/>
        <w:jc w:val="left"/>
      </w:pPr>
      <w:r>
        <w:rPr>
          <w:spacing w:val="-3"/>
        </w:rPr>
        <w:t>损失准备本期变动金额重大的账面余额变动情况</w:t>
      </w:r>
    </w:p>
    <w:p>
      <w:pPr>
        <w:pStyle w:val="BodyText"/>
        <w:spacing w:line="357" w:lineRule="auto" w:before="119"/>
        <w:ind w:right="9217"/>
        <w:jc w:val="left"/>
      </w:pPr>
      <w:r>
        <w:rPr/>
        <w:t>□ </w:t>
      </w:r>
      <w:r>
        <w:rPr>
          <w:spacing w:val="-3"/>
        </w:rPr>
        <w:t>适用 </w:t>
      </w:r>
      <w:r>
        <w:rPr/>
        <w:t>√</w:t>
      </w:r>
      <w:r>
        <w:rPr>
          <w:spacing w:val="13"/>
        </w:rPr>
        <w:t> </w:t>
      </w:r>
      <w:r>
        <w:rPr/>
        <w:t>不适用</w:t>
      </w:r>
      <w:r>
        <w:rPr>
          <w:w w:val="101"/>
        </w:rPr>
        <w:t> </w:t>
      </w:r>
      <w:r>
        <w:rPr/>
        <w:t>其他说明：</w:t>
      </w:r>
    </w:p>
    <w:p>
      <w:pPr>
        <w:pStyle w:val="BodyText"/>
        <w:spacing w:line="240" w:lineRule="auto" w:before="21"/>
        <w:ind w:right="0"/>
        <w:jc w:val="left"/>
      </w:pPr>
      <w:r>
        <w:rPr/>
        <w:t>无。</w:t>
      </w:r>
    </w:p>
    <w:p>
      <w:pPr>
        <w:spacing w:after="0" w:line="240" w:lineRule="auto"/>
        <w:jc w:val="left"/>
        <w:sectPr>
          <w:pgSz w:w="11910" w:h="16840"/>
          <w:pgMar w:header="784" w:footer="1022" w:top="1100" w:bottom="1220" w:left="980" w:right="0"/>
        </w:sectPr>
      </w:pPr>
    </w:p>
    <w:p>
      <w:pPr>
        <w:spacing w:line="240" w:lineRule="auto" w:before="13"/>
        <w:rPr>
          <w:rFonts w:ascii="宋体" w:hAnsi="宋体" w:cs="宋体" w:eastAsia="宋体" w:hint="default"/>
          <w:sz w:val="21"/>
          <w:szCs w:val="21"/>
        </w:rPr>
      </w:pPr>
    </w:p>
    <w:p>
      <w:pPr>
        <w:pStyle w:val="Heading4"/>
        <w:spacing w:line="240" w:lineRule="auto" w:before="36"/>
        <w:ind w:right="0"/>
        <w:jc w:val="left"/>
        <w:rPr>
          <w:b w:val="0"/>
          <w:bCs w:val="0"/>
        </w:rPr>
      </w:pPr>
      <w:bookmarkStart w:name="16、长期应收款" w:id="289"/>
      <w:bookmarkEnd w:id="289"/>
      <w:r>
        <w:rPr>
          <w:b w:val="0"/>
          <w:bCs w:val="0"/>
        </w:rPr>
      </w:r>
      <w:r>
        <w:rPr>
          <w:rFonts w:ascii="Times New Roman" w:hAnsi="Times New Roman" w:cs="Times New Roman" w:eastAsia="Times New Roman" w:hint="default"/>
        </w:rPr>
        <w:t>16</w:t>
      </w:r>
      <w:r>
        <w:rPr/>
        <w:t>、长期应收款</w:t>
      </w:r>
      <w:r>
        <w:rPr>
          <w:b w:val="0"/>
          <w:bCs w:val="0"/>
        </w:rPr>
      </w:r>
    </w:p>
    <w:p>
      <w:pPr>
        <w:spacing w:line="240" w:lineRule="auto" w:before="5"/>
        <w:rPr>
          <w:rFonts w:ascii="宋体" w:hAnsi="宋体" w:cs="宋体" w:eastAsia="宋体" w:hint="default"/>
          <w:b/>
          <w:bCs/>
          <w:sz w:val="24"/>
          <w:szCs w:val="24"/>
        </w:rPr>
      </w:pPr>
    </w:p>
    <w:p>
      <w:pPr>
        <w:pStyle w:val="Heading4"/>
        <w:spacing w:line="240" w:lineRule="auto"/>
        <w:ind w:right="0"/>
        <w:jc w:val="left"/>
        <w:rPr>
          <w:b w:val="0"/>
          <w:bCs w:val="0"/>
        </w:rPr>
      </w:pPr>
      <w:bookmarkStart w:name="（1）长期应收款情况" w:id="290"/>
      <w:bookmarkEnd w:id="290"/>
      <w:r>
        <w:rPr>
          <w:b w:val="0"/>
          <w:bCs w:val="0"/>
        </w:rPr>
      </w:r>
      <w:r>
        <w:rPr/>
        <w:t>（</w:t>
      </w:r>
      <w:r>
        <w:rPr>
          <w:rFonts w:ascii="Times New Roman" w:hAnsi="Times New Roman" w:cs="Times New Roman" w:eastAsia="Times New Roman" w:hint="default"/>
        </w:rPr>
        <w:t>1</w:t>
      </w:r>
      <w:r>
        <w:rPr/>
        <w:t>）长期应收款情况</w:t>
      </w:r>
      <w:r>
        <w:rPr>
          <w:b w:val="0"/>
          <w:bCs w:val="0"/>
        </w:rPr>
      </w:r>
    </w:p>
    <w:p>
      <w:pPr>
        <w:spacing w:line="240" w:lineRule="auto" w:before="7"/>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402"/>
        <w:gridCol w:w="1167"/>
        <w:gridCol w:w="1172"/>
        <w:gridCol w:w="1167"/>
        <w:gridCol w:w="1167"/>
        <w:gridCol w:w="1167"/>
        <w:gridCol w:w="1167"/>
        <w:gridCol w:w="1167"/>
      </w:tblGrid>
      <w:tr>
        <w:trPr>
          <w:trHeight w:val="403" w:hRule="exact"/>
        </w:trPr>
        <w:tc>
          <w:tcPr>
            <w:tcW w:w="140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505"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501"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c>
          <w:tcPr>
            <w:tcW w:w="11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29" w:right="0"/>
              <w:jc w:val="left"/>
              <w:rPr>
                <w:rFonts w:ascii="宋体" w:hAnsi="宋体" w:cs="宋体" w:eastAsia="宋体" w:hint="default"/>
                <w:sz w:val="18"/>
                <w:szCs w:val="18"/>
              </w:rPr>
            </w:pPr>
            <w:r>
              <w:rPr>
                <w:rFonts w:ascii="宋体" w:hAnsi="宋体" w:cs="宋体" w:eastAsia="宋体" w:hint="default"/>
                <w:sz w:val="18"/>
                <w:szCs w:val="18"/>
              </w:rPr>
              <w:t>折现率区间</w:t>
            </w:r>
          </w:p>
        </w:tc>
      </w:tr>
      <w:tr>
        <w:trPr>
          <w:trHeight w:val="398" w:hRule="exact"/>
        </w:trPr>
        <w:tc>
          <w:tcPr>
            <w:tcW w:w="1402" w:type="dxa"/>
            <w:vMerge/>
            <w:tcBorders>
              <w:left w:val="single" w:sz="4" w:space="0" w:color="000000"/>
              <w:bottom w:val="single" w:sz="4" w:space="0" w:color="000000"/>
              <w:right w:val="single" w:sz="4" w:space="0" w:color="000000"/>
            </w:tcBorders>
            <w:shd w:val="clear" w:color="auto" w:fill="D2D2D2"/>
          </w:tcPr>
          <w:p>
            <w:pPr/>
          </w:p>
        </w:tc>
        <w:tc>
          <w:tcPr>
            <w:tcW w:w="1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20"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20"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16"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1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20"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20"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167" w:type="dxa"/>
            <w:vMerge/>
            <w:tcBorders>
              <w:left w:val="single" w:sz="4" w:space="0" w:color="000000"/>
              <w:bottom w:val="single" w:sz="4" w:space="0" w:color="000000"/>
              <w:right w:val="single" w:sz="4" w:space="0" w:color="000000"/>
            </w:tcBorders>
            <w:shd w:val="clear" w:color="auto" w:fill="D2D2D2"/>
          </w:tcPr>
          <w:p>
            <w:pPr/>
          </w:p>
        </w:tc>
      </w:tr>
    </w:tbl>
    <w:p>
      <w:pPr>
        <w:pStyle w:val="BodyText"/>
        <w:spacing w:line="240" w:lineRule="auto" w:before="53"/>
        <w:ind w:right="0"/>
        <w:jc w:val="left"/>
      </w:pPr>
      <w:r>
        <w:rPr/>
        <w:t>坏账准备减值情况</w:t>
      </w:r>
    </w:p>
    <w:p>
      <w:pPr>
        <w:pStyle w:val="BodyText"/>
        <w:spacing w:line="240" w:lineRule="auto" w:before="120"/>
        <w:ind w:left="0" w:right="1122"/>
        <w:jc w:val="right"/>
      </w:pPr>
      <w:r>
        <w:rPr/>
        <w:t>单位：</w:t>
      </w:r>
      <w:r>
        <w:rPr>
          <w:spacing w:val="5"/>
        </w:rPr>
        <w:t> </w:t>
      </w:r>
      <w:r>
        <w:rPr/>
        <w:t>元</w:t>
      </w:r>
    </w:p>
    <w:p>
      <w:pPr>
        <w:spacing w:line="240" w:lineRule="auto" w:before="10"/>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16"/>
        <w:gridCol w:w="1652"/>
        <w:gridCol w:w="2098"/>
        <w:gridCol w:w="2103"/>
        <w:gridCol w:w="1800"/>
      </w:tblGrid>
      <w:tr>
        <w:trPr>
          <w:trHeight w:val="401" w:hRule="exact"/>
        </w:trPr>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595"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4" w:right="0"/>
              <w:jc w:val="center"/>
              <w:rPr>
                <w:rFonts w:ascii="宋体" w:hAnsi="宋体" w:cs="宋体" w:eastAsia="宋体" w:hint="default"/>
                <w:sz w:val="18"/>
                <w:szCs w:val="18"/>
              </w:rPr>
            </w:pPr>
            <w:r>
              <w:rPr>
                <w:rFonts w:ascii="宋体" w:hAnsi="宋体" w:cs="宋体" w:eastAsia="宋体" w:hint="default"/>
                <w:sz w:val="18"/>
                <w:szCs w:val="18"/>
              </w:rPr>
              <w:t>第一阶段</w:t>
            </w:r>
          </w:p>
        </w:tc>
        <w:tc>
          <w:tcPr>
            <w:tcW w:w="20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9" w:right="0"/>
              <w:jc w:val="center"/>
              <w:rPr>
                <w:rFonts w:ascii="宋体" w:hAnsi="宋体" w:cs="宋体" w:eastAsia="宋体" w:hint="default"/>
                <w:sz w:val="18"/>
                <w:szCs w:val="18"/>
              </w:rPr>
            </w:pPr>
            <w:r>
              <w:rPr>
                <w:rFonts w:ascii="宋体" w:hAnsi="宋体" w:cs="宋体" w:eastAsia="宋体" w:hint="default"/>
                <w:sz w:val="18"/>
                <w:szCs w:val="18"/>
              </w:rPr>
              <w:t>第二阶段</w:t>
            </w:r>
          </w:p>
        </w:tc>
        <w:tc>
          <w:tcPr>
            <w:tcW w:w="21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4" w:right="0"/>
              <w:jc w:val="center"/>
              <w:rPr>
                <w:rFonts w:ascii="宋体" w:hAnsi="宋体" w:cs="宋体" w:eastAsia="宋体" w:hint="default"/>
                <w:sz w:val="18"/>
                <w:szCs w:val="18"/>
              </w:rPr>
            </w:pPr>
            <w:r>
              <w:rPr>
                <w:rFonts w:ascii="宋体" w:hAnsi="宋体" w:cs="宋体" w:eastAsia="宋体" w:hint="default"/>
                <w:sz w:val="18"/>
                <w:szCs w:val="18"/>
              </w:rPr>
              <w:t>第三阶段</w:t>
            </w:r>
          </w:p>
        </w:tc>
        <w:tc>
          <w:tcPr>
            <w:tcW w:w="180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715" w:hRule="exact"/>
        </w:trPr>
        <w:tc>
          <w:tcPr>
            <w:tcW w:w="1916" w:type="dxa"/>
            <w:vMerge/>
            <w:tcBorders>
              <w:left w:val="single" w:sz="4" w:space="0" w:color="000000"/>
              <w:bottom w:val="single" w:sz="4" w:space="0" w:color="000000"/>
              <w:right w:val="single" w:sz="4" w:space="0" w:color="000000"/>
            </w:tcBorders>
            <w:shd w:val="clear" w:color="auto" w:fill="D2D2D2"/>
          </w:tcPr>
          <w:p>
            <w:pPr/>
          </w:p>
        </w:tc>
        <w:tc>
          <w:tcPr>
            <w:tcW w:w="1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4" w:lineRule="auto" w:before="53"/>
              <w:ind w:left="461" w:right="137" w:hanging="312"/>
              <w:jc w:val="left"/>
              <w:rPr>
                <w:rFonts w:ascii="宋体" w:hAnsi="宋体" w:cs="宋体" w:eastAsia="宋体" w:hint="default"/>
                <w:sz w:val="18"/>
                <w:szCs w:val="18"/>
              </w:rPr>
            </w:pPr>
            <w:r>
              <w:rPr>
                <w:rFonts w:ascii="宋体" w:hAnsi="宋体" w:cs="宋体" w:eastAsia="宋体" w:hint="default"/>
                <w:sz w:val="18"/>
                <w:szCs w:val="18"/>
              </w:rPr>
              <w:t>未来</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6"/>
                <w:sz w:val="18"/>
                <w:szCs w:val="18"/>
              </w:rPr>
              <w:t> </w:t>
            </w:r>
            <w:r>
              <w:rPr>
                <w:rFonts w:ascii="宋体" w:hAnsi="宋体" w:cs="宋体" w:eastAsia="宋体" w:hint="default"/>
                <w:spacing w:val="-3"/>
                <w:sz w:val="18"/>
                <w:szCs w:val="18"/>
              </w:rPr>
              <w:t>个月预期</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信用损失</w:t>
            </w:r>
          </w:p>
        </w:tc>
        <w:tc>
          <w:tcPr>
            <w:tcW w:w="20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263" w:right="137" w:hanging="120"/>
              <w:jc w:val="left"/>
              <w:rPr>
                <w:rFonts w:ascii="Times New Roman" w:hAnsi="Times New Roman" w:cs="Times New Roman" w:eastAsia="Times New Roman" w:hint="default"/>
                <w:sz w:val="18"/>
                <w:szCs w:val="18"/>
              </w:rPr>
            </w:pPr>
            <w:r>
              <w:rPr>
                <w:rFonts w:ascii="宋体" w:hAnsi="宋体" w:cs="宋体" w:eastAsia="宋体" w:hint="default"/>
                <w:spacing w:val="-2"/>
                <w:sz w:val="18"/>
                <w:szCs w:val="18"/>
              </w:rPr>
              <w:t>整个存续期预期信用损</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失</w:t>
            </w:r>
            <w:r>
              <w:rPr>
                <w:rFonts w:ascii="Times New Roman" w:hAnsi="Times New Roman" w:cs="Times New Roman" w:eastAsia="Times New Roman" w:hint="default"/>
                <w:sz w:val="18"/>
                <w:szCs w:val="18"/>
              </w:rPr>
              <w:t>(</w:t>
            </w:r>
            <w:r>
              <w:rPr>
                <w:rFonts w:ascii="宋体" w:hAnsi="宋体" w:cs="宋体" w:eastAsia="宋体" w:hint="default"/>
                <w:sz w:val="18"/>
                <w:szCs w:val="18"/>
              </w:rPr>
              <w:t>未发生信用减值</w:t>
            </w:r>
            <w:r>
              <w:rPr>
                <w:rFonts w:ascii="Times New Roman" w:hAnsi="Times New Roman" w:cs="Times New Roman" w:eastAsia="Times New Roman" w:hint="default"/>
                <w:sz w:val="18"/>
                <w:szCs w:val="18"/>
              </w:rPr>
              <w:t>)</w:t>
            </w:r>
          </w:p>
        </w:tc>
        <w:tc>
          <w:tcPr>
            <w:tcW w:w="21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264" w:right="142" w:hanging="120"/>
              <w:jc w:val="left"/>
              <w:rPr>
                <w:rFonts w:ascii="Times New Roman" w:hAnsi="Times New Roman" w:cs="Times New Roman" w:eastAsia="Times New Roman" w:hint="default"/>
                <w:sz w:val="18"/>
                <w:szCs w:val="18"/>
              </w:rPr>
            </w:pPr>
            <w:r>
              <w:rPr>
                <w:rFonts w:ascii="宋体" w:hAnsi="宋体" w:cs="宋体" w:eastAsia="宋体" w:hint="default"/>
                <w:spacing w:val="-2"/>
                <w:sz w:val="18"/>
                <w:szCs w:val="18"/>
              </w:rPr>
              <w:t>整个存续期预期信用损</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失</w:t>
            </w:r>
            <w:r>
              <w:rPr>
                <w:rFonts w:ascii="Times New Roman" w:hAnsi="Times New Roman" w:cs="Times New Roman" w:eastAsia="Times New Roman" w:hint="default"/>
                <w:sz w:val="18"/>
                <w:szCs w:val="18"/>
              </w:rPr>
              <w:t>(</w:t>
            </w:r>
            <w:r>
              <w:rPr>
                <w:rFonts w:ascii="宋体" w:hAnsi="宋体" w:cs="宋体" w:eastAsia="宋体" w:hint="default"/>
                <w:sz w:val="18"/>
                <w:szCs w:val="18"/>
              </w:rPr>
              <w:t>已发生信用减值</w:t>
            </w:r>
            <w:r>
              <w:rPr>
                <w:rFonts w:ascii="Times New Roman" w:hAnsi="Times New Roman" w:cs="Times New Roman" w:eastAsia="Times New Roman" w:hint="default"/>
                <w:sz w:val="18"/>
                <w:szCs w:val="18"/>
              </w:rPr>
              <w:t>)</w:t>
            </w:r>
          </w:p>
        </w:tc>
        <w:tc>
          <w:tcPr>
            <w:tcW w:w="1800" w:type="dxa"/>
            <w:vMerge/>
            <w:tcBorders>
              <w:left w:val="single" w:sz="4" w:space="0" w:color="000000"/>
              <w:bottom w:val="single" w:sz="4" w:space="0" w:color="000000"/>
              <w:right w:val="single" w:sz="4" w:space="0" w:color="000000"/>
            </w:tcBorders>
            <w:shd w:val="clear" w:color="auto" w:fill="D2D2D2"/>
          </w:tcPr>
          <w:p>
            <w:pPr/>
          </w:p>
        </w:tc>
      </w:tr>
      <w:tr>
        <w:trPr>
          <w:trHeight w:val="716"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4"/>
              <w:ind w:left="105" w:right="127"/>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日余额</w:t>
            </w:r>
            <w:r>
              <w:rPr>
                <w:rFonts w:ascii="宋体" w:hAnsi="宋体" w:cs="宋体" w:eastAsia="宋体" w:hint="default"/>
                <w:w w:val="101"/>
                <w:sz w:val="18"/>
                <w:szCs w:val="18"/>
              </w:rPr>
              <w:t> </w:t>
            </w:r>
            <w:r>
              <w:rPr>
                <w:rFonts w:ascii="宋体" w:hAnsi="宋体" w:cs="宋体" w:eastAsia="宋体" w:hint="default"/>
                <w:sz w:val="18"/>
                <w:szCs w:val="18"/>
              </w:rPr>
              <w:t>在本期</w:t>
            </w:r>
          </w:p>
        </w:tc>
        <w:tc>
          <w:tcPr>
            <w:tcW w:w="1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w:t>
            </w:r>
          </w:p>
        </w:tc>
        <w:tc>
          <w:tcPr>
            <w:tcW w:w="20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w:t>
            </w:r>
          </w:p>
        </w:tc>
        <w:tc>
          <w:tcPr>
            <w:tcW w:w="21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1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w:t>
            </w:r>
          </w:p>
        </w:tc>
      </w:tr>
    </w:tbl>
    <w:p>
      <w:pPr>
        <w:pStyle w:val="BodyText"/>
        <w:spacing w:line="240" w:lineRule="auto" w:before="53"/>
        <w:ind w:right="0"/>
        <w:jc w:val="left"/>
      </w:pPr>
      <w:r>
        <w:rPr>
          <w:spacing w:val="-3"/>
        </w:rPr>
        <w:t>损失准备本期变动金额重大的账面余额变动情况</w:t>
      </w:r>
    </w:p>
    <w:p>
      <w:pPr>
        <w:pStyle w:val="BodyText"/>
        <w:spacing w:line="357" w:lineRule="auto" w:before="115"/>
        <w:ind w:right="9217"/>
        <w:jc w:val="left"/>
      </w:pPr>
      <w:r>
        <w:rPr/>
        <w:t>□ </w:t>
      </w:r>
      <w:r>
        <w:rPr>
          <w:spacing w:val="-3"/>
        </w:rPr>
        <w:t>适用 </w:t>
      </w:r>
      <w:r>
        <w:rPr/>
        <w:t>√</w:t>
      </w:r>
      <w:r>
        <w:rPr>
          <w:spacing w:val="13"/>
        </w:rPr>
        <w:t> </w:t>
      </w:r>
      <w:r>
        <w:rPr/>
        <w:t>不适用</w:t>
      </w:r>
      <w:r>
        <w:rPr>
          <w:w w:val="101"/>
        </w:rPr>
        <w:t> </w:t>
      </w:r>
      <w:r>
        <w:rPr/>
        <w:t>无。</w:t>
      </w:r>
    </w:p>
    <w:p>
      <w:pPr>
        <w:spacing w:line="240" w:lineRule="auto" w:before="4"/>
        <w:rPr>
          <w:rFonts w:ascii="宋体" w:hAnsi="宋体" w:cs="宋体" w:eastAsia="宋体" w:hint="default"/>
          <w:sz w:val="20"/>
          <w:szCs w:val="20"/>
        </w:rPr>
      </w:pPr>
    </w:p>
    <w:p>
      <w:pPr>
        <w:pStyle w:val="Heading4"/>
        <w:spacing w:line="240" w:lineRule="auto"/>
        <w:ind w:right="0"/>
        <w:jc w:val="left"/>
        <w:rPr>
          <w:b w:val="0"/>
          <w:bCs w:val="0"/>
        </w:rPr>
      </w:pPr>
      <w:bookmarkStart w:name="（2）因金融资产转移而终止确认的长期应收款" w:id="291"/>
      <w:bookmarkEnd w:id="291"/>
      <w:r>
        <w:rPr>
          <w:b w:val="0"/>
          <w:bCs w:val="0"/>
        </w:rPr>
      </w:r>
      <w:r>
        <w:rPr/>
        <w:t>（</w:t>
      </w:r>
      <w:r>
        <w:rPr>
          <w:rFonts w:ascii="Times New Roman" w:hAnsi="Times New Roman" w:cs="Times New Roman" w:eastAsia="Times New Roman" w:hint="default"/>
        </w:rPr>
        <w:t>2</w:t>
      </w:r>
      <w:r>
        <w:rPr/>
        <w:t>）因金融资产转移而终止确认的长期应收款</w:t>
      </w:r>
      <w:r>
        <w:rPr>
          <w:b w:val="0"/>
          <w:bCs w:val="0"/>
        </w:rPr>
      </w:r>
    </w:p>
    <w:p>
      <w:pPr>
        <w:spacing w:line="240" w:lineRule="auto" w:before="4"/>
        <w:rPr>
          <w:rFonts w:ascii="宋体" w:hAnsi="宋体" w:cs="宋体" w:eastAsia="宋体" w:hint="default"/>
          <w:b/>
          <w:bCs/>
          <w:sz w:val="26"/>
          <w:szCs w:val="26"/>
        </w:rPr>
      </w:pPr>
    </w:p>
    <w:p>
      <w:pPr>
        <w:pStyle w:val="BodyText"/>
        <w:spacing w:line="240" w:lineRule="auto" w:before="0"/>
        <w:ind w:right="0"/>
        <w:jc w:val="left"/>
      </w:pPr>
      <w:r>
        <w:rPr/>
        <w:t>无。</w:t>
      </w:r>
    </w:p>
    <w:p>
      <w:pPr>
        <w:spacing w:line="240" w:lineRule="auto" w:before="0"/>
        <w:rPr>
          <w:rFonts w:ascii="宋体" w:hAnsi="宋体" w:cs="宋体" w:eastAsia="宋体" w:hint="default"/>
          <w:sz w:val="18"/>
          <w:szCs w:val="18"/>
        </w:rPr>
      </w:pPr>
    </w:p>
    <w:p>
      <w:pPr>
        <w:pStyle w:val="Heading4"/>
        <w:spacing w:line="240" w:lineRule="auto" w:before="118"/>
        <w:ind w:right="0"/>
        <w:jc w:val="left"/>
        <w:rPr>
          <w:b w:val="0"/>
          <w:bCs w:val="0"/>
        </w:rPr>
      </w:pPr>
      <w:bookmarkStart w:name="（3）转移长期应收款且继续涉入形成的资产、负债金额" w:id="292"/>
      <w:bookmarkEnd w:id="292"/>
      <w:r>
        <w:rPr>
          <w:b w:val="0"/>
          <w:bCs w:val="0"/>
        </w:rPr>
      </w:r>
      <w:r>
        <w:rPr/>
        <w:t>（</w:t>
      </w:r>
      <w:r>
        <w:rPr>
          <w:rFonts w:ascii="Times New Roman" w:hAnsi="Times New Roman" w:cs="Times New Roman" w:eastAsia="Times New Roman" w:hint="default"/>
        </w:rPr>
        <w:t>3</w:t>
      </w:r>
      <w:r>
        <w:rPr/>
        <w:t>）转移长期应收款且继续涉入形成的资产、负债金额</w:t>
      </w:r>
      <w:r>
        <w:rPr>
          <w:b w:val="0"/>
          <w:bCs w:val="0"/>
        </w:rPr>
      </w:r>
    </w:p>
    <w:p>
      <w:pPr>
        <w:spacing w:line="240" w:lineRule="auto" w:before="5"/>
        <w:rPr>
          <w:rFonts w:ascii="宋体" w:hAnsi="宋体" w:cs="宋体" w:eastAsia="宋体" w:hint="default"/>
          <w:b/>
          <w:bCs/>
          <w:sz w:val="26"/>
          <w:szCs w:val="26"/>
        </w:rPr>
      </w:pPr>
    </w:p>
    <w:p>
      <w:pPr>
        <w:pStyle w:val="BodyText"/>
        <w:spacing w:line="360" w:lineRule="auto" w:before="0"/>
        <w:ind w:right="10031"/>
        <w:jc w:val="left"/>
      </w:pPr>
      <w:r>
        <w:rPr/>
        <w:t>无。</w:t>
      </w:r>
      <w:r>
        <w:rPr>
          <w:spacing w:val="-86"/>
        </w:rPr>
        <w:t> </w:t>
      </w:r>
      <w:r>
        <w:rPr/>
        <w:t>其他说明</w:t>
      </w:r>
      <w:r>
        <w:rPr>
          <w:spacing w:val="-86"/>
        </w:rPr>
        <w:t> </w:t>
      </w:r>
      <w:r>
        <w:rPr>
          <w:spacing w:val="-86"/>
        </w:rPr>
      </w:r>
      <w:r>
        <w:rPr/>
        <w:t>无。</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bookmarkStart w:name="17、长期股权投资" w:id="293"/>
      <w:bookmarkEnd w:id="293"/>
      <w:r>
        <w:rPr>
          <w:b w:val="0"/>
          <w:bCs w:val="0"/>
        </w:rPr>
      </w:r>
      <w:r>
        <w:rPr>
          <w:rFonts w:ascii="Times New Roman" w:hAnsi="Times New Roman" w:cs="Times New Roman" w:eastAsia="Times New Roman" w:hint="default"/>
        </w:rPr>
        <w:t>17</w:t>
      </w:r>
      <w:r>
        <w:rPr/>
        <w:t>、长期股权投资</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797"/>
        <w:gridCol w:w="797"/>
        <w:gridCol w:w="797"/>
        <w:gridCol w:w="797"/>
        <w:gridCol w:w="797"/>
        <w:gridCol w:w="802"/>
        <w:gridCol w:w="797"/>
        <w:gridCol w:w="797"/>
        <w:gridCol w:w="797"/>
        <w:gridCol w:w="802"/>
        <w:gridCol w:w="797"/>
        <w:gridCol w:w="797"/>
      </w:tblGrid>
      <w:tr>
        <w:trPr>
          <w:trHeight w:val="398" w:hRule="exact"/>
        </w:trPr>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5"/>
                <w:szCs w:val="25"/>
              </w:rPr>
            </w:pPr>
          </w:p>
          <w:p>
            <w:pPr>
              <w:pStyle w:val="TableParagraph"/>
              <w:spacing w:line="316" w:lineRule="auto"/>
              <w:ind w:left="215" w:right="118" w:hanging="92"/>
              <w:jc w:val="left"/>
              <w:rPr>
                <w:rFonts w:ascii="宋体" w:hAnsi="宋体" w:cs="宋体" w:eastAsia="宋体" w:hint="default"/>
                <w:sz w:val="18"/>
                <w:szCs w:val="18"/>
              </w:rPr>
            </w:pPr>
            <w:r>
              <w:rPr>
                <w:rFonts w:ascii="宋体" w:hAnsi="宋体" w:cs="宋体" w:eastAsia="宋体" w:hint="default"/>
                <w:sz w:val="18"/>
                <w:szCs w:val="18"/>
              </w:rPr>
              <w:t>被投资</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单位</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312" w:lineRule="auto"/>
              <w:ind w:left="124" w:right="117"/>
              <w:jc w:val="center"/>
              <w:rPr>
                <w:rFonts w:ascii="Times New Roman" w:hAnsi="Times New Roman" w:cs="Times New Roman" w:eastAsia="Times New Roman" w:hint="default"/>
                <w:sz w:val="18"/>
                <w:szCs w:val="18"/>
              </w:rPr>
            </w:pPr>
            <w:r>
              <w:rPr>
                <w:rFonts w:ascii="宋体" w:hAnsi="宋体" w:cs="宋体" w:eastAsia="宋体" w:hint="default"/>
                <w:spacing w:val="-2"/>
                <w:sz w:val="18"/>
                <w:szCs w:val="18"/>
              </w:rPr>
              <w:t>期初余</w:t>
            </w:r>
            <w:r>
              <w:rPr>
                <w:rFonts w:ascii="宋体" w:hAnsi="宋体" w:cs="宋体" w:eastAsia="宋体" w:hint="default"/>
                <w:w w:val="101"/>
                <w:sz w:val="18"/>
                <w:szCs w:val="18"/>
              </w:rPr>
              <w:t> </w:t>
            </w:r>
            <w:r>
              <w:rPr>
                <w:rFonts w:ascii="宋体" w:hAnsi="宋体" w:cs="宋体" w:eastAsia="宋体" w:hint="default"/>
                <w:sz w:val="18"/>
                <w:szCs w:val="18"/>
              </w:rPr>
              <w:t>额</w:t>
            </w:r>
            <w:r>
              <w:rPr>
                <w:rFonts w:ascii="Times New Roman" w:hAnsi="Times New Roman" w:cs="Times New Roman" w:eastAsia="Times New Roman" w:hint="default"/>
                <w:sz w:val="18"/>
                <w:szCs w:val="18"/>
              </w:rPr>
              <w:t>(</w:t>
            </w:r>
            <w:r>
              <w:rPr>
                <w:rFonts w:ascii="宋体" w:hAnsi="宋体" w:cs="宋体" w:eastAsia="宋体" w:hint="default"/>
                <w:sz w:val="18"/>
                <w:szCs w:val="18"/>
              </w:rPr>
              <w:t>账</w:t>
            </w:r>
            <w:r>
              <w:rPr>
                <w:rFonts w:ascii="宋体" w:hAnsi="宋体" w:cs="宋体" w:eastAsia="宋体" w:hint="default"/>
                <w:w w:val="101"/>
                <w:sz w:val="18"/>
                <w:szCs w:val="18"/>
              </w:rPr>
              <w:t> </w:t>
            </w:r>
            <w:r>
              <w:rPr>
                <w:rFonts w:ascii="宋体" w:hAnsi="宋体" w:cs="宋体" w:eastAsia="宋体" w:hint="default"/>
                <w:sz w:val="18"/>
                <w:szCs w:val="18"/>
              </w:rPr>
              <w:t>面价</w:t>
            </w:r>
            <w:r>
              <w:rPr>
                <w:rFonts w:ascii="宋体" w:hAnsi="宋体" w:cs="宋体" w:eastAsia="宋体" w:hint="default"/>
                <w:w w:val="101"/>
                <w:sz w:val="18"/>
                <w:szCs w:val="18"/>
              </w:rPr>
              <w:t> </w:t>
            </w:r>
            <w:r>
              <w:rPr>
                <w:rFonts w:ascii="宋体" w:hAnsi="宋体" w:cs="宋体" w:eastAsia="宋体" w:hint="default"/>
                <w:sz w:val="18"/>
                <w:szCs w:val="18"/>
              </w:rPr>
              <w:t>值</w:t>
            </w:r>
            <w:r>
              <w:rPr>
                <w:rFonts w:ascii="Times New Roman" w:hAnsi="Times New Roman" w:cs="Times New Roman" w:eastAsia="Times New Roman" w:hint="default"/>
                <w:sz w:val="18"/>
                <w:szCs w:val="18"/>
              </w:rPr>
              <w:t>)</w:t>
            </w:r>
          </w:p>
        </w:tc>
        <w:tc>
          <w:tcPr>
            <w:tcW w:w="6386"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312" w:lineRule="auto"/>
              <w:ind w:left="119" w:right="123"/>
              <w:jc w:val="center"/>
              <w:rPr>
                <w:rFonts w:ascii="Times New Roman" w:hAnsi="Times New Roman" w:cs="Times New Roman" w:eastAsia="Times New Roman" w:hint="default"/>
                <w:sz w:val="18"/>
                <w:szCs w:val="18"/>
              </w:rPr>
            </w:pPr>
            <w:r>
              <w:rPr>
                <w:rFonts w:ascii="宋体" w:hAnsi="宋体" w:cs="宋体" w:eastAsia="宋体" w:hint="default"/>
                <w:spacing w:val="-2"/>
                <w:sz w:val="18"/>
                <w:szCs w:val="18"/>
              </w:rPr>
              <w:t>期末余</w:t>
            </w:r>
            <w:r>
              <w:rPr>
                <w:rFonts w:ascii="宋体" w:hAnsi="宋体" w:cs="宋体" w:eastAsia="宋体" w:hint="default"/>
                <w:w w:val="101"/>
                <w:sz w:val="18"/>
                <w:szCs w:val="18"/>
              </w:rPr>
              <w:t> </w:t>
            </w:r>
            <w:r>
              <w:rPr>
                <w:rFonts w:ascii="宋体" w:hAnsi="宋体" w:cs="宋体" w:eastAsia="宋体" w:hint="default"/>
                <w:sz w:val="18"/>
                <w:szCs w:val="18"/>
              </w:rPr>
              <w:t>额</w:t>
            </w:r>
            <w:r>
              <w:rPr>
                <w:rFonts w:ascii="Times New Roman" w:hAnsi="Times New Roman" w:cs="Times New Roman" w:eastAsia="Times New Roman" w:hint="default"/>
                <w:sz w:val="18"/>
                <w:szCs w:val="18"/>
              </w:rPr>
              <w:t>(</w:t>
            </w:r>
            <w:r>
              <w:rPr>
                <w:rFonts w:ascii="宋体" w:hAnsi="宋体" w:cs="宋体" w:eastAsia="宋体" w:hint="default"/>
                <w:sz w:val="18"/>
                <w:szCs w:val="18"/>
              </w:rPr>
              <w:t>账</w:t>
            </w:r>
            <w:r>
              <w:rPr>
                <w:rFonts w:ascii="宋体" w:hAnsi="宋体" w:cs="宋体" w:eastAsia="宋体" w:hint="default"/>
                <w:w w:val="101"/>
                <w:sz w:val="18"/>
                <w:szCs w:val="18"/>
              </w:rPr>
              <w:t> </w:t>
            </w:r>
            <w:r>
              <w:rPr>
                <w:rFonts w:ascii="宋体" w:hAnsi="宋体" w:cs="宋体" w:eastAsia="宋体" w:hint="default"/>
                <w:sz w:val="18"/>
                <w:szCs w:val="18"/>
              </w:rPr>
              <w:t>面价</w:t>
            </w:r>
            <w:r>
              <w:rPr>
                <w:rFonts w:ascii="宋体" w:hAnsi="宋体" w:cs="宋体" w:eastAsia="宋体" w:hint="default"/>
                <w:w w:val="101"/>
                <w:sz w:val="18"/>
                <w:szCs w:val="18"/>
              </w:rPr>
              <w:t> </w:t>
            </w:r>
            <w:r>
              <w:rPr>
                <w:rFonts w:ascii="宋体" w:hAnsi="宋体" w:cs="宋体" w:eastAsia="宋体" w:hint="default"/>
                <w:sz w:val="18"/>
                <w:szCs w:val="18"/>
              </w:rPr>
              <w:t>值</w:t>
            </w:r>
            <w:r>
              <w:rPr>
                <w:rFonts w:ascii="Times New Roman" w:hAnsi="Times New Roman" w:cs="Times New Roman" w:eastAsia="Times New Roman" w:hint="default"/>
                <w:sz w:val="18"/>
                <w:szCs w:val="18"/>
              </w:rPr>
              <w:t>)</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319" w:lineRule="auto"/>
              <w:ind w:left="124" w:right="117"/>
              <w:jc w:val="both"/>
              <w:rPr>
                <w:rFonts w:ascii="宋体" w:hAnsi="宋体" w:cs="宋体" w:eastAsia="宋体" w:hint="default"/>
                <w:sz w:val="18"/>
                <w:szCs w:val="18"/>
              </w:rPr>
            </w:pPr>
            <w:r>
              <w:rPr>
                <w:rFonts w:ascii="宋体" w:hAnsi="宋体" w:cs="宋体" w:eastAsia="宋体" w:hint="default"/>
                <w:sz w:val="18"/>
                <w:szCs w:val="18"/>
              </w:rPr>
              <w:t>减值准</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备期末</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余额</w:t>
            </w:r>
          </w:p>
        </w:tc>
      </w:tr>
      <w:tr>
        <w:trPr>
          <w:trHeight w:val="1340" w:hRule="exact"/>
        </w:trPr>
        <w:tc>
          <w:tcPr>
            <w:tcW w:w="797"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21" w:lineRule="auto" w:before="130"/>
              <w:ind w:left="307" w:right="118" w:hanging="183"/>
              <w:jc w:val="left"/>
              <w:rPr>
                <w:rFonts w:ascii="宋体" w:hAnsi="宋体" w:cs="宋体" w:eastAsia="宋体" w:hint="default"/>
                <w:sz w:val="18"/>
                <w:szCs w:val="18"/>
              </w:rPr>
            </w:pPr>
            <w:r>
              <w:rPr>
                <w:rFonts w:ascii="宋体" w:hAnsi="宋体" w:cs="宋体" w:eastAsia="宋体" w:hint="default"/>
                <w:sz w:val="18"/>
                <w:szCs w:val="18"/>
              </w:rPr>
              <w:t>追加投</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资</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21" w:lineRule="auto" w:before="130"/>
              <w:ind w:left="307" w:right="117" w:hanging="183"/>
              <w:jc w:val="left"/>
              <w:rPr>
                <w:rFonts w:ascii="宋体" w:hAnsi="宋体" w:cs="宋体" w:eastAsia="宋体" w:hint="default"/>
                <w:sz w:val="18"/>
                <w:szCs w:val="18"/>
              </w:rPr>
            </w:pPr>
            <w:r>
              <w:rPr>
                <w:rFonts w:ascii="宋体" w:hAnsi="宋体" w:cs="宋体" w:eastAsia="宋体" w:hint="default"/>
                <w:sz w:val="18"/>
                <w:szCs w:val="18"/>
              </w:rPr>
              <w:t>减少投</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资</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125" w:right="117"/>
              <w:jc w:val="both"/>
              <w:rPr>
                <w:rFonts w:ascii="宋体" w:hAnsi="宋体" w:cs="宋体" w:eastAsia="宋体" w:hint="default"/>
                <w:sz w:val="18"/>
                <w:szCs w:val="18"/>
              </w:rPr>
            </w:pPr>
            <w:r>
              <w:rPr>
                <w:rFonts w:ascii="宋体" w:hAnsi="宋体" w:cs="宋体" w:eastAsia="宋体" w:hint="default"/>
                <w:sz w:val="18"/>
                <w:szCs w:val="18"/>
              </w:rPr>
              <w:t>权益法</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下确认</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的投资</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损益</w:t>
            </w:r>
          </w:p>
        </w:tc>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16" w:lineRule="auto"/>
              <w:ind w:left="124" w:right="123"/>
              <w:jc w:val="both"/>
              <w:rPr>
                <w:rFonts w:ascii="宋体" w:hAnsi="宋体" w:cs="宋体" w:eastAsia="宋体" w:hint="default"/>
                <w:sz w:val="18"/>
                <w:szCs w:val="18"/>
              </w:rPr>
            </w:pPr>
            <w:r>
              <w:rPr>
                <w:rFonts w:ascii="宋体" w:hAnsi="宋体" w:cs="宋体" w:eastAsia="宋体" w:hint="default"/>
                <w:sz w:val="18"/>
                <w:szCs w:val="18"/>
              </w:rPr>
              <w:t>其他综</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合收益</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调整</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21" w:lineRule="auto" w:before="130"/>
              <w:ind w:left="119" w:right="122"/>
              <w:jc w:val="left"/>
              <w:rPr>
                <w:rFonts w:ascii="宋体" w:hAnsi="宋体" w:cs="宋体" w:eastAsia="宋体" w:hint="default"/>
                <w:sz w:val="18"/>
                <w:szCs w:val="18"/>
              </w:rPr>
            </w:pPr>
            <w:r>
              <w:rPr>
                <w:rFonts w:ascii="宋体" w:hAnsi="宋体" w:cs="宋体" w:eastAsia="宋体" w:hint="default"/>
                <w:sz w:val="18"/>
                <w:szCs w:val="18"/>
              </w:rPr>
              <w:t>其他权</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益变动</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124" w:right="118"/>
              <w:jc w:val="both"/>
              <w:rPr>
                <w:rFonts w:ascii="宋体" w:hAnsi="宋体" w:cs="宋体" w:eastAsia="宋体" w:hint="default"/>
                <w:sz w:val="18"/>
                <w:szCs w:val="18"/>
              </w:rPr>
            </w:pPr>
            <w:r>
              <w:rPr>
                <w:rFonts w:ascii="宋体" w:hAnsi="宋体" w:cs="宋体" w:eastAsia="宋体" w:hint="default"/>
                <w:sz w:val="18"/>
                <w:szCs w:val="18"/>
              </w:rPr>
              <w:t>宣告发</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放现金</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股利或</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利润</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21" w:lineRule="auto" w:before="130"/>
              <w:ind w:left="124" w:right="118"/>
              <w:jc w:val="left"/>
              <w:rPr>
                <w:rFonts w:ascii="宋体" w:hAnsi="宋体" w:cs="宋体" w:eastAsia="宋体" w:hint="default"/>
                <w:sz w:val="18"/>
                <w:szCs w:val="18"/>
              </w:rPr>
            </w:pPr>
            <w:r>
              <w:rPr>
                <w:rFonts w:ascii="宋体" w:hAnsi="宋体" w:cs="宋体" w:eastAsia="宋体" w:hint="default"/>
                <w:sz w:val="18"/>
                <w:szCs w:val="18"/>
              </w:rPr>
              <w:t>计提减</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值准备</w:t>
            </w:r>
          </w:p>
        </w:tc>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216"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7"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9575"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一、合营企业</w:t>
            </w:r>
          </w:p>
        </w:tc>
      </w:tr>
      <w:tr>
        <w:trPr>
          <w:trHeight w:val="1297"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4"/>
              <w:ind w:left="105" w:right="137"/>
              <w:jc w:val="both"/>
              <w:rPr>
                <w:rFonts w:ascii="宋体" w:hAnsi="宋体" w:cs="宋体" w:eastAsia="宋体" w:hint="default"/>
                <w:sz w:val="18"/>
                <w:szCs w:val="18"/>
              </w:rPr>
            </w:pPr>
            <w:r>
              <w:rPr>
                <w:rFonts w:ascii="宋体" w:hAnsi="宋体" w:cs="宋体" w:eastAsia="宋体" w:hint="default"/>
                <w:sz w:val="18"/>
                <w:szCs w:val="18"/>
              </w:rPr>
              <w:t>内蒙古</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中基智</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慧城市</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建设有</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4"/>
              <w:ind w:left="52" w:right="0"/>
              <w:jc w:val="center"/>
              <w:rPr>
                <w:rFonts w:ascii="Times New Roman" w:hAnsi="Times New Roman" w:cs="Times New Roman" w:eastAsia="Times New Roman" w:hint="default"/>
                <w:sz w:val="18"/>
                <w:szCs w:val="18"/>
              </w:rPr>
            </w:pPr>
            <w:r>
              <w:rPr>
                <w:rFonts w:ascii="Times New Roman"/>
                <w:sz w:val="18"/>
              </w:rPr>
              <w:t>3,556,4</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43.61</w:t>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4"/>
              <w:ind w:left="130" w:right="0"/>
              <w:jc w:val="left"/>
              <w:rPr>
                <w:rFonts w:ascii="Times New Roman" w:hAnsi="Times New Roman" w:cs="Times New Roman" w:eastAsia="Times New Roman" w:hint="default"/>
                <w:sz w:val="18"/>
                <w:szCs w:val="18"/>
              </w:rPr>
            </w:pPr>
            <w:r>
              <w:rPr>
                <w:rFonts w:ascii="Times New Roman"/>
                <w:sz w:val="18"/>
              </w:rPr>
              <w:t>-555,18</w:t>
            </w:r>
          </w:p>
          <w:p>
            <w:pPr>
              <w:pStyle w:val="TableParagraph"/>
              <w:spacing w:line="240" w:lineRule="auto" w:before="105"/>
              <w:ind w:left="370" w:right="0"/>
              <w:jc w:val="left"/>
              <w:rPr>
                <w:rFonts w:ascii="Times New Roman" w:hAnsi="Times New Roman" w:cs="Times New Roman" w:eastAsia="Times New Roman" w:hint="default"/>
                <w:sz w:val="18"/>
                <w:szCs w:val="18"/>
              </w:rPr>
            </w:pPr>
            <w:r>
              <w:rPr>
                <w:rFonts w:ascii="Times New Roman"/>
                <w:sz w:val="18"/>
              </w:rPr>
              <w:t>6.04</w:t>
            </w: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4"/>
              <w:ind w:left="42" w:right="0"/>
              <w:jc w:val="center"/>
              <w:rPr>
                <w:rFonts w:ascii="Times New Roman" w:hAnsi="Times New Roman" w:cs="Times New Roman" w:eastAsia="Times New Roman" w:hint="default"/>
                <w:sz w:val="18"/>
                <w:szCs w:val="18"/>
              </w:rPr>
            </w:pPr>
            <w:r>
              <w:rPr>
                <w:rFonts w:ascii="Times New Roman"/>
                <w:sz w:val="18"/>
              </w:rPr>
              <w:t>3,001,2</w:t>
            </w:r>
          </w:p>
          <w:p>
            <w:pPr>
              <w:pStyle w:val="TableParagraph"/>
              <w:spacing w:line="240" w:lineRule="auto" w:before="105"/>
              <w:ind w:left="177" w:right="0"/>
              <w:jc w:val="center"/>
              <w:rPr>
                <w:rFonts w:ascii="Times New Roman" w:hAnsi="Times New Roman" w:cs="Times New Roman" w:eastAsia="Times New Roman" w:hint="default"/>
                <w:sz w:val="18"/>
                <w:szCs w:val="18"/>
              </w:rPr>
            </w:pPr>
            <w:r>
              <w:rPr>
                <w:rFonts w:ascii="Times New Roman"/>
                <w:sz w:val="18"/>
              </w:rPr>
              <w:t>57.57</w:t>
            </w:r>
          </w:p>
        </w:tc>
        <w:tc>
          <w:tcPr>
            <w:tcW w:w="797"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84" w:footer="1022" w:top="1100" w:bottom="1220" w:left="980" w:right="0"/>
        </w:sectPr>
      </w:pPr>
    </w:p>
    <w:p>
      <w:pPr>
        <w:spacing w:line="240" w:lineRule="auto" w:before="7"/>
        <w:rPr>
          <w:rFonts w:ascii="宋体" w:hAnsi="宋体" w:cs="宋体" w:eastAsia="宋体" w:hint="default"/>
          <w:sz w:val="25"/>
          <w:szCs w:val="25"/>
        </w:rPr>
      </w:pPr>
    </w:p>
    <w:tbl>
      <w:tblPr>
        <w:tblW w:w="0" w:type="auto"/>
        <w:jc w:val="left"/>
        <w:tblInd w:w="148" w:type="dxa"/>
        <w:tblLayout w:type="fixed"/>
        <w:tblCellMar>
          <w:top w:w="0" w:type="dxa"/>
          <w:left w:w="0" w:type="dxa"/>
          <w:bottom w:w="0" w:type="dxa"/>
          <w:right w:w="0" w:type="dxa"/>
        </w:tblCellMar>
        <w:tblLook w:val="01E0"/>
      </w:tblPr>
      <w:tblGrid>
        <w:gridCol w:w="797"/>
        <w:gridCol w:w="797"/>
        <w:gridCol w:w="797"/>
        <w:gridCol w:w="797"/>
        <w:gridCol w:w="797"/>
        <w:gridCol w:w="802"/>
        <w:gridCol w:w="797"/>
        <w:gridCol w:w="797"/>
        <w:gridCol w:w="797"/>
        <w:gridCol w:w="802"/>
        <w:gridCol w:w="797"/>
        <w:gridCol w:w="797"/>
      </w:tblGrid>
      <w:tr>
        <w:trPr>
          <w:trHeight w:val="360"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5"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52" w:right="0"/>
              <w:jc w:val="center"/>
              <w:rPr>
                <w:rFonts w:ascii="Times New Roman" w:hAnsi="Times New Roman" w:cs="Times New Roman" w:eastAsia="Times New Roman" w:hint="default"/>
                <w:sz w:val="18"/>
                <w:szCs w:val="18"/>
              </w:rPr>
            </w:pPr>
            <w:r>
              <w:rPr>
                <w:rFonts w:ascii="Times New Roman"/>
                <w:sz w:val="18"/>
              </w:rPr>
              <w:t>3,556,4</w:t>
            </w:r>
          </w:p>
          <w:p>
            <w:pPr>
              <w:pStyle w:val="TableParagraph"/>
              <w:spacing w:line="240" w:lineRule="auto" w:before="110"/>
              <w:ind w:left="187" w:right="0"/>
              <w:jc w:val="center"/>
              <w:rPr>
                <w:rFonts w:ascii="Times New Roman" w:hAnsi="Times New Roman" w:cs="Times New Roman" w:eastAsia="Times New Roman" w:hint="default"/>
                <w:sz w:val="18"/>
                <w:szCs w:val="18"/>
              </w:rPr>
            </w:pPr>
            <w:r>
              <w:rPr>
                <w:rFonts w:ascii="Times New Roman"/>
                <w:sz w:val="18"/>
              </w:rPr>
              <w:t>43.61</w:t>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0" w:right="0"/>
              <w:jc w:val="left"/>
              <w:rPr>
                <w:rFonts w:ascii="Times New Roman" w:hAnsi="Times New Roman" w:cs="Times New Roman" w:eastAsia="Times New Roman" w:hint="default"/>
                <w:sz w:val="18"/>
                <w:szCs w:val="18"/>
              </w:rPr>
            </w:pPr>
            <w:r>
              <w:rPr>
                <w:rFonts w:ascii="Times New Roman"/>
                <w:sz w:val="18"/>
              </w:rPr>
              <w:t>-555,18</w:t>
            </w:r>
          </w:p>
          <w:p>
            <w:pPr>
              <w:pStyle w:val="TableParagraph"/>
              <w:spacing w:line="240" w:lineRule="auto" w:before="110"/>
              <w:ind w:left="370" w:right="0"/>
              <w:jc w:val="left"/>
              <w:rPr>
                <w:rFonts w:ascii="Times New Roman" w:hAnsi="Times New Roman" w:cs="Times New Roman" w:eastAsia="Times New Roman" w:hint="default"/>
                <w:sz w:val="18"/>
                <w:szCs w:val="18"/>
              </w:rPr>
            </w:pPr>
            <w:r>
              <w:rPr>
                <w:rFonts w:ascii="Times New Roman"/>
                <w:sz w:val="18"/>
              </w:rPr>
              <w:t>6.04</w:t>
            </w: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42" w:right="0"/>
              <w:jc w:val="center"/>
              <w:rPr>
                <w:rFonts w:ascii="Times New Roman" w:hAnsi="Times New Roman" w:cs="Times New Roman" w:eastAsia="Times New Roman" w:hint="default"/>
                <w:sz w:val="18"/>
                <w:szCs w:val="18"/>
              </w:rPr>
            </w:pPr>
            <w:r>
              <w:rPr>
                <w:rFonts w:ascii="Times New Roman"/>
                <w:sz w:val="18"/>
              </w:rPr>
              <w:t>3,001,2</w:t>
            </w:r>
          </w:p>
          <w:p>
            <w:pPr>
              <w:pStyle w:val="TableParagraph"/>
              <w:spacing w:line="240" w:lineRule="auto" w:before="110"/>
              <w:ind w:left="177" w:right="0"/>
              <w:jc w:val="center"/>
              <w:rPr>
                <w:rFonts w:ascii="Times New Roman" w:hAnsi="Times New Roman" w:cs="Times New Roman" w:eastAsia="Times New Roman" w:hint="default"/>
                <w:sz w:val="18"/>
                <w:szCs w:val="18"/>
              </w:rPr>
            </w:pPr>
            <w:r>
              <w:rPr>
                <w:rFonts w:ascii="Times New Roman"/>
                <w:sz w:val="18"/>
              </w:rPr>
              <w:t>57.57</w:t>
            </w: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9575"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二、联营企业</w:t>
            </w:r>
          </w:p>
        </w:tc>
      </w:tr>
      <w:tr>
        <w:trPr>
          <w:trHeight w:val="715" w:hRule="exact"/>
        </w:trPr>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52" w:right="0"/>
              <w:jc w:val="center"/>
              <w:rPr>
                <w:rFonts w:ascii="Times New Roman" w:hAnsi="Times New Roman" w:cs="Times New Roman" w:eastAsia="Times New Roman" w:hint="default"/>
                <w:sz w:val="18"/>
                <w:szCs w:val="18"/>
              </w:rPr>
            </w:pPr>
            <w:r>
              <w:rPr>
                <w:rFonts w:ascii="Times New Roman"/>
                <w:sz w:val="18"/>
              </w:rPr>
              <w:t>3,556,4</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43.61</w:t>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0" w:right="0"/>
              <w:jc w:val="left"/>
              <w:rPr>
                <w:rFonts w:ascii="Times New Roman" w:hAnsi="Times New Roman" w:cs="Times New Roman" w:eastAsia="Times New Roman" w:hint="default"/>
                <w:sz w:val="18"/>
                <w:szCs w:val="18"/>
              </w:rPr>
            </w:pPr>
            <w:r>
              <w:rPr>
                <w:rFonts w:ascii="Times New Roman"/>
                <w:sz w:val="18"/>
              </w:rPr>
              <w:t>-555,18</w:t>
            </w:r>
          </w:p>
          <w:p>
            <w:pPr>
              <w:pStyle w:val="TableParagraph"/>
              <w:spacing w:line="240" w:lineRule="auto" w:before="105"/>
              <w:ind w:left="370" w:right="0"/>
              <w:jc w:val="left"/>
              <w:rPr>
                <w:rFonts w:ascii="Times New Roman" w:hAnsi="Times New Roman" w:cs="Times New Roman" w:eastAsia="Times New Roman" w:hint="default"/>
                <w:sz w:val="18"/>
                <w:szCs w:val="18"/>
              </w:rPr>
            </w:pPr>
            <w:r>
              <w:rPr>
                <w:rFonts w:ascii="Times New Roman"/>
                <w:sz w:val="18"/>
              </w:rPr>
              <w:t>6.04</w:t>
            </w: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42" w:right="0"/>
              <w:jc w:val="center"/>
              <w:rPr>
                <w:rFonts w:ascii="Times New Roman" w:hAnsi="Times New Roman" w:cs="Times New Roman" w:eastAsia="Times New Roman" w:hint="default"/>
                <w:sz w:val="18"/>
                <w:szCs w:val="18"/>
              </w:rPr>
            </w:pPr>
            <w:r>
              <w:rPr>
                <w:rFonts w:ascii="Times New Roman"/>
                <w:sz w:val="18"/>
              </w:rPr>
              <w:t>3,001,2</w:t>
            </w:r>
          </w:p>
          <w:p>
            <w:pPr>
              <w:pStyle w:val="TableParagraph"/>
              <w:spacing w:line="240" w:lineRule="auto" w:before="105"/>
              <w:ind w:left="177" w:right="0"/>
              <w:jc w:val="center"/>
              <w:rPr>
                <w:rFonts w:ascii="Times New Roman" w:hAnsi="Times New Roman" w:cs="Times New Roman" w:eastAsia="Times New Roman" w:hint="default"/>
                <w:sz w:val="18"/>
                <w:szCs w:val="18"/>
              </w:rPr>
            </w:pPr>
            <w:r>
              <w:rPr>
                <w:rFonts w:ascii="Times New Roman"/>
                <w:sz w:val="18"/>
              </w:rPr>
              <w:t>57.57</w:t>
            </w:r>
          </w:p>
        </w:tc>
        <w:tc>
          <w:tcPr>
            <w:tcW w:w="797" w:type="dxa"/>
            <w:tcBorders>
              <w:top w:val="single" w:sz="4" w:space="0" w:color="000000"/>
              <w:left w:val="single" w:sz="4" w:space="0" w:color="000000"/>
              <w:bottom w:val="single" w:sz="4" w:space="0" w:color="000000"/>
              <w:right w:val="single" w:sz="4" w:space="0" w:color="000000"/>
            </w:tcBorders>
          </w:tcPr>
          <w:p>
            <w:pPr/>
          </w:p>
        </w:tc>
      </w:tr>
    </w:tbl>
    <w:p>
      <w:pPr>
        <w:pStyle w:val="BodyText"/>
        <w:spacing w:line="352" w:lineRule="auto" w:before="53"/>
        <w:ind w:right="10031"/>
        <w:jc w:val="left"/>
      </w:pPr>
      <w:r>
        <w:rPr/>
        <w:t>其他说明</w:t>
      </w:r>
      <w:r>
        <w:rPr>
          <w:spacing w:val="-86"/>
        </w:rPr>
        <w:t> </w:t>
      </w:r>
      <w:r>
        <w:rPr>
          <w:spacing w:val="-86"/>
        </w:rPr>
      </w:r>
      <w:r>
        <w:rPr/>
        <w:t>无。</w:t>
      </w:r>
    </w:p>
    <w:p>
      <w:pPr>
        <w:spacing w:line="240" w:lineRule="auto" w:before="7"/>
        <w:rPr>
          <w:rFonts w:ascii="宋体" w:hAnsi="宋体" w:cs="宋体" w:eastAsia="宋体" w:hint="default"/>
          <w:sz w:val="20"/>
          <w:szCs w:val="20"/>
        </w:rPr>
      </w:pPr>
    </w:p>
    <w:p>
      <w:pPr>
        <w:pStyle w:val="Heading4"/>
        <w:spacing w:line="240" w:lineRule="auto"/>
        <w:ind w:right="0"/>
        <w:jc w:val="left"/>
        <w:rPr>
          <w:b w:val="0"/>
          <w:bCs w:val="0"/>
        </w:rPr>
      </w:pPr>
      <w:bookmarkStart w:name="18、其他权益工具投资" w:id="294"/>
      <w:bookmarkEnd w:id="294"/>
      <w:r>
        <w:rPr>
          <w:b w:val="0"/>
          <w:bCs w:val="0"/>
        </w:rPr>
      </w:r>
      <w:r>
        <w:rPr>
          <w:rFonts w:ascii="Times New Roman" w:hAnsi="Times New Roman" w:cs="Times New Roman" w:eastAsia="Times New Roman" w:hint="default"/>
        </w:rPr>
        <w:t>18</w:t>
      </w:r>
      <w:r>
        <w:rPr/>
        <w:t>、其他权益工具投资</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240" w:lineRule="auto" w:before="53"/>
        <w:ind w:right="0"/>
        <w:jc w:val="left"/>
      </w:pPr>
      <w:r>
        <w:rPr>
          <w:spacing w:val="-3"/>
        </w:rPr>
        <w:t>分项披露本期非交易性权益工具投资</w:t>
      </w:r>
    </w:p>
    <w:p>
      <w:pPr>
        <w:pStyle w:val="BodyText"/>
        <w:spacing w:line="240" w:lineRule="auto" w:before="119"/>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369"/>
        <w:gridCol w:w="1368"/>
        <w:gridCol w:w="1369"/>
        <w:gridCol w:w="1368"/>
        <w:gridCol w:w="1364"/>
        <w:gridCol w:w="1369"/>
        <w:gridCol w:w="1369"/>
      </w:tblGrid>
      <w:tr>
        <w:trPr>
          <w:trHeight w:val="1652"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21"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24" w:lineRule="auto"/>
              <w:ind w:left="590" w:right="132" w:hanging="452"/>
              <w:jc w:val="left"/>
              <w:rPr>
                <w:rFonts w:ascii="宋体" w:hAnsi="宋体" w:cs="宋体" w:eastAsia="宋体" w:hint="default"/>
                <w:sz w:val="18"/>
                <w:szCs w:val="18"/>
              </w:rPr>
            </w:pPr>
            <w:r>
              <w:rPr>
                <w:rFonts w:ascii="宋体" w:hAnsi="宋体" w:cs="宋体" w:eastAsia="宋体" w:hint="default"/>
                <w:spacing w:val="-2"/>
                <w:sz w:val="18"/>
                <w:szCs w:val="18"/>
              </w:rPr>
              <w:t>确认的股利收</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入</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21" w:right="0"/>
              <w:jc w:val="left"/>
              <w:rPr>
                <w:rFonts w:ascii="宋体" w:hAnsi="宋体" w:cs="宋体" w:eastAsia="宋体" w:hint="default"/>
                <w:sz w:val="18"/>
                <w:szCs w:val="18"/>
              </w:rPr>
            </w:pPr>
            <w:r>
              <w:rPr>
                <w:rFonts w:ascii="宋体" w:hAnsi="宋体" w:cs="宋体" w:eastAsia="宋体" w:hint="default"/>
                <w:sz w:val="18"/>
                <w:szCs w:val="18"/>
              </w:rPr>
              <w:t>累计利得</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21" w:right="0"/>
              <w:jc w:val="left"/>
              <w:rPr>
                <w:rFonts w:ascii="宋体" w:hAnsi="宋体" w:cs="宋体" w:eastAsia="宋体" w:hint="default"/>
                <w:sz w:val="18"/>
                <w:szCs w:val="18"/>
              </w:rPr>
            </w:pPr>
            <w:r>
              <w:rPr>
                <w:rFonts w:ascii="宋体" w:hAnsi="宋体" w:cs="宋体" w:eastAsia="宋体" w:hint="default"/>
                <w:sz w:val="18"/>
                <w:szCs w:val="18"/>
              </w:rPr>
              <w:t>累计损失</w:t>
            </w:r>
          </w:p>
        </w:tc>
        <w:tc>
          <w:tcPr>
            <w:tcW w:w="13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30"/>
              <w:ind w:left="134" w:right="132"/>
              <w:jc w:val="center"/>
              <w:rPr>
                <w:rFonts w:ascii="宋体" w:hAnsi="宋体" w:cs="宋体" w:eastAsia="宋体" w:hint="default"/>
                <w:sz w:val="18"/>
                <w:szCs w:val="18"/>
              </w:rPr>
            </w:pPr>
            <w:r>
              <w:rPr>
                <w:rFonts w:ascii="宋体" w:hAnsi="宋体" w:cs="宋体" w:eastAsia="宋体" w:hint="default"/>
                <w:spacing w:val="-2"/>
                <w:sz w:val="18"/>
                <w:szCs w:val="18"/>
              </w:rPr>
              <w:t>其他综合收益</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2"/>
                <w:sz w:val="18"/>
                <w:szCs w:val="18"/>
              </w:rPr>
              <w:t>转入留存收益</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的金额</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139" w:right="132"/>
              <w:jc w:val="center"/>
              <w:rPr>
                <w:rFonts w:ascii="宋体" w:hAnsi="宋体" w:cs="宋体" w:eastAsia="宋体" w:hint="default"/>
                <w:sz w:val="18"/>
                <w:szCs w:val="18"/>
              </w:rPr>
            </w:pPr>
            <w:r>
              <w:rPr>
                <w:rFonts w:ascii="宋体" w:hAnsi="宋体" w:cs="宋体" w:eastAsia="宋体" w:hint="default"/>
                <w:spacing w:val="-2"/>
                <w:sz w:val="18"/>
                <w:szCs w:val="18"/>
              </w:rPr>
              <w:t>指定为以公允</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2"/>
                <w:sz w:val="18"/>
                <w:szCs w:val="18"/>
              </w:rPr>
              <w:t>价值计量且其</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2"/>
                <w:sz w:val="18"/>
                <w:szCs w:val="18"/>
              </w:rPr>
              <w:t>变动计入其他</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2"/>
                <w:sz w:val="18"/>
                <w:szCs w:val="18"/>
              </w:rPr>
              <w:t>综合收益的原</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因</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30"/>
              <w:ind w:left="139" w:right="132"/>
              <w:jc w:val="center"/>
              <w:rPr>
                <w:rFonts w:ascii="宋体" w:hAnsi="宋体" w:cs="宋体" w:eastAsia="宋体" w:hint="default"/>
                <w:sz w:val="18"/>
                <w:szCs w:val="18"/>
              </w:rPr>
            </w:pPr>
            <w:r>
              <w:rPr>
                <w:rFonts w:ascii="宋体" w:hAnsi="宋体" w:cs="宋体" w:eastAsia="宋体" w:hint="default"/>
                <w:spacing w:val="-2"/>
                <w:sz w:val="18"/>
                <w:szCs w:val="18"/>
              </w:rPr>
              <w:t>其他综合收益</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2"/>
                <w:sz w:val="18"/>
                <w:szCs w:val="18"/>
              </w:rPr>
              <w:t>转入留存收益</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的原因</w:t>
            </w:r>
          </w:p>
        </w:tc>
      </w:tr>
    </w:tbl>
    <w:p>
      <w:pPr>
        <w:pStyle w:val="BodyText"/>
        <w:spacing w:line="352" w:lineRule="auto" w:before="53"/>
        <w:ind w:right="9861"/>
        <w:jc w:val="left"/>
      </w:pPr>
      <w:r>
        <w:rPr>
          <w:spacing w:val="-2"/>
        </w:rPr>
        <w:t>其他说明：</w:t>
      </w:r>
      <w:r>
        <w:rPr>
          <w:spacing w:val="-78"/>
        </w:rPr>
        <w:t> </w:t>
      </w:r>
      <w:r>
        <w:rPr>
          <w:spacing w:val="-78"/>
        </w:rPr>
      </w:r>
      <w:r>
        <w:rPr/>
        <w:t>无。</w:t>
      </w:r>
    </w:p>
    <w:p>
      <w:pPr>
        <w:spacing w:line="240" w:lineRule="auto" w:before="7"/>
        <w:rPr>
          <w:rFonts w:ascii="宋体" w:hAnsi="宋体" w:cs="宋体" w:eastAsia="宋体" w:hint="default"/>
          <w:sz w:val="20"/>
          <w:szCs w:val="20"/>
        </w:rPr>
      </w:pPr>
    </w:p>
    <w:p>
      <w:pPr>
        <w:pStyle w:val="Heading4"/>
        <w:spacing w:line="240" w:lineRule="auto"/>
        <w:ind w:right="0"/>
        <w:jc w:val="left"/>
        <w:rPr>
          <w:b w:val="0"/>
          <w:bCs w:val="0"/>
        </w:rPr>
      </w:pPr>
      <w:bookmarkStart w:name="19、其他非流动金融资产" w:id="295"/>
      <w:bookmarkEnd w:id="295"/>
      <w:r>
        <w:rPr>
          <w:b w:val="0"/>
          <w:bCs w:val="0"/>
        </w:rPr>
      </w:r>
      <w:r>
        <w:rPr>
          <w:rFonts w:ascii="Times New Roman" w:hAnsi="Times New Roman" w:cs="Times New Roman" w:eastAsia="Times New Roman" w:hint="default"/>
        </w:rPr>
        <w:t>19</w:t>
      </w:r>
      <w:r>
        <w:rPr/>
        <w:t>、其他非流动金融资产</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71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4"/>
              <w:ind w:left="105" w:right="185"/>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以公允价值计量且其变动计入当期损</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z w:val="18"/>
                <w:szCs w:val="18"/>
              </w:rPr>
              <w:t>益的金融资产</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13,000,000.00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13,000,000.00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13,000,000.00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13,000,000.00</w:t>
            </w:r>
          </w:p>
        </w:tc>
      </w:tr>
    </w:tbl>
    <w:p>
      <w:pPr>
        <w:pStyle w:val="BodyText"/>
        <w:spacing w:line="357" w:lineRule="auto" w:before="53"/>
        <w:ind w:right="9861"/>
        <w:jc w:val="left"/>
      </w:pPr>
      <w:r>
        <w:rPr>
          <w:spacing w:val="-2"/>
        </w:rPr>
        <w:t>其他说明：</w:t>
      </w:r>
      <w:r>
        <w:rPr>
          <w:spacing w:val="-78"/>
        </w:rPr>
        <w:t> </w:t>
      </w:r>
      <w:r>
        <w:rPr>
          <w:spacing w:val="-78"/>
        </w:rPr>
      </w:r>
      <w:r>
        <w:rPr/>
        <w:t>无。</w:t>
      </w:r>
    </w:p>
    <w:p>
      <w:pPr>
        <w:spacing w:line="240" w:lineRule="auto" w:before="4"/>
        <w:rPr>
          <w:rFonts w:ascii="宋体" w:hAnsi="宋体" w:cs="宋体" w:eastAsia="宋体" w:hint="default"/>
          <w:sz w:val="20"/>
          <w:szCs w:val="20"/>
        </w:rPr>
      </w:pPr>
    </w:p>
    <w:p>
      <w:pPr>
        <w:pStyle w:val="Heading4"/>
        <w:spacing w:line="240" w:lineRule="auto"/>
        <w:ind w:right="0"/>
        <w:jc w:val="left"/>
        <w:rPr>
          <w:b w:val="0"/>
          <w:bCs w:val="0"/>
        </w:rPr>
      </w:pPr>
      <w:bookmarkStart w:name="20、投资性房地产" w:id="296"/>
      <w:bookmarkEnd w:id="296"/>
      <w:r>
        <w:rPr>
          <w:b w:val="0"/>
          <w:bCs w:val="0"/>
        </w:rPr>
      </w:r>
      <w:r>
        <w:rPr>
          <w:rFonts w:ascii="Times New Roman" w:hAnsi="Times New Roman" w:cs="Times New Roman" w:eastAsia="Times New Roman" w:hint="default"/>
        </w:rPr>
        <w:t>20</w:t>
      </w:r>
      <w:r>
        <w:rPr/>
        <w:t>、投资性房地产</w:t>
      </w:r>
      <w:r>
        <w:rPr>
          <w:b w:val="0"/>
          <w:bCs w:val="0"/>
        </w:rPr>
      </w:r>
    </w:p>
    <w:p>
      <w:pPr>
        <w:spacing w:line="240" w:lineRule="auto" w:before="5"/>
        <w:rPr>
          <w:rFonts w:ascii="宋体" w:hAnsi="宋体" w:cs="宋体" w:eastAsia="宋体" w:hint="default"/>
          <w:b/>
          <w:bCs/>
          <w:sz w:val="24"/>
          <w:szCs w:val="24"/>
        </w:rPr>
      </w:pPr>
    </w:p>
    <w:p>
      <w:pPr>
        <w:pStyle w:val="Heading4"/>
        <w:spacing w:line="240" w:lineRule="auto"/>
        <w:ind w:right="0"/>
        <w:jc w:val="left"/>
        <w:rPr>
          <w:b w:val="0"/>
          <w:bCs w:val="0"/>
        </w:rPr>
      </w:pPr>
      <w:bookmarkStart w:name="（1）采用成本计量模式的投资性房地产" w:id="297"/>
      <w:bookmarkEnd w:id="297"/>
      <w:r>
        <w:rPr>
          <w:b w:val="0"/>
          <w:bCs w:val="0"/>
        </w:rPr>
      </w:r>
      <w:r>
        <w:rPr/>
        <w:t>（</w:t>
      </w:r>
      <w:r>
        <w:rPr>
          <w:rFonts w:ascii="Times New Roman" w:hAnsi="Times New Roman" w:cs="Times New Roman" w:eastAsia="Times New Roman" w:hint="default"/>
        </w:rPr>
        <w:t>1</w:t>
      </w:r>
      <w:r>
        <w:rPr/>
        <w:t>）采用成本计量模式的投资性房地产</w:t>
      </w:r>
      <w:r>
        <w:rPr>
          <w:b w:val="0"/>
          <w:bCs w:val="0"/>
        </w:rPr>
      </w:r>
    </w:p>
    <w:p>
      <w:pPr>
        <w:spacing w:line="240" w:lineRule="auto" w:before="7"/>
        <w:rPr>
          <w:rFonts w:ascii="宋体" w:hAnsi="宋体" w:cs="宋体" w:eastAsia="宋体" w:hint="default"/>
          <w:b/>
          <w:bCs/>
          <w:sz w:val="23"/>
          <w:szCs w:val="23"/>
        </w:rPr>
      </w:pPr>
    </w:p>
    <w:p>
      <w:pPr>
        <w:pStyle w:val="BodyText"/>
        <w:spacing w:line="240" w:lineRule="auto"/>
        <w:ind w:right="0"/>
        <w:jc w:val="left"/>
      </w:pPr>
      <w:r>
        <w:rPr/>
        <w:t>√ </w:t>
      </w:r>
      <w:r>
        <w:rPr>
          <w:spacing w:val="-3"/>
        </w:rPr>
        <w:t>适用 </w:t>
      </w:r>
      <w:r>
        <w:rPr/>
        <w:t>□</w:t>
      </w:r>
      <w:r>
        <w:rPr>
          <w:spacing w:val="13"/>
        </w:rPr>
        <w:t> </w:t>
      </w:r>
      <w:r>
        <w:rPr/>
        <w:t>不适用</w:t>
      </w:r>
    </w:p>
    <w:p>
      <w:pPr>
        <w:pStyle w:val="BodyText"/>
        <w:spacing w:line="240" w:lineRule="auto" w:before="115"/>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11"/>
        <w:gridCol w:w="1921"/>
        <w:gridCol w:w="1911"/>
        <w:gridCol w:w="1916"/>
        <w:gridCol w:w="1916"/>
      </w:tblGrid>
      <w:tr>
        <w:trPr>
          <w:trHeight w:val="398"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13"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99"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5"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合计</w:t>
            </w:r>
          </w:p>
        </w:tc>
      </w:tr>
    </w:tbl>
    <w:p>
      <w:pPr>
        <w:spacing w:after="0" w:line="240" w:lineRule="auto"/>
        <w:jc w:val="center"/>
        <w:rPr>
          <w:rFonts w:ascii="宋体" w:hAnsi="宋体" w:cs="宋体" w:eastAsia="宋体" w:hint="default"/>
          <w:sz w:val="18"/>
          <w:szCs w:val="18"/>
        </w:rPr>
        <w:sectPr>
          <w:pgSz w:w="11910" w:h="16840"/>
          <w:pgMar w:header="784" w:footer="1022" w:top="1100" w:bottom="1220" w:left="980" w:right="0"/>
        </w:sectPr>
      </w:pPr>
    </w:p>
    <w:p>
      <w:pPr>
        <w:spacing w:line="240" w:lineRule="auto" w:before="1"/>
        <w:rPr>
          <w:rFonts w:ascii="Times New Roman" w:hAnsi="Times New Roman" w:cs="Times New Roman" w:eastAsia="Times New Roman" w:hint="default"/>
          <w:sz w:val="29"/>
          <w:szCs w:val="29"/>
        </w:rPr>
      </w:pPr>
    </w:p>
    <w:tbl>
      <w:tblPr>
        <w:tblW w:w="0" w:type="auto"/>
        <w:jc w:val="left"/>
        <w:tblInd w:w="148" w:type="dxa"/>
        <w:tblLayout w:type="fixed"/>
        <w:tblCellMar>
          <w:top w:w="0" w:type="dxa"/>
          <w:left w:w="0" w:type="dxa"/>
          <w:bottom w:w="0" w:type="dxa"/>
          <w:right w:w="0" w:type="dxa"/>
        </w:tblCellMar>
        <w:tblLook w:val="01E0"/>
      </w:tblPr>
      <w:tblGrid>
        <w:gridCol w:w="1911"/>
        <w:gridCol w:w="1921"/>
        <w:gridCol w:w="1911"/>
        <w:gridCol w:w="1916"/>
        <w:gridCol w:w="1916"/>
      </w:tblGrid>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921" w:type="dxa"/>
            <w:tcBorders>
              <w:top w:val="single" w:sz="4" w:space="0" w:color="000000"/>
              <w:left w:val="single" w:sz="4" w:space="0" w:color="000000"/>
              <w:bottom w:val="single" w:sz="4" w:space="0" w:color="000000"/>
              <w:right w:val="single" w:sz="4" w:space="0" w:color="000000"/>
            </w:tcBorders>
          </w:tcPr>
          <w:p>
            <w:pPr/>
          </w:p>
        </w:tc>
        <w:tc>
          <w:tcPr>
            <w:tcW w:w="1911"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70"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期初余额</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28,566,985.41</w:t>
            </w:r>
          </w:p>
        </w:tc>
        <w:tc>
          <w:tcPr>
            <w:tcW w:w="1911"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28,566,985.41</w:t>
            </w:r>
          </w:p>
        </w:tc>
      </w:tr>
      <w:tr>
        <w:trPr>
          <w:trHeight w:val="404"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70"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本期增加金额</w:t>
            </w:r>
          </w:p>
        </w:tc>
        <w:tc>
          <w:tcPr>
            <w:tcW w:w="1921" w:type="dxa"/>
            <w:tcBorders>
              <w:top w:val="single" w:sz="4" w:space="0" w:color="000000"/>
              <w:left w:val="single" w:sz="4" w:space="0" w:color="000000"/>
              <w:bottom w:val="single" w:sz="4" w:space="0" w:color="000000"/>
              <w:right w:val="single" w:sz="4" w:space="0" w:color="000000"/>
            </w:tcBorders>
          </w:tcPr>
          <w:p>
            <w:pPr/>
          </w:p>
        </w:tc>
        <w:tc>
          <w:tcPr>
            <w:tcW w:w="1911"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）外购</w:t>
            </w:r>
          </w:p>
        </w:tc>
        <w:tc>
          <w:tcPr>
            <w:tcW w:w="1921" w:type="dxa"/>
            <w:tcBorders>
              <w:top w:val="single" w:sz="4" w:space="0" w:color="000000"/>
              <w:left w:val="single" w:sz="4" w:space="0" w:color="000000"/>
              <w:bottom w:val="single" w:sz="4" w:space="0" w:color="000000"/>
              <w:right w:val="single" w:sz="4" w:space="0" w:color="000000"/>
            </w:tcBorders>
          </w:tcPr>
          <w:p>
            <w:pPr/>
          </w:p>
        </w:tc>
        <w:tc>
          <w:tcPr>
            <w:tcW w:w="1911"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105" w:right="93" w:firstLine="331"/>
              <w:jc w:val="left"/>
              <w:rPr>
                <w:rFonts w:ascii="宋体" w:hAnsi="宋体" w:cs="宋体" w:eastAsia="宋体" w:hint="default"/>
                <w:sz w:val="18"/>
                <w:szCs w:val="18"/>
              </w:rPr>
            </w:pPr>
            <w:r>
              <w:rPr>
                <w:rFonts w:ascii="宋体" w:hAnsi="宋体" w:cs="宋体" w:eastAsia="宋体" w:hint="default"/>
                <w:spacing w:val="-6"/>
                <w:sz w:val="18"/>
                <w:szCs w:val="18"/>
              </w:rPr>
              <w:t>（</w:t>
            </w:r>
            <w:r>
              <w:rPr>
                <w:rFonts w:ascii="Times New Roman" w:hAnsi="Times New Roman" w:cs="Times New Roman" w:eastAsia="Times New Roman" w:hint="default"/>
                <w:spacing w:val="-6"/>
                <w:sz w:val="18"/>
                <w:szCs w:val="18"/>
              </w:rPr>
              <w:t>2</w:t>
            </w:r>
            <w:r>
              <w:rPr>
                <w:rFonts w:ascii="宋体" w:hAnsi="宋体" w:cs="宋体" w:eastAsia="宋体" w:hint="default"/>
                <w:spacing w:val="-6"/>
                <w:sz w:val="18"/>
                <w:szCs w:val="18"/>
              </w:rPr>
              <w:t>）存货</w:t>
            </w:r>
            <w:r>
              <w:rPr>
                <w:rFonts w:ascii="Times New Roman" w:hAnsi="Times New Roman" w:cs="Times New Roman" w:eastAsia="Times New Roman" w:hint="default"/>
                <w:spacing w:val="-6"/>
                <w:sz w:val="18"/>
                <w:szCs w:val="18"/>
              </w:rPr>
              <w:t>\</w:t>
            </w:r>
            <w:r>
              <w:rPr>
                <w:rFonts w:ascii="宋体" w:hAnsi="宋体" w:cs="宋体" w:eastAsia="宋体" w:hint="default"/>
                <w:spacing w:val="-6"/>
                <w:sz w:val="18"/>
                <w:szCs w:val="18"/>
              </w:rPr>
              <w:t>固定资</w:t>
            </w:r>
            <w:r>
              <w:rPr>
                <w:rFonts w:ascii="宋体" w:hAnsi="宋体" w:cs="宋体" w:eastAsia="宋体" w:hint="default"/>
                <w:w w:val="101"/>
                <w:sz w:val="18"/>
                <w:szCs w:val="18"/>
              </w:rPr>
              <w:t> </w:t>
            </w:r>
            <w:r>
              <w:rPr>
                <w:rFonts w:ascii="宋体" w:hAnsi="宋体" w:cs="宋体" w:eastAsia="宋体" w:hint="default"/>
                <w:sz w:val="18"/>
                <w:szCs w:val="18"/>
              </w:rPr>
              <w:t>产</w:t>
            </w:r>
            <w:r>
              <w:rPr>
                <w:rFonts w:ascii="Times New Roman" w:hAnsi="Times New Roman" w:cs="Times New Roman" w:eastAsia="Times New Roman" w:hint="default"/>
                <w:sz w:val="18"/>
                <w:szCs w:val="18"/>
              </w:rPr>
              <w:t>\</w:t>
            </w:r>
            <w:r>
              <w:rPr>
                <w:rFonts w:ascii="宋体" w:hAnsi="宋体" w:cs="宋体" w:eastAsia="宋体" w:hint="default"/>
                <w:sz w:val="18"/>
                <w:szCs w:val="18"/>
              </w:rPr>
              <w:t>在建工程转入</w:t>
            </w:r>
          </w:p>
        </w:tc>
        <w:tc>
          <w:tcPr>
            <w:tcW w:w="1921" w:type="dxa"/>
            <w:tcBorders>
              <w:top w:val="single" w:sz="4" w:space="0" w:color="000000"/>
              <w:left w:val="single" w:sz="4" w:space="0" w:color="000000"/>
              <w:bottom w:val="single" w:sz="4" w:space="0" w:color="000000"/>
              <w:right w:val="single" w:sz="4" w:space="0" w:color="000000"/>
            </w:tcBorders>
          </w:tcPr>
          <w:p>
            <w:pPr/>
          </w:p>
        </w:tc>
        <w:tc>
          <w:tcPr>
            <w:tcW w:w="1911"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711"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0" w:right="0"/>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3</w:t>
            </w:r>
            <w:r>
              <w:rPr>
                <w:rFonts w:ascii="宋体" w:hAnsi="宋体" w:cs="宋体" w:eastAsia="宋体" w:hint="default"/>
                <w:spacing w:val="-4"/>
                <w:sz w:val="18"/>
                <w:szCs w:val="18"/>
              </w:rPr>
              <w:t>）企业合并增</w:t>
            </w:r>
          </w:p>
          <w:p>
            <w:pPr>
              <w:pStyle w:val="TableParagraph"/>
              <w:spacing w:line="240" w:lineRule="auto" w:before="63"/>
              <w:ind w:left="105" w:right="0"/>
              <w:jc w:val="left"/>
              <w:rPr>
                <w:rFonts w:ascii="宋体" w:hAnsi="宋体" w:cs="宋体" w:eastAsia="宋体" w:hint="default"/>
                <w:sz w:val="18"/>
                <w:szCs w:val="18"/>
              </w:rPr>
            </w:pPr>
            <w:r>
              <w:rPr>
                <w:rFonts w:ascii="宋体" w:hAnsi="宋体" w:cs="宋体" w:eastAsia="宋体" w:hint="default"/>
                <w:w w:val="101"/>
                <w:sz w:val="18"/>
                <w:szCs w:val="18"/>
              </w:rPr>
              <w:t>加</w:t>
            </w:r>
            <w:r>
              <w:rPr>
                <w:rFonts w:ascii="宋体" w:hAnsi="宋体" w:cs="宋体" w:eastAsia="宋体" w:hint="default"/>
                <w:sz w:val="18"/>
                <w:szCs w:val="18"/>
              </w:rPr>
            </w:r>
          </w:p>
        </w:tc>
        <w:tc>
          <w:tcPr>
            <w:tcW w:w="1921" w:type="dxa"/>
            <w:tcBorders>
              <w:top w:val="single" w:sz="4" w:space="0" w:color="000000"/>
              <w:left w:val="single" w:sz="4" w:space="0" w:color="000000"/>
              <w:bottom w:val="single" w:sz="4" w:space="0" w:color="000000"/>
              <w:right w:val="single" w:sz="4" w:space="0" w:color="000000"/>
            </w:tcBorders>
          </w:tcPr>
          <w:p>
            <w:pPr/>
          </w:p>
        </w:tc>
        <w:tc>
          <w:tcPr>
            <w:tcW w:w="1911"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c>
          <w:tcPr>
            <w:tcW w:w="1911"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70"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本期减少金额</w:t>
            </w:r>
          </w:p>
        </w:tc>
        <w:tc>
          <w:tcPr>
            <w:tcW w:w="1921" w:type="dxa"/>
            <w:tcBorders>
              <w:top w:val="single" w:sz="4" w:space="0" w:color="000000"/>
              <w:left w:val="single" w:sz="4" w:space="0" w:color="000000"/>
              <w:bottom w:val="single" w:sz="4" w:space="0" w:color="000000"/>
              <w:right w:val="single" w:sz="4" w:space="0" w:color="000000"/>
            </w:tcBorders>
          </w:tcPr>
          <w:p>
            <w:pPr/>
          </w:p>
        </w:tc>
        <w:tc>
          <w:tcPr>
            <w:tcW w:w="1911"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921" w:type="dxa"/>
            <w:tcBorders>
              <w:top w:val="single" w:sz="4" w:space="0" w:color="000000"/>
              <w:left w:val="single" w:sz="4" w:space="0" w:color="000000"/>
              <w:bottom w:val="single" w:sz="4" w:space="0" w:color="000000"/>
              <w:right w:val="single" w:sz="4" w:space="0" w:color="000000"/>
            </w:tcBorders>
          </w:tcPr>
          <w:p>
            <w:pPr/>
          </w:p>
        </w:tc>
        <w:tc>
          <w:tcPr>
            <w:tcW w:w="1911"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399"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6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1921" w:type="dxa"/>
            <w:tcBorders>
              <w:top w:val="single" w:sz="4" w:space="0" w:color="000000"/>
              <w:left w:val="single" w:sz="4" w:space="0" w:color="000000"/>
              <w:bottom w:val="single" w:sz="4" w:space="0" w:color="000000"/>
              <w:right w:val="single" w:sz="4" w:space="0" w:color="000000"/>
            </w:tcBorders>
          </w:tcPr>
          <w:p>
            <w:pPr/>
          </w:p>
        </w:tc>
        <w:tc>
          <w:tcPr>
            <w:tcW w:w="1911"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c>
          <w:tcPr>
            <w:tcW w:w="1911"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70"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期末余额</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28,566,985.41</w:t>
            </w:r>
          </w:p>
        </w:tc>
        <w:tc>
          <w:tcPr>
            <w:tcW w:w="1911"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28,566,985.41</w:t>
            </w:r>
          </w:p>
        </w:tc>
      </w:tr>
      <w:tr>
        <w:trPr>
          <w:trHeight w:val="716"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05" w:right="171"/>
              <w:jc w:val="left"/>
              <w:rPr>
                <w:rFonts w:ascii="宋体" w:hAnsi="宋体" w:cs="宋体" w:eastAsia="宋体" w:hint="default"/>
                <w:sz w:val="18"/>
                <w:szCs w:val="18"/>
              </w:rPr>
            </w:pPr>
            <w:r>
              <w:rPr>
                <w:rFonts w:ascii="宋体" w:hAnsi="宋体" w:cs="宋体" w:eastAsia="宋体" w:hint="default"/>
                <w:spacing w:val="-3"/>
                <w:sz w:val="18"/>
                <w:szCs w:val="18"/>
              </w:rPr>
              <w:t>二、累计折旧和累计</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摊销</w:t>
            </w:r>
          </w:p>
        </w:tc>
        <w:tc>
          <w:tcPr>
            <w:tcW w:w="1921" w:type="dxa"/>
            <w:tcBorders>
              <w:top w:val="single" w:sz="4" w:space="0" w:color="000000"/>
              <w:left w:val="single" w:sz="4" w:space="0" w:color="000000"/>
              <w:bottom w:val="single" w:sz="4" w:space="0" w:color="000000"/>
              <w:right w:val="single" w:sz="4" w:space="0" w:color="000000"/>
            </w:tcBorders>
          </w:tcPr>
          <w:p>
            <w:pPr/>
          </w:p>
        </w:tc>
        <w:tc>
          <w:tcPr>
            <w:tcW w:w="1911"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70"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期初余额</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1,784,819.37</w:t>
            </w:r>
          </w:p>
        </w:tc>
        <w:tc>
          <w:tcPr>
            <w:tcW w:w="1911"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1,784,819.37</w:t>
            </w: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70"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本期增加金额</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674,057.56</w:t>
            </w:r>
          </w:p>
        </w:tc>
        <w:tc>
          <w:tcPr>
            <w:tcW w:w="1911"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674,057.56</w:t>
            </w: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94"/>
              <w:jc w:val="righ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）计提或摊销</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674,057.56</w:t>
            </w:r>
          </w:p>
        </w:tc>
        <w:tc>
          <w:tcPr>
            <w:tcW w:w="1911"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674,057.56</w:t>
            </w: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c>
          <w:tcPr>
            <w:tcW w:w="1911"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399"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70"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本期减少金额</w:t>
            </w:r>
          </w:p>
        </w:tc>
        <w:tc>
          <w:tcPr>
            <w:tcW w:w="1921" w:type="dxa"/>
            <w:tcBorders>
              <w:top w:val="single" w:sz="4" w:space="0" w:color="000000"/>
              <w:left w:val="single" w:sz="4" w:space="0" w:color="000000"/>
              <w:bottom w:val="single" w:sz="4" w:space="0" w:color="000000"/>
              <w:right w:val="single" w:sz="4" w:space="0" w:color="000000"/>
            </w:tcBorders>
          </w:tcPr>
          <w:p>
            <w:pPr/>
          </w:p>
        </w:tc>
        <w:tc>
          <w:tcPr>
            <w:tcW w:w="1911"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921" w:type="dxa"/>
            <w:tcBorders>
              <w:top w:val="single" w:sz="4" w:space="0" w:color="000000"/>
              <w:left w:val="single" w:sz="4" w:space="0" w:color="000000"/>
              <w:bottom w:val="single" w:sz="4" w:space="0" w:color="000000"/>
              <w:right w:val="single" w:sz="4" w:space="0" w:color="000000"/>
            </w:tcBorders>
          </w:tcPr>
          <w:p>
            <w:pPr/>
          </w:p>
        </w:tc>
        <w:tc>
          <w:tcPr>
            <w:tcW w:w="1911"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1921" w:type="dxa"/>
            <w:tcBorders>
              <w:top w:val="single" w:sz="4" w:space="0" w:color="000000"/>
              <w:left w:val="single" w:sz="4" w:space="0" w:color="000000"/>
              <w:bottom w:val="single" w:sz="4" w:space="0" w:color="000000"/>
              <w:right w:val="single" w:sz="4" w:space="0" w:color="000000"/>
            </w:tcBorders>
          </w:tcPr>
          <w:p>
            <w:pPr/>
          </w:p>
        </w:tc>
        <w:tc>
          <w:tcPr>
            <w:tcW w:w="1911"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c>
          <w:tcPr>
            <w:tcW w:w="1911"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399"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70"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期末余额</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2,458,876.93</w:t>
            </w:r>
          </w:p>
        </w:tc>
        <w:tc>
          <w:tcPr>
            <w:tcW w:w="1911"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2,458,876.93</w:t>
            </w: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921" w:type="dxa"/>
            <w:tcBorders>
              <w:top w:val="single" w:sz="4" w:space="0" w:color="000000"/>
              <w:left w:val="single" w:sz="4" w:space="0" w:color="000000"/>
              <w:bottom w:val="single" w:sz="4" w:space="0" w:color="000000"/>
              <w:right w:val="single" w:sz="4" w:space="0" w:color="000000"/>
            </w:tcBorders>
          </w:tcPr>
          <w:p>
            <w:pPr/>
          </w:p>
        </w:tc>
        <w:tc>
          <w:tcPr>
            <w:tcW w:w="1911"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70"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期初余额</w:t>
            </w:r>
          </w:p>
        </w:tc>
        <w:tc>
          <w:tcPr>
            <w:tcW w:w="1921" w:type="dxa"/>
            <w:tcBorders>
              <w:top w:val="single" w:sz="4" w:space="0" w:color="000000"/>
              <w:left w:val="single" w:sz="4" w:space="0" w:color="000000"/>
              <w:bottom w:val="single" w:sz="4" w:space="0" w:color="000000"/>
              <w:right w:val="single" w:sz="4" w:space="0" w:color="000000"/>
            </w:tcBorders>
          </w:tcPr>
          <w:p>
            <w:pPr/>
          </w:p>
        </w:tc>
        <w:tc>
          <w:tcPr>
            <w:tcW w:w="1911"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70"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本期增加金额</w:t>
            </w:r>
          </w:p>
        </w:tc>
        <w:tc>
          <w:tcPr>
            <w:tcW w:w="1921" w:type="dxa"/>
            <w:tcBorders>
              <w:top w:val="single" w:sz="4" w:space="0" w:color="000000"/>
              <w:left w:val="single" w:sz="4" w:space="0" w:color="000000"/>
              <w:bottom w:val="single" w:sz="4" w:space="0" w:color="000000"/>
              <w:right w:val="single" w:sz="4" w:space="0" w:color="000000"/>
            </w:tcBorders>
          </w:tcPr>
          <w:p>
            <w:pPr/>
          </w:p>
        </w:tc>
        <w:tc>
          <w:tcPr>
            <w:tcW w:w="1911"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399"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6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921" w:type="dxa"/>
            <w:tcBorders>
              <w:top w:val="single" w:sz="4" w:space="0" w:color="000000"/>
              <w:left w:val="single" w:sz="4" w:space="0" w:color="000000"/>
              <w:bottom w:val="single" w:sz="4" w:space="0" w:color="000000"/>
              <w:right w:val="single" w:sz="4" w:space="0" w:color="000000"/>
            </w:tcBorders>
          </w:tcPr>
          <w:p>
            <w:pPr/>
          </w:p>
        </w:tc>
        <w:tc>
          <w:tcPr>
            <w:tcW w:w="1911"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c>
          <w:tcPr>
            <w:tcW w:w="1911"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94"/>
              <w:jc w:val="right"/>
              <w:rPr>
                <w:rFonts w:ascii="宋体" w:hAnsi="宋体" w:cs="宋体" w:eastAsia="宋体" w:hint="default"/>
                <w:sz w:val="18"/>
                <w:szCs w:val="18"/>
              </w:rPr>
            </w:pPr>
            <w:r>
              <w:rPr>
                <w:rFonts w:ascii="Times New Roman" w:hAnsi="Times New Roman" w:cs="Times New Roman" w:eastAsia="Times New Roman" w:hint="default"/>
                <w:spacing w:val="-5"/>
                <w:sz w:val="18"/>
                <w:szCs w:val="18"/>
              </w:rPr>
              <w:t>3</w:t>
            </w:r>
            <w:r>
              <w:rPr>
                <w:rFonts w:ascii="宋体" w:hAnsi="宋体" w:cs="宋体" w:eastAsia="宋体" w:hint="default"/>
                <w:spacing w:val="-5"/>
                <w:sz w:val="18"/>
                <w:szCs w:val="18"/>
              </w:rPr>
              <w:t>、本期减少金额</w:t>
            </w:r>
          </w:p>
        </w:tc>
        <w:tc>
          <w:tcPr>
            <w:tcW w:w="1921" w:type="dxa"/>
            <w:tcBorders>
              <w:top w:val="single" w:sz="4" w:space="0" w:color="000000"/>
              <w:left w:val="single" w:sz="4" w:space="0" w:color="000000"/>
              <w:bottom w:val="single" w:sz="4" w:space="0" w:color="000000"/>
              <w:right w:val="single" w:sz="4" w:space="0" w:color="000000"/>
            </w:tcBorders>
          </w:tcPr>
          <w:p>
            <w:pPr/>
          </w:p>
        </w:tc>
        <w:tc>
          <w:tcPr>
            <w:tcW w:w="1911"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921" w:type="dxa"/>
            <w:tcBorders>
              <w:top w:val="single" w:sz="4" w:space="0" w:color="000000"/>
              <w:left w:val="single" w:sz="4" w:space="0" w:color="000000"/>
              <w:bottom w:val="single" w:sz="4" w:space="0" w:color="000000"/>
              <w:right w:val="single" w:sz="4" w:space="0" w:color="000000"/>
            </w:tcBorders>
          </w:tcPr>
          <w:p>
            <w:pPr/>
          </w:p>
        </w:tc>
        <w:tc>
          <w:tcPr>
            <w:tcW w:w="1911"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399"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6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1921" w:type="dxa"/>
            <w:tcBorders>
              <w:top w:val="single" w:sz="4" w:space="0" w:color="000000"/>
              <w:left w:val="single" w:sz="4" w:space="0" w:color="000000"/>
              <w:bottom w:val="single" w:sz="4" w:space="0" w:color="000000"/>
              <w:right w:val="single" w:sz="4" w:space="0" w:color="000000"/>
            </w:tcBorders>
          </w:tcPr>
          <w:p>
            <w:pPr/>
          </w:p>
        </w:tc>
        <w:tc>
          <w:tcPr>
            <w:tcW w:w="1911"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c>
          <w:tcPr>
            <w:tcW w:w="1911"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70"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期末余额</w:t>
            </w:r>
          </w:p>
        </w:tc>
        <w:tc>
          <w:tcPr>
            <w:tcW w:w="1921" w:type="dxa"/>
            <w:tcBorders>
              <w:top w:val="single" w:sz="4" w:space="0" w:color="000000"/>
              <w:left w:val="single" w:sz="4" w:space="0" w:color="000000"/>
              <w:bottom w:val="single" w:sz="4" w:space="0" w:color="000000"/>
              <w:right w:val="single" w:sz="4" w:space="0" w:color="000000"/>
            </w:tcBorders>
          </w:tcPr>
          <w:p>
            <w:pPr/>
          </w:p>
        </w:tc>
        <w:tc>
          <w:tcPr>
            <w:tcW w:w="1911"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84" w:footer="1022" w:top="1100" w:bottom="1220" w:left="980" w:right="0"/>
        </w:sectPr>
      </w:pPr>
    </w:p>
    <w:p>
      <w:pPr>
        <w:spacing w:line="240" w:lineRule="auto" w:before="1"/>
        <w:rPr>
          <w:rFonts w:ascii="Times New Roman" w:hAnsi="Times New Roman" w:cs="Times New Roman" w:eastAsia="Times New Roman" w:hint="default"/>
          <w:sz w:val="29"/>
          <w:szCs w:val="29"/>
        </w:rPr>
      </w:pPr>
    </w:p>
    <w:tbl>
      <w:tblPr>
        <w:tblW w:w="0" w:type="auto"/>
        <w:jc w:val="left"/>
        <w:tblInd w:w="148" w:type="dxa"/>
        <w:tblLayout w:type="fixed"/>
        <w:tblCellMar>
          <w:top w:w="0" w:type="dxa"/>
          <w:left w:w="0" w:type="dxa"/>
          <w:bottom w:w="0" w:type="dxa"/>
          <w:right w:w="0" w:type="dxa"/>
        </w:tblCellMar>
        <w:tblLook w:val="01E0"/>
      </w:tblPr>
      <w:tblGrid>
        <w:gridCol w:w="1911"/>
        <w:gridCol w:w="1921"/>
        <w:gridCol w:w="1911"/>
        <w:gridCol w:w="1916"/>
        <w:gridCol w:w="1916"/>
      </w:tblGrid>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921" w:type="dxa"/>
            <w:tcBorders>
              <w:top w:val="single" w:sz="4" w:space="0" w:color="000000"/>
              <w:left w:val="single" w:sz="4" w:space="0" w:color="000000"/>
              <w:bottom w:val="single" w:sz="4" w:space="0" w:color="000000"/>
              <w:right w:val="single" w:sz="4" w:space="0" w:color="000000"/>
            </w:tcBorders>
          </w:tcPr>
          <w:p>
            <w:pPr/>
          </w:p>
        </w:tc>
        <w:tc>
          <w:tcPr>
            <w:tcW w:w="1911"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14"/>
              <w:jc w:val="righ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期末账面价值</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26,108,108.48</w:t>
            </w:r>
          </w:p>
        </w:tc>
        <w:tc>
          <w:tcPr>
            <w:tcW w:w="1911"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26,108,108.48</w:t>
            </w:r>
          </w:p>
        </w:tc>
      </w:tr>
      <w:tr>
        <w:trPr>
          <w:trHeight w:val="404"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right="214"/>
              <w:jc w:val="right"/>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期初账面价值</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8"/>
              <w:jc w:val="right"/>
              <w:rPr>
                <w:rFonts w:ascii="Times New Roman" w:hAnsi="Times New Roman" w:cs="Times New Roman" w:eastAsia="Times New Roman" w:hint="default"/>
                <w:sz w:val="18"/>
                <w:szCs w:val="18"/>
              </w:rPr>
            </w:pPr>
            <w:r>
              <w:rPr>
                <w:rFonts w:ascii="Times New Roman"/>
                <w:spacing w:val="-1"/>
                <w:sz w:val="18"/>
              </w:rPr>
              <w:t>26,782,166.04</w:t>
            </w:r>
          </w:p>
        </w:tc>
        <w:tc>
          <w:tcPr>
            <w:tcW w:w="1911"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26,782,166.04</w:t>
            </w:r>
          </w:p>
        </w:tc>
      </w:tr>
    </w:tbl>
    <w:p>
      <w:pPr>
        <w:spacing w:line="240" w:lineRule="auto" w:before="10"/>
        <w:rPr>
          <w:rFonts w:ascii="Times New Roman" w:hAnsi="Times New Roman" w:cs="Times New Roman" w:eastAsia="Times New Roman" w:hint="default"/>
          <w:sz w:val="21"/>
          <w:szCs w:val="21"/>
        </w:rPr>
      </w:pPr>
    </w:p>
    <w:p>
      <w:pPr>
        <w:pStyle w:val="Heading4"/>
        <w:spacing w:line="240" w:lineRule="auto" w:before="36"/>
        <w:ind w:right="0"/>
        <w:jc w:val="left"/>
        <w:rPr>
          <w:b w:val="0"/>
          <w:bCs w:val="0"/>
        </w:rPr>
      </w:pPr>
      <w:bookmarkStart w:name="（2）采用公允价值计量模式的投资性房地产" w:id="298"/>
      <w:bookmarkEnd w:id="298"/>
      <w:r>
        <w:rPr>
          <w:b w:val="0"/>
          <w:bCs w:val="0"/>
        </w:rPr>
      </w:r>
      <w:r>
        <w:rPr/>
        <w:t>（</w:t>
      </w:r>
      <w:r>
        <w:rPr>
          <w:rFonts w:ascii="Times New Roman" w:hAnsi="Times New Roman" w:cs="Times New Roman" w:eastAsia="Times New Roman" w:hint="default"/>
        </w:rPr>
        <w:t>2</w:t>
      </w:r>
      <w:r>
        <w:rPr/>
        <w:t>）采用公允价值计量模式的投资性房地产</w:t>
      </w:r>
      <w:r>
        <w:rPr>
          <w:b w:val="0"/>
          <w:bCs w:val="0"/>
        </w:rPr>
      </w:r>
    </w:p>
    <w:p>
      <w:pPr>
        <w:spacing w:line="240" w:lineRule="auto" w:before="1"/>
        <w:rPr>
          <w:rFonts w:ascii="宋体" w:hAnsi="宋体" w:cs="宋体" w:eastAsia="宋体" w:hint="default"/>
          <w:b/>
          <w:bCs/>
          <w:sz w:val="27"/>
          <w:szCs w:val="27"/>
        </w:rPr>
      </w:pPr>
    </w:p>
    <w:p>
      <w:pPr>
        <w:pStyle w:val="BodyText"/>
        <w:spacing w:line="240" w:lineRule="auto" w:before="0"/>
        <w:ind w:right="0"/>
        <w:jc w:val="left"/>
      </w:pPr>
      <w:r>
        <w:rPr/>
        <w:t>□ </w:t>
      </w:r>
      <w:r>
        <w:rPr>
          <w:spacing w:val="-3"/>
        </w:rPr>
        <w:t>适用 </w:t>
      </w:r>
      <w:r>
        <w:rPr/>
        <w:t>√</w:t>
      </w:r>
      <w:r>
        <w:rPr>
          <w:spacing w:val="13"/>
        </w:rPr>
        <w:t> </w:t>
      </w:r>
      <w:r>
        <w:rPr/>
        <w:t>不适用</w:t>
      </w:r>
    </w:p>
    <w:p>
      <w:pPr>
        <w:spacing w:line="240" w:lineRule="auto" w:before="4"/>
        <w:rPr>
          <w:rFonts w:ascii="宋体" w:hAnsi="宋体" w:cs="宋体" w:eastAsia="宋体" w:hint="default"/>
          <w:sz w:val="26"/>
          <w:szCs w:val="26"/>
        </w:rPr>
      </w:pPr>
    </w:p>
    <w:p>
      <w:pPr>
        <w:pStyle w:val="Heading4"/>
        <w:spacing w:line="240" w:lineRule="auto"/>
        <w:ind w:right="0"/>
        <w:jc w:val="left"/>
        <w:rPr>
          <w:b w:val="0"/>
          <w:bCs w:val="0"/>
        </w:rPr>
      </w:pPr>
      <w:bookmarkStart w:name="（3）未办妥产权证书的投资性房地产情况" w:id="299"/>
      <w:bookmarkEnd w:id="299"/>
      <w:r>
        <w:rPr>
          <w:b w:val="0"/>
          <w:bCs w:val="0"/>
        </w:rPr>
      </w:r>
      <w:r>
        <w:rPr/>
        <w:t>（</w:t>
      </w:r>
      <w:r>
        <w:rPr>
          <w:rFonts w:ascii="Times New Roman" w:hAnsi="Times New Roman" w:cs="Times New Roman" w:eastAsia="Times New Roman" w:hint="default"/>
        </w:rPr>
        <w:t>3</w:t>
      </w:r>
      <w:r>
        <w:rPr/>
        <w:t>）未办妥产权证书的投资性房地产情况</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78" w:right="0"/>
              <w:jc w:val="left"/>
              <w:rPr>
                <w:rFonts w:ascii="宋体" w:hAnsi="宋体" w:cs="宋体" w:eastAsia="宋体" w:hint="default"/>
                <w:sz w:val="18"/>
                <w:szCs w:val="18"/>
              </w:rPr>
            </w:pPr>
            <w:r>
              <w:rPr>
                <w:rFonts w:ascii="宋体" w:hAnsi="宋体" w:cs="宋体" w:eastAsia="宋体" w:hint="default"/>
                <w:spacing w:val="-3"/>
                <w:sz w:val="18"/>
                <w:szCs w:val="18"/>
              </w:rPr>
              <w:t>未办妥产权证书原因</w:t>
            </w:r>
          </w:p>
        </w:tc>
      </w:tr>
    </w:tbl>
    <w:p>
      <w:pPr>
        <w:pStyle w:val="BodyText"/>
        <w:spacing w:line="240" w:lineRule="auto" w:before="53"/>
        <w:ind w:right="0"/>
        <w:jc w:val="left"/>
      </w:pPr>
      <w:r>
        <w:rPr/>
        <w:t>其他说明</w:t>
      </w:r>
    </w:p>
    <w:p>
      <w:pPr>
        <w:pStyle w:val="BodyText"/>
        <w:spacing w:line="240" w:lineRule="auto" w:before="115"/>
        <w:ind w:left="633" w:right="0"/>
        <w:jc w:val="left"/>
      </w:pPr>
      <w:r>
        <w:rPr>
          <w:spacing w:val="-3"/>
        </w:rPr>
        <w:t>无未办妥产权证书的投资性房地产情况。</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Heading4"/>
        <w:spacing w:line="240" w:lineRule="auto"/>
        <w:ind w:right="0"/>
        <w:jc w:val="left"/>
        <w:rPr>
          <w:b w:val="0"/>
          <w:bCs w:val="0"/>
        </w:rPr>
      </w:pPr>
      <w:bookmarkStart w:name="21、固定资产" w:id="300"/>
      <w:bookmarkEnd w:id="300"/>
      <w:r>
        <w:rPr>
          <w:b w:val="0"/>
          <w:bCs w:val="0"/>
        </w:rPr>
      </w:r>
      <w:r>
        <w:rPr>
          <w:rFonts w:ascii="Times New Roman" w:hAnsi="Times New Roman" w:cs="Times New Roman" w:eastAsia="Times New Roman" w:hint="default"/>
        </w:rPr>
        <w:t>21</w:t>
      </w:r>
      <w:r>
        <w:rPr/>
        <w:t>、固定资产</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154,496,224.14</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161,777,040.12</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154,496,224.14</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161,777,040.12</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1）固定资产情况" w:id="301"/>
      <w:bookmarkEnd w:id="301"/>
      <w:r>
        <w:rPr>
          <w:b w:val="0"/>
          <w:bCs w:val="0"/>
        </w:rPr>
      </w:r>
      <w:r>
        <w:rPr/>
        <w:t>（</w:t>
      </w:r>
      <w:r>
        <w:rPr>
          <w:rFonts w:ascii="Times New Roman" w:hAnsi="Times New Roman" w:cs="Times New Roman" w:eastAsia="Times New Roman" w:hint="default"/>
        </w:rPr>
        <w:t>1</w:t>
      </w:r>
      <w:r>
        <w:rPr/>
        <w:t>）固定资产情况</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369"/>
        <w:gridCol w:w="1368"/>
        <w:gridCol w:w="1364"/>
        <w:gridCol w:w="1368"/>
        <w:gridCol w:w="1368"/>
        <w:gridCol w:w="1369"/>
        <w:gridCol w:w="1369"/>
      </w:tblGrid>
      <w:tr>
        <w:trPr>
          <w:trHeight w:val="403"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132"/>
              <w:jc w:val="right"/>
              <w:rPr>
                <w:rFonts w:ascii="宋体" w:hAnsi="宋体" w:cs="宋体" w:eastAsia="宋体" w:hint="default"/>
                <w:sz w:val="18"/>
                <w:szCs w:val="18"/>
              </w:rPr>
            </w:pPr>
            <w:r>
              <w:rPr>
                <w:rFonts w:ascii="宋体" w:hAnsi="宋体" w:cs="宋体" w:eastAsia="宋体" w:hint="default"/>
                <w:spacing w:val="-2"/>
                <w:sz w:val="18"/>
                <w:szCs w:val="18"/>
              </w:rPr>
              <w:t>房屋及建筑物</w:t>
            </w:r>
          </w:p>
        </w:tc>
        <w:tc>
          <w:tcPr>
            <w:tcW w:w="13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16"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21"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21" w:right="0"/>
              <w:jc w:val="left"/>
              <w:rPr>
                <w:rFonts w:ascii="宋体" w:hAnsi="宋体" w:cs="宋体" w:eastAsia="宋体" w:hint="default"/>
                <w:sz w:val="18"/>
                <w:szCs w:val="18"/>
              </w:rPr>
            </w:pPr>
            <w:r>
              <w:rPr>
                <w:rFonts w:ascii="宋体" w:hAnsi="宋体" w:cs="宋体" w:eastAsia="宋体" w:hint="default"/>
                <w:sz w:val="18"/>
                <w:szCs w:val="18"/>
              </w:rPr>
              <w:t>电子设备</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22"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4"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3"/>
              <w:jc w:val="right"/>
              <w:rPr>
                <w:rFonts w:ascii="宋体" w:hAnsi="宋体" w:cs="宋体" w:eastAsia="宋体" w:hint="default"/>
                <w:sz w:val="18"/>
                <w:szCs w:val="18"/>
              </w:rPr>
            </w:pPr>
            <w:r>
              <w:rPr>
                <w:rFonts w:ascii="宋体" w:hAnsi="宋体" w:cs="宋体" w:eastAsia="宋体" w:hint="default"/>
                <w:spacing w:val="-5"/>
                <w:sz w:val="18"/>
                <w:szCs w:val="18"/>
              </w:rPr>
              <w:t>一、账面原值：</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8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119,257,469.45</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59,354,285.25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8,175,063.38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34,235,800.18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3,607,120.22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224,629,738.48</w:t>
            </w:r>
          </w:p>
        </w:tc>
      </w:tr>
      <w:tr>
        <w:trPr>
          <w:trHeight w:val="715"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8"/>
              <w:ind w:left="105" w:right="209" w:firstLine="182"/>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w:t>
            </w:r>
            <w:r>
              <w:rPr>
                <w:rFonts w:ascii="宋体" w:hAnsi="宋体" w:cs="宋体" w:eastAsia="宋体" w:hint="default"/>
                <w:w w:val="101"/>
                <w:sz w:val="18"/>
                <w:szCs w:val="18"/>
              </w:rPr>
              <w:t> </w:t>
            </w:r>
            <w:r>
              <w:rPr>
                <w:rFonts w:ascii="宋体" w:hAnsi="宋体" w:cs="宋体" w:eastAsia="宋体" w:hint="default"/>
                <w:sz w:val="18"/>
                <w:szCs w:val="18"/>
              </w:rPr>
              <w:t>金额</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7,429,390.44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75,827.14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1,403,069.54</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220,363.03</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9,128,650.15</w:t>
            </w:r>
          </w:p>
        </w:tc>
      </w:tr>
      <w:tr>
        <w:trPr>
          <w:trHeight w:val="404"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94"/>
              <w:jc w:val="righ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）购置</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7,429,390.44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75,827.14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1,403,069.54</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220,363.03</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pacing w:val="-1"/>
                <w:sz w:val="18"/>
              </w:rPr>
              <w:t>9,128,650.15</w:t>
            </w:r>
          </w:p>
        </w:tc>
      </w:tr>
      <w:tr>
        <w:trPr>
          <w:trHeight w:val="715"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105" w:right="94" w:firstLine="355"/>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）在建</w:t>
            </w:r>
            <w:r>
              <w:rPr>
                <w:rFonts w:ascii="宋体" w:hAnsi="宋体" w:cs="宋体" w:eastAsia="宋体" w:hint="default"/>
                <w:w w:val="101"/>
                <w:sz w:val="18"/>
                <w:szCs w:val="18"/>
              </w:rPr>
              <w:t> </w:t>
            </w:r>
            <w:r>
              <w:rPr>
                <w:rFonts w:ascii="宋体" w:hAnsi="宋体" w:cs="宋体" w:eastAsia="宋体" w:hint="default"/>
                <w:sz w:val="18"/>
                <w:szCs w:val="18"/>
              </w:rPr>
              <w:t>工程转入</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r>
      <w:tr>
        <w:trPr>
          <w:trHeight w:val="710"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105" w:right="94" w:firstLine="355"/>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3</w:t>
            </w:r>
            <w:r>
              <w:rPr>
                <w:rFonts w:ascii="宋体" w:hAnsi="宋体" w:cs="宋体" w:eastAsia="宋体" w:hint="default"/>
                <w:spacing w:val="-4"/>
                <w:sz w:val="18"/>
                <w:szCs w:val="18"/>
              </w:rPr>
              <w:t>）企业</w:t>
            </w:r>
            <w:r>
              <w:rPr>
                <w:rFonts w:ascii="宋体" w:hAnsi="宋体" w:cs="宋体" w:eastAsia="宋体" w:hint="default"/>
                <w:w w:val="101"/>
                <w:sz w:val="18"/>
                <w:szCs w:val="18"/>
              </w:rPr>
              <w:t> </w:t>
            </w:r>
            <w:r>
              <w:rPr>
                <w:rFonts w:ascii="宋体" w:hAnsi="宋体" w:cs="宋体" w:eastAsia="宋体" w:hint="default"/>
                <w:sz w:val="18"/>
                <w:szCs w:val="18"/>
              </w:rPr>
              <w:t>合并增加</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4" w:lineRule="auto" w:before="53"/>
              <w:ind w:left="105" w:right="209" w:firstLine="182"/>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w:t>
            </w:r>
            <w:r>
              <w:rPr>
                <w:rFonts w:ascii="宋体" w:hAnsi="宋体" w:cs="宋体" w:eastAsia="宋体" w:hint="default"/>
                <w:w w:val="101"/>
                <w:sz w:val="18"/>
                <w:szCs w:val="18"/>
              </w:rPr>
              <w:t> </w:t>
            </w:r>
            <w:r>
              <w:rPr>
                <w:rFonts w:ascii="宋体" w:hAnsi="宋体" w:cs="宋体" w:eastAsia="宋体" w:hint="default"/>
                <w:sz w:val="18"/>
                <w:szCs w:val="18"/>
              </w:rPr>
              <w:t>金额</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618,226.56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548,848.00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1,677,655.42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3"/>
              <w:jc w:val="right"/>
              <w:rPr>
                <w:rFonts w:ascii="Times New Roman" w:hAnsi="Times New Roman" w:cs="Times New Roman" w:eastAsia="Times New Roman" w:hint="default"/>
                <w:sz w:val="18"/>
                <w:szCs w:val="18"/>
              </w:rPr>
            </w:pPr>
            <w:r>
              <w:rPr>
                <w:rFonts w:ascii="Times New Roman"/>
                <w:spacing w:val="-1"/>
                <w:sz w:val="18"/>
              </w:rPr>
              <w:t>305.00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2,845,034.98</w:t>
            </w:r>
          </w:p>
        </w:tc>
      </w:tr>
    </w:tbl>
    <w:p>
      <w:pPr>
        <w:spacing w:after="0" w:line="240" w:lineRule="auto"/>
        <w:jc w:val="right"/>
        <w:rPr>
          <w:rFonts w:ascii="Times New Roman" w:hAnsi="Times New Roman" w:cs="Times New Roman" w:eastAsia="Times New Roman" w:hint="default"/>
          <w:sz w:val="18"/>
          <w:szCs w:val="18"/>
        </w:rPr>
        <w:sectPr>
          <w:pgSz w:w="11910" w:h="16840"/>
          <w:pgMar w:header="784" w:footer="1022" w:top="1100" w:bottom="1220" w:left="980" w:right="0"/>
        </w:sectPr>
      </w:pPr>
    </w:p>
    <w:p>
      <w:pPr>
        <w:spacing w:line="240" w:lineRule="auto" w:before="7"/>
        <w:rPr>
          <w:rFonts w:ascii="宋体" w:hAnsi="宋体" w:cs="宋体" w:eastAsia="宋体" w:hint="default"/>
          <w:sz w:val="25"/>
          <w:szCs w:val="25"/>
        </w:rPr>
      </w:pPr>
    </w:p>
    <w:tbl>
      <w:tblPr>
        <w:tblW w:w="0" w:type="auto"/>
        <w:jc w:val="left"/>
        <w:tblInd w:w="148" w:type="dxa"/>
        <w:tblLayout w:type="fixed"/>
        <w:tblCellMar>
          <w:top w:w="0" w:type="dxa"/>
          <w:left w:w="0" w:type="dxa"/>
          <w:bottom w:w="0" w:type="dxa"/>
          <w:right w:w="0" w:type="dxa"/>
        </w:tblCellMar>
        <w:tblLook w:val="01E0"/>
      </w:tblPr>
      <w:tblGrid>
        <w:gridCol w:w="1369"/>
        <w:gridCol w:w="1368"/>
        <w:gridCol w:w="1364"/>
        <w:gridCol w:w="1368"/>
        <w:gridCol w:w="1368"/>
        <w:gridCol w:w="1369"/>
        <w:gridCol w:w="1369"/>
      </w:tblGrid>
      <w:tr>
        <w:trPr>
          <w:trHeight w:val="715"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105" w:right="94" w:firstLine="355"/>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）处置</w:t>
            </w:r>
            <w:r>
              <w:rPr>
                <w:rFonts w:ascii="宋体" w:hAnsi="宋体" w:cs="宋体" w:eastAsia="宋体" w:hint="default"/>
                <w:w w:val="101"/>
                <w:sz w:val="18"/>
                <w:szCs w:val="18"/>
              </w:rPr>
              <w:t> </w:t>
            </w:r>
            <w:r>
              <w:rPr>
                <w:rFonts w:ascii="宋体" w:hAnsi="宋体" w:cs="宋体" w:eastAsia="宋体" w:hint="default"/>
                <w:sz w:val="18"/>
                <w:szCs w:val="18"/>
              </w:rPr>
              <w:t>或报废</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618,226.56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548,848.00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215" w:right="0"/>
              <w:jc w:val="center"/>
              <w:rPr>
                <w:rFonts w:ascii="Times New Roman" w:hAnsi="Times New Roman" w:cs="Times New Roman" w:eastAsia="Times New Roman" w:hint="default"/>
                <w:sz w:val="18"/>
                <w:szCs w:val="18"/>
              </w:rPr>
            </w:pPr>
            <w:r>
              <w:rPr>
                <w:rFonts w:ascii="Times New Roman"/>
                <w:sz w:val="18"/>
              </w:rPr>
              <w:t>1,677,655.42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3"/>
              <w:jc w:val="right"/>
              <w:rPr>
                <w:rFonts w:ascii="Times New Roman" w:hAnsi="Times New Roman" w:cs="Times New Roman" w:eastAsia="Times New Roman" w:hint="default"/>
                <w:sz w:val="18"/>
                <w:szCs w:val="18"/>
              </w:rPr>
            </w:pPr>
            <w:r>
              <w:rPr>
                <w:rFonts w:ascii="Times New Roman"/>
                <w:spacing w:val="-1"/>
                <w:sz w:val="18"/>
              </w:rPr>
              <w:t>305.00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2,845,034.98</w:t>
            </w:r>
          </w:p>
        </w:tc>
      </w:tr>
      <w:tr>
        <w:trPr>
          <w:trHeight w:val="399"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28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2"/>
                <w:sz w:val="18"/>
              </w:rPr>
              <w:t>119,257,469.45</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5"/>
              <w:jc w:val="right"/>
              <w:rPr>
                <w:rFonts w:ascii="Times New Roman" w:hAnsi="Times New Roman" w:cs="Times New Roman" w:eastAsia="Times New Roman" w:hint="default"/>
                <w:sz w:val="18"/>
                <w:szCs w:val="18"/>
              </w:rPr>
            </w:pPr>
            <w:r>
              <w:rPr>
                <w:rFonts w:ascii="Times New Roman"/>
                <w:spacing w:val="-1"/>
                <w:sz w:val="18"/>
              </w:rPr>
              <w:t>66,165,449.13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7,702,042.52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24" w:right="0"/>
              <w:jc w:val="center"/>
              <w:rPr>
                <w:rFonts w:ascii="Times New Roman" w:hAnsi="Times New Roman" w:cs="Times New Roman" w:eastAsia="Times New Roman" w:hint="default"/>
                <w:sz w:val="18"/>
                <w:szCs w:val="18"/>
              </w:rPr>
            </w:pPr>
            <w:r>
              <w:rPr>
                <w:rFonts w:ascii="Times New Roman"/>
                <w:sz w:val="18"/>
              </w:rPr>
              <w:t>33,961,214.30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3,827,178.25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230,913,353.65</w:t>
            </w: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二、累计折旧</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8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12,871,285.23</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22,995,795.34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4,989,197.88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23" w:right="0"/>
              <w:jc w:val="center"/>
              <w:rPr>
                <w:rFonts w:ascii="Times New Roman" w:hAnsi="Times New Roman" w:cs="Times New Roman" w:eastAsia="Times New Roman" w:hint="default"/>
                <w:sz w:val="18"/>
                <w:szCs w:val="18"/>
              </w:rPr>
            </w:pPr>
            <w:r>
              <w:rPr>
                <w:rFonts w:ascii="Times New Roman"/>
                <w:sz w:val="18"/>
              </w:rPr>
              <w:t>19,763,584.03</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2,232,835.88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62,852,698.36</w:t>
            </w:r>
          </w:p>
        </w:tc>
      </w:tr>
      <w:tr>
        <w:trPr>
          <w:trHeight w:val="711"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105" w:right="209" w:firstLine="182"/>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w:t>
            </w:r>
            <w:r>
              <w:rPr>
                <w:rFonts w:ascii="宋体" w:hAnsi="宋体" w:cs="宋体" w:eastAsia="宋体" w:hint="default"/>
                <w:w w:val="101"/>
                <w:sz w:val="18"/>
                <w:szCs w:val="18"/>
              </w:rPr>
              <w:t> </w:t>
            </w:r>
            <w:r>
              <w:rPr>
                <w:rFonts w:ascii="宋体" w:hAnsi="宋体" w:cs="宋体" w:eastAsia="宋体" w:hint="default"/>
                <w:sz w:val="18"/>
                <w:szCs w:val="18"/>
              </w:rPr>
              <w:t>金额</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2,686,961.15</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7,357,169.72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645,393.40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15" w:right="0"/>
              <w:jc w:val="center"/>
              <w:rPr>
                <w:rFonts w:ascii="Times New Roman" w:hAnsi="Times New Roman" w:cs="Times New Roman" w:eastAsia="Times New Roman" w:hint="default"/>
                <w:sz w:val="18"/>
                <w:szCs w:val="18"/>
              </w:rPr>
            </w:pPr>
            <w:r>
              <w:rPr>
                <w:rFonts w:ascii="Times New Roman"/>
                <w:sz w:val="18"/>
              </w:rPr>
              <w:t>4,535,666.98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408,892.48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15,634,083.73</w:t>
            </w: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right="94"/>
              <w:jc w:val="righ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）计提</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2,686,961.15</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7,357,169.72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645,393.40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15" w:right="0"/>
              <w:jc w:val="center"/>
              <w:rPr>
                <w:rFonts w:ascii="Times New Roman" w:hAnsi="Times New Roman" w:cs="Times New Roman" w:eastAsia="Times New Roman" w:hint="default"/>
                <w:sz w:val="18"/>
                <w:szCs w:val="18"/>
              </w:rPr>
            </w:pPr>
            <w:r>
              <w:rPr>
                <w:rFonts w:ascii="Times New Roman"/>
                <w:sz w:val="18"/>
              </w:rPr>
              <w:t>4,535,666.98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408,892.48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15,634,083.73</w:t>
            </w: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105" w:right="209" w:firstLine="182"/>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w:t>
            </w:r>
            <w:r>
              <w:rPr>
                <w:rFonts w:ascii="宋体" w:hAnsi="宋体" w:cs="宋体" w:eastAsia="宋体" w:hint="default"/>
                <w:w w:val="101"/>
                <w:sz w:val="18"/>
                <w:szCs w:val="18"/>
              </w:rPr>
              <w:t> </w:t>
            </w:r>
            <w:r>
              <w:rPr>
                <w:rFonts w:ascii="宋体" w:hAnsi="宋体" w:cs="宋体" w:eastAsia="宋体" w:hint="default"/>
                <w:sz w:val="18"/>
                <w:szCs w:val="18"/>
              </w:rPr>
              <w:t>金额</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477,312.25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493,963.20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215" w:right="0"/>
              <w:jc w:val="center"/>
              <w:rPr>
                <w:rFonts w:ascii="Times New Roman" w:hAnsi="Times New Roman" w:cs="Times New Roman" w:eastAsia="Times New Roman" w:hint="default"/>
                <w:sz w:val="18"/>
                <w:szCs w:val="18"/>
              </w:rPr>
            </w:pPr>
            <w:r>
              <w:rPr>
                <w:rFonts w:ascii="Times New Roman"/>
                <w:sz w:val="18"/>
              </w:rPr>
              <w:t>1,098,377.13</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2,069,652.58</w:t>
            </w:r>
          </w:p>
        </w:tc>
      </w:tr>
      <w:tr>
        <w:trPr>
          <w:trHeight w:val="710"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105" w:right="94" w:firstLine="355"/>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）处置</w:t>
            </w:r>
            <w:r>
              <w:rPr>
                <w:rFonts w:ascii="宋体" w:hAnsi="宋体" w:cs="宋体" w:eastAsia="宋体" w:hint="default"/>
                <w:w w:val="101"/>
                <w:sz w:val="18"/>
                <w:szCs w:val="18"/>
              </w:rPr>
              <w:t> </w:t>
            </w:r>
            <w:r>
              <w:rPr>
                <w:rFonts w:ascii="宋体" w:hAnsi="宋体" w:cs="宋体" w:eastAsia="宋体" w:hint="default"/>
                <w:sz w:val="18"/>
                <w:szCs w:val="18"/>
              </w:rPr>
              <w:t>或报废</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477,312.25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493,963.20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15" w:right="0"/>
              <w:jc w:val="center"/>
              <w:rPr>
                <w:rFonts w:ascii="Times New Roman" w:hAnsi="Times New Roman" w:cs="Times New Roman" w:eastAsia="Times New Roman" w:hint="default"/>
                <w:sz w:val="18"/>
                <w:szCs w:val="18"/>
              </w:rPr>
            </w:pPr>
            <w:r>
              <w:rPr>
                <w:rFonts w:ascii="Times New Roman"/>
                <w:sz w:val="18"/>
              </w:rPr>
              <w:t>1,098,377.13</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2,069,652.58</w:t>
            </w: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8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15,558,246.38</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29,875,652.81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5,140,628.08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24" w:right="0"/>
              <w:jc w:val="center"/>
              <w:rPr>
                <w:rFonts w:ascii="Times New Roman" w:hAnsi="Times New Roman" w:cs="Times New Roman" w:eastAsia="Times New Roman" w:hint="default"/>
                <w:sz w:val="18"/>
                <w:szCs w:val="18"/>
              </w:rPr>
            </w:pPr>
            <w:r>
              <w:rPr>
                <w:rFonts w:ascii="Times New Roman"/>
                <w:sz w:val="18"/>
              </w:rPr>
              <w:t>23,200,873.88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2,641,728.36</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76,417,129.51</w:t>
            </w:r>
          </w:p>
        </w:tc>
      </w:tr>
      <w:tr>
        <w:trPr>
          <w:trHeight w:val="404"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8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8"/>
              <w:ind w:left="105" w:right="209" w:firstLine="182"/>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w:t>
            </w:r>
            <w:r>
              <w:rPr>
                <w:rFonts w:ascii="宋体" w:hAnsi="宋体" w:cs="宋体" w:eastAsia="宋体" w:hint="default"/>
                <w:w w:val="101"/>
                <w:sz w:val="18"/>
                <w:szCs w:val="18"/>
              </w:rPr>
              <w:t> </w:t>
            </w:r>
            <w:r>
              <w:rPr>
                <w:rFonts w:ascii="宋体" w:hAnsi="宋体" w:cs="宋体" w:eastAsia="宋体" w:hint="default"/>
                <w:sz w:val="18"/>
                <w:szCs w:val="18"/>
              </w:rPr>
              <w:t>金额</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94"/>
              <w:jc w:val="righ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）计提</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r>
      <w:tr>
        <w:trPr>
          <w:trHeight w:val="710"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105" w:right="209" w:firstLine="182"/>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w:t>
            </w:r>
            <w:r>
              <w:rPr>
                <w:rFonts w:ascii="宋体" w:hAnsi="宋体" w:cs="宋体" w:eastAsia="宋体" w:hint="default"/>
                <w:w w:val="101"/>
                <w:sz w:val="18"/>
                <w:szCs w:val="18"/>
              </w:rPr>
              <w:t> </w:t>
            </w:r>
            <w:r>
              <w:rPr>
                <w:rFonts w:ascii="宋体" w:hAnsi="宋体" w:cs="宋体" w:eastAsia="宋体" w:hint="default"/>
                <w:sz w:val="18"/>
                <w:szCs w:val="18"/>
              </w:rPr>
              <w:t>金额</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8"/>
              <w:ind w:left="105" w:right="94" w:firstLine="355"/>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）处置</w:t>
            </w:r>
            <w:r>
              <w:rPr>
                <w:rFonts w:ascii="宋体" w:hAnsi="宋体" w:cs="宋体" w:eastAsia="宋体" w:hint="default"/>
                <w:w w:val="101"/>
                <w:sz w:val="18"/>
                <w:szCs w:val="18"/>
              </w:rPr>
              <w:t> </w:t>
            </w:r>
            <w:r>
              <w:rPr>
                <w:rFonts w:ascii="宋体" w:hAnsi="宋体" w:cs="宋体" w:eastAsia="宋体" w:hint="default"/>
                <w:sz w:val="18"/>
                <w:szCs w:val="18"/>
              </w:rPr>
              <w:t>或报废</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8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9"/>
              <w:ind w:left="105" w:right="209" w:firstLine="182"/>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w:t>
            </w:r>
            <w:r>
              <w:rPr>
                <w:rFonts w:ascii="宋体" w:hAnsi="宋体" w:cs="宋体" w:eastAsia="宋体" w:hint="default"/>
                <w:w w:val="101"/>
                <w:sz w:val="18"/>
                <w:szCs w:val="18"/>
              </w:rPr>
              <w:t> </w:t>
            </w:r>
            <w:r>
              <w:rPr>
                <w:rFonts w:ascii="宋体" w:hAnsi="宋体" w:cs="宋体" w:eastAsia="宋体" w:hint="default"/>
                <w:sz w:val="18"/>
                <w:szCs w:val="18"/>
              </w:rPr>
              <w:t>价值</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103,699,223.07</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1"/>
                <w:sz w:val="18"/>
              </w:rPr>
              <w:t>36,289,796.32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2,561,414.44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23" w:right="0"/>
              <w:jc w:val="center"/>
              <w:rPr>
                <w:rFonts w:ascii="Times New Roman" w:hAnsi="Times New Roman" w:cs="Times New Roman" w:eastAsia="Times New Roman" w:hint="default"/>
                <w:sz w:val="18"/>
                <w:szCs w:val="18"/>
              </w:rPr>
            </w:pPr>
            <w:r>
              <w:rPr>
                <w:rFonts w:ascii="Times New Roman"/>
                <w:sz w:val="18"/>
              </w:rPr>
              <w:t>10,760,340.42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1,185,449.89</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2"/>
                <w:sz w:val="18"/>
              </w:rPr>
              <w:t>154,496,224.14</w:t>
            </w:r>
          </w:p>
        </w:tc>
      </w:tr>
      <w:tr>
        <w:trPr>
          <w:trHeight w:val="715"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4" w:lineRule="auto" w:before="53"/>
              <w:ind w:left="105" w:right="209" w:firstLine="182"/>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w:t>
            </w:r>
            <w:r>
              <w:rPr>
                <w:rFonts w:ascii="宋体" w:hAnsi="宋体" w:cs="宋体" w:eastAsia="宋体" w:hint="default"/>
                <w:w w:val="101"/>
                <w:sz w:val="18"/>
                <w:szCs w:val="18"/>
              </w:rPr>
              <w:t> </w:t>
            </w:r>
            <w:r>
              <w:rPr>
                <w:rFonts w:ascii="宋体" w:hAnsi="宋体" w:cs="宋体" w:eastAsia="宋体" w:hint="default"/>
                <w:sz w:val="18"/>
                <w:szCs w:val="18"/>
              </w:rPr>
              <w:t>价值</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106,386,184.22</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1"/>
                <w:sz w:val="18"/>
              </w:rPr>
              <w:t>36,358,489.91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3,185,865.50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23" w:right="0"/>
              <w:jc w:val="center"/>
              <w:rPr>
                <w:rFonts w:ascii="Times New Roman" w:hAnsi="Times New Roman" w:cs="Times New Roman" w:eastAsia="Times New Roman" w:hint="default"/>
                <w:sz w:val="18"/>
                <w:szCs w:val="18"/>
              </w:rPr>
            </w:pPr>
            <w:r>
              <w:rPr>
                <w:rFonts w:ascii="Times New Roman"/>
                <w:sz w:val="18"/>
              </w:rPr>
              <w:t>14,472,216.15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1,374,284.34</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161,777,040.12</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2）暂时闲置的固定资产情况" w:id="302"/>
      <w:bookmarkEnd w:id="302"/>
      <w:r>
        <w:rPr>
          <w:b w:val="0"/>
          <w:bCs w:val="0"/>
        </w:rPr>
      </w:r>
      <w:r>
        <w:rPr/>
        <w:t>（</w:t>
      </w:r>
      <w:r>
        <w:rPr>
          <w:rFonts w:ascii="Times New Roman" w:hAnsi="Times New Roman" w:cs="Times New Roman" w:eastAsia="Times New Roman" w:hint="default"/>
        </w:rPr>
        <w:t>2</w:t>
      </w:r>
      <w:r>
        <w:rPr/>
        <w:t>）暂时闲置的固定资产情况</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after="0" w:line="240" w:lineRule="auto"/>
        <w:jc w:val="right"/>
        <w:sectPr>
          <w:pgSz w:w="11910" w:h="16840"/>
          <w:pgMar w:header="784" w:footer="1022" w:top="1100" w:bottom="1220" w:left="980" w:right="0"/>
        </w:sectPr>
      </w:pPr>
    </w:p>
    <w:p>
      <w:pPr>
        <w:spacing w:line="240" w:lineRule="auto" w:before="7"/>
        <w:rPr>
          <w:rFonts w:ascii="宋体" w:hAnsi="宋体" w:cs="宋体" w:eastAsia="宋体" w:hint="default"/>
          <w:sz w:val="25"/>
          <w:szCs w:val="25"/>
        </w:rPr>
      </w:pPr>
    </w:p>
    <w:tbl>
      <w:tblPr>
        <w:tblW w:w="0" w:type="auto"/>
        <w:jc w:val="left"/>
        <w:tblInd w:w="148" w:type="dxa"/>
        <w:tblLayout w:type="fixed"/>
        <w:tblCellMar>
          <w:top w:w="0" w:type="dxa"/>
          <w:left w:w="0" w:type="dxa"/>
          <w:bottom w:w="0" w:type="dxa"/>
          <w:right w:w="0" w:type="dxa"/>
        </w:tblCellMar>
        <w:tblLook w:val="01E0"/>
      </w:tblPr>
      <w:tblGrid>
        <w:gridCol w:w="1594"/>
        <w:gridCol w:w="1599"/>
        <w:gridCol w:w="1595"/>
        <w:gridCol w:w="1594"/>
        <w:gridCol w:w="1594"/>
        <w:gridCol w:w="1594"/>
      </w:tblGrid>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37" w:right="0"/>
              <w:jc w:val="left"/>
              <w:rPr>
                <w:rFonts w:ascii="宋体" w:hAnsi="宋体" w:cs="宋体" w:eastAsia="宋体" w:hint="default"/>
                <w:sz w:val="18"/>
                <w:szCs w:val="18"/>
              </w:rPr>
            </w:pPr>
            <w:r>
              <w:rPr>
                <w:rFonts w:ascii="宋体" w:hAnsi="宋体" w:cs="宋体" w:eastAsia="宋体" w:hint="default"/>
                <w:sz w:val="18"/>
                <w:szCs w:val="18"/>
              </w:rPr>
              <w:t>账面原值</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27" w:right="0"/>
              <w:jc w:val="left"/>
              <w:rPr>
                <w:rFonts w:ascii="宋体" w:hAnsi="宋体" w:cs="宋体" w:eastAsia="宋体" w:hint="default"/>
                <w:sz w:val="18"/>
                <w:szCs w:val="18"/>
              </w:rPr>
            </w:pPr>
            <w:r>
              <w:rPr>
                <w:rFonts w:ascii="宋体" w:hAnsi="宋体" w:cs="宋体" w:eastAsia="宋体" w:hint="default"/>
                <w:sz w:val="18"/>
                <w:szCs w:val="18"/>
              </w:rPr>
              <w:t>累计折旧</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27"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27"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备注</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3）通过融资租赁租入的固定资产情况" w:id="303"/>
      <w:bookmarkEnd w:id="303"/>
      <w:r>
        <w:rPr>
          <w:b w:val="0"/>
          <w:bCs w:val="0"/>
        </w:rPr>
      </w:r>
      <w:r>
        <w:rPr/>
        <w:t>（</w:t>
      </w:r>
      <w:r>
        <w:rPr>
          <w:rFonts w:ascii="Times New Roman" w:hAnsi="Times New Roman" w:cs="Times New Roman" w:eastAsia="Times New Roman" w:hint="default"/>
        </w:rPr>
        <w:t>3</w:t>
      </w:r>
      <w:r>
        <w:rPr/>
        <w:t>）通过融资租赁租入的固定资产情况</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10"/>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11"/>
        <w:gridCol w:w="1921"/>
        <w:gridCol w:w="1911"/>
        <w:gridCol w:w="1916"/>
        <w:gridCol w:w="1916"/>
      </w:tblGrid>
      <w:tr>
        <w:trPr>
          <w:trHeight w:val="401"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10"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595" w:right="0"/>
              <w:jc w:val="left"/>
              <w:rPr>
                <w:rFonts w:ascii="宋体" w:hAnsi="宋体" w:cs="宋体" w:eastAsia="宋体" w:hint="default"/>
                <w:sz w:val="18"/>
                <w:szCs w:val="18"/>
              </w:rPr>
            </w:pPr>
            <w:r>
              <w:rPr>
                <w:rFonts w:ascii="宋体" w:hAnsi="宋体" w:cs="宋体" w:eastAsia="宋体" w:hint="default"/>
                <w:sz w:val="18"/>
                <w:szCs w:val="18"/>
              </w:rPr>
              <w:t>账面原值</w:t>
            </w:r>
          </w:p>
        </w:tc>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590" w:right="0"/>
              <w:jc w:val="left"/>
              <w:rPr>
                <w:rFonts w:ascii="宋体" w:hAnsi="宋体" w:cs="宋体" w:eastAsia="宋体" w:hint="default"/>
                <w:sz w:val="18"/>
                <w:szCs w:val="18"/>
              </w:rPr>
            </w:pPr>
            <w:r>
              <w:rPr>
                <w:rFonts w:ascii="宋体" w:hAnsi="宋体" w:cs="宋体" w:eastAsia="宋体" w:hint="default"/>
                <w:sz w:val="18"/>
                <w:szCs w:val="18"/>
              </w:rPr>
              <w:t>累计折旧</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595"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595"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4）通过经营租赁租出的固定资产" w:id="304"/>
      <w:bookmarkEnd w:id="304"/>
      <w:r>
        <w:rPr>
          <w:b w:val="0"/>
          <w:bCs w:val="0"/>
        </w:rPr>
      </w:r>
      <w:r>
        <w:rPr/>
        <w:t>（</w:t>
      </w:r>
      <w:r>
        <w:rPr>
          <w:rFonts w:ascii="Times New Roman" w:hAnsi="Times New Roman" w:cs="Times New Roman" w:eastAsia="Times New Roman" w:hint="default"/>
        </w:rPr>
        <w:t>4</w:t>
      </w:r>
      <w:r>
        <w:rPr/>
        <w:t>）通过经营租赁租出的固定资产</w:t>
      </w:r>
      <w:r>
        <w:rPr>
          <w:b w:val="0"/>
          <w:bCs w:val="0"/>
        </w:rPr>
      </w:r>
    </w:p>
    <w:p>
      <w:pPr>
        <w:spacing w:line="240" w:lineRule="auto" w:before="7"/>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4783"/>
        <w:gridCol w:w="4787"/>
      </w:tblGrid>
      <w:tr>
        <w:trPr>
          <w:trHeight w:val="403"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7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3" w:right="0"/>
              <w:jc w:val="center"/>
              <w:rPr>
                <w:rFonts w:ascii="宋体" w:hAnsi="宋体" w:cs="宋体" w:eastAsia="宋体" w:hint="default"/>
                <w:sz w:val="18"/>
                <w:szCs w:val="18"/>
              </w:rPr>
            </w:pPr>
            <w:r>
              <w:rPr>
                <w:rFonts w:ascii="宋体" w:hAnsi="宋体" w:cs="宋体" w:eastAsia="宋体" w:hint="default"/>
                <w:sz w:val="18"/>
                <w:szCs w:val="18"/>
              </w:rPr>
              <w:t>期末账面价值</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5）未办妥产权证书的固定资产情况" w:id="305"/>
      <w:bookmarkEnd w:id="305"/>
      <w:r>
        <w:rPr>
          <w:b w:val="0"/>
          <w:bCs w:val="0"/>
        </w:rPr>
      </w:r>
      <w:r>
        <w:rPr/>
        <w:t>（</w:t>
      </w:r>
      <w:r>
        <w:rPr>
          <w:rFonts w:ascii="Times New Roman" w:hAnsi="Times New Roman" w:cs="Times New Roman" w:eastAsia="Times New Roman" w:hint="default"/>
        </w:rPr>
        <w:t>5</w:t>
      </w:r>
      <w:r>
        <w:rPr/>
        <w:t>）未办妥产权证书的固定资产情况</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91" w:right="0"/>
              <w:jc w:val="left"/>
              <w:rPr>
                <w:rFonts w:ascii="宋体" w:hAnsi="宋体" w:cs="宋体" w:eastAsia="宋体" w:hint="default"/>
                <w:sz w:val="18"/>
                <w:szCs w:val="18"/>
              </w:rPr>
            </w:pPr>
            <w:r>
              <w:rPr>
                <w:rFonts w:ascii="宋体" w:hAnsi="宋体" w:cs="宋体" w:eastAsia="宋体" w:hint="default"/>
                <w:sz w:val="18"/>
                <w:szCs w:val="18"/>
              </w:rPr>
              <w:t>未办妥产权证书的原因</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9"/>
              <w:jc w:val="center"/>
              <w:rPr>
                <w:rFonts w:ascii="Times New Roman" w:hAnsi="Times New Roman" w:cs="Times New Roman" w:eastAsia="Times New Roman" w:hint="default"/>
                <w:sz w:val="18"/>
                <w:szCs w:val="18"/>
              </w:rPr>
            </w:pPr>
            <w:r>
              <w:rPr>
                <w:rFonts w:ascii="宋体" w:hAnsi="宋体" w:cs="宋体" w:eastAsia="宋体" w:hint="default"/>
                <w:sz w:val="18"/>
                <w:szCs w:val="18"/>
              </w:rPr>
              <w:t>多用途乘用车别克牌</w:t>
            </w:r>
            <w:r>
              <w:rPr>
                <w:rFonts w:ascii="宋体" w:hAnsi="宋体" w:cs="宋体" w:eastAsia="宋体" w:hint="default"/>
                <w:spacing w:val="-15"/>
                <w:sz w:val="18"/>
                <w:szCs w:val="18"/>
              </w:rPr>
              <w:t> </w:t>
            </w:r>
            <w:r>
              <w:rPr>
                <w:rFonts w:ascii="Times New Roman" w:hAnsi="Times New Roman" w:cs="Times New Roman" w:eastAsia="Times New Roman" w:hint="default"/>
                <w:spacing w:val="-3"/>
                <w:sz w:val="18"/>
                <w:szCs w:val="18"/>
              </w:rPr>
              <w:t>SGM6531UAAA</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235,917.00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摇号未中签暂时无法办理</w:t>
            </w:r>
          </w:p>
        </w:tc>
      </w:tr>
    </w:tbl>
    <w:p>
      <w:pPr>
        <w:pStyle w:val="BodyText"/>
        <w:spacing w:line="357" w:lineRule="auto" w:before="53"/>
        <w:ind w:right="10031"/>
        <w:jc w:val="left"/>
      </w:pPr>
      <w:r>
        <w:rPr/>
        <w:t>其他说明</w:t>
      </w:r>
      <w:r>
        <w:rPr>
          <w:spacing w:val="-86"/>
        </w:rPr>
        <w:t> </w:t>
      </w:r>
      <w:r>
        <w:rPr>
          <w:spacing w:val="-86"/>
        </w:rPr>
      </w:r>
      <w:r>
        <w:rPr/>
        <w:t>无。</w:t>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26"/>
          <w:szCs w:val="26"/>
        </w:rPr>
      </w:pPr>
    </w:p>
    <w:p>
      <w:pPr>
        <w:pStyle w:val="Heading4"/>
        <w:spacing w:line="240" w:lineRule="auto"/>
        <w:ind w:right="0"/>
        <w:jc w:val="left"/>
        <w:rPr>
          <w:b w:val="0"/>
          <w:bCs w:val="0"/>
        </w:rPr>
      </w:pPr>
      <w:bookmarkStart w:name="（6）固定资产清理" w:id="306"/>
      <w:bookmarkEnd w:id="306"/>
      <w:r>
        <w:rPr>
          <w:b w:val="0"/>
          <w:bCs w:val="0"/>
        </w:rPr>
      </w:r>
      <w:r>
        <w:rPr/>
        <w:t>（</w:t>
      </w:r>
      <w:r>
        <w:rPr>
          <w:rFonts w:ascii="Times New Roman" w:hAnsi="Times New Roman" w:cs="Times New Roman" w:eastAsia="Times New Roman" w:hint="default"/>
        </w:rPr>
        <w:t>6</w:t>
      </w:r>
      <w:r>
        <w:rPr/>
        <w:t>）固定资产清理</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357" w:lineRule="auto" w:before="53"/>
        <w:ind w:right="10031"/>
        <w:jc w:val="left"/>
      </w:pPr>
      <w:r>
        <w:rPr/>
        <w:t>其他说明</w:t>
      </w:r>
      <w:r>
        <w:rPr>
          <w:spacing w:val="-86"/>
        </w:rPr>
        <w:t> </w:t>
      </w:r>
      <w:r>
        <w:rPr>
          <w:spacing w:val="-86"/>
        </w:rPr>
      </w:r>
      <w:r>
        <w:rPr/>
        <w:t>无。</w:t>
      </w:r>
    </w:p>
    <w:p>
      <w:pPr>
        <w:spacing w:line="240" w:lineRule="auto" w:before="4"/>
        <w:rPr>
          <w:rFonts w:ascii="宋体" w:hAnsi="宋体" w:cs="宋体" w:eastAsia="宋体" w:hint="default"/>
          <w:sz w:val="20"/>
          <w:szCs w:val="20"/>
        </w:rPr>
      </w:pPr>
    </w:p>
    <w:p>
      <w:pPr>
        <w:pStyle w:val="Heading4"/>
        <w:spacing w:line="240" w:lineRule="auto"/>
        <w:ind w:right="0"/>
        <w:jc w:val="left"/>
        <w:rPr>
          <w:b w:val="0"/>
          <w:bCs w:val="0"/>
        </w:rPr>
      </w:pPr>
      <w:bookmarkStart w:name="22、在建工程" w:id="307"/>
      <w:bookmarkEnd w:id="307"/>
      <w:r>
        <w:rPr>
          <w:b w:val="0"/>
          <w:bCs w:val="0"/>
        </w:rPr>
      </w:r>
      <w:r>
        <w:rPr>
          <w:rFonts w:ascii="Times New Roman" w:hAnsi="Times New Roman" w:cs="Times New Roman" w:eastAsia="Times New Roman" w:hint="default"/>
        </w:rPr>
        <w:t>22</w:t>
      </w:r>
      <w:r>
        <w:rPr/>
        <w:t>、在建工程</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1）在建工程情况" w:id="308"/>
      <w:bookmarkEnd w:id="308"/>
      <w:r>
        <w:rPr>
          <w:b w:val="0"/>
          <w:bCs w:val="0"/>
        </w:rPr>
      </w:r>
      <w:r>
        <w:rPr/>
        <w:t>（</w:t>
      </w:r>
      <w:r>
        <w:rPr>
          <w:rFonts w:ascii="Times New Roman" w:hAnsi="Times New Roman" w:cs="Times New Roman" w:eastAsia="Times New Roman" w:hint="default"/>
        </w:rPr>
        <w:t>1</w:t>
      </w:r>
      <w:r>
        <w:rPr/>
        <w:t>）在建工程情况</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369"/>
        <w:gridCol w:w="1368"/>
        <w:gridCol w:w="1369"/>
        <w:gridCol w:w="1368"/>
        <w:gridCol w:w="1364"/>
        <w:gridCol w:w="1369"/>
        <w:gridCol w:w="1369"/>
      </w:tblGrid>
      <w:tr>
        <w:trPr>
          <w:trHeight w:val="398" w:hRule="exact"/>
        </w:trPr>
        <w:tc>
          <w:tcPr>
            <w:tcW w:w="136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105"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1"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4" w:hRule="exact"/>
        </w:trPr>
        <w:tc>
          <w:tcPr>
            <w:tcW w:w="1369"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32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321"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321"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316"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322"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321"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spacing w:after="0" w:line="240" w:lineRule="auto"/>
        <w:jc w:val="left"/>
        <w:rPr>
          <w:rFonts w:ascii="宋体" w:hAnsi="宋体" w:cs="宋体" w:eastAsia="宋体" w:hint="default"/>
          <w:sz w:val="18"/>
          <w:szCs w:val="18"/>
        </w:rPr>
        <w:sectPr>
          <w:pgSz w:w="11910" w:h="16840"/>
          <w:pgMar w:header="784" w:footer="1022" w:top="1100" w:bottom="1220" w:left="980" w:right="0"/>
        </w:sectPr>
      </w:pPr>
    </w:p>
    <w:p>
      <w:pPr>
        <w:spacing w:line="240" w:lineRule="auto" w:before="13"/>
        <w:rPr>
          <w:rFonts w:ascii="宋体" w:hAnsi="宋体" w:cs="宋体" w:eastAsia="宋体" w:hint="default"/>
          <w:sz w:val="21"/>
          <w:szCs w:val="21"/>
        </w:rPr>
      </w:pPr>
    </w:p>
    <w:p>
      <w:pPr>
        <w:pStyle w:val="Heading4"/>
        <w:spacing w:line="240" w:lineRule="auto" w:before="36"/>
        <w:ind w:right="0"/>
        <w:jc w:val="left"/>
        <w:rPr>
          <w:b w:val="0"/>
          <w:bCs w:val="0"/>
        </w:rPr>
      </w:pPr>
      <w:bookmarkStart w:name="（2）重要在建工程项目本期变动情况" w:id="309"/>
      <w:bookmarkEnd w:id="309"/>
      <w:r>
        <w:rPr>
          <w:b w:val="0"/>
          <w:bCs w:val="0"/>
        </w:rPr>
      </w:r>
      <w:r>
        <w:rPr/>
        <w:t>（</w:t>
      </w:r>
      <w:r>
        <w:rPr>
          <w:rFonts w:ascii="Times New Roman" w:hAnsi="Times New Roman" w:cs="Times New Roman" w:eastAsia="Times New Roman" w:hint="default"/>
        </w:rPr>
        <w:t>2</w:t>
      </w:r>
      <w:r>
        <w:rPr/>
        <w:t>）重要在建工程项目本期变动情况</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734"/>
        <w:gridCol w:w="735"/>
        <w:gridCol w:w="735"/>
        <w:gridCol w:w="739"/>
        <w:gridCol w:w="735"/>
        <w:gridCol w:w="734"/>
        <w:gridCol w:w="740"/>
        <w:gridCol w:w="735"/>
        <w:gridCol w:w="734"/>
        <w:gridCol w:w="740"/>
        <w:gridCol w:w="734"/>
        <w:gridCol w:w="735"/>
        <w:gridCol w:w="739"/>
      </w:tblGrid>
      <w:tr>
        <w:trPr>
          <w:trHeight w:val="1964" w:hRule="exact"/>
        </w:trPr>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321" w:lineRule="auto"/>
              <w:ind w:left="182" w:right="175"/>
              <w:jc w:val="left"/>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pacing w:val="-86"/>
                <w:sz w:val="18"/>
                <w:szCs w:val="18"/>
              </w:rPr>
              <w:t> </w:t>
            </w:r>
            <w:r>
              <w:rPr>
                <w:rFonts w:ascii="宋体" w:hAnsi="宋体" w:cs="宋体" w:eastAsia="宋体" w:hint="default"/>
                <w:sz w:val="18"/>
                <w:szCs w:val="18"/>
              </w:rPr>
              <w:t>名称</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321" w:lineRule="auto"/>
              <w:ind w:left="269" w:right="180" w:hanging="92"/>
              <w:jc w:val="left"/>
              <w:rPr>
                <w:rFonts w:ascii="宋体" w:hAnsi="宋体" w:cs="宋体" w:eastAsia="宋体" w:hint="default"/>
                <w:sz w:val="18"/>
                <w:szCs w:val="18"/>
              </w:rPr>
            </w:pPr>
            <w:r>
              <w:rPr>
                <w:rFonts w:ascii="宋体" w:hAnsi="宋体" w:cs="宋体" w:eastAsia="宋体" w:hint="default"/>
                <w:sz w:val="18"/>
                <w:szCs w:val="18"/>
              </w:rPr>
              <w:t>预算</w:t>
            </w:r>
            <w:r>
              <w:rPr>
                <w:rFonts w:ascii="宋体" w:hAnsi="宋体" w:cs="宋体" w:eastAsia="宋体" w:hint="default"/>
                <w:spacing w:val="-86"/>
                <w:sz w:val="18"/>
                <w:szCs w:val="18"/>
              </w:rPr>
              <w:t> </w:t>
            </w:r>
            <w:r>
              <w:rPr>
                <w:rFonts w:ascii="宋体" w:hAnsi="宋体" w:cs="宋体" w:eastAsia="宋体" w:hint="default"/>
                <w:sz w:val="18"/>
                <w:szCs w:val="18"/>
              </w:rPr>
              <w:t>数</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321" w:lineRule="auto"/>
              <w:ind w:left="182" w:right="177"/>
              <w:jc w:val="left"/>
              <w:rPr>
                <w:rFonts w:ascii="宋体" w:hAnsi="宋体" w:cs="宋体" w:eastAsia="宋体" w:hint="default"/>
                <w:sz w:val="18"/>
                <w:szCs w:val="18"/>
              </w:rPr>
            </w:pPr>
            <w:r>
              <w:rPr>
                <w:rFonts w:ascii="宋体" w:hAnsi="宋体" w:cs="宋体" w:eastAsia="宋体" w:hint="default"/>
                <w:sz w:val="18"/>
                <w:szCs w:val="18"/>
              </w:rPr>
              <w:t>期初</w:t>
            </w:r>
            <w:r>
              <w:rPr>
                <w:rFonts w:ascii="宋体" w:hAnsi="宋体" w:cs="宋体" w:eastAsia="宋体" w:hint="default"/>
                <w:spacing w:val="-86"/>
                <w:sz w:val="18"/>
                <w:szCs w:val="18"/>
              </w:rPr>
              <w:t> </w:t>
            </w:r>
            <w:r>
              <w:rPr>
                <w:rFonts w:ascii="宋体" w:hAnsi="宋体" w:cs="宋体" w:eastAsia="宋体" w:hint="default"/>
                <w:sz w:val="18"/>
                <w:szCs w:val="18"/>
              </w:rPr>
              <w:t>余额</w:t>
            </w:r>
          </w:p>
        </w:tc>
        <w:tc>
          <w:tcPr>
            <w:tcW w:w="7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2"/>
                <w:szCs w:val="22"/>
              </w:rPr>
            </w:pPr>
          </w:p>
          <w:p>
            <w:pPr>
              <w:pStyle w:val="TableParagraph"/>
              <w:spacing w:line="316" w:lineRule="auto"/>
              <w:ind w:left="182" w:right="180"/>
              <w:jc w:val="both"/>
              <w:rPr>
                <w:rFonts w:ascii="宋体" w:hAnsi="宋体" w:cs="宋体" w:eastAsia="宋体" w:hint="default"/>
                <w:sz w:val="18"/>
                <w:szCs w:val="18"/>
              </w:rPr>
            </w:pPr>
            <w:r>
              <w:rPr>
                <w:rFonts w:ascii="宋体" w:hAnsi="宋体" w:cs="宋体" w:eastAsia="宋体" w:hint="default"/>
                <w:sz w:val="18"/>
                <w:szCs w:val="18"/>
              </w:rPr>
              <w:t>本期</w:t>
            </w:r>
            <w:r>
              <w:rPr>
                <w:rFonts w:ascii="宋体" w:hAnsi="宋体" w:cs="宋体" w:eastAsia="宋体" w:hint="default"/>
                <w:spacing w:val="-86"/>
                <w:sz w:val="18"/>
                <w:szCs w:val="18"/>
              </w:rPr>
              <w:t> </w:t>
            </w:r>
            <w:r>
              <w:rPr>
                <w:rFonts w:ascii="宋体" w:hAnsi="宋体" w:cs="宋体" w:eastAsia="宋体" w:hint="default"/>
                <w:sz w:val="18"/>
                <w:szCs w:val="18"/>
              </w:rPr>
              <w:t>增加</w:t>
            </w:r>
            <w:r>
              <w:rPr>
                <w:rFonts w:ascii="宋体" w:hAnsi="宋体" w:cs="宋体" w:eastAsia="宋体" w:hint="default"/>
                <w:spacing w:val="-86"/>
                <w:sz w:val="18"/>
                <w:szCs w:val="18"/>
              </w:rPr>
              <w:t> </w:t>
            </w:r>
            <w:r>
              <w:rPr>
                <w:rFonts w:ascii="宋体" w:hAnsi="宋体" w:cs="宋体" w:eastAsia="宋体" w:hint="default"/>
                <w:sz w:val="18"/>
                <w:szCs w:val="18"/>
              </w:rPr>
              <w:t>金额</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16" w:lineRule="auto"/>
              <w:ind w:left="177" w:right="180"/>
              <w:jc w:val="both"/>
              <w:rPr>
                <w:rFonts w:ascii="宋体" w:hAnsi="宋体" w:cs="宋体" w:eastAsia="宋体" w:hint="default"/>
                <w:sz w:val="18"/>
                <w:szCs w:val="18"/>
              </w:rPr>
            </w:pPr>
            <w:r>
              <w:rPr>
                <w:rFonts w:ascii="宋体" w:hAnsi="宋体" w:cs="宋体" w:eastAsia="宋体" w:hint="default"/>
                <w:sz w:val="18"/>
                <w:szCs w:val="18"/>
              </w:rPr>
              <w:t>本期</w:t>
            </w:r>
            <w:r>
              <w:rPr>
                <w:rFonts w:ascii="宋体" w:hAnsi="宋体" w:cs="宋体" w:eastAsia="宋体" w:hint="default"/>
                <w:spacing w:val="-86"/>
                <w:sz w:val="18"/>
                <w:szCs w:val="18"/>
              </w:rPr>
              <w:t> </w:t>
            </w:r>
            <w:r>
              <w:rPr>
                <w:rFonts w:ascii="宋体" w:hAnsi="宋体" w:cs="宋体" w:eastAsia="宋体" w:hint="default"/>
                <w:sz w:val="18"/>
                <w:szCs w:val="18"/>
              </w:rPr>
              <w:t>转入</w:t>
            </w:r>
            <w:r>
              <w:rPr>
                <w:rFonts w:ascii="宋体" w:hAnsi="宋体" w:cs="宋体" w:eastAsia="宋体" w:hint="default"/>
                <w:spacing w:val="-86"/>
                <w:sz w:val="18"/>
                <w:szCs w:val="18"/>
              </w:rPr>
              <w:t> </w:t>
            </w:r>
            <w:r>
              <w:rPr>
                <w:rFonts w:ascii="宋体" w:hAnsi="宋体" w:cs="宋体" w:eastAsia="宋体" w:hint="default"/>
                <w:sz w:val="18"/>
                <w:szCs w:val="18"/>
              </w:rPr>
              <w:t>固定</w:t>
            </w:r>
            <w:r>
              <w:rPr>
                <w:rFonts w:ascii="宋体" w:hAnsi="宋体" w:cs="宋体" w:eastAsia="宋体" w:hint="default"/>
                <w:spacing w:val="-86"/>
                <w:sz w:val="18"/>
                <w:szCs w:val="18"/>
              </w:rPr>
              <w:t> </w:t>
            </w:r>
            <w:r>
              <w:rPr>
                <w:rFonts w:ascii="宋体" w:hAnsi="宋体" w:cs="宋体" w:eastAsia="宋体" w:hint="default"/>
                <w:sz w:val="18"/>
                <w:szCs w:val="18"/>
              </w:rPr>
              <w:t>资产</w:t>
            </w:r>
            <w:r>
              <w:rPr>
                <w:rFonts w:ascii="宋体" w:hAnsi="宋体" w:cs="宋体" w:eastAsia="宋体" w:hint="default"/>
                <w:spacing w:val="-86"/>
                <w:sz w:val="18"/>
                <w:szCs w:val="18"/>
              </w:rPr>
              <w:t> </w:t>
            </w:r>
            <w:r>
              <w:rPr>
                <w:rFonts w:ascii="宋体" w:hAnsi="宋体" w:cs="宋体" w:eastAsia="宋体" w:hint="default"/>
                <w:sz w:val="18"/>
                <w:szCs w:val="18"/>
              </w:rPr>
              <w:t>金额</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30"/>
              <w:ind w:left="182" w:right="175"/>
              <w:jc w:val="both"/>
              <w:rPr>
                <w:rFonts w:ascii="宋体" w:hAnsi="宋体" w:cs="宋体" w:eastAsia="宋体" w:hint="default"/>
                <w:sz w:val="18"/>
                <w:szCs w:val="18"/>
              </w:rPr>
            </w:pPr>
            <w:r>
              <w:rPr>
                <w:rFonts w:ascii="宋体" w:hAnsi="宋体" w:cs="宋体" w:eastAsia="宋体" w:hint="default"/>
                <w:sz w:val="18"/>
                <w:szCs w:val="18"/>
              </w:rPr>
              <w:t>本期</w:t>
            </w:r>
            <w:r>
              <w:rPr>
                <w:rFonts w:ascii="宋体" w:hAnsi="宋体" w:cs="宋体" w:eastAsia="宋体" w:hint="default"/>
                <w:spacing w:val="-86"/>
                <w:sz w:val="18"/>
                <w:szCs w:val="18"/>
              </w:rPr>
              <w:t> </w:t>
            </w:r>
            <w:r>
              <w:rPr>
                <w:rFonts w:ascii="宋体" w:hAnsi="宋体" w:cs="宋体" w:eastAsia="宋体" w:hint="default"/>
                <w:sz w:val="18"/>
                <w:szCs w:val="18"/>
              </w:rPr>
              <w:t>其他</w:t>
            </w:r>
            <w:r>
              <w:rPr>
                <w:rFonts w:ascii="宋体" w:hAnsi="宋体" w:cs="宋体" w:eastAsia="宋体" w:hint="default"/>
                <w:spacing w:val="-86"/>
                <w:sz w:val="18"/>
                <w:szCs w:val="18"/>
              </w:rPr>
              <w:t> </w:t>
            </w:r>
            <w:r>
              <w:rPr>
                <w:rFonts w:ascii="宋体" w:hAnsi="宋体" w:cs="宋体" w:eastAsia="宋体" w:hint="default"/>
                <w:sz w:val="18"/>
                <w:szCs w:val="18"/>
              </w:rPr>
              <w:t>减少</w:t>
            </w:r>
            <w:r>
              <w:rPr>
                <w:rFonts w:ascii="宋体" w:hAnsi="宋体" w:cs="宋体" w:eastAsia="宋体" w:hint="default"/>
                <w:spacing w:val="-86"/>
                <w:sz w:val="18"/>
                <w:szCs w:val="18"/>
              </w:rPr>
              <w:t> </w:t>
            </w:r>
            <w:r>
              <w:rPr>
                <w:rFonts w:ascii="宋体" w:hAnsi="宋体" w:cs="宋体" w:eastAsia="宋体" w:hint="default"/>
                <w:sz w:val="18"/>
                <w:szCs w:val="18"/>
              </w:rPr>
              <w:t>金额</w:t>
            </w:r>
          </w:p>
        </w:tc>
        <w:tc>
          <w:tcPr>
            <w:tcW w:w="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321" w:lineRule="auto"/>
              <w:ind w:left="182" w:right="180"/>
              <w:jc w:val="left"/>
              <w:rPr>
                <w:rFonts w:ascii="宋体" w:hAnsi="宋体" w:cs="宋体" w:eastAsia="宋体" w:hint="default"/>
                <w:sz w:val="18"/>
                <w:szCs w:val="18"/>
              </w:rPr>
            </w:pPr>
            <w:r>
              <w:rPr>
                <w:rFonts w:ascii="宋体" w:hAnsi="宋体" w:cs="宋体" w:eastAsia="宋体" w:hint="default"/>
                <w:sz w:val="18"/>
                <w:szCs w:val="18"/>
              </w:rPr>
              <w:t>期末</w:t>
            </w:r>
            <w:r>
              <w:rPr>
                <w:rFonts w:ascii="宋体" w:hAnsi="宋体" w:cs="宋体" w:eastAsia="宋体" w:hint="default"/>
                <w:spacing w:val="-86"/>
                <w:sz w:val="18"/>
                <w:szCs w:val="18"/>
              </w:rPr>
              <w:t> </w:t>
            </w:r>
            <w:r>
              <w:rPr>
                <w:rFonts w:ascii="宋体" w:hAnsi="宋体" w:cs="宋体" w:eastAsia="宋体" w:hint="default"/>
                <w:sz w:val="18"/>
                <w:szCs w:val="18"/>
              </w:rPr>
              <w:t>余额</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4"/>
              <w:ind w:left="177" w:right="180"/>
              <w:jc w:val="both"/>
              <w:rPr>
                <w:rFonts w:ascii="宋体" w:hAnsi="宋体" w:cs="宋体" w:eastAsia="宋体" w:hint="default"/>
                <w:sz w:val="18"/>
                <w:szCs w:val="18"/>
              </w:rPr>
            </w:pPr>
            <w:r>
              <w:rPr>
                <w:rFonts w:ascii="宋体" w:hAnsi="宋体" w:cs="宋体" w:eastAsia="宋体" w:hint="default"/>
                <w:sz w:val="18"/>
                <w:szCs w:val="18"/>
              </w:rPr>
              <w:t>工程</w:t>
            </w:r>
            <w:r>
              <w:rPr>
                <w:rFonts w:ascii="宋体" w:hAnsi="宋体" w:cs="宋体" w:eastAsia="宋体" w:hint="default"/>
                <w:spacing w:val="-86"/>
                <w:sz w:val="18"/>
                <w:szCs w:val="18"/>
              </w:rPr>
              <w:t> </w:t>
            </w:r>
            <w:r>
              <w:rPr>
                <w:rFonts w:ascii="宋体" w:hAnsi="宋体" w:cs="宋体" w:eastAsia="宋体" w:hint="default"/>
                <w:sz w:val="18"/>
                <w:szCs w:val="18"/>
              </w:rPr>
              <w:t>累计</w:t>
            </w:r>
            <w:r>
              <w:rPr>
                <w:rFonts w:ascii="宋体" w:hAnsi="宋体" w:cs="宋体" w:eastAsia="宋体" w:hint="default"/>
                <w:spacing w:val="-86"/>
                <w:sz w:val="18"/>
                <w:szCs w:val="18"/>
              </w:rPr>
              <w:t> </w:t>
            </w:r>
            <w:r>
              <w:rPr>
                <w:rFonts w:ascii="宋体" w:hAnsi="宋体" w:cs="宋体" w:eastAsia="宋体" w:hint="default"/>
                <w:sz w:val="18"/>
                <w:szCs w:val="18"/>
              </w:rPr>
              <w:t>投入</w:t>
            </w:r>
            <w:r>
              <w:rPr>
                <w:rFonts w:ascii="宋体" w:hAnsi="宋体" w:cs="宋体" w:eastAsia="宋体" w:hint="default"/>
                <w:spacing w:val="-86"/>
                <w:sz w:val="18"/>
                <w:szCs w:val="18"/>
              </w:rPr>
              <w:t> </w:t>
            </w:r>
            <w:r>
              <w:rPr>
                <w:rFonts w:ascii="宋体" w:hAnsi="宋体" w:cs="宋体" w:eastAsia="宋体" w:hint="default"/>
                <w:sz w:val="18"/>
                <w:szCs w:val="18"/>
              </w:rPr>
              <w:t>占预</w:t>
            </w:r>
            <w:r>
              <w:rPr>
                <w:rFonts w:ascii="宋体" w:hAnsi="宋体" w:cs="宋体" w:eastAsia="宋体" w:hint="default"/>
                <w:spacing w:val="-86"/>
                <w:sz w:val="18"/>
                <w:szCs w:val="18"/>
              </w:rPr>
              <w:t> </w:t>
            </w:r>
            <w:r>
              <w:rPr>
                <w:rFonts w:ascii="宋体" w:hAnsi="宋体" w:cs="宋体" w:eastAsia="宋体" w:hint="default"/>
                <w:sz w:val="18"/>
                <w:szCs w:val="18"/>
              </w:rPr>
              <w:t>算比</w:t>
            </w:r>
            <w:r>
              <w:rPr>
                <w:rFonts w:ascii="宋体" w:hAnsi="宋体" w:cs="宋体" w:eastAsia="宋体" w:hint="default"/>
                <w:spacing w:val="-86"/>
                <w:sz w:val="18"/>
                <w:szCs w:val="18"/>
              </w:rPr>
              <w:t> </w:t>
            </w:r>
            <w:r>
              <w:rPr>
                <w:rFonts w:ascii="宋体" w:hAnsi="宋体" w:cs="宋体" w:eastAsia="宋体" w:hint="default"/>
                <w:sz w:val="18"/>
                <w:szCs w:val="18"/>
              </w:rPr>
              <w:t>例</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321" w:lineRule="auto"/>
              <w:ind w:left="182" w:right="175"/>
              <w:jc w:val="left"/>
              <w:rPr>
                <w:rFonts w:ascii="宋体" w:hAnsi="宋体" w:cs="宋体" w:eastAsia="宋体" w:hint="default"/>
                <w:sz w:val="18"/>
                <w:szCs w:val="18"/>
              </w:rPr>
            </w:pPr>
            <w:r>
              <w:rPr>
                <w:rFonts w:ascii="宋体" w:hAnsi="宋体" w:cs="宋体" w:eastAsia="宋体" w:hint="default"/>
                <w:sz w:val="18"/>
                <w:szCs w:val="18"/>
              </w:rPr>
              <w:t>工程</w:t>
            </w:r>
            <w:r>
              <w:rPr>
                <w:rFonts w:ascii="宋体" w:hAnsi="宋体" w:cs="宋体" w:eastAsia="宋体" w:hint="default"/>
                <w:spacing w:val="-86"/>
                <w:sz w:val="18"/>
                <w:szCs w:val="18"/>
              </w:rPr>
              <w:t> </w:t>
            </w:r>
            <w:r>
              <w:rPr>
                <w:rFonts w:ascii="宋体" w:hAnsi="宋体" w:cs="宋体" w:eastAsia="宋体" w:hint="default"/>
                <w:sz w:val="18"/>
                <w:szCs w:val="18"/>
              </w:rPr>
              <w:t>进度</w:t>
            </w:r>
          </w:p>
        </w:tc>
        <w:tc>
          <w:tcPr>
            <w:tcW w:w="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16" w:lineRule="auto"/>
              <w:ind w:left="182" w:right="182"/>
              <w:jc w:val="both"/>
              <w:rPr>
                <w:rFonts w:ascii="宋体" w:hAnsi="宋体" w:cs="宋体" w:eastAsia="宋体" w:hint="default"/>
                <w:sz w:val="18"/>
                <w:szCs w:val="18"/>
              </w:rPr>
            </w:pPr>
            <w:r>
              <w:rPr>
                <w:rFonts w:ascii="宋体" w:hAnsi="宋体" w:cs="宋体" w:eastAsia="宋体" w:hint="default"/>
                <w:sz w:val="18"/>
                <w:szCs w:val="18"/>
              </w:rPr>
              <w:t>利息</w:t>
            </w:r>
            <w:r>
              <w:rPr>
                <w:rFonts w:ascii="宋体" w:hAnsi="宋体" w:cs="宋体" w:eastAsia="宋体" w:hint="default"/>
                <w:spacing w:val="-86"/>
                <w:sz w:val="18"/>
                <w:szCs w:val="18"/>
              </w:rPr>
              <w:t> </w:t>
            </w:r>
            <w:r>
              <w:rPr>
                <w:rFonts w:ascii="宋体" w:hAnsi="宋体" w:cs="宋体" w:eastAsia="宋体" w:hint="default"/>
                <w:sz w:val="18"/>
                <w:szCs w:val="18"/>
              </w:rPr>
              <w:t>资本</w:t>
            </w:r>
            <w:r>
              <w:rPr>
                <w:rFonts w:ascii="宋体" w:hAnsi="宋体" w:cs="宋体" w:eastAsia="宋体" w:hint="default"/>
                <w:spacing w:val="-86"/>
                <w:sz w:val="18"/>
                <w:szCs w:val="18"/>
              </w:rPr>
              <w:t> </w:t>
            </w:r>
            <w:r>
              <w:rPr>
                <w:rFonts w:ascii="宋体" w:hAnsi="宋体" w:cs="宋体" w:eastAsia="宋体" w:hint="default"/>
                <w:sz w:val="18"/>
                <w:szCs w:val="18"/>
              </w:rPr>
              <w:t>化累</w:t>
            </w:r>
            <w:r>
              <w:rPr>
                <w:rFonts w:ascii="宋体" w:hAnsi="宋体" w:cs="宋体" w:eastAsia="宋体" w:hint="default"/>
                <w:spacing w:val="-86"/>
                <w:sz w:val="18"/>
                <w:szCs w:val="18"/>
              </w:rPr>
              <w:t> </w:t>
            </w:r>
            <w:r>
              <w:rPr>
                <w:rFonts w:ascii="宋体" w:hAnsi="宋体" w:cs="宋体" w:eastAsia="宋体" w:hint="default"/>
                <w:sz w:val="18"/>
                <w:szCs w:val="18"/>
              </w:rPr>
              <w:t>计金</w:t>
            </w:r>
            <w:r>
              <w:rPr>
                <w:rFonts w:ascii="宋体" w:hAnsi="宋体" w:cs="宋体" w:eastAsia="宋体" w:hint="default"/>
                <w:spacing w:val="-86"/>
                <w:sz w:val="18"/>
                <w:szCs w:val="18"/>
              </w:rPr>
              <w:t> </w:t>
            </w:r>
            <w:r>
              <w:rPr>
                <w:rFonts w:ascii="宋体" w:hAnsi="宋体" w:cs="宋体" w:eastAsia="宋体" w:hint="default"/>
                <w:sz w:val="18"/>
                <w:szCs w:val="18"/>
              </w:rPr>
              <w:t>额</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4"/>
              <w:ind w:left="100" w:right="79"/>
              <w:jc w:val="center"/>
              <w:rPr>
                <w:rFonts w:ascii="宋体" w:hAnsi="宋体" w:cs="宋体" w:eastAsia="宋体" w:hint="default"/>
                <w:sz w:val="18"/>
                <w:szCs w:val="18"/>
              </w:rPr>
            </w:pPr>
            <w:r>
              <w:rPr>
                <w:rFonts w:ascii="宋体" w:hAnsi="宋体" w:cs="宋体" w:eastAsia="宋体" w:hint="default"/>
                <w:spacing w:val="-2"/>
                <w:sz w:val="18"/>
                <w:szCs w:val="18"/>
              </w:rPr>
              <w:t>其中：</w:t>
            </w:r>
            <w:r>
              <w:rPr>
                <w:rFonts w:ascii="宋体" w:hAnsi="宋体" w:cs="宋体" w:eastAsia="宋体" w:hint="default"/>
                <w:w w:val="101"/>
                <w:sz w:val="18"/>
                <w:szCs w:val="18"/>
              </w:rPr>
              <w:t> </w:t>
            </w:r>
            <w:r>
              <w:rPr>
                <w:rFonts w:ascii="宋体" w:hAnsi="宋体" w:cs="宋体" w:eastAsia="宋体" w:hint="default"/>
                <w:sz w:val="18"/>
                <w:szCs w:val="18"/>
              </w:rPr>
              <w:t>本期</w:t>
            </w:r>
            <w:r>
              <w:rPr>
                <w:rFonts w:ascii="宋体" w:hAnsi="宋体" w:cs="宋体" w:eastAsia="宋体" w:hint="default"/>
                <w:w w:val="101"/>
                <w:sz w:val="18"/>
                <w:szCs w:val="18"/>
              </w:rPr>
              <w:t> </w:t>
            </w:r>
            <w:r>
              <w:rPr>
                <w:rFonts w:ascii="宋体" w:hAnsi="宋体" w:cs="宋体" w:eastAsia="宋体" w:hint="default"/>
                <w:sz w:val="18"/>
                <w:szCs w:val="18"/>
              </w:rPr>
              <w:t>利息</w:t>
            </w:r>
            <w:r>
              <w:rPr>
                <w:rFonts w:ascii="宋体" w:hAnsi="宋体" w:cs="宋体" w:eastAsia="宋体" w:hint="default"/>
                <w:w w:val="101"/>
                <w:sz w:val="18"/>
                <w:szCs w:val="18"/>
              </w:rPr>
              <w:t> </w:t>
            </w:r>
            <w:r>
              <w:rPr>
                <w:rFonts w:ascii="宋体" w:hAnsi="宋体" w:cs="宋体" w:eastAsia="宋体" w:hint="default"/>
                <w:sz w:val="18"/>
                <w:szCs w:val="18"/>
              </w:rPr>
              <w:t>资本</w:t>
            </w:r>
            <w:r>
              <w:rPr>
                <w:rFonts w:ascii="宋体" w:hAnsi="宋体" w:cs="宋体" w:eastAsia="宋体" w:hint="default"/>
                <w:w w:val="101"/>
                <w:sz w:val="18"/>
                <w:szCs w:val="18"/>
              </w:rPr>
              <w:t> </w:t>
            </w:r>
            <w:r>
              <w:rPr>
                <w:rFonts w:ascii="宋体" w:hAnsi="宋体" w:cs="宋体" w:eastAsia="宋体" w:hint="default"/>
                <w:sz w:val="18"/>
                <w:szCs w:val="18"/>
              </w:rPr>
              <w:t>化金</w:t>
            </w:r>
            <w:r>
              <w:rPr>
                <w:rFonts w:ascii="宋体" w:hAnsi="宋体" w:cs="宋体" w:eastAsia="宋体" w:hint="default"/>
                <w:w w:val="101"/>
                <w:sz w:val="18"/>
                <w:szCs w:val="18"/>
              </w:rPr>
              <w:t> </w:t>
            </w:r>
            <w:r>
              <w:rPr>
                <w:rFonts w:ascii="宋体" w:hAnsi="宋体" w:cs="宋体" w:eastAsia="宋体" w:hint="default"/>
                <w:sz w:val="18"/>
                <w:szCs w:val="18"/>
              </w:rPr>
              <w:t>额</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30"/>
              <w:ind w:left="182" w:right="177"/>
              <w:jc w:val="both"/>
              <w:rPr>
                <w:rFonts w:ascii="宋体" w:hAnsi="宋体" w:cs="宋体" w:eastAsia="宋体" w:hint="default"/>
                <w:sz w:val="18"/>
                <w:szCs w:val="18"/>
              </w:rPr>
            </w:pPr>
            <w:r>
              <w:rPr>
                <w:rFonts w:ascii="宋体" w:hAnsi="宋体" w:cs="宋体" w:eastAsia="宋体" w:hint="default"/>
                <w:sz w:val="18"/>
                <w:szCs w:val="18"/>
              </w:rPr>
              <w:t>本期</w:t>
            </w:r>
            <w:r>
              <w:rPr>
                <w:rFonts w:ascii="宋体" w:hAnsi="宋体" w:cs="宋体" w:eastAsia="宋体" w:hint="default"/>
                <w:spacing w:val="-86"/>
                <w:sz w:val="18"/>
                <w:szCs w:val="18"/>
              </w:rPr>
              <w:t> </w:t>
            </w:r>
            <w:r>
              <w:rPr>
                <w:rFonts w:ascii="宋体" w:hAnsi="宋体" w:cs="宋体" w:eastAsia="宋体" w:hint="default"/>
                <w:sz w:val="18"/>
                <w:szCs w:val="18"/>
              </w:rPr>
              <w:t>利息</w:t>
            </w:r>
            <w:r>
              <w:rPr>
                <w:rFonts w:ascii="宋体" w:hAnsi="宋体" w:cs="宋体" w:eastAsia="宋体" w:hint="default"/>
                <w:spacing w:val="-86"/>
                <w:sz w:val="18"/>
                <w:szCs w:val="18"/>
              </w:rPr>
              <w:t> </w:t>
            </w:r>
            <w:r>
              <w:rPr>
                <w:rFonts w:ascii="宋体" w:hAnsi="宋体" w:cs="宋体" w:eastAsia="宋体" w:hint="default"/>
                <w:sz w:val="18"/>
                <w:szCs w:val="18"/>
              </w:rPr>
              <w:t>资本</w:t>
            </w:r>
            <w:r>
              <w:rPr>
                <w:rFonts w:ascii="宋体" w:hAnsi="宋体" w:cs="宋体" w:eastAsia="宋体" w:hint="default"/>
                <w:spacing w:val="-86"/>
                <w:sz w:val="18"/>
                <w:szCs w:val="18"/>
              </w:rPr>
              <w:t> </w:t>
            </w:r>
            <w:r>
              <w:rPr>
                <w:rFonts w:ascii="宋体" w:hAnsi="宋体" w:cs="宋体" w:eastAsia="宋体" w:hint="default"/>
                <w:sz w:val="18"/>
                <w:szCs w:val="18"/>
              </w:rPr>
              <w:t>化率</w:t>
            </w:r>
          </w:p>
        </w:tc>
        <w:tc>
          <w:tcPr>
            <w:tcW w:w="7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321" w:lineRule="auto"/>
              <w:ind w:left="182" w:right="180"/>
              <w:jc w:val="left"/>
              <w:rPr>
                <w:rFonts w:ascii="宋体" w:hAnsi="宋体" w:cs="宋体" w:eastAsia="宋体" w:hint="default"/>
                <w:sz w:val="18"/>
                <w:szCs w:val="18"/>
              </w:rPr>
            </w:pPr>
            <w:r>
              <w:rPr>
                <w:rFonts w:ascii="宋体" w:hAnsi="宋体" w:cs="宋体" w:eastAsia="宋体" w:hint="default"/>
                <w:sz w:val="18"/>
                <w:szCs w:val="18"/>
              </w:rPr>
              <w:t>资金</w:t>
            </w:r>
            <w:r>
              <w:rPr>
                <w:rFonts w:ascii="宋体" w:hAnsi="宋体" w:cs="宋体" w:eastAsia="宋体" w:hint="default"/>
                <w:spacing w:val="-86"/>
                <w:sz w:val="18"/>
                <w:szCs w:val="18"/>
              </w:rPr>
              <w:t> </w:t>
            </w:r>
            <w:r>
              <w:rPr>
                <w:rFonts w:ascii="宋体" w:hAnsi="宋体" w:cs="宋体" w:eastAsia="宋体" w:hint="default"/>
                <w:sz w:val="18"/>
                <w:szCs w:val="18"/>
              </w:rPr>
              <w:t>来源</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3）本期计提在建工程减值准备情况" w:id="310"/>
      <w:bookmarkEnd w:id="310"/>
      <w:r>
        <w:rPr>
          <w:b w:val="0"/>
          <w:bCs w:val="0"/>
        </w:rPr>
      </w:r>
      <w:r>
        <w:rPr/>
        <w:t>（</w:t>
      </w:r>
      <w:r>
        <w:rPr>
          <w:rFonts w:ascii="Times New Roman" w:hAnsi="Times New Roman" w:cs="Times New Roman" w:eastAsia="Times New Roman" w:hint="default"/>
        </w:rPr>
        <w:t>3</w:t>
      </w:r>
      <w:r>
        <w:rPr/>
        <w:t>）本期计提在建工程减值准备情况</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399"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1" w:right="0"/>
              <w:jc w:val="left"/>
              <w:rPr>
                <w:rFonts w:ascii="宋体" w:hAnsi="宋体" w:cs="宋体" w:eastAsia="宋体" w:hint="default"/>
                <w:sz w:val="18"/>
                <w:szCs w:val="18"/>
              </w:rPr>
            </w:pPr>
            <w:r>
              <w:rPr>
                <w:rFonts w:ascii="宋体" w:hAnsi="宋体" w:cs="宋体" w:eastAsia="宋体" w:hint="default"/>
                <w:sz w:val="18"/>
                <w:szCs w:val="18"/>
              </w:rPr>
              <w:t>本期计提金额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9" w:right="0"/>
              <w:jc w:val="center"/>
              <w:rPr>
                <w:rFonts w:ascii="宋体" w:hAnsi="宋体" w:cs="宋体" w:eastAsia="宋体" w:hint="default"/>
                <w:sz w:val="18"/>
                <w:szCs w:val="18"/>
              </w:rPr>
            </w:pPr>
            <w:r>
              <w:rPr>
                <w:rFonts w:ascii="宋体" w:hAnsi="宋体" w:cs="宋体" w:eastAsia="宋体" w:hint="default"/>
                <w:sz w:val="18"/>
                <w:szCs w:val="18"/>
              </w:rPr>
              <w:t>计提原因</w:t>
            </w:r>
          </w:p>
        </w:tc>
      </w:tr>
    </w:tbl>
    <w:p>
      <w:pPr>
        <w:pStyle w:val="BodyText"/>
        <w:spacing w:line="357" w:lineRule="auto" w:before="53"/>
        <w:ind w:right="10031"/>
        <w:jc w:val="left"/>
      </w:pPr>
      <w:r>
        <w:rPr/>
        <w:t>其他说明</w:t>
      </w:r>
      <w:r>
        <w:rPr>
          <w:spacing w:val="-86"/>
        </w:rPr>
        <w:t> </w:t>
      </w:r>
      <w:r>
        <w:rPr>
          <w:spacing w:val="-86"/>
        </w:rPr>
      </w:r>
      <w:r>
        <w:rPr/>
        <w:t>无。</w:t>
      </w:r>
    </w:p>
    <w:p>
      <w:pPr>
        <w:spacing w:line="240" w:lineRule="auto" w:before="3"/>
        <w:rPr>
          <w:rFonts w:ascii="宋体" w:hAnsi="宋体" w:cs="宋体" w:eastAsia="宋体" w:hint="default"/>
          <w:sz w:val="20"/>
          <w:szCs w:val="20"/>
        </w:rPr>
      </w:pPr>
    </w:p>
    <w:p>
      <w:pPr>
        <w:pStyle w:val="Heading4"/>
        <w:spacing w:line="240" w:lineRule="auto"/>
        <w:ind w:right="0"/>
        <w:jc w:val="left"/>
        <w:rPr>
          <w:b w:val="0"/>
          <w:bCs w:val="0"/>
        </w:rPr>
      </w:pPr>
      <w:bookmarkStart w:name="（4）工程物资" w:id="311"/>
      <w:bookmarkEnd w:id="311"/>
      <w:r>
        <w:rPr>
          <w:b w:val="0"/>
          <w:bCs w:val="0"/>
        </w:rPr>
      </w:r>
      <w:r>
        <w:rPr/>
        <w:t>（</w:t>
      </w:r>
      <w:r>
        <w:rPr>
          <w:rFonts w:ascii="Times New Roman" w:hAnsi="Times New Roman" w:cs="Times New Roman" w:eastAsia="Times New Roman" w:hint="default"/>
        </w:rPr>
        <w:t>4</w:t>
      </w:r>
      <w:r>
        <w:rPr/>
        <w:t>）工程物资</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132"/>
        <w:gridCol w:w="1330"/>
        <w:gridCol w:w="1330"/>
        <w:gridCol w:w="1196"/>
        <w:gridCol w:w="1196"/>
        <w:gridCol w:w="1196"/>
        <w:gridCol w:w="1193"/>
      </w:tblGrid>
      <w:tr>
        <w:trPr>
          <w:trHeight w:val="398" w:hRule="exact"/>
        </w:trPr>
        <w:tc>
          <w:tcPr>
            <w:tcW w:w="213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56"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584"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2132" w:type="dxa"/>
            <w:vMerge/>
            <w:tcBorders>
              <w:left w:val="single" w:sz="4" w:space="0" w:color="000000"/>
              <w:bottom w:val="single" w:sz="4" w:space="0" w:color="000000"/>
              <w:right w:val="single" w:sz="4" w:space="0" w:color="000000"/>
            </w:tcBorders>
            <w:shd w:val="clear" w:color="auto" w:fill="D2D2D2"/>
          </w:tcPr>
          <w:p>
            <w:pPr/>
          </w:p>
        </w:tc>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0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02"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30"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3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35"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30"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pStyle w:val="BodyText"/>
        <w:spacing w:line="357" w:lineRule="auto" w:before="53"/>
        <w:ind w:right="9861"/>
        <w:jc w:val="left"/>
      </w:pPr>
      <w:r>
        <w:rPr>
          <w:spacing w:val="-2"/>
        </w:rPr>
        <w:t>其他说明：</w:t>
      </w:r>
      <w:r>
        <w:rPr>
          <w:spacing w:val="-78"/>
        </w:rPr>
        <w:t> </w:t>
      </w:r>
      <w:r>
        <w:rPr>
          <w:spacing w:val="-78"/>
        </w:rPr>
      </w:r>
      <w:r>
        <w:rPr/>
        <w:t>无。</w:t>
      </w:r>
    </w:p>
    <w:p>
      <w:pPr>
        <w:spacing w:line="240" w:lineRule="auto" w:before="3"/>
        <w:rPr>
          <w:rFonts w:ascii="宋体" w:hAnsi="宋体" w:cs="宋体" w:eastAsia="宋体" w:hint="default"/>
          <w:sz w:val="20"/>
          <w:szCs w:val="20"/>
        </w:rPr>
      </w:pPr>
    </w:p>
    <w:p>
      <w:pPr>
        <w:pStyle w:val="Heading4"/>
        <w:spacing w:line="240" w:lineRule="auto"/>
        <w:ind w:right="0"/>
        <w:jc w:val="left"/>
        <w:rPr>
          <w:b w:val="0"/>
          <w:bCs w:val="0"/>
        </w:rPr>
      </w:pPr>
      <w:bookmarkStart w:name="23、生产性生物资产" w:id="312"/>
      <w:bookmarkEnd w:id="312"/>
      <w:r>
        <w:rPr>
          <w:b w:val="0"/>
          <w:bCs w:val="0"/>
        </w:rPr>
      </w:r>
      <w:r>
        <w:rPr>
          <w:rFonts w:ascii="Times New Roman" w:hAnsi="Times New Roman" w:cs="Times New Roman" w:eastAsia="Times New Roman" w:hint="default"/>
        </w:rPr>
        <w:t>23</w:t>
      </w:r>
      <w:r>
        <w:rPr/>
        <w:t>、生产性生物资产</w:t>
      </w:r>
      <w:r>
        <w:rPr>
          <w:b w:val="0"/>
          <w:bCs w:val="0"/>
        </w:rPr>
      </w:r>
    </w:p>
    <w:p>
      <w:pPr>
        <w:spacing w:line="240" w:lineRule="auto" w:before="5"/>
        <w:rPr>
          <w:rFonts w:ascii="宋体" w:hAnsi="宋体" w:cs="宋体" w:eastAsia="宋体" w:hint="default"/>
          <w:b/>
          <w:bCs/>
          <w:sz w:val="24"/>
          <w:szCs w:val="24"/>
        </w:rPr>
      </w:pPr>
    </w:p>
    <w:p>
      <w:pPr>
        <w:pStyle w:val="Heading4"/>
        <w:spacing w:line="240" w:lineRule="auto"/>
        <w:ind w:right="0"/>
        <w:jc w:val="left"/>
        <w:rPr>
          <w:b w:val="0"/>
          <w:bCs w:val="0"/>
        </w:rPr>
      </w:pPr>
      <w:bookmarkStart w:name="（1）采用成本计量模式的生产性生物资产" w:id="313"/>
      <w:bookmarkEnd w:id="313"/>
      <w:r>
        <w:rPr>
          <w:b w:val="0"/>
          <w:bCs w:val="0"/>
        </w:rPr>
      </w:r>
      <w:r>
        <w:rPr/>
        <w:t>（</w:t>
      </w:r>
      <w:r>
        <w:rPr>
          <w:rFonts w:ascii="Times New Roman" w:hAnsi="Times New Roman" w:cs="Times New Roman" w:eastAsia="Times New Roman" w:hint="default"/>
        </w:rPr>
        <w:t>1</w:t>
      </w:r>
      <w:r>
        <w:rPr/>
        <w:t>）采用成本计量模式的生产性生物资产</w:t>
      </w:r>
      <w:r>
        <w:rPr>
          <w:b w:val="0"/>
          <w:bCs w:val="0"/>
        </w:rPr>
      </w:r>
    </w:p>
    <w:p>
      <w:pPr>
        <w:spacing w:line="240" w:lineRule="auto" w:before="1"/>
        <w:rPr>
          <w:rFonts w:ascii="宋体" w:hAnsi="宋体" w:cs="宋体" w:eastAsia="宋体" w:hint="default"/>
          <w:b/>
          <w:bCs/>
          <w:sz w:val="27"/>
          <w:szCs w:val="27"/>
        </w:rPr>
      </w:pPr>
    </w:p>
    <w:p>
      <w:pPr>
        <w:pStyle w:val="BodyText"/>
        <w:spacing w:line="240" w:lineRule="auto" w:before="0"/>
        <w:ind w:right="0"/>
        <w:jc w:val="left"/>
      </w:pPr>
      <w:r>
        <w:rPr/>
        <w:t>□ </w:t>
      </w:r>
      <w:r>
        <w:rPr>
          <w:spacing w:val="-3"/>
        </w:rPr>
        <w:t>适用 </w:t>
      </w:r>
      <w:r>
        <w:rPr/>
        <w:t>√</w:t>
      </w:r>
      <w:r>
        <w:rPr>
          <w:spacing w:val="13"/>
        </w:rPr>
        <w:t> </w:t>
      </w:r>
      <w:r>
        <w:rPr/>
        <w:t>不适用</w:t>
      </w:r>
    </w:p>
    <w:p>
      <w:pPr>
        <w:spacing w:line="240" w:lineRule="auto" w:before="4"/>
        <w:rPr>
          <w:rFonts w:ascii="宋体" w:hAnsi="宋体" w:cs="宋体" w:eastAsia="宋体" w:hint="default"/>
          <w:sz w:val="26"/>
          <w:szCs w:val="26"/>
        </w:rPr>
      </w:pPr>
    </w:p>
    <w:p>
      <w:pPr>
        <w:pStyle w:val="Heading4"/>
        <w:spacing w:line="240" w:lineRule="auto"/>
        <w:ind w:right="0"/>
        <w:jc w:val="left"/>
        <w:rPr>
          <w:b w:val="0"/>
          <w:bCs w:val="0"/>
        </w:rPr>
      </w:pPr>
      <w:bookmarkStart w:name="（2）采用公允价值计量模式的生产性生物资产" w:id="314"/>
      <w:bookmarkEnd w:id="314"/>
      <w:r>
        <w:rPr>
          <w:b w:val="0"/>
          <w:bCs w:val="0"/>
        </w:rPr>
      </w:r>
      <w:r>
        <w:rPr/>
        <w:t>（</w:t>
      </w:r>
      <w:r>
        <w:rPr>
          <w:rFonts w:ascii="Times New Roman" w:hAnsi="Times New Roman" w:cs="Times New Roman" w:eastAsia="Times New Roman" w:hint="default"/>
        </w:rPr>
        <w:t>2</w:t>
      </w:r>
      <w:r>
        <w:rPr/>
        <w:t>）采用公允价值计量模式的生产性生物资产</w:t>
      </w:r>
      <w:r>
        <w:rPr>
          <w:b w:val="0"/>
          <w:bCs w:val="0"/>
        </w:rPr>
      </w:r>
    </w:p>
    <w:p>
      <w:pPr>
        <w:spacing w:line="240" w:lineRule="auto" w:before="1"/>
        <w:rPr>
          <w:rFonts w:ascii="宋体" w:hAnsi="宋体" w:cs="宋体" w:eastAsia="宋体" w:hint="default"/>
          <w:b/>
          <w:bCs/>
          <w:sz w:val="27"/>
          <w:szCs w:val="27"/>
        </w:rPr>
      </w:pPr>
    </w:p>
    <w:p>
      <w:pPr>
        <w:pStyle w:val="BodyText"/>
        <w:spacing w:line="240" w:lineRule="auto" w:before="0"/>
        <w:ind w:right="0"/>
        <w:jc w:val="left"/>
      </w:pPr>
      <w:r>
        <w:rPr/>
        <w:t>□ </w:t>
      </w:r>
      <w:r>
        <w:rPr>
          <w:spacing w:val="-3"/>
        </w:rPr>
        <w:t>适用 </w:t>
      </w:r>
      <w:r>
        <w:rPr/>
        <w:t>√</w:t>
      </w:r>
      <w:r>
        <w:rPr>
          <w:spacing w:val="13"/>
        </w:rPr>
        <w:t> </w:t>
      </w:r>
      <w:r>
        <w:rPr/>
        <w:t>不适用</w:t>
      </w:r>
    </w:p>
    <w:p>
      <w:pPr>
        <w:spacing w:line="240" w:lineRule="auto" w:before="9"/>
        <w:rPr>
          <w:rFonts w:ascii="宋体" w:hAnsi="宋体" w:cs="宋体" w:eastAsia="宋体" w:hint="default"/>
          <w:sz w:val="26"/>
          <w:szCs w:val="26"/>
        </w:rPr>
      </w:pPr>
    </w:p>
    <w:p>
      <w:pPr>
        <w:pStyle w:val="Heading4"/>
        <w:spacing w:line="240" w:lineRule="auto"/>
        <w:ind w:right="0"/>
        <w:jc w:val="left"/>
        <w:rPr>
          <w:b w:val="0"/>
          <w:bCs w:val="0"/>
        </w:rPr>
      </w:pPr>
      <w:bookmarkStart w:name="24、油气资产" w:id="315"/>
      <w:bookmarkEnd w:id="315"/>
      <w:r>
        <w:rPr>
          <w:b w:val="0"/>
          <w:bCs w:val="0"/>
        </w:rPr>
      </w:r>
      <w:r>
        <w:rPr>
          <w:rFonts w:ascii="Times New Roman" w:hAnsi="Times New Roman" w:cs="Times New Roman" w:eastAsia="Times New Roman" w:hint="default"/>
        </w:rPr>
        <w:t>24</w:t>
      </w:r>
      <w:r>
        <w:rPr/>
        <w:t>、油气资产</w:t>
      </w:r>
      <w:r>
        <w:rPr>
          <w:b w:val="0"/>
          <w:bCs w:val="0"/>
        </w:rPr>
      </w:r>
    </w:p>
    <w:p>
      <w:pPr>
        <w:spacing w:line="240" w:lineRule="auto" w:before="9"/>
        <w:rPr>
          <w:rFonts w:ascii="宋体" w:hAnsi="宋体" w:cs="宋体" w:eastAsia="宋体" w:hint="default"/>
          <w:b/>
          <w:bCs/>
          <w:sz w:val="26"/>
          <w:szCs w:val="26"/>
        </w:rPr>
      </w:pPr>
    </w:p>
    <w:p>
      <w:pPr>
        <w:pStyle w:val="BodyText"/>
        <w:spacing w:line="240" w:lineRule="auto" w:before="0"/>
        <w:ind w:right="0"/>
        <w:jc w:val="left"/>
      </w:pPr>
      <w:r>
        <w:rPr/>
        <w:t>□ </w:t>
      </w:r>
      <w:r>
        <w:rPr>
          <w:spacing w:val="-3"/>
        </w:rPr>
        <w:t>适用 </w:t>
      </w:r>
      <w:r>
        <w:rPr/>
        <w:t>√</w:t>
      </w:r>
      <w:r>
        <w:rPr>
          <w:spacing w:val="13"/>
        </w:rPr>
        <w:t> </w:t>
      </w:r>
      <w:r>
        <w:rPr/>
        <w:t>不适用</w:t>
      </w:r>
    </w:p>
    <w:p>
      <w:pPr>
        <w:spacing w:line="240" w:lineRule="auto" w:before="9"/>
        <w:rPr>
          <w:rFonts w:ascii="宋体" w:hAnsi="宋体" w:cs="宋体" w:eastAsia="宋体" w:hint="default"/>
          <w:sz w:val="26"/>
          <w:szCs w:val="26"/>
        </w:rPr>
      </w:pPr>
    </w:p>
    <w:p>
      <w:pPr>
        <w:pStyle w:val="Heading4"/>
        <w:spacing w:line="240" w:lineRule="auto"/>
        <w:ind w:right="0"/>
        <w:jc w:val="left"/>
        <w:rPr>
          <w:b w:val="0"/>
          <w:bCs w:val="0"/>
        </w:rPr>
      </w:pPr>
      <w:bookmarkStart w:name="25、使用权资产" w:id="316"/>
      <w:bookmarkEnd w:id="316"/>
      <w:r>
        <w:rPr>
          <w:b w:val="0"/>
          <w:bCs w:val="0"/>
        </w:rPr>
      </w:r>
      <w:r>
        <w:rPr>
          <w:rFonts w:ascii="Times New Roman" w:hAnsi="Times New Roman" w:cs="Times New Roman" w:eastAsia="Times New Roman" w:hint="default"/>
        </w:rPr>
        <w:t>25</w:t>
      </w:r>
      <w:r>
        <w:rPr/>
        <w:t>、使用权资产</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after="0" w:line="240" w:lineRule="auto"/>
        <w:jc w:val="right"/>
        <w:sectPr>
          <w:pgSz w:w="11910" w:h="16840"/>
          <w:pgMar w:header="784" w:footer="1022" w:top="1100" w:bottom="1220" w:left="980" w:right="0"/>
        </w:sectPr>
      </w:pPr>
    </w:p>
    <w:p>
      <w:pPr>
        <w:spacing w:line="240" w:lineRule="auto" w:before="7"/>
        <w:rPr>
          <w:rFonts w:ascii="宋体" w:hAnsi="宋体" w:cs="宋体" w:eastAsia="宋体" w:hint="default"/>
          <w:sz w:val="25"/>
          <w:szCs w:val="25"/>
        </w:rPr>
      </w:pPr>
    </w:p>
    <w:tbl>
      <w:tblPr>
        <w:tblW w:w="0" w:type="auto"/>
        <w:jc w:val="left"/>
        <w:tblInd w:w="148" w:type="dxa"/>
        <w:tblLayout w:type="fixed"/>
        <w:tblCellMar>
          <w:top w:w="0" w:type="dxa"/>
          <w:left w:w="0" w:type="dxa"/>
          <w:bottom w:w="0" w:type="dxa"/>
          <w:right w:w="0" w:type="dxa"/>
        </w:tblCellMar>
        <w:tblLook w:val="01E0"/>
      </w:tblPr>
      <w:tblGrid>
        <w:gridCol w:w="3193"/>
        <w:gridCol w:w="3189"/>
        <w:gridCol w:w="3193"/>
      </w:tblGrid>
      <w:tr>
        <w:trPr>
          <w:trHeight w:val="403" w:hRule="exact"/>
        </w:trPr>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合计</w:t>
            </w:r>
          </w:p>
        </w:tc>
      </w:tr>
    </w:tbl>
    <w:p>
      <w:pPr>
        <w:pStyle w:val="BodyText"/>
        <w:spacing w:line="240" w:lineRule="auto" w:before="53"/>
        <w:ind w:right="0"/>
        <w:jc w:val="left"/>
      </w:pPr>
      <w:r>
        <w:rPr/>
        <w:t>其他说明：无</w:t>
      </w:r>
    </w:p>
    <w:p>
      <w:pPr>
        <w:spacing w:line="240" w:lineRule="auto" w:before="4"/>
        <w:rPr>
          <w:rFonts w:ascii="宋体" w:hAnsi="宋体" w:cs="宋体" w:eastAsia="宋体" w:hint="default"/>
          <w:sz w:val="26"/>
          <w:szCs w:val="26"/>
        </w:rPr>
      </w:pPr>
    </w:p>
    <w:p>
      <w:pPr>
        <w:pStyle w:val="Heading4"/>
        <w:spacing w:line="240" w:lineRule="auto"/>
        <w:ind w:right="0"/>
        <w:jc w:val="left"/>
        <w:rPr>
          <w:b w:val="0"/>
          <w:bCs w:val="0"/>
        </w:rPr>
      </w:pPr>
      <w:bookmarkStart w:name="26、无形资产" w:id="317"/>
      <w:bookmarkEnd w:id="317"/>
      <w:r>
        <w:rPr>
          <w:b w:val="0"/>
          <w:bCs w:val="0"/>
        </w:rPr>
      </w:r>
      <w:r>
        <w:rPr>
          <w:rFonts w:ascii="Times New Roman" w:hAnsi="Times New Roman" w:cs="Times New Roman" w:eastAsia="Times New Roman" w:hint="default"/>
        </w:rPr>
        <w:t>26</w:t>
      </w:r>
      <w:r>
        <w:rPr/>
        <w:t>、无形资产</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0"/>
        <w:jc w:val="left"/>
        <w:rPr>
          <w:b w:val="0"/>
          <w:bCs w:val="0"/>
        </w:rPr>
      </w:pPr>
      <w:bookmarkStart w:name="（1）无形资产情况" w:id="318"/>
      <w:bookmarkEnd w:id="318"/>
      <w:r>
        <w:rPr>
          <w:b w:val="0"/>
          <w:bCs w:val="0"/>
        </w:rPr>
      </w:r>
      <w:r>
        <w:rPr/>
        <w:t>（</w:t>
      </w:r>
      <w:r>
        <w:rPr>
          <w:rFonts w:ascii="Times New Roman" w:hAnsi="Times New Roman" w:cs="Times New Roman" w:eastAsia="Times New Roman" w:hint="default"/>
        </w:rPr>
        <w:t>1</w:t>
      </w:r>
      <w:r>
        <w:rPr/>
        <w:t>）无形资产情况</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196"/>
        <w:gridCol w:w="1196"/>
        <w:gridCol w:w="1201"/>
        <w:gridCol w:w="1196"/>
        <w:gridCol w:w="1196"/>
        <w:gridCol w:w="1196"/>
        <w:gridCol w:w="1196"/>
        <w:gridCol w:w="1195"/>
      </w:tblGrid>
      <w:tr>
        <w:trPr>
          <w:trHeight w:val="399" w:hRule="exact"/>
        </w:trPr>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137"/>
              <w:jc w:val="right"/>
              <w:rPr>
                <w:rFonts w:ascii="宋体" w:hAnsi="宋体" w:cs="宋体" w:eastAsia="宋体" w:hint="default"/>
                <w:sz w:val="18"/>
                <w:szCs w:val="18"/>
              </w:rPr>
            </w:pPr>
            <w:r>
              <w:rPr>
                <w:rFonts w:ascii="宋体" w:hAnsi="宋体" w:cs="宋体" w:eastAsia="宋体" w:hint="default"/>
                <w:spacing w:val="-2"/>
                <w:sz w:val="18"/>
                <w:szCs w:val="18"/>
              </w:rPr>
              <w:t>土地使用权</w:t>
            </w:r>
          </w:p>
        </w:tc>
        <w:tc>
          <w:tcPr>
            <w:tcW w:w="1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326" w:right="0"/>
              <w:jc w:val="left"/>
              <w:rPr>
                <w:rFonts w:ascii="宋体" w:hAnsi="宋体" w:cs="宋体" w:eastAsia="宋体" w:hint="default"/>
                <w:sz w:val="18"/>
                <w:szCs w:val="18"/>
              </w:rPr>
            </w:pPr>
            <w:r>
              <w:rPr>
                <w:rFonts w:ascii="宋体" w:hAnsi="宋体" w:cs="宋体" w:eastAsia="宋体" w:hint="default"/>
                <w:sz w:val="18"/>
                <w:szCs w:val="18"/>
              </w:rPr>
              <w:t>专利权</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39" w:right="0"/>
              <w:jc w:val="left"/>
              <w:rPr>
                <w:rFonts w:ascii="宋体" w:hAnsi="宋体" w:cs="宋体" w:eastAsia="宋体" w:hint="default"/>
                <w:sz w:val="18"/>
                <w:szCs w:val="18"/>
              </w:rPr>
            </w:pPr>
            <w:r>
              <w:rPr>
                <w:rFonts w:ascii="宋体" w:hAnsi="宋体" w:cs="宋体" w:eastAsia="宋体" w:hint="default"/>
                <w:sz w:val="18"/>
                <w:szCs w:val="18"/>
              </w:rPr>
              <w:t>非专利技术</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230" w:right="0"/>
              <w:jc w:val="left"/>
              <w:rPr>
                <w:rFonts w:ascii="宋体" w:hAnsi="宋体" w:cs="宋体" w:eastAsia="宋体" w:hint="default"/>
                <w:sz w:val="18"/>
                <w:szCs w:val="18"/>
              </w:rPr>
            </w:pPr>
            <w:r>
              <w:rPr>
                <w:rFonts w:ascii="宋体" w:hAnsi="宋体" w:cs="宋体" w:eastAsia="宋体" w:hint="default"/>
                <w:sz w:val="18"/>
                <w:szCs w:val="18"/>
              </w:rPr>
              <w:t>外购软件</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z w:val="18"/>
                <w:szCs w:val="18"/>
              </w:rPr>
              <w:t>商标</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715" w:hRule="exact"/>
        </w:trPr>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05" w:right="176"/>
              <w:jc w:val="left"/>
              <w:rPr>
                <w:rFonts w:ascii="宋体" w:hAnsi="宋体" w:cs="宋体" w:eastAsia="宋体" w:hint="default"/>
                <w:sz w:val="18"/>
                <w:szCs w:val="18"/>
              </w:rPr>
            </w:pPr>
            <w:r>
              <w:rPr>
                <w:rFonts w:ascii="宋体" w:hAnsi="宋体" w:cs="宋体" w:eastAsia="宋体" w:hint="default"/>
                <w:spacing w:val="-2"/>
                <w:sz w:val="18"/>
                <w:szCs w:val="18"/>
              </w:rPr>
              <w:t>一、账面原</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值</w:t>
            </w:r>
          </w:p>
        </w:tc>
        <w:tc>
          <w:tcPr>
            <w:tcW w:w="1196" w:type="dxa"/>
            <w:tcBorders>
              <w:top w:val="single" w:sz="4" w:space="0" w:color="000000"/>
              <w:left w:val="single" w:sz="4" w:space="0" w:color="000000"/>
              <w:bottom w:val="single" w:sz="4" w:space="0" w:color="000000"/>
              <w:right w:val="single" w:sz="4" w:space="0" w:color="000000"/>
            </w:tcBorders>
          </w:tcPr>
          <w:p>
            <w:pPr/>
          </w:p>
        </w:tc>
        <w:tc>
          <w:tcPr>
            <w:tcW w:w="1201"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105" w:right="224" w:firstLine="364"/>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期初</w:t>
            </w:r>
            <w:r>
              <w:rPr>
                <w:rFonts w:ascii="宋体" w:hAnsi="宋体" w:cs="宋体" w:eastAsia="宋体" w:hint="default"/>
                <w:spacing w:val="-5"/>
                <w:w w:val="101"/>
                <w:sz w:val="18"/>
                <w:szCs w:val="18"/>
              </w:rPr>
              <w:t> </w:t>
            </w:r>
            <w:r>
              <w:rPr>
                <w:rFonts w:ascii="宋体" w:hAnsi="宋体" w:cs="宋体" w:eastAsia="宋体" w:hint="default"/>
                <w:sz w:val="18"/>
                <w:szCs w:val="18"/>
              </w:rPr>
              <w:t>余额</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21,081,894.4</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w w:val="101"/>
                <w:sz w:val="18"/>
              </w:rPr>
              <w:t>5</w:t>
            </w:r>
            <w:r>
              <w:rPr>
                <w:rFonts w:ascii="Times New Roman"/>
                <w:sz w:val="18"/>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11,642,826.7</w:t>
            </w:r>
          </w:p>
          <w:p>
            <w:pPr>
              <w:pStyle w:val="TableParagraph"/>
              <w:spacing w:line="240" w:lineRule="auto" w:before="105"/>
              <w:ind w:right="103"/>
              <w:jc w:val="right"/>
              <w:rPr>
                <w:rFonts w:ascii="Times New Roman" w:hAnsi="Times New Roman" w:cs="Times New Roman" w:eastAsia="Times New Roman" w:hint="default"/>
                <w:sz w:val="18"/>
                <w:szCs w:val="18"/>
              </w:rPr>
            </w:pPr>
            <w:r>
              <w:rPr>
                <w:rFonts w:ascii="Times New Roman"/>
                <w:w w:val="101"/>
                <w:sz w:val="18"/>
              </w:rPr>
              <w:t>5</w:t>
            </w:r>
            <w:r>
              <w:rPr>
                <w:rFonts w:ascii="Times New Roman"/>
                <w:sz w:val="18"/>
              </w:rPr>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6,630,940.96</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4,885,500.07</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131,699.80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44,372,862.0</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w w:val="101"/>
                <w:sz w:val="18"/>
              </w:rPr>
              <w:t>3</w:t>
            </w:r>
            <w:r>
              <w:rPr>
                <w:rFonts w:ascii="Times New Roman"/>
                <w:sz w:val="18"/>
              </w:rPr>
            </w:r>
          </w:p>
        </w:tc>
      </w:tr>
      <w:tr>
        <w:trPr>
          <w:trHeight w:val="715" w:hRule="exact"/>
        </w:trPr>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105" w:right="224" w:firstLine="364"/>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本期</w:t>
            </w:r>
            <w:r>
              <w:rPr>
                <w:rFonts w:ascii="宋体" w:hAnsi="宋体" w:cs="宋体" w:eastAsia="宋体" w:hint="default"/>
                <w:spacing w:val="-5"/>
                <w:w w:val="101"/>
                <w:sz w:val="18"/>
                <w:szCs w:val="18"/>
              </w:rPr>
              <w:t> </w:t>
            </w:r>
            <w:r>
              <w:rPr>
                <w:rFonts w:ascii="宋体" w:hAnsi="宋体" w:cs="宋体" w:eastAsia="宋体" w:hint="default"/>
                <w:sz w:val="18"/>
                <w:szCs w:val="18"/>
              </w:rPr>
              <w:t>增加金额</w:t>
            </w:r>
          </w:p>
        </w:tc>
        <w:tc>
          <w:tcPr>
            <w:tcW w:w="1196" w:type="dxa"/>
            <w:tcBorders>
              <w:top w:val="single" w:sz="4" w:space="0" w:color="000000"/>
              <w:left w:val="single" w:sz="4" w:space="0" w:color="000000"/>
              <w:bottom w:val="single" w:sz="4" w:space="0" w:color="000000"/>
              <w:right w:val="single" w:sz="4" w:space="0" w:color="000000"/>
            </w:tcBorders>
          </w:tcPr>
          <w:p>
            <w:pP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410,274.39</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2,947,525.16</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76,332.55</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3,434,132.10</w:t>
            </w:r>
          </w:p>
        </w:tc>
      </w:tr>
      <w:tr>
        <w:trPr>
          <w:trHeight w:val="710" w:hRule="exact"/>
        </w:trPr>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48"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p>
          <w:p>
            <w:pPr>
              <w:pStyle w:val="TableParagraph"/>
              <w:spacing w:line="240" w:lineRule="auto" w:before="63"/>
              <w:ind w:left="105" w:right="0"/>
              <w:jc w:val="left"/>
              <w:rPr>
                <w:rFonts w:ascii="宋体" w:hAnsi="宋体" w:cs="宋体" w:eastAsia="宋体" w:hint="default"/>
                <w:sz w:val="18"/>
                <w:szCs w:val="18"/>
              </w:rPr>
            </w:pPr>
            <w:r>
              <w:rPr>
                <w:rFonts w:ascii="宋体" w:hAnsi="宋体" w:cs="宋体" w:eastAsia="宋体" w:hint="default"/>
                <w:sz w:val="18"/>
                <w:szCs w:val="18"/>
              </w:rPr>
              <w:t>购置</w:t>
            </w:r>
          </w:p>
        </w:tc>
        <w:tc>
          <w:tcPr>
            <w:tcW w:w="1196" w:type="dxa"/>
            <w:tcBorders>
              <w:top w:val="single" w:sz="4" w:space="0" w:color="000000"/>
              <w:left w:val="single" w:sz="4" w:space="0" w:color="000000"/>
              <w:bottom w:val="single" w:sz="4" w:space="0" w:color="000000"/>
              <w:right w:val="single" w:sz="4" w:space="0" w:color="000000"/>
            </w:tcBorders>
          </w:tcPr>
          <w:p>
            <w:pP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410,274.39</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2,947,525.16</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76,332.55</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3,434,132.10</w:t>
            </w:r>
          </w:p>
        </w:tc>
      </w:tr>
      <w:tr>
        <w:trPr>
          <w:trHeight w:val="716" w:hRule="exact"/>
        </w:trPr>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4" w:lineRule="auto" w:before="54"/>
              <w:ind w:left="105" w:right="84" w:firstLine="542"/>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宋体" w:hAnsi="宋体" w:cs="宋体" w:eastAsia="宋体" w:hint="default"/>
                <w:w w:val="101"/>
                <w:sz w:val="18"/>
                <w:szCs w:val="18"/>
              </w:rPr>
              <w:t> </w:t>
            </w:r>
            <w:r>
              <w:rPr>
                <w:rFonts w:ascii="宋体" w:hAnsi="宋体" w:cs="宋体" w:eastAsia="宋体" w:hint="default"/>
                <w:sz w:val="18"/>
                <w:szCs w:val="18"/>
              </w:rPr>
              <w:t>内部研发</w:t>
            </w:r>
          </w:p>
        </w:tc>
        <w:tc>
          <w:tcPr>
            <w:tcW w:w="1196" w:type="dxa"/>
            <w:tcBorders>
              <w:top w:val="single" w:sz="4" w:space="0" w:color="000000"/>
              <w:left w:val="single" w:sz="4" w:space="0" w:color="000000"/>
              <w:bottom w:val="single" w:sz="4" w:space="0" w:color="000000"/>
              <w:right w:val="single" w:sz="4" w:space="0" w:color="000000"/>
            </w:tcBorders>
          </w:tcPr>
          <w:p>
            <w:pPr/>
          </w:p>
        </w:tc>
        <w:tc>
          <w:tcPr>
            <w:tcW w:w="1201"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3"/>
              <w:ind w:left="105" w:right="84" w:firstLine="542"/>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宋体" w:hAnsi="宋体" w:cs="宋体" w:eastAsia="宋体" w:hint="default"/>
                <w:w w:val="101"/>
                <w:sz w:val="18"/>
                <w:szCs w:val="18"/>
              </w:rPr>
              <w:t> </w:t>
            </w:r>
            <w:r>
              <w:rPr>
                <w:rFonts w:ascii="宋体" w:hAnsi="宋体" w:cs="宋体" w:eastAsia="宋体" w:hint="default"/>
                <w:sz w:val="18"/>
                <w:szCs w:val="18"/>
              </w:rPr>
              <w:t>企业合并增</w:t>
            </w:r>
            <w:r>
              <w:rPr>
                <w:rFonts w:ascii="宋体" w:hAnsi="宋体" w:cs="宋体" w:eastAsia="宋体" w:hint="default"/>
                <w:w w:val="101"/>
                <w:sz w:val="18"/>
                <w:szCs w:val="18"/>
              </w:rPr>
              <w:t> </w:t>
            </w:r>
            <w:r>
              <w:rPr>
                <w:rFonts w:ascii="宋体" w:hAnsi="宋体" w:cs="宋体" w:eastAsia="宋体" w:hint="default"/>
                <w:sz w:val="18"/>
                <w:szCs w:val="18"/>
              </w:rPr>
              <w:t>加</w:t>
            </w:r>
          </w:p>
        </w:tc>
        <w:tc>
          <w:tcPr>
            <w:tcW w:w="1196" w:type="dxa"/>
            <w:tcBorders>
              <w:top w:val="single" w:sz="4" w:space="0" w:color="000000"/>
              <w:left w:val="single" w:sz="4" w:space="0" w:color="000000"/>
              <w:bottom w:val="single" w:sz="4" w:space="0" w:color="000000"/>
              <w:right w:val="single" w:sz="4" w:space="0" w:color="000000"/>
            </w:tcBorders>
          </w:tcPr>
          <w:p>
            <w:pPr/>
          </w:p>
        </w:tc>
        <w:tc>
          <w:tcPr>
            <w:tcW w:w="1201"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201"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710" w:hRule="exact"/>
        </w:trPr>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105" w:right="219" w:firstLine="182"/>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w:t>
            </w:r>
            <w:r>
              <w:rPr>
                <w:rFonts w:ascii="宋体" w:hAnsi="宋体" w:cs="宋体" w:eastAsia="宋体" w:hint="default"/>
                <w:w w:val="101"/>
                <w:sz w:val="18"/>
                <w:szCs w:val="18"/>
              </w:rPr>
              <w:t> </w:t>
            </w:r>
            <w:r>
              <w:rPr>
                <w:rFonts w:ascii="宋体" w:hAnsi="宋体" w:cs="宋体" w:eastAsia="宋体" w:hint="default"/>
                <w:sz w:val="18"/>
                <w:szCs w:val="18"/>
              </w:rPr>
              <w:t>少金额</w:t>
            </w:r>
          </w:p>
        </w:tc>
        <w:tc>
          <w:tcPr>
            <w:tcW w:w="1196" w:type="dxa"/>
            <w:tcBorders>
              <w:top w:val="single" w:sz="4" w:space="0" w:color="000000"/>
              <w:left w:val="single" w:sz="4" w:space="0" w:color="000000"/>
              <w:bottom w:val="single" w:sz="4" w:space="0" w:color="000000"/>
              <w:right w:val="single" w:sz="4" w:space="0" w:color="000000"/>
            </w:tcBorders>
          </w:tcPr>
          <w:p>
            <w:pP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32,919.39</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32,919.39</w:t>
            </w:r>
          </w:p>
        </w:tc>
      </w:tr>
      <w:tr>
        <w:trPr>
          <w:trHeight w:val="715" w:hRule="exact"/>
        </w:trPr>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48"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p>
          <w:p>
            <w:pPr>
              <w:pStyle w:val="TableParagraph"/>
              <w:spacing w:line="240" w:lineRule="auto" w:before="67"/>
              <w:ind w:left="105" w:right="0"/>
              <w:jc w:val="left"/>
              <w:rPr>
                <w:rFonts w:ascii="宋体" w:hAnsi="宋体" w:cs="宋体" w:eastAsia="宋体" w:hint="default"/>
                <w:sz w:val="18"/>
                <w:szCs w:val="18"/>
              </w:rPr>
            </w:pPr>
            <w:r>
              <w:rPr>
                <w:rFonts w:ascii="宋体" w:hAnsi="宋体" w:cs="宋体" w:eastAsia="宋体" w:hint="default"/>
                <w:sz w:val="18"/>
                <w:szCs w:val="18"/>
              </w:rPr>
              <w:t>处置</w:t>
            </w:r>
          </w:p>
        </w:tc>
        <w:tc>
          <w:tcPr>
            <w:tcW w:w="1196" w:type="dxa"/>
            <w:tcBorders>
              <w:top w:val="single" w:sz="4" w:space="0" w:color="000000"/>
              <w:left w:val="single" w:sz="4" w:space="0" w:color="000000"/>
              <w:bottom w:val="single" w:sz="4" w:space="0" w:color="000000"/>
              <w:right w:val="single" w:sz="4" w:space="0" w:color="000000"/>
            </w:tcBorders>
          </w:tcPr>
          <w:p>
            <w:pP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32,919.39</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32,919.39</w:t>
            </w:r>
          </w:p>
        </w:tc>
      </w:tr>
      <w:tr>
        <w:trPr>
          <w:trHeight w:val="404" w:hRule="exact"/>
        </w:trPr>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201"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105" w:right="224" w:firstLine="364"/>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4.</w:t>
            </w:r>
            <w:r>
              <w:rPr>
                <w:rFonts w:ascii="宋体" w:hAnsi="宋体" w:cs="宋体" w:eastAsia="宋体" w:hint="default"/>
                <w:spacing w:val="-4"/>
                <w:sz w:val="18"/>
                <w:szCs w:val="18"/>
              </w:rPr>
              <w:t>期末</w:t>
            </w:r>
            <w:r>
              <w:rPr>
                <w:rFonts w:ascii="宋体" w:hAnsi="宋体" w:cs="宋体" w:eastAsia="宋体" w:hint="default"/>
                <w:spacing w:val="-5"/>
                <w:w w:val="101"/>
                <w:sz w:val="18"/>
                <w:szCs w:val="18"/>
              </w:rPr>
              <w:t> </w:t>
            </w:r>
            <w:r>
              <w:rPr>
                <w:rFonts w:ascii="宋体" w:hAnsi="宋体" w:cs="宋体" w:eastAsia="宋体" w:hint="default"/>
                <w:sz w:val="18"/>
                <w:szCs w:val="18"/>
              </w:rPr>
              <w:t>余额</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21,081,894.4</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w w:val="101"/>
                <w:sz w:val="18"/>
              </w:rPr>
              <w:t>5</w:t>
            </w:r>
            <w:r>
              <w:rPr>
                <w:rFonts w:ascii="Times New Roman"/>
                <w:sz w:val="18"/>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12,020,181.7</w:t>
            </w:r>
          </w:p>
          <w:p>
            <w:pPr>
              <w:pStyle w:val="TableParagraph"/>
              <w:spacing w:line="240" w:lineRule="auto" w:before="105"/>
              <w:ind w:right="103"/>
              <w:jc w:val="right"/>
              <w:rPr>
                <w:rFonts w:ascii="Times New Roman" w:hAnsi="Times New Roman" w:cs="Times New Roman" w:eastAsia="Times New Roman" w:hint="default"/>
                <w:sz w:val="18"/>
                <w:szCs w:val="18"/>
              </w:rPr>
            </w:pPr>
            <w:r>
              <w:rPr>
                <w:rFonts w:ascii="Times New Roman"/>
                <w:w w:val="101"/>
                <w:sz w:val="18"/>
              </w:rPr>
              <w:t>5</w:t>
            </w:r>
            <w:r>
              <w:rPr>
                <w:rFonts w:ascii="Times New Roman"/>
                <w:sz w:val="18"/>
              </w:rPr>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9,578,466.12</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4,961,832.62</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131,699.80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47,774,074.7</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w w:val="101"/>
                <w:sz w:val="18"/>
              </w:rPr>
              <w:t>4</w:t>
            </w:r>
            <w:r>
              <w:rPr>
                <w:rFonts w:ascii="Times New Roman"/>
                <w:sz w:val="18"/>
              </w:rPr>
            </w:r>
          </w:p>
        </w:tc>
      </w:tr>
      <w:tr>
        <w:trPr>
          <w:trHeight w:val="711" w:hRule="exact"/>
        </w:trPr>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05" w:right="176"/>
              <w:jc w:val="left"/>
              <w:rPr>
                <w:rFonts w:ascii="宋体" w:hAnsi="宋体" w:cs="宋体" w:eastAsia="宋体" w:hint="default"/>
                <w:sz w:val="18"/>
                <w:szCs w:val="18"/>
              </w:rPr>
            </w:pPr>
            <w:r>
              <w:rPr>
                <w:rFonts w:ascii="宋体" w:hAnsi="宋体" w:cs="宋体" w:eastAsia="宋体" w:hint="default"/>
                <w:spacing w:val="-2"/>
                <w:sz w:val="18"/>
                <w:szCs w:val="18"/>
              </w:rPr>
              <w:t>二、累计摊</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销</w:t>
            </w:r>
          </w:p>
        </w:tc>
        <w:tc>
          <w:tcPr>
            <w:tcW w:w="1196" w:type="dxa"/>
            <w:tcBorders>
              <w:top w:val="single" w:sz="4" w:space="0" w:color="000000"/>
              <w:left w:val="single" w:sz="4" w:space="0" w:color="000000"/>
              <w:bottom w:val="single" w:sz="4" w:space="0" w:color="000000"/>
              <w:right w:val="single" w:sz="4" w:space="0" w:color="000000"/>
            </w:tcBorders>
          </w:tcPr>
          <w:p>
            <w:pPr/>
          </w:p>
        </w:tc>
        <w:tc>
          <w:tcPr>
            <w:tcW w:w="1201"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4" w:lineRule="auto" w:before="53"/>
              <w:ind w:left="105" w:right="224" w:firstLine="364"/>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期初</w:t>
            </w:r>
            <w:r>
              <w:rPr>
                <w:rFonts w:ascii="宋体" w:hAnsi="宋体" w:cs="宋体" w:eastAsia="宋体" w:hint="default"/>
                <w:spacing w:val="-5"/>
                <w:w w:val="101"/>
                <w:sz w:val="18"/>
                <w:szCs w:val="18"/>
              </w:rPr>
              <w:t> </w:t>
            </w:r>
            <w:r>
              <w:rPr>
                <w:rFonts w:ascii="宋体" w:hAnsi="宋体" w:cs="宋体" w:eastAsia="宋体" w:hint="default"/>
                <w:sz w:val="18"/>
                <w:szCs w:val="18"/>
              </w:rPr>
              <w:t>余额</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3,304,434.49</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3,504,988.66</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2,641,183.31</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968,151.83</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81,214.96</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10,499,973.2</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5</w:t>
            </w:r>
            <w:r>
              <w:rPr>
                <w:rFonts w:ascii="Times New Roman"/>
                <w:sz w:val="18"/>
              </w:rPr>
            </w:r>
          </w:p>
        </w:tc>
      </w:tr>
      <w:tr>
        <w:trPr>
          <w:trHeight w:val="715" w:hRule="exact"/>
        </w:trPr>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105" w:right="224" w:firstLine="364"/>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本期</w:t>
            </w:r>
            <w:r>
              <w:rPr>
                <w:rFonts w:ascii="宋体" w:hAnsi="宋体" w:cs="宋体" w:eastAsia="宋体" w:hint="default"/>
                <w:spacing w:val="-5"/>
                <w:w w:val="101"/>
                <w:sz w:val="18"/>
                <w:szCs w:val="18"/>
              </w:rPr>
              <w:t> </w:t>
            </w:r>
            <w:r>
              <w:rPr>
                <w:rFonts w:ascii="宋体" w:hAnsi="宋体" w:cs="宋体" w:eastAsia="宋体" w:hint="default"/>
                <w:sz w:val="18"/>
                <w:szCs w:val="18"/>
              </w:rPr>
              <w:t>增加金额</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421,637.88</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1,133,494.99</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645,807.28</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2"/>
                <w:sz w:val="18"/>
              </w:rPr>
              <w:t>503,211.48</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26,339.96</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2,730,491.59</w:t>
            </w:r>
          </w:p>
        </w:tc>
      </w:tr>
      <w:tr>
        <w:trPr>
          <w:trHeight w:val="716" w:hRule="exact"/>
        </w:trPr>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648"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p>
          <w:p>
            <w:pPr>
              <w:pStyle w:val="TableParagraph"/>
              <w:spacing w:line="240" w:lineRule="auto" w:before="63"/>
              <w:ind w:left="105" w:right="0"/>
              <w:jc w:val="left"/>
              <w:rPr>
                <w:rFonts w:ascii="宋体" w:hAnsi="宋体" w:cs="宋体" w:eastAsia="宋体" w:hint="default"/>
                <w:sz w:val="18"/>
                <w:szCs w:val="18"/>
              </w:rPr>
            </w:pPr>
            <w:r>
              <w:rPr>
                <w:rFonts w:ascii="宋体" w:hAnsi="宋体" w:cs="宋体" w:eastAsia="宋体" w:hint="default"/>
                <w:sz w:val="18"/>
                <w:szCs w:val="18"/>
              </w:rPr>
              <w:t>计提</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421,637.88</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1,133,494.99</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645,807.28</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2"/>
                <w:sz w:val="18"/>
              </w:rPr>
              <w:t>503,211.48</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26,339.96</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2,730,491.59</w:t>
            </w:r>
          </w:p>
        </w:tc>
      </w:tr>
      <w:tr>
        <w:trPr>
          <w:trHeight w:val="398" w:hRule="exact"/>
        </w:trPr>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201"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84" w:footer="1022" w:top="1100" w:bottom="1220" w:left="980" w:right="0"/>
        </w:sectPr>
      </w:pPr>
    </w:p>
    <w:p>
      <w:pPr>
        <w:spacing w:line="240" w:lineRule="auto" w:before="7"/>
        <w:rPr>
          <w:rFonts w:ascii="宋体" w:hAnsi="宋体" w:cs="宋体" w:eastAsia="宋体" w:hint="default"/>
          <w:sz w:val="25"/>
          <w:szCs w:val="25"/>
        </w:rPr>
      </w:pPr>
    </w:p>
    <w:tbl>
      <w:tblPr>
        <w:tblW w:w="0" w:type="auto"/>
        <w:jc w:val="left"/>
        <w:tblInd w:w="148" w:type="dxa"/>
        <w:tblLayout w:type="fixed"/>
        <w:tblCellMar>
          <w:top w:w="0" w:type="dxa"/>
          <w:left w:w="0" w:type="dxa"/>
          <w:bottom w:w="0" w:type="dxa"/>
          <w:right w:w="0" w:type="dxa"/>
        </w:tblCellMar>
        <w:tblLook w:val="01E0"/>
      </w:tblPr>
      <w:tblGrid>
        <w:gridCol w:w="1196"/>
        <w:gridCol w:w="1196"/>
        <w:gridCol w:w="1201"/>
        <w:gridCol w:w="1196"/>
        <w:gridCol w:w="1196"/>
        <w:gridCol w:w="1196"/>
        <w:gridCol w:w="1196"/>
        <w:gridCol w:w="1195"/>
      </w:tblGrid>
      <w:tr>
        <w:trPr>
          <w:trHeight w:val="715" w:hRule="exact"/>
        </w:trPr>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105" w:right="224" w:firstLine="364"/>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3.</w:t>
            </w:r>
            <w:r>
              <w:rPr>
                <w:rFonts w:ascii="宋体" w:hAnsi="宋体" w:cs="宋体" w:eastAsia="宋体" w:hint="default"/>
                <w:spacing w:val="-4"/>
                <w:sz w:val="18"/>
                <w:szCs w:val="18"/>
              </w:rPr>
              <w:t>本期</w:t>
            </w:r>
            <w:r>
              <w:rPr>
                <w:rFonts w:ascii="宋体" w:hAnsi="宋体" w:cs="宋体" w:eastAsia="宋体" w:hint="default"/>
                <w:spacing w:val="-5"/>
                <w:w w:val="101"/>
                <w:sz w:val="18"/>
                <w:szCs w:val="18"/>
              </w:rPr>
              <w:t> </w:t>
            </w:r>
            <w:r>
              <w:rPr>
                <w:rFonts w:ascii="宋体" w:hAnsi="宋体" w:cs="宋体" w:eastAsia="宋体" w:hint="default"/>
                <w:sz w:val="18"/>
                <w:szCs w:val="18"/>
              </w:rPr>
              <w:t>减少金额</w:t>
            </w:r>
          </w:p>
        </w:tc>
        <w:tc>
          <w:tcPr>
            <w:tcW w:w="1196" w:type="dxa"/>
            <w:tcBorders>
              <w:top w:val="single" w:sz="4" w:space="0" w:color="000000"/>
              <w:left w:val="single" w:sz="4" w:space="0" w:color="000000"/>
              <w:bottom w:val="single" w:sz="4" w:space="0" w:color="000000"/>
              <w:right w:val="single" w:sz="4" w:space="0" w:color="000000"/>
            </w:tcBorders>
          </w:tcPr>
          <w:p>
            <w:pP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21,601.92</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21,601.92</w:t>
            </w:r>
          </w:p>
        </w:tc>
      </w:tr>
      <w:tr>
        <w:trPr>
          <w:trHeight w:val="711" w:hRule="exact"/>
        </w:trPr>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48"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p>
          <w:p>
            <w:pPr>
              <w:pStyle w:val="TableParagraph"/>
              <w:spacing w:line="240" w:lineRule="auto" w:before="63"/>
              <w:ind w:left="105" w:right="0"/>
              <w:jc w:val="left"/>
              <w:rPr>
                <w:rFonts w:ascii="宋体" w:hAnsi="宋体" w:cs="宋体" w:eastAsia="宋体" w:hint="default"/>
                <w:sz w:val="18"/>
                <w:szCs w:val="18"/>
              </w:rPr>
            </w:pPr>
            <w:r>
              <w:rPr>
                <w:rFonts w:ascii="宋体" w:hAnsi="宋体" w:cs="宋体" w:eastAsia="宋体" w:hint="default"/>
                <w:sz w:val="18"/>
                <w:szCs w:val="18"/>
              </w:rPr>
              <w:t>处置</w:t>
            </w:r>
          </w:p>
        </w:tc>
        <w:tc>
          <w:tcPr>
            <w:tcW w:w="1196" w:type="dxa"/>
            <w:tcBorders>
              <w:top w:val="single" w:sz="4" w:space="0" w:color="000000"/>
              <w:left w:val="single" w:sz="4" w:space="0" w:color="000000"/>
              <w:bottom w:val="single" w:sz="4" w:space="0" w:color="000000"/>
              <w:right w:val="single" w:sz="4" w:space="0" w:color="000000"/>
            </w:tcBorders>
          </w:tcPr>
          <w:p>
            <w:pP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21,601.92</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21,601.92</w:t>
            </w:r>
          </w:p>
        </w:tc>
      </w:tr>
      <w:tr>
        <w:trPr>
          <w:trHeight w:val="403" w:hRule="exact"/>
        </w:trPr>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201"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4" w:lineRule="auto" w:before="53"/>
              <w:ind w:left="105" w:right="224" w:firstLine="364"/>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4.</w:t>
            </w:r>
            <w:r>
              <w:rPr>
                <w:rFonts w:ascii="宋体" w:hAnsi="宋体" w:cs="宋体" w:eastAsia="宋体" w:hint="default"/>
                <w:spacing w:val="-4"/>
                <w:sz w:val="18"/>
                <w:szCs w:val="18"/>
              </w:rPr>
              <w:t>期末</w:t>
            </w:r>
            <w:r>
              <w:rPr>
                <w:rFonts w:ascii="宋体" w:hAnsi="宋体" w:cs="宋体" w:eastAsia="宋体" w:hint="default"/>
                <w:spacing w:val="-5"/>
                <w:w w:val="101"/>
                <w:sz w:val="18"/>
                <w:szCs w:val="18"/>
              </w:rPr>
              <w:t> </w:t>
            </w:r>
            <w:r>
              <w:rPr>
                <w:rFonts w:ascii="宋体" w:hAnsi="宋体" w:cs="宋体" w:eastAsia="宋体" w:hint="default"/>
                <w:sz w:val="18"/>
                <w:szCs w:val="18"/>
              </w:rPr>
              <w:t>余额</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39" w:right="0"/>
              <w:jc w:val="left"/>
              <w:rPr>
                <w:rFonts w:ascii="Times New Roman" w:hAnsi="Times New Roman" w:cs="Times New Roman" w:eastAsia="Times New Roman" w:hint="default"/>
                <w:sz w:val="18"/>
                <w:szCs w:val="18"/>
              </w:rPr>
            </w:pPr>
            <w:r>
              <w:rPr>
                <w:rFonts w:ascii="Times New Roman"/>
                <w:sz w:val="18"/>
              </w:rPr>
              <w:t>3,726,072.37</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4,616,881.73</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3,286,990.59</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1,471,363.31</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107,554.92</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13,208,862.9</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2</w:t>
            </w:r>
            <w:r>
              <w:rPr>
                <w:rFonts w:ascii="Times New Roman"/>
                <w:sz w:val="18"/>
              </w:rPr>
            </w:r>
          </w:p>
        </w:tc>
      </w:tr>
      <w:tr>
        <w:trPr>
          <w:trHeight w:val="716" w:hRule="exact"/>
        </w:trPr>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4"/>
              <w:ind w:left="105" w:right="176"/>
              <w:jc w:val="left"/>
              <w:rPr>
                <w:rFonts w:ascii="宋体" w:hAnsi="宋体" w:cs="宋体" w:eastAsia="宋体" w:hint="default"/>
                <w:sz w:val="18"/>
                <w:szCs w:val="18"/>
              </w:rPr>
            </w:pPr>
            <w:r>
              <w:rPr>
                <w:rFonts w:ascii="宋体" w:hAnsi="宋体" w:cs="宋体" w:eastAsia="宋体" w:hint="default"/>
                <w:spacing w:val="-2"/>
                <w:sz w:val="18"/>
                <w:szCs w:val="18"/>
              </w:rPr>
              <w:t>三、减值准</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备</w:t>
            </w:r>
          </w:p>
        </w:tc>
        <w:tc>
          <w:tcPr>
            <w:tcW w:w="1196" w:type="dxa"/>
            <w:tcBorders>
              <w:top w:val="single" w:sz="4" w:space="0" w:color="000000"/>
              <w:left w:val="single" w:sz="4" w:space="0" w:color="000000"/>
              <w:bottom w:val="single" w:sz="4" w:space="0" w:color="000000"/>
              <w:right w:val="single" w:sz="4" w:space="0" w:color="000000"/>
            </w:tcBorders>
          </w:tcPr>
          <w:p>
            <w:pPr/>
          </w:p>
        </w:tc>
        <w:tc>
          <w:tcPr>
            <w:tcW w:w="1201"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710" w:hRule="exact"/>
        </w:trPr>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105" w:right="224" w:firstLine="364"/>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期初</w:t>
            </w:r>
            <w:r>
              <w:rPr>
                <w:rFonts w:ascii="宋体" w:hAnsi="宋体" w:cs="宋体" w:eastAsia="宋体" w:hint="default"/>
                <w:spacing w:val="-5"/>
                <w:w w:val="101"/>
                <w:sz w:val="18"/>
                <w:szCs w:val="18"/>
              </w:rPr>
              <w:t> </w:t>
            </w:r>
            <w:r>
              <w:rPr>
                <w:rFonts w:ascii="宋体" w:hAnsi="宋体" w:cs="宋体" w:eastAsia="宋体" w:hint="default"/>
                <w:sz w:val="18"/>
                <w:szCs w:val="18"/>
              </w:rPr>
              <w:t>余额</w:t>
            </w:r>
          </w:p>
        </w:tc>
        <w:tc>
          <w:tcPr>
            <w:tcW w:w="1196" w:type="dxa"/>
            <w:tcBorders>
              <w:top w:val="single" w:sz="4" w:space="0" w:color="000000"/>
              <w:left w:val="single" w:sz="4" w:space="0" w:color="000000"/>
              <w:bottom w:val="single" w:sz="4" w:space="0" w:color="000000"/>
              <w:right w:val="single" w:sz="4" w:space="0" w:color="000000"/>
            </w:tcBorders>
          </w:tcPr>
          <w:p>
            <w:pPr/>
          </w:p>
        </w:tc>
        <w:tc>
          <w:tcPr>
            <w:tcW w:w="1201"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8"/>
              <w:ind w:left="105" w:right="224" w:firstLine="364"/>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本期</w:t>
            </w:r>
            <w:r>
              <w:rPr>
                <w:rFonts w:ascii="宋体" w:hAnsi="宋体" w:cs="宋体" w:eastAsia="宋体" w:hint="default"/>
                <w:spacing w:val="-5"/>
                <w:w w:val="101"/>
                <w:sz w:val="18"/>
                <w:szCs w:val="18"/>
              </w:rPr>
              <w:t> </w:t>
            </w:r>
            <w:r>
              <w:rPr>
                <w:rFonts w:ascii="宋体" w:hAnsi="宋体" w:cs="宋体" w:eastAsia="宋体" w:hint="default"/>
                <w:sz w:val="18"/>
                <w:szCs w:val="18"/>
              </w:rPr>
              <w:t>增加金额</w:t>
            </w:r>
          </w:p>
        </w:tc>
        <w:tc>
          <w:tcPr>
            <w:tcW w:w="1196" w:type="dxa"/>
            <w:tcBorders>
              <w:top w:val="single" w:sz="4" w:space="0" w:color="000000"/>
              <w:left w:val="single" w:sz="4" w:space="0" w:color="000000"/>
              <w:bottom w:val="single" w:sz="4" w:space="0" w:color="000000"/>
              <w:right w:val="single" w:sz="4" w:space="0" w:color="000000"/>
            </w:tcBorders>
          </w:tcPr>
          <w:p>
            <w:pPr/>
          </w:p>
        </w:tc>
        <w:tc>
          <w:tcPr>
            <w:tcW w:w="1201"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48"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p>
          <w:p>
            <w:pPr>
              <w:pStyle w:val="TableParagraph"/>
              <w:spacing w:line="240" w:lineRule="auto" w:before="67"/>
              <w:ind w:left="105" w:right="0"/>
              <w:jc w:val="left"/>
              <w:rPr>
                <w:rFonts w:ascii="宋体" w:hAnsi="宋体" w:cs="宋体" w:eastAsia="宋体" w:hint="default"/>
                <w:sz w:val="18"/>
                <w:szCs w:val="18"/>
              </w:rPr>
            </w:pPr>
            <w:r>
              <w:rPr>
                <w:rFonts w:ascii="宋体" w:hAnsi="宋体" w:cs="宋体" w:eastAsia="宋体" w:hint="default"/>
                <w:sz w:val="18"/>
                <w:szCs w:val="18"/>
              </w:rPr>
              <w:t>计提</w:t>
            </w:r>
          </w:p>
        </w:tc>
        <w:tc>
          <w:tcPr>
            <w:tcW w:w="1196" w:type="dxa"/>
            <w:tcBorders>
              <w:top w:val="single" w:sz="4" w:space="0" w:color="000000"/>
              <w:left w:val="single" w:sz="4" w:space="0" w:color="000000"/>
              <w:bottom w:val="single" w:sz="4" w:space="0" w:color="000000"/>
              <w:right w:val="single" w:sz="4" w:space="0" w:color="000000"/>
            </w:tcBorders>
          </w:tcPr>
          <w:p>
            <w:pPr/>
          </w:p>
        </w:tc>
        <w:tc>
          <w:tcPr>
            <w:tcW w:w="1201"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201"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711" w:hRule="exact"/>
        </w:trPr>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105" w:right="224" w:firstLine="364"/>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3.</w:t>
            </w:r>
            <w:r>
              <w:rPr>
                <w:rFonts w:ascii="宋体" w:hAnsi="宋体" w:cs="宋体" w:eastAsia="宋体" w:hint="default"/>
                <w:spacing w:val="-4"/>
                <w:sz w:val="18"/>
                <w:szCs w:val="18"/>
              </w:rPr>
              <w:t>本期</w:t>
            </w:r>
            <w:r>
              <w:rPr>
                <w:rFonts w:ascii="宋体" w:hAnsi="宋体" w:cs="宋体" w:eastAsia="宋体" w:hint="default"/>
                <w:spacing w:val="-5"/>
                <w:w w:val="101"/>
                <w:sz w:val="18"/>
                <w:szCs w:val="18"/>
              </w:rPr>
              <w:t> </w:t>
            </w:r>
            <w:r>
              <w:rPr>
                <w:rFonts w:ascii="宋体" w:hAnsi="宋体" w:cs="宋体" w:eastAsia="宋体" w:hint="default"/>
                <w:sz w:val="18"/>
                <w:szCs w:val="18"/>
              </w:rPr>
              <w:t>减少金额</w:t>
            </w:r>
          </w:p>
        </w:tc>
        <w:tc>
          <w:tcPr>
            <w:tcW w:w="1196" w:type="dxa"/>
            <w:tcBorders>
              <w:top w:val="single" w:sz="4" w:space="0" w:color="000000"/>
              <w:left w:val="single" w:sz="4" w:space="0" w:color="000000"/>
              <w:bottom w:val="single" w:sz="4" w:space="0" w:color="000000"/>
              <w:right w:val="single" w:sz="4" w:space="0" w:color="000000"/>
            </w:tcBorders>
          </w:tcPr>
          <w:p>
            <w:pPr/>
          </w:p>
        </w:tc>
        <w:tc>
          <w:tcPr>
            <w:tcW w:w="1201"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60" w:right="0"/>
              <w:jc w:val="left"/>
              <w:rPr>
                <w:rFonts w:ascii="宋体" w:hAnsi="宋体" w:cs="宋体" w:eastAsia="宋体" w:hint="default"/>
                <w:sz w:val="18"/>
                <w:szCs w:val="18"/>
              </w:rPr>
            </w:pP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1</w:t>
            </w:r>
            <w:r>
              <w:rPr>
                <w:rFonts w:ascii="宋体" w:hAnsi="宋体" w:cs="宋体" w:eastAsia="宋体" w:hint="default"/>
                <w:spacing w:val="-5"/>
                <w:sz w:val="18"/>
                <w:szCs w:val="18"/>
              </w:rPr>
              <w:t>）处</w:t>
            </w:r>
            <w:r>
              <w:rPr>
                <w:rFonts w:ascii="宋体" w:hAnsi="宋体" w:cs="宋体" w:eastAsia="宋体" w:hint="default"/>
                <w:sz w:val="18"/>
                <w:szCs w:val="18"/>
              </w:rPr>
            </w:r>
          </w:p>
          <w:p>
            <w:pPr>
              <w:pStyle w:val="TableParagraph"/>
              <w:spacing w:line="240" w:lineRule="auto" w:before="63"/>
              <w:ind w:left="105" w:right="0"/>
              <w:jc w:val="left"/>
              <w:rPr>
                <w:rFonts w:ascii="宋体" w:hAnsi="宋体" w:cs="宋体" w:eastAsia="宋体" w:hint="default"/>
                <w:sz w:val="18"/>
                <w:szCs w:val="18"/>
              </w:rPr>
            </w:pPr>
            <w:r>
              <w:rPr>
                <w:rFonts w:ascii="宋体" w:hAnsi="宋体" w:cs="宋体" w:eastAsia="宋体" w:hint="default"/>
                <w:w w:val="101"/>
                <w:sz w:val="18"/>
                <w:szCs w:val="18"/>
              </w:rPr>
              <w:t>置</w:t>
            </w:r>
            <w:r>
              <w:rPr>
                <w:rFonts w:ascii="宋体" w:hAnsi="宋体" w:cs="宋体" w:eastAsia="宋体" w:hint="default"/>
                <w:sz w:val="18"/>
                <w:szCs w:val="18"/>
              </w:rPr>
            </w:r>
          </w:p>
        </w:tc>
        <w:tc>
          <w:tcPr>
            <w:tcW w:w="1196" w:type="dxa"/>
            <w:tcBorders>
              <w:top w:val="single" w:sz="4" w:space="0" w:color="000000"/>
              <w:left w:val="single" w:sz="4" w:space="0" w:color="000000"/>
              <w:bottom w:val="single" w:sz="4" w:space="0" w:color="000000"/>
              <w:right w:val="single" w:sz="4" w:space="0" w:color="000000"/>
            </w:tcBorders>
          </w:tcPr>
          <w:p>
            <w:pPr/>
          </w:p>
        </w:tc>
        <w:tc>
          <w:tcPr>
            <w:tcW w:w="1201"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201"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4"/>
              <w:ind w:left="105" w:right="224" w:firstLine="364"/>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4.</w:t>
            </w:r>
            <w:r>
              <w:rPr>
                <w:rFonts w:ascii="宋体" w:hAnsi="宋体" w:cs="宋体" w:eastAsia="宋体" w:hint="default"/>
                <w:spacing w:val="-4"/>
                <w:sz w:val="18"/>
                <w:szCs w:val="18"/>
              </w:rPr>
              <w:t>期末</w:t>
            </w:r>
            <w:r>
              <w:rPr>
                <w:rFonts w:ascii="宋体" w:hAnsi="宋体" w:cs="宋体" w:eastAsia="宋体" w:hint="default"/>
                <w:spacing w:val="-5"/>
                <w:w w:val="101"/>
                <w:sz w:val="18"/>
                <w:szCs w:val="18"/>
              </w:rPr>
              <w:t> </w:t>
            </w:r>
            <w:r>
              <w:rPr>
                <w:rFonts w:ascii="宋体" w:hAnsi="宋体" w:cs="宋体" w:eastAsia="宋体" w:hint="default"/>
                <w:sz w:val="18"/>
                <w:szCs w:val="18"/>
              </w:rPr>
              <w:t>余额</w:t>
            </w:r>
          </w:p>
        </w:tc>
        <w:tc>
          <w:tcPr>
            <w:tcW w:w="1196" w:type="dxa"/>
            <w:tcBorders>
              <w:top w:val="single" w:sz="4" w:space="0" w:color="000000"/>
              <w:left w:val="single" w:sz="4" w:space="0" w:color="000000"/>
              <w:bottom w:val="single" w:sz="4" w:space="0" w:color="000000"/>
              <w:right w:val="single" w:sz="4" w:space="0" w:color="000000"/>
            </w:tcBorders>
          </w:tcPr>
          <w:p>
            <w:pPr/>
          </w:p>
        </w:tc>
        <w:tc>
          <w:tcPr>
            <w:tcW w:w="1201"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710" w:hRule="exact"/>
        </w:trPr>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05" w:right="176"/>
              <w:jc w:val="left"/>
              <w:rPr>
                <w:rFonts w:ascii="宋体" w:hAnsi="宋体" w:cs="宋体" w:eastAsia="宋体" w:hint="default"/>
                <w:sz w:val="18"/>
                <w:szCs w:val="18"/>
              </w:rPr>
            </w:pPr>
            <w:r>
              <w:rPr>
                <w:rFonts w:ascii="宋体" w:hAnsi="宋体" w:cs="宋体" w:eastAsia="宋体" w:hint="default"/>
                <w:spacing w:val="-2"/>
                <w:sz w:val="18"/>
                <w:szCs w:val="18"/>
              </w:rPr>
              <w:t>四、账面价</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值</w:t>
            </w:r>
          </w:p>
        </w:tc>
        <w:tc>
          <w:tcPr>
            <w:tcW w:w="1196" w:type="dxa"/>
            <w:tcBorders>
              <w:top w:val="single" w:sz="4" w:space="0" w:color="000000"/>
              <w:left w:val="single" w:sz="4" w:space="0" w:color="000000"/>
              <w:bottom w:val="single" w:sz="4" w:space="0" w:color="000000"/>
              <w:right w:val="single" w:sz="4" w:space="0" w:color="000000"/>
            </w:tcBorders>
          </w:tcPr>
          <w:p>
            <w:pPr/>
          </w:p>
        </w:tc>
        <w:tc>
          <w:tcPr>
            <w:tcW w:w="1201"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8"/>
              <w:ind w:left="105" w:right="224" w:firstLine="364"/>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期末</w:t>
            </w:r>
            <w:r>
              <w:rPr>
                <w:rFonts w:ascii="宋体" w:hAnsi="宋体" w:cs="宋体" w:eastAsia="宋体" w:hint="default"/>
                <w:spacing w:val="-5"/>
                <w:w w:val="101"/>
                <w:sz w:val="18"/>
                <w:szCs w:val="18"/>
              </w:rPr>
              <w:t> </w:t>
            </w:r>
            <w:r>
              <w:rPr>
                <w:rFonts w:ascii="宋体" w:hAnsi="宋体" w:cs="宋体" w:eastAsia="宋体" w:hint="default"/>
                <w:sz w:val="18"/>
                <w:szCs w:val="18"/>
              </w:rPr>
              <w:t>账面价值</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17,355,822.0</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w w:val="101"/>
                <w:sz w:val="18"/>
              </w:rPr>
              <w:t>8</w:t>
            </w:r>
            <w:r>
              <w:rPr>
                <w:rFonts w:ascii="Times New Roman"/>
                <w:sz w:val="18"/>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7,403,300.02</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6,291,475.53</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3,490,469.31</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24,144.88</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2"/>
                <w:sz w:val="18"/>
              </w:rPr>
              <w:t>34,565,211.8</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w w:val="101"/>
                <w:sz w:val="18"/>
              </w:rPr>
              <w:t>2</w:t>
            </w:r>
            <w:r>
              <w:rPr>
                <w:rFonts w:ascii="Times New Roman"/>
                <w:sz w:val="18"/>
              </w:rPr>
            </w:r>
          </w:p>
        </w:tc>
      </w:tr>
      <w:tr>
        <w:trPr>
          <w:trHeight w:val="715" w:hRule="exact"/>
        </w:trPr>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4" w:lineRule="auto" w:before="53"/>
              <w:ind w:left="105" w:right="224" w:firstLine="364"/>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期初</w:t>
            </w:r>
            <w:r>
              <w:rPr>
                <w:rFonts w:ascii="宋体" w:hAnsi="宋体" w:cs="宋体" w:eastAsia="宋体" w:hint="default"/>
                <w:spacing w:val="-5"/>
                <w:w w:val="101"/>
                <w:sz w:val="18"/>
                <w:szCs w:val="18"/>
              </w:rPr>
              <w:t> </w:t>
            </w:r>
            <w:r>
              <w:rPr>
                <w:rFonts w:ascii="宋体" w:hAnsi="宋体" w:cs="宋体" w:eastAsia="宋体" w:hint="default"/>
                <w:sz w:val="18"/>
                <w:szCs w:val="18"/>
              </w:rPr>
              <w:t>账面价值</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17,777,459.9</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6</w:t>
            </w:r>
            <w:r>
              <w:rPr>
                <w:rFonts w:ascii="Times New Roman"/>
                <w:sz w:val="18"/>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8,137,838.09</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3,989,757.65</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3,917,348.24</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50,484.84</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33,872,888.7</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8</w:t>
            </w:r>
            <w:r>
              <w:rPr>
                <w:rFonts w:ascii="Times New Roman"/>
                <w:sz w:val="18"/>
              </w:rPr>
            </w:r>
          </w:p>
        </w:tc>
      </w:tr>
    </w:tbl>
    <w:p>
      <w:pPr>
        <w:pStyle w:val="BodyText"/>
        <w:spacing w:line="240" w:lineRule="auto" w:before="53"/>
        <w:ind w:right="0"/>
        <w:jc w:val="left"/>
      </w:pPr>
      <w:r>
        <w:rPr>
          <w:spacing w:val="-3"/>
        </w:rPr>
        <w:t>本期末通过公司内部研发形成的无形资产占无形资产余额的比例。</w:t>
      </w:r>
    </w:p>
    <w:p>
      <w:pPr>
        <w:spacing w:line="240" w:lineRule="auto" w:before="9"/>
        <w:rPr>
          <w:rFonts w:ascii="宋体" w:hAnsi="宋体" w:cs="宋体" w:eastAsia="宋体" w:hint="default"/>
          <w:sz w:val="26"/>
          <w:szCs w:val="26"/>
        </w:rPr>
      </w:pPr>
    </w:p>
    <w:p>
      <w:pPr>
        <w:pStyle w:val="Heading4"/>
        <w:spacing w:line="240" w:lineRule="auto"/>
        <w:ind w:right="0"/>
        <w:jc w:val="left"/>
        <w:rPr>
          <w:b w:val="0"/>
          <w:bCs w:val="0"/>
        </w:rPr>
      </w:pPr>
      <w:bookmarkStart w:name="（2）未办妥产权证书的土地使用权情况" w:id="319"/>
      <w:bookmarkEnd w:id="319"/>
      <w:r>
        <w:rPr>
          <w:b w:val="0"/>
          <w:bCs w:val="0"/>
        </w:rPr>
      </w:r>
      <w:r>
        <w:rPr/>
        <w:t>（</w:t>
      </w:r>
      <w:r>
        <w:rPr>
          <w:rFonts w:ascii="Times New Roman" w:hAnsi="Times New Roman" w:cs="Times New Roman" w:eastAsia="Times New Roman" w:hint="default"/>
        </w:rPr>
        <w:t>2</w:t>
      </w:r>
      <w:r>
        <w:rPr/>
        <w:t>）未办妥产权证书的土地使用权情况</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91" w:right="0"/>
              <w:jc w:val="left"/>
              <w:rPr>
                <w:rFonts w:ascii="宋体" w:hAnsi="宋体" w:cs="宋体" w:eastAsia="宋体" w:hint="default"/>
                <w:sz w:val="18"/>
                <w:szCs w:val="18"/>
              </w:rPr>
            </w:pPr>
            <w:r>
              <w:rPr>
                <w:rFonts w:ascii="宋体" w:hAnsi="宋体" w:cs="宋体" w:eastAsia="宋体" w:hint="default"/>
                <w:sz w:val="18"/>
                <w:szCs w:val="18"/>
              </w:rPr>
              <w:t>未办妥产权证书的原因</w:t>
            </w:r>
          </w:p>
        </w:tc>
      </w:tr>
    </w:tbl>
    <w:p>
      <w:pPr>
        <w:pStyle w:val="BodyText"/>
        <w:spacing w:line="352" w:lineRule="auto" w:before="53"/>
        <w:ind w:right="9861"/>
        <w:jc w:val="left"/>
      </w:pPr>
      <w:r>
        <w:rPr>
          <w:spacing w:val="-2"/>
        </w:rPr>
        <w:t>其他说明：</w:t>
      </w:r>
      <w:r>
        <w:rPr>
          <w:spacing w:val="-78"/>
        </w:rPr>
        <w:t> </w:t>
      </w:r>
      <w:r>
        <w:rPr>
          <w:spacing w:val="-78"/>
        </w:rPr>
      </w:r>
      <w:r>
        <w:rPr/>
        <w:t>无。</w:t>
      </w:r>
    </w:p>
    <w:p>
      <w:pPr>
        <w:spacing w:after="0" w:line="352" w:lineRule="auto"/>
        <w:jc w:val="left"/>
        <w:sectPr>
          <w:pgSz w:w="11910" w:h="16840"/>
          <w:pgMar w:header="784" w:footer="1022" w:top="1100" w:bottom="1220" w:left="980" w:right="0"/>
        </w:sectPr>
      </w:pPr>
    </w:p>
    <w:p>
      <w:pPr>
        <w:spacing w:line="240" w:lineRule="auto" w:before="13"/>
        <w:rPr>
          <w:rFonts w:ascii="宋体" w:hAnsi="宋体" w:cs="宋体" w:eastAsia="宋体" w:hint="default"/>
          <w:sz w:val="21"/>
          <w:szCs w:val="21"/>
        </w:rPr>
      </w:pPr>
    </w:p>
    <w:p>
      <w:pPr>
        <w:pStyle w:val="Heading4"/>
        <w:spacing w:line="240" w:lineRule="auto" w:before="36"/>
        <w:ind w:right="0"/>
        <w:jc w:val="left"/>
        <w:rPr>
          <w:b w:val="0"/>
          <w:bCs w:val="0"/>
        </w:rPr>
      </w:pPr>
      <w:bookmarkStart w:name="27、开发支出" w:id="320"/>
      <w:bookmarkEnd w:id="320"/>
      <w:r>
        <w:rPr>
          <w:b w:val="0"/>
          <w:bCs w:val="0"/>
        </w:rPr>
      </w:r>
      <w:r>
        <w:rPr>
          <w:rFonts w:ascii="Times New Roman" w:hAnsi="Times New Roman" w:cs="Times New Roman" w:eastAsia="Times New Roman" w:hint="default"/>
        </w:rPr>
        <w:t>27</w:t>
      </w:r>
      <w:r>
        <w:rPr/>
        <w:t>、开发支出</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061"/>
        <w:gridCol w:w="1066"/>
        <w:gridCol w:w="1061"/>
        <w:gridCol w:w="1066"/>
        <w:gridCol w:w="1061"/>
        <w:gridCol w:w="1066"/>
        <w:gridCol w:w="1061"/>
        <w:gridCol w:w="1066"/>
        <w:gridCol w:w="1061"/>
      </w:tblGrid>
      <w:tr>
        <w:trPr>
          <w:trHeight w:val="404" w:hRule="exact"/>
        </w:trPr>
        <w:tc>
          <w:tcPr>
            <w:tcW w:w="106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left="345"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10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left="168"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3188"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1"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3193"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1"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06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left="16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715" w:hRule="exact"/>
        </w:trPr>
        <w:tc>
          <w:tcPr>
            <w:tcW w:w="1061" w:type="dxa"/>
            <w:vMerge/>
            <w:tcBorders>
              <w:left w:val="single" w:sz="4" w:space="0" w:color="000000"/>
              <w:bottom w:val="single" w:sz="4" w:space="0" w:color="000000"/>
              <w:right w:val="single" w:sz="4" w:space="0" w:color="000000"/>
            </w:tcBorders>
            <w:shd w:val="clear" w:color="auto" w:fill="D2D2D2"/>
          </w:tcPr>
          <w:p>
            <w:pPr/>
          </w:p>
        </w:tc>
        <w:tc>
          <w:tcPr>
            <w:tcW w:w="1066" w:type="dxa"/>
            <w:vMerge/>
            <w:tcBorders>
              <w:left w:val="single" w:sz="4" w:space="0" w:color="000000"/>
              <w:bottom w:val="single" w:sz="4" w:space="0" w:color="000000"/>
              <w:right w:val="single" w:sz="4" w:space="0" w:color="000000"/>
            </w:tcBorders>
            <w:shd w:val="clear" w:color="auto" w:fill="D2D2D2"/>
          </w:tcPr>
          <w:p>
            <w:pP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345" w:right="156" w:hanging="178"/>
              <w:jc w:val="left"/>
              <w:rPr>
                <w:rFonts w:ascii="宋体" w:hAnsi="宋体" w:cs="宋体" w:eastAsia="宋体" w:hint="default"/>
                <w:sz w:val="18"/>
                <w:szCs w:val="18"/>
              </w:rPr>
            </w:pPr>
            <w:r>
              <w:rPr>
                <w:rFonts w:ascii="宋体" w:hAnsi="宋体" w:cs="宋体" w:eastAsia="宋体" w:hint="default"/>
                <w:sz w:val="18"/>
                <w:szCs w:val="18"/>
              </w:rPr>
              <w:t>内部开发</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支出</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46"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259" w:right="161" w:hanging="92"/>
              <w:jc w:val="left"/>
              <w:rPr>
                <w:rFonts w:ascii="宋体" w:hAnsi="宋体" w:cs="宋体" w:eastAsia="宋体" w:hint="default"/>
                <w:sz w:val="18"/>
                <w:szCs w:val="18"/>
              </w:rPr>
            </w:pPr>
            <w:r>
              <w:rPr>
                <w:rFonts w:ascii="宋体" w:hAnsi="宋体" w:cs="宋体" w:eastAsia="宋体" w:hint="default"/>
                <w:sz w:val="18"/>
                <w:szCs w:val="18"/>
              </w:rPr>
              <w:t>确认为无</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形资产</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340" w:right="161" w:hanging="178"/>
              <w:jc w:val="left"/>
              <w:rPr>
                <w:rFonts w:ascii="宋体" w:hAnsi="宋体" w:cs="宋体" w:eastAsia="宋体" w:hint="default"/>
                <w:sz w:val="18"/>
                <w:szCs w:val="18"/>
              </w:rPr>
            </w:pPr>
            <w:r>
              <w:rPr>
                <w:rFonts w:ascii="宋体" w:hAnsi="宋体" w:cs="宋体" w:eastAsia="宋体" w:hint="default"/>
                <w:sz w:val="18"/>
                <w:szCs w:val="18"/>
              </w:rPr>
              <w:t>转入当期</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损益</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061" w:type="dxa"/>
            <w:vMerge/>
            <w:tcBorders>
              <w:left w:val="single" w:sz="4" w:space="0" w:color="000000"/>
              <w:bottom w:val="single" w:sz="4" w:space="0" w:color="000000"/>
              <w:right w:val="single" w:sz="4" w:space="0" w:color="000000"/>
            </w:tcBorders>
            <w:shd w:val="clear" w:color="auto" w:fill="D2D2D2"/>
          </w:tcPr>
          <w:p>
            <w:pPr/>
          </w:p>
        </w:tc>
      </w:tr>
      <w:tr>
        <w:trPr>
          <w:trHeight w:val="398" w:hRule="exact"/>
        </w:trPr>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4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066"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r>
    </w:tbl>
    <w:p>
      <w:pPr>
        <w:pStyle w:val="BodyText"/>
        <w:spacing w:line="357" w:lineRule="auto" w:before="53"/>
        <w:ind w:right="9861"/>
        <w:jc w:val="left"/>
      </w:pPr>
      <w:r>
        <w:rPr/>
        <w:t>其他说明</w:t>
      </w:r>
      <w:r>
        <w:rPr>
          <w:spacing w:val="-86"/>
        </w:rPr>
        <w:t> </w:t>
      </w:r>
      <w:r>
        <w:rPr>
          <w:spacing w:val="-86"/>
        </w:rPr>
      </w:r>
      <w:r>
        <w:rPr/>
        <w:t>无。</w:t>
      </w:r>
    </w:p>
    <w:p>
      <w:pPr>
        <w:spacing w:line="240" w:lineRule="auto" w:before="3"/>
        <w:rPr>
          <w:rFonts w:ascii="宋体" w:hAnsi="宋体" w:cs="宋体" w:eastAsia="宋体" w:hint="default"/>
          <w:sz w:val="20"/>
          <w:szCs w:val="20"/>
        </w:rPr>
      </w:pPr>
    </w:p>
    <w:p>
      <w:pPr>
        <w:pStyle w:val="Heading4"/>
        <w:spacing w:line="240" w:lineRule="auto"/>
        <w:ind w:right="0"/>
        <w:jc w:val="left"/>
        <w:rPr>
          <w:b w:val="0"/>
          <w:bCs w:val="0"/>
        </w:rPr>
      </w:pPr>
      <w:bookmarkStart w:name="28、商誉" w:id="321"/>
      <w:bookmarkEnd w:id="321"/>
      <w:r>
        <w:rPr>
          <w:b w:val="0"/>
          <w:bCs w:val="0"/>
        </w:rPr>
      </w:r>
      <w:r>
        <w:rPr>
          <w:rFonts w:ascii="Times New Roman" w:hAnsi="Times New Roman" w:cs="Times New Roman" w:eastAsia="Times New Roman" w:hint="default"/>
        </w:rPr>
        <w:t>28</w:t>
      </w:r>
      <w:r>
        <w:rPr/>
        <w:t>、商誉</w:t>
      </w:r>
      <w:r>
        <w:rPr>
          <w:b w:val="0"/>
          <w:bCs w:val="0"/>
        </w:rPr>
      </w:r>
    </w:p>
    <w:p>
      <w:pPr>
        <w:spacing w:line="240" w:lineRule="auto" w:before="5"/>
        <w:rPr>
          <w:rFonts w:ascii="宋体" w:hAnsi="宋体" w:cs="宋体" w:eastAsia="宋体" w:hint="default"/>
          <w:b/>
          <w:bCs/>
          <w:sz w:val="24"/>
          <w:szCs w:val="24"/>
        </w:rPr>
      </w:pPr>
    </w:p>
    <w:p>
      <w:pPr>
        <w:pStyle w:val="Heading4"/>
        <w:spacing w:line="240" w:lineRule="auto"/>
        <w:ind w:right="0"/>
        <w:jc w:val="left"/>
        <w:rPr>
          <w:b w:val="0"/>
          <w:bCs w:val="0"/>
        </w:rPr>
      </w:pPr>
      <w:bookmarkStart w:name="（1）商誉账面原值" w:id="322"/>
      <w:bookmarkEnd w:id="322"/>
      <w:r>
        <w:rPr>
          <w:b w:val="0"/>
          <w:bCs w:val="0"/>
        </w:rPr>
      </w:r>
      <w:r>
        <w:rPr/>
        <w:t>（</w:t>
      </w:r>
      <w:r>
        <w:rPr>
          <w:rFonts w:ascii="Times New Roman" w:hAnsi="Times New Roman" w:cs="Times New Roman" w:eastAsia="Times New Roman" w:hint="default"/>
        </w:rPr>
        <w:t>1</w:t>
      </w:r>
      <w:r>
        <w:rPr/>
        <w:t>）商誉账面原值</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369"/>
        <w:gridCol w:w="1368"/>
        <w:gridCol w:w="1364"/>
        <w:gridCol w:w="1368"/>
        <w:gridCol w:w="1368"/>
        <w:gridCol w:w="1369"/>
        <w:gridCol w:w="1369"/>
      </w:tblGrid>
      <w:tr>
        <w:trPr>
          <w:trHeight w:val="403" w:hRule="exact"/>
        </w:trPr>
        <w:tc>
          <w:tcPr>
            <w:tcW w:w="1369"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101"/>
              <w:ind w:left="139" w:right="132"/>
              <w:jc w:val="center"/>
              <w:rPr>
                <w:rFonts w:ascii="宋体" w:hAnsi="宋体" w:cs="宋体" w:eastAsia="宋体" w:hint="default"/>
                <w:sz w:val="18"/>
                <w:szCs w:val="18"/>
              </w:rPr>
            </w:pPr>
            <w:r>
              <w:rPr>
                <w:rFonts w:ascii="宋体" w:hAnsi="宋体" w:cs="宋体" w:eastAsia="宋体" w:hint="default"/>
                <w:spacing w:val="-2"/>
                <w:sz w:val="18"/>
                <w:szCs w:val="18"/>
              </w:rPr>
              <w:t>被投资单位名</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2"/>
                <w:sz w:val="18"/>
                <w:szCs w:val="18"/>
              </w:rPr>
              <w:t>称或形成商誉</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的事项</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321"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本期增加</w:t>
            </w:r>
          </w:p>
        </w:tc>
        <w:tc>
          <w:tcPr>
            <w:tcW w:w="273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本期减少</w:t>
            </w:r>
          </w:p>
        </w:tc>
        <w:tc>
          <w:tcPr>
            <w:tcW w:w="136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716" w:hRule="exact"/>
        </w:trPr>
        <w:tc>
          <w:tcPr>
            <w:tcW w:w="1369"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4"/>
              <w:ind w:left="586" w:right="132" w:hanging="452"/>
              <w:jc w:val="left"/>
              <w:rPr>
                <w:rFonts w:ascii="宋体" w:hAnsi="宋体" w:cs="宋体" w:eastAsia="宋体" w:hint="default"/>
                <w:sz w:val="18"/>
                <w:szCs w:val="18"/>
              </w:rPr>
            </w:pPr>
            <w:r>
              <w:rPr>
                <w:rFonts w:ascii="宋体" w:hAnsi="宋体" w:cs="宋体" w:eastAsia="宋体" w:hint="default"/>
                <w:spacing w:val="-2"/>
                <w:sz w:val="18"/>
                <w:szCs w:val="18"/>
              </w:rPr>
              <w:t>企业合并形成</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的</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处置</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369" w:type="dxa"/>
            <w:vMerge/>
            <w:tcBorders>
              <w:left w:val="single" w:sz="4" w:space="0" w:color="000000"/>
              <w:bottom w:val="single" w:sz="4" w:space="0" w:color="000000"/>
              <w:right w:val="single" w:sz="4" w:space="0" w:color="000000"/>
            </w:tcBorders>
            <w:shd w:val="clear" w:color="auto" w:fill="D2D2D2"/>
          </w:tcPr>
          <w:p>
            <w:pPr/>
          </w:p>
        </w:tc>
      </w:tr>
      <w:tr>
        <w:trPr>
          <w:trHeight w:val="1022"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05" w:right="166"/>
              <w:jc w:val="both"/>
              <w:rPr>
                <w:rFonts w:ascii="宋体" w:hAnsi="宋体" w:cs="宋体" w:eastAsia="宋体" w:hint="default"/>
                <w:sz w:val="18"/>
                <w:szCs w:val="18"/>
              </w:rPr>
            </w:pPr>
            <w:r>
              <w:rPr>
                <w:rFonts w:ascii="宋体" w:hAnsi="宋体" w:cs="宋体" w:eastAsia="宋体" w:hint="default"/>
                <w:spacing w:val="-2"/>
                <w:sz w:val="18"/>
                <w:szCs w:val="18"/>
              </w:rPr>
              <w:t>上海奥拓翰明</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计算机科技有</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限公司</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9,163,592.38</w:t>
            </w:r>
          </w:p>
        </w:tc>
        <w:tc>
          <w:tcPr>
            <w:tcW w:w="1364"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9,163,592.38</w:t>
            </w:r>
          </w:p>
        </w:tc>
      </w:tr>
      <w:tr>
        <w:trPr>
          <w:trHeight w:val="1028"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9"/>
              <w:ind w:left="105" w:right="166"/>
              <w:jc w:val="both"/>
              <w:rPr>
                <w:rFonts w:ascii="宋体" w:hAnsi="宋体" w:cs="宋体" w:eastAsia="宋体" w:hint="default"/>
                <w:sz w:val="18"/>
                <w:szCs w:val="18"/>
              </w:rPr>
            </w:pPr>
            <w:r>
              <w:rPr>
                <w:rFonts w:ascii="宋体" w:hAnsi="宋体" w:cs="宋体" w:eastAsia="宋体" w:hint="default"/>
                <w:spacing w:val="-2"/>
                <w:sz w:val="18"/>
                <w:szCs w:val="18"/>
              </w:rPr>
              <w:t>深圳市千百辉</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照明工程有限</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公司</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181,366,175.43</w:t>
            </w:r>
          </w:p>
        </w:tc>
        <w:tc>
          <w:tcPr>
            <w:tcW w:w="1364"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181,366,175.43</w:t>
            </w: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190,529,767.81</w:t>
            </w:r>
          </w:p>
        </w:tc>
        <w:tc>
          <w:tcPr>
            <w:tcW w:w="1364"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190,529,767.81</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2）商誉减值准备" w:id="323"/>
      <w:bookmarkEnd w:id="323"/>
      <w:r>
        <w:rPr>
          <w:b w:val="0"/>
          <w:bCs w:val="0"/>
        </w:rPr>
      </w:r>
      <w:r>
        <w:rPr/>
        <w:t>（</w:t>
      </w:r>
      <w:r>
        <w:rPr>
          <w:rFonts w:ascii="Times New Roman" w:hAnsi="Times New Roman" w:cs="Times New Roman" w:eastAsia="Times New Roman" w:hint="default"/>
        </w:rPr>
        <w:t>2</w:t>
      </w:r>
      <w:r>
        <w:rPr/>
        <w:t>）商誉减值准备</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369"/>
        <w:gridCol w:w="1368"/>
        <w:gridCol w:w="1364"/>
        <w:gridCol w:w="1368"/>
        <w:gridCol w:w="1368"/>
        <w:gridCol w:w="1369"/>
        <w:gridCol w:w="1369"/>
      </w:tblGrid>
      <w:tr>
        <w:trPr>
          <w:trHeight w:val="398" w:hRule="exact"/>
        </w:trPr>
        <w:tc>
          <w:tcPr>
            <w:tcW w:w="1369"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3"/>
              <w:ind w:left="139" w:right="132"/>
              <w:jc w:val="center"/>
              <w:rPr>
                <w:rFonts w:ascii="宋体" w:hAnsi="宋体" w:cs="宋体" w:eastAsia="宋体" w:hint="default"/>
                <w:sz w:val="18"/>
                <w:szCs w:val="18"/>
              </w:rPr>
            </w:pPr>
            <w:r>
              <w:rPr>
                <w:rFonts w:ascii="宋体" w:hAnsi="宋体" w:cs="宋体" w:eastAsia="宋体" w:hint="default"/>
                <w:spacing w:val="-2"/>
                <w:sz w:val="18"/>
                <w:szCs w:val="18"/>
              </w:rPr>
              <w:t>被投资单位名</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2"/>
                <w:sz w:val="18"/>
                <w:szCs w:val="18"/>
              </w:rPr>
              <w:t>称或形成商誉</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的事项</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321"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本期增加</w:t>
            </w:r>
          </w:p>
        </w:tc>
        <w:tc>
          <w:tcPr>
            <w:tcW w:w="273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本期减少</w:t>
            </w:r>
          </w:p>
        </w:tc>
        <w:tc>
          <w:tcPr>
            <w:tcW w:w="136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317"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624" w:hRule="exact"/>
        </w:trPr>
        <w:tc>
          <w:tcPr>
            <w:tcW w:w="1369"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计提</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处置</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9"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r>
    </w:tbl>
    <w:p>
      <w:pPr>
        <w:pStyle w:val="BodyText"/>
        <w:spacing w:line="357" w:lineRule="auto" w:before="53"/>
        <w:ind w:left="422" w:right="0" w:hanging="269"/>
        <w:jc w:val="left"/>
      </w:pPr>
      <w:r>
        <w:rPr>
          <w:spacing w:val="-3"/>
        </w:rPr>
        <w:t>商誉所在资产组或资产组组合的相关信息</w:t>
      </w:r>
      <w:r>
        <w:rPr>
          <w:spacing w:val="-33"/>
        </w:rPr>
        <w:t> </w:t>
      </w:r>
      <w:r>
        <w:rPr>
          <w:spacing w:val="-33"/>
        </w:rPr>
      </w:r>
      <w:r>
        <w:rPr>
          <w:rFonts w:ascii="宋体" w:hAnsi="宋体" w:cs="宋体" w:eastAsia="宋体" w:hint="default"/>
          <w:spacing w:val="-3"/>
        </w:rPr>
        <w:t>1</w:t>
      </w:r>
      <w:r>
        <w:rPr>
          <w:spacing w:val="-3"/>
        </w:rPr>
        <w:t>、合并上海奥拓翰明计算机科技有限公司所形成的商誉及相关资产组范围为：直接归属于资产组的固定资产和商誉；</w:t>
      </w:r>
    </w:p>
    <w:p>
      <w:pPr>
        <w:pStyle w:val="BodyText"/>
        <w:spacing w:line="340" w:lineRule="auto" w:before="0"/>
        <w:ind w:right="0" w:firstLine="268"/>
        <w:jc w:val="left"/>
      </w:pPr>
      <w:r>
        <w:rPr>
          <w:rFonts w:ascii="宋体" w:hAnsi="宋体" w:cs="宋体" w:eastAsia="宋体" w:hint="default"/>
          <w:spacing w:val="-5"/>
        </w:rPr>
        <w:t>2</w:t>
      </w:r>
      <w:r>
        <w:rPr>
          <w:spacing w:val="-5"/>
        </w:rPr>
        <w:t>、合并深圳市千百辉照明工程有限公司所形成的商誉及相关资产组范围为：直接归属于资产组的车辆、电子设备（含其</w:t>
      </w:r>
      <w:r>
        <w:rPr>
          <w:w w:val="101"/>
        </w:rPr>
        <w:t> </w:t>
      </w:r>
      <w:r>
        <w:rPr>
          <w:spacing w:val="-3"/>
        </w:rPr>
        <w:t>他设备）、无形资产以及商誉。</w:t>
      </w:r>
      <w:r>
        <w:rPr>
          <w:spacing w:val="-45"/>
        </w:rPr>
        <w:t> </w:t>
      </w:r>
      <w:r>
        <w:rPr>
          <w:spacing w:val="-45"/>
        </w:rPr>
      </w:r>
      <w:r>
        <w:rPr>
          <w:spacing w:val="-4"/>
        </w:rPr>
        <w:t>说明商誉减值测试过程、关键参数（如预计未来现金流量现值时的预测期增长率、稳定期增长率、利润率、折现率、预测期</w:t>
      </w:r>
    </w:p>
    <w:p>
      <w:pPr>
        <w:spacing w:after="0" w:line="340" w:lineRule="auto"/>
        <w:jc w:val="left"/>
        <w:sectPr>
          <w:pgSz w:w="11910" w:h="16840"/>
          <w:pgMar w:header="784" w:footer="1022" w:top="1100" w:bottom="1220" w:left="980" w:right="0"/>
        </w:sectPr>
      </w:pPr>
    </w:p>
    <w:p>
      <w:pPr>
        <w:spacing w:line="240" w:lineRule="auto" w:before="2"/>
        <w:rPr>
          <w:rFonts w:ascii="宋体" w:hAnsi="宋体" w:cs="宋体" w:eastAsia="宋体" w:hint="default"/>
          <w:sz w:val="23"/>
          <w:szCs w:val="23"/>
        </w:rPr>
      </w:pPr>
    </w:p>
    <w:p>
      <w:pPr>
        <w:pStyle w:val="BodyText"/>
        <w:spacing w:line="352" w:lineRule="auto"/>
        <w:ind w:left="484" w:right="0" w:hanging="332"/>
        <w:jc w:val="left"/>
      </w:pPr>
      <w:r>
        <w:rPr>
          <w:spacing w:val="-3"/>
        </w:rPr>
        <w:t>等）及商誉减值损失的确认方法：</w:t>
      </w:r>
      <w:r>
        <w:rPr>
          <w:spacing w:val="-44"/>
        </w:rPr>
        <w:t> </w:t>
      </w:r>
      <w:r>
        <w:rPr>
          <w:spacing w:val="-44"/>
        </w:rPr>
      </w:r>
      <w:r>
        <w:rPr>
          <w:spacing w:val="-2"/>
        </w:rPr>
        <w:t>本公司采用预计未来现金流现值的方法计算资产组的可收回金额。本公司根据管理层批准的财务预算预计未来</w:t>
      </w:r>
      <w:r>
        <w:rPr>
          <w:rFonts w:ascii="宋体" w:hAnsi="宋体" w:cs="宋体" w:eastAsia="宋体" w:hint="default"/>
          <w:spacing w:val="-2"/>
        </w:rPr>
        <w:t>5</w:t>
      </w:r>
      <w:r>
        <w:rPr>
          <w:spacing w:val="-2"/>
        </w:rPr>
        <w:t>年内现</w:t>
      </w:r>
    </w:p>
    <w:p>
      <w:pPr>
        <w:pStyle w:val="BodyText"/>
        <w:spacing w:line="319" w:lineRule="auto" w:before="0"/>
        <w:ind w:right="0"/>
        <w:jc w:val="left"/>
      </w:pPr>
      <w:r>
        <w:rPr>
          <w:spacing w:val="-4"/>
        </w:rPr>
        <w:t>金流量，其后年度采用的现金流量增长率预计为零，不会超过资产组经营业务的长期平均增长率。管理层根据过往表现及其</w:t>
      </w:r>
      <w:r>
        <w:rPr>
          <w:spacing w:val="43"/>
        </w:rPr>
        <w:t> </w:t>
      </w:r>
      <w:r>
        <w:rPr>
          <w:spacing w:val="43"/>
        </w:rPr>
      </w:r>
      <w:r>
        <w:rPr>
          <w:spacing w:val="-6"/>
          <w:w w:val="101"/>
        </w:rPr>
        <w:t>对市场发展的预期编制上述财务预算。计算未来现金流现值所采用的税前折现率为</w:t>
      </w:r>
      <w:r>
        <w:rPr>
          <w:rFonts w:ascii="宋体" w:hAnsi="宋体" w:cs="宋体" w:eastAsia="宋体" w:hint="default"/>
          <w:spacing w:val="-6"/>
          <w:w w:val="101"/>
        </w:rPr>
        <w:t>18.14%</w:t>
      </w:r>
      <w:r>
        <w:rPr>
          <w:spacing w:val="-6"/>
          <w:w w:val="101"/>
        </w:rPr>
        <w:t>，已反映了相对于有关分部的风险。</w:t>
      </w:r>
      <w:r>
        <w:rPr>
          <w:spacing w:val="-53"/>
          <w:w w:val="101"/>
        </w:rPr>
        <w:t> </w:t>
      </w:r>
      <w:r>
        <w:rPr>
          <w:spacing w:val="-53"/>
          <w:w w:val="101"/>
        </w:rPr>
      </w:r>
      <w:r>
        <w:rPr>
          <w:spacing w:val="-3"/>
        </w:rPr>
        <w:t>根据减值测试的结果，本期期末对上海奥拓翰明计算机科技有限公司商誉未发生减值。</w:t>
      </w:r>
    </w:p>
    <w:p>
      <w:pPr>
        <w:pStyle w:val="BodyText"/>
        <w:spacing w:line="316" w:lineRule="auto" w:before="17"/>
        <w:ind w:right="0" w:firstLine="364"/>
        <w:jc w:val="left"/>
      </w:pPr>
      <w:r>
        <w:rPr>
          <w:spacing w:val="-3"/>
        </w:rPr>
        <w:t>本公司采用预计未来现金流现值的方法计算资产组的可收回金额。本公司根据管理层批准的财务预算预计未来</w:t>
      </w:r>
      <w:r>
        <w:rPr>
          <w:rFonts w:ascii="宋体" w:hAnsi="宋体" w:cs="宋体" w:eastAsia="宋体" w:hint="default"/>
          <w:spacing w:val="-3"/>
        </w:rPr>
        <w:t>5</w:t>
      </w:r>
      <w:r>
        <w:rPr>
          <w:spacing w:val="-3"/>
        </w:rPr>
        <w:t>年内现</w:t>
      </w:r>
      <w:r>
        <w:rPr>
          <w:w w:val="101"/>
        </w:rPr>
        <w:t> </w:t>
      </w:r>
      <w:r>
        <w:rPr>
          <w:spacing w:val="-4"/>
        </w:rPr>
        <w:t>金流量，其后年度采用的现金流量增长率预计为零，不会超过资产组经营业务的长期平均增长率。管理层根据过往表现及其</w:t>
      </w:r>
      <w:r>
        <w:rPr>
          <w:spacing w:val="43"/>
        </w:rPr>
        <w:t> </w:t>
      </w:r>
      <w:r>
        <w:rPr>
          <w:spacing w:val="43"/>
        </w:rPr>
      </w:r>
      <w:r>
        <w:rPr>
          <w:spacing w:val="-6"/>
          <w:w w:val="101"/>
        </w:rPr>
        <w:t>对市场发展的预期编制上述财务预算。计算未来现金流现值所采用的税前折现率为</w:t>
      </w:r>
      <w:r>
        <w:rPr>
          <w:rFonts w:ascii="宋体" w:hAnsi="宋体" w:cs="宋体" w:eastAsia="宋体" w:hint="default"/>
          <w:spacing w:val="-6"/>
          <w:w w:val="101"/>
        </w:rPr>
        <w:t>14.41%</w:t>
      </w:r>
      <w:r>
        <w:rPr>
          <w:spacing w:val="-6"/>
          <w:w w:val="101"/>
        </w:rPr>
        <w:t>，已反映了相对于有关分部的风险。</w:t>
      </w:r>
      <w:r>
        <w:rPr>
          <w:spacing w:val="-53"/>
          <w:w w:val="101"/>
        </w:rPr>
        <w:t> </w:t>
      </w:r>
      <w:r>
        <w:rPr>
          <w:spacing w:val="-53"/>
          <w:w w:val="101"/>
        </w:rPr>
      </w:r>
      <w:r>
        <w:rPr>
          <w:spacing w:val="-3"/>
        </w:rPr>
        <w:t>根据减值测试的结果，本期期末对深圳市千百辉照明工程有限公司商誉未发生减值</w:t>
      </w:r>
    </w:p>
    <w:p>
      <w:pPr>
        <w:pStyle w:val="BodyText"/>
        <w:spacing w:line="360" w:lineRule="auto" w:before="62"/>
        <w:ind w:left="422" w:right="6445" w:hanging="269"/>
        <w:jc w:val="left"/>
      </w:pPr>
      <w:r>
        <w:rPr>
          <w:spacing w:val="-3"/>
        </w:rPr>
        <w:t>商誉减值测试的影响</w:t>
      </w:r>
      <w:r>
        <w:rPr>
          <w:spacing w:val="-62"/>
        </w:rPr>
        <w:t> </w:t>
      </w:r>
      <w:r>
        <w:rPr>
          <w:spacing w:val="-62"/>
        </w:rPr>
      </w:r>
      <w:r>
        <w:rPr>
          <w:spacing w:val="-3"/>
        </w:rPr>
        <w:t>经减值测算，本公司商誉所属资产组未发生减值。</w:t>
      </w:r>
      <w:r>
        <w:rPr>
          <w:w w:val="101"/>
        </w:rPr>
        <w:t> </w:t>
      </w:r>
      <w:r>
        <w:rPr/>
        <w:t>其他说明</w:t>
      </w:r>
    </w:p>
    <w:p>
      <w:pPr>
        <w:pStyle w:val="BodyText"/>
        <w:spacing w:line="240" w:lineRule="auto" w:before="25"/>
        <w:ind w:right="0"/>
        <w:jc w:val="left"/>
      </w:pPr>
      <w:r>
        <w:rPr/>
        <w:t>无。</w:t>
      </w:r>
    </w:p>
    <w:p>
      <w:pPr>
        <w:spacing w:line="240" w:lineRule="auto" w:before="0"/>
        <w:rPr>
          <w:rFonts w:ascii="宋体" w:hAnsi="宋体" w:cs="宋体" w:eastAsia="宋体" w:hint="default"/>
          <w:sz w:val="18"/>
          <w:szCs w:val="18"/>
        </w:rPr>
      </w:pPr>
    </w:p>
    <w:p>
      <w:pPr>
        <w:pStyle w:val="Heading4"/>
        <w:spacing w:line="240" w:lineRule="auto" w:before="118"/>
        <w:ind w:right="0"/>
        <w:jc w:val="left"/>
        <w:rPr>
          <w:b w:val="0"/>
          <w:bCs w:val="0"/>
        </w:rPr>
      </w:pPr>
      <w:bookmarkStart w:name="29、长期待摊费用" w:id="324"/>
      <w:bookmarkEnd w:id="324"/>
      <w:r>
        <w:rPr>
          <w:b w:val="0"/>
          <w:bCs w:val="0"/>
        </w:rPr>
      </w:r>
      <w:r>
        <w:rPr>
          <w:rFonts w:ascii="Times New Roman" w:hAnsi="Times New Roman" w:cs="Times New Roman" w:eastAsia="Times New Roman" w:hint="default"/>
        </w:rPr>
        <w:t>29</w:t>
      </w:r>
      <w:r>
        <w:rPr/>
        <w:t>、长期待摊费用</w:t>
      </w:r>
      <w:r>
        <w:rPr>
          <w:b w:val="0"/>
          <w:bCs w:val="0"/>
        </w:rPr>
      </w:r>
    </w:p>
    <w:p>
      <w:pPr>
        <w:spacing w:line="240" w:lineRule="auto" w:before="9"/>
        <w:rPr>
          <w:rFonts w:ascii="宋体" w:hAnsi="宋体" w:cs="宋体" w:eastAsia="宋体" w:hint="default"/>
          <w:b/>
          <w:bCs/>
          <w:sz w:val="26"/>
          <w:szCs w:val="26"/>
        </w:rPr>
      </w:pPr>
    </w:p>
    <w:p>
      <w:pPr>
        <w:pStyle w:val="BodyText"/>
        <w:spacing w:line="240" w:lineRule="auto" w:before="0"/>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594"/>
        <w:gridCol w:w="1599"/>
        <w:gridCol w:w="1595"/>
        <w:gridCol w:w="1594"/>
        <w:gridCol w:w="1594"/>
        <w:gridCol w:w="1594"/>
      </w:tblGrid>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37"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50"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9" w:right="0"/>
              <w:jc w:val="left"/>
              <w:rPr>
                <w:rFonts w:ascii="宋体" w:hAnsi="宋体" w:cs="宋体" w:eastAsia="宋体" w:hint="default"/>
                <w:sz w:val="18"/>
                <w:szCs w:val="18"/>
              </w:rPr>
            </w:pPr>
            <w:r>
              <w:rPr>
                <w:rFonts w:ascii="宋体" w:hAnsi="宋体" w:cs="宋体" w:eastAsia="宋体" w:hint="default"/>
                <w:sz w:val="18"/>
                <w:szCs w:val="18"/>
              </w:rPr>
              <w:t>本期摊销金额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9" w:right="0"/>
              <w:jc w:val="left"/>
              <w:rPr>
                <w:rFonts w:ascii="宋体" w:hAnsi="宋体" w:cs="宋体" w:eastAsia="宋体" w:hint="default"/>
                <w:sz w:val="18"/>
                <w:szCs w:val="18"/>
              </w:rPr>
            </w:pPr>
            <w:r>
              <w:rPr>
                <w:rFonts w:ascii="宋体" w:hAnsi="宋体" w:cs="宋体" w:eastAsia="宋体" w:hint="default"/>
                <w:sz w:val="18"/>
                <w:szCs w:val="18"/>
              </w:rPr>
              <w:t>其他减少金额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32"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4"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装修费用</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3,138,236.64</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580,718.44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1,102,778.87</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2,616,176.21</w:t>
            </w: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3,138,236.64</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580,718.44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1,102,778.87</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2,616,176.21</w:t>
            </w:r>
          </w:p>
        </w:tc>
      </w:tr>
    </w:tbl>
    <w:p>
      <w:pPr>
        <w:pStyle w:val="BodyText"/>
        <w:spacing w:line="352" w:lineRule="auto" w:before="53"/>
        <w:ind w:right="10031"/>
        <w:jc w:val="left"/>
      </w:pPr>
      <w:r>
        <w:rPr/>
        <w:t>其他说明</w:t>
      </w:r>
      <w:r>
        <w:rPr>
          <w:spacing w:val="-86"/>
        </w:rPr>
        <w:t> </w:t>
      </w:r>
      <w:r>
        <w:rPr>
          <w:spacing w:val="-86"/>
        </w:rPr>
      </w:r>
      <w:r>
        <w:rPr/>
        <w:t>无。</w:t>
      </w:r>
    </w:p>
    <w:p>
      <w:pPr>
        <w:spacing w:line="240" w:lineRule="auto" w:before="7"/>
        <w:rPr>
          <w:rFonts w:ascii="宋体" w:hAnsi="宋体" w:cs="宋体" w:eastAsia="宋体" w:hint="default"/>
          <w:sz w:val="20"/>
          <w:szCs w:val="20"/>
        </w:rPr>
      </w:pPr>
    </w:p>
    <w:p>
      <w:pPr>
        <w:pStyle w:val="Heading4"/>
        <w:spacing w:line="240" w:lineRule="auto"/>
        <w:ind w:right="0"/>
        <w:jc w:val="left"/>
        <w:rPr>
          <w:b w:val="0"/>
          <w:bCs w:val="0"/>
        </w:rPr>
      </w:pPr>
      <w:bookmarkStart w:name="30、递延所得税资产/递延所得税负债" w:id="325"/>
      <w:bookmarkEnd w:id="325"/>
      <w:r>
        <w:rPr>
          <w:b w:val="0"/>
          <w:bCs w:val="0"/>
        </w:rPr>
      </w:r>
      <w:r>
        <w:rPr>
          <w:rFonts w:ascii="Times New Roman" w:hAnsi="Times New Roman" w:cs="Times New Roman" w:eastAsia="Times New Roman" w:hint="default"/>
        </w:rPr>
        <w:t>30</w:t>
      </w:r>
      <w:r>
        <w:rPr/>
        <w:t>、递延所得税资产</w:t>
      </w:r>
      <w:r>
        <w:rPr>
          <w:rFonts w:ascii="Times New Roman" w:hAnsi="Times New Roman" w:cs="Times New Roman" w:eastAsia="Times New Roman" w:hint="default"/>
        </w:rPr>
        <w:t>/</w:t>
      </w:r>
      <w:r>
        <w:rPr/>
        <w:t>递延所得税负债</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0"/>
        <w:jc w:val="left"/>
        <w:rPr>
          <w:b w:val="0"/>
          <w:bCs w:val="0"/>
        </w:rPr>
      </w:pPr>
      <w:bookmarkStart w:name="（1）未经抵销的递延所得税资产" w:id="326"/>
      <w:bookmarkEnd w:id="326"/>
      <w:r>
        <w:rPr>
          <w:b w:val="0"/>
          <w:bCs w:val="0"/>
        </w:rPr>
      </w:r>
      <w:r>
        <w:rPr/>
        <w:t>（</w:t>
      </w:r>
      <w:r>
        <w:rPr>
          <w:rFonts w:ascii="Times New Roman" w:hAnsi="Times New Roman" w:cs="Times New Roman" w:eastAsia="Times New Roman" w:hint="default"/>
        </w:rPr>
        <w:t>1</w:t>
      </w:r>
      <w:r>
        <w:rPr/>
        <w:t>）未经抵销的递延所得税资产</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11"/>
        <w:gridCol w:w="1921"/>
        <w:gridCol w:w="1911"/>
        <w:gridCol w:w="1916"/>
        <w:gridCol w:w="1916"/>
      </w:tblGrid>
      <w:tr>
        <w:trPr>
          <w:trHeight w:val="399" w:hRule="exact"/>
        </w:trPr>
        <w:tc>
          <w:tcPr>
            <w:tcW w:w="191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0"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3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5"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3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5"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1911" w:type="dxa"/>
            <w:vMerge/>
            <w:tcBorders>
              <w:left w:val="single" w:sz="4" w:space="0" w:color="000000"/>
              <w:bottom w:val="single" w:sz="4" w:space="0" w:color="000000"/>
              <w:right w:val="single" w:sz="4" w:space="0" w:color="000000"/>
            </w:tcBorders>
            <w:shd w:val="clear" w:color="auto" w:fill="D2D2D2"/>
          </w:tcPr>
          <w:p>
            <w:pPr/>
          </w:p>
        </w:tc>
        <w:tc>
          <w:tcPr>
            <w:tcW w:w="19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35"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21" w:right="0"/>
              <w:jc w:val="left"/>
              <w:rPr>
                <w:rFonts w:ascii="宋体" w:hAnsi="宋体" w:cs="宋体" w:eastAsia="宋体" w:hint="default"/>
                <w:sz w:val="18"/>
                <w:szCs w:val="18"/>
              </w:rPr>
            </w:pPr>
            <w:r>
              <w:rPr>
                <w:rFonts w:ascii="宋体" w:hAnsi="宋体" w:cs="宋体" w:eastAsia="宋体" w:hint="default"/>
                <w:spacing w:val="-3"/>
                <w:sz w:val="18"/>
                <w:szCs w:val="18"/>
              </w:rPr>
              <w:t>递延所得税资产</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35"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26" w:right="0"/>
              <w:jc w:val="left"/>
              <w:rPr>
                <w:rFonts w:ascii="宋体" w:hAnsi="宋体" w:cs="宋体" w:eastAsia="宋体" w:hint="default"/>
                <w:sz w:val="18"/>
                <w:szCs w:val="18"/>
              </w:rPr>
            </w:pPr>
            <w:r>
              <w:rPr>
                <w:rFonts w:ascii="宋体" w:hAnsi="宋体" w:cs="宋体" w:eastAsia="宋体" w:hint="default"/>
                <w:spacing w:val="-3"/>
                <w:sz w:val="18"/>
                <w:szCs w:val="18"/>
              </w:rPr>
              <w:t>递延所得税资产</w:t>
            </w: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资产减值准备</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125,072,007.90</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18,713,316.87</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80,673,510.34</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12,207,874.59</w:t>
            </w: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可抵扣亏损</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49,870,689.14</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8,808,358.76</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44,614,910.87</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8,472,979.44</w:t>
            </w:r>
          </w:p>
        </w:tc>
      </w:tr>
      <w:tr>
        <w:trPr>
          <w:trHeight w:val="399" w:hRule="exact"/>
        </w:trPr>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19,557,393.11</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2,933,608.97</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16,513,980.73</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2,587,730.11</w:t>
            </w: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内部交易未实现损益</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16,745,421.65</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2,867,554.06</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13,516,171.70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2,027,425.76</w:t>
            </w: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递延收益</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政府补助</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6,273,589.76</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941,038.46</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7,273,589.76</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1,091,038.46</w:t>
            </w: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等待期股权支付成本</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4,691,520.00</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703,219.25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5,202,366.66</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780,355.00</w:t>
            </w:r>
          </w:p>
        </w:tc>
      </w:tr>
      <w:tr>
        <w:trPr>
          <w:trHeight w:val="399"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222,210,621.56</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34,967,096.37</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167,794,530.06</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27,167,403.36</w:t>
            </w:r>
          </w:p>
        </w:tc>
      </w:tr>
    </w:tbl>
    <w:p>
      <w:pPr>
        <w:spacing w:after="0" w:line="240" w:lineRule="auto"/>
        <w:jc w:val="right"/>
        <w:rPr>
          <w:rFonts w:ascii="Times New Roman" w:hAnsi="Times New Roman" w:cs="Times New Roman" w:eastAsia="Times New Roman" w:hint="default"/>
          <w:sz w:val="18"/>
          <w:szCs w:val="18"/>
        </w:rPr>
        <w:sectPr>
          <w:pgSz w:w="11910" w:h="16840"/>
          <w:pgMar w:header="784" w:footer="1022" w:top="1100" w:bottom="1220" w:left="980" w:right="0"/>
        </w:sectPr>
      </w:pPr>
    </w:p>
    <w:p>
      <w:pPr>
        <w:spacing w:line="240" w:lineRule="auto" w:before="13"/>
        <w:rPr>
          <w:rFonts w:ascii="宋体" w:hAnsi="宋体" w:cs="宋体" w:eastAsia="宋体" w:hint="default"/>
          <w:sz w:val="21"/>
          <w:szCs w:val="21"/>
        </w:rPr>
      </w:pPr>
    </w:p>
    <w:p>
      <w:pPr>
        <w:pStyle w:val="Heading4"/>
        <w:spacing w:line="240" w:lineRule="auto" w:before="36"/>
        <w:ind w:right="0"/>
        <w:jc w:val="left"/>
        <w:rPr>
          <w:b w:val="0"/>
          <w:bCs w:val="0"/>
        </w:rPr>
      </w:pPr>
      <w:bookmarkStart w:name="（2）未经抵销的递延所得税负债" w:id="327"/>
      <w:bookmarkEnd w:id="327"/>
      <w:r>
        <w:rPr>
          <w:b w:val="0"/>
          <w:bCs w:val="0"/>
        </w:rPr>
      </w:r>
      <w:r>
        <w:rPr/>
        <w:t>（</w:t>
      </w:r>
      <w:r>
        <w:rPr>
          <w:rFonts w:ascii="Times New Roman" w:hAnsi="Times New Roman" w:cs="Times New Roman" w:eastAsia="Times New Roman" w:hint="default"/>
        </w:rPr>
        <w:t>2</w:t>
      </w:r>
      <w:r>
        <w:rPr/>
        <w:t>）未经抵销的递延所得税负债</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11"/>
        <w:gridCol w:w="1921"/>
        <w:gridCol w:w="1911"/>
        <w:gridCol w:w="1916"/>
        <w:gridCol w:w="1916"/>
      </w:tblGrid>
      <w:tr>
        <w:trPr>
          <w:trHeight w:val="404" w:hRule="exact"/>
        </w:trPr>
        <w:tc>
          <w:tcPr>
            <w:tcW w:w="191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0"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3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5"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3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5"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1911" w:type="dxa"/>
            <w:vMerge/>
            <w:tcBorders>
              <w:left w:val="single" w:sz="4" w:space="0" w:color="000000"/>
              <w:bottom w:val="single" w:sz="4" w:space="0" w:color="000000"/>
              <w:right w:val="single" w:sz="4" w:space="0" w:color="000000"/>
            </w:tcBorders>
            <w:shd w:val="clear" w:color="auto" w:fill="D2D2D2"/>
          </w:tcPr>
          <w:p>
            <w:pPr/>
          </w:p>
        </w:tc>
        <w:tc>
          <w:tcPr>
            <w:tcW w:w="19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35" w:right="0"/>
              <w:jc w:val="left"/>
              <w:rPr>
                <w:rFonts w:ascii="宋体" w:hAnsi="宋体" w:cs="宋体" w:eastAsia="宋体" w:hint="default"/>
                <w:sz w:val="18"/>
                <w:szCs w:val="18"/>
              </w:rPr>
            </w:pPr>
            <w:r>
              <w:rPr>
                <w:rFonts w:ascii="宋体" w:hAnsi="宋体" w:cs="宋体" w:eastAsia="宋体" w:hint="default"/>
                <w:sz w:val="18"/>
                <w:szCs w:val="18"/>
              </w:rPr>
              <w:t>应纳税暂时性差异</w:t>
            </w:r>
          </w:p>
        </w:tc>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21" w:right="0"/>
              <w:jc w:val="left"/>
              <w:rPr>
                <w:rFonts w:ascii="宋体" w:hAnsi="宋体" w:cs="宋体" w:eastAsia="宋体" w:hint="default"/>
                <w:sz w:val="18"/>
                <w:szCs w:val="18"/>
              </w:rPr>
            </w:pPr>
            <w:r>
              <w:rPr>
                <w:rFonts w:ascii="宋体" w:hAnsi="宋体" w:cs="宋体" w:eastAsia="宋体" w:hint="default"/>
                <w:spacing w:val="-3"/>
                <w:sz w:val="18"/>
                <w:szCs w:val="18"/>
              </w:rPr>
              <w:t>递延所得税负债</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35" w:right="0"/>
              <w:jc w:val="left"/>
              <w:rPr>
                <w:rFonts w:ascii="宋体" w:hAnsi="宋体" w:cs="宋体" w:eastAsia="宋体" w:hint="default"/>
                <w:sz w:val="18"/>
                <w:szCs w:val="18"/>
              </w:rPr>
            </w:pPr>
            <w:r>
              <w:rPr>
                <w:rFonts w:ascii="宋体" w:hAnsi="宋体" w:cs="宋体" w:eastAsia="宋体" w:hint="default"/>
                <w:sz w:val="18"/>
                <w:szCs w:val="18"/>
              </w:rPr>
              <w:t>应纳税暂时性差异</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26" w:right="0"/>
              <w:jc w:val="left"/>
              <w:rPr>
                <w:rFonts w:ascii="宋体" w:hAnsi="宋体" w:cs="宋体" w:eastAsia="宋体" w:hint="default"/>
                <w:sz w:val="18"/>
                <w:szCs w:val="18"/>
              </w:rPr>
            </w:pPr>
            <w:r>
              <w:rPr>
                <w:rFonts w:ascii="宋体" w:hAnsi="宋体" w:cs="宋体" w:eastAsia="宋体" w:hint="default"/>
                <w:spacing w:val="-3"/>
                <w:sz w:val="18"/>
                <w:szCs w:val="18"/>
              </w:rPr>
              <w:t>递延所得税负债</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3）以抵销后净额列示的递延所得税资产或负债" w:id="328"/>
      <w:bookmarkEnd w:id="328"/>
      <w:r>
        <w:rPr>
          <w:b w:val="0"/>
          <w:bCs w:val="0"/>
        </w:rPr>
      </w:r>
      <w:r>
        <w:rPr/>
        <w:t>（</w:t>
      </w:r>
      <w:r>
        <w:rPr>
          <w:rFonts w:ascii="Times New Roman" w:hAnsi="Times New Roman" w:cs="Times New Roman" w:eastAsia="Times New Roman" w:hint="default"/>
        </w:rPr>
        <w:t>3</w:t>
      </w:r>
      <w:r>
        <w:rPr/>
        <w:t>）以抵销后净额列示的递延所得税资产或负债</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11"/>
        <w:gridCol w:w="1921"/>
        <w:gridCol w:w="1913"/>
        <w:gridCol w:w="1914"/>
        <w:gridCol w:w="1916"/>
      </w:tblGrid>
      <w:tr>
        <w:trPr>
          <w:trHeight w:val="715"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326" w:right="142" w:hanging="183"/>
              <w:jc w:val="left"/>
              <w:rPr>
                <w:rFonts w:ascii="宋体" w:hAnsi="宋体" w:cs="宋体" w:eastAsia="宋体" w:hint="default"/>
                <w:sz w:val="18"/>
                <w:szCs w:val="18"/>
              </w:rPr>
            </w:pPr>
            <w:r>
              <w:rPr>
                <w:rFonts w:ascii="宋体" w:hAnsi="宋体" w:cs="宋体" w:eastAsia="宋体" w:hint="default"/>
                <w:spacing w:val="-3"/>
                <w:sz w:val="18"/>
                <w:szCs w:val="18"/>
              </w:rPr>
              <w:t>递延所得税资产和负</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pacing w:val="-3"/>
                <w:sz w:val="18"/>
                <w:szCs w:val="18"/>
              </w:rPr>
              <w:t>债期末互抵金额</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230" w:right="139" w:hanging="92"/>
              <w:jc w:val="left"/>
              <w:rPr>
                <w:rFonts w:ascii="宋体" w:hAnsi="宋体" w:cs="宋体" w:eastAsia="宋体" w:hint="default"/>
                <w:sz w:val="18"/>
                <w:szCs w:val="18"/>
              </w:rPr>
            </w:pPr>
            <w:r>
              <w:rPr>
                <w:rFonts w:ascii="宋体" w:hAnsi="宋体" w:cs="宋体" w:eastAsia="宋体" w:hint="default"/>
                <w:spacing w:val="-3"/>
                <w:sz w:val="18"/>
                <w:szCs w:val="18"/>
              </w:rPr>
              <w:t>抵销后递延所得税资</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产或负债期末余额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324" w:right="143" w:hanging="183"/>
              <w:jc w:val="left"/>
              <w:rPr>
                <w:rFonts w:ascii="宋体" w:hAnsi="宋体" w:cs="宋体" w:eastAsia="宋体" w:hint="default"/>
                <w:sz w:val="18"/>
                <w:szCs w:val="18"/>
              </w:rPr>
            </w:pPr>
            <w:r>
              <w:rPr>
                <w:rFonts w:ascii="宋体" w:hAnsi="宋体" w:cs="宋体" w:eastAsia="宋体" w:hint="default"/>
                <w:spacing w:val="-3"/>
                <w:sz w:val="18"/>
                <w:szCs w:val="18"/>
              </w:rPr>
              <w:t>递延所得税资产和负</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pacing w:val="-3"/>
                <w:sz w:val="18"/>
                <w:szCs w:val="18"/>
              </w:rPr>
              <w:t>债期初互抵金额</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235" w:right="137" w:hanging="92"/>
              <w:jc w:val="left"/>
              <w:rPr>
                <w:rFonts w:ascii="宋体" w:hAnsi="宋体" w:cs="宋体" w:eastAsia="宋体" w:hint="default"/>
                <w:sz w:val="18"/>
                <w:szCs w:val="18"/>
              </w:rPr>
            </w:pPr>
            <w:r>
              <w:rPr>
                <w:rFonts w:ascii="宋体" w:hAnsi="宋体" w:cs="宋体" w:eastAsia="宋体" w:hint="default"/>
                <w:spacing w:val="-3"/>
                <w:sz w:val="18"/>
                <w:szCs w:val="18"/>
              </w:rPr>
              <w:t>抵销后递延所得税资</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产或负债期初余额</w:t>
            </w: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递延所得税资产</w:t>
            </w:r>
          </w:p>
        </w:tc>
        <w:tc>
          <w:tcPr>
            <w:tcW w:w="1921"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763" w:right="0"/>
              <w:jc w:val="left"/>
              <w:rPr>
                <w:rFonts w:ascii="Times New Roman" w:hAnsi="Times New Roman" w:cs="Times New Roman" w:eastAsia="Times New Roman" w:hint="default"/>
                <w:sz w:val="18"/>
                <w:szCs w:val="18"/>
              </w:rPr>
            </w:pPr>
            <w:r>
              <w:rPr>
                <w:rFonts w:ascii="Times New Roman"/>
                <w:sz w:val="18"/>
              </w:rPr>
              <w:t>34,967,096.37</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768" w:right="0"/>
              <w:jc w:val="left"/>
              <w:rPr>
                <w:rFonts w:ascii="Times New Roman" w:hAnsi="Times New Roman" w:cs="Times New Roman" w:eastAsia="Times New Roman" w:hint="default"/>
                <w:sz w:val="18"/>
                <w:szCs w:val="18"/>
              </w:rPr>
            </w:pPr>
            <w:r>
              <w:rPr>
                <w:rFonts w:ascii="Times New Roman"/>
                <w:sz w:val="18"/>
              </w:rPr>
              <w:t>27,167,403.36</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4）未确认递延所得税资产明细" w:id="329"/>
      <w:bookmarkEnd w:id="329"/>
      <w:r>
        <w:rPr>
          <w:b w:val="0"/>
          <w:bCs w:val="0"/>
        </w:rPr>
      </w:r>
      <w:r>
        <w:rPr/>
        <w:t>（</w:t>
      </w:r>
      <w:r>
        <w:rPr>
          <w:rFonts w:ascii="Times New Roman" w:hAnsi="Times New Roman" w:cs="Times New Roman" w:eastAsia="Times New Roman" w:hint="default"/>
        </w:rPr>
        <w:t>4</w:t>
      </w:r>
      <w:r>
        <w:rPr/>
        <w:t>）未确认递延所得税资产明细</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10"/>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可抵扣亏损</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889,900.24</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2,051,370.55</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889,900.24</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2,051,370.55</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5）未确认递延所得税资产的可抵扣亏损将于以下年度到期" w:id="330"/>
      <w:bookmarkEnd w:id="330"/>
      <w:r>
        <w:rPr>
          <w:b w:val="0"/>
          <w:bCs w:val="0"/>
        </w:rPr>
      </w:r>
      <w:r>
        <w:rPr/>
        <w:t>（</w:t>
      </w:r>
      <w:r>
        <w:rPr>
          <w:rFonts w:ascii="Times New Roman" w:hAnsi="Times New Roman" w:cs="Times New Roman" w:eastAsia="Times New Roman" w:hint="default"/>
        </w:rPr>
        <w:t>5</w:t>
      </w:r>
      <w:r>
        <w:rPr/>
        <w:t>）未确认递延所得税资产的可抵扣亏损将于以下年度到期</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391"/>
        <w:gridCol w:w="2396"/>
        <w:gridCol w:w="2391"/>
        <w:gridCol w:w="2391"/>
      </w:tblGrid>
      <w:tr>
        <w:trPr>
          <w:trHeight w:val="403"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年份</w:t>
            </w: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期末金额</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3"/>
              <w:jc w:val="center"/>
              <w:rPr>
                <w:rFonts w:ascii="宋体" w:hAnsi="宋体" w:cs="宋体" w:eastAsia="宋体" w:hint="default"/>
                <w:sz w:val="18"/>
                <w:szCs w:val="18"/>
              </w:rPr>
            </w:pPr>
            <w:r>
              <w:rPr>
                <w:rFonts w:ascii="宋体" w:hAnsi="宋体" w:cs="宋体" w:eastAsia="宋体" w:hint="default"/>
                <w:sz w:val="18"/>
                <w:szCs w:val="18"/>
              </w:rPr>
              <w:t>期初金额</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备注</w:t>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7"/>
                <w:sz w:val="18"/>
                <w:szCs w:val="18"/>
              </w:rPr>
              <w:t> </w:t>
            </w:r>
            <w:r>
              <w:rPr>
                <w:rFonts w:ascii="宋体" w:hAnsi="宋体" w:cs="宋体" w:eastAsia="宋体" w:hint="default"/>
                <w:spacing w:val="-5"/>
                <w:sz w:val="18"/>
                <w:szCs w:val="18"/>
              </w:rPr>
              <w:t>年度</w:t>
            </w:r>
            <w:r>
              <w:rPr>
                <w:rFonts w:ascii="宋体" w:hAnsi="宋体" w:cs="宋体" w:eastAsia="宋体" w:hint="default"/>
                <w:sz w:val="18"/>
                <w:szCs w:val="18"/>
              </w:rPr>
            </w:r>
          </w:p>
        </w:tc>
        <w:tc>
          <w:tcPr>
            <w:tcW w:w="2396"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1,158,776.13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5" w:right="0"/>
              <w:jc w:val="left"/>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7"/>
                <w:sz w:val="18"/>
                <w:szCs w:val="18"/>
              </w:rPr>
              <w:t> </w:t>
            </w:r>
            <w:r>
              <w:rPr>
                <w:rFonts w:ascii="宋体" w:hAnsi="宋体" w:cs="宋体" w:eastAsia="宋体" w:hint="default"/>
                <w:spacing w:val="-5"/>
                <w:sz w:val="18"/>
                <w:szCs w:val="18"/>
              </w:rPr>
              <w:t>年度</w:t>
            </w:r>
            <w:r>
              <w:rPr>
                <w:rFonts w:ascii="宋体" w:hAnsi="宋体" w:cs="宋体" w:eastAsia="宋体" w:hint="default"/>
                <w:sz w:val="18"/>
                <w:szCs w:val="18"/>
              </w:rPr>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729,441.33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732,053.50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5" w:right="0"/>
              <w:jc w:val="left"/>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r>
        <w:trPr>
          <w:trHeight w:val="399"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7"/>
                <w:sz w:val="18"/>
                <w:szCs w:val="18"/>
              </w:rPr>
              <w:t> </w:t>
            </w:r>
            <w:r>
              <w:rPr>
                <w:rFonts w:ascii="宋体" w:hAnsi="宋体" w:cs="宋体" w:eastAsia="宋体" w:hint="default"/>
                <w:spacing w:val="-5"/>
                <w:sz w:val="18"/>
                <w:szCs w:val="18"/>
              </w:rPr>
              <w:t>年度</w:t>
            </w:r>
            <w:r>
              <w:rPr>
                <w:rFonts w:ascii="宋体" w:hAnsi="宋体" w:cs="宋体" w:eastAsia="宋体" w:hint="default"/>
                <w:sz w:val="18"/>
                <w:szCs w:val="18"/>
              </w:rPr>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1,263.47</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1,263.47</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5" w:right="0"/>
              <w:jc w:val="left"/>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7"/>
                <w:sz w:val="18"/>
                <w:szCs w:val="18"/>
              </w:rPr>
              <w:t> </w:t>
            </w:r>
            <w:r>
              <w:rPr>
                <w:rFonts w:ascii="宋体" w:hAnsi="宋体" w:cs="宋体" w:eastAsia="宋体" w:hint="default"/>
                <w:spacing w:val="-5"/>
                <w:sz w:val="18"/>
                <w:szCs w:val="18"/>
              </w:rPr>
              <w:t>年度</w:t>
            </w:r>
            <w:r>
              <w:rPr>
                <w:rFonts w:ascii="宋体" w:hAnsi="宋体" w:cs="宋体" w:eastAsia="宋体" w:hint="default"/>
                <w:sz w:val="18"/>
                <w:szCs w:val="18"/>
              </w:rPr>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127,183.59</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128,031.60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5" w:right="0"/>
              <w:jc w:val="left"/>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2023</w:t>
            </w:r>
            <w:r>
              <w:rPr>
                <w:rFonts w:ascii="Times New Roman" w:hAnsi="Times New Roman" w:cs="Times New Roman" w:eastAsia="Times New Roman" w:hint="default"/>
                <w:spacing w:val="7"/>
                <w:sz w:val="18"/>
                <w:szCs w:val="18"/>
              </w:rPr>
              <w:t> </w:t>
            </w:r>
            <w:r>
              <w:rPr>
                <w:rFonts w:ascii="宋体" w:hAnsi="宋体" w:cs="宋体" w:eastAsia="宋体" w:hint="default"/>
                <w:spacing w:val="-5"/>
                <w:sz w:val="18"/>
                <w:szCs w:val="18"/>
              </w:rPr>
              <w:t>年度</w:t>
            </w:r>
            <w:r>
              <w:rPr>
                <w:rFonts w:ascii="宋体" w:hAnsi="宋体" w:cs="宋体" w:eastAsia="宋体" w:hint="default"/>
                <w:sz w:val="18"/>
                <w:szCs w:val="18"/>
              </w:rPr>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31,245.85</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31,245.85</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5" w:right="0"/>
              <w:jc w:val="left"/>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2024</w:t>
            </w:r>
            <w:r>
              <w:rPr>
                <w:rFonts w:ascii="Times New Roman" w:hAnsi="Times New Roman" w:cs="Times New Roman" w:eastAsia="Times New Roman" w:hint="default"/>
                <w:spacing w:val="7"/>
                <w:sz w:val="18"/>
                <w:szCs w:val="18"/>
              </w:rPr>
              <w:t> </w:t>
            </w:r>
            <w:r>
              <w:rPr>
                <w:rFonts w:ascii="宋体" w:hAnsi="宋体" w:cs="宋体" w:eastAsia="宋体" w:hint="default"/>
                <w:spacing w:val="-5"/>
                <w:sz w:val="18"/>
                <w:szCs w:val="18"/>
              </w:rPr>
              <w:t>年度</w:t>
            </w:r>
            <w:r>
              <w:rPr>
                <w:rFonts w:ascii="宋体" w:hAnsi="宋体" w:cs="宋体" w:eastAsia="宋体" w:hint="default"/>
                <w:sz w:val="18"/>
                <w:szCs w:val="18"/>
              </w:rPr>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766.00</w:t>
            </w:r>
          </w:p>
        </w:tc>
        <w:tc>
          <w:tcPr>
            <w:tcW w:w="2391"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5" w:right="0"/>
              <w:jc w:val="left"/>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r>
        <w:trPr>
          <w:trHeight w:val="398"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889,900.24</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2,051,370.55</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bl>
    <w:p>
      <w:pPr>
        <w:pStyle w:val="BodyText"/>
        <w:spacing w:line="357" w:lineRule="auto" w:before="54"/>
        <w:ind w:right="9861"/>
        <w:jc w:val="left"/>
      </w:pPr>
      <w:r>
        <w:rPr>
          <w:spacing w:val="-2"/>
        </w:rPr>
        <w:t>其他说明：</w:t>
      </w:r>
      <w:r>
        <w:rPr>
          <w:spacing w:val="-78"/>
        </w:rPr>
        <w:t> </w:t>
      </w:r>
      <w:r>
        <w:rPr>
          <w:spacing w:val="-78"/>
        </w:rPr>
      </w:r>
      <w:r>
        <w:rPr/>
        <w:t>无。</w:t>
      </w:r>
    </w:p>
    <w:p>
      <w:pPr>
        <w:spacing w:line="240" w:lineRule="auto" w:before="3"/>
        <w:rPr>
          <w:rFonts w:ascii="宋体" w:hAnsi="宋体" w:cs="宋体" w:eastAsia="宋体" w:hint="default"/>
          <w:sz w:val="20"/>
          <w:szCs w:val="20"/>
        </w:rPr>
      </w:pPr>
    </w:p>
    <w:p>
      <w:pPr>
        <w:pStyle w:val="Heading4"/>
        <w:spacing w:line="240" w:lineRule="auto"/>
        <w:ind w:right="0"/>
        <w:jc w:val="left"/>
        <w:rPr>
          <w:b w:val="0"/>
          <w:bCs w:val="0"/>
        </w:rPr>
      </w:pPr>
      <w:bookmarkStart w:name="31、其他非流动资产" w:id="331"/>
      <w:bookmarkEnd w:id="331"/>
      <w:r>
        <w:rPr>
          <w:b w:val="0"/>
          <w:bCs w:val="0"/>
        </w:rPr>
      </w:r>
      <w:r>
        <w:rPr>
          <w:rFonts w:ascii="Times New Roman" w:hAnsi="Times New Roman" w:cs="Times New Roman" w:eastAsia="Times New Roman" w:hint="default"/>
        </w:rPr>
        <w:t>31</w:t>
      </w:r>
      <w:r>
        <w:rPr/>
        <w:t>、其他非流动资产</w:t>
      </w:r>
      <w:r>
        <w:rPr>
          <w:b w:val="0"/>
          <w:bCs w:val="0"/>
        </w:rPr>
      </w:r>
    </w:p>
    <w:p>
      <w:pPr>
        <w:spacing w:line="240" w:lineRule="auto" w:before="2"/>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784" w:footer="1022" w:top="1100" w:bottom="1220" w:left="980" w:right="0"/>
        </w:sectPr>
      </w:pPr>
    </w:p>
    <w:p>
      <w:pPr>
        <w:pStyle w:val="BodyText"/>
        <w:spacing w:line="240" w:lineRule="auto"/>
        <w:ind w:right="0"/>
        <w:jc w:val="left"/>
      </w:pPr>
      <w:r>
        <w:rPr>
          <w:spacing w:val="-2"/>
        </w:rPr>
        <w:t>是否已执行新收入准则</w:t>
      </w:r>
    </w:p>
    <w:p>
      <w:pPr>
        <w:pStyle w:val="BodyText"/>
        <w:spacing w:line="240" w:lineRule="auto" w:before="119"/>
        <w:ind w:right="0"/>
        <w:jc w:val="left"/>
      </w:pPr>
      <w:r>
        <w:rPr/>
        <w:t>□ 是 √</w:t>
      </w:r>
      <w:r>
        <w:rPr>
          <w:spacing w:val="2"/>
        </w:rPr>
        <w:t> </w:t>
      </w:r>
      <w:r>
        <w:rPr/>
        <w:t>否</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21"/>
          <w:szCs w:val="21"/>
        </w:rPr>
      </w:pPr>
    </w:p>
    <w:p>
      <w:pPr>
        <w:pStyle w:val="BodyText"/>
        <w:spacing w:line="240" w:lineRule="auto" w:before="0"/>
        <w:ind w:right="0"/>
        <w:jc w:val="left"/>
      </w:pPr>
      <w:r>
        <w:rPr/>
        <w:t>单位：</w:t>
      </w:r>
      <w:r>
        <w:rPr>
          <w:spacing w:val="5"/>
        </w:rPr>
        <w:t> </w:t>
      </w:r>
      <w:r>
        <w:rPr/>
        <w:t>元</w:t>
      </w:r>
    </w:p>
    <w:p>
      <w:pPr>
        <w:spacing w:after="0" w:line="240" w:lineRule="auto"/>
        <w:jc w:val="left"/>
        <w:sectPr>
          <w:type w:val="continuous"/>
          <w:pgSz w:w="11910" w:h="16840"/>
          <w:pgMar w:top="1100" w:bottom="1220" w:left="980" w:right="0"/>
          <w:cols w:num="2" w:equalWidth="0">
            <w:col w:w="1959" w:space="6872"/>
            <w:col w:w="2099"/>
          </w:cols>
        </w:sectPr>
      </w:pPr>
    </w:p>
    <w:p>
      <w:pPr>
        <w:spacing w:line="240" w:lineRule="auto" w:before="7"/>
        <w:rPr>
          <w:rFonts w:ascii="宋体" w:hAnsi="宋体" w:cs="宋体" w:eastAsia="宋体" w:hint="default"/>
          <w:sz w:val="25"/>
          <w:szCs w:val="25"/>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98"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预付长期资产款</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22,776,755.85</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2,420,383.39</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22,776,755.85</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2,420,383.39</w:t>
            </w:r>
          </w:p>
        </w:tc>
      </w:tr>
    </w:tbl>
    <w:p>
      <w:pPr>
        <w:pStyle w:val="BodyText"/>
        <w:spacing w:line="357" w:lineRule="auto" w:before="53"/>
        <w:ind w:right="9666"/>
        <w:jc w:val="left"/>
      </w:pPr>
      <w:r>
        <w:rPr/>
        <w:t>其他说明：</w:t>
      </w:r>
      <w:r>
        <w:rPr>
          <w:w w:val="101"/>
        </w:rPr>
        <w:t> </w:t>
      </w:r>
      <w:r>
        <w:rPr/>
        <w:t>无。</w:t>
      </w:r>
    </w:p>
    <w:p>
      <w:pPr>
        <w:spacing w:line="240" w:lineRule="auto" w:before="3"/>
        <w:rPr>
          <w:rFonts w:ascii="宋体" w:hAnsi="宋体" w:cs="宋体" w:eastAsia="宋体" w:hint="default"/>
          <w:sz w:val="20"/>
          <w:szCs w:val="20"/>
        </w:rPr>
      </w:pPr>
    </w:p>
    <w:p>
      <w:pPr>
        <w:pStyle w:val="Heading4"/>
        <w:spacing w:line="240" w:lineRule="auto"/>
        <w:ind w:right="0"/>
        <w:jc w:val="left"/>
        <w:rPr>
          <w:b w:val="0"/>
          <w:bCs w:val="0"/>
        </w:rPr>
      </w:pPr>
      <w:bookmarkStart w:name="32、短期借款" w:id="332"/>
      <w:bookmarkEnd w:id="332"/>
      <w:r>
        <w:rPr>
          <w:b w:val="0"/>
          <w:bCs w:val="0"/>
        </w:rPr>
      </w:r>
      <w:r>
        <w:rPr>
          <w:rFonts w:ascii="Times New Roman" w:hAnsi="Times New Roman" w:cs="Times New Roman" w:eastAsia="Times New Roman" w:hint="default"/>
        </w:rPr>
        <w:t>32</w:t>
      </w:r>
      <w:r>
        <w:rPr/>
        <w:t>、短期借款</w:t>
      </w:r>
      <w:r>
        <w:rPr>
          <w:b w:val="0"/>
          <w:bCs w:val="0"/>
        </w:rPr>
      </w:r>
    </w:p>
    <w:p>
      <w:pPr>
        <w:spacing w:line="240" w:lineRule="auto" w:before="5"/>
        <w:rPr>
          <w:rFonts w:ascii="宋体" w:hAnsi="宋体" w:cs="宋体" w:eastAsia="宋体" w:hint="default"/>
          <w:b/>
          <w:bCs/>
          <w:sz w:val="24"/>
          <w:szCs w:val="24"/>
        </w:rPr>
      </w:pPr>
    </w:p>
    <w:p>
      <w:pPr>
        <w:pStyle w:val="Heading4"/>
        <w:spacing w:line="240" w:lineRule="auto"/>
        <w:ind w:right="0"/>
        <w:jc w:val="left"/>
        <w:rPr>
          <w:b w:val="0"/>
          <w:bCs w:val="0"/>
        </w:rPr>
      </w:pPr>
      <w:bookmarkStart w:name="（1）短期借款分类" w:id="333"/>
      <w:bookmarkEnd w:id="333"/>
      <w:r>
        <w:rPr>
          <w:b w:val="0"/>
          <w:bCs w:val="0"/>
        </w:rPr>
      </w:r>
      <w:r>
        <w:rPr/>
        <w:t>（</w:t>
      </w:r>
      <w:r>
        <w:rPr>
          <w:rFonts w:ascii="Times New Roman" w:hAnsi="Times New Roman" w:cs="Times New Roman" w:eastAsia="Times New Roman" w:hint="default"/>
        </w:rPr>
        <w:t>1</w:t>
      </w:r>
      <w:r>
        <w:rPr/>
        <w:t>）短期借款分类</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保证借款</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40,000,000.00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80,000,000.00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信用借款</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10,000,000.00</w:t>
            </w:r>
          </w:p>
        </w:tc>
        <w:tc>
          <w:tcPr>
            <w:tcW w:w="3193"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票据贴现</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50,000,000.00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20,000,000.00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100,000,000.00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100,000,000.00</w:t>
            </w:r>
          </w:p>
        </w:tc>
      </w:tr>
    </w:tbl>
    <w:p>
      <w:pPr>
        <w:pStyle w:val="BodyText"/>
        <w:spacing w:line="357" w:lineRule="auto" w:before="53"/>
        <w:ind w:left="633" w:right="8823" w:hanging="480"/>
        <w:jc w:val="left"/>
      </w:pPr>
      <w:r>
        <w:rPr>
          <w:spacing w:val="-2"/>
        </w:rPr>
        <w:t>短期借款分类的说明：</w:t>
      </w:r>
      <w:r>
        <w:rPr>
          <w:spacing w:val="-66"/>
        </w:rPr>
        <w:t> </w:t>
      </w:r>
      <w:r>
        <w:rPr>
          <w:spacing w:val="-66"/>
        </w:rPr>
      </w:r>
      <w:r>
        <w:rPr/>
        <w:t>信用借款：</w:t>
      </w:r>
    </w:p>
    <w:p>
      <w:pPr>
        <w:pStyle w:val="BodyText"/>
        <w:spacing w:line="224" w:lineRule="exact" w:before="0"/>
        <w:ind w:right="0" w:firstLine="480"/>
        <w:jc w:val="left"/>
      </w:pPr>
      <w:r>
        <w:rPr/>
        <w:t>①保证借款</w:t>
      </w:r>
      <w:r>
        <w:rPr>
          <w:rFonts w:ascii="宋体" w:hAnsi="宋体" w:cs="宋体" w:eastAsia="宋体" w:hint="default"/>
        </w:rPr>
        <w:t>4,000</w:t>
      </w:r>
      <w:r>
        <w:rPr/>
        <w:t>万元系深圳市千百辉照明工程有限公司为支付货款先后与上海浦东发展银行股份有限公司深圳分行</w:t>
      </w:r>
    </w:p>
    <w:p>
      <w:pPr>
        <w:pStyle w:val="BodyText"/>
        <w:spacing w:line="319" w:lineRule="auto" w:before="76"/>
        <w:ind w:right="1122"/>
        <w:jc w:val="both"/>
      </w:pPr>
      <w:r>
        <w:rPr>
          <w:spacing w:val="-4"/>
          <w:w w:val="101"/>
        </w:rPr>
        <w:t>签订的</w:t>
      </w:r>
      <w:r>
        <w:rPr>
          <w:rFonts w:ascii="宋体" w:hAnsi="宋体" w:cs="宋体" w:eastAsia="宋体" w:hint="default"/>
          <w:spacing w:val="-4"/>
          <w:w w:val="101"/>
        </w:rPr>
        <w:t>4,000</w:t>
      </w:r>
      <w:r>
        <w:rPr>
          <w:spacing w:val="-4"/>
          <w:w w:val="101"/>
        </w:rPr>
        <w:t>万元流动资金贷款合同。此贷款合同是在深圳市千百辉照明工程有限公司</w:t>
      </w:r>
      <w:r>
        <w:rPr>
          <w:rFonts w:ascii="宋体" w:hAnsi="宋体" w:cs="宋体" w:eastAsia="宋体" w:hint="default"/>
          <w:spacing w:val="-4"/>
          <w:w w:val="101"/>
        </w:rPr>
        <w:t>2019</w:t>
      </w:r>
      <w:r>
        <w:rPr>
          <w:spacing w:val="-4"/>
          <w:w w:val="101"/>
        </w:rPr>
        <w:t>年</w:t>
      </w:r>
      <w:r>
        <w:rPr>
          <w:rFonts w:ascii="宋体" w:hAnsi="宋体" w:cs="宋体" w:eastAsia="宋体" w:hint="default"/>
          <w:spacing w:val="-4"/>
          <w:w w:val="101"/>
        </w:rPr>
        <w:t>5</w:t>
      </w:r>
      <w:r>
        <w:rPr>
          <w:spacing w:val="-4"/>
          <w:w w:val="101"/>
        </w:rPr>
        <w:t>月</w:t>
      </w:r>
      <w:r>
        <w:rPr>
          <w:rFonts w:ascii="宋体" w:hAnsi="宋体" w:cs="宋体" w:eastAsia="宋体" w:hint="default"/>
          <w:spacing w:val="-4"/>
          <w:w w:val="101"/>
        </w:rPr>
        <w:t>24</w:t>
      </w:r>
      <w:r>
        <w:rPr>
          <w:spacing w:val="-4"/>
          <w:w w:val="101"/>
        </w:rPr>
        <w:t>日与上海浦东发展银行股</w:t>
      </w:r>
      <w:r>
        <w:rPr>
          <w:spacing w:val="-64"/>
          <w:w w:val="101"/>
        </w:rPr>
        <w:t> </w:t>
      </w:r>
      <w:r>
        <w:rPr>
          <w:spacing w:val="-64"/>
          <w:w w:val="101"/>
        </w:rPr>
      </w:r>
      <w:r>
        <w:rPr>
          <w:spacing w:val="-4"/>
        </w:rPr>
        <w:t>份有限公司深圳分行签订的《授信协议》（编号：</w:t>
      </w:r>
      <w:r>
        <w:rPr>
          <w:rFonts w:ascii="宋体" w:hAnsi="宋体" w:cs="宋体" w:eastAsia="宋体" w:hint="default"/>
          <w:spacing w:val="-4"/>
        </w:rPr>
        <w:t>BC2019052400000505</w:t>
      </w:r>
      <w:r>
        <w:rPr>
          <w:spacing w:val="-4"/>
        </w:rPr>
        <w:t>）下完成的。授信协议约定上海浦东发展银行股份有</w:t>
      </w:r>
      <w:r>
        <w:rPr>
          <w:spacing w:val="78"/>
        </w:rPr>
        <w:t> </w:t>
      </w:r>
      <w:r>
        <w:rPr>
          <w:spacing w:val="78"/>
        </w:rPr>
      </w:r>
      <w:r>
        <w:rPr>
          <w:spacing w:val="-4"/>
        </w:rPr>
        <w:t>限公司深圳分行为深圳市千百辉照明工程有限公司提供人民币</w:t>
      </w:r>
      <w:r>
        <w:rPr>
          <w:rFonts w:ascii="宋体" w:hAnsi="宋体" w:cs="宋体" w:eastAsia="宋体" w:hint="default"/>
          <w:spacing w:val="-4"/>
        </w:rPr>
        <w:t>8,000</w:t>
      </w:r>
      <w:r>
        <w:rPr>
          <w:spacing w:val="-4"/>
        </w:rPr>
        <w:t>万元的授信额度。授信期间为：即自</w:t>
      </w:r>
      <w:r>
        <w:rPr>
          <w:rFonts w:ascii="宋体" w:hAnsi="宋体" w:cs="宋体" w:eastAsia="宋体" w:hint="default"/>
          <w:spacing w:val="-4"/>
        </w:rPr>
        <w:t>2019</w:t>
      </w:r>
      <w:r>
        <w:rPr>
          <w:spacing w:val="-4"/>
        </w:rPr>
        <w:t>年</w:t>
      </w:r>
      <w:r>
        <w:rPr>
          <w:rFonts w:ascii="宋体" w:hAnsi="宋体" w:cs="宋体" w:eastAsia="宋体" w:hint="default"/>
          <w:spacing w:val="-4"/>
        </w:rPr>
        <w:t>5</w:t>
      </w:r>
      <w:r>
        <w:rPr>
          <w:spacing w:val="-4"/>
        </w:rPr>
        <w:t>月</w:t>
      </w:r>
      <w:r>
        <w:rPr>
          <w:rFonts w:ascii="宋体" w:hAnsi="宋体" w:cs="宋体" w:eastAsia="宋体" w:hint="default"/>
          <w:spacing w:val="-4"/>
        </w:rPr>
        <w:t>24</w:t>
      </w:r>
      <w:r>
        <w:rPr>
          <w:spacing w:val="-4"/>
        </w:rPr>
        <w:t>日起到</w:t>
      </w:r>
      <w:r>
        <w:rPr>
          <w:spacing w:val="63"/>
        </w:rPr>
        <w:t> </w:t>
      </w:r>
      <w:r>
        <w:rPr>
          <w:spacing w:val="63"/>
        </w:rPr>
      </w:r>
      <w:r>
        <w:rPr>
          <w:rFonts w:ascii="宋体" w:hAnsi="宋体" w:cs="宋体" w:eastAsia="宋体" w:hint="default"/>
          <w:spacing w:val="-4"/>
        </w:rPr>
        <w:t>2019</w:t>
      </w:r>
      <w:r>
        <w:rPr>
          <w:spacing w:val="-4"/>
        </w:rPr>
        <w:t>年</w:t>
      </w:r>
      <w:r>
        <w:rPr>
          <w:rFonts w:ascii="宋体" w:hAnsi="宋体" w:cs="宋体" w:eastAsia="宋体" w:hint="default"/>
          <w:spacing w:val="-4"/>
        </w:rPr>
        <w:t>12</w:t>
      </w:r>
      <w:r>
        <w:rPr>
          <w:spacing w:val="-4"/>
        </w:rPr>
        <w:t>月</w:t>
      </w:r>
      <w:r>
        <w:rPr>
          <w:rFonts w:ascii="宋体" w:hAnsi="宋体" w:cs="宋体" w:eastAsia="宋体" w:hint="default"/>
          <w:spacing w:val="-4"/>
        </w:rPr>
        <w:t>7</w:t>
      </w:r>
      <w:r>
        <w:rPr>
          <w:spacing w:val="-4"/>
        </w:rPr>
        <w:t>日止。本授信协议由深圳市奥拓电子股份有限公司作为保证人，担保额度</w:t>
      </w:r>
      <w:r>
        <w:rPr>
          <w:rFonts w:ascii="宋体" w:hAnsi="宋体" w:cs="宋体" w:eastAsia="宋体" w:hint="default"/>
          <w:spacing w:val="-4"/>
        </w:rPr>
        <w:t>8,000</w:t>
      </w:r>
      <w:r>
        <w:rPr>
          <w:spacing w:val="-4"/>
        </w:rPr>
        <w:t>万元，分别签订最高额保证合同</w:t>
      </w:r>
    </w:p>
    <w:p>
      <w:pPr>
        <w:pStyle w:val="BodyText"/>
        <w:spacing w:line="240" w:lineRule="auto" w:before="17"/>
        <w:ind w:right="0"/>
        <w:jc w:val="both"/>
      </w:pPr>
      <w:r>
        <w:rPr/>
        <w:t>（编号：</w:t>
      </w:r>
      <w:r>
        <w:rPr>
          <w:rFonts w:ascii="宋体" w:hAnsi="宋体" w:cs="宋体" w:eastAsia="宋体" w:hint="default"/>
        </w:rPr>
        <w:t>ZB7918201900000006</w:t>
      </w:r>
      <w:r>
        <w:rPr/>
        <w:t>）。</w:t>
      </w:r>
    </w:p>
    <w:p>
      <w:pPr>
        <w:pStyle w:val="BodyText"/>
        <w:spacing w:line="316" w:lineRule="auto" w:before="76"/>
        <w:ind w:right="1122" w:firstLine="273"/>
        <w:jc w:val="both"/>
      </w:pPr>
      <w:r>
        <w:rPr/>
        <w:t>②信用借款</w:t>
      </w:r>
      <w:r>
        <w:rPr>
          <w:rFonts w:ascii="宋体" w:hAnsi="宋体" w:cs="宋体" w:eastAsia="宋体" w:hint="default"/>
        </w:rPr>
        <w:t>1,000</w:t>
      </w:r>
      <w:r>
        <w:rPr/>
        <w:t>万元系深圳市奥拓电子股份有限公司为支付货款而与上海浦东发展银行股份有限公司深圳分行签订</w:t>
      </w:r>
      <w:r>
        <w:rPr>
          <w:w w:val="101"/>
        </w:rPr>
        <w:t> </w:t>
      </w:r>
      <w:r>
        <w:rPr>
          <w:rFonts w:ascii="宋体" w:hAnsi="宋体" w:cs="宋体" w:eastAsia="宋体" w:hint="default"/>
          <w:spacing w:val="-4"/>
          <w:w w:val="101"/>
        </w:rPr>
        <w:t>1,000</w:t>
      </w:r>
      <w:r>
        <w:rPr>
          <w:spacing w:val="-4"/>
          <w:w w:val="101"/>
        </w:rPr>
        <w:t>万元借款合同。本次借款是在深圳市奥拓电子股份有限公司与上海浦东发展银行股份有限公司深圳分行于</w:t>
      </w:r>
      <w:r>
        <w:rPr>
          <w:rFonts w:ascii="宋体" w:hAnsi="宋体" w:cs="宋体" w:eastAsia="宋体" w:hint="default"/>
          <w:spacing w:val="-4"/>
          <w:w w:val="101"/>
        </w:rPr>
        <w:t>2019</w:t>
      </w:r>
      <w:r>
        <w:rPr>
          <w:spacing w:val="-4"/>
          <w:w w:val="101"/>
        </w:rPr>
        <w:t>年</w:t>
      </w:r>
      <w:r>
        <w:rPr>
          <w:rFonts w:ascii="宋体" w:hAnsi="宋体" w:cs="宋体" w:eastAsia="宋体" w:hint="default"/>
          <w:spacing w:val="-4"/>
          <w:w w:val="101"/>
        </w:rPr>
        <w:t>3</w:t>
      </w:r>
      <w:r>
        <w:rPr>
          <w:spacing w:val="-4"/>
          <w:w w:val="101"/>
        </w:rPr>
        <w:t>月</w:t>
      </w:r>
      <w:r>
        <w:rPr>
          <w:rFonts w:ascii="宋体" w:hAnsi="宋体" w:cs="宋体" w:eastAsia="宋体" w:hint="default"/>
          <w:spacing w:val="-4"/>
          <w:w w:val="101"/>
        </w:rPr>
        <w:t>28</w:t>
      </w:r>
      <w:r>
        <w:rPr>
          <w:rFonts w:ascii="宋体" w:hAnsi="宋体" w:cs="宋体" w:eastAsia="宋体" w:hint="default"/>
          <w:spacing w:val="-64"/>
          <w:w w:val="101"/>
        </w:rPr>
        <w:t> </w:t>
      </w:r>
      <w:r>
        <w:rPr>
          <w:spacing w:val="-3"/>
        </w:rPr>
        <w:t>日签订流动资金借款合同（合同编号：</w:t>
      </w:r>
      <w:r>
        <w:rPr>
          <w:rFonts w:ascii="宋体" w:hAnsi="宋体" w:cs="宋体" w:eastAsia="宋体" w:hint="default"/>
          <w:spacing w:val="-3"/>
        </w:rPr>
        <w:t>79182019280041</w:t>
      </w:r>
      <w:r>
        <w:rPr>
          <w:spacing w:val="-3"/>
        </w:rPr>
        <w:t>）下完成的，此合同为信用借款无需担保。</w:t>
      </w:r>
    </w:p>
    <w:p>
      <w:pPr>
        <w:spacing w:line="240" w:lineRule="auto" w:before="9"/>
        <w:rPr>
          <w:rFonts w:ascii="宋体" w:hAnsi="宋体" w:cs="宋体" w:eastAsia="宋体" w:hint="default"/>
          <w:sz w:val="22"/>
          <w:szCs w:val="22"/>
        </w:rPr>
      </w:pPr>
    </w:p>
    <w:p>
      <w:pPr>
        <w:pStyle w:val="Heading4"/>
        <w:spacing w:line="240" w:lineRule="auto"/>
        <w:ind w:right="0"/>
        <w:jc w:val="both"/>
        <w:rPr>
          <w:b w:val="0"/>
          <w:bCs w:val="0"/>
        </w:rPr>
      </w:pPr>
      <w:bookmarkStart w:name="（2）已逾期未偿还的短期借款情况" w:id="334"/>
      <w:bookmarkEnd w:id="334"/>
      <w:r>
        <w:rPr>
          <w:b w:val="0"/>
          <w:bCs w:val="0"/>
        </w:rPr>
      </w:r>
      <w:r>
        <w:rPr/>
        <w:t>（</w:t>
      </w:r>
      <w:r>
        <w:rPr>
          <w:rFonts w:ascii="Times New Roman" w:hAnsi="Times New Roman" w:cs="Times New Roman" w:eastAsia="Times New Roman" w:hint="default"/>
        </w:rPr>
        <w:t>2</w:t>
      </w:r>
      <w:r>
        <w:rPr/>
        <w:t>）已逾期未偿还的短期借款情况</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right="0"/>
        <w:jc w:val="left"/>
      </w:pPr>
      <w:r>
        <w:rPr>
          <w:spacing w:val="-3"/>
        </w:rPr>
        <w:t>本期末已逾期未偿还的短期借款总额为 </w:t>
      </w:r>
      <w:r>
        <w:rPr>
          <w:rFonts w:ascii="Times New Roman" w:hAnsi="Times New Roman" w:cs="Times New Roman" w:eastAsia="Times New Roman" w:hint="default"/>
        </w:rPr>
        <w:t>0.00 </w:t>
      </w:r>
      <w:r>
        <w:rPr>
          <w:rFonts w:ascii="Times New Roman" w:hAnsi="Times New Roman" w:cs="Times New Roman" w:eastAsia="Times New Roman" w:hint="default"/>
          <w:spacing w:val="32"/>
        </w:rPr>
        <w:t> </w:t>
      </w:r>
      <w:r>
        <w:rPr>
          <w:spacing w:val="-3"/>
        </w:rPr>
        <w:t>元，其中重要的已逾期未偿还的短期借款情况如下：</w:t>
      </w:r>
    </w:p>
    <w:p>
      <w:pPr>
        <w:pStyle w:val="BodyText"/>
        <w:spacing w:line="240" w:lineRule="auto" w:before="101"/>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11"/>
        <w:gridCol w:w="1921"/>
        <w:gridCol w:w="1911"/>
        <w:gridCol w:w="1916"/>
        <w:gridCol w:w="1916"/>
      </w:tblGrid>
      <w:tr>
        <w:trPr>
          <w:trHeight w:val="404"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590" w:right="0"/>
              <w:jc w:val="left"/>
              <w:rPr>
                <w:rFonts w:ascii="宋体" w:hAnsi="宋体" w:cs="宋体" w:eastAsia="宋体" w:hint="default"/>
                <w:sz w:val="18"/>
                <w:szCs w:val="18"/>
              </w:rPr>
            </w:pPr>
            <w:r>
              <w:rPr>
                <w:rFonts w:ascii="宋体" w:hAnsi="宋体" w:cs="宋体" w:eastAsia="宋体" w:hint="default"/>
                <w:sz w:val="18"/>
                <w:szCs w:val="18"/>
              </w:rPr>
              <w:t>借款单位</w:t>
            </w:r>
          </w:p>
        </w:tc>
        <w:tc>
          <w:tcPr>
            <w:tcW w:w="19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595"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z w:val="18"/>
                <w:szCs w:val="18"/>
              </w:rPr>
              <w:t>借款利率</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9" w:right="0"/>
              <w:jc w:val="center"/>
              <w:rPr>
                <w:rFonts w:ascii="宋体" w:hAnsi="宋体" w:cs="宋体" w:eastAsia="宋体" w:hint="default"/>
                <w:sz w:val="18"/>
                <w:szCs w:val="18"/>
              </w:rPr>
            </w:pPr>
            <w:r>
              <w:rPr>
                <w:rFonts w:ascii="宋体" w:hAnsi="宋体" w:cs="宋体" w:eastAsia="宋体" w:hint="default"/>
                <w:sz w:val="18"/>
                <w:szCs w:val="18"/>
              </w:rPr>
              <w:t>逾期时间</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9" w:right="0"/>
              <w:jc w:val="center"/>
              <w:rPr>
                <w:rFonts w:ascii="宋体" w:hAnsi="宋体" w:cs="宋体" w:eastAsia="宋体" w:hint="default"/>
                <w:sz w:val="18"/>
                <w:szCs w:val="18"/>
              </w:rPr>
            </w:pPr>
            <w:r>
              <w:rPr>
                <w:rFonts w:ascii="宋体" w:hAnsi="宋体" w:cs="宋体" w:eastAsia="宋体" w:hint="default"/>
                <w:sz w:val="18"/>
                <w:szCs w:val="18"/>
              </w:rPr>
              <w:t>逾期利率</w:t>
            </w:r>
          </w:p>
        </w:tc>
      </w:tr>
      <w:tr>
        <w:trPr>
          <w:trHeight w:val="398" w:hRule="exact"/>
        </w:trPr>
        <w:tc>
          <w:tcPr>
            <w:tcW w:w="1911"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z w:val="18"/>
              </w:rPr>
              <w:t>0.00</w:t>
            </w:r>
          </w:p>
        </w:tc>
        <w:tc>
          <w:tcPr>
            <w:tcW w:w="1911"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z w:val="18"/>
              </w:rPr>
              <w:t>0.00</w:t>
            </w:r>
          </w:p>
        </w:tc>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7"/>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3"/>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2"/>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bl>
    <w:p>
      <w:pPr>
        <w:pStyle w:val="BodyText"/>
        <w:spacing w:line="357" w:lineRule="auto" w:before="53"/>
        <w:ind w:right="9861"/>
        <w:jc w:val="left"/>
      </w:pPr>
      <w:r>
        <w:rPr>
          <w:spacing w:val="-2"/>
        </w:rPr>
        <w:t>其他说明：</w:t>
      </w:r>
      <w:r>
        <w:rPr>
          <w:spacing w:val="-78"/>
        </w:rPr>
        <w:t> </w:t>
      </w:r>
      <w:r>
        <w:rPr>
          <w:spacing w:val="-78"/>
        </w:rPr>
      </w:r>
      <w:r>
        <w:rPr/>
        <w:t>无。</w:t>
      </w:r>
    </w:p>
    <w:p>
      <w:pPr>
        <w:spacing w:after="0" w:line="357" w:lineRule="auto"/>
        <w:jc w:val="left"/>
        <w:sectPr>
          <w:pgSz w:w="11910" w:h="16840"/>
          <w:pgMar w:header="784" w:footer="1022" w:top="1100" w:bottom="1220" w:left="980" w:right="0"/>
        </w:sectPr>
      </w:pPr>
    </w:p>
    <w:p>
      <w:pPr>
        <w:spacing w:line="240" w:lineRule="auto" w:before="13"/>
        <w:rPr>
          <w:rFonts w:ascii="宋体" w:hAnsi="宋体" w:cs="宋体" w:eastAsia="宋体" w:hint="default"/>
          <w:sz w:val="21"/>
          <w:szCs w:val="21"/>
        </w:rPr>
      </w:pPr>
    </w:p>
    <w:p>
      <w:pPr>
        <w:pStyle w:val="Heading4"/>
        <w:spacing w:line="240" w:lineRule="auto" w:before="36"/>
        <w:ind w:right="0"/>
        <w:jc w:val="left"/>
        <w:rPr>
          <w:b w:val="0"/>
          <w:bCs w:val="0"/>
        </w:rPr>
      </w:pPr>
      <w:bookmarkStart w:name="33、交易性金融负债" w:id="335"/>
      <w:bookmarkEnd w:id="335"/>
      <w:r>
        <w:rPr>
          <w:b w:val="0"/>
          <w:bCs w:val="0"/>
        </w:rPr>
      </w:r>
      <w:r>
        <w:rPr>
          <w:rFonts w:ascii="Times New Roman" w:hAnsi="Times New Roman" w:cs="Times New Roman" w:eastAsia="Times New Roman" w:hint="default"/>
        </w:rPr>
        <w:t>33</w:t>
      </w:r>
      <w:r>
        <w:rPr/>
        <w:t>、交易性金融负债</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88"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98"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88"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
        </w:tc>
      </w:tr>
    </w:tbl>
    <w:p>
      <w:pPr>
        <w:pStyle w:val="BodyText"/>
        <w:spacing w:line="357" w:lineRule="auto" w:before="53"/>
        <w:ind w:right="9861"/>
        <w:jc w:val="left"/>
      </w:pPr>
      <w:r>
        <w:rPr>
          <w:spacing w:val="-2"/>
        </w:rPr>
        <w:t>其他说明：</w:t>
      </w:r>
      <w:r>
        <w:rPr>
          <w:spacing w:val="-78"/>
        </w:rPr>
        <w:t> </w:t>
      </w:r>
      <w:r>
        <w:rPr>
          <w:spacing w:val="-78"/>
        </w:rPr>
      </w:r>
      <w:r>
        <w:rPr/>
        <w:t>无。</w:t>
      </w:r>
    </w:p>
    <w:p>
      <w:pPr>
        <w:spacing w:line="240" w:lineRule="auto" w:before="3"/>
        <w:rPr>
          <w:rFonts w:ascii="宋体" w:hAnsi="宋体" w:cs="宋体" w:eastAsia="宋体" w:hint="default"/>
          <w:sz w:val="20"/>
          <w:szCs w:val="20"/>
        </w:rPr>
      </w:pPr>
    </w:p>
    <w:p>
      <w:pPr>
        <w:pStyle w:val="Heading4"/>
        <w:spacing w:line="240" w:lineRule="auto"/>
        <w:ind w:right="0"/>
        <w:jc w:val="left"/>
        <w:rPr>
          <w:b w:val="0"/>
          <w:bCs w:val="0"/>
        </w:rPr>
      </w:pPr>
      <w:bookmarkStart w:name="34、衍生金融负债" w:id="336"/>
      <w:bookmarkEnd w:id="336"/>
      <w:r>
        <w:rPr>
          <w:b w:val="0"/>
          <w:bCs w:val="0"/>
        </w:rPr>
      </w:r>
      <w:r>
        <w:rPr>
          <w:rFonts w:ascii="Times New Roman" w:hAnsi="Times New Roman" w:cs="Times New Roman" w:eastAsia="Times New Roman" w:hint="default"/>
        </w:rPr>
        <w:t>34</w:t>
      </w:r>
      <w:r>
        <w:rPr/>
        <w:t>、衍生金融负债</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399"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3193" w:type="dxa"/>
            <w:tcBorders>
              <w:top w:val="single" w:sz="4" w:space="0" w:color="000000"/>
              <w:left w:val="single" w:sz="4" w:space="0" w:color="000000"/>
              <w:bottom w:val="single" w:sz="4" w:space="0" w:color="000000"/>
              <w:right w:val="single" w:sz="4" w:space="0" w:color="000000"/>
            </w:tcBorders>
          </w:tcPr>
          <w:p>
            <w:pP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8"/>
              <w:jc w:val="right"/>
              <w:rPr>
                <w:rFonts w:ascii="Times New Roman" w:hAnsi="Times New Roman" w:cs="Times New Roman" w:eastAsia="Times New Roman" w:hint="default"/>
                <w:sz w:val="18"/>
                <w:szCs w:val="18"/>
              </w:rPr>
            </w:pPr>
            <w:r>
              <w:rPr>
                <w:rFonts w:ascii="Times New Roman"/>
                <w:spacing w:val="-1"/>
                <w:sz w:val="18"/>
              </w:rPr>
              <w:t>376,800.00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pacing w:val="-1"/>
                <w:sz w:val="18"/>
              </w:rPr>
              <w:t>376,800.00</w:t>
            </w:r>
          </w:p>
        </w:tc>
      </w:tr>
    </w:tbl>
    <w:p>
      <w:pPr>
        <w:pStyle w:val="BodyText"/>
        <w:spacing w:line="357" w:lineRule="auto" w:before="53"/>
        <w:ind w:right="9666"/>
        <w:jc w:val="left"/>
      </w:pPr>
      <w:r>
        <w:rPr/>
        <w:t>其他说明：</w:t>
      </w:r>
      <w:r>
        <w:rPr>
          <w:w w:val="101"/>
        </w:rPr>
        <w:t> </w:t>
      </w:r>
      <w:r>
        <w:rPr/>
        <w:t>无。</w:t>
      </w:r>
    </w:p>
    <w:p>
      <w:pPr>
        <w:spacing w:line="240" w:lineRule="auto" w:before="4"/>
        <w:rPr>
          <w:rFonts w:ascii="宋体" w:hAnsi="宋体" w:cs="宋体" w:eastAsia="宋体" w:hint="default"/>
          <w:sz w:val="20"/>
          <w:szCs w:val="20"/>
        </w:rPr>
      </w:pPr>
    </w:p>
    <w:p>
      <w:pPr>
        <w:pStyle w:val="Heading4"/>
        <w:spacing w:line="240" w:lineRule="auto"/>
        <w:ind w:right="0"/>
        <w:jc w:val="left"/>
        <w:rPr>
          <w:b w:val="0"/>
          <w:bCs w:val="0"/>
        </w:rPr>
      </w:pPr>
      <w:bookmarkStart w:name="35、应付票据" w:id="337"/>
      <w:bookmarkEnd w:id="337"/>
      <w:r>
        <w:rPr>
          <w:b w:val="0"/>
          <w:bCs w:val="0"/>
        </w:rPr>
      </w:r>
      <w:r>
        <w:rPr>
          <w:rFonts w:ascii="Times New Roman" w:hAnsi="Times New Roman" w:cs="Times New Roman" w:eastAsia="Times New Roman" w:hint="default"/>
        </w:rPr>
        <w:t>35</w:t>
      </w:r>
      <w:r>
        <w:rPr/>
        <w:t>、应付票据</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种类</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银行承兑汇票</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30,762,367.67</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pacing w:val="-1"/>
                <w:sz w:val="18"/>
              </w:rPr>
              <w:t>30,590,360.43</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30,762,367.67</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30,590,360.43</w:t>
            </w:r>
          </w:p>
        </w:tc>
      </w:tr>
    </w:tbl>
    <w:p>
      <w:pPr>
        <w:pStyle w:val="BodyText"/>
        <w:spacing w:line="240" w:lineRule="auto" w:before="53"/>
        <w:ind w:right="0"/>
        <w:jc w:val="left"/>
      </w:pPr>
      <w:r>
        <w:rPr>
          <w:spacing w:val="-3"/>
        </w:rPr>
        <w:t>本期末已到期未支付的应付票据总额为 </w:t>
      </w:r>
      <w:r>
        <w:rPr>
          <w:rFonts w:ascii="Times New Roman" w:hAnsi="Times New Roman" w:cs="Times New Roman" w:eastAsia="Times New Roman" w:hint="default"/>
        </w:rPr>
        <w:t>30,762,367.67</w:t>
      </w:r>
      <w:r>
        <w:rPr>
          <w:rFonts w:ascii="Times New Roman" w:hAnsi="Times New Roman" w:cs="Times New Roman" w:eastAsia="Times New Roman" w:hint="default"/>
          <w:spacing w:val="11"/>
        </w:rPr>
        <w:t> </w:t>
      </w:r>
      <w:r>
        <w:rPr/>
        <w:t>元。</w:t>
      </w:r>
    </w:p>
    <w:p>
      <w:pPr>
        <w:spacing w:line="240" w:lineRule="auto" w:before="3"/>
        <w:rPr>
          <w:rFonts w:ascii="宋体" w:hAnsi="宋体" w:cs="宋体" w:eastAsia="宋体" w:hint="default"/>
          <w:sz w:val="25"/>
          <w:szCs w:val="25"/>
        </w:rPr>
      </w:pPr>
    </w:p>
    <w:p>
      <w:pPr>
        <w:pStyle w:val="Heading4"/>
        <w:spacing w:line="240" w:lineRule="auto"/>
        <w:ind w:right="0"/>
        <w:jc w:val="left"/>
        <w:rPr>
          <w:b w:val="0"/>
          <w:bCs w:val="0"/>
        </w:rPr>
      </w:pPr>
      <w:bookmarkStart w:name="36、应付账款" w:id="338"/>
      <w:bookmarkEnd w:id="338"/>
      <w:r>
        <w:rPr>
          <w:b w:val="0"/>
          <w:bCs w:val="0"/>
        </w:rPr>
      </w:r>
      <w:r>
        <w:rPr>
          <w:rFonts w:ascii="Times New Roman" w:hAnsi="Times New Roman" w:cs="Times New Roman" w:eastAsia="Times New Roman" w:hint="default"/>
        </w:rPr>
        <w:t>36</w:t>
      </w:r>
      <w:r>
        <w:rPr/>
        <w:t>、应付账款</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0"/>
        <w:jc w:val="left"/>
        <w:rPr>
          <w:b w:val="0"/>
          <w:bCs w:val="0"/>
        </w:rPr>
      </w:pPr>
      <w:bookmarkStart w:name="（1）应付账款列示" w:id="339"/>
      <w:bookmarkEnd w:id="339"/>
      <w:r>
        <w:rPr>
          <w:b w:val="0"/>
          <w:bCs w:val="0"/>
        </w:rPr>
      </w:r>
      <w:r>
        <w:rPr/>
        <w:t>（</w:t>
      </w:r>
      <w:r>
        <w:rPr>
          <w:rFonts w:ascii="Times New Roman" w:hAnsi="Times New Roman" w:cs="Times New Roman" w:eastAsia="Times New Roman" w:hint="default"/>
        </w:rPr>
        <w:t>1</w:t>
      </w:r>
      <w:r>
        <w:rPr/>
        <w:t>）应付账款列示</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采购款</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639,382,191.31</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595,944,059.93</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639,382,191.31</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595,944,059.93</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2）账龄超过1年的重要应付账款" w:id="340"/>
      <w:bookmarkEnd w:id="340"/>
      <w:r>
        <w:rPr>
          <w:b w:val="0"/>
          <w:bCs w:val="0"/>
        </w:rPr>
      </w:r>
      <w:r>
        <w:rPr/>
        <w:t>（</w:t>
      </w:r>
      <w:r>
        <w:rPr>
          <w:rFonts w:ascii="Times New Roman" w:hAnsi="Times New Roman" w:cs="Times New Roman" w:eastAsia="Times New Roman" w:hint="default"/>
        </w:rPr>
        <w:t>2</w:t>
      </w:r>
      <w:r>
        <w:rPr/>
        <w:t>）账龄超过</w:t>
      </w:r>
      <w:r>
        <w:rPr>
          <w:spacing w:val="-51"/>
        </w:rPr>
        <w:t> </w:t>
      </w:r>
      <w:r>
        <w:rPr>
          <w:rFonts w:ascii="Times New Roman" w:hAnsi="Times New Roman" w:cs="Times New Roman" w:eastAsia="Times New Roman" w:hint="default"/>
        </w:rPr>
        <w:t>1</w:t>
      </w:r>
      <w:r>
        <w:rPr>
          <w:rFonts w:ascii="Times New Roman" w:hAnsi="Times New Roman" w:cs="Times New Roman" w:eastAsia="Times New Roman" w:hint="default"/>
          <w:spacing w:val="-3"/>
        </w:rPr>
        <w:t> </w:t>
      </w:r>
      <w:r>
        <w:rPr/>
        <w:t>年的重要应付账款</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82" w:right="0"/>
              <w:jc w:val="left"/>
              <w:rPr>
                <w:rFonts w:ascii="宋体" w:hAnsi="宋体" w:cs="宋体" w:eastAsia="宋体" w:hint="default"/>
                <w:sz w:val="18"/>
                <w:szCs w:val="18"/>
              </w:rPr>
            </w:pPr>
            <w:r>
              <w:rPr>
                <w:rFonts w:ascii="宋体" w:hAnsi="宋体" w:cs="宋体" w:eastAsia="宋体" w:hint="default"/>
                <w:spacing w:val="-3"/>
                <w:sz w:val="18"/>
                <w:szCs w:val="18"/>
              </w:rPr>
              <w:t>未偿还或结转的原因</w:t>
            </w:r>
          </w:p>
        </w:tc>
      </w:tr>
    </w:tbl>
    <w:p>
      <w:pPr>
        <w:spacing w:after="0" w:line="240" w:lineRule="auto"/>
        <w:jc w:val="left"/>
        <w:rPr>
          <w:rFonts w:ascii="宋体" w:hAnsi="宋体" w:cs="宋体" w:eastAsia="宋体" w:hint="default"/>
          <w:sz w:val="18"/>
          <w:szCs w:val="18"/>
        </w:rPr>
        <w:sectPr>
          <w:pgSz w:w="11910" w:h="16840"/>
          <w:pgMar w:header="784" w:footer="1022" w:top="1100" w:bottom="1220" w:left="980" w:right="0"/>
        </w:sectPr>
      </w:pPr>
    </w:p>
    <w:p>
      <w:pPr>
        <w:spacing w:line="240" w:lineRule="auto" w:before="2"/>
        <w:rPr>
          <w:rFonts w:ascii="宋体" w:hAnsi="宋体" w:cs="宋体" w:eastAsia="宋体" w:hint="default"/>
          <w:sz w:val="23"/>
          <w:szCs w:val="23"/>
        </w:rPr>
      </w:pPr>
    </w:p>
    <w:p>
      <w:pPr>
        <w:pStyle w:val="BodyText"/>
        <w:spacing w:line="240" w:lineRule="auto"/>
        <w:ind w:right="0"/>
        <w:jc w:val="left"/>
      </w:pPr>
      <w:r>
        <w:rPr/>
        <w:t>其他说明：</w:t>
      </w:r>
    </w:p>
    <w:p>
      <w:pPr>
        <w:pStyle w:val="BodyText"/>
        <w:spacing w:line="240" w:lineRule="auto" w:before="110"/>
        <w:ind w:left="604" w:right="0"/>
        <w:jc w:val="left"/>
      </w:pPr>
      <w:r>
        <w:rPr>
          <w:spacing w:val="-3"/>
        </w:rPr>
        <w:t>年末无账龄超过</w:t>
      </w:r>
      <w:r>
        <w:rPr>
          <w:rFonts w:ascii="宋体" w:hAnsi="宋体" w:cs="宋体" w:eastAsia="宋体" w:hint="default"/>
          <w:spacing w:val="-3"/>
        </w:rPr>
        <w:t>1</w:t>
      </w:r>
      <w:r>
        <w:rPr>
          <w:spacing w:val="-3"/>
        </w:rPr>
        <w:t>年的重要应付账款。</w:t>
      </w:r>
    </w:p>
    <w:p>
      <w:pPr>
        <w:spacing w:line="240" w:lineRule="auto" w:before="0"/>
        <w:rPr>
          <w:rFonts w:ascii="宋体" w:hAnsi="宋体" w:cs="宋体" w:eastAsia="宋体" w:hint="default"/>
          <w:sz w:val="18"/>
          <w:szCs w:val="18"/>
        </w:rPr>
      </w:pPr>
    </w:p>
    <w:p>
      <w:pPr>
        <w:pStyle w:val="Heading4"/>
        <w:spacing w:line="240" w:lineRule="auto" w:before="118"/>
        <w:ind w:right="0"/>
        <w:jc w:val="left"/>
        <w:rPr>
          <w:b w:val="0"/>
          <w:bCs w:val="0"/>
        </w:rPr>
      </w:pPr>
      <w:bookmarkStart w:name="37、预收款项" w:id="341"/>
      <w:bookmarkEnd w:id="341"/>
      <w:r>
        <w:rPr>
          <w:b w:val="0"/>
          <w:bCs w:val="0"/>
        </w:rPr>
      </w:r>
      <w:r>
        <w:rPr>
          <w:rFonts w:ascii="Times New Roman" w:hAnsi="Times New Roman" w:cs="Times New Roman" w:eastAsia="Times New Roman" w:hint="default"/>
        </w:rPr>
        <w:t>37</w:t>
      </w:r>
      <w:r>
        <w:rPr/>
        <w:t>、预收款项</w:t>
      </w:r>
      <w:r>
        <w:rPr>
          <w:b w:val="0"/>
          <w:bCs w:val="0"/>
        </w:rPr>
      </w:r>
    </w:p>
    <w:p>
      <w:pPr>
        <w:spacing w:line="240" w:lineRule="auto" w:before="1"/>
        <w:rPr>
          <w:rFonts w:ascii="宋体" w:hAnsi="宋体" w:cs="宋体" w:eastAsia="宋体" w:hint="default"/>
          <w:b/>
          <w:bCs/>
          <w:sz w:val="27"/>
          <w:szCs w:val="27"/>
        </w:rPr>
      </w:pPr>
    </w:p>
    <w:p>
      <w:pPr>
        <w:pStyle w:val="BodyText"/>
        <w:spacing w:line="240" w:lineRule="auto" w:before="0"/>
        <w:ind w:right="0"/>
        <w:jc w:val="left"/>
      </w:pPr>
      <w:r>
        <w:rPr/>
        <w:t>是否已执行新收入准则</w:t>
      </w:r>
    </w:p>
    <w:p>
      <w:pPr>
        <w:pStyle w:val="BodyText"/>
        <w:spacing w:line="240" w:lineRule="auto" w:before="115"/>
        <w:ind w:right="0"/>
        <w:jc w:val="left"/>
      </w:pPr>
      <w:r>
        <w:rPr/>
        <w:t>□ 是 √</w:t>
      </w:r>
      <w:r>
        <w:rPr>
          <w:spacing w:val="2"/>
        </w:rPr>
        <w:t> </w:t>
      </w:r>
      <w:r>
        <w:rPr/>
        <w:t>否</w:t>
      </w:r>
    </w:p>
    <w:p>
      <w:pPr>
        <w:spacing w:line="240" w:lineRule="auto" w:before="4"/>
        <w:rPr>
          <w:rFonts w:ascii="宋体" w:hAnsi="宋体" w:cs="宋体" w:eastAsia="宋体" w:hint="default"/>
          <w:sz w:val="26"/>
          <w:szCs w:val="26"/>
        </w:rPr>
      </w:pPr>
    </w:p>
    <w:p>
      <w:pPr>
        <w:pStyle w:val="Heading4"/>
        <w:spacing w:line="240" w:lineRule="auto"/>
        <w:ind w:right="0"/>
        <w:jc w:val="left"/>
        <w:rPr>
          <w:b w:val="0"/>
          <w:bCs w:val="0"/>
        </w:rPr>
      </w:pPr>
      <w:bookmarkStart w:name="（1）预收款项列示" w:id="342"/>
      <w:bookmarkEnd w:id="342"/>
      <w:r>
        <w:rPr>
          <w:b w:val="0"/>
          <w:bCs w:val="0"/>
        </w:rPr>
      </w:r>
      <w:r>
        <w:rPr/>
        <w:t>（</w:t>
      </w:r>
      <w:r>
        <w:rPr>
          <w:rFonts w:ascii="Times New Roman" w:hAnsi="Times New Roman" w:cs="Times New Roman" w:eastAsia="Times New Roman" w:hint="default"/>
        </w:rPr>
        <w:t>1</w:t>
      </w:r>
      <w:r>
        <w:rPr/>
        <w:t>）预收款项列示</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398"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预收款</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37,358,759.08</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42,527,082.79</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37,358,759.08</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42,527,082.79</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2）账龄超过1年的重要预收款项" w:id="343"/>
      <w:bookmarkEnd w:id="343"/>
      <w:r>
        <w:rPr>
          <w:b w:val="0"/>
          <w:bCs w:val="0"/>
        </w:rPr>
      </w:r>
      <w:r>
        <w:rPr/>
        <w:t>（</w:t>
      </w:r>
      <w:r>
        <w:rPr>
          <w:rFonts w:ascii="Times New Roman" w:hAnsi="Times New Roman" w:cs="Times New Roman" w:eastAsia="Times New Roman" w:hint="default"/>
        </w:rPr>
        <w:t>2</w:t>
      </w:r>
      <w:r>
        <w:rPr/>
        <w:t>）账龄超过</w:t>
      </w:r>
      <w:r>
        <w:rPr>
          <w:spacing w:val="-51"/>
        </w:rPr>
        <w:t> </w:t>
      </w:r>
      <w:r>
        <w:rPr>
          <w:rFonts w:ascii="Times New Roman" w:hAnsi="Times New Roman" w:cs="Times New Roman" w:eastAsia="Times New Roman" w:hint="default"/>
        </w:rPr>
        <w:t>1</w:t>
      </w:r>
      <w:r>
        <w:rPr>
          <w:rFonts w:ascii="Times New Roman" w:hAnsi="Times New Roman" w:cs="Times New Roman" w:eastAsia="Times New Roman" w:hint="default"/>
          <w:spacing w:val="-3"/>
        </w:rPr>
        <w:t> </w:t>
      </w:r>
      <w:r>
        <w:rPr/>
        <w:t>年的重要预收款项</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10"/>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782" w:right="0"/>
              <w:jc w:val="left"/>
              <w:rPr>
                <w:rFonts w:ascii="宋体" w:hAnsi="宋体" w:cs="宋体" w:eastAsia="宋体" w:hint="default"/>
                <w:sz w:val="18"/>
                <w:szCs w:val="18"/>
              </w:rPr>
            </w:pPr>
            <w:r>
              <w:rPr>
                <w:rFonts w:ascii="宋体" w:hAnsi="宋体" w:cs="宋体" w:eastAsia="宋体" w:hint="default"/>
                <w:spacing w:val="-3"/>
                <w:sz w:val="18"/>
                <w:szCs w:val="18"/>
              </w:rPr>
              <w:t>未偿还或结转的原因</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3）期末建造合同形成的已结算未完工项目情况" w:id="344"/>
      <w:bookmarkEnd w:id="344"/>
      <w:r>
        <w:rPr>
          <w:b w:val="0"/>
          <w:bCs w:val="0"/>
        </w:rPr>
      </w:r>
      <w:r>
        <w:rPr/>
        <w:t>（</w:t>
      </w:r>
      <w:r>
        <w:rPr>
          <w:rFonts w:ascii="Times New Roman" w:hAnsi="Times New Roman" w:cs="Times New Roman" w:eastAsia="Times New Roman" w:hint="default"/>
        </w:rPr>
        <w:t>3</w:t>
      </w:r>
      <w:r>
        <w:rPr/>
        <w:t>）期末建造合同形成的已结算未完工项目情况</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4783"/>
        <w:gridCol w:w="4787"/>
      </w:tblGrid>
      <w:tr>
        <w:trPr>
          <w:trHeight w:val="404"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7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z w:val="18"/>
                <w:szCs w:val="18"/>
              </w:rPr>
              <w:t>金额</w:t>
            </w:r>
          </w:p>
        </w:tc>
      </w:tr>
    </w:tbl>
    <w:p>
      <w:pPr>
        <w:pStyle w:val="BodyText"/>
        <w:spacing w:line="240" w:lineRule="auto" w:before="53"/>
        <w:ind w:right="0"/>
        <w:jc w:val="left"/>
      </w:pPr>
      <w:r>
        <w:rPr/>
        <w:t>其他说明：无</w:t>
      </w:r>
    </w:p>
    <w:p>
      <w:pPr>
        <w:spacing w:line="240" w:lineRule="auto" w:before="4"/>
        <w:rPr>
          <w:rFonts w:ascii="宋体" w:hAnsi="宋体" w:cs="宋体" w:eastAsia="宋体" w:hint="default"/>
          <w:sz w:val="26"/>
          <w:szCs w:val="26"/>
        </w:rPr>
      </w:pPr>
    </w:p>
    <w:p>
      <w:pPr>
        <w:pStyle w:val="Heading4"/>
        <w:spacing w:line="240" w:lineRule="auto"/>
        <w:ind w:right="0"/>
        <w:jc w:val="left"/>
        <w:rPr>
          <w:b w:val="0"/>
          <w:bCs w:val="0"/>
        </w:rPr>
      </w:pPr>
      <w:bookmarkStart w:name="38、合同负债" w:id="345"/>
      <w:bookmarkEnd w:id="345"/>
      <w:r>
        <w:rPr>
          <w:b w:val="0"/>
          <w:bCs w:val="0"/>
        </w:rPr>
      </w:r>
      <w:r>
        <w:rPr>
          <w:rFonts w:ascii="Times New Roman" w:hAnsi="Times New Roman" w:cs="Times New Roman" w:eastAsia="Times New Roman" w:hint="default"/>
        </w:rPr>
        <w:t>38</w:t>
      </w:r>
      <w:r>
        <w:rPr/>
        <w:t>、合同负债</w:t>
      </w:r>
      <w:r>
        <w:rPr>
          <w:b w:val="0"/>
          <w:bCs w:val="0"/>
        </w:rPr>
      </w:r>
    </w:p>
    <w:p>
      <w:pPr>
        <w:spacing w:line="240" w:lineRule="auto" w:before="7"/>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240" w:lineRule="auto" w:before="56"/>
        <w:ind w:right="0"/>
        <w:jc w:val="left"/>
      </w:pPr>
      <w:r>
        <w:rPr>
          <w:spacing w:val="-3"/>
        </w:rPr>
        <w:t>报告期内账面价值发生重大变动的金额和原因</w:t>
      </w:r>
    </w:p>
    <w:p>
      <w:pPr>
        <w:pStyle w:val="BodyText"/>
        <w:spacing w:line="240" w:lineRule="auto" w:before="115"/>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204"/>
        <w:gridCol w:w="2420"/>
        <w:gridCol w:w="4945"/>
      </w:tblGrid>
      <w:tr>
        <w:trPr>
          <w:trHeight w:val="399" w:hRule="exact"/>
        </w:trPr>
        <w:tc>
          <w:tcPr>
            <w:tcW w:w="22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4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 w:right="0"/>
              <w:jc w:val="center"/>
              <w:rPr>
                <w:rFonts w:ascii="宋体" w:hAnsi="宋体" w:cs="宋体" w:eastAsia="宋体" w:hint="default"/>
                <w:sz w:val="18"/>
                <w:szCs w:val="18"/>
              </w:rPr>
            </w:pPr>
            <w:r>
              <w:rPr>
                <w:rFonts w:ascii="宋体" w:hAnsi="宋体" w:cs="宋体" w:eastAsia="宋体" w:hint="default"/>
                <w:sz w:val="18"/>
                <w:szCs w:val="18"/>
              </w:rPr>
              <w:t>变动金额</w:t>
            </w:r>
          </w:p>
        </w:tc>
        <w:tc>
          <w:tcPr>
            <w:tcW w:w="4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变动原因</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39、应付职工薪酬" w:id="346"/>
      <w:bookmarkEnd w:id="346"/>
      <w:r>
        <w:rPr>
          <w:b w:val="0"/>
          <w:bCs w:val="0"/>
        </w:rPr>
      </w:r>
      <w:r>
        <w:rPr>
          <w:rFonts w:ascii="Times New Roman" w:hAnsi="Times New Roman" w:cs="Times New Roman" w:eastAsia="Times New Roman" w:hint="default"/>
        </w:rPr>
        <w:t>39</w:t>
      </w:r>
      <w:r>
        <w:rPr/>
        <w:t>、应付职工薪酬</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0"/>
        <w:jc w:val="left"/>
        <w:rPr>
          <w:b w:val="0"/>
          <w:bCs w:val="0"/>
        </w:rPr>
      </w:pPr>
      <w:bookmarkStart w:name="（1）应付职工薪酬列示" w:id="347"/>
      <w:bookmarkEnd w:id="347"/>
      <w:r>
        <w:rPr>
          <w:b w:val="0"/>
          <w:bCs w:val="0"/>
        </w:rPr>
      </w:r>
      <w:r>
        <w:rPr/>
        <w:t>（</w:t>
      </w:r>
      <w:r>
        <w:rPr>
          <w:rFonts w:ascii="Times New Roman" w:hAnsi="Times New Roman" w:cs="Times New Roman" w:eastAsia="Times New Roman" w:hint="default"/>
        </w:rPr>
        <w:t>1</w:t>
      </w:r>
      <w:r>
        <w:rPr/>
        <w:t>）应付职工薪酬列示</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11"/>
        <w:gridCol w:w="1921"/>
        <w:gridCol w:w="1911"/>
        <w:gridCol w:w="1916"/>
        <w:gridCol w:w="1916"/>
      </w:tblGrid>
      <w:tr>
        <w:trPr>
          <w:trHeight w:val="398"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0"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5"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5"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z w:val="18"/>
                <w:szCs w:val="18"/>
              </w:rPr>
              <w:t>一、短期薪酬</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768" w:right="0"/>
              <w:jc w:val="left"/>
              <w:rPr>
                <w:rFonts w:ascii="Times New Roman" w:hAnsi="Times New Roman" w:cs="Times New Roman" w:eastAsia="Times New Roman" w:hint="default"/>
                <w:sz w:val="18"/>
                <w:szCs w:val="18"/>
              </w:rPr>
            </w:pPr>
            <w:r>
              <w:rPr>
                <w:rFonts w:ascii="Times New Roman"/>
                <w:sz w:val="18"/>
              </w:rPr>
              <w:t>36,772,228.46</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676" w:right="0"/>
              <w:jc w:val="left"/>
              <w:rPr>
                <w:rFonts w:ascii="Times New Roman" w:hAnsi="Times New Roman" w:cs="Times New Roman" w:eastAsia="Times New Roman" w:hint="default"/>
                <w:sz w:val="18"/>
                <w:szCs w:val="18"/>
              </w:rPr>
            </w:pPr>
            <w:r>
              <w:rPr>
                <w:rFonts w:ascii="Times New Roman"/>
                <w:sz w:val="18"/>
              </w:rPr>
              <w:t>199,959,136.49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681" w:right="0"/>
              <w:jc w:val="left"/>
              <w:rPr>
                <w:rFonts w:ascii="Times New Roman" w:hAnsi="Times New Roman" w:cs="Times New Roman" w:eastAsia="Times New Roman" w:hint="default"/>
                <w:sz w:val="18"/>
                <w:szCs w:val="18"/>
              </w:rPr>
            </w:pPr>
            <w:r>
              <w:rPr>
                <w:rFonts w:ascii="Times New Roman"/>
                <w:sz w:val="18"/>
              </w:rPr>
              <w:t>203,389,849.59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768" w:right="0"/>
              <w:jc w:val="left"/>
              <w:rPr>
                <w:rFonts w:ascii="Times New Roman" w:hAnsi="Times New Roman" w:cs="Times New Roman" w:eastAsia="Times New Roman" w:hint="default"/>
                <w:sz w:val="18"/>
                <w:szCs w:val="18"/>
              </w:rPr>
            </w:pPr>
            <w:r>
              <w:rPr>
                <w:rFonts w:ascii="Times New Roman"/>
                <w:sz w:val="18"/>
              </w:rPr>
              <w:t>33,341,515.36</w:t>
            </w:r>
          </w:p>
        </w:tc>
      </w:tr>
    </w:tbl>
    <w:p>
      <w:pPr>
        <w:spacing w:after="0" w:line="240" w:lineRule="auto"/>
        <w:jc w:val="left"/>
        <w:rPr>
          <w:rFonts w:ascii="Times New Roman" w:hAnsi="Times New Roman" w:cs="Times New Roman" w:eastAsia="Times New Roman" w:hint="default"/>
          <w:sz w:val="18"/>
          <w:szCs w:val="18"/>
        </w:rPr>
        <w:sectPr>
          <w:pgSz w:w="11910" w:h="16840"/>
          <w:pgMar w:header="784" w:footer="1022" w:top="1100" w:bottom="1220" w:left="980" w:right="0"/>
        </w:sectPr>
      </w:pPr>
    </w:p>
    <w:p>
      <w:pPr>
        <w:spacing w:line="240" w:lineRule="auto" w:before="7"/>
        <w:rPr>
          <w:rFonts w:ascii="宋体" w:hAnsi="宋体" w:cs="宋体" w:eastAsia="宋体" w:hint="default"/>
          <w:sz w:val="25"/>
          <w:szCs w:val="25"/>
        </w:rPr>
      </w:pPr>
    </w:p>
    <w:tbl>
      <w:tblPr>
        <w:tblW w:w="0" w:type="auto"/>
        <w:jc w:val="left"/>
        <w:tblInd w:w="148" w:type="dxa"/>
        <w:tblLayout w:type="fixed"/>
        <w:tblCellMar>
          <w:top w:w="0" w:type="dxa"/>
          <w:left w:w="0" w:type="dxa"/>
          <w:bottom w:w="0" w:type="dxa"/>
          <w:right w:w="0" w:type="dxa"/>
        </w:tblCellMar>
        <w:tblLook w:val="01E0"/>
      </w:tblPr>
      <w:tblGrid>
        <w:gridCol w:w="1911"/>
        <w:gridCol w:w="1921"/>
        <w:gridCol w:w="1911"/>
        <w:gridCol w:w="1916"/>
        <w:gridCol w:w="1916"/>
      </w:tblGrid>
      <w:tr>
        <w:trPr>
          <w:trHeight w:val="715"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105" w:right="108"/>
              <w:jc w:val="left"/>
              <w:rPr>
                <w:rFonts w:ascii="宋体" w:hAnsi="宋体" w:cs="宋体" w:eastAsia="宋体" w:hint="default"/>
                <w:sz w:val="18"/>
                <w:szCs w:val="18"/>
              </w:rPr>
            </w:pPr>
            <w:r>
              <w:rPr>
                <w:rFonts w:ascii="宋体" w:hAnsi="宋体" w:cs="宋体" w:eastAsia="宋体" w:hint="default"/>
                <w:spacing w:val="-2"/>
                <w:sz w:val="18"/>
                <w:szCs w:val="18"/>
              </w:rPr>
              <w:t>二、离职后福利</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设定</w:t>
            </w:r>
            <w:r>
              <w:rPr>
                <w:rFonts w:ascii="宋体" w:hAnsi="宋体" w:cs="宋体" w:eastAsia="宋体" w:hint="default"/>
                <w:spacing w:val="-67"/>
                <w:sz w:val="18"/>
                <w:szCs w:val="18"/>
              </w:rPr>
              <w:t> </w:t>
            </w:r>
            <w:r>
              <w:rPr>
                <w:rFonts w:ascii="宋体" w:hAnsi="宋体" w:cs="宋体" w:eastAsia="宋体" w:hint="default"/>
                <w:sz w:val="18"/>
                <w:szCs w:val="18"/>
              </w:rPr>
              <w:t>提存计划</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9,722.45</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8,755,291.59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2"/>
                <w:sz w:val="18"/>
              </w:rPr>
              <w:t>8,738,095.11</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26,918.93</w:t>
            </w:r>
          </w:p>
        </w:tc>
      </w:tr>
      <w:tr>
        <w:trPr>
          <w:trHeight w:val="399"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三、辞退福利</w:t>
            </w:r>
          </w:p>
        </w:tc>
        <w:tc>
          <w:tcPr>
            <w:tcW w:w="1921" w:type="dxa"/>
            <w:tcBorders>
              <w:top w:val="single" w:sz="4" w:space="0" w:color="000000"/>
              <w:left w:val="single" w:sz="4" w:space="0" w:color="000000"/>
              <w:bottom w:val="single" w:sz="4" w:space="0" w:color="000000"/>
              <w:right w:val="single" w:sz="4" w:space="0" w:color="000000"/>
            </w:tcBorders>
          </w:tcPr>
          <w:p>
            <w:pP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474,900.00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474,900.00</w:t>
            </w: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8"/>
              <w:ind w:left="105" w:right="171"/>
              <w:jc w:val="left"/>
              <w:rPr>
                <w:rFonts w:ascii="宋体" w:hAnsi="宋体" w:cs="宋体" w:eastAsia="宋体" w:hint="default"/>
                <w:sz w:val="18"/>
                <w:szCs w:val="18"/>
              </w:rPr>
            </w:pPr>
            <w:r>
              <w:rPr>
                <w:rFonts w:ascii="宋体" w:hAnsi="宋体" w:cs="宋体" w:eastAsia="宋体" w:hint="default"/>
                <w:spacing w:val="-3"/>
                <w:sz w:val="18"/>
                <w:szCs w:val="18"/>
              </w:rPr>
              <w:t>四、一年内到期的其</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他福利</w:t>
            </w:r>
          </w:p>
        </w:tc>
        <w:tc>
          <w:tcPr>
            <w:tcW w:w="1921" w:type="dxa"/>
            <w:tcBorders>
              <w:top w:val="single" w:sz="4" w:space="0" w:color="000000"/>
              <w:left w:val="single" w:sz="4" w:space="0" w:color="000000"/>
              <w:bottom w:val="single" w:sz="4" w:space="0" w:color="000000"/>
              <w:right w:val="single" w:sz="4" w:space="0" w:color="000000"/>
            </w:tcBorders>
          </w:tcPr>
          <w:p>
            <w:pP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14,247.00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14,247.00</w:t>
            </w: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36,781,950.91</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209,203,575.08</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212,617,091.70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33,368,434.29</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2）短期薪酬列示" w:id="348"/>
      <w:bookmarkEnd w:id="348"/>
      <w:r>
        <w:rPr>
          <w:b w:val="0"/>
          <w:bCs w:val="0"/>
        </w:rPr>
      </w:r>
      <w:r>
        <w:rPr/>
        <w:t>（</w:t>
      </w:r>
      <w:r>
        <w:rPr>
          <w:rFonts w:ascii="Times New Roman" w:hAnsi="Times New Roman" w:cs="Times New Roman" w:eastAsia="Times New Roman" w:hint="default"/>
        </w:rPr>
        <w:t>2</w:t>
      </w:r>
      <w:r>
        <w:rPr/>
        <w:t>）短期薪酬列示</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11"/>
        <w:gridCol w:w="1921"/>
        <w:gridCol w:w="1911"/>
        <w:gridCol w:w="1916"/>
        <w:gridCol w:w="1916"/>
      </w:tblGrid>
      <w:tr>
        <w:trPr>
          <w:trHeight w:val="398"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0"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5"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5"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716"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8"/>
              <w:ind w:left="105" w:right="94"/>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、工资、奖金、津贴</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和补贴</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36,721,280.40</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186,865,024.29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190,264,052.33</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33,322,252.36</w:t>
            </w: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、职工福利费</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8,161.46</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4,445,803.45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4,453,964.91</w:t>
            </w: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、社会保险费</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35,833.40</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3,921,306.45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3,941,245.84</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15,894.01</w:t>
            </w:r>
          </w:p>
        </w:tc>
      </w:tr>
      <w:tr>
        <w:trPr>
          <w:trHeight w:val="711"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其中：医疗保险</w:t>
            </w:r>
          </w:p>
          <w:p>
            <w:pPr>
              <w:pStyle w:val="TableParagraph"/>
              <w:spacing w:line="240" w:lineRule="auto" w:before="76"/>
              <w:ind w:left="105" w:right="0"/>
              <w:jc w:val="left"/>
              <w:rPr>
                <w:rFonts w:ascii="宋体" w:hAnsi="宋体" w:cs="宋体" w:eastAsia="宋体" w:hint="default"/>
                <w:sz w:val="18"/>
                <w:szCs w:val="18"/>
              </w:rPr>
            </w:pPr>
            <w:r>
              <w:rPr>
                <w:rFonts w:ascii="宋体" w:hAnsi="宋体" w:cs="宋体" w:eastAsia="宋体" w:hint="default"/>
                <w:w w:val="101"/>
                <w:sz w:val="18"/>
                <w:szCs w:val="18"/>
              </w:rPr>
              <w:t>费</w:t>
            </w:r>
            <w:r>
              <w:rPr>
                <w:rFonts w:ascii="宋体" w:hAnsi="宋体" w:cs="宋体" w:eastAsia="宋体" w:hint="default"/>
                <w:sz w:val="18"/>
                <w:szCs w:val="18"/>
              </w:rPr>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35,471.99</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3,479,143.95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3,498,937.37</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15,678.57</w:t>
            </w:r>
          </w:p>
        </w:tc>
      </w:tr>
      <w:tr>
        <w:trPr>
          <w:trHeight w:val="715"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008" w:right="0"/>
              <w:jc w:val="left"/>
              <w:rPr>
                <w:rFonts w:ascii="宋体" w:hAnsi="宋体" w:cs="宋体" w:eastAsia="宋体" w:hint="default"/>
                <w:sz w:val="18"/>
                <w:szCs w:val="18"/>
              </w:rPr>
            </w:pPr>
            <w:r>
              <w:rPr>
                <w:rFonts w:ascii="宋体" w:hAnsi="宋体" w:cs="宋体" w:eastAsia="宋体" w:hint="default"/>
                <w:spacing w:val="-3"/>
                <w:sz w:val="18"/>
                <w:szCs w:val="18"/>
              </w:rPr>
              <w:t>工伤保险</w:t>
            </w:r>
          </w:p>
          <w:p>
            <w:pPr>
              <w:pStyle w:val="TableParagraph"/>
              <w:spacing w:line="240" w:lineRule="auto" w:before="76"/>
              <w:ind w:left="105" w:right="0"/>
              <w:jc w:val="left"/>
              <w:rPr>
                <w:rFonts w:ascii="宋体" w:hAnsi="宋体" w:cs="宋体" w:eastAsia="宋体" w:hint="default"/>
                <w:sz w:val="18"/>
                <w:szCs w:val="18"/>
              </w:rPr>
            </w:pPr>
            <w:r>
              <w:rPr>
                <w:rFonts w:ascii="宋体" w:hAnsi="宋体" w:cs="宋体" w:eastAsia="宋体" w:hint="default"/>
                <w:w w:val="101"/>
                <w:sz w:val="18"/>
                <w:szCs w:val="18"/>
              </w:rPr>
              <w:t>费</w:t>
            </w:r>
            <w:r>
              <w:rPr>
                <w:rFonts w:ascii="宋体" w:hAnsi="宋体" w:cs="宋体" w:eastAsia="宋体" w:hint="default"/>
                <w:sz w:val="18"/>
                <w:szCs w:val="18"/>
              </w:rPr>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361.41</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93,993.08</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94,139.05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3"/>
              <w:jc w:val="right"/>
              <w:rPr>
                <w:rFonts w:ascii="Times New Roman" w:hAnsi="Times New Roman" w:cs="Times New Roman" w:eastAsia="Times New Roman" w:hint="default"/>
                <w:sz w:val="18"/>
                <w:szCs w:val="18"/>
              </w:rPr>
            </w:pPr>
            <w:r>
              <w:rPr>
                <w:rFonts w:ascii="Times New Roman"/>
                <w:spacing w:val="-1"/>
                <w:sz w:val="18"/>
              </w:rPr>
              <w:t>215.44</w:t>
            </w:r>
          </w:p>
        </w:tc>
      </w:tr>
      <w:tr>
        <w:trPr>
          <w:trHeight w:val="715"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08" w:right="0"/>
              <w:jc w:val="left"/>
              <w:rPr>
                <w:rFonts w:ascii="宋体" w:hAnsi="宋体" w:cs="宋体" w:eastAsia="宋体" w:hint="default"/>
                <w:sz w:val="18"/>
                <w:szCs w:val="18"/>
              </w:rPr>
            </w:pPr>
            <w:r>
              <w:rPr>
                <w:rFonts w:ascii="宋体" w:hAnsi="宋体" w:cs="宋体" w:eastAsia="宋体" w:hint="default"/>
                <w:spacing w:val="-3"/>
                <w:sz w:val="18"/>
                <w:szCs w:val="18"/>
              </w:rPr>
              <w:t>生育保险</w:t>
            </w:r>
          </w:p>
          <w:p>
            <w:pPr>
              <w:pStyle w:val="TableParagraph"/>
              <w:spacing w:line="240" w:lineRule="auto" w:before="81"/>
              <w:ind w:left="105" w:right="0"/>
              <w:jc w:val="left"/>
              <w:rPr>
                <w:rFonts w:ascii="宋体" w:hAnsi="宋体" w:cs="宋体" w:eastAsia="宋体" w:hint="default"/>
                <w:sz w:val="18"/>
                <w:szCs w:val="18"/>
              </w:rPr>
            </w:pPr>
            <w:r>
              <w:rPr>
                <w:rFonts w:ascii="宋体" w:hAnsi="宋体" w:cs="宋体" w:eastAsia="宋体" w:hint="default"/>
                <w:w w:val="101"/>
                <w:sz w:val="18"/>
                <w:szCs w:val="18"/>
              </w:rPr>
              <w:t>费</w:t>
            </w:r>
            <w:r>
              <w:rPr>
                <w:rFonts w:ascii="宋体" w:hAnsi="宋体" w:cs="宋体" w:eastAsia="宋体" w:hint="default"/>
                <w:sz w:val="18"/>
                <w:szCs w:val="18"/>
              </w:rPr>
            </w:r>
          </w:p>
        </w:tc>
        <w:tc>
          <w:tcPr>
            <w:tcW w:w="1921" w:type="dxa"/>
            <w:tcBorders>
              <w:top w:val="single" w:sz="4" w:space="0" w:color="000000"/>
              <w:left w:val="single" w:sz="4" w:space="0" w:color="000000"/>
              <w:bottom w:val="single" w:sz="4" w:space="0" w:color="000000"/>
              <w:right w:val="single" w:sz="4" w:space="0" w:color="000000"/>
            </w:tcBorders>
          </w:tcPr>
          <w:p>
            <w:pP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348,169.42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348,169.42</w:t>
            </w: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、住房公积金</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3,368.99</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3,761,576.81</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3,761,576.81</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3,368.99</w:t>
            </w:r>
          </w:p>
        </w:tc>
      </w:tr>
      <w:tr>
        <w:trPr>
          <w:trHeight w:val="710"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105" w:right="94"/>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5</w:t>
            </w:r>
            <w:r>
              <w:rPr>
                <w:rFonts w:ascii="宋体" w:hAnsi="宋体" w:cs="宋体" w:eastAsia="宋体" w:hint="default"/>
                <w:spacing w:val="-4"/>
                <w:sz w:val="18"/>
                <w:szCs w:val="18"/>
              </w:rPr>
              <w:t>、工会经费和职工教</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育经费</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3,584.21</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965,425.49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969,009.70</w:t>
            </w: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36,772,228.46</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199,959,136.49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203,389,849.59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33,341,515.36</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3）设定提存计划列示" w:id="349"/>
      <w:bookmarkEnd w:id="349"/>
      <w:r>
        <w:rPr>
          <w:b w:val="0"/>
          <w:bCs w:val="0"/>
        </w:rPr>
      </w:r>
      <w:r>
        <w:rPr/>
        <w:t>（</w:t>
      </w:r>
      <w:r>
        <w:rPr>
          <w:rFonts w:ascii="Times New Roman" w:hAnsi="Times New Roman" w:cs="Times New Roman" w:eastAsia="Times New Roman" w:hint="default"/>
        </w:rPr>
        <w:t>3</w:t>
      </w:r>
      <w:r>
        <w:rPr/>
        <w:t>）设定提存计划列示</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11"/>
        <w:gridCol w:w="1921"/>
        <w:gridCol w:w="1911"/>
        <w:gridCol w:w="1916"/>
        <w:gridCol w:w="1916"/>
      </w:tblGrid>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0"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5"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5"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98"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、基本养老保险</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8,857.67</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8,521,177.65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8,503,116.39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26,918.93</w:t>
            </w:r>
          </w:p>
        </w:tc>
      </w:tr>
      <w:tr>
        <w:trPr>
          <w:trHeight w:val="404"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、失业保险费</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864.78</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234,113.94</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234,978.72</w:t>
            </w: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9,722.45</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8,755,291.59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8,738,095.11</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26,918.93</w:t>
            </w:r>
          </w:p>
        </w:tc>
      </w:tr>
    </w:tbl>
    <w:p>
      <w:pPr>
        <w:pStyle w:val="BodyText"/>
        <w:spacing w:line="240" w:lineRule="auto" w:before="53"/>
        <w:ind w:right="0"/>
        <w:jc w:val="left"/>
      </w:pPr>
      <w:r>
        <w:rPr/>
        <w:t>其他说明：</w:t>
      </w:r>
    </w:p>
    <w:p>
      <w:pPr>
        <w:pStyle w:val="BodyText"/>
        <w:spacing w:line="319" w:lineRule="auto" w:before="115"/>
        <w:ind w:right="0" w:firstLine="360"/>
        <w:jc w:val="left"/>
      </w:pPr>
      <w:r>
        <w:rPr>
          <w:spacing w:val="-4"/>
        </w:rPr>
        <w:t>本公司按规定参加由政府机构设立的养老保险、失业保险计划。除上述每月缴存费用外，本公司不再承担进一步支付义</w:t>
      </w:r>
      <w:r>
        <w:rPr>
          <w:w w:val="101"/>
        </w:rPr>
        <w:t> </w:t>
      </w:r>
      <w:r>
        <w:rPr>
          <w:spacing w:val="-3"/>
        </w:rPr>
        <w:t>务。相应的支出于发生时计入当期损益或相关资产的成本。</w:t>
      </w:r>
    </w:p>
    <w:p>
      <w:pPr>
        <w:spacing w:after="0" w:line="319" w:lineRule="auto"/>
        <w:jc w:val="left"/>
        <w:sectPr>
          <w:pgSz w:w="11910" w:h="16840"/>
          <w:pgMar w:header="784" w:footer="1022" w:top="1100" w:bottom="1220" w:left="980" w:right="0"/>
        </w:sectPr>
      </w:pPr>
    </w:p>
    <w:p>
      <w:pPr>
        <w:spacing w:line="240" w:lineRule="auto" w:before="13"/>
        <w:rPr>
          <w:rFonts w:ascii="宋体" w:hAnsi="宋体" w:cs="宋体" w:eastAsia="宋体" w:hint="default"/>
          <w:sz w:val="21"/>
          <w:szCs w:val="21"/>
        </w:rPr>
      </w:pPr>
    </w:p>
    <w:p>
      <w:pPr>
        <w:pStyle w:val="Heading4"/>
        <w:spacing w:line="240" w:lineRule="auto" w:before="36"/>
        <w:ind w:right="0"/>
        <w:jc w:val="left"/>
        <w:rPr>
          <w:b w:val="0"/>
          <w:bCs w:val="0"/>
        </w:rPr>
      </w:pPr>
      <w:bookmarkStart w:name="40、应交税费" w:id="350"/>
      <w:bookmarkEnd w:id="350"/>
      <w:r>
        <w:rPr>
          <w:b w:val="0"/>
          <w:bCs w:val="0"/>
        </w:rPr>
      </w:r>
      <w:r>
        <w:rPr>
          <w:rFonts w:ascii="Times New Roman" w:hAnsi="Times New Roman" w:cs="Times New Roman" w:eastAsia="Times New Roman" w:hint="default"/>
        </w:rPr>
        <w:t>40</w:t>
      </w:r>
      <w:r>
        <w:rPr/>
        <w:t>、应交税费</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38,937,468.83</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54,153,053.51</w:t>
            </w:r>
          </w:p>
        </w:tc>
      </w:tr>
      <w:tr>
        <w:trPr>
          <w:trHeight w:val="398"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26,780,208.30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23,066,164.75</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个人所得税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941,524.09</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pacing w:val="-1"/>
                <w:sz w:val="18"/>
              </w:rPr>
              <w:t>456,333.67</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pacing w:val="-3"/>
                <w:sz w:val="18"/>
                <w:szCs w:val="18"/>
              </w:rPr>
              <w:t>城市维护建设税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3,732,378.51</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3,066,085.29</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1,599,497.58</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1,314,036.52</w:t>
            </w:r>
          </w:p>
        </w:tc>
      </w:tr>
      <w:tr>
        <w:trPr>
          <w:trHeight w:val="398"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地方教育费附加</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1,066,149.88</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pacing w:val="-1"/>
                <w:sz w:val="18"/>
              </w:rPr>
              <w:t>872,233.53</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374,797.53</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1,142,154.70</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73,432,024.72</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84,070,061.97</w:t>
            </w:r>
          </w:p>
        </w:tc>
      </w:tr>
    </w:tbl>
    <w:p>
      <w:pPr>
        <w:pStyle w:val="BodyText"/>
        <w:spacing w:line="357" w:lineRule="auto" w:before="53"/>
        <w:ind w:right="9861"/>
        <w:jc w:val="left"/>
      </w:pPr>
      <w:r>
        <w:rPr>
          <w:spacing w:val="-2"/>
        </w:rPr>
        <w:t>其他说明：</w:t>
      </w:r>
      <w:r>
        <w:rPr>
          <w:spacing w:val="-78"/>
        </w:rPr>
        <w:t> </w:t>
      </w:r>
      <w:r>
        <w:rPr>
          <w:spacing w:val="-78"/>
        </w:rPr>
      </w:r>
      <w:r>
        <w:rPr/>
        <w:t>无。</w:t>
      </w:r>
    </w:p>
    <w:p>
      <w:pPr>
        <w:spacing w:line="240" w:lineRule="auto" w:before="3"/>
        <w:rPr>
          <w:rFonts w:ascii="宋体" w:hAnsi="宋体" w:cs="宋体" w:eastAsia="宋体" w:hint="default"/>
          <w:sz w:val="20"/>
          <w:szCs w:val="20"/>
        </w:rPr>
      </w:pPr>
    </w:p>
    <w:p>
      <w:pPr>
        <w:pStyle w:val="Heading4"/>
        <w:spacing w:line="240" w:lineRule="auto"/>
        <w:ind w:right="0"/>
        <w:jc w:val="left"/>
        <w:rPr>
          <w:b w:val="0"/>
          <w:bCs w:val="0"/>
        </w:rPr>
      </w:pPr>
      <w:bookmarkStart w:name="41、其他应付款" w:id="351"/>
      <w:bookmarkEnd w:id="351"/>
      <w:r>
        <w:rPr>
          <w:b w:val="0"/>
          <w:bCs w:val="0"/>
        </w:rPr>
      </w:r>
      <w:r>
        <w:rPr>
          <w:rFonts w:ascii="Times New Roman" w:hAnsi="Times New Roman" w:cs="Times New Roman" w:eastAsia="Times New Roman" w:hint="default"/>
        </w:rPr>
        <w:t>41</w:t>
      </w:r>
      <w:r>
        <w:rPr/>
        <w:t>、其他应付款</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70,997.43</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pacing w:val="-1"/>
                <w:sz w:val="18"/>
              </w:rPr>
              <w:t>365,644.43</w:t>
            </w:r>
          </w:p>
        </w:tc>
      </w:tr>
      <w:tr>
        <w:trPr>
          <w:trHeight w:val="398"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121,899.80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1,187,472.00</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9"/>
              <w:ind w:left="105"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94"/>
              <w:jc w:val="right"/>
              <w:rPr>
                <w:rFonts w:ascii="Times New Roman" w:hAnsi="Times New Roman" w:cs="Times New Roman" w:eastAsia="Times New Roman" w:hint="default"/>
                <w:sz w:val="18"/>
                <w:szCs w:val="18"/>
              </w:rPr>
            </w:pPr>
            <w:r>
              <w:rPr>
                <w:rFonts w:ascii="Times New Roman"/>
                <w:spacing w:val="-1"/>
                <w:sz w:val="18"/>
              </w:rPr>
              <w:t>60,815,280.87</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99"/>
              <w:jc w:val="right"/>
              <w:rPr>
                <w:rFonts w:ascii="Times New Roman" w:hAnsi="Times New Roman" w:cs="Times New Roman" w:eastAsia="Times New Roman" w:hint="default"/>
                <w:sz w:val="18"/>
                <w:szCs w:val="18"/>
              </w:rPr>
            </w:pPr>
            <w:r>
              <w:rPr>
                <w:rFonts w:ascii="Times New Roman"/>
                <w:spacing w:val="-1"/>
                <w:sz w:val="18"/>
              </w:rPr>
              <w:t>59,731,466.26</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61,008,178.10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61,284,582.69</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1）应付利息" w:id="352"/>
      <w:bookmarkEnd w:id="352"/>
      <w:r>
        <w:rPr>
          <w:b w:val="0"/>
          <w:bCs w:val="0"/>
        </w:rPr>
      </w:r>
      <w:r>
        <w:rPr/>
        <w:t>（</w:t>
      </w:r>
      <w:r>
        <w:rPr>
          <w:rFonts w:ascii="Times New Roman" w:hAnsi="Times New Roman" w:cs="Times New Roman" w:eastAsia="Times New Roman" w:hint="default"/>
        </w:rPr>
        <w:t>1</w:t>
      </w:r>
      <w:r>
        <w:rPr/>
        <w:t>）应付利息</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398"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短期借款应付利息</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70,997.43</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pacing w:val="-1"/>
                <w:sz w:val="18"/>
              </w:rPr>
              <w:t>365,644.43</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70,997.43</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pacing w:val="-1"/>
                <w:sz w:val="18"/>
              </w:rPr>
              <w:t>365,644.43</w:t>
            </w:r>
          </w:p>
        </w:tc>
      </w:tr>
    </w:tbl>
    <w:p>
      <w:pPr>
        <w:pStyle w:val="BodyText"/>
        <w:spacing w:line="240" w:lineRule="auto" w:before="54"/>
        <w:ind w:right="0"/>
        <w:jc w:val="left"/>
      </w:pPr>
      <w:r>
        <w:rPr>
          <w:spacing w:val="-3"/>
        </w:rPr>
        <w:t>重要的已逾期未支付的利息情况：</w:t>
      </w:r>
    </w:p>
    <w:p>
      <w:pPr>
        <w:pStyle w:val="BodyText"/>
        <w:spacing w:line="240" w:lineRule="auto" w:before="119"/>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借款单位</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逾期金额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逾期原因</w:t>
            </w:r>
          </w:p>
        </w:tc>
      </w:tr>
    </w:tbl>
    <w:p>
      <w:pPr>
        <w:pStyle w:val="BodyText"/>
        <w:spacing w:line="352" w:lineRule="auto" w:before="53"/>
        <w:ind w:right="9861"/>
        <w:jc w:val="left"/>
      </w:pPr>
      <w:r>
        <w:rPr>
          <w:spacing w:val="-2"/>
        </w:rPr>
        <w:t>其他说明：</w:t>
      </w:r>
      <w:r>
        <w:rPr>
          <w:spacing w:val="-78"/>
        </w:rPr>
        <w:t> </w:t>
      </w:r>
      <w:r>
        <w:rPr>
          <w:spacing w:val="-78"/>
        </w:rPr>
      </w:r>
      <w:r>
        <w:rPr/>
        <w:t>无。</w:t>
      </w:r>
    </w:p>
    <w:p>
      <w:pPr>
        <w:spacing w:after="0" w:line="352" w:lineRule="auto"/>
        <w:jc w:val="left"/>
        <w:sectPr>
          <w:pgSz w:w="11910" w:h="16840"/>
          <w:pgMar w:header="784" w:footer="1022" w:top="1100" w:bottom="1220" w:left="980" w:right="0"/>
        </w:sectPr>
      </w:pPr>
    </w:p>
    <w:p>
      <w:pPr>
        <w:spacing w:line="240" w:lineRule="auto" w:before="13"/>
        <w:rPr>
          <w:rFonts w:ascii="宋体" w:hAnsi="宋体" w:cs="宋体" w:eastAsia="宋体" w:hint="default"/>
          <w:sz w:val="21"/>
          <w:szCs w:val="21"/>
        </w:rPr>
      </w:pPr>
    </w:p>
    <w:p>
      <w:pPr>
        <w:pStyle w:val="Heading4"/>
        <w:spacing w:line="240" w:lineRule="auto" w:before="36"/>
        <w:ind w:right="0"/>
        <w:jc w:val="left"/>
        <w:rPr>
          <w:b w:val="0"/>
          <w:bCs w:val="0"/>
        </w:rPr>
      </w:pPr>
      <w:bookmarkStart w:name="（2）应付股利" w:id="353"/>
      <w:bookmarkEnd w:id="353"/>
      <w:r>
        <w:rPr>
          <w:b w:val="0"/>
          <w:bCs w:val="0"/>
        </w:rPr>
      </w:r>
      <w:r>
        <w:rPr/>
        <w:t>（</w:t>
      </w:r>
      <w:r>
        <w:rPr>
          <w:rFonts w:ascii="Times New Roman" w:hAnsi="Times New Roman" w:cs="Times New Roman" w:eastAsia="Times New Roman" w:hint="default"/>
        </w:rPr>
        <w:t>2</w:t>
      </w:r>
      <w:r>
        <w:rPr/>
        <w:t>）应付股利</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普通股股利</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121,899.80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1,187,472.00</w:t>
            </w:r>
          </w:p>
        </w:tc>
      </w:tr>
      <w:tr>
        <w:trPr>
          <w:trHeight w:val="398"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121,899.80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1,187,472.00</w:t>
            </w:r>
          </w:p>
        </w:tc>
      </w:tr>
    </w:tbl>
    <w:p>
      <w:pPr>
        <w:pStyle w:val="BodyText"/>
        <w:spacing w:line="338" w:lineRule="auto" w:before="53"/>
        <w:ind w:right="4900"/>
        <w:jc w:val="left"/>
      </w:pPr>
      <w:r>
        <w:rPr>
          <w:spacing w:val="-3"/>
        </w:rPr>
        <w:t>其他说明，包括重要的超过</w:t>
      </w:r>
      <w:r>
        <w:rPr>
          <w:spacing w:val="-7"/>
        </w:rPr>
        <w:t> </w:t>
      </w:r>
      <w:r>
        <w:rPr>
          <w:rFonts w:ascii="Times New Roman" w:hAnsi="Times New Roman" w:cs="Times New Roman" w:eastAsia="Times New Roman" w:hint="default"/>
        </w:rPr>
        <w:t>1</w:t>
      </w:r>
      <w:r>
        <w:rPr>
          <w:rFonts w:ascii="Times New Roman" w:hAnsi="Times New Roman" w:cs="Times New Roman" w:eastAsia="Times New Roman" w:hint="default"/>
          <w:spacing w:val="38"/>
        </w:rPr>
        <w:t> </w:t>
      </w:r>
      <w:r>
        <w:rPr>
          <w:spacing w:val="-3"/>
        </w:rPr>
        <w:t>年未支付的应付股利，应披露未支付原因：</w:t>
      </w:r>
      <w:r>
        <w:rPr>
          <w:spacing w:val="-78"/>
        </w:rPr>
        <w:t> </w:t>
      </w:r>
      <w:r>
        <w:rPr>
          <w:spacing w:val="-78"/>
        </w:rPr>
      </w:r>
      <w:r>
        <w:rPr/>
        <w:t>无。</w:t>
      </w:r>
    </w:p>
    <w:p>
      <w:pPr>
        <w:spacing w:line="240" w:lineRule="auto" w:before="5"/>
        <w:rPr>
          <w:rFonts w:ascii="宋体" w:hAnsi="宋体" w:cs="宋体" w:eastAsia="宋体" w:hint="default"/>
          <w:sz w:val="21"/>
          <w:szCs w:val="21"/>
        </w:rPr>
      </w:pPr>
    </w:p>
    <w:p>
      <w:pPr>
        <w:pStyle w:val="Heading4"/>
        <w:spacing w:line="240" w:lineRule="auto"/>
        <w:ind w:right="0"/>
        <w:jc w:val="left"/>
        <w:rPr>
          <w:b w:val="0"/>
          <w:bCs w:val="0"/>
        </w:rPr>
      </w:pPr>
      <w:bookmarkStart w:name="（3）其他应付款" w:id="354"/>
      <w:bookmarkEnd w:id="354"/>
      <w:r>
        <w:rPr>
          <w:b w:val="0"/>
          <w:bCs w:val="0"/>
        </w:rPr>
      </w:r>
      <w:r>
        <w:rPr/>
        <w:t>（</w:t>
      </w:r>
      <w:r>
        <w:rPr>
          <w:rFonts w:ascii="Times New Roman" w:hAnsi="Times New Roman" w:cs="Times New Roman" w:eastAsia="Times New Roman" w:hint="default"/>
        </w:rPr>
        <w:t>3</w:t>
      </w:r>
      <w:r>
        <w:rPr/>
        <w:t>）其他应付款</w:t>
      </w:r>
      <w:r>
        <w:rPr>
          <w:b w:val="0"/>
          <w:bCs w:val="0"/>
        </w:rPr>
      </w:r>
    </w:p>
    <w:p>
      <w:pPr>
        <w:spacing w:line="240" w:lineRule="auto" w:before="5"/>
        <w:rPr>
          <w:rFonts w:ascii="宋体" w:hAnsi="宋体" w:cs="宋体" w:eastAsia="宋体" w:hint="default"/>
          <w:b/>
          <w:bCs/>
          <w:sz w:val="24"/>
          <w:szCs w:val="24"/>
        </w:rPr>
      </w:pPr>
    </w:p>
    <w:p>
      <w:pPr>
        <w:pStyle w:val="Heading4"/>
        <w:spacing w:line="240" w:lineRule="auto"/>
        <w:ind w:right="0"/>
        <w:jc w:val="left"/>
        <w:rPr>
          <w:b w:val="0"/>
          <w:bCs w:val="0"/>
        </w:rPr>
      </w:pPr>
      <w:bookmarkStart w:name="1）按款项性质列示其他应付款" w:id="355"/>
      <w:bookmarkEnd w:id="355"/>
      <w:r>
        <w:rPr>
          <w:b w:val="0"/>
          <w:bCs w:val="0"/>
        </w:rPr>
      </w:r>
      <w:r>
        <w:rPr>
          <w:rFonts w:ascii="Times New Roman" w:hAnsi="Times New Roman" w:cs="Times New Roman" w:eastAsia="Times New Roman" w:hint="default"/>
        </w:rPr>
        <w:t>1</w:t>
      </w:r>
      <w:r>
        <w:rPr/>
        <w:t>）按款项性质列示其他应付款</w:t>
      </w:r>
      <w:r>
        <w:rPr>
          <w:b w:val="0"/>
          <w:bCs w:val="0"/>
        </w:rPr>
      </w:r>
    </w:p>
    <w:p>
      <w:pPr>
        <w:spacing w:line="240" w:lineRule="auto" w:before="7"/>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10"/>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设备购置款</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594,693.66</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1,165,089.74</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5,231,963.14</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5,169,790.00</w:t>
            </w:r>
          </w:p>
        </w:tc>
      </w:tr>
      <w:tr>
        <w:trPr>
          <w:trHeight w:val="399"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待支付费用款</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18,899,976.56</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15,193,575.78</w:t>
            </w:r>
          </w:p>
        </w:tc>
      </w:tr>
      <w:tr>
        <w:trPr>
          <w:trHeight w:val="58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left="105" w:right="0"/>
              <w:jc w:val="left"/>
              <w:rPr>
                <w:rFonts w:ascii="宋体" w:hAnsi="宋体" w:cs="宋体" w:eastAsia="宋体" w:hint="default"/>
                <w:sz w:val="18"/>
                <w:szCs w:val="18"/>
              </w:rPr>
            </w:pPr>
            <w:r>
              <w:rPr>
                <w:rFonts w:ascii="宋体" w:hAnsi="宋体" w:cs="宋体" w:eastAsia="宋体" w:hint="default"/>
                <w:sz w:val="18"/>
                <w:szCs w:val="18"/>
              </w:rPr>
              <w:t>股权激励计划回购义务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25,248,480.00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30,383,760.00</w:t>
            </w:r>
          </w:p>
        </w:tc>
      </w:tr>
      <w:tr>
        <w:trPr>
          <w:trHeight w:val="58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4"/>
                <w:szCs w:val="24"/>
              </w:rPr>
            </w:pPr>
          </w:p>
          <w:p>
            <w:pPr>
              <w:pStyle w:val="TableParagraph"/>
              <w:spacing w:line="240" w:lineRule="auto"/>
              <w:ind w:right="94"/>
              <w:jc w:val="right"/>
              <w:rPr>
                <w:rFonts w:ascii="Arial" w:hAnsi="Arial" w:cs="Arial" w:eastAsia="Arial" w:hint="default"/>
                <w:sz w:val="18"/>
                <w:szCs w:val="18"/>
              </w:rPr>
            </w:pPr>
            <w:r>
              <w:rPr>
                <w:rFonts w:ascii="Arial"/>
                <w:spacing w:val="-2"/>
                <w:sz w:val="18"/>
              </w:rPr>
              <w:t>5,857,996.60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4"/>
                <w:szCs w:val="24"/>
              </w:rPr>
            </w:pPr>
          </w:p>
          <w:p>
            <w:pPr>
              <w:pStyle w:val="TableParagraph"/>
              <w:spacing w:line="240" w:lineRule="auto"/>
              <w:ind w:right="98"/>
              <w:jc w:val="right"/>
              <w:rPr>
                <w:rFonts w:ascii="Arial" w:hAnsi="Arial" w:cs="Arial" w:eastAsia="Arial" w:hint="default"/>
                <w:sz w:val="18"/>
                <w:szCs w:val="18"/>
              </w:rPr>
            </w:pPr>
            <w:r>
              <w:rPr>
                <w:rFonts w:ascii="Arial"/>
                <w:spacing w:val="-2"/>
                <w:sz w:val="18"/>
              </w:rPr>
              <w:t>5,216,658.73</w:t>
            </w:r>
          </w:p>
        </w:tc>
      </w:tr>
      <w:tr>
        <w:trPr>
          <w:trHeight w:val="58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4"/>
                <w:szCs w:val="24"/>
              </w:rPr>
            </w:pPr>
          </w:p>
          <w:p>
            <w:pPr>
              <w:pStyle w:val="TableParagraph"/>
              <w:spacing w:line="240" w:lineRule="auto"/>
              <w:ind w:right="94"/>
              <w:jc w:val="right"/>
              <w:rPr>
                <w:rFonts w:ascii="Arial" w:hAnsi="Arial" w:cs="Arial" w:eastAsia="Arial" w:hint="default"/>
                <w:sz w:val="18"/>
                <w:szCs w:val="18"/>
              </w:rPr>
            </w:pPr>
            <w:r>
              <w:rPr>
                <w:rFonts w:ascii="Arial"/>
                <w:spacing w:val="-2"/>
                <w:sz w:val="18"/>
              </w:rPr>
              <w:t>4,982,170.91</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4"/>
                <w:szCs w:val="24"/>
              </w:rPr>
            </w:pPr>
          </w:p>
          <w:p>
            <w:pPr>
              <w:pStyle w:val="TableParagraph"/>
              <w:spacing w:line="240" w:lineRule="auto"/>
              <w:ind w:right="98"/>
              <w:jc w:val="right"/>
              <w:rPr>
                <w:rFonts w:ascii="Arial" w:hAnsi="Arial" w:cs="Arial" w:eastAsia="Arial" w:hint="default"/>
                <w:sz w:val="18"/>
                <w:szCs w:val="18"/>
              </w:rPr>
            </w:pPr>
            <w:r>
              <w:rPr>
                <w:rFonts w:ascii="Arial"/>
                <w:spacing w:val="-2"/>
                <w:sz w:val="18"/>
              </w:rPr>
              <w:t>2,602,592.01</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60,815,280.87</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59,731,466.26</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2）账龄超过1年的重要其他应付款" w:id="356"/>
      <w:bookmarkEnd w:id="356"/>
      <w:r>
        <w:rPr>
          <w:b w:val="0"/>
          <w:bCs w:val="0"/>
        </w:rPr>
      </w:r>
      <w:r>
        <w:rPr>
          <w:rFonts w:ascii="Times New Roman" w:hAnsi="Times New Roman" w:cs="Times New Roman" w:eastAsia="Times New Roman" w:hint="default"/>
        </w:rPr>
        <w:t>2</w:t>
      </w:r>
      <w:r>
        <w:rPr/>
        <w:t>）账龄超过</w:t>
      </w:r>
      <w:r>
        <w:rPr>
          <w:spacing w:val="-50"/>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年的重要其他应付款</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82" w:right="0"/>
              <w:jc w:val="left"/>
              <w:rPr>
                <w:rFonts w:ascii="宋体" w:hAnsi="宋体" w:cs="宋体" w:eastAsia="宋体" w:hint="default"/>
                <w:sz w:val="18"/>
                <w:szCs w:val="18"/>
              </w:rPr>
            </w:pPr>
            <w:r>
              <w:rPr>
                <w:rFonts w:ascii="宋体" w:hAnsi="宋体" w:cs="宋体" w:eastAsia="宋体" w:hint="default"/>
                <w:spacing w:val="-3"/>
                <w:sz w:val="18"/>
                <w:szCs w:val="18"/>
              </w:rPr>
              <w:t>未偿还或结转的原因</w:t>
            </w:r>
          </w:p>
        </w:tc>
      </w:tr>
    </w:tbl>
    <w:p>
      <w:pPr>
        <w:pStyle w:val="BodyText"/>
        <w:spacing w:line="240" w:lineRule="auto" w:before="53"/>
        <w:ind w:right="0"/>
        <w:jc w:val="left"/>
      </w:pPr>
      <w:r>
        <w:rPr/>
        <w:t>其他说明</w:t>
      </w:r>
    </w:p>
    <w:p>
      <w:pPr>
        <w:pStyle w:val="BodyText"/>
        <w:spacing w:line="240" w:lineRule="auto" w:before="115"/>
        <w:ind w:left="513" w:right="0"/>
        <w:jc w:val="left"/>
      </w:pPr>
      <w:r>
        <w:rPr>
          <w:spacing w:val="-3"/>
        </w:rPr>
        <w:t>年末无账龄超过</w:t>
      </w:r>
      <w:r>
        <w:rPr>
          <w:rFonts w:ascii="宋体" w:hAnsi="宋体" w:cs="宋体" w:eastAsia="宋体" w:hint="default"/>
          <w:spacing w:val="-3"/>
        </w:rPr>
        <w:t>1</w:t>
      </w:r>
      <w:r>
        <w:rPr>
          <w:spacing w:val="-3"/>
        </w:rPr>
        <w:t>年的重要其他应付款。</w:t>
      </w:r>
    </w:p>
    <w:p>
      <w:pPr>
        <w:spacing w:line="240" w:lineRule="auto" w:before="0"/>
        <w:rPr>
          <w:rFonts w:ascii="宋体" w:hAnsi="宋体" w:cs="宋体" w:eastAsia="宋体" w:hint="default"/>
          <w:sz w:val="18"/>
          <w:szCs w:val="18"/>
        </w:rPr>
      </w:pPr>
    </w:p>
    <w:p>
      <w:pPr>
        <w:pStyle w:val="Heading4"/>
        <w:spacing w:line="240" w:lineRule="auto" w:before="118"/>
        <w:ind w:right="0"/>
        <w:jc w:val="left"/>
        <w:rPr>
          <w:b w:val="0"/>
          <w:bCs w:val="0"/>
        </w:rPr>
      </w:pPr>
      <w:bookmarkStart w:name="42、持有待售负债" w:id="357"/>
      <w:bookmarkEnd w:id="357"/>
      <w:r>
        <w:rPr>
          <w:b w:val="0"/>
          <w:bCs w:val="0"/>
        </w:rPr>
      </w:r>
      <w:r>
        <w:rPr>
          <w:rFonts w:ascii="Times New Roman" w:hAnsi="Times New Roman" w:cs="Times New Roman" w:eastAsia="Times New Roman" w:hint="default"/>
        </w:rPr>
        <w:t>42</w:t>
      </w:r>
      <w:r>
        <w:rPr/>
        <w:t>、持有待售负债</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357" w:lineRule="auto" w:before="53"/>
        <w:ind w:right="9861"/>
        <w:jc w:val="left"/>
      </w:pPr>
      <w:r>
        <w:rPr>
          <w:spacing w:val="-2"/>
        </w:rPr>
        <w:t>其他说明：</w:t>
      </w:r>
      <w:r>
        <w:rPr>
          <w:spacing w:val="-78"/>
        </w:rPr>
        <w:t> </w:t>
      </w:r>
      <w:r>
        <w:rPr>
          <w:spacing w:val="-78"/>
        </w:rPr>
      </w:r>
      <w:r>
        <w:rPr/>
        <w:t>无。</w:t>
      </w:r>
    </w:p>
    <w:p>
      <w:pPr>
        <w:spacing w:after="0" w:line="357" w:lineRule="auto"/>
        <w:jc w:val="left"/>
        <w:sectPr>
          <w:pgSz w:w="11910" w:h="16840"/>
          <w:pgMar w:header="784" w:footer="1022" w:top="1100" w:bottom="1220" w:left="980" w:right="0"/>
        </w:sectPr>
      </w:pPr>
    </w:p>
    <w:p>
      <w:pPr>
        <w:spacing w:line="240" w:lineRule="auto" w:before="13"/>
        <w:rPr>
          <w:rFonts w:ascii="宋体" w:hAnsi="宋体" w:cs="宋体" w:eastAsia="宋体" w:hint="default"/>
          <w:sz w:val="21"/>
          <w:szCs w:val="21"/>
        </w:rPr>
      </w:pPr>
    </w:p>
    <w:p>
      <w:pPr>
        <w:pStyle w:val="Heading4"/>
        <w:spacing w:line="240" w:lineRule="auto" w:before="36"/>
        <w:ind w:right="0"/>
        <w:jc w:val="left"/>
        <w:rPr>
          <w:b w:val="0"/>
          <w:bCs w:val="0"/>
        </w:rPr>
      </w:pPr>
      <w:bookmarkStart w:name="43、一年内到期的非流动负债" w:id="358"/>
      <w:bookmarkEnd w:id="358"/>
      <w:r>
        <w:rPr>
          <w:b w:val="0"/>
          <w:bCs w:val="0"/>
        </w:rPr>
      </w:r>
      <w:r>
        <w:rPr>
          <w:rFonts w:ascii="Times New Roman" w:hAnsi="Times New Roman" w:cs="Times New Roman" w:eastAsia="Times New Roman" w:hint="default"/>
        </w:rPr>
        <w:t>43</w:t>
      </w:r>
      <w:r>
        <w:rPr/>
        <w:t>、一年内到期的非流动负债</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357" w:lineRule="auto" w:before="53"/>
        <w:ind w:right="9861"/>
        <w:jc w:val="left"/>
      </w:pPr>
      <w:r>
        <w:rPr>
          <w:spacing w:val="-2"/>
        </w:rPr>
        <w:t>其他说明：</w:t>
      </w:r>
      <w:r>
        <w:rPr>
          <w:spacing w:val="-78"/>
        </w:rPr>
        <w:t> </w:t>
      </w:r>
      <w:r>
        <w:rPr>
          <w:spacing w:val="-78"/>
        </w:rPr>
      </w:r>
      <w:r>
        <w:rPr/>
        <w:t>无。</w:t>
      </w:r>
    </w:p>
    <w:p>
      <w:pPr>
        <w:spacing w:line="240" w:lineRule="auto" w:before="3"/>
        <w:rPr>
          <w:rFonts w:ascii="宋体" w:hAnsi="宋体" w:cs="宋体" w:eastAsia="宋体" w:hint="default"/>
          <w:sz w:val="20"/>
          <w:szCs w:val="20"/>
        </w:rPr>
      </w:pPr>
    </w:p>
    <w:p>
      <w:pPr>
        <w:pStyle w:val="Heading4"/>
        <w:spacing w:line="240" w:lineRule="auto"/>
        <w:ind w:right="0"/>
        <w:jc w:val="left"/>
        <w:rPr>
          <w:b w:val="0"/>
          <w:bCs w:val="0"/>
        </w:rPr>
      </w:pPr>
      <w:bookmarkStart w:name="44、其他流动负债" w:id="359"/>
      <w:bookmarkEnd w:id="359"/>
      <w:r>
        <w:rPr>
          <w:b w:val="0"/>
          <w:bCs w:val="0"/>
        </w:rPr>
      </w:r>
      <w:r>
        <w:rPr>
          <w:rFonts w:ascii="Times New Roman" w:hAnsi="Times New Roman" w:cs="Times New Roman" w:eastAsia="Times New Roman" w:hint="default"/>
        </w:rPr>
        <w:t>44</w:t>
      </w:r>
      <w:r>
        <w:rPr/>
        <w:t>、其他流动负债</w:t>
      </w:r>
      <w:r>
        <w:rPr>
          <w:b w:val="0"/>
          <w:bCs w:val="0"/>
        </w:rPr>
      </w:r>
    </w:p>
    <w:p>
      <w:pPr>
        <w:spacing w:line="240" w:lineRule="auto" w:before="2"/>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784" w:footer="1022" w:top="1100" w:bottom="1220" w:left="980" w:right="0"/>
        </w:sectPr>
      </w:pPr>
    </w:p>
    <w:p>
      <w:pPr>
        <w:pStyle w:val="BodyText"/>
        <w:spacing w:line="240" w:lineRule="auto"/>
        <w:ind w:right="0"/>
        <w:jc w:val="left"/>
      </w:pPr>
      <w:r>
        <w:rPr>
          <w:spacing w:val="-2"/>
        </w:rPr>
        <w:t>是否已执行新收入准则</w:t>
      </w:r>
    </w:p>
    <w:p>
      <w:pPr>
        <w:pStyle w:val="BodyText"/>
        <w:spacing w:line="240" w:lineRule="auto" w:before="115"/>
        <w:ind w:right="0"/>
        <w:jc w:val="left"/>
      </w:pPr>
      <w:r>
        <w:rPr/>
        <w:t>□ 是 √</w:t>
      </w:r>
      <w:r>
        <w:rPr>
          <w:spacing w:val="2"/>
        </w:rPr>
        <w:t> </w:t>
      </w:r>
      <w:r>
        <w:rPr/>
        <w:t>否</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21"/>
          <w:szCs w:val="21"/>
        </w:rPr>
      </w:pPr>
    </w:p>
    <w:p>
      <w:pPr>
        <w:pStyle w:val="BodyText"/>
        <w:spacing w:line="240" w:lineRule="auto" w:before="0"/>
        <w:ind w:right="0"/>
        <w:jc w:val="left"/>
      </w:pPr>
      <w:r>
        <w:rPr/>
        <w:t>单位：</w:t>
      </w:r>
      <w:r>
        <w:rPr>
          <w:spacing w:val="5"/>
        </w:rPr>
        <w:t> </w:t>
      </w:r>
      <w:r>
        <w:rPr/>
        <w:t>元</w:t>
      </w:r>
    </w:p>
    <w:p>
      <w:pPr>
        <w:spacing w:after="0" w:line="240" w:lineRule="auto"/>
        <w:jc w:val="left"/>
        <w:sectPr>
          <w:type w:val="continuous"/>
          <w:pgSz w:w="11910" w:h="16840"/>
          <w:pgMar w:top="1100" w:bottom="1220" w:left="980" w:right="0"/>
          <w:cols w:num="2" w:equalWidth="0">
            <w:col w:w="1959" w:space="6872"/>
            <w:col w:w="2099"/>
          </w:cols>
        </w:sectPr>
      </w:pP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98"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已背书转让但未到期的商业承兑汇票</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1,300,000.00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7,107,793.00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1,300,000.00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7,107,793.00</w:t>
            </w:r>
          </w:p>
        </w:tc>
      </w:tr>
    </w:tbl>
    <w:p>
      <w:pPr>
        <w:pStyle w:val="BodyText"/>
        <w:spacing w:line="240" w:lineRule="auto" w:before="53"/>
        <w:ind w:right="0"/>
        <w:jc w:val="left"/>
      </w:pPr>
      <w:r>
        <w:rPr>
          <w:spacing w:val="-3"/>
        </w:rPr>
        <w:t>短期应付债券的增减变动：</w:t>
      </w:r>
    </w:p>
    <w:p>
      <w:pPr>
        <w:pStyle w:val="BodyText"/>
        <w:spacing w:line="240" w:lineRule="auto" w:before="119"/>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797"/>
        <w:gridCol w:w="802"/>
        <w:gridCol w:w="797"/>
        <w:gridCol w:w="797"/>
        <w:gridCol w:w="797"/>
        <w:gridCol w:w="802"/>
        <w:gridCol w:w="797"/>
        <w:gridCol w:w="797"/>
        <w:gridCol w:w="797"/>
        <w:gridCol w:w="802"/>
        <w:gridCol w:w="797"/>
        <w:gridCol w:w="797"/>
      </w:tblGrid>
      <w:tr>
        <w:trPr>
          <w:trHeight w:val="1028" w:hRule="exact"/>
        </w:trPr>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16" w:lineRule="auto"/>
              <w:ind w:left="307" w:right="118" w:hanging="183"/>
              <w:jc w:val="left"/>
              <w:rPr>
                <w:rFonts w:ascii="宋体" w:hAnsi="宋体" w:cs="宋体" w:eastAsia="宋体" w:hint="default"/>
                <w:sz w:val="18"/>
                <w:szCs w:val="18"/>
              </w:rPr>
            </w:pPr>
            <w:r>
              <w:rPr>
                <w:rFonts w:ascii="宋体" w:hAnsi="宋体" w:cs="宋体" w:eastAsia="宋体" w:hint="default"/>
                <w:sz w:val="18"/>
                <w:szCs w:val="18"/>
              </w:rPr>
              <w:t>债券名</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称</w:t>
            </w:r>
          </w:p>
        </w:tc>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216" w:right="0"/>
              <w:jc w:val="left"/>
              <w:rPr>
                <w:rFonts w:ascii="宋体" w:hAnsi="宋体" w:cs="宋体" w:eastAsia="宋体" w:hint="default"/>
                <w:sz w:val="18"/>
                <w:szCs w:val="18"/>
              </w:rPr>
            </w:pPr>
            <w:r>
              <w:rPr>
                <w:rFonts w:ascii="宋体" w:hAnsi="宋体" w:cs="宋体" w:eastAsia="宋体" w:hint="default"/>
                <w:sz w:val="18"/>
                <w:szCs w:val="18"/>
              </w:rPr>
              <w:t>面值</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16" w:lineRule="auto"/>
              <w:ind w:left="302" w:right="123" w:hanging="183"/>
              <w:jc w:val="left"/>
              <w:rPr>
                <w:rFonts w:ascii="宋体" w:hAnsi="宋体" w:cs="宋体" w:eastAsia="宋体" w:hint="default"/>
                <w:sz w:val="18"/>
                <w:szCs w:val="18"/>
              </w:rPr>
            </w:pPr>
            <w:r>
              <w:rPr>
                <w:rFonts w:ascii="宋体" w:hAnsi="宋体" w:cs="宋体" w:eastAsia="宋体" w:hint="default"/>
                <w:sz w:val="18"/>
                <w:szCs w:val="18"/>
              </w:rPr>
              <w:t>发行日</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期</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16" w:lineRule="auto"/>
              <w:ind w:left="302" w:right="122" w:hanging="183"/>
              <w:jc w:val="left"/>
              <w:rPr>
                <w:rFonts w:ascii="宋体" w:hAnsi="宋体" w:cs="宋体" w:eastAsia="宋体" w:hint="default"/>
                <w:sz w:val="18"/>
                <w:szCs w:val="18"/>
              </w:rPr>
            </w:pPr>
            <w:r>
              <w:rPr>
                <w:rFonts w:ascii="宋体" w:hAnsi="宋体" w:cs="宋体" w:eastAsia="宋体" w:hint="default"/>
                <w:sz w:val="18"/>
                <w:szCs w:val="18"/>
              </w:rPr>
              <w:t>债券期</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限</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16" w:lineRule="auto"/>
              <w:ind w:left="307" w:right="117" w:hanging="183"/>
              <w:jc w:val="left"/>
              <w:rPr>
                <w:rFonts w:ascii="宋体" w:hAnsi="宋体" w:cs="宋体" w:eastAsia="宋体" w:hint="default"/>
                <w:sz w:val="18"/>
                <w:szCs w:val="18"/>
              </w:rPr>
            </w:pPr>
            <w:r>
              <w:rPr>
                <w:rFonts w:ascii="宋体" w:hAnsi="宋体" w:cs="宋体" w:eastAsia="宋体" w:hint="default"/>
                <w:sz w:val="18"/>
                <w:szCs w:val="18"/>
              </w:rPr>
              <w:t>发行金</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额</w:t>
            </w:r>
          </w:p>
        </w:tc>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16" w:lineRule="auto"/>
              <w:ind w:left="307" w:right="123" w:hanging="183"/>
              <w:jc w:val="left"/>
              <w:rPr>
                <w:rFonts w:ascii="宋体" w:hAnsi="宋体" w:cs="宋体" w:eastAsia="宋体" w:hint="default"/>
                <w:sz w:val="18"/>
                <w:szCs w:val="18"/>
              </w:rPr>
            </w:pPr>
            <w:r>
              <w:rPr>
                <w:rFonts w:ascii="宋体" w:hAnsi="宋体" w:cs="宋体" w:eastAsia="宋体" w:hint="default"/>
                <w:sz w:val="18"/>
                <w:szCs w:val="18"/>
              </w:rPr>
              <w:t>期初余</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额</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16" w:lineRule="auto"/>
              <w:ind w:left="302" w:right="122" w:hanging="183"/>
              <w:jc w:val="left"/>
              <w:rPr>
                <w:rFonts w:ascii="宋体" w:hAnsi="宋体" w:cs="宋体" w:eastAsia="宋体" w:hint="default"/>
                <w:sz w:val="18"/>
                <w:szCs w:val="18"/>
              </w:rPr>
            </w:pPr>
            <w:r>
              <w:rPr>
                <w:rFonts w:ascii="宋体" w:hAnsi="宋体" w:cs="宋体" w:eastAsia="宋体" w:hint="default"/>
                <w:sz w:val="18"/>
                <w:szCs w:val="18"/>
              </w:rPr>
              <w:t>本期发</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行</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4"/>
              <w:ind w:left="119" w:right="123"/>
              <w:jc w:val="center"/>
              <w:rPr>
                <w:rFonts w:ascii="宋体" w:hAnsi="宋体" w:cs="宋体" w:eastAsia="宋体" w:hint="default"/>
                <w:sz w:val="18"/>
                <w:szCs w:val="18"/>
              </w:rPr>
            </w:pPr>
            <w:r>
              <w:rPr>
                <w:rFonts w:ascii="宋体" w:hAnsi="宋体" w:cs="宋体" w:eastAsia="宋体" w:hint="default"/>
                <w:spacing w:val="-2"/>
                <w:sz w:val="18"/>
                <w:szCs w:val="18"/>
              </w:rPr>
              <w:t>按面值</w:t>
            </w:r>
            <w:r>
              <w:rPr>
                <w:rFonts w:ascii="宋体" w:hAnsi="宋体" w:cs="宋体" w:eastAsia="宋体" w:hint="default"/>
                <w:w w:val="101"/>
                <w:sz w:val="18"/>
                <w:szCs w:val="18"/>
              </w:rPr>
              <w:t> </w:t>
            </w:r>
            <w:r>
              <w:rPr>
                <w:rFonts w:ascii="宋体" w:hAnsi="宋体" w:cs="宋体" w:eastAsia="宋体" w:hint="default"/>
                <w:spacing w:val="-2"/>
                <w:sz w:val="18"/>
                <w:szCs w:val="18"/>
              </w:rPr>
              <w:t>计提利</w:t>
            </w:r>
            <w:r>
              <w:rPr>
                <w:rFonts w:ascii="宋体" w:hAnsi="宋体" w:cs="宋体" w:eastAsia="宋体" w:hint="default"/>
                <w:w w:val="101"/>
                <w:sz w:val="18"/>
                <w:szCs w:val="18"/>
              </w:rPr>
              <w:t> </w:t>
            </w:r>
            <w:r>
              <w:rPr>
                <w:rFonts w:ascii="宋体" w:hAnsi="宋体" w:cs="宋体" w:eastAsia="宋体" w:hint="default"/>
                <w:sz w:val="18"/>
                <w:szCs w:val="18"/>
              </w:rPr>
              <w:t>息</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16" w:lineRule="auto"/>
              <w:ind w:left="215" w:right="118" w:hanging="92"/>
              <w:jc w:val="left"/>
              <w:rPr>
                <w:rFonts w:ascii="宋体" w:hAnsi="宋体" w:cs="宋体" w:eastAsia="宋体" w:hint="default"/>
                <w:sz w:val="18"/>
                <w:szCs w:val="18"/>
              </w:rPr>
            </w:pPr>
            <w:r>
              <w:rPr>
                <w:rFonts w:ascii="宋体" w:hAnsi="宋体" w:cs="宋体" w:eastAsia="宋体" w:hint="default"/>
                <w:sz w:val="18"/>
                <w:szCs w:val="18"/>
              </w:rPr>
              <w:t>溢折价</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摊销</w:t>
            </w:r>
          </w:p>
        </w:tc>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16" w:lineRule="auto"/>
              <w:ind w:left="307" w:right="122" w:hanging="183"/>
              <w:jc w:val="left"/>
              <w:rPr>
                <w:rFonts w:ascii="宋体" w:hAnsi="宋体" w:cs="宋体" w:eastAsia="宋体" w:hint="default"/>
                <w:sz w:val="18"/>
                <w:szCs w:val="18"/>
              </w:rPr>
            </w:pPr>
            <w:r>
              <w:rPr>
                <w:rFonts w:ascii="宋体" w:hAnsi="宋体" w:cs="宋体" w:eastAsia="宋体" w:hint="default"/>
                <w:sz w:val="18"/>
                <w:szCs w:val="18"/>
              </w:rPr>
              <w:t>本期偿</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还</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16" w:lineRule="auto"/>
              <w:ind w:left="302" w:right="122" w:hanging="183"/>
              <w:jc w:val="left"/>
              <w:rPr>
                <w:rFonts w:ascii="宋体" w:hAnsi="宋体" w:cs="宋体" w:eastAsia="宋体" w:hint="default"/>
                <w:sz w:val="18"/>
                <w:szCs w:val="18"/>
              </w:rPr>
            </w:pPr>
            <w:r>
              <w:rPr>
                <w:rFonts w:ascii="宋体" w:hAnsi="宋体" w:cs="宋体" w:eastAsia="宋体" w:hint="default"/>
                <w:sz w:val="18"/>
                <w:szCs w:val="18"/>
              </w:rPr>
              <w:t>期末余</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额</w:t>
            </w:r>
          </w:p>
        </w:tc>
      </w:tr>
    </w:tbl>
    <w:p>
      <w:pPr>
        <w:pStyle w:val="BodyText"/>
        <w:spacing w:line="357" w:lineRule="auto" w:before="53"/>
        <w:ind w:right="9666"/>
        <w:jc w:val="left"/>
      </w:pPr>
      <w:r>
        <w:rPr/>
        <w:t>其他说明：</w:t>
      </w:r>
      <w:r>
        <w:rPr>
          <w:w w:val="101"/>
        </w:rPr>
        <w:t> </w:t>
      </w:r>
      <w:r>
        <w:rPr/>
        <w:t>无。</w:t>
      </w:r>
    </w:p>
    <w:p>
      <w:pPr>
        <w:spacing w:line="240" w:lineRule="auto" w:before="4"/>
        <w:rPr>
          <w:rFonts w:ascii="宋体" w:hAnsi="宋体" w:cs="宋体" w:eastAsia="宋体" w:hint="default"/>
          <w:sz w:val="20"/>
          <w:szCs w:val="20"/>
        </w:rPr>
      </w:pPr>
    </w:p>
    <w:p>
      <w:pPr>
        <w:pStyle w:val="Heading4"/>
        <w:spacing w:line="240" w:lineRule="auto"/>
        <w:ind w:right="0"/>
        <w:jc w:val="left"/>
        <w:rPr>
          <w:b w:val="0"/>
          <w:bCs w:val="0"/>
        </w:rPr>
      </w:pPr>
      <w:bookmarkStart w:name="45、长期借款" w:id="360"/>
      <w:bookmarkEnd w:id="360"/>
      <w:r>
        <w:rPr>
          <w:b w:val="0"/>
          <w:bCs w:val="0"/>
        </w:rPr>
      </w:r>
      <w:r>
        <w:rPr>
          <w:rFonts w:ascii="Times New Roman" w:hAnsi="Times New Roman" w:cs="Times New Roman" w:eastAsia="Times New Roman" w:hint="default"/>
        </w:rPr>
        <w:t>45</w:t>
      </w:r>
      <w:r>
        <w:rPr/>
        <w:t>、长期借款</w:t>
      </w:r>
      <w:r>
        <w:rPr>
          <w:b w:val="0"/>
          <w:bCs w:val="0"/>
        </w:rPr>
      </w:r>
    </w:p>
    <w:p>
      <w:pPr>
        <w:spacing w:line="240" w:lineRule="auto" w:before="5"/>
        <w:rPr>
          <w:rFonts w:ascii="宋体" w:hAnsi="宋体" w:cs="宋体" w:eastAsia="宋体" w:hint="default"/>
          <w:b/>
          <w:bCs/>
          <w:sz w:val="24"/>
          <w:szCs w:val="24"/>
        </w:rPr>
      </w:pPr>
    </w:p>
    <w:p>
      <w:pPr>
        <w:pStyle w:val="Heading4"/>
        <w:spacing w:line="240" w:lineRule="auto"/>
        <w:ind w:right="0"/>
        <w:jc w:val="left"/>
        <w:rPr>
          <w:b w:val="0"/>
          <w:bCs w:val="0"/>
        </w:rPr>
      </w:pPr>
      <w:bookmarkStart w:name="（1）长期借款分类" w:id="361"/>
      <w:bookmarkEnd w:id="361"/>
      <w:r>
        <w:rPr>
          <w:b w:val="0"/>
          <w:bCs w:val="0"/>
        </w:rPr>
      </w:r>
      <w:r>
        <w:rPr/>
        <w:t>（</w:t>
      </w:r>
      <w:r>
        <w:rPr>
          <w:rFonts w:ascii="Times New Roman" w:hAnsi="Times New Roman" w:cs="Times New Roman" w:eastAsia="Times New Roman" w:hint="default"/>
        </w:rPr>
        <w:t>1</w:t>
      </w:r>
      <w:r>
        <w:rPr/>
        <w:t>）长期借款分类</w:t>
      </w:r>
      <w:r>
        <w:rPr>
          <w:b w:val="0"/>
          <w:bCs w:val="0"/>
        </w:rPr>
      </w:r>
    </w:p>
    <w:p>
      <w:pPr>
        <w:spacing w:line="240" w:lineRule="auto" w:before="7"/>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357" w:lineRule="auto" w:before="53"/>
        <w:ind w:right="8587"/>
        <w:jc w:val="left"/>
      </w:pPr>
      <w:r>
        <w:rPr/>
        <w:t>长期借款分类的说明：</w:t>
      </w:r>
      <w:r>
        <w:rPr>
          <w:spacing w:val="-86"/>
        </w:rPr>
        <w:t> </w:t>
      </w:r>
      <w:r>
        <w:rPr>
          <w:spacing w:val="-86"/>
        </w:rPr>
      </w:r>
      <w:r>
        <w:rPr/>
        <w:t>无。</w:t>
      </w:r>
      <w:r>
        <w:rPr>
          <w:spacing w:val="-86"/>
        </w:rPr>
        <w:t> </w:t>
      </w:r>
      <w:r>
        <w:rPr>
          <w:spacing w:val="-3"/>
        </w:rPr>
        <w:t>其他说明，包括利率区间：</w:t>
      </w:r>
      <w:r>
        <w:rPr>
          <w:spacing w:val="-51"/>
        </w:rPr>
        <w:t> </w:t>
      </w:r>
      <w:r>
        <w:rPr>
          <w:spacing w:val="-51"/>
        </w:rPr>
      </w:r>
      <w:r>
        <w:rPr/>
        <w:t>无。</w:t>
      </w:r>
    </w:p>
    <w:p>
      <w:pPr>
        <w:spacing w:line="240" w:lineRule="auto" w:before="3"/>
        <w:rPr>
          <w:rFonts w:ascii="宋体" w:hAnsi="宋体" w:cs="宋体" w:eastAsia="宋体" w:hint="default"/>
          <w:sz w:val="20"/>
          <w:szCs w:val="20"/>
        </w:rPr>
      </w:pPr>
    </w:p>
    <w:p>
      <w:pPr>
        <w:pStyle w:val="Heading4"/>
        <w:spacing w:line="240" w:lineRule="auto"/>
        <w:ind w:right="0"/>
        <w:jc w:val="left"/>
        <w:rPr>
          <w:b w:val="0"/>
          <w:bCs w:val="0"/>
        </w:rPr>
      </w:pPr>
      <w:bookmarkStart w:name="46、应付债券" w:id="362"/>
      <w:bookmarkEnd w:id="362"/>
      <w:r>
        <w:rPr>
          <w:b w:val="0"/>
          <w:bCs w:val="0"/>
        </w:rPr>
      </w:r>
      <w:r>
        <w:rPr>
          <w:rFonts w:ascii="Times New Roman" w:hAnsi="Times New Roman" w:cs="Times New Roman" w:eastAsia="Times New Roman" w:hint="default"/>
        </w:rPr>
        <w:t>46</w:t>
      </w:r>
      <w:r>
        <w:rPr/>
        <w:t>、应付债券</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0"/>
        <w:jc w:val="left"/>
        <w:rPr>
          <w:b w:val="0"/>
          <w:bCs w:val="0"/>
        </w:rPr>
      </w:pPr>
      <w:bookmarkStart w:name="（1）应付债券" w:id="363"/>
      <w:bookmarkEnd w:id="363"/>
      <w:r>
        <w:rPr>
          <w:b w:val="0"/>
          <w:bCs w:val="0"/>
        </w:rPr>
      </w:r>
      <w:r>
        <w:rPr/>
        <w:t>（</w:t>
      </w:r>
      <w:r>
        <w:rPr>
          <w:rFonts w:ascii="Times New Roman" w:hAnsi="Times New Roman" w:cs="Times New Roman" w:eastAsia="Times New Roman" w:hint="default"/>
        </w:rPr>
        <w:t>1</w:t>
      </w:r>
      <w:r>
        <w:rPr/>
        <w:t>）应付债券</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398"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after="0" w:line="240" w:lineRule="auto"/>
        <w:jc w:val="center"/>
        <w:rPr>
          <w:rFonts w:ascii="宋体" w:hAnsi="宋体" w:cs="宋体" w:eastAsia="宋体" w:hint="default"/>
          <w:sz w:val="18"/>
          <w:szCs w:val="18"/>
        </w:rPr>
        <w:sectPr>
          <w:type w:val="continuous"/>
          <w:pgSz w:w="11910" w:h="16840"/>
          <w:pgMar w:top="1100" w:bottom="1220" w:left="980" w:right="0"/>
        </w:sectPr>
      </w:pPr>
    </w:p>
    <w:p>
      <w:pPr>
        <w:spacing w:line="240" w:lineRule="auto" w:before="13"/>
        <w:rPr>
          <w:rFonts w:ascii="宋体" w:hAnsi="宋体" w:cs="宋体" w:eastAsia="宋体" w:hint="default"/>
          <w:sz w:val="21"/>
          <w:szCs w:val="21"/>
        </w:rPr>
      </w:pPr>
    </w:p>
    <w:p>
      <w:pPr>
        <w:pStyle w:val="Heading4"/>
        <w:spacing w:line="240" w:lineRule="auto" w:before="36"/>
        <w:ind w:right="0"/>
        <w:jc w:val="left"/>
        <w:rPr>
          <w:b w:val="0"/>
          <w:bCs w:val="0"/>
        </w:rPr>
      </w:pPr>
      <w:bookmarkStart w:name="（2）应付债券的增减变动（不包括划分为金融负债的优先股、永续债等其他金融工具）" w:id="364"/>
      <w:bookmarkEnd w:id="364"/>
      <w:r>
        <w:rPr>
          <w:b w:val="0"/>
          <w:bCs w:val="0"/>
        </w:rPr>
      </w:r>
      <w:r>
        <w:rPr/>
        <w:t>（</w:t>
      </w:r>
      <w:r>
        <w:rPr>
          <w:rFonts w:ascii="Times New Roman" w:hAnsi="Times New Roman" w:cs="Times New Roman" w:eastAsia="Times New Roman" w:hint="default"/>
        </w:rPr>
        <w:t>2</w:t>
      </w:r>
      <w:r>
        <w:rPr/>
        <w:t>）应付债券的增减变动（不包括划分为金融负债的优先股、永续债等其他金融工具）</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797"/>
        <w:gridCol w:w="802"/>
        <w:gridCol w:w="797"/>
        <w:gridCol w:w="797"/>
        <w:gridCol w:w="797"/>
        <w:gridCol w:w="802"/>
        <w:gridCol w:w="797"/>
        <w:gridCol w:w="797"/>
        <w:gridCol w:w="797"/>
        <w:gridCol w:w="802"/>
        <w:gridCol w:w="797"/>
        <w:gridCol w:w="797"/>
      </w:tblGrid>
      <w:tr>
        <w:trPr>
          <w:trHeight w:val="1028" w:hRule="exact"/>
        </w:trPr>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16" w:lineRule="auto"/>
              <w:ind w:left="307" w:right="118" w:hanging="183"/>
              <w:jc w:val="left"/>
              <w:rPr>
                <w:rFonts w:ascii="宋体" w:hAnsi="宋体" w:cs="宋体" w:eastAsia="宋体" w:hint="default"/>
                <w:sz w:val="18"/>
                <w:szCs w:val="18"/>
              </w:rPr>
            </w:pPr>
            <w:r>
              <w:rPr>
                <w:rFonts w:ascii="宋体" w:hAnsi="宋体" w:cs="宋体" w:eastAsia="宋体" w:hint="default"/>
                <w:sz w:val="18"/>
                <w:szCs w:val="18"/>
              </w:rPr>
              <w:t>债券名</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称</w:t>
            </w:r>
          </w:p>
        </w:tc>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1"/>
              <w:ind w:left="4" w:right="0"/>
              <w:jc w:val="center"/>
              <w:rPr>
                <w:rFonts w:ascii="宋体" w:hAnsi="宋体" w:cs="宋体" w:eastAsia="宋体" w:hint="default"/>
                <w:sz w:val="18"/>
                <w:szCs w:val="18"/>
              </w:rPr>
            </w:pPr>
            <w:r>
              <w:rPr>
                <w:rFonts w:ascii="宋体" w:hAnsi="宋体" w:cs="宋体" w:eastAsia="宋体" w:hint="default"/>
                <w:sz w:val="18"/>
                <w:szCs w:val="18"/>
              </w:rPr>
              <w:t>面值</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16" w:lineRule="auto"/>
              <w:ind w:left="302" w:right="123" w:hanging="183"/>
              <w:jc w:val="left"/>
              <w:rPr>
                <w:rFonts w:ascii="宋体" w:hAnsi="宋体" w:cs="宋体" w:eastAsia="宋体" w:hint="default"/>
                <w:sz w:val="18"/>
                <w:szCs w:val="18"/>
              </w:rPr>
            </w:pPr>
            <w:r>
              <w:rPr>
                <w:rFonts w:ascii="宋体" w:hAnsi="宋体" w:cs="宋体" w:eastAsia="宋体" w:hint="default"/>
                <w:sz w:val="18"/>
                <w:szCs w:val="18"/>
              </w:rPr>
              <w:t>发行日</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期</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16" w:lineRule="auto"/>
              <w:ind w:left="302" w:right="122" w:hanging="183"/>
              <w:jc w:val="left"/>
              <w:rPr>
                <w:rFonts w:ascii="宋体" w:hAnsi="宋体" w:cs="宋体" w:eastAsia="宋体" w:hint="default"/>
                <w:sz w:val="18"/>
                <w:szCs w:val="18"/>
              </w:rPr>
            </w:pPr>
            <w:r>
              <w:rPr>
                <w:rFonts w:ascii="宋体" w:hAnsi="宋体" w:cs="宋体" w:eastAsia="宋体" w:hint="default"/>
                <w:sz w:val="18"/>
                <w:szCs w:val="18"/>
              </w:rPr>
              <w:t>债券期</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限</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16" w:lineRule="auto"/>
              <w:ind w:left="307" w:right="117" w:hanging="183"/>
              <w:jc w:val="left"/>
              <w:rPr>
                <w:rFonts w:ascii="宋体" w:hAnsi="宋体" w:cs="宋体" w:eastAsia="宋体" w:hint="default"/>
                <w:sz w:val="18"/>
                <w:szCs w:val="18"/>
              </w:rPr>
            </w:pPr>
            <w:r>
              <w:rPr>
                <w:rFonts w:ascii="宋体" w:hAnsi="宋体" w:cs="宋体" w:eastAsia="宋体" w:hint="default"/>
                <w:sz w:val="18"/>
                <w:szCs w:val="18"/>
              </w:rPr>
              <w:t>发行金</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额</w:t>
            </w:r>
          </w:p>
        </w:tc>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16" w:lineRule="auto"/>
              <w:ind w:left="307" w:right="123" w:hanging="183"/>
              <w:jc w:val="left"/>
              <w:rPr>
                <w:rFonts w:ascii="宋体" w:hAnsi="宋体" w:cs="宋体" w:eastAsia="宋体" w:hint="default"/>
                <w:sz w:val="18"/>
                <w:szCs w:val="18"/>
              </w:rPr>
            </w:pPr>
            <w:r>
              <w:rPr>
                <w:rFonts w:ascii="宋体" w:hAnsi="宋体" w:cs="宋体" w:eastAsia="宋体" w:hint="default"/>
                <w:sz w:val="18"/>
                <w:szCs w:val="18"/>
              </w:rPr>
              <w:t>期初余</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额</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16" w:lineRule="auto"/>
              <w:ind w:left="302" w:right="122" w:hanging="183"/>
              <w:jc w:val="left"/>
              <w:rPr>
                <w:rFonts w:ascii="宋体" w:hAnsi="宋体" w:cs="宋体" w:eastAsia="宋体" w:hint="default"/>
                <w:sz w:val="18"/>
                <w:szCs w:val="18"/>
              </w:rPr>
            </w:pPr>
            <w:r>
              <w:rPr>
                <w:rFonts w:ascii="宋体" w:hAnsi="宋体" w:cs="宋体" w:eastAsia="宋体" w:hint="default"/>
                <w:sz w:val="18"/>
                <w:szCs w:val="18"/>
              </w:rPr>
              <w:t>本期发</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行</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4"/>
              <w:ind w:left="119" w:right="123"/>
              <w:jc w:val="center"/>
              <w:rPr>
                <w:rFonts w:ascii="宋体" w:hAnsi="宋体" w:cs="宋体" w:eastAsia="宋体" w:hint="default"/>
                <w:sz w:val="18"/>
                <w:szCs w:val="18"/>
              </w:rPr>
            </w:pPr>
            <w:r>
              <w:rPr>
                <w:rFonts w:ascii="宋体" w:hAnsi="宋体" w:cs="宋体" w:eastAsia="宋体" w:hint="default"/>
                <w:spacing w:val="-2"/>
                <w:sz w:val="18"/>
                <w:szCs w:val="18"/>
              </w:rPr>
              <w:t>按面值</w:t>
            </w:r>
            <w:r>
              <w:rPr>
                <w:rFonts w:ascii="宋体" w:hAnsi="宋体" w:cs="宋体" w:eastAsia="宋体" w:hint="default"/>
                <w:w w:val="101"/>
                <w:sz w:val="18"/>
                <w:szCs w:val="18"/>
              </w:rPr>
              <w:t> </w:t>
            </w:r>
            <w:r>
              <w:rPr>
                <w:rFonts w:ascii="宋体" w:hAnsi="宋体" w:cs="宋体" w:eastAsia="宋体" w:hint="default"/>
                <w:spacing w:val="-2"/>
                <w:sz w:val="18"/>
                <w:szCs w:val="18"/>
              </w:rPr>
              <w:t>计提利</w:t>
            </w:r>
            <w:r>
              <w:rPr>
                <w:rFonts w:ascii="宋体" w:hAnsi="宋体" w:cs="宋体" w:eastAsia="宋体" w:hint="default"/>
                <w:w w:val="101"/>
                <w:sz w:val="18"/>
                <w:szCs w:val="18"/>
              </w:rPr>
              <w:t> </w:t>
            </w:r>
            <w:r>
              <w:rPr>
                <w:rFonts w:ascii="宋体" w:hAnsi="宋体" w:cs="宋体" w:eastAsia="宋体" w:hint="default"/>
                <w:sz w:val="18"/>
                <w:szCs w:val="18"/>
              </w:rPr>
              <w:t>息</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16" w:lineRule="auto"/>
              <w:ind w:left="215" w:right="118" w:hanging="92"/>
              <w:jc w:val="left"/>
              <w:rPr>
                <w:rFonts w:ascii="宋体" w:hAnsi="宋体" w:cs="宋体" w:eastAsia="宋体" w:hint="default"/>
                <w:sz w:val="18"/>
                <w:szCs w:val="18"/>
              </w:rPr>
            </w:pPr>
            <w:r>
              <w:rPr>
                <w:rFonts w:ascii="宋体" w:hAnsi="宋体" w:cs="宋体" w:eastAsia="宋体" w:hint="default"/>
                <w:sz w:val="18"/>
                <w:szCs w:val="18"/>
              </w:rPr>
              <w:t>溢折价</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摊销</w:t>
            </w:r>
          </w:p>
        </w:tc>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16" w:lineRule="auto"/>
              <w:ind w:left="307" w:right="122" w:hanging="183"/>
              <w:jc w:val="left"/>
              <w:rPr>
                <w:rFonts w:ascii="宋体" w:hAnsi="宋体" w:cs="宋体" w:eastAsia="宋体" w:hint="default"/>
                <w:sz w:val="18"/>
                <w:szCs w:val="18"/>
              </w:rPr>
            </w:pPr>
            <w:r>
              <w:rPr>
                <w:rFonts w:ascii="宋体" w:hAnsi="宋体" w:cs="宋体" w:eastAsia="宋体" w:hint="default"/>
                <w:sz w:val="18"/>
                <w:szCs w:val="18"/>
              </w:rPr>
              <w:t>本期偿</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还</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16" w:lineRule="auto"/>
              <w:ind w:left="302" w:right="122" w:hanging="183"/>
              <w:jc w:val="left"/>
              <w:rPr>
                <w:rFonts w:ascii="宋体" w:hAnsi="宋体" w:cs="宋体" w:eastAsia="宋体" w:hint="default"/>
                <w:sz w:val="18"/>
                <w:szCs w:val="18"/>
              </w:rPr>
            </w:pPr>
            <w:r>
              <w:rPr>
                <w:rFonts w:ascii="宋体" w:hAnsi="宋体" w:cs="宋体" w:eastAsia="宋体" w:hint="default"/>
                <w:sz w:val="18"/>
                <w:szCs w:val="18"/>
              </w:rPr>
              <w:t>期末余</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额</w:t>
            </w:r>
          </w:p>
        </w:tc>
      </w:tr>
      <w:tr>
        <w:trPr>
          <w:trHeight w:val="403" w:hRule="exact"/>
        </w:trPr>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399" w:hRule="exact"/>
        </w:trPr>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1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2"/>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8"/>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7"/>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3）可转换公司债券的转股条件、转股时间说明" w:id="365"/>
      <w:bookmarkEnd w:id="365"/>
      <w:r>
        <w:rPr>
          <w:b w:val="0"/>
          <w:bCs w:val="0"/>
        </w:rPr>
      </w:r>
      <w:r>
        <w:rPr/>
        <w:t>（</w:t>
      </w:r>
      <w:r>
        <w:rPr>
          <w:rFonts w:ascii="Times New Roman" w:hAnsi="Times New Roman" w:cs="Times New Roman" w:eastAsia="Times New Roman" w:hint="default"/>
        </w:rPr>
        <w:t>3</w:t>
      </w:r>
      <w:r>
        <w:rPr/>
        <w:t>）可转换公司债券的转股条件、转股时间说明</w:t>
      </w:r>
      <w:r>
        <w:rPr>
          <w:b w:val="0"/>
          <w:bCs w:val="0"/>
        </w:rPr>
      </w:r>
    </w:p>
    <w:p>
      <w:pPr>
        <w:spacing w:line="240" w:lineRule="auto" w:before="9"/>
        <w:rPr>
          <w:rFonts w:ascii="宋体" w:hAnsi="宋体" w:cs="宋体" w:eastAsia="宋体" w:hint="default"/>
          <w:b/>
          <w:bCs/>
          <w:sz w:val="26"/>
          <w:szCs w:val="26"/>
        </w:rPr>
      </w:pPr>
    </w:p>
    <w:p>
      <w:pPr>
        <w:pStyle w:val="BodyText"/>
        <w:spacing w:line="240" w:lineRule="auto" w:before="0"/>
        <w:ind w:right="0"/>
        <w:jc w:val="left"/>
      </w:pPr>
      <w:r>
        <w:rPr/>
        <w:t>无。</w:t>
      </w:r>
    </w:p>
    <w:p>
      <w:pPr>
        <w:spacing w:line="240" w:lineRule="auto" w:before="0"/>
        <w:rPr>
          <w:rFonts w:ascii="宋体" w:hAnsi="宋体" w:cs="宋体" w:eastAsia="宋体" w:hint="default"/>
          <w:sz w:val="18"/>
          <w:szCs w:val="18"/>
        </w:rPr>
      </w:pPr>
    </w:p>
    <w:p>
      <w:pPr>
        <w:pStyle w:val="Heading4"/>
        <w:spacing w:line="240" w:lineRule="auto" w:before="118"/>
        <w:ind w:right="0"/>
        <w:jc w:val="left"/>
        <w:rPr>
          <w:b w:val="0"/>
          <w:bCs w:val="0"/>
        </w:rPr>
      </w:pPr>
      <w:bookmarkStart w:name="（4）划分为金融负债的其他金融工具说明" w:id="366"/>
      <w:bookmarkEnd w:id="366"/>
      <w:r>
        <w:rPr>
          <w:b w:val="0"/>
          <w:bCs w:val="0"/>
        </w:rPr>
      </w:r>
      <w:r>
        <w:rPr/>
        <w:t>（</w:t>
      </w:r>
      <w:r>
        <w:rPr>
          <w:rFonts w:ascii="Times New Roman" w:hAnsi="Times New Roman" w:cs="Times New Roman" w:eastAsia="Times New Roman" w:hint="default"/>
        </w:rPr>
        <w:t>4</w:t>
      </w:r>
      <w:r>
        <w:rPr/>
        <w:t>）划分为金融负债的其他金融工具说明</w:t>
      </w:r>
      <w:r>
        <w:rPr>
          <w:b w:val="0"/>
          <w:bCs w:val="0"/>
        </w:rPr>
      </w:r>
    </w:p>
    <w:p>
      <w:pPr>
        <w:spacing w:line="240" w:lineRule="auto" w:before="2"/>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784" w:footer="1022" w:top="1100" w:bottom="1220" w:left="980" w:right="0"/>
        </w:sectPr>
      </w:pPr>
    </w:p>
    <w:p>
      <w:pPr>
        <w:pStyle w:val="BodyText"/>
        <w:spacing w:line="357" w:lineRule="auto"/>
        <w:ind w:right="0"/>
        <w:jc w:val="left"/>
      </w:pPr>
      <w:r>
        <w:rPr>
          <w:spacing w:val="-3"/>
        </w:rPr>
        <w:t>期末发行在外的优先股、永续债等其他金融工具基本情况</w:t>
      </w:r>
      <w:r>
        <w:rPr>
          <w:spacing w:val="-15"/>
        </w:rPr>
        <w:t> </w:t>
      </w:r>
      <w:r>
        <w:rPr>
          <w:spacing w:val="-15"/>
        </w:rPr>
      </w:r>
      <w:r>
        <w:rPr/>
        <w:t>无。</w:t>
      </w:r>
      <w:r>
        <w:rPr>
          <w:spacing w:val="-86"/>
        </w:rPr>
        <w:t> </w:t>
      </w:r>
      <w:r>
        <w:rPr>
          <w:spacing w:val="-3"/>
        </w:rPr>
        <w:t>期末发行在外的优先股、永续债等金融工具变动情况表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BodyText"/>
        <w:spacing w:line="240" w:lineRule="auto" w:before="160"/>
        <w:ind w:right="0"/>
        <w:jc w:val="left"/>
      </w:pPr>
      <w:r>
        <w:rPr/>
        <w:t>单位：</w:t>
      </w:r>
      <w:r>
        <w:rPr>
          <w:spacing w:val="5"/>
        </w:rPr>
        <w:t> </w:t>
      </w:r>
      <w:r>
        <w:rPr/>
        <w:t>元</w:t>
      </w:r>
    </w:p>
    <w:p>
      <w:pPr>
        <w:spacing w:after="0" w:line="240" w:lineRule="auto"/>
        <w:jc w:val="left"/>
        <w:sectPr>
          <w:type w:val="continuous"/>
          <w:pgSz w:w="11910" w:h="16840"/>
          <w:pgMar w:top="1100" w:bottom="1220" w:left="980" w:right="0"/>
          <w:cols w:num="2" w:equalWidth="0">
            <w:col w:w="4657" w:space="4174"/>
            <w:col w:w="2099"/>
          </w:cols>
        </w:sectPr>
      </w:pP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066"/>
        <w:gridCol w:w="1066"/>
        <w:gridCol w:w="1066"/>
        <w:gridCol w:w="1061"/>
        <w:gridCol w:w="1066"/>
        <w:gridCol w:w="1061"/>
        <w:gridCol w:w="1061"/>
        <w:gridCol w:w="1061"/>
        <w:gridCol w:w="1066"/>
      </w:tblGrid>
      <w:tr>
        <w:trPr>
          <w:trHeight w:val="403" w:hRule="exact"/>
        </w:trPr>
        <w:tc>
          <w:tcPr>
            <w:tcW w:w="1066"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3"/>
              <w:ind w:left="168" w:right="161"/>
              <w:jc w:val="center"/>
              <w:rPr>
                <w:rFonts w:ascii="宋体" w:hAnsi="宋体" w:cs="宋体" w:eastAsia="宋体" w:hint="default"/>
                <w:sz w:val="18"/>
                <w:szCs w:val="18"/>
              </w:rPr>
            </w:pPr>
            <w:r>
              <w:rPr>
                <w:rFonts w:ascii="宋体" w:hAnsi="宋体" w:cs="宋体" w:eastAsia="宋体" w:hint="default"/>
                <w:spacing w:val="-2"/>
                <w:sz w:val="18"/>
                <w:szCs w:val="18"/>
              </w:rPr>
              <w:t>发行在外</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2"/>
                <w:sz w:val="18"/>
                <w:szCs w:val="18"/>
              </w:rPr>
              <w:t>的金融工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具</w:t>
            </w:r>
          </w:p>
        </w:tc>
        <w:tc>
          <w:tcPr>
            <w:tcW w:w="213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期初</w:t>
            </w:r>
          </w:p>
        </w:tc>
        <w:tc>
          <w:tcPr>
            <w:tcW w:w="212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96"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212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212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期末</w:t>
            </w:r>
          </w:p>
        </w:tc>
      </w:tr>
      <w:tr>
        <w:trPr>
          <w:trHeight w:val="624" w:hRule="exact"/>
        </w:trPr>
        <w:tc>
          <w:tcPr>
            <w:tcW w:w="1066" w:type="dxa"/>
            <w:vMerge/>
            <w:tcBorders>
              <w:left w:val="single" w:sz="4" w:space="0" w:color="000000"/>
              <w:bottom w:val="single" w:sz="4" w:space="0" w:color="000000"/>
              <w:right w:val="single" w:sz="4" w:space="0" w:color="000000"/>
            </w:tcBorders>
            <w:shd w:val="clear" w:color="auto" w:fill="D2D2D2"/>
          </w:tcPr>
          <w:p>
            <w:pP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350"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67"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341"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6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340"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67"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345"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68"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pStyle w:val="BodyText"/>
        <w:spacing w:line="357" w:lineRule="auto" w:before="53"/>
        <w:ind w:right="7513"/>
        <w:jc w:val="left"/>
      </w:pPr>
      <w:r>
        <w:rPr>
          <w:spacing w:val="-3"/>
        </w:rPr>
        <w:t>其他金融工具划分为金融负债的依据说明</w:t>
      </w:r>
      <w:r>
        <w:rPr>
          <w:spacing w:val="-33"/>
        </w:rPr>
        <w:t> </w:t>
      </w:r>
      <w:r>
        <w:rPr>
          <w:spacing w:val="-33"/>
        </w:rPr>
      </w:r>
      <w:r>
        <w:rPr/>
        <w:t>无。</w:t>
      </w:r>
    </w:p>
    <w:p>
      <w:pPr>
        <w:pStyle w:val="BodyText"/>
        <w:spacing w:line="352" w:lineRule="auto" w:before="31"/>
        <w:ind w:right="10031"/>
        <w:jc w:val="left"/>
      </w:pPr>
      <w:r>
        <w:rPr/>
        <w:t>其他说明</w:t>
      </w:r>
      <w:r>
        <w:rPr>
          <w:spacing w:val="-86"/>
        </w:rPr>
        <w:t> </w:t>
      </w:r>
      <w:r>
        <w:rPr>
          <w:spacing w:val="-86"/>
        </w:rPr>
      </w:r>
      <w:r>
        <w:rPr/>
        <w:t>无。</w:t>
      </w:r>
    </w:p>
    <w:p>
      <w:pPr>
        <w:spacing w:line="240" w:lineRule="auto" w:before="7"/>
        <w:rPr>
          <w:rFonts w:ascii="宋体" w:hAnsi="宋体" w:cs="宋体" w:eastAsia="宋体" w:hint="default"/>
          <w:sz w:val="20"/>
          <w:szCs w:val="20"/>
        </w:rPr>
      </w:pPr>
    </w:p>
    <w:p>
      <w:pPr>
        <w:pStyle w:val="Heading4"/>
        <w:spacing w:line="240" w:lineRule="auto"/>
        <w:ind w:right="0"/>
        <w:jc w:val="left"/>
        <w:rPr>
          <w:b w:val="0"/>
          <w:bCs w:val="0"/>
        </w:rPr>
      </w:pPr>
      <w:bookmarkStart w:name="47、租赁负债" w:id="367"/>
      <w:bookmarkEnd w:id="367"/>
      <w:r>
        <w:rPr>
          <w:b w:val="0"/>
          <w:bCs w:val="0"/>
        </w:rPr>
      </w:r>
      <w:r>
        <w:rPr>
          <w:rFonts w:ascii="Times New Roman" w:hAnsi="Times New Roman" w:cs="Times New Roman" w:eastAsia="Times New Roman" w:hint="default"/>
        </w:rPr>
        <w:t>47</w:t>
      </w:r>
      <w:r>
        <w:rPr/>
        <w:t>、租赁负债</w:t>
      </w:r>
      <w:r>
        <w:rPr>
          <w:b w:val="0"/>
          <w:bCs w:val="0"/>
        </w:rPr>
      </w:r>
    </w:p>
    <w:p>
      <w:pPr>
        <w:spacing w:line="240" w:lineRule="auto" w:before="7"/>
        <w:rPr>
          <w:rFonts w:ascii="宋体" w:hAnsi="宋体" w:cs="宋体" w:eastAsia="宋体" w:hint="default"/>
          <w:b/>
          <w:bCs/>
          <w:sz w:val="23"/>
          <w:szCs w:val="23"/>
        </w:rPr>
      </w:pPr>
    </w:p>
    <w:p>
      <w:pPr>
        <w:pStyle w:val="BodyText"/>
        <w:spacing w:line="240" w:lineRule="auto"/>
        <w:ind w:left="0" w:right="1122"/>
        <w:jc w:val="right"/>
      </w:pPr>
      <w:r>
        <w:rPr>
          <w:spacing w:val="-2"/>
        </w:rPr>
        <w:t>单位：</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357" w:lineRule="auto" w:before="53"/>
        <w:ind w:right="10031"/>
        <w:jc w:val="left"/>
      </w:pPr>
      <w:r>
        <w:rPr/>
        <w:t>其他说明</w:t>
      </w:r>
      <w:r>
        <w:rPr>
          <w:spacing w:val="-86"/>
        </w:rPr>
        <w:t> </w:t>
      </w:r>
      <w:r>
        <w:rPr>
          <w:spacing w:val="-86"/>
        </w:rPr>
      </w:r>
      <w:r>
        <w:rPr/>
        <w:t>无。</w:t>
      </w:r>
    </w:p>
    <w:p>
      <w:pPr>
        <w:spacing w:line="240" w:lineRule="auto" w:before="4"/>
        <w:rPr>
          <w:rFonts w:ascii="宋体" w:hAnsi="宋体" w:cs="宋体" w:eastAsia="宋体" w:hint="default"/>
          <w:sz w:val="20"/>
          <w:szCs w:val="20"/>
        </w:rPr>
      </w:pPr>
    </w:p>
    <w:p>
      <w:pPr>
        <w:pStyle w:val="Heading4"/>
        <w:spacing w:line="240" w:lineRule="auto"/>
        <w:ind w:right="0"/>
        <w:jc w:val="left"/>
        <w:rPr>
          <w:b w:val="0"/>
          <w:bCs w:val="0"/>
        </w:rPr>
      </w:pPr>
      <w:bookmarkStart w:name="48、长期应付款" w:id="368"/>
      <w:bookmarkEnd w:id="368"/>
      <w:r>
        <w:rPr>
          <w:b w:val="0"/>
          <w:bCs w:val="0"/>
        </w:rPr>
      </w:r>
      <w:r>
        <w:rPr>
          <w:rFonts w:ascii="Times New Roman" w:hAnsi="Times New Roman" w:cs="Times New Roman" w:eastAsia="Times New Roman" w:hint="default"/>
        </w:rPr>
        <w:t>48</w:t>
      </w:r>
      <w:r>
        <w:rPr/>
        <w:t>、长期应付款</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after="0" w:line="240" w:lineRule="auto"/>
        <w:jc w:val="center"/>
        <w:rPr>
          <w:rFonts w:ascii="宋体" w:hAnsi="宋体" w:cs="宋体" w:eastAsia="宋体" w:hint="default"/>
          <w:sz w:val="18"/>
          <w:szCs w:val="18"/>
        </w:rPr>
        <w:sectPr>
          <w:type w:val="continuous"/>
          <w:pgSz w:w="11910" w:h="16840"/>
          <w:pgMar w:top="1100" w:bottom="1220" w:left="980" w:right="0"/>
        </w:sectPr>
      </w:pPr>
    </w:p>
    <w:p>
      <w:pPr>
        <w:spacing w:line="240" w:lineRule="auto" w:before="13"/>
        <w:rPr>
          <w:rFonts w:ascii="宋体" w:hAnsi="宋体" w:cs="宋体" w:eastAsia="宋体" w:hint="default"/>
          <w:sz w:val="21"/>
          <w:szCs w:val="21"/>
        </w:rPr>
      </w:pPr>
    </w:p>
    <w:p>
      <w:pPr>
        <w:pStyle w:val="Heading4"/>
        <w:spacing w:line="240" w:lineRule="auto" w:before="36"/>
        <w:ind w:right="0"/>
        <w:jc w:val="left"/>
        <w:rPr>
          <w:b w:val="0"/>
          <w:bCs w:val="0"/>
        </w:rPr>
      </w:pPr>
      <w:bookmarkStart w:name="（1）按款项性质列示长期应付款" w:id="369"/>
      <w:bookmarkEnd w:id="369"/>
      <w:r>
        <w:rPr>
          <w:b w:val="0"/>
          <w:bCs w:val="0"/>
        </w:rPr>
      </w:r>
      <w:r>
        <w:rPr/>
        <w:t>（</w:t>
      </w:r>
      <w:r>
        <w:rPr>
          <w:rFonts w:ascii="Times New Roman" w:hAnsi="Times New Roman" w:cs="Times New Roman" w:eastAsia="Times New Roman" w:hint="default"/>
        </w:rPr>
        <w:t>1</w:t>
      </w:r>
      <w:r>
        <w:rPr/>
        <w:t>）按款项性质列示长期应付款</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357" w:lineRule="auto" w:before="53"/>
        <w:ind w:right="9861"/>
        <w:jc w:val="left"/>
      </w:pPr>
      <w:r>
        <w:rPr>
          <w:spacing w:val="-2"/>
        </w:rPr>
        <w:t>其他说明：</w:t>
      </w:r>
      <w:r>
        <w:rPr>
          <w:spacing w:val="-78"/>
        </w:rPr>
        <w:t> </w:t>
      </w:r>
      <w:r>
        <w:rPr>
          <w:spacing w:val="-78"/>
        </w:rPr>
      </w:r>
      <w:r>
        <w:rPr/>
        <w:t>无。</w:t>
      </w:r>
    </w:p>
    <w:p>
      <w:pPr>
        <w:spacing w:line="240" w:lineRule="auto" w:before="3"/>
        <w:rPr>
          <w:rFonts w:ascii="宋体" w:hAnsi="宋体" w:cs="宋体" w:eastAsia="宋体" w:hint="default"/>
          <w:sz w:val="20"/>
          <w:szCs w:val="20"/>
        </w:rPr>
      </w:pPr>
    </w:p>
    <w:p>
      <w:pPr>
        <w:pStyle w:val="Heading4"/>
        <w:spacing w:line="240" w:lineRule="auto"/>
        <w:ind w:right="0"/>
        <w:jc w:val="left"/>
        <w:rPr>
          <w:b w:val="0"/>
          <w:bCs w:val="0"/>
        </w:rPr>
      </w:pPr>
      <w:bookmarkStart w:name="（2）专项应付款" w:id="370"/>
      <w:bookmarkEnd w:id="370"/>
      <w:r>
        <w:rPr>
          <w:b w:val="0"/>
          <w:bCs w:val="0"/>
        </w:rPr>
      </w:r>
      <w:r>
        <w:rPr/>
        <w:t>（</w:t>
      </w:r>
      <w:r>
        <w:rPr>
          <w:rFonts w:ascii="Times New Roman" w:hAnsi="Times New Roman" w:cs="Times New Roman" w:eastAsia="Times New Roman" w:hint="default"/>
        </w:rPr>
        <w:t>2</w:t>
      </w:r>
      <w:r>
        <w:rPr/>
        <w:t>）专项应付款</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594"/>
        <w:gridCol w:w="1599"/>
        <w:gridCol w:w="1595"/>
        <w:gridCol w:w="1594"/>
        <w:gridCol w:w="1594"/>
        <w:gridCol w:w="1594"/>
      </w:tblGrid>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37"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27"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27"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27"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32" w:right="0"/>
              <w:jc w:val="left"/>
              <w:rPr>
                <w:rFonts w:ascii="宋体" w:hAnsi="宋体" w:cs="宋体" w:eastAsia="宋体" w:hint="default"/>
                <w:sz w:val="18"/>
                <w:szCs w:val="18"/>
              </w:rPr>
            </w:pPr>
            <w:r>
              <w:rPr>
                <w:rFonts w:ascii="宋体" w:hAnsi="宋体" w:cs="宋体" w:eastAsia="宋体" w:hint="default"/>
                <w:sz w:val="18"/>
                <w:szCs w:val="18"/>
              </w:rPr>
              <w:t>形成原因</w:t>
            </w:r>
          </w:p>
        </w:tc>
      </w:tr>
    </w:tbl>
    <w:p>
      <w:pPr>
        <w:pStyle w:val="BodyText"/>
        <w:spacing w:line="357" w:lineRule="auto" w:before="53"/>
        <w:ind w:right="9861"/>
        <w:jc w:val="left"/>
      </w:pPr>
      <w:r>
        <w:rPr>
          <w:spacing w:val="-2"/>
        </w:rPr>
        <w:t>其他说明：</w:t>
      </w:r>
      <w:r>
        <w:rPr>
          <w:spacing w:val="-78"/>
        </w:rPr>
        <w:t> </w:t>
      </w:r>
      <w:r>
        <w:rPr>
          <w:spacing w:val="-78"/>
        </w:rPr>
      </w:r>
      <w:r>
        <w:rPr/>
        <w:t>无。</w:t>
      </w:r>
    </w:p>
    <w:p>
      <w:pPr>
        <w:spacing w:line="240" w:lineRule="auto" w:before="4"/>
        <w:rPr>
          <w:rFonts w:ascii="宋体" w:hAnsi="宋体" w:cs="宋体" w:eastAsia="宋体" w:hint="default"/>
          <w:sz w:val="20"/>
          <w:szCs w:val="20"/>
        </w:rPr>
      </w:pPr>
    </w:p>
    <w:p>
      <w:pPr>
        <w:pStyle w:val="Heading4"/>
        <w:spacing w:line="240" w:lineRule="auto"/>
        <w:ind w:right="0"/>
        <w:jc w:val="left"/>
        <w:rPr>
          <w:b w:val="0"/>
          <w:bCs w:val="0"/>
        </w:rPr>
      </w:pPr>
      <w:bookmarkStart w:name="49、长期应付职工薪酬" w:id="371"/>
      <w:bookmarkEnd w:id="371"/>
      <w:r>
        <w:rPr>
          <w:b w:val="0"/>
          <w:bCs w:val="0"/>
        </w:rPr>
      </w:r>
      <w:r>
        <w:rPr>
          <w:rFonts w:ascii="Times New Roman" w:hAnsi="Times New Roman" w:cs="Times New Roman" w:eastAsia="Times New Roman" w:hint="default"/>
        </w:rPr>
        <w:t>49</w:t>
      </w:r>
      <w:r>
        <w:rPr/>
        <w:t>、长期应付职工薪酬</w:t>
      </w:r>
      <w:r>
        <w:rPr>
          <w:b w:val="0"/>
          <w:bCs w:val="0"/>
        </w:rPr>
      </w:r>
    </w:p>
    <w:p>
      <w:pPr>
        <w:spacing w:line="240" w:lineRule="auto" w:before="5"/>
        <w:rPr>
          <w:rFonts w:ascii="宋体" w:hAnsi="宋体" w:cs="宋体" w:eastAsia="宋体" w:hint="default"/>
          <w:b/>
          <w:bCs/>
          <w:sz w:val="24"/>
          <w:szCs w:val="24"/>
        </w:rPr>
      </w:pPr>
    </w:p>
    <w:p>
      <w:pPr>
        <w:pStyle w:val="Heading4"/>
        <w:spacing w:line="240" w:lineRule="auto"/>
        <w:ind w:right="0"/>
        <w:jc w:val="left"/>
        <w:rPr>
          <w:b w:val="0"/>
          <w:bCs w:val="0"/>
        </w:rPr>
      </w:pPr>
      <w:bookmarkStart w:name="（1）长期应付职工薪酬表" w:id="372"/>
      <w:bookmarkEnd w:id="372"/>
      <w:r>
        <w:rPr>
          <w:b w:val="0"/>
          <w:bCs w:val="0"/>
        </w:rPr>
      </w:r>
      <w:r>
        <w:rPr/>
        <w:t>（</w:t>
      </w:r>
      <w:r>
        <w:rPr>
          <w:rFonts w:ascii="Times New Roman" w:hAnsi="Times New Roman" w:cs="Times New Roman" w:eastAsia="Times New Roman" w:hint="default"/>
        </w:rPr>
        <w:t>1</w:t>
      </w:r>
      <w:r>
        <w:rPr/>
        <w:t>）长期应付职工薪酬表</w:t>
      </w:r>
      <w:r>
        <w:rPr>
          <w:b w:val="0"/>
          <w:bCs w:val="0"/>
        </w:rPr>
      </w:r>
    </w:p>
    <w:p>
      <w:pPr>
        <w:spacing w:line="240" w:lineRule="auto" w:before="7"/>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2）设定受益计划变动情况" w:id="373"/>
      <w:bookmarkEnd w:id="373"/>
      <w:r>
        <w:rPr>
          <w:b w:val="0"/>
          <w:bCs w:val="0"/>
        </w:rPr>
      </w:r>
      <w:r>
        <w:rPr/>
        <w:t>（</w:t>
      </w:r>
      <w:r>
        <w:rPr>
          <w:rFonts w:ascii="Times New Roman" w:hAnsi="Times New Roman" w:cs="Times New Roman" w:eastAsia="Times New Roman" w:hint="default"/>
        </w:rPr>
        <w:t>2</w:t>
      </w:r>
      <w:r>
        <w:rPr/>
        <w:t>）设定受益计划变动情况</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right="0"/>
        <w:jc w:val="left"/>
      </w:pPr>
      <w:r>
        <w:rPr>
          <w:spacing w:val="-3"/>
        </w:rPr>
        <w:t>设定受益计划义务现值：</w:t>
      </w:r>
    </w:p>
    <w:p>
      <w:pPr>
        <w:pStyle w:val="BodyText"/>
        <w:spacing w:line="240" w:lineRule="auto" w:before="119"/>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pStyle w:val="BodyText"/>
        <w:spacing w:line="240" w:lineRule="auto" w:before="53"/>
        <w:ind w:right="0"/>
        <w:jc w:val="left"/>
      </w:pPr>
      <w:r>
        <w:rPr/>
        <w:t>计划资产：</w:t>
      </w:r>
    </w:p>
    <w:p>
      <w:pPr>
        <w:pStyle w:val="BodyText"/>
        <w:spacing w:line="240" w:lineRule="auto" w:before="115"/>
        <w:ind w:left="0" w:right="1122"/>
        <w:jc w:val="right"/>
      </w:pPr>
      <w:r>
        <w:rPr/>
        <w:t>单位：</w:t>
      </w:r>
      <w:r>
        <w:rPr>
          <w:spacing w:val="5"/>
        </w:rPr>
        <w:t> </w:t>
      </w:r>
      <w:r>
        <w:rPr/>
        <w:t>元</w:t>
      </w:r>
    </w:p>
    <w:p>
      <w:pPr>
        <w:spacing w:line="240" w:lineRule="auto" w:before="0"/>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pStyle w:val="BodyText"/>
        <w:spacing w:line="240" w:lineRule="auto" w:before="56"/>
        <w:ind w:right="0"/>
        <w:jc w:val="left"/>
      </w:pPr>
      <w:r>
        <w:rPr>
          <w:spacing w:val="-3"/>
        </w:rPr>
        <w:t>设定受益计划净负债（净资产）</w:t>
      </w:r>
    </w:p>
    <w:p>
      <w:pPr>
        <w:pStyle w:val="BodyText"/>
        <w:spacing w:line="240" w:lineRule="auto" w:before="115"/>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398"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pStyle w:val="BodyText"/>
        <w:spacing w:line="357" w:lineRule="auto" w:before="54"/>
        <w:ind w:right="3511"/>
        <w:jc w:val="left"/>
      </w:pPr>
      <w:r>
        <w:rPr>
          <w:spacing w:val="-3"/>
        </w:rPr>
        <w:t>设定受益计划的内容及与之相关风险、对公司未来现金流量、时间和不确定性的影响说明：</w:t>
      </w:r>
      <w:r>
        <w:rPr>
          <w:spacing w:val="25"/>
        </w:rPr>
        <w:t> </w:t>
      </w:r>
      <w:r>
        <w:rPr>
          <w:spacing w:val="25"/>
        </w:rPr>
      </w:r>
      <w:r>
        <w:rPr/>
        <w:t>无。</w:t>
      </w:r>
    </w:p>
    <w:p>
      <w:pPr>
        <w:pStyle w:val="BodyText"/>
        <w:spacing w:line="357" w:lineRule="auto" w:before="31"/>
        <w:ind w:right="6445"/>
        <w:jc w:val="left"/>
      </w:pPr>
      <w:r>
        <w:rPr>
          <w:spacing w:val="-3"/>
        </w:rPr>
        <w:t>设定受益计划重大精算假设及敏感性分析结果说明：</w:t>
      </w:r>
      <w:r>
        <w:rPr>
          <w:spacing w:val="-21"/>
        </w:rPr>
        <w:t> </w:t>
      </w:r>
      <w:r>
        <w:rPr>
          <w:spacing w:val="-21"/>
        </w:rPr>
      </w:r>
      <w:r>
        <w:rPr/>
        <w:t>无。</w:t>
      </w:r>
    </w:p>
    <w:p>
      <w:pPr>
        <w:pStyle w:val="BodyText"/>
        <w:spacing w:line="352" w:lineRule="auto" w:before="31"/>
        <w:ind w:right="9861"/>
        <w:jc w:val="left"/>
      </w:pPr>
      <w:r>
        <w:rPr>
          <w:spacing w:val="-2"/>
        </w:rPr>
        <w:t>其他说明：</w:t>
      </w:r>
      <w:r>
        <w:rPr>
          <w:spacing w:val="-78"/>
        </w:rPr>
        <w:t> </w:t>
      </w:r>
      <w:r>
        <w:rPr>
          <w:spacing w:val="-78"/>
        </w:rPr>
      </w:r>
      <w:r>
        <w:rPr/>
        <w:t>无。</w:t>
      </w:r>
    </w:p>
    <w:p>
      <w:pPr>
        <w:spacing w:after="0" w:line="352" w:lineRule="auto"/>
        <w:jc w:val="left"/>
        <w:sectPr>
          <w:pgSz w:w="11910" w:h="16840"/>
          <w:pgMar w:header="784" w:footer="1022" w:top="1100" w:bottom="1220" w:left="980" w:right="0"/>
        </w:sectPr>
      </w:pPr>
    </w:p>
    <w:p>
      <w:pPr>
        <w:spacing w:line="240" w:lineRule="auto" w:before="13"/>
        <w:rPr>
          <w:rFonts w:ascii="宋体" w:hAnsi="宋体" w:cs="宋体" w:eastAsia="宋体" w:hint="default"/>
          <w:sz w:val="21"/>
          <w:szCs w:val="21"/>
        </w:rPr>
      </w:pPr>
    </w:p>
    <w:p>
      <w:pPr>
        <w:pStyle w:val="Heading4"/>
        <w:spacing w:line="240" w:lineRule="auto" w:before="36"/>
        <w:ind w:right="0"/>
        <w:jc w:val="left"/>
        <w:rPr>
          <w:b w:val="0"/>
          <w:bCs w:val="0"/>
        </w:rPr>
      </w:pPr>
      <w:bookmarkStart w:name="50、预计负债" w:id="374"/>
      <w:bookmarkEnd w:id="374"/>
      <w:r>
        <w:rPr>
          <w:b w:val="0"/>
          <w:bCs w:val="0"/>
        </w:rPr>
      </w:r>
      <w:r>
        <w:rPr>
          <w:rFonts w:ascii="Times New Roman" w:hAnsi="Times New Roman" w:cs="Times New Roman" w:eastAsia="Times New Roman" w:hint="default"/>
        </w:rPr>
        <w:t>50</w:t>
      </w:r>
      <w:r>
        <w:rPr/>
        <w:t>、预计负债</w:t>
      </w:r>
      <w:r>
        <w:rPr>
          <w:b w:val="0"/>
          <w:bCs w:val="0"/>
        </w:rPr>
      </w:r>
    </w:p>
    <w:p>
      <w:pPr>
        <w:spacing w:line="240" w:lineRule="auto" w:before="2"/>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784" w:footer="1022" w:top="1100" w:bottom="1220" w:left="980" w:right="0"/>
        </w:sectPr>
      </w:pPr>
    </w:p>
    <w:p>
      <w:pPr>
        <w:pStyle w:val="BodyText"/>
        <w:spacing w:line="240" w:lineRule="auto"/>
        <w:ind w:right="0"/>
        <w:jc w:val="left"/>
      </w:pPr>
      <w:r>
        <w:rPr>
          <w:spacing w:val="-2"/>
        </w:rPr>
        <w:t>是否已执行新收入准则</w:t>
      </w:r>
    </w:p>
    <w:p>
      <w:pPr>
        <w:pStyle w:val="BodyText"/>
        <w:spacing w:line="240" w:lineRule="auto" w:before="115"/>
        <w:ind w:right="0"/>
        <w:jc w:val="left"/>
      </w:pPr>
      <w:r>
        <w:rPr/>
        <w:t>□ 是 √</w:t>
      </w:r>
      <w:r>
        <w:rPr>
          <w:spacing w:val="2"/>
        </w:rPr>
        <w:t> </w:t>
      </w:r>
      <w:r>
        <w:rPr/>
        <w:t>否</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pStyle w:val="BodyText"/>
        <w:spacing w:line="240" w:lineRule="auto" w:before="0"/>
        <w:ind w:right="0"/>
        <w:jc w:val="left"/>
      </w:pPr>
      <w:r>
        <w:rPr/>
        <w:t>单位：</w:t>
      </w:r>
      <w:r>
        <w:rPr>
          <w:spacing w:val="5"/>
        </w:rPr>
        <w:t> </w:t>
      </w:r>
      <w:r>
        <w:rPr/>
        <w:t>元</w:t>
      </w:r>
    </w:p>
    <w:p>
      <w:pPr>
        <w:spacing w:after="0" w:line="240" w:lineRule="auto"/>
        <w:jc w:val="left"/>
        <w:sectPr>
          <w:type w:val="continuous"/>
          <w:pgSz w:w="11910" w:h="16840"/>
          <w:pgMar w:top="1100" w:bottom="1220" w:left="980" w:right="0"/>
          <w:cols w:num="2" w:equalWidth="0">
            <w:col w:w="1959" w:space="6872"/>
            <w:col w:w="2099"/>
          </w:cols>
        </w:sectPr>
      </w:pP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391"/>
        <w:gridCol w:w="2396"/>
        <w:gridCol w:w="2391"/>
        <w:gridCol w:w="2391"/>
      </w:tblGrid>
      <w:tr>
        <w:trPr>
          <w:trHeight w:val="403"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3"/>
              <w:jc w:val="center"/>
              <w:rPr>
                <w:rFonts w:ascii="宋体" w:hAnsi="宋体" w:cs="宋体" w:eastAsia="宋体" w:hint="default"/>
                <w:sz w:val="18"/>
                <w:szCs w:val="18"/>
              </w:rPr>
            </w:pPr>
            <w:r>
              <w:rPr>
                <w:rFonts w:ascii="宋体" w:hAnsi="宋体" w:cs="宋体" w:eastAsia="宋体" w:hint="default"/>
                <w:sz w:val="18"/>
                <w:szCs w:val="18"/>
              </w:rPr>
              <w:t>期初余额</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形成原因</w:t>
            </w:r>
          </w:p>
        </w:tc>
      </w:tr>
      <w:tr>
        <w:trPr>
          <w:trHeight w:val="398"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产品质量保证</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19,557,393.11</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16,513,980.73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预提质量保证金</w:t>
            </w:r>
          </w:p>
        </w:tc>
      </w:tr>
      <w:tr>
        <w:trPr>
          <w:trHeight w:val="404"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19,557,393.11</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16,513,980.73</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bl>
    <w:p>
      <w:pPr>
        <w:pStyle w:val="BodyText"/>
        <w:spacing w:line="357" w:lineRule="auto" w:before="53"/>
        <w:ind w:right="5829"/>
        <w:jc w:val="left"/>
      </w:pPr>
      <w:r>
        <w:rPr>
          <w:spacing w:val="-3"/>
        </w:rPr>
        <w:t>其他说明，包括重要预计负债的相关重要假设、估计说明：</w:t>
      </w:r>
      <w:r>
        <w:rPr>
          <w:spacing w:val="-10"/>
        </w:rPr>
        <w:t> </w:t>
      </w:r>
      <w:r>
        <w:rPr>
          <w:spacing w:val="-10"/>
        </w:rPr>
      </w:r>
      <w:r>
        <w:rPr/>
        <w:t>无。</w:t>
      </w:r>
    </w:p>
    <w:p>
      <w:pPr>
        <w:spacing w:line="240" w:lineRule="auto" w:before="3"/>
        <w:rPr>
          <w:rFonts w:ascii="宋体" w:hAnsi="宋体" w:cs="宋体" w:eastAsia="宋体" w:hint="default"/>
          <w:sz w:val="20"/>
          <w:szCs w:val="20"/>
        </w:rPr>
      </w:pPr>
    </w:p>
    <w:p>
      <w:pPr>
        <w:pStyle w:val="Heading4"/>
        <w:spacing w:line="240" w:lineRule="auto"/>
        <w:ind w:right="0"/>
        <w:jc w:val="left"/>
        <w:rPr>
          <w:b w:val="0"/>
          <w:bCs w:val="0"/>
        </w:rPr>
      </w:pPr>
      <w:bookmarkStart w:name="51、递延收益" w:id="375"/>
      <w:bookmarkEnd w:id="375"/>
      <w:r>
        <w:rPr>
          <w:b w:val="0"/>
          <w:bCs w:val="0"/>
        </w:rPr>
      </w:r>
      <w:r>
        <w:rPr>
          <w:rFonts w:ascii="Times New Roman" w:hAnsi="Times New Roman" w:cs="Times New Roman" w:eastAsia="Times New Roman" w:hint="default"/>
        </w:rPr>
        <w:t>51</w:t>
      </w:r>
      <w:r>
        <w:rPr/>
        <w:t>、递延收益</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594"/>
        <w:gridCol w:w="1599"/>
        <w:gridCol w:w="1595"/>
        <w:gridCol w:w="1594"/>
        <w:gridCol w:w="1594"/>
        <w:gridCol w:w="1594"/>
      </w:tblGrid>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37"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27"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27"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27"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形成原因</w:t>
            </w: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7,273,589.76</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1,000,000.00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6,273,589.76</w:t>
            </w: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7,273,589.76</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1,000,000.00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6,273,589.76</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bl>
    <w:p>
      <w:pPr>
        <w:pStyle w:val="BodyText"/>
        <w:spacing w:line="240" w:lineRule="auto" w:before="54"/>
        <w:ind w:right="0"/>
        <w:jc w:val="left"/>
      </w:pPr>
      <w:r>
        <w:rPr/>
        <w:t>涉及政府补助的项目：</w:t>
      </w:r>
    </w:p>
    <w:p>
      <w:pPr>
        <w:pStyle w:val="BodyText"/>
        <w:spacing w:line="240" w:lineRule="auto" w:before="115"/>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013"/>
        <w:gridCol w:w="1248"/>
        <w:gridCol w:w="1008"/>
        <w:gridCol w:w="1013"/>
        <w:gridCol w:w="1008"/>
        <w:gridCol w:w="1013"/>
        <w:gridCol w:w="1009"/>
        <w:gridCol w:w="1248"/>
        <w:gridCol w:w="1013"/>
      </w:tblGrid>
      <w:tr>
        <w:trPr>
          <w:trHeight w:val="1023" w:hRule="exact"/>
        </w:trPr>
        <w:tc>
          <w:tcPr>
            <w:tcW w:w="10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144" w:right="0"/>
              <w:jc w:val="left"/>
              <w:rPr>
                <w:rFonts w:ascii="宋体" w:hAnsi="宋体" w:cs="宋体" w:eastAsia="宋体" w:hint="default"/>
                <w:sz w:val="18"/>
                <w:szCs w:val="18"/>
              </w:rPr>
            </w:pPr>
            <w:r>
              <w:rPr>
                <w:rFonts w:ascii="宋体" w:hAnsi="宋体" w:cs="宋体" w:eastAsia="宋体" w:hint="default"/>
                <w:sz w:val="18"/>
                <w:szCs w:val="18"/>
              </w:rPr>
              <w:t>负债项目</w:t>
            </w:r>
          </w:p>
        </w:tc>
        <w:tc>
          <w:tcPr>
            <w:tcW w:w="12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4" w:right="0"/>
              <w:jc w:val="center"/>
              <w:rPr>
                <w:rFonts w:ascii="宋体" w:hAnsi="宋体" w:cs="宋体" w:eastAsia="宋体" w:hint="default"/>
                <w:sz w:val="18"/>
                <w:szCs w:val="18"/>
              </w:rPr>
            </w:pPr>
            <w:r>
              <w:rPr>
                <w:rFonts w:ascii="宋体" w:hAnsi="宋体" w:cs="宋体" w:eastAsia="宋体" w:hint="default"/>
                <w:sz w:val="18"/>
                <w:szCs w:val="18"/>
              </w:rPr>
              <w:t>期初余额</w:t>
            </w:r>
          </w:p>
        </w:tc>
        <w:tc>
          <w:tcPr>
            <w:tcW w:w="10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21" w:lineRule="auto"/>
              <w:ind w:left="139" w:right="132"/>
              <w:jc w:val="left"/>
              <w:rPr>
                <w:rFonts w:ascii="宋体" w:hAnsi="宋体" w:cs="宋体" w:eastAsia="宋体" w:hint="default"/>
                <w:sz w:val="18"/>
                <w:szCs w:val="18"/>
              </w:rPr>
            </w:pPr>
            <w:r>
              <w:rPr>
                <w:rFonts w:ascii="宋体" w:hAnsi="宋体" w:cs="宋体" w:eastAsia="宋体" w:hint="default"/>
                <w:sz w:val="18"/>
                <w:szCs w:val="18"/>
              </w:rPr>
              <w:t>本期新增</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补助金额</w:t>
            </w:r>
          </w:p>
        </w:tc>
        <w:tc>
          <w:tcPr>
            <w:tcW w:w="10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39" w:right="137"/>
              <w:jc w:val="both"/>
              <w:rPr>
                <w:rFonts w:ascii="宋体" w:hAnsi="宋体" w:cs="宋体" w:eastAsia="宋体" w:hint="default"/>
                <w:sz w:val="18"/>
                <w:szCs w:val="18"/>
              </w:rPr>
            </w:pPr>
            <w:r>
              <w:rPr>
                <w:rFonts w:ascii="宋体" w:hAnsi="宋体" w:cs="宋体" w:eastAsia="宋体" w:hint="default"/>
                <w:sz w:val="18"/>
                <w:szCs w:val="18"/>
              </w:rPr>
              <w:t>本期计入</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营业外收</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入金额</w:t>
            </w:r>
          </w:p>
        </w:tc>
        <w:tc>
          <w:tcPr>
            <w:tcW w:w="10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39" w:right="132"/>
              <w:jc w:val="center"/>
              <w:rPr>
                <w:rFonts w:ascii="宋体" w:hAnsi="宋体" w:cs="宋体" w:eastAsia="宋体" w:hint="default"/>
                <w:sz w:val="18"/>
                <w:szCs w:val="18"/>
              </w:rPr>
            </w:pPr>
            <w:r>
              <w:rPr>
                <w:rFonts w:ascii="宋体" w:hAnsi="宋体" w:cs="宋体" w:eastAsia="宋体" w:hint="default"/>
                <w:spacing w:val="-2"/>
                <w:sz w:val="18"/>
                <w:szCs w:val="18"/>
              </w:rPr>
              <w:t>本期计入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2"/>
                <w:sz w:val="18"/>
                <w:szCs w:val="18"/>
              </w:rPr>
              <w:t>其他收益</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金额</w:t>
            </w:r>
          </w:p>
        </w:tc>
        <w:tc>
          <w:tcPr>
            <w:tcW w:w="10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39" w:right="137"/>
              <w:jc w:val="center"/>
              <w:rPr>
                <w:rFonts w:ascii="宋体" w:hAnsi="宋体" w:cs="宋体" w:eastAsia="宋体" w:hint="default"/>
                <w:sz w:val="18"/>
                <w:szCs w:val="18"/>
              </w:rPr>
            </w:pPr>
            <w:r>
              <w:rPr>
                <w:rFonts w:ascii="宋体" w:hAnsi="宋体" w:cs="宋体" w:eastAsia="宋体" w:hint="default"/>
                <w:spacing w:val="-2"/>
                <w:sz w:val="18"/>
                <w:szCs w:val="18"/>
              </w:rPr>
              <w:t>本期冲减</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2"/>
                <w:sz w:val="18"/>
                <w:szCs w:val="18"/>
              </w:rPr>
              <w:t>成本费用</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金额</w:t>
            </w:r>
          </w:p>
        </w:tc>
        <w:tc>
          <w:tcPr>
            <w:tcW w:w="10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134" w:right="0"/>
              <w:jc w:val="left"/>
              <w:rPr>
                <w:rFonts w:ascii="宋体" w:hAnsi="宋体" w:cs="宋体" w:eastAsia="宋体" w:hint="default"/>
                <w:sz w:val="18"/>
                <w:szCs w:val="18"/>
              </w:rPr>
            </w:pPr>
            <w:r>
              <w:rPr>
                <w:rFonts w:ascii="宋体" w:hAnsi="宋体" w:cs="宋体" w:eastAsia="宋体" w:hint="default"/>
                <w:sz w:val="18"/>
                <w:szCs w:val="18"/>
              </w:rPr>
              <w:t>其他变动</w:t>
            </w:r>
          </w:p>
        </w:tc>
        <w:tc>
          <w:tcPr>
            <w:tcW w:w="12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259"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0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3"/>
              <w:ind w:left="115" w:right="113"/>
              <w:jc w:val="center"/>
              <w:rPr>
                <w:rFonts w:ascii="宋体" w:hAnsi="宋体" w:cs="宋体" w:eastAsia="宋体" w:hint="default"/>
                <w:sz w:val="18"/>
                <w:szCs w:val="18"/>
              </w:rPr>
            </w:pPr>
            <w:r>
              <w:rPr>
                <w:rFonts w:ascii="宋体" w:hAnsi="宋体" w:cs="宋体" w:eastAsia="宋体" w:hint="default"/>
                <w:sz w:val="18"/>
                <w:szCs w:val="18"/>
              </w:rPr>
              <w:t>与资产相</w:t>
            </w:r>
            <w:r>
              <w:rPr>
                <w:rFonts w:ascii="宋体" w:hAnsi="宋体" w:cs="宋体" w:eastAsia="宋体" w:hint="default"/>
                <w:w w:val="101"/>
                <w:sz w:val="18"/>
                <w:szCs w:val="18"/>
              </w:rPr>
              <w:t> </w:t>
            </w:r>
            <w:r>
              <w:rPr>
                <w:rFonts w:ascii="宋体" w:hAnsi="宋体" w:cs="宋体" w:eastAsia="宋体" w:hint="default"/>
                <w:spacing w:val="-2"/>
                <w:sz w:val="18"/>
                <w:szCs w:val="18"/>
              </w:rPr>
              <w:t>关</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与收益</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相关</w:t>
            </w:r>
          </w:p>
        </w:tc>
      </w:tr>
      <w:tr>
        <w:trPr>
          <w:trHeight w:val="2588" w:hRule="exact"/>
        </w:trPr>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58"/>
              <w:ind w:left="105" w:right="171"/>
              <w:jc w:val="left"/>
              <w:rPr>
                <w:rFonts w:ascii="宋体" w:hAnsi="宋体" w:cs="宋体" w:eastAsia="宋体" w:hint="default"/>
                <w:sz w:val="18"/>
                <w:szCs w:val="18"/>
              </w:rPr>
            </w:pPr>
            <w:r>
              <w:rPr>
                <w:rFonts w:ascii="宋体" w:hAnsi="宋体" w:cs="宋体" w:eastAsia="宋体" w:hint="default"/>
                <w:sz w:val="18"/>
                <w:szCs w:val="18"/>
              </w:rPr>
              <w:t>文化创意</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资助款</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3"/>
                <w:sz w:val="18"/>
                <w:szCs w:val="18"/>
              </w:rPr>
              <w:t> </w:t>
            </w:r>
            <w:r>
              <w:rPr>
                <w:rFonts w:ascii="Times New Roman" w:hAnsi="Times New Roman" w:cs="Times New Roman" w:eastAsia="Times New Roman" w:hint="default"/>
                <w:spacing w:val="-3"/>
                <w:sz w:val="18"/>
                <w:szCs w:val="18"/>
              </w:rPr>
              <w:t>LED </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裸</w:t>
            </w:r>
          </w:p>
          <w:p>
            <w:pPr>
              <w:pStyle w:val="TableParagraph"/>
              <w:spacing w:line="314" w:lineRule="auto" w:before="7"/>
              <w:ind w:left="105" w:right="171"/>
              <w:jc w:val="both"/>
              <w:rPr>
                <w:rFonts w:ascii="宋体" w:hAnsi="宋体" w:cs="宋体" w:eastAsia="宋体" w:hint="default"/>
                <w:sz w:val="18"/>
                <w:szCs w:val="18"/>
              </w:rPr>
            </w:pPr>
            <w:r>
              <w:rPr>
                <w:rFonts w:ascii="宋体" w:hAnsi="宋体" w:cs="宋体" w:eastAsia="宋体" w:hint="default"/>
                <w:sz w:val="18"/>
                <w:szCs w:val="18"/>
              </w:rPr>
              <w:t>眼</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显</w:t>
            </w:r>
            <w:r>
              <w:rPr>
                <w:rFonts w:ascii="宋体" w:hAnsi="宋体" w:cs="宋体" w:eastAsia="宋体" w:hint="default"/>
                <w:spacing w:val="-87"/>
                <w:sz w:val="18"/>
                <w:szCs w:val="18"/>
              </w:rPr>
              <w:t> </w:t>
            </w:r>
            <w:r>
              <w:rPr>
                <w:rFonts w:ascii="宋体" w:hAnsi="宋体" w:cs="宋体" w:eastAsia="宋体" w:hint="default"/>
                <w:sz w:val="18"/>
                <w:szCs w:val="18"/>
              </w:rPr>
              <w:t>示技术工</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程实验室</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项目（注</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Times New Roman" w:hAnsi="Times New Roman" w:cs="Times New Roman" w:eastAsia="Times New Roman" w:hint="default"/>
                <w:sz w:val="18"/>
                <w:szCs w:val="18"/>
              </w:rPr>
              <w:t>1</w:t>
            </w:r>
            <w:r>
              <w:rPr>
                <w:rFonts w:ascii="宋体" w:hAnsi="宋体" w:cs="宋体" w:eastAsia="宋体" w:hint="default"/>
                <w:sz w:val="18"/>
                <w:szCs w:val="18"/>
              </w:rPr>
              <w:t>）</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95" w:right="0"/>
              <w:jc w:val="center"/>
              <w:rPr>
                <w:rFonts w:ascii="Times New Roman" w:hAnsi="Times New Roman" w:cs="Times New Roman" w:eastAsia="Times New Roman" w:hint="default"/>
                <w:sz w:val="18"/>
                <w:szCs w:val="18"/>
              </w:rPr>
            </w:pPr>
            <w:r>
              <w:rPr>
                <w:rFonts w:ascii="Times New Roman"/>
                <w:sz w:val="18"/>
              </w:rPr>
              <w:t>1,133,589.76</w:t>
            </w:r>
          </w:p>
        </w:tc>
        <w:tc>
          <w:tcPr>
            <w:tcW w:w="1008" w:type="dxa"/>
            <w:tcBorders>
              <w:top w:val="single" w:sz="4" w:space="0" w:color="000000"/>
              <w:left w:val="single" w:sz="4" w:space="0" w:color="000000"/>
              <w:bottom w:val="single" w:sz="4" w:space="0" w:color="000000"/>
              <w:right w:val="single" w:sz="4" w:space="0" w:color="000000"/>
            </w:tcBorders>
          </w:tcPr>
          <w:p>
            <w:pPr/>
          </w:p>
        </w:tc>
        <w:tc>
          <w:tcPr>
            <w:tcW w:w="1013" w:type="dxa"/>
            <w:tcBorders>
              <w:top w:val="single" w:sz="4" w:space="0" w:color="000000"/>
              <w:left w:val="single" w:sz="4" w:space="0" w:color="000000"/>
              <w:bottom w:val="single" w:sz="4" w:space="0" w:color="000000"/>
              <w:right w:val="single" w:sz="4" w:space="0" w:color="000000"/>
            </w:tcBorders>
          </w:tcPr>
          <w:p>
            <w:pP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5"/>
                <w:szCs w:val="25"/>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2"/>
                <w:sz w:val="18"/>
              </w:rPr>
              <w:t>1,000,000.</w:t>
            </w:r>
          </w:p>
          <w:p>
            <w:pPr>
              <w:pStyle w:val="TableParagraph"/>
              <w:spacing w:line="240" w:lineRule="auto" w:before="105"/>
              <w:ind w:right="95"/>
              <w:jc w:val="right"/>
              <w:rPr>
                <w:rFonts w:ascii="Times New Roman" w:hAnsi="Times New Roman" w:cs="Times New Roman" w:eastAsia="Times New Roman" w:hint="default"/>
                <w:sz w:val="18"/>
                <w:szCs w:val="18"/>
              </w:rPr>
            </w:pPr>
            <w:r>
              <w:rPr>
                <w:rFonts w:ascii="Times New Roman"/>
                <w:sz w:val="18"/>
              </w:rPr>
              <w:t>00</w:t>
            </w:r>
          </w:p>
        </w:tc>
        <w:tc>
          <w:tcPr>
            <w:tcW w:w="1013" w:type="dxa"/>
            <w:tcBorders>
              <w:top w:val="single" w:sz="4" w:space="0" w:color="000000"/>
              <w:left w:val="single" w:sz="4" w:space="0" w:color="000000"/>
              <w:bottom w:val="single" w:sz="4" w:space="0" w:color="000000"/>
              <w:right w:val="single" w:sz="4" w:space="0" w:color="000000"/>
            </w:tcBorders>
          </w:tcPr>
          <w:p>
            <w:pPr/>
          </w:p>
        </w:tc>
        <w:tc>
          <w:tcPr>
            <w:tcW w:w="1009"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133,589.76</w:t>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22"/>
                <w:szCs w:val="22"/>
              </w:rPr>
            </w:pPr>
          </w:p>
          <w:p>
            <w:pPr>
              <w:pStyle w:val="TableParagraph"/>
              <w:spacing w:line="316" w:lineRule="auto"/>
              <w:ind w:left="105" w:right="170"/>
              <w:jc w:val="left"/>
              <w:rPr>
                <w:rFonts w:ascii="宋体" w:hAnsi="宋体" w:cs="宋体" w:eastAsia="宋体" w:hint="default"/>
                <w:sz w:val="18"/>
                <w:szCs w:val="18"/>
              </w:rPr>
            </w:pPr>
            <w:r>
              <w:rPr>
                <w:rFonts w:ascii="宋体" w:hAnsi="宋体" w:cs="宋体" w:eastAsia="宋体" w:hint="default"/>
                <w:sz w:val="18"/>
                <w:szCs w:val="18"/>
              </w:rPr>
              <w:t>与资产相</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关</w:t>
            </w:r>
          </w:p>
        </w:tc>
      </w:tr>
      <w:tr>
        <w:trPr>
          <w:trHeight w:val="2276" w:hRule="exact"/>
        </w:trPr>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105" w:right="135"/>
              <w:jc w:val="both"/>
              <w:rPr>
                <w:rFonts w:ascii="宋体" w:hAnsi="宋体" w:cs="宋体" w:eastAsia="宋体" w:hint="default"/>
                <w:sz w:val="18"/>
                <w:szCs w:val="18"/>
              </w:rPr>
            </w:pPr>
            <w:r>
              <w:rPr>
                <w:rFonts w:ascii="宋体" w:hAnsi="宋体" w:cs="宋体" w:eastAsia="宋体" w:hint="default"/>
                <w:sz w:val="18"/>
                <w:szCs w:val="18"/>
              </w:rPr>
              <w:t>大众体育</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场馆</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O2O</w:t>
            </w:r>
            <w:r>
              <w:rPr>
                <w:rFonts w:ascii="Times New Roman" w:hAnsi="Times New Roman" w:cs="Times New Roman" w:eastAsia="Times New Roman" w:hint="default"/>
                <w:w w:val="101"/>
                <w:sz w:val="18"/>
                <w:szCs w:val="18"/>
              </w:rPr>
              <w:t> </w:t>
            </w:r>
            <w:r>
              <w:rPr>
                <w:rFonts w:ascii="宋体" w:hAnsi="宋体" w:cs="宋体" w:eastAsia="宋体" w:hint="default"/>
                <w:sz w:val="18"/>
                <w:szCs w:val="18"/>
              </w:rPr>
              <w:t>智能服务</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系统研发</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及产业化</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项目（注</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Times New Roman" w:hAnsi="Times New Roman" w:cs="Times New Roman" w:eastAsia="Times New Roman" w:hint="default"/>
                <w:sz w:val="18"/>
                <w:szCs w:val="18"/>
              </w:rPr>
              <w:t>2</w:t>
            </w:r>
            <w:r>
              <w:rPr>
                <w:rFonts w:ascii="宋体" w:hAnsi="宋体" w:cs="宋体" w:eastAsia="宋体" w:hint="default"/>
                <w:sz w:val="18"/>
                <w:szCs w:val="18"/>
              </w:rPr>
              <w:t>）</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95" w:right="0"/>
              <w:jc w:val="center"/>
              <w:rPr>
                <w:rFonts w:ascii="Times New Roman" w:hAnsi="Times New Roman" w:cs="Times New Roman" w:eastAsia="Times New Roman" w:hint="default"/>
                <w:sz w:val="18"/>
                <w:szCs w:val="18"/>
              </w:rPr>
            </w:pPr>
            <w:r>
              <w:rPr>
                <w:rFonts w:ascii="Times New Roman"/>
                <w:sz w:val="18"/>
              </w:rPr>
              <w:t>1,240,000.00</w:t>
            </w:r>
          </w:p>
        </w:tc>
        <w:tc>
          <w:tcPr>
            <w:tcW w:w="1008" w:type="dxa"/>
            <w:tcBorders>
              <w:top w:val="single" w:sz="4" w:space="0" w:color="000000"/>
              <w:left w:val="single" w:sz="4" w:space="0" w:color="000000"/>
              <w:bottom w:val="single" w:sz="4" w:space="0" w:color="000000"/>
              <w:right w:val="single" w:sz="4" w:space="0" w:color="000000"/>
            </w:tcBorders>
          </w:tcPr>
          <w:p>
            <w:pPr/>
          </w:p>
        </w:tc>
        <w:tc>
          <w:tcPr>
            <w:tcW w:w="1013" w:type="dxa"/>
            <w:tcBorders>
              <w:top w:val="single" w:sz="4" w:space="0" w:color="000000"/>
              <w:left w:val="single" w:sz="4" w:space="0" w:color="000000"/>
              <w:bottom w:val="single" w:sz="4" w:space="0" w:color="000000"/>
              <w:right w:val="single" w:sz="4" w:space="0" w:color="000000"/>
            </w:tcBorders>
          </w:tcPr>
          <w:p>
            <w:pPr/>
          </w:p>
        </w:tc>
        <w:tc>
          <w:tcPr>
            <w:tcW w:w="1008" w:type="dxa"/>
            <w:tcBorders>
              <w:top w:val="single" w:sz="4" w:space="0" w:color="000000"/>
              <w:left w:val="single" w:sz="4" w:space="0" w:color="000000"/>
              <w:bottom w:val="single" w:sz="4" w:space="0" w:color="000000"/>
              <w:right w:val="single" w:sz="4" w:space="0" w:color="000000"/>
            </w:tcBorders>
          </w:tcPr>
          <w:p>
            <w:pPr/>
          </w:p>
        </w:tc>
        <w:tc>
          <w:tcPr>
            <w:tcW w:w="1013" w:type="dxa"/>
            <w:tcBorders>
              <w:top w:val="single" w:sz="4" w:space="0" w:color="000000"/>
              <w:left w:val="single" w:sz="4" w:space="0" w:color="000000"/>
              <w:bottom w:val="single" w:sz="4" w:space="0" w:color="000000"/>
              <w:right w:val="single" w:sz="4" w:space="0" w:color="000000"/>
            </w:tcBorders>
          </w:tcPr>
          <w:p>
            <w:pPr/>
          </w:p>
        </w:tc>
        <w:tc>
          <w:tcPr>
            <w:tcW w:w="1009"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1,240,000.00</w:t>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30"/>
              <w:ind w:left="105" w:right="170"/>
              <w:jc w:val="left"/>
              <w:rPr>
                <w:rFonts w:ascii="宋体" w:hAnsi="宋体" w:cs="宋体" w:eastAsia="宋体" w:hint="default"/>
                <w:sz w:val="18"/>
                <w:szCs w:val="18"/>
              </w:rPr>
            </w:pPr>
            <w:r>
              <w:rPr>
                <w:rFonts w:ascii="宋体" w:hAnsi="宋体" w:cs="宋体" w:eastAsia="宋体" w:hint="default"/>
                <w:sz w:val="18"/>
                <w:szCs w:val="18"/>
              </w:rPr>
              <w:t>与资产相</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关</w:t>
            </w:r>
          </w:p>
        </w:tc>
      </w:tr>
      <w:tr>
        <w:trPr>
          <w:trHeight w:val="985" w:hRule="exact"/>
        </w:trPr>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4"/>
              <w:ind w:left="105" w:right="171"/>
              <w:jc w:val="both"/>
              <w:rPr>
                <w:rFonts w:ascii="宋体" w:hAnsi="宋体" w:cs="宋体" w:eastAsia="宋体" w:hint="default"/>
                <w:sz w:val="18"/>
                <w:szCs w:val="18"/>
              </w:rPr>
            </w:pPr>
            <w:r>
              <w:rPr>
                <w:rFonts w:ascii="宋体" w:hAnsi="宋体" w:cs="宋体" w:eastAsia="宋体" w:hint="default"/>
                <w:sz w:val="18"/>
                <w:szCs w:val="18"/>
              </w:rPr>
              <w:t>基于大数</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据的智慧</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银行系统</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4"/>
              <w:ind w:left="95" w:right="0"/>
              <w:jc w:val="center"/>
              <w:rPr>
                <w:rFonts w:ascii="Times New Roman" w:hAnsi="Times New Roman" w:cs="Times New Roman" w:eastAsia="Times New Roman" w:hint="default"/>
                <w:sz w:val="18"/>
                <w:szCs w:val="18"/>
              </w:rPr>
            </w:pPr>
            <w:r>
              <w:rPr>
                <w:rFonts w:ascii="Times New Roman"/>
                <w:sz w:val="18"/>
              </w:rPr>
              <w:t>4,900,000.00</w:t>
            </w:r>
          </w:p>
        </w:tc>
        <w:tc>
          <w:tcPr>
            <w:tcW w:w="1008" w:type="dxa"/>
            <w:tcBorders>
              <w:top w:val="single" w:sz="4" w:space="0" w:color="000000"/>
              <w:left w:val="single" w:sz="4" w:space="0" w:color="000000"/>
              <w:bottom w:val="single" w:sz="4" w:space="0" w:color="000000"/>
              <w:right w:val="single" w:sz="4" w:space="0" w:color="000000"/>
            </w:tcBorders>
          </w:tcPr>
          <w:p>
            <w:pPr/>
          </w:p>
        </w:tc>
        <w:tc>
          <w:tcPr>
            <w:tcW w:w="1013" w:type="dxa"/>
            <w:tcBorders>
              <w:top w:val="single" w:sz="4" w:space="0" w:color="000000"/>
              <w:left w:val="single" w:sz="4" w:space="0" w:color="000000"/>
              <w:bottom w:val="single" w:sz="4" w:space="0" w:color="000000"/>
              <w:right w:val="single" w:sz="4" w:space="0" w:color="000000"/>
            </w:tcBorders>
          </w:tcPr>
          <w:p>
            <w:pPr/>
          </w:p>
        </w:tc>
        <w:tc>
          <w:tcPr>
            <w:tcW w:w="1008" w:type="dxa"/>
            <w:tcBorders>
              <w:top w:val="single" w:sz="4" w:space="0" w:color="000000"/>
              <w:left w:val="single" w:sz="4" w:space="0" w:color="000000"/>
              <w:bottom w:val="single" w:sz="4" w:space="0" w:color="000000"/>
              <w:right w:val="single" w:sz="4" w:space="0" w:color="000000"/>
            </w:tcBorders>
          </w:tcPr>
          <w:p>
            <w:pPr/>
          </w:p>
        </w:tc>
        <w:tc>
          <w:tcPr>
            <w:tcW w:w="1013" w:type="dxa"/>
            <w:tcBorders>
              <w:top w:val="single" w:sz="4" w:space="0" w:color="000000"/>
              <w:left w:val="single" w:sz="4" w:space="0" w:color="000000"/>
              <w:bottom w:val="single" w:sz="4" w:space="0" w:color="000000"/>
              <w:right w:val="single" w:sz="4" w:space="0" w:color="000000"/>
            </w:tcBorders>
          </w:tcPr>
          <w:p>
            <w:pPr/>
          </w:p>
        </w:tc>
        <w:tc>
          <w:tcPr>
            <w:tcW w:w="1009"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4"/>
              <w:ind w:right="94"/>
              <w:jc w:val="right"/>
              <w:rPr>
                <w:rFonts w:ascii="Times New Roman" w:hAnsi="Times New Roman" w:cs="Times New Roman" w:eastAsia="Times New Roman" w:hint="default"/>
                <w:sz w:val="18"/>
                <w:szCs w:val="18"/>
              </w:rPr>
            </w:pPr>
            <w:r>
              <w:rPr>
                <w:rFonts w:ascii="Times New Roman"/>
                <w:spacing w:val="-1"/>
                <w:sz w:val="18"/>
              </w:rPr>
              <w:t>4,900,000.00</w:t>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321" w:lineRule="auto"/>
              <w:ind w:left="105" w:right="170"/>
              <w:jc w:val="left"/>
              <w:rPr>
                <w:rFonts w:ascii="宋体" w:hAnsi="宋体" w:cs="宋体" w:eastAsia="宋体" w:hint="default"/>
                <w:sz w:val="18"/>
                <w:szCs w:val="18"/>
              </w:rPr>
            </w:pPr>
            <w:r>
              <w:rPr>
                <w:rFonts w:ascii="宋体" w:hAnsi="宋体" w:cs="宋体" w:eastAsia="宋体" w:hint="default"/>
                <w:sz w:val="18"/>
                <w:szCs w:val="18"/>
              </w:rPr>
              <w:t>与资产相</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关</w:t>
            </w:r>
          </w:p>
        </w:tc>
      </w:tr>
    </w:tbl>
    <w:p>
      <w:pPr>
        <w:spacing w:after="0" w:line="321" w:lineRule="auto"/>
        <w:jc w:val="left"/>
        <w:rPr>
          <w:rFonts w:ascii="宋体" w:hAnsi="宋体" w:cs="宋体" w:eastAsia="宋体" w:hint="default"/>
          <w:sz w:val="18"/>
          <w:szCs w:val="18"/>
        </w:rPr>
        <w:sectPr>
          <w:type w:val="continuous"/>
          <w:pgSz w:w="11910" w:h="16840"/>
          <w:pgMar w:top="1100" w:bottom="1220" w:left="980" w:right="0"/>
        </w:sectPr>
      </w:pPr>
    </w:p>
    <w:p>
      <w:pPr>
        <w:spacing w:line="240" w:lineRule="auto" w:before="7"/>
        <w:rPr>
          <w:rFonts w:ascii="宋体" w:hAnsi="宋体" w:cs="宋体" w:eastAsia="宋体" w:hint="default"/>
          <w:sz w:val="25"/>
          <w:szCs w:val="25"/>
        </w:rPr>
      </w:pPr>
    </w:p>
    <w:tbl>
      <w:tblPr>
        <w:tblW w:w="0" w:type="auto"/>
        <w:jc w:val="left"/>
        <w:tblInd w:w="148" w:type="dxa"/>
        <w:tblLayout w:type="fixed"/>
        <w:tblCellMar>
          <w:top w:w="0" w:type="dxa"/>
          <w:left w:w="0" w:type="dxa"/>
          <w:bottom w:w="0" w:type="dxa"/>
          <w:right w:w="0" w:type="dxa"/>
        </w:tblCellMar>
        <w:tblLook w:val="01E0"/>
      </w:tblPr>
      <w:tblGrid>
        <w:gridCol w:w="1013"/>
        <w:gridCol w:w="1248"/>
        <w:gridCol w:w="1008"/>
        <w:gridCol w:w="1013"/>
        <w:gridCol w:w="1008"/>
        <w:gridCol w:w="1013"/>
        <w:gridCol w:w="1009"/>
        <w:gridCol w:w="1248"/>
        <w:gridCol w:w="1013"/>
      </w:tblGrid>
      <w:tr>
        <w:trPr>
          <w:trHeight w:val="984" w:hRule="exact"/>
        </w:trPr>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5" w:right="171"/>
              <w:jc w:val="left"/>
              <w:rPr>
                <w:rFonts w:ascii="宋体" w:hAnsi="宋体" w:cs="宋体" w:eastAsia="宋体" w:hint="default"/>
                <w:sz w:val="18"/>
                <w:szCs w:val="18"/>
              </w:rPr>
            </w:pPr>
            <w:r>
              <w:rPr>
                <w:rFonts w:ascii="宋体" w:hAnsi="宋体" w:cs="宋体" w:eastAsia="宋体" w:hint="default"/>
                <w:sz w:val="18"/>
                <w:szCs w:val="18"/>
              </w:rPr>
              <w:t>研发及产</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业化项目</w:t>
            </w:r>
          </w:p>
          <w:p>
            <w:pPr>
              <w:pStyle w:val="TableParagraph"/>
              <w:spacing w:line="240" w:lineRule="auto" w:before="23"/>
              <w:ind w:left="105" w:right="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w:t>
            </w:r>
          </w:p>
        </w:tc>
        <w:tc>
          <w:tcPr>
            <w:tcW w:w="1248" w:type="dxa"/>
            <w:tcBorders>
              <w:top w:val="single" w:sz="4" w:space="0" w:color="000000"/>
              <w:left w:val="single" w:sz="4" w:space="0" w:color="000000"/>
              <w:bottom w:val="single" w:sz="4" w:space="0" w:color="000000"/>
              <w:right w:val="single" w:sz="4" w:space="0" w:color="000000"/>
            </w:tcBorders>
          </w:tcPr>
          <w:p>
            <w:pPr/>
          </w:p>
        </w:tc>
        <w:tc>
          <w:tcPr>
            <w:tcW w:w="1008" w:type="dxa"/>
            <w:tcBorders>
              <w:top w:val="single" w:sz="4" w:space="0" w:color="000000"/>
              <w:left w:val="single" w:sz="4" w:space="0" w:color="000000"/>
              <w:bottom w:val="single" w:sz="4" w:space="0" w:color="000000"/>
              <w:right w:val="single" w:sz="4" w:space="0" w:color="000000"/>
            </w:tcBorders>
          </w:tcPr>
          <w:p>
            <w:pPr/>
          </w:p>
        </w:tc>
        <w:tc>
          <w:tcPr>
            <w:tcW w:w="1013" w:type="dxa"/>
            <w:tcBorders>
              <w:top w:val="single" w:sz="4" w:space="0" w:color="000000"/>
              <w:left w:val="single" w:sz="4" w:space="0" w:color="000000"/>
              <w:bottom w:val="single" w:sz="4" w:space="0" w:color="000000"/>
              <w:right w:val="single" w:sz="4" w:space="0" w:color="000000"/>
            </w:tcBorders>
          </w:tcPr>
          <w:p>
            <w:pPr/>
          </w:p>
        </w:tc>
        <w:tc>
          <w:tcPr>
            <w:tcW w:w="1008" w:type="dxa"/>
            <w:tcBorders>
              <w:top w:val="single" w:sz="4" w:space="0" w:color="000000"/>
              <w:left w:val="single" w:sz="4" w:space="0" w:color="000000"/>
              <w:bottom w:val="single" w:sz="4" w:space="0" w:color="000000"/>
              <w:right w:val="single" w:sz="4" w:space="0" w:color="000000"/>
            </w:tcBorders>
          </w:tcPr>
          <w:p>
            <w:pPr/>
          </w:p>
        </w:tc>
        <w:tc>
          <w:tcPr>
            <w:tcW w:w="1013" w:type="dxa"/>
            <w:tcBorders>
              <w:top w:val="single" w:sz="4" w:space="0" w:color="000000"/>
              <w:left w:val="single" w:sz="4" w:space="0" w:color="000000"/>
              <w:bottom w:val="single" w:sz="4" w:space="0" w:color="000000"/>
              <w:right w:val="single" w:sz="4" w:space="0" w:color="000000"/>
            </w:tcBorders>
          </w:tcPr>
          <w:p>
            <w:pPr/>
          </w:p>
        </w:tc>
        <w:tc>
          <w:tcPr>
            <w:tcW w:w="1009"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013"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91" w:right="0"/>
              <w:jc w:val="left"/>
              <w:rPr>
                <w:rFonts w:ascii="Times New Roman" w:hAnsi="Times New Roman" w:cs="Times New Roman" w:eastAsia="Times New Roman" w:hint="default"/>
                <w:sz w:val="18"/>
                <w:szCs w:val="18"/>
              </w:rPr>
            </w:pPr>
            <w:r>
              <w:rPr>
                <w:rFonts w:ascii="Times New Roman"/>
                <w:sz w:val="18"/>
              </w:rPr>
              <w:t>7,273,589.76</w:t>
            </w:r>
          </w:p>
        </w:tc>
        <w:tc>
          <w:tcPr>
            <w:tcW w:w="1008" w:type="dxa"/>
            <w:tcBorders>
              <w:top w:val="single" w:sz="4" w:space="0" w:color="000000"/>
              <w:left w:val="single" w:sz="4" w:space="0" w:color="000000"/>
              <w:bottom w:val="single" w:sz="4" w:space="0" w:color="000000"/>
              <w:right w:val="single" w:sz="4" w:space="0" w:color="000000"/>
            </w:tcBorders>
          </w:tcPr>
          <w:p>
            <w:pPr/>
          </w:p>
        </w:tc>
        <w:tc>
          <w:tcPr>
            <w:tcW w:w="1013" w:type="dxa"/>
            <w:tcBorders>
              <w:top w:val="single" w:sz="4" w:space="0" w:color="000000"/>
              <w:left w:val="single" w:sz="4" w:space="0" w:color="000000"/>
              <w:bottom w:val="single" w:sz="4" w:space="0" w:color="000000"/>
              <w:right w:val="single" w:sz="4" w:space="0" w:color="000000"/>
            </w:tcBorders>
          </w:tcPr>
          <w:p>
            <w:pP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6"/>
              <w:jc w:val="right"/>
              <w:rPr>
                <w:rFonts w:ascii="Times New Roman" w:hAnsi="Times New Roman" w:cs="Times New Roman" w:eastAsia="Times New Roman" w:hint="default"/>
                <w:sz w:val="18"/>
                <w:szCs w:val="18"/>
              </w:rPr>
            </w:pPr>
            <w:r>
              <w:rPr>
                <w:rFonts w:ascii="Times New Roman"/>
                <w:spacing w:val="-2"/>
                <w:sz w:val="18"/>
              </w:rPr>
              <w:t>1,000,000.</w:t>
            </w:r>
          </w:p>
          <w:p>
            <w:pPr>
              <w:pStyle w:val="TableParagraph"/>
              <w:spacing w:line="240" w:lineRule="auto" w:before="110"/>
              <w:ind w:right="95"/>
              <w:jc w:val="right"/>
              <w:rPr>
                <w:rFonts w:ascii="Times New Roman" w:hAnsi="Times New Roman" w:cs="Times New Roman" w:eastAsia="Times New Roman" w:hint="default"/>
                <w:sz w:val="18"/>
                <w:szCs w:val="18"/>
              </w:rPr>
            </w:pPr>
            <w:r>
              <w:rPr>
                <w:rFonts w:ascii="Times New Roman"/>
                <w:sz w:val="18"/>
              </w:rPr>
              <w:t>00</w:t>
            </w:r>
          </w:p>
        </w:tc>
        <w:tc>
          <w:tcPr>
            <w:tcW w:w="1013" w:type="dxa"/>
            <w:tcBorders>
              <w:top w:val="single" w:sz="4" w:space="0" w:color="000000"/>
              <w:left w:val="single" w:sz="4" w:space="0" w:color="000000"/>
              <w:bottom w:val="single" w:sz="4" w:space="0" w:color="000000"/>
              <w:right w:val="single" w:sz="4" w:space="0" w:color="000000"/>
            </w:tcBorders>
          </w:tcPr>
          <w:p>
            <w:pPr/>
          </w:p>
        </w:tc>
        <w:tc>
          <w:tcPr>
            <w:tcW w:w="1009"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92" w:right="0"/>
              <w:jc w:val="left"/>
              <w:rPr>
                <w:rFonts w:ascii="Times New Roman" w:hAnsi="Times New Roman" w:cs="Times New Roman" w:eastAsia="Times New Roman" w:hint="default"/>
                <w:sz w:val="18"/>
                <w:szCs w:val="18"/>
              </w:rPr>
            </w:pPr>
            <w:r>
              <w:rPr>
                <w:rFonts w:ascii="Times New Roman"/>
                <w:sz w:val="18"/>
              </w:rPr>
              <w:t>6,273,589.76</w:t>
            </w:r>
          </w:p>
        </w:tc>
        <w:tc>
          <w:tcPr>
            <w:tcW w:w="1013"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3"/>
        <w:ind w:right="0"/>
        <w:jc w:val="left"/>
      </w:pPr>
      <w:r>
        <w:rPr/>
        <w:t>其他说明：</w:t>
      </w:r>
    </w:p>
    <w:p>
      <w:pPr>
        <w:pStyle w:val="BodyText"/>
        <w:spacing w:line="312" w:lineRule="auto" w:before="115"/>
        <w:ind w:right="1122" w:firstLine="480"/>
        <w:jc w:val="both"/>
      </w:pPr>
      <w:r>
        <w:rPr>
          <w:spacing w:val="-3"/>
        </w:rPr>
        <w:t>注</w:t>
      </w:r>
      <w:r>
        <w:rPr>
          <w:rFonts w:ascii="宋体" w:hAnsi="宋体" w:cs="宋体" w:eastAsia="宋体" w:hint="default"/>
          <w:spacing w:val="-3"/>
        </w:rPr>
        <w:t>1</w:t>
      </w:r>
      <w:r>
        <w:rPr>
          <w:spacing w:val="-3"/>
        </w:rPr>
        <w:t>、根据深圳市发展和改革委员会深发改</w:t>
      </w:r>
      <w:r>
        <w:rPr>
          <w:rFonts w:ascii="宋体" w:hAnsi="宋体" w:cs="宋体" w:eastAsia="宋体" w:hint="default"/>
          <w:spacing w:val="-3"/>
        </w:rPr>
        <w:t>[2013]263</w:t>
      </w:r>
      <w:r>
        <w:rPr>
          <w:spacing w:val="-3"/>
        </w:rPr>
        <w:t>号“深圳市发展改革委关于深圳市奥拓电子股份有限公司深圳奥</w:t>
      </w:r>
      <w:r>
        <w:rPr>
          <w:w w:val="101"/>
        </w:rPr>
        <w:t> </w:t>
      </w:r>
      <w:r>
        <w:rPr>
          <w:spacing w:val="-3"/>
        </w:rPr>
        <w:t>拓电子</w:t>
      </w:r>
      <w:r>
        <w:rPr>
          <w:rFonts w:ascii="宋体" w:hAnsi="宋体" w:cs="宋体" w:eastAsia="宋体" w:hint="default"/>
          <w:spacing w:val="-3"/>
        </w:rPr>
        <w:t>LED</w:t>
      </w:r>
      <w:r>
        <w:rPr>
          <w:spacing w:val="-3"/>
        </w:rPr>
        <w:t>裸眼</w:t>
      </w:r>
      <w:r>
        <w:rPr>
          <w:rFonts w:ascii="宋体" w:hAnsi="宋体" w:cs="宋体" w:eastAsia="宋体" w:hint="default"/>
          <w:spacing w:val="-3"/>
        </w:rPr>
        <w:t>3D</w:t>
      </w:r>
      <w:r>
        <w:rPr>
          <w:spacing w:val="-3"/>
        </w:rPr>
        <w:t>显示技术工程实验室项目资金申请报告的批复”，获取的项目资助款</w:t>
      </w:r>
      <w:r>
        <w:rPr>
          <w:rFonts w:ascii="宋体" w:hAnsi="宋体" w:cs="宋体" w:eastAsia="宋体" w:hint="default"/>
          <w:spacing w:val="-3"/>
        </w:rPr>
        <w:t>500</w:t>
      </w:r>
      <w:r>
        <w:rPr>
          <w:spacing w:val="-3"/>
        </w:rPr>
        <w:t>万元。该项目</w:t>
      </w:r>
      <w:r>
        <w:rPr>
          <w:rFonts w:ascii="宋体" w:hAnsi="宋体" w:cs="宋体" w:eastAsia="宋体" w:hint="default"/>
          <w:spacing w:val="-3"/>
        </w:rPr>
        <w:t>2015</w:t>
      </w:r>
      <w:r>
        <w:rPr>
          <w:spacing w:val="-3"/>
        </w:rPr>
        <w:t>年</w:t>
      </w:r>
      <w:r>
        <w:rPr>
          <w:rFonts w:ascii="宋体" w:hAnsi="宋体" w:cs="宋体" w:eastAsia="宋体" w:hint="default"/>
          <w:spacing w:val="-3"/>
        </w:rPr>
        <w:t>9</w:t>
      </w:r>
      <w:r>
        <w:rPr>
          <w:spacing w:val="-3"/>
        </w:rPr>
        <w:t>月</w:t>
      </w:r>
      <w:r>
        <w:rPr>
          <w:rFonts w:ascii="宋体" w:hAnsi="宋体" w:cs="宋体" w:eastAsia="宋体" w:hint="default"/>
          <w:spacing w:val="-3"/>
        </w:rPr>
        <w:t>29</w:t>
      </w:r>
      <w:r>
        <w:rPr>
          <w:spacing w:val="-3"/>
        </w:rPr>
        <w:t>日已验</w:t>
      </w:r>
      <w:r>
        <w:rPr>
          <w:spacing w:val="8"/>
        </w:rPr>
        <w:t> </w:t>
      </w:r>
      <w:r>
        <w:rPr>
          <w:spacing w:val="8"/>
        </w:rPr>
      </w:r>
      <w:r>
        <w:rPr/>
        <w:t>收，截至</w:t>
      </w:r>
      <w:r>
        <w:rPr>
          <w:rFonts w:ascii="宋体" w:hAnsi="宋体" w:cs="宋体" w:eastAsia="宋体" w:hint="default"/>
          <w:i/>
          <w:sz w:val="19"/>
          <w:szCs w:val="19"/>
        </w:rPr>
        <w:t>2</w:t>
      </w:r>
      <w:r>
        <w:rPr>
          <w:rFonts w:ascii="宋体" w:hAnsi="宋体" w:cs="宋体" w:eastAsia="宋体" w:hint="default"/>
        </w:rPr>
        <w:t>019</w:t>
      </w:r>
      <w:r>
        <w:rPr/>
        <w:t>年</w:t>
      </w:r>
      <w:r>
        <w:rPr>
          <w:rFonts w:ascii="宋体" w:hAnsi="宋体" w:cs="宋体" w:eastAsia="宋体" w:hint="default"/>
        </w:rPr>
        <w:t>12</w:t>
      </w:r>
      <w:r>
        <w:rPr/>
        <w:t>月</w:t>
      </w:r>
      <w:r>
        <w:rPr>
          <w:rFonts w:ascii="宋体" w:hAnsi="宋体" w:cs="宋体" w:eastAsia="宋体" w:hint="default"/>
        </w:rPr>
        <w:t>31</w:t>
      </w:r>
      <w:r>
        <w:rPr/>
        <w:t>日，递延收益余额为</w:t>
      </w:r>
      <w:r>
        <w:rPr>
          <w:rFonts w:ascii="宋体" w:hAnsi="宋体" w:cs="宋体" w:eastAsia="宋体" w:hint="default"/>
        </w:rPr>
        <w:t>133,589.76</w:t>
      </w:r>
      <w:r>
        <w:rPr/>
        <w:t>元。</w:t>
      </w:r>
    </w:p>
    <w:p>
      <w:pPr>
        <w:pStyle w:val="BodyText"/>
        <w:spacing w:line="312" w:lineRule="auto" w:before="18"/>
        <w:ind w:right="1122" w:firstLine="480"/>
        <w:jc w:val="both"/>
      </w:pPr>
      <w:r>
        <w:rPr>
          <w:spacing w:val="-3"/>
        </w:rPr>
        <w:t>注</w:t>
      </w:r>
      <w:r>
        <w:rPr>
          <w:rFonts w:ascii="宋体" w:hAnsi="宋体" w:cs="宋体" w:eastAsia="宋体" w:hint="default"/>
          <w:spacing w:val="-3"/>
        </w:rPr>
        <w:t>2</w:t>
      </w:r>
      <w:r>
        <w:rPr>
          <w:spacing w:val="-3"/>
        </w:rPr>
        <w:t>、</w:t>
      </w:r>
      <w:r>
        <w:rPr>
          <w:rFonts w:ascii="宋体" w:hAnsi="宋体" w:cs="宋体" w:eastAsia="宋体" w:hint="default"/>
          <w:spacing w:val="-3"/>
        </w:rPr>
        <w:t>2018</w:t>
      </w:r>
      <w:r>
        <w:rPr>
          <w:spacing w:val="-3"/>
        </w:rPr>
        <w:t>年</w:t>
      </w:r>
      <w:r>
        <w:rPr>
          <w:rFonts w:ascii="宋体" w:hAnsi="宋体" w:cs="宋体" w:eastAsia="宋体" w:hint="default"/>
          <w:spacing w:val="-3"/>
        </w:rPr>
        <w:t>3</w:t>
      </w:r>
      <w:r>
        <w:rPr>
          <w:spacing w:val="-3"/>
        </w:rPr>
        <w:t>月根据深圳市财政委员会、中国深圳市委宣传部等部门通知（深财科【</w:t>
      </w:r>
      <w:r>
        <w:rPr>
          <w:rFonts w:ascii="宋体" w:hAnsi="宋体" w:cs="宋体" w:eastAsia="宋体" w:hint="default"/>
          <w:spacing w:val="-3"/>
        </w:rPr>
        <w:t>2018</w:t>
      </w:r>
      <w:r>
        <w:rPr>
          <w:spacing w:val="-3"/>
        </w:rPr>
        <w:t>】</w:t>
      </w:r>
      <w:r>
        <w:rPr>
          <w:rFonts w:ascii="宋体" w:hAnsi="宋体" w:cs="宋体" w:eastAsia="宋体" w:hint="default"/>
          <w:spacing w:val="-3"/>
        </w:rPr>
        <w:t>17</w:t>
      </w:r>
      <w:r>
        <w:rPr>
          <w:spacing w:val="-3"/>
        </w:rPr>
        <w:t>号），为扶持深圳市奥</w:t>
      </w:r>
      <w:r>
        <w:rPr>
          <w:w w:val="101"/>
        </w:rPr>
        <w:t> </w:t>
      </w:r>
      <w:r>
        <w:rPr>
          <w:spacing w:val="-3"/>
        </w:rPr>
        <w:t>拓电子股份有限公司大众体育场馆</w:t>
      </w:r>
      <w:r>
        <w:rPr>
          <w:rFonts w:ascii="宋体" w:hAnsi="宋体" w:cs="宋体" w:eastAsia="宋体" w:hint="default"/>
          <w:spacing w:val="-3"/>
        </w:rPr>
        <w:t>O2O</w:t>
      </w:r>
      <w:r>
        <w:rPr>
          <w:spacing w:val="-3"/>
        </w:rPr>
        <w:t>智能服务系统研发及产业化项目，收到深圳市文体旅游局原创项目研发和非遗产业化</w:t>
      </w:r>
      <w:r>
        <w:rPr>
          <w:spacing w:val="77"/>
        </w:rPr>
        <w:t> </w:t>
      </w:r>
      <w:r>
        <w:rPr>
          <w:spacing w:val="77"/>
        </w:rPr>
      </w:r>
      <w:r>
        <w:rPr/>
        <w:t>资助资金</w:t>
      </w:r>
      <w:r>
        <w:rPr>
          <w:rFonts w:ascii="宋体" w:hAnsi="宋体" w:cs="宋体" w:eastAsia="宋体" w:hint="default"/>
        </w:rPr>
        <w:t>1,240,000.00</w:t>
      </w:r>
      <w:r>
        <w:rPr/>
        <w:t>元，截至</w:t>
      </w:r>
      <w:r>
        <w:rPr>
          <w:rFonts w:ascii="宋体" w:hAnsi="宋体" w:cs="宋体" w:eastAsia="宋体" w:hint="default"/>
          <w:i/>
          <w:sz w:val="19"/>
          <w:szCs w:val="19"/>
        </w:rPr>
        <w:t>2</w:t>
      </w:r>
      <w:r>
        <w:rPr>
          <w:rFonts w:ascii="宋体" w:hAnsi="宋体" w:cs="宋体" w:eastAsia="宋体" w:hint="default"/>
        </w:rPr>
        <w:t>019</w:t>
      </w:r>
      <w:r>
        <w:rPr/>
        <w:t>年</w:t>
      </w:r>
      <w:r>
        <w:rPr>
          <w:rFonts w:ascii="宋体" w:hAnsi="宋体" w:cs="宋体" w:eastAsia="宋体" w:hint="default"/>
        </w:rPr>
        <w:t>12</w:t>
      </w:r>
      <w:r>
        <w:rPr/>
        <w:t>月</w:t>
      </w:r>
      <w:r>
        <w:rPr>
          <w:rFonts w:ascii="宋体" w:hAnsi="宋体" w:cs="宋体" w:eastAsia="宋体" w:hint="default"/>
        </w:rPr>
        <w:t>31</w:t>
      </w:r>
      <w:r>
        <w:rPr/>
        <w:t>日，暂未验收。</w:t>
      </w:r>
    </w:p>
    <w:p>
      <w:pPr>
        <w:pStyle w:val="BodyText"/>
        <w:spacing w:line="319" w:lineRule="auto" w:before="18"/>
        <w:ind w:right="1123" w:firstLine="480"/>
        <w:jc w:val="both"/>
      </w:pPr>
      <w:r>
        <w:rPr>
          <w:spacing w:val="-1"/>
        </w:rPr>
        <w:t>注</w:t>
      </w:r>
      <w:r>
        <w:rPr>
          <w:rFonts w:ascii="宋体" w:hAnsi="宋体" w:cs="宋体" w:eastAsia="宋体" w:hint="default"/>
          <w:spacing w:val="-1"/>
        </w:rPr>
        <w:t>3</w:t>
      </w:r>
      <w:r>
        <w:rPr>
          <w:spacing w:val="-1"/>
        </w:rPr>
        <w:t>、根据南京市财政局宁财企【</w:t>
      </w:r>
      <w:r>
        <w:rPr>
          <w:rFonts w:ascii="宋体" w:hAnsi="宋体" w:cs="宋体" w:eastAsia="宋体" w:hint="default"/>
          <w:spacing w:val="-1"/>
        </w:rPr>
        <w:t>2018</w:t>
      </w:r>
      <w:r>
        <w:rPr>
          <w:spacing w:val="-1"/>
        </w:rPr>
        <w:t>】</w:t>
      </w:r>
      <w:r>
        <w:rPr>
          <w:rFonts w:ascii="宋体" w:hAnsi="宋体" w:cs="宋体" w:eastAsia="宋体" w:hint="default"/>
          <w:spacing w:val="-1"/>
        </w:rPr>
        <w:t>45</w:t>
      </w:r>
      <w:r>
        <w:rPr>
          <w:spacing w:val="-1"/>
        </w:rPr>
        <w:t>号“南京奥拓电子科技有限公司基于大数据的智慧银行系统研发及产业化</w:t>
      </w:r>
      <w:r>
        <w:rPr>
          <w:w w:val="101"/>
        </w:rPr>
        <w:t> </w:t>
      </w:r>
      <w:r>
        <w:rPr>
          <w:spacing w:val="-3"/>
        </w:rPr>
        <w:t>项目”</w:t>
      </w:r>
      <w:r>
        <w:rPr>
          <w:rFonts w:ascii="宋体" w:hAnsi="宋体" w:cs="宋体" w:eastAsia="宋体" w:hint="default"/>
          <w:spacing w:val="-3"/>
        </w:rPr>
        <w:t>,</w:t>
      </w:r>
      <w:r>
        <w:rPr>
          <w:spacing w:val="-3"/>
        </w:rPr>
        <w:t>获取的项目资助款</w:t>
      </w:r>
      <w:r>
        <w:rPr>
          <w:rFonts w:ascii="宋体" w:hAnsi="宋体" w:cs="宋体" w:eastAsia="宋体" w:hint="default"/>
          <w:spacing w:val="-3"/>
        </w:rPr>
        <w:t>700</w:t>
      </w:r>
      <w:r>
        <w:rPr>
          <w:spacing w:val="-3"/>
        </w:rPr>
        <w:t>万元，该资助金</w:t>
      </w:r>
      <w:r>
        <w:rPr>
          <w:rFonts w:ascii="宋体" w:hAnsi="宋体" w:cs="宋体" w:eastAsia="宋体" w:hint="default"/>
          <w:spacing w:val="-3"/>
        </w:rPr>
        <w:t>70%</w:t>
      </w:r>
      <w:r>
        <w:rPr>
          <w:spacing w:val="-3"/>
        </w:rPr>
        <w:t>已预拨给本公司，截至</w:t>
      </w:r>
      <w:r>
        <w:rPr>
          <w:rFonts w:ascii="宋体" w:hAnsi="宋体" w:cs="宋体" w:eastAsia="宋体" w:hint="default"/>
          <w:spacing w:val="-3"/>
        </w:rPr>
        <w:t>2019</w:t>
      </w:r>
      <w:r>
        <w:rPr>
          <w:spacing w:val="-3"/>
        </w:rPr>
        <w:t>年</w:t>
      </w:r>
      <w:r>
        <w:rPr>
          <w:rFonts w:ascii="宋体" w:hAnsi="宋体" w:cs="宋体" w:eastAsia="宋体" w:hint="default"/>
          <w:spacing w:val="-3"/>
        </w:rPr>
        <w:t>12</w:t>
      </w:r>
      <w:r>
        <w:rPr>
          <w:spacing w:val="-3"/>
        </w:rPr>
        <w:t>月</w:t>
      </w:r>
      <w:r>
        <w:rPr>
          <w:rFonts w:ascii="宋体" w:hAnsi="宋体" w:cs="宋体" w:eastAsia="宋体" w:hint="default"/>
          <w:spacing w:val="-3"/>
        </w:rPr>
        <w:t>31</w:t>
      </w:r>
      <w:r>
        <w:rPr>
          <w:spacing w:val="-3"/>
        </w:rPr>
        <w:t>日，暂未验收。</w:t>
      </w:r>
    </w:p>
    <w:p>
      <w:pPr>
        <w:spacing w:line="240" w:lineRule="auto" w:before="6"/>
        <w:rPr>
          <w:rFonts w:ascii="宋体" w:hAnsi="宋体" w:cs="宋体" w:eastAsia="宋体" w:hint="default"/>
          <w:sz w:val="22"/>
          <w:szCs w:val="22"/>
        </w:rPr>
      </w:pPr>
    </w:p>
    <w:p>
      <w:pPr>
        <w:pStyle w:val="Heading4"/>
        <w:spacing w:line="240" w:lineRule="auto"/>
        <w:ind w:right="0"/>
        <w:jc w:val="left"/>
        <w:rPr>
          <w:b w:val="0"/>
          <w:bCs w:val="0"/>
        </w:rPr>
      </w:pPr>
      <w:bookmarkStart w:name="52、其他非流动负债" w:id="376"/>
      <w:bookmarkEnd w:id="376"/>
      <w:r>
        <w:rPr>
          <w:b w:val="0"/>
          <w:bCs w:val="0"/>
        </w:rPr>
      </w:r>
      <w:r>
        <w:rPr>
          <w:rFonts w:ascii="Times New Roman" w:hAnsi="Times New Roman" w:cs="Times New Roman" w:eastAsia="Times New Roman" w:hint="default"/>
        </w:rPr>
        <w:t>52</w:t>
      </w:r>
      <w:r>
        <w:rPr/>
        <w:t>、其他非流动负债</w:t>
      </w:r>
      <w:r>
        <w:rPr>
          <w:b w:val="0"/>
          <w:bCs w:val="0"/>
        </w:rPr>
      </w:r>
    </w:p>
    <w:p>
      <w:pPr>
        <w:spacing w:line="240" w:lineRule="auto" w:before="2"/>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784" w:footer="1022" w:top="1100" w:bottom="1220" w:left="980" w:right="0"/>
        </w:sectPr>
      </w:pPr>
    </w:p>
    <w:p>
      <w:pPr>
        <w:pStyle w:val="BodyText"/>
        <w:spacing w:line="240" w:lineRule="auto"/>
        <w:ind w:right="0"/>
        <w:jc w:val="left"/>
      </w:pPr>
      <w:r>
        <w:rPr>
          <w:spacing w:val="-2"/>
        </w:rPr>
        <w:t>是否已执行新收入准则</w:t>
      </w:r>
    </w:p>
    <w:p>
      <w:pPr>
        <w:pStyle w:val="BodyText"/>
        <w:spacing w:line="240" w:lineRule="auto" w:before="119"/>
        <w:ind w:right="0"/>
        <w:jc w:val="left"/>
      </w:pPr>
      <w:r>
        <w:rPr/>
        <w:t>□ 是 √</w:t>
      </w:r>
      <w:r>
        <w:rPr>
          <w:spacing w:val="2"/>
        </w:rPr>
        <w:t> </w:t>
      </w:r>
      <w:r>
        <w:rPr/>
        <w:t>否</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21"/>
          <w:szCs w:val="21"/>
        </w:rPr>
      </w:pPr>
    </w:p>
    <w:p>
      <w:pPr>
        <w:pStyle w:val="BodyText"/>
        <w:spacing w:line="240" w:lineRule="auto" w:before="0"/>
        <w:ind w:right="0"/>
        <w:jc w:val="left"/>
      </w:pPr>
      <w:r>
        <w:rPr/>
        <w:t>单位：</w:t>
      </w:r>
      <w:r>
        <w:rPr>
          <w:spacing w:val="5"/>
        </w:rPr>
        <w:t> </w:t>
      </w:r>
      <w:r>
        <w:rPr/>
        <w:t>元</w:t>
      </w:r>
    </w:p>
    <w:p>
      <w:pPr>
        <w:spacing w:after="0" w:line="240" w:lineRule="auto"/>
        <w:jc w:val="left"/>
        <w:sectPr>
          <w:type w:val="continuous"/>
          <w:pgSz w:w="11910" w:h="16840"/>
          <w:pgMar w:top="1100" w:bottom="1220" w:left="980" w:right="0"/>
          <w:cols w:num="2" w:equalWidth="0">
            <w:col w:w="1959" w:space="6872"/>
            <w:col w:w="2099"/>
          </w:cols>
        </w:sectPr>
      </w:pP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357" w:lineRule="auto" w:before="53"/>
        <w:ind w:right="9861"/>
        <w:jc w:val="left"/>
      </w:pPr>
      <w:r>
        <w:rPr>
          <w:spacing w:val="-2"/>
        </w:rPr>
        <w:t>其他说明：</w:t>
      </w:r>
      <w:r>
        <w:rPr>
          <w:spacing w:val="-78"/>
        </w:rPr>
        <w:t> </w:t>
      </w:r>
      <w:r>
        <w:rPr>
          <w:spacing w:val="-78"/>
        </w:rPr>
      </w:r>
      <w:r>
        <w:rPr/>
        <w:t>无。</w:t>
      </w:r>
    </w:p>
    <w:p>
      <w:pPr>
        <w:spacing w:line="240" w:lineRule="auto" w:before="4"/>
        <w:rPr>
          <w:rFonts w:ascii="宋体" w:hAnsi="宋体" w:cs="宋体" w:eastAsia="宋体" w:hint="default"/>
          <w:sz w:val="20"/>
          <w:szCs w:val="20"/>
        </w:rPr>
      </w:pPr>
    </w:p>
    <w:p>
      <w:pPr>
        <w:pStyle w:val="Heading4"/>
        <w:spacing w:line="240" w:lineRule="auto"/>
        <w:ind w:right="0"/>
        <w:jc w:val="left"/>
        <w:rPr>
          <w:b w:val="0"/>
          <w:bCs w:val="0"/>
        </w:rPr>
      </w:pPr>
      <w:bookmarkStart w:name="53、股本" w:id="377"/>
      <w:bookmarkEnd w:id="377"/>
      <w:r>
        <w:rPr>
          <w:b w:val="0"/>
          <w:bCs w:val="0"/>
        </w:rPr>
      </w:r>
      <w:r>
        <w:rPr>
          <w:rFonts w:ascii="Times New Roman" w:hAnsi="Times New Roman" w:cs="Times New Roman" w:eastAsia="Times New Roman" w:hint="default"/>
        </w:rPr>
        <w:t>53</w:t>
      </w:r>
      <w:r>
        <w:rPr/>
        <w:t>、股本</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spacing w:val="-2"/>
        </w:rPr>
        <w:t>单位：元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196"/>
        <w:gridCol w:w="1196"/>
        <w:gridCol w:w="1201"/>
        <w:gridCol w:w="1196"/>
        <w:gridCol w:w="1196"/>
        <w:gridCol w:w="1196"/>
        <w:gridCol w:w="1196"/>
        <w:gridCol w:w="1195"/>
      </w:tblGrid>
      <w:tr>
        <w:trPr>
          <w:trHeight w:val="403" w:hRule="exact"/>
        </w:trPr>
        <w:tc>
          <w:tcPr>
            <w:tcW w:w="1196" w:type="dxa"/>
            <w:vMerge w:val="restart"/>
            <w:tcBorders>
              <w:top w:val="single" w:sz="4" w:space="0" w:color="000000"/>
              <w:left w:val="single" w:sz="4" w:space="0" w:color="000000"/>
              <w:right w:val="single" w:sz="4" w:space="0" w:color="000000"/>
            </w:tcBorders>
            <w:shd w:val="clear" w:color="auto" w:fill="D2D2D2"/>
          </w:tcPr>
          <w:p>
            <w:pPr/>
          </w:p>
        </w:tc>
        <w:tc>
          <w:tcPr>
            <w:tcW w:w="11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23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5983"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本次变动增减（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1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235"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4" w:hRule="exact"/>
        </w:trPr>
        <w:tc>
          <w:tcPr>
            <w:tcW w:w="1196" w:type="dxa"/>
            <w:vMerge/>
            <w:tcBorders>
              <w:left w:val="single" w:sz="4" w:space="0" w:color="000000"/>
              <w:bottom w:val="single" w:sz="4" w:space="0" w:color="000000"/>
              <w:right w:val="single" w:sz="4" w:space="0" w:color="000000"/>
            </w:tcBorders>
            <w:shd w:val="clear" w:color="auto" w:fill="D2D2D2"/>
          </w:tcPr>
          <w:p>
            <w:pPr/>
          </w:p>
        </w:tc>
        <w:tc>
          <w:tcPr>
            <w:tcW w:w="1196" w:type="dxa"/>
            <w:vMerge/>
            <w:tcBorders>
              <w:left w:val="single" w:sz="4" w:space="0" w:color="000000"/>
              <w:bottom w:val="single" w:sz="4" w:space="0" w:color="000000"/>
              <w:right w:val="single" w:sz="4" w:space="0" w:color="000000"/>
            </w:tcBorders>
            <w:shd w:val="clear" w:color="auto" w:fill="D2D2D2"/>
          </w:tcPr>
          <w:p>
            <w:pPr/>
          </w:p>
        </w:tc>
        <w:tc>
          <w:tcPr>
            <w:tcW w:w="1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z w:val="18"/>
                <w:szCs w:val="18"/>
              </w:rPr>
              <w:t>发行新股</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3"/>
              <w:jc w:val="center"/>
              <w:rPr>
                <w:rFonts w:ascii="宋体" w:hAnsi="宋体" w:cs="宋体" w:eastAsia="宋体" w:hint="default"/>
                <w:sz w:val="18"/>
                <w:szCs w:val="18"/>
              </w:rPr>
            </w:pPr>
            <w:r>
              <w:rPr>
                <w:rFonts w:ascii="宋体" w:hAnsi="宋体" w:cs="宋体" w:eastAsia="宋体" w:hint="default"/>
                <w:sz w:val="18"/>
                <w:szCs w:val="18"/>
              </w:rPr>
              <w:t>送股</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39" w:right="0"/>
              <w:jc w:val="left"/>
              <w:rPr>
                <w:rFonts w:ascii="宋体" w:hAnsi="宋体" w:cs="宋体" w:eastAsia="宋体" w:hint="default"/>
                <w:sz w:val="18"/>
                <w:szCs w:val="18"/>
              </w:rPr>
            </w:pPr>
            <w:r>
              <w:rPr>
                <w:rFonts w:ascii="宋体" w:hAnsi="宋体" w:cs="宋体" w:eastAsia="宋体" w:hint="default"/>
                <w:sz w:val="18"/>
                <w:szCs w:val="18"/>
              </w:rPr>
              <w:t>公积金转股</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z w:val="18"/>
                <w:szCs w:val="18"/>
              </w:rPr>
              <w:t>小计</w:t>
            </w:r>
          </w:p>
        </w:tc>
        <w:tc>
          <w:tcPr>
            <w:tcW w:w="1195" w:type="dxa"/>
            <w:vMerge/>
            <w:tcBorders>
              <w:left w:val="single" w:sz="4" w:space="0" w:color="000000"/>
              <w:bottom w:val="single" w:sz="4" w:space="0" w:color="000000"/>
              <w:right w:val="single" w:sz="4" w:space="0" w:color="000000"/>
            </w:tcBorders>
            <w:shd w:val="clear" w:color="auto" w:fill="D2D2D2"/>
          </w:tcPr>
          <w:p>
            <w:pPr/>
          </w:p>
        </w:tc>
      </w:tr>
      <w:tr>
        <w:trPr>
          <w:trHeight w:val="715" w:hRule="exact"/>
        </w:trPr>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股份总数</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6"/>
              <w:jc w:val="right"/>
              <w:rPr>
                <w:rFonts w:ascii="Times New Roman" w:hAnsi="Times New Roman" w:cs="Times New Roman" w:eastAsia="Times New Roman" w:hint="default"/>
                <w:sz w:val="18"/>
                <w:szCs w:val="18"/>
              </w:rPr>
            </w:pPr>
            <w:r>
              <w:rPr>
                <w:rFonts w:ascii="Times New Roman"/>
                <w:spacing w:val="-1"/>
                <w:sz w:val="18"/>
              </w:rPr>
              <w:t>619,214,834.</w:t>
            </w:r>
          </w:p>
          <w:p>
            <w:pPr>
              <w:pStyle w:val="TableParagraph"/>
              <w:spacing w:line="240" w:lineRule="auto" w:before="105"/>
              <w:ind w:right="95"/>
              <w:jc w:val="right"/>
              <w:rPr>
                <w:rFonts w:ascii="Times New Roman" w:hAnsi="Times New Roman" w:cs="Times New Roman" w:eastAsia="Times New Roman" w:hint="default"/>
                <w:sz w:val="18"/>
                <w:szCs w:val="18"/>
              </w:rPr>
            </w:pPr>
            <w:r>
              <w:rPr>
                <w:rFonts w:ascii="Times New Roman"/>
                <w:sz w:val="18"/>
              </w:rPr>
              <w:t>00</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37" w:right="0"/>
              <w:jc w:val="center"/>
              <w:rPr>
                <w:rFonts w:ascii="Times New Roman" w:hAnsi="Times New Roman" w:cs="Times New Roman" w:eastAsia="Times New Roman" w:hint="default"/>
                <w:sz w:val="18"/>
                <w:szCs w:val="18"/>
              </w:rPr>
            </w:pPr>
            <w:r>
              <w:rPr>
                <w:rFonts w:ascii="Times New Roman"/>
                <w:sz w:val="18"/>
              </w:rPr>
              <w:t>1,000,000.00</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16" w:right="0"/>
              <w:jc w:val="left"/>
              <w:rPr>
                <w:rFonts w:ascii="Times New Roman" w:hAnsi="Times New Roman" w:cs="Times New Roman" w:eastAsia="Times New Roman" w:hint="default"/>
                <w:sz w:val="18"/>
                <w:szCs w:val="18"/>
              </w:rPr>
            </w:pPr>
            <w:r>
              <w:rPr>
                <w:rFonts w:ascii="Times New Roman"/>
                <w:sz w:val="18"/>
              </w:rPr>
              <w:t>-177,750.00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73" w:right="0"/>
              <w:jc w:val="left"/>
              <w:rPr>
                <w:rFonts w:ascii="Times New Roman" w:hAnsi="Times New Roman" w:cs="Times New Roman" w:eastAsia="Times New Roman" w:hint="default"/>
                <w:sz w:val="18"/>
                <w:szCs w:val="18"/>
              </w:rPr>
            </w:pPr>
            <w:r>
              <w:rPr>
                <w:rFonts w:ascii="Times New Roman"/>
                <w:sz w:val="18"/>
              </w:rPr>
              <w:t>822,250.00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6"/>
              <w:jc w:val="right"/>
              <w:rPr>
                <w:rFonts w:ascii="Times New Roman" w:hAnsi="Times New Roman" w:cs="Times New Roman" w:eastAsia="Times New Roman" w:hint="default"/>
                <w:sz w:val="18"/>
                <w:szCs w:val="18"/>
              </w:rPr>
            </w:pPr>
            <w:r>
              <w:rPr>
                <w:rFonts w:ascii="Times New Roman"/>
                <w:spacing w:val="-1"/>
                <w:sz w:val="18"/>
              </w:rPr>
              <w:t>620,037,084.</w:t>
            </w:r>
          </w:p>
          <w:p>
            <w:pPr>
              <w:pStyle w:val="TableParagraph"/>
              <w:spacing w:line="240" w:lineRule="auto" w:before="105"/>
              <w:ind w:right="95"/>
              <w:jc w:val="right"/>
              <w:rPr>
                <w:rFonts w:ascii="Times New Roman" w:hAnsi="Times New Roman" w:cs="Times New Roman" w:eastAsia="Times New Roman" w:hint="default"/>
                <w:sz w:val="18"/>
                <w:szCs w:val="18"/>
              </w:rPr>
            </w:pPr>
            <w:r>
              <w:rPr>
                <w:rFonts w:ascii="Times New Roman"/>
                <w:sz w:val="18"/>
              </w:rPr>
              <w:t>00</w:t>
            </w:r>
          </w:p>
        </w:tc>
      </w:tr>
    </w:tbl>
    <w:p>
      <w:pPr>
        <w:pStyle w:val="BodyText"/>
        <w:spacing w:line="240" w:lineRule="auto" w:before="53"/>
        <w:ind w:right="0"/>
        <w:jc w:val="left"/>
      </w:pPr>
      <w:r>
        <w:rPr/>
        <w:t>其他说明：</w:t>
      </w:r>
    </w:p>
    <w:p>
      <w:pPr>
        <w:pStyle w:val="BodyText"/>
        <w:spacing w:line="319" w:lineRule="auto" w:before="110"/>
        <w:ind w:right="1122" w:firstLine="302"/>
        <w:jc w:val="both"/>
      </w:pPr>
      <w:r>
        <w:rPr>
          <w:spacing w:val="-1"/>
        </w:rPr>
        <w:t>（</w:t>
      </w:r>
      <w:r>
        <w:rPr>
          <w:rFonts w:ascii="宋体" w:hAnsi="宋体" w:cs="宋体" w:eastAsia="宋体" w:hint="default"/>
          <w:spacing w:val="-1"/>
        </w:rPr>
        <w:t>1</w:t>
      </w:r>
      <w:r>
        <w:rPr>
          <w:spacing w:val="-1"/>
        </w:rPr>
        <w:t>）本年股本增加</w:t>
      </w:r>
      <w:r>
        <w:rPr>
          <w:rFonts w:ascii="宋体" w:hAnsi="宋体" w:cs="宋体" w:eastAsia="宋体" w:hint="default"/>
          <w:spacing w:val="-1"/>
        </w:rPr>
        <w:t>1,000,000.00</w:t>
      </w:r>
      <w:r>
        <w:rPr>
          <w:spacing w:val="-1"/>
        </w:rPr>
        <w:t>元，系根据公司</w:t>
      </w:r>
      <w:r>
        <w:rPr>
          <w:rFonts w:ascii="宋体" w:hAnsi="宋体" w:cs="宋体" w:eastAsia="宋体" w:hint="default"/>
          <w:spacing w:val="-1"/>
        </w:rPr>
        <w:t>2018</w:t>
      </w:r>
      <w:r>
        <w:rPr>
          <w:spacing w:val="-1"/>
        </w:rPr>
        <w:t>年第二次临时股东大会审议通过的《深圳市奥拓电子股份有限公</w:t>
      </w:r>
      <w:r>
        <w:rPr>
          <w:w w:val="101"/>
        </w:rPr>
        <w:t> </w:t>
      </w:r>
      <w:r>
        <w:rPr>
          <w:spacing w:val="-5"/>
        </w:rPr>
        <w:t>司</w:t>
      </w:r>
      <w:r>
        <w:rPr>
          <w:rFonts w:ascii="宋体" w:hAnsi="宋体" w:cs="宋体" w:eastAsia="宋体" w:hint="default"/>
          <w:spacing w:val="-5"/>
        </w:rPr>
        <w:t>2018</w:t>
      </w:r>
      <w:r>
        <w:rPr>
          <w:spacing w:val="-5"/>
        </w:rPr>
        <w:t>年限制性股票激励计划》，第四届董事会第六次会议审议通过的《关于向激励对象授予</w:t>
      </w:r>
      <w:r>
        <w:rPr>
          <w:spacing w:val="66"/>
        </w:rPr>
        <w:t> </w:t>
      </w:r>
      <w:r>
        <w:rPr>
          <w:rFonts w:ascii="宋体" w:hAnsi="宋体" w:cs="宋体" w:eastAsia="宋体" w:hint="default"/>
        </w:rPr>
        <w:t>2018</w:t>
      </w:r>
      <w:r>
        <w:rPr>
          <w:rFonts w:ascii="宋体" w:hAnsi="宋体" w:cs="宋体" w:eastAsia="宋体" w:hint="default"/>
          <w:spacing w:val="55"/>
        </w:rPr>
        <w:t> </w:t>
      </w:r>
      <w:r>
        <w:rPr/>
        <w:t>年限制性股票激励计划</w:t>
      </w:r>
      <w:r>
        <w:rPr>
          <w:spacing w:val="-79"/>
        </w:rPr>
        <w:t> </w:t>
      </w:r>
      <w:r>
        <w:rPr>
          <w:spacing w:val="-79"/>
        </w:rPr>
      </w:r>
      <w:r>
        <w:rPr>
          <w:spacing w:val="-4"/>
        </w:rPr>
        <w:t>预留限制性股票的议案》，公司向</w:t>
      </w:r>
      <w:r>
        <w:rPr>
          <w:rFonts w:ascii="宋体" w:hAnsi="宋体" w:cs="宋体" w:eastAsia="宋体" w:hint="default"/>
          <w:spacing w:val="-4"/>
        </w:rPr>
        <w:t>51</w:t>
      </w:r>
      <w:r>
        <w:rPr>
          <w:spacing w:val="-4"/>
        </w:rPr>
        <w:t>名激励对象授予</w:t>
      </w:r>
      <w:r>
        <w:rPr>
          <w:rFonts w:ascii="宋体" w:hAnsi="宋体" w:cs="宋体" w:eastAsia="宋体" w:hint="default"/>
          <w:spacing w:val="-4"/>
        </w:rPr>
        <w:t>1,000,000</w:t>
      </w:r>
      <w:r>
        <w:rPr>
          <w:spacing w:val="-4"/>
        </w:rPr>
        <w:t>股限制性股票，授予价格为</w:t>
      </w:r>
      <w:r>
        <w:rPr>
          <w:rFonts w:ascii="宋体" w:hAnsi="宋体" w:cs="宋体" w:eastAsia="宋体" w:hint="default"/>
          <w:spacing w:val="-4"/>
        </w:rPr>
        <w:t>2.94</w:t>
      </w:r>
      <w:r>
        <w:rPr>
          <w:spacing w:val="-4"/>
        </w:rPr>
        <w:t>元</w:t>
      </w:r>
      <w:r>
        <w:rPr>
          <w:rFonts w:ascii="宋体" w:hAnsi="宋体" w:cs="宋体" w:eastAsia="宋体" w:hint="default"/>
          <w:spacing w:val="-4"/>
        </w:rPr>
        <w:t>/</w:t>
      </w:r>
      <w:r>
        <w:rPr>
          <w:spacing w:val="-4"/>
        </w:rPr>
        <w:t>股。增加注册资本人民币</w:t>
      </w:r>
      <w:r>
        <w:rPr>
          <w:spacing w:val="72"/>
        </w:rPr>
        <w:t> </w:t>
      </w:r>
      <w:r>
        <w:rPr>
          <w:spacing w:val="72"/>
        </w:rPr>
      </w:r>
      <w:r>
        <w:rPr>
          <w:rFonts w:ascii="宋体" w:hAnsi="宋体" w:cs="宋体" w:eastAsia="宋体" w:hint="default"/>
        </w:rPr>
        <w:t>1,000,000</w:t>
      </w:r>
      <w:r>
        <w:rPr/>
        <w:t>元。本次变更业经瑞华验字</w:t>
      </w:r>
      <w:r>
        <w:rPr>
          <w:rFonts w:ascii="宋体" w:hAnsi="宋体" w:cs="宋体" w:eastAsia="宋体" w:hint="default"/>
        </w:rPr>
        <w:t>[2019]48170005</w:t>
      </w:r>
      <w:r>
        <w:rPr/>
        <w:t>号验证。</w:t>
      </w:r>
    </w:p>
    <w:p>
      <w:pPr>
        <w:pStyle w:val="BodyText"/>
        <w:spacing w:line="319" w:lineRule="auto" w:before="17"/>
        <w:ind w:right="1122" w:firstLine="302"/>
        <w:jc w:val="both"/>
      </w:pPr>
      <w:r>
        <w:rPr>
          <w:spacing w:val="-1"/>
        </w:rPr>
        <w:t>（</w:t>
      </w:r>
      <w:r>
        <w:rPr>
          <w:rFonts w:ascii="宋体" w:hAnsi="宋体" w:cs="宋体" w:eastAsia="宋体" w:hint="default"/>
          <w:spacing w:val="-1"/>
        </w:rPr>
        <w:t>2</w:t>
      </w:r>
      <w:r>
        <w:rPr>
          <w:spacing w:val="-1"/>
        </w:rPr>
        <w:t>）本年减少股本</w:t>
      </w:r>
      <w:r>
        <w:rPr>
          <w:rFonts w:ascii="宋体" w:hAnsi="宋体" w:cs="宋体" w:eastAsia="宋体" w:hint="default"/>
          <w:spacing w:val="-1"/>
        </w:rPr>
        <w:t>177,750</w:t>
      </w:r>
      <w:r>
        <w:rPr>
          <w:spacing w:val="-1"/>
        </w:rPr>
        <w:t>元，系根据公司分别于</w:t>
      </w:r>
      <w:r>
        <w:rPr>
          <w:rFonts w:ascii="宋体" w:hAnsi="宋体" w:cs="宋体" w:eastAsia="宋体" w:hint="default"/>
          <w:spacing w:val="-1"/>
        </w:rPr>
        <w:t>2019</w:t>
      </w:r>
      <w:r>
        <w:rPr>
          <w:spacing w:val="-1"/>
        </w:rPr>
        <w:t>年</w:t>
      </w:r>
      <w:r>
        <w:rPr>
          <w:rFonts w:ascii="宋体" w:hAnsi="宋体" w:cs="宋体" w:eastAsia="宋体" w:hint="default"/>
          <w:spacing w:val="-1"/>
        </w:rPr>
        <w:t>3</w:t>
      </w:r>
      <w:r>
        <w:rPr>
          <w:spacing w:val="-1"/>
        </w:rPr>
        <w:t>月</w:t>
      </w:r>
      <w:r>
        <w:rPr>
          <w:rFonts w:ascii="宋体" w:hAnsi="宋体" w:cs="宋体" w:eastAsia="宋体" w:hint="default"/>
          <w:spacing w:val="-1"/>
        </w:rPr>
        <w:t>19</w:t>
      </w:r>
      <w:r>
        <w:rPr>
          <w:spacing w:val="-1"/>
        </w:rPr>
        <w:t>日、</w:t>
      </w:r>
      <w:r>
        <w:rPr>
          <w:rFonts w:ascii="宋体" w:hAnsi="宋体" w:cs="宋体" w:eastAsia="宋体" w:hint="default"/>
          <w:spacing w:val="-1"/>
        </w:rPr>
        <w:t>2019</w:t>
      </w:r>
      <w:r>
        <w:rPr>
          <w:spacing w:val="-1"/>
        </w:rPr>
        <w:t>年</w:t>
      </w:r>
      <w:r>
        <w:rPr>
          <w:rFonts w:ascii="宋体" w:hAnsi="宋体" w:cs="宋体" w:eastAsia="宋体" w:hint="default"/>
          <w:spacing w:val="-1"/>
        </w:rPr>
        <w:t>8</w:t>
      </w:r>
      <w:r>
        <w:rPr>
          <w:spacing w:val="-1"/>
        </w:rPr>
        <w:t>月</w:t>
      </w:r>
      <w:r>
        <w:rPr>
          <w:rFonts w:ascii="宋体" w:hAnsi="宋体" w:cs="宋体" w:eastAsia="宋体" w:hint="default"/>
          <w:spacing w:val="-1"/>
        </w:rPr>
        <w:t>8</w:t>
      </w:r>
      <w:r>
        <w:rPr>
          <w:spacing w:val="-1"/>
        </w:rPr>
        <w:t>日召开的的第四届董事会第二次会议、</w:t>
      </w:r>
      <w:r>
        <w:rPr>
          <w:w w:val="101"/>
        </w:rPr>
        <w:t> </w:t>
      </w:r>
      <w:r>
        <w:rPr>
          <w:spacing w:val="-4"/>
        </w:rPr>
        <w:t>第四届董事会第七次会议决议通过的《关于回购注销部分限制性股票的议案》，公司对</w:t>
      </w:r>
      <w:r>
        <w:rPr>
          <w:rFonts w:ascii="宋体" w:hAnsi="宋体" w:cs="宋体" w:eastAsia="宋体" w:hint="default"/>
          <w:spacing w:val="-4"/>
        </w:rPr>
        <w:t>11</w:t>
      </w:r>
      <w:r>
        <w:rPr>
          <w:spacing w:val="-4"/>
        </w:rPr>
        <w:t>名离职激励对象持有的尚未解锁的</w:t>
      </w:r>
      <w:r>
        <w:rPr>
          <w:spacing w:val="48"/>
        </w:rPr>
        <w:t> </w:t>
      </w:r>
      <w:r>
        <w:rPr>
          <w:spacing w:val="48"/>
        </w:rPr>
      </w:r>
      <w:r>
        <w:rPr>
          <w:spacing w:val="-3"/>
        </w:rPr>
        <w:t>限制性股票</w:t>
      </w:r>
      <w:r>
        <w:rPr>
          <w:rFonts w:ascii="宋体" w:hAnsi="宋体" w:cs="宋体" w:eastAsia="宋体" w:hint="default"/>
          <w:spacing w:val="-3"/>
        </w:rPr>
        <w:t>87,750</w:t>
      </w:r>
      <w:r>
        <w:rPr>
          <w:spacing w:val="-3"/>
        </w:rPr>
        <w:t>股进行回购注销，另外由于黄永忠先生于</w:t>
      </w:r>
      <w:r>
        <w:rPr>
          <w:rFonts w:ascii="宋体" w:hAnsi="宋体" w:cs="宋体" w:eastAsia="宋体" w:hint="default"/>
          <w:spacing w:val="-3"/>
        </w:rPr>
        <w:t>2019</w:t>
      </w:r>
      <w:r>
        <w:rPr>
          <w:spacing w:val="-3"/>
        </w:rPr>
        <w:t>年</w:t>
      </w:r>
      <w:r>
        <w:rPr>
          <w:rFonts w:ascii="宋体" w:hAnsi="宋体" w:cs="宋体" w:eastAsia="宋体" w:hint="default"/>
          <w:spacing w:val="-3"/>
        </w:rPr>
        <w:t>1</w:t>
      </w:r>
      <w:r>
        <w:rPr>
          <w:spacing w:val="-3"/>
        </w:rPr>
        <w:t>月</w:t>
      </w:r>
      <w:r>
        <w:rPr>
          <w:rFonts w:ascii="宋体" w:hAnsi="宋体" w:cs="宋体" w:eastAsia="宋体" w:hint="default"/>
          <w:spacing w:val="-3"/>
        </w:rPr>
        <w:t>23</w:t>
      </w:r>
      <w:r>
        <w:rPr>
          <w:spacing w:val="-3"/>
        </w:rPr>
        <w:t>日被选举为公司监事，根据《上市公司股权激励管</w:t>
      </w:r>
      <w:r>
        <w:rPr>
          <w:spacing w:val="5"/>
        </w:rPr>
        <w:t> </w:t>
      </w:r>
      <w:r>
        <w:rPr>
          <w:spacing w:val="5"/>
        </w:rPr>
      </w:r>
      <w:r>
        <w:rPr>
          <w:spacing w:val="-4"/>
        </w:rPr>
        <w:t>理办法》等法律法规的规定，对黄永忠先生已获授的第三个解锁期的限制性股票</w:t>
      </w:r>
      <w:r>
        <w:rPr>
          <w:rFonts w:ascii="宋体" w:hAnsi="宋体" w:cs="宋体" w:eastAsia="宋体" w:hint="default"/>
          <w:spacing w:val="-4"/>
        </w:rPr>
        <w:t>90,000</w:t>
      </w:r>
      <w:r>
        <w:rPr>
          <w:spacing w:val="-4"/>
        </w:rPr>
        <w:t>股进行回购注销，两次合计回购注销</w:t>
      </w:r>
      <w:r>
        <w:rPr>
          <w:spacing w:val="55"/>
        </w:rPr>
        <w:t> </w:t>
      </w:r>
      <w:r>
        <w:rPr>
          <w:spacing w:val="55"/>
        </w:rPr>
      </w:r>
      <w:r>
        <w:rPr>
          <w:spacing w:val="-3"/>
        </w:rPr>
        <w:t>限制性股票</w:t>
      </w:r>
      <w:r>
        <w:rPr>
          <w:rFonts w:ascii="宋体" w:hAnsi="宋体" w:cs="宋体" w:eastAsia="宋体" w:hint="default"/>
          <w:spacing w:val="-3"/>
        </w:rPr>
        <w:t>177,750</w:t>
      </w:r>
      <w:r>
        <w:rPr>
          <w:spacing w:val="-3"/>
        </w:rPr>
        <w:t>股，减少注册资本人民币</w:t>
      </w:r>
      <w:r>
        <w:rPr>
          <w:rFonts w:ascii="宋体" w:hAnsi="宋体" w:cs="宋体" w:eastAsia="宋体" w:hint="default"/>
          <w:spacing w:val="-3"/>
        </w:rPr>
        <w:t>177,750</w:t>
      </w:r>
      <w:r>
        <w:rPr>
          <w:spacing w:val="-3"/>
        </w:rPr>
        <w:t>元。两次减资业经瑞华验字</w:t>
      </w:r>
      <w:r>
        <w:rPr>
          <w:rFonts w:ascii="宋体" w:hAnsi="宋体" w:cs="宋体" w:eastAsia="宋体" w:hint="default"/>
          <w:spacing w:val="-3"/>
        </w:rPr>
        <w:t>[2019]48170002</w:t>
      </w:r>
      <w:r>
        <w:rPr>
          <w:spacing w:val="-3"/>
        </w:rPr>
        <w:t>号、中喜验字</w:t>
      </w:r>
      <w:r>
        <w:rPr>
          <w:rFonts w:ascii="宋体" w:hAnsi="宋体" w:cs="宋体" w:eastAsia="宋体" w:hint="default"/>
          <w:spacing w:val="-3"/>
        </w:rPr>
        <w:t>[2019]</w:t>
      </w:r>
      <w:r>
        <w:rPr>
          <w:spacing w:val="-3"/>
        </w:rPr>
        <w:t>第</w:t>
      </w:r>
      <w:r>
        <w:rPr>
          <w:rFonts w:ascii="宋体" w:hAnsi="宋体" w:cs="宋体" w:eastAsia="宋体" w:hint="default"/>
          <w:spacing w:val="-3"/>
        </w:rPr>
        <w:t>0181</w:t>
      </w:r>
      <w:r>
        <w:rPr>
          <w:rFonts w:ascii="宋体" w:hAnsi="宋体" w:cs="宋体" w:eastAsia="宋体" w:hint="default"/>
          <w:spacing w:val="45"/>
        </w:rPr>
        <w:t> </w:t>
      </w:r>
      <w:r>
        <w:rPr/>
        <w:t>号验证。</w:t>
      </w:r>
    </w:p>
    <w:p>
      <w:pPr>
        <w:spacing w:after="0" w:line="319" w:lineRule="auto"/>
        <w:jc w:val="both"/>
        <w:sectPr>
          <w:type w:val="continuous"/>
          <w:pgSz w:w="11910" w:h="16840"/>
          <w:pgMar w:top="1100" w:bottom="1220" w:left="980" w:right="0"/>
        </w:sectPr>
      </w:pPr>
    </w:p>
    <w:p>
      <w:pPr>
        <w:spacing w:line="240" w:lineRule="auto" w:before="13"/>
        <w:rPr>
          <w:rFonts w:ascii="宋体" w:hAnsi="宋体" w:cs="宋体" w:eastAsia="宋体" w:hint="default"/>
          <w:sz w:val="21"/>
          <w:szCs w:val="21"/>
        </w:rPr>
      </w:pPr>
    </w:p>
    <w:p>
      <w:pPr>
        <w:pStyle w:val="Heading4"/>
        <w:spacing w:line="240" w:lineRule="auto" w:before="36"/>
        <w:ind w:right="0"/>
        <w:jc w:val="left"/>
        <w:rPr>
          <w:b w:val="0"/>
          <w:bCs w:val="0"/>
        </w:rPr>
      </w:pPr>
      <w:bookmarkStart w:name="54、其他权益工具" w:id="378"/>
      <w:bookmarkEnd w:id="378"/>
      <w:r>
        <w:rPr>
          <w:b w:val="0"/>
          <w:bCs w:val="0"/>
        </w:rPr>
      </w:r>
      <w:r>
        <w:rPr>
          <w:rFonts w:ascii="Times New Roman" w:hAnsi="Times New Roman" w:cs="Times New Roman" w:eastAsia="Times New Roman" w:hint="default"/>
        </w:rPr>
        <w:t>54</w:t>
      </w:r>
      <w:r>
        <w:rPr/>
        <w:t>、其他权益工具</w:t>
      </w:r>
      <w:r>
        <w:rPr>
          <w:b w:val="0"/>
          <w:bCs w:val="0"/>
        </w:rPr>
      </w:r>
    </w:p>
    <w:p>
      <w:pPr>
        <w:spacing w:line="240" w:lineRule="auto" w:before="5"/>
        <w:rPr>
          <w:rFonts w:ascii="宋体" w:hAnsi="宋体" w:cs="宋体" w:eastAsia="宋体" w:hint="default"/>
          <w:b/>
          <w:bCs/>
          <w:sz w:val="24"/>
          <w:szCs w:val="24"/>
        </w:rPr>
      </w:pPr>
    </w:p>
    <w:p>
      <w:pPr>
        <w:pStyle w:val="Heading4"/>
        <w:spacing w:line="240" w:lineRule="auto"/>
        <w:ind w:right="0"/>
        <w:jc w:val="left"/>
        <w:rPr>
          <w:b w:val="0"/>
          <w:bCs w:val="0"/>
        </w:rPr>
      </w:pPr>
      <w:bookmarkStart w:name="（1）期末发行在外的优先股、永续债等其他金融工具基本情况" w:id="379"/>
      <w:bookmarkEnd w:id="379"/>
      <w:r>
        <w:rPr>
          <w:b w:val="0"/>
          <w:bCs w:val="0"/>
        </w:rPr>
      </w:r>
      <w:r>
        <w:rPr/>
        <w:t>（</w:t>
      </w:r>
      <w:r>
        <w:rPr>
          <w:rFonts w:ascii="Times New Roman" w:hAnsi="Times New Roman" w:cs="Times New Roman" w:eastAsia="Times New Roman" w:hint="default"/>
        </w:rPr>
        <w:t>1</w:t>
      </w:r>
      <w:r>
        <w:rPr/>
        <w:t>）期末发行在外的优先股、永续债等其他金融工具基本情况</w:t>
      </w:r>
      <w:r>
        <w:rPr>
          <w:b w:val="0"/>
          <w:bCs w:val="0"/>
        </w:rPr>
      </w:r>
    </w:p>
    <w:p>
      <w:pPr>
        <w:spacing w:line="240" w:lineRule="auto" w:before="10"/>
        <w:rPr>
          <w:rFonts w:ascii="宋体" w:hAnsi="宋体" w:cs="宋体" w:eastAsia="宋体" w:hint="default"/>
          <w:b/>
          <w:bCs/>
          <w:sz w:val="26"/>
          <w:szCs w:val="26"/>
        </w:rPr>
      </w:pPr>
    </w:p>
    <w:p>
      <w:pPr>
        <w:pStyle w:val="BodyText"/>
        <w:spacing w:line="240" w:lineRule="auto" w:before="0"/>
        <w:ind w:right="0"/>
        <w:jc w:val="left"/>
      </w:pPr>
      <w:r>
        <w:rPr/>
        <w:t>无。</w:t>
      </w:r>
    </w:p>
    <w:p>
      <w:pPr>
        <w:spacing w:line="240" w:lineRule="auto" w:before="0"/>
        <w:rPr>
          <w:rFonts w:ascii="宋体" w:hAnsi="宋体" w:cs="宋体" w:eastAsia="宋体" w:hint="default"/>
          <w:sz w:val="18"/>
          <w:szCs w:val="18"/>
        </w:rPr>
      </w:pPr>
    </w:p>
    <w:p>
      <w:pPr>
        <w:pStyle w:val="Heading4"/>
        <w:spacing w:line="240" w:lineRule="auto" w:before="118"/>
        <w:ind w:right="0"/>
        <w:jc w:val="left"/>
        <w:rPr>
          <w:b w:val="0"/>
          <w:bCs w:val="0"/>
        </w:rPr>
      </w:pPr>
      <w:bookmarkStart w:name="（2）期末发行在外的优先股、永续债等金融工具变动情况表" w:id="380"/>
      <w:bookmarkEnd w:id="380"/>
      <w:r>
        <w:rPr>
          <w:b w:val="0"/>
          <w:bCs w:val="0"/>
        </w:rPr>
      </w:r>
      <w:r>
        <w:rPr/>
        <w:t>（</w:t>
      </w:r>
      <w:r>
        <w:rPr>
          <w:rFonts w:ascii="Times New Roman" w:hAnsi="Times New Roman" w:cs="Times New Roman" w:eastAsia="Times New Roman" w:hint="default"/>
        </w:rPr>
        <w:t>2</w:t>
      </w:r>
      <w:r>
        <w:rPr/>
        <w:t>）期末发行在外的优先股、永续债等金融工具变动情况表</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066"/>
        <w:gridCol w:w="1066"/>
        <w:gridCol w:w="1066"/>
        <w:gridCol w:w="1061"/>
        <w:gridCol w:w="1066"/>
        <w:gridCol w:w="1061"/>
        <w:gridCol w:w="1061"/>
        <w:gridCol w:w="1061"/>
        <w:gridCol w:w="1066"/>
      </w:tblGrid>
      <w:tr>
        <w:trPr>
          <w:trHeight w:val="403" w:hRule="exact"/>
        </w:trPr>
        <w:tc>
          <w:tcPr>
            <w:tcW w:w="1066"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3"/>
              <w:ind w:left="168" w:right="161"/>
              <w:jc w:val="center"/>
              <w:rPr>
                <w:rFonts w:ascii="宋体" w:hAnsi="宋体" w:cs="宋体" w:eastAsia="宋体" w:hint="default"/>
                <w:sz w:val="18"/>
                <w:szCs w:val="18"/>
              </w:rPr>
            </w:pPr>
            <w:r>
              <w:rPr>
                <w:rFonts w:ascii="宋体" w:hAnsi="宋体" w:cs="宋体" w:eastAsia="宋体" w:hint="default"/>
                <w:spacing w:val="-2"/>
                <w:sz w:val="18"/>
                <w:szCs w:val="18"/>
              </w:rPr>
              <w:t>发行在外</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2"/>
                <w:sz w:val="18"/>
                <w:szCs w:val="18"/>
              </w:rPr>
              <w:t>的金融工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具</w:t>
            </w:r>
          </w:p>
        </w:tc>
        <w:tc>
          <w:tcPr>
            <w:tcW w:w="213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期初</w:t>
            </w:r>
          </w:p>
        </w:tc>
        <w:tc>
          <w:tcPr>
            <w:tcW w:w="212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96"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212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212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期末</w:t>
            </w:r>
          </w:p>
        </w:tc>
      </w:tr>
      <w:tr>
        <w:trPr>
          <w:trHeight w:val="624" w:hRule="exact"/>
        </w:trPr>
        <w:tc>
          <w:tcPr>
            <w:tcW w:w="1066" w:type="dxa"/>
            <w:vMerge/>
            <w:tcBorders>
              <w:left w:val="single" w:sz="4" w:space="0" w:color="000000"/>
              <w:bottom w:val="single" w:sz="4" w:space="0" w:color="000000"/>
              <w:right w:val="single" w:sz="4" w:space="0" w:color="000000"/>
            </w:tcBorders>
            <w:shd w:val="clear" w:color="auto" w:fill="D2D2D2"/>
          </w:tcPr>
          <w:p>
            <w:pP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350"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67"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341"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6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340"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67"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345"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68"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pStyle w:val="BodyText"/>
        <w:spacing w:line="357" w:lineRule="auto" w:before="53"/>
        <w:ind w:right="4413"/>
        <w:jc w:val="left"/>
      </w:pPr>
      <w:r>
        <w:rPr>
          <w:spacing w:val="-3"/>
        </w:rPr>
        <w:t>其他权益工具本期增减变动情况、变动原因说明，以及相关会计处理的依据：</w:t>
      </w:r>
      <w:r>
        <w:rPr>
          <w:spacing w:val="8"/>
        </w:rPr>
        <w:t> </w:t>
      </w:r>
      <w:r>
        <w:rPr>
          <w:spacing w:val="8"/>
        </w:rPr>
      </w:r>
      <w:r>
        <w:rPr/>
        <w:t>无。</w:t>
      </w:r>
    </w:p>
    <w:p>
      <w:pPr>
        <w:pStyle w:val="BodyText"/>
        <w:spacing w:line="352" w:lineRule="auto" w:before="31"/>
        <w:ind w:right="9666"/>
        <w:jc w:val="left"/>
      </w:pPr>
      <w:r>
        <w:rPr/>
        <w:t>其他说明：</w:t>
      </w:r>
      <w:r>
        <w:rPr>
          <w:w w:val="101"/>
        </w:rPr>
        <w:t> </w:t>
      </w:r>
      <w:r>
        <w:rPr/>
        <w:t>无。</w:t>
      </w:r>
    </w:p>
    <w:p>
      <w:pPr>
        <w:spacing w:line="240" w:lineRule="auto" w:before="7"/>
        <w:rPr>
          <w:rFonts w:ascii="宋体" w:hAnsi="宋体" w:cs="宋体" w:eastAsia="宋体" w:hint="default"/>
          <w:sz w:val="20"/>
          <w:szCs w:val="20"/>
        </w:rPr>
      </w:pPr>
    </w:p>
    <w:p>
      <w:pPr>
        <w:pStyle w:val="Heading4"/>
        <w:spacing w:line="240" w:lineRule="auto"/>
        <w:ind w:right="0"/>
        <w:jc w:val="left"/>
        <w:rPr>
          <w:b w:val="0"/>
          <w:bCs w:val="0"/>
        </w:rPr>
      </w:pPr>
      <w:bookmarkStart w:name="55、资本公积" w:id="381"/>
      <w:bookmarkEnd w:id="381"/>
      <w:r>
        <w:rPr>
          <w:b w:val="0"/>
          <w:bCs w:val="0"/>
        </w:rPr>
      </w:r>
      <w:r>
        <w:rPr>
          <w:rFonts w:ascii="Times New Roman" w:hAnsi="Times New Roman" w:cs="Times New Roman" w:eastAsia="Times New Roman" w:hint="default"/>
        </w:rPr>
        <w:t>55</w:t>
      </w:r>
      <w:r>
        <w:rPr/>
        <w:t>、资本公积</w:t>
      </w:r>
      <w:r>
        <w:rPr>
          <w:b w:val="0"/>
          <w:bCs w:val="0"/>
        </w:rPr>
      </w:r>
    </w:p>
    <w:p>
      <w:pPr>
        <w:spacing w:line="240" w:lineRule="auto" w:before="7"/>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11"/>
        <w:gridCol w:w="1921"/>
        <w:gridCol w:w="1911"/>
        <w:gridCol w:w="1916"/>
        <w:gridCol w:w="1916"/>
      </w:tblGrid>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0"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5"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5"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98"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4"/>
                <w:sz w:val="18"/>
                <w:szCs w:val="18"/>
              </w:rPr>
              <w:t>资本溢价（股本溢价）</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181,261,935.76</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26,884,160.00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396,270.00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207,749,825.76</w:t>
            </w: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其他资本公积</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27,579,289.08</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2,268,433.34</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25,045,720.40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4,802,002.02</w:t>
            </w:r>
          </w:p>
        </w:tc>
      </w:tr>
      <w:tr>
        <w:trPr>
          <w:trHeight w:val="1028" w:hRule="exact"/>
        </w:trPr>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4"/>
              <w:ind w:left="105" w:right="171"/>
              <w:jc w:val="both"/>
              <w:rPr>
                <w:rFonts w:ascii="宋体" w:hAnsi="宋体" w:cs="宋体" w:eastAsia="宋体" w:hint="default"/>
                <w:sz w:val="18"/>
                <w:szCs w:val="18"/>
              </w:rPr>
            </w:pPr>
            <w:r>
              <w:rPr>
                <w:rFonts w:ascii="宋体" w:hAnsi="宋体" w:cs="宋体" w:eastAsia="宋体" w:hint="default"/>
                <w:spacing w:val="-3"/>
                <w:sz w:val="18"/>
                <w:szCs w:val="18"/>
              </w:rPr>
              <w:t>其中：以权益结算的</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pacing w:val="-3"/>
                <w:sz w:val="18"/>
                <w:szCs w:val="18"/>
              </w:rPr>
              <w:t>股份支付权益工具公</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允价值</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27,367,246.66</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2,268,433.34</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1"/>
                <w:sz w:val="18"/>
              </w:rPr>
              <w:t>24,944,160.00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4,691,520.00</w:t>
            </w: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208,841,224.84</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29,152,593.34</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25,441,990.40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212,551,827.78</w:t>
            </w:r>
          </w:p>
        </w:tc>
      </w:tr>
    </w:tbl>
    <w:p>
      <w:pPr>
        <w:pStyle w:val="BodyText"/>
        <w:spacing w:line="240" w:lineRule="auto" w:before="53"/>
        <w:ind w:right="0"/>
        <w:jc w:val="left"/>
      </w:pPr>
      <w:r>
        <w:rPr>
          <w:spacing w:val="-3"/>
        </w:rPr>
        <w:t>其他说明，包括本期增减变动情况、变动原因说明：</w:t>
      </w:r>
    </w:p>
    <w:p>
      <w:pPr>
        <w:pStyle w:val="BodyText"/>
        <w:spacing w:line="240" w:lineRule="auto" w:before="110"/>
        <w:ind w:right="0"/>
        <w:jc w:val="left"/>
      </w:pPr>
      <w:r>
        <w:rPr>
          <w:spacing w:val="-3"/>
        </w:rPr>
        <w:t>（</w:t>
      </w:r>
      <w:r>
        <w:rPr>
          <w:rFonts w:ascii="宋体" w:hAnsi="宋体" w:cs="宋体" w:eastAsia="宋体" w:hint="default"/>
          <w:spacing w:val="-3"/>
        </w:rPr>
        <w:t>1</w:t>
      </w:r>
      <w:r>
        <w:rPr>
          <w:spacing w:val="-3"/>
        </w:rPr>
        <w:t>）本年增加资本公积</w:t>
      </w:r>
      <w:r>
        <w:rPr>
          <w:rFonts w:ascii="宋体" w:hAnsi="宋体" w:cs="宋体" w:eastAsia="宋体" w:hint="default"/>
          <w:spacing w:val="-3"/>
        </w:rPr>
        <w:t>19,400,000.00</w:t>
      </w:r>
      <w:r>
        <w:rPr>
          <w:spacing w:val="-3"/>
        </w:rPr>
        <w:t>元系附注六、</w:t>
      </w:r>
      <w:r>
        <w:rPr>
          <w:rFonts w:ascii="宋体" w:hAnsi="宋体" w:cs="宋体" w:eastAsia="宋体" w:hint="default"/>
          <w:spacing w:val="-3"/>
        </w:rPr>
        <w:t>31</w:t>
      </w:r>
      <w:r>
        <w:rPr>
          <w:spacing w:val="-3"/>
        </w:rPr>
        <w:t>（</w:t>
      </w:r>
      <w:r>
        <w:rPr>
          <w:rFonts w:ascii="宋体" w:hAnsi="宋体" w:cs="宋体" w:eastAsia="宋体" w:hint="default"/>
          <w:spacing w:val="-3"/>
        </w:rPr>
        <w:t>1</w:t>
      </w:r>
      <w:r>
        <w:rPr>
          <w:spacing w:val="-3"/>
        </w:rPr>
        <w:t>）所述的股权激励认购款转增资本公积。</w:t>
      </w:r>
    </w:p>
    <w:p>
      <w:pPr>
        <w:pStyle w:val="BodyText"/>
        <w:spacing w:line="240" w:lineRule="auto" w:before="76"/>
        <w:ind w:right="0"/>
        <w:jc w:val="left"/>
      </w:pPr>
      <w:r>
        <w:rPr>
          <w:spacing w:val="-3"/>
        </w:rPr>
        <w:t>（</w:t>
      </w:r>
      <w:r>
        <w:rPr>
          <w:rFonts w:ascii="宋体" w:hAnsi="宋体" w:cs="宋体" w:eastAsia="宋体" w:hint="default"/>
          <w:spacing w:val="-3"/>
        </w:rPr>
        <w:t>2</w:t>
      </w:r>
      <w:r>
        <w:rPr>
          <w:spacing w:val="-3"/>
        </w:rPr>
        <w:t>）本年减少资本公积</w:t>
      </w:r>
      <w:r>
        <w:rPr>
          <w:rFonts w:ascii="宋体" w:hAnsi="宋体" w:cs="宋体" w:eastAsia="宋体" w:hint="default"/>
          <w:spacing w:val="-3"/>
        </w:rPr>
        <w:t>396,270.00</w:t>
      </w:r>
      <w:r>
        <w:rPr>
          <w:spacing w:val="-3"/>
        </w:rPr>
        <w:t>元系附注六、</w:t>
      </w:r>
      <w:r>
        <w:rPr>
          <w:rFonts w:ascii="宋体" w:hAnsi="宋体" w:cs="宋体" w:eastAsia="宋体" w:hint="default"/>
          <w:spacing w:val="-3"/>
        </w:rPr>
        <w:t>31</w:t>
      </w:r>
      <w:r>
        <w:rPr>
          <w:spacing w:val="-3"/>
        </w:rPr>
        <w:t>（</w:t>
      </w:r>
      <w:r>
        <w:rPr>
          <w:rFonts w:ascii="宋体" w:hAnsi="宋体" w:cs="宋体" w:eastAsia="宋体" w:hint="default"/>
          <w:spacing w:val="-3"/>
        </w:rPr>
        <w:t>2</w:t>
      </w:r>
      <w:r>
        <w:rPr>
          <w:spacing w:val="-3"/>
        </w:rPr>
        <w:t>）所述的股权激励对象的股份予以注销减少资本公积。</w:t>
      </w:r>
    </w:p>
    <w:p>
      <w:pPr>
        <w:pStyle w:val="BodyText"/>
        <w:spacing w:line="240" w:lineRule="auto" w:before="76"/>
        <w:ind w:right="0"/>
        <w:jc w:val="left"/>
      </w:pPr>
      <w:r>
        <w:rPr/>
        <w:t>（</w:t>
      </w:r>
      <w:r>
        <w:rPr>
          <w:rFonts w:ascii="宋体" w:hAnsi="宋体" w:cs="宋体" w:eastAsia="宋体" w:hint="default"/>
        </w:rPr>
        <w:t>3</w:t>
      </w:r>
      <w:r>
        <w:rPr/>
        <w:t>）本年增加资本公积</w:t>
      </w:r>
      <w:r>
        <w:rPr>
          <w:rFonts w:ascii="宋体" w:hAnsi="宋体" w:cs="宋体" w:eastAsia="宋体" w:hint="default"/>
        </w:rPr>
        <w:t>2,268,433.34</w:t>
      </w:r>
      <w:r>
        <w:rPr/>
        <w:t>元系本期限制性股票摊销成本增加资本公积。</w:t>
      </w:r>
    </w:p>
    <w:p>
      <w:pPr>
        <w:pStyle w:val="BodyText"/>
        <w:spacing w:line="240" w:lineRule="auto" w:before="76"/>
        <w:ind w:right="0"/>
        <w:jc w:val="left"/>
      </w:pPr>
      <w:r>
        <w:rPr>
          <w:spacing w:val="-3"/>
        </w:rPr>
        <w:t>（</w:t>
      </w:r>
      <w:r>
        <w:rPr>
          <w:rFonts w:ascii="宋体" w:hAnsi="宋体" w:cs="宋体" w:eastAsia="宋体" w:hint="default"/>
          <w:spacing w:val="-3"/>
        </w:rPr>
        <w:t>4</w:t>
      </w:r>
      <w:r>
        <w:rPr>
          <w:spacing w:val="-3"/>
        </w:rPr>
        <w:t>）限制性股票解解锁，将相应的资本公积</w:t>
      </w:r>
      <w:r>
        <w:rPr>
          <w:rFonts w:ascii="宋体" w:hAnsi="宋体" w:cs="宋体" w:eastAsia="宋体" w:hint="default"/>
          <w:spacing w:val="-3"/>
        </w:rPr>
        <w:t>-</w:t>
      </w:r>
      <w:r>
        <w:rPr>
          <w:spacing w:val="-3"/>
        </w:rPr>
        <w:t>其他资本公积</w:t>
      </w:r>
      <w:r>
        <w:rPr>
          <w:rFonts w:ascii="宋体" w:hAnsi="宋体" w:cs="宋体" w:eastAsia="宋体" w:hint="default"/>
          <w:spacing w:val="-3"/>
        </w:rPr>
        <w:t>24,944,160.00</w:t>
      </w:r>
      <w:r>
        <w:rPr>
          <w:spacing w:val="-3"/>
        </w:rPr>
        <w:t>元转入资本公积</w:t>
      </w:r>
      <w:r>
        <w:rPr>
          <w:rFonts w:ascii="宋体" w:hAnsi="宋体" w:cs="宋体" w:eastAsia="宋体" w:hint="default"/>
          <w:spacing w:val="-3"/>
        </w:rPr>
        <w:t>-</w:t>
      </w:r>
      <w:r>
        <w:rPr>
          <w:spacing w:val="-3"/>
        </w:rPr>
        <w:t>股本溢价。</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4"/>
          <w:szCs w:val="14"/>
        </w:rPr>
      </w:pPr>
    </w:p>
    <w:p>
      <w:pPr>
        <w:pStyle w:val="Heading4"/>
        <w:spacing w:line="240" w:lineRule="auto"/>
        <w:ind w:right="0"/>
        <w:jc w:val="left"/>
        <w:rPr>
          <w:b w:val="0"/>
          <w:bCs w:val="0"/>
        </w:rPr>
      </w:pPr>
      <w:bookmarkStart w:name="56、库存股" w:id="382"/>
      <w:bookmarkEnd w:id="382"/>
      <w:r>
        <w:rPr>
          <w:b w:val="0"/>
          <w:bCs w:val="0"/>
        </w:rPr>
      </w:r>
      <w:r>
        <w:rPr>
          <w:rFonts w:ascii="Times New Roman" w:hAnsi="Times New Roman" w:cs="Times New Roman" w:eastAsia="Times New Roman" w:hint="default"/>
        </w:rPr>
        <w:t>56</w:t>
      </w:r>
      <w:r>
        <w:rPr/>
        <w:t>、库存股</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11"/>
        <w:gridCol w:w="1921"/>
        <w:gridCol w:w="1911"/>
        <w:gridCol w:w="1916"/>
        <w:gridCol w:w="1916"/>
      </w:tblGrid>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0"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5"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5"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4" w:hRule="exact"/>
        </w:trPr>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7"/>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5"/>
                <w:sz w:val="18"/>
                <w:szCs w:val="18"/>
              </w:rPr>
              <w:t> </w:t>
            </w:r>
            <w:r>
              <w:rPr>
                <w:rFonts w:ascii="宋体" w:hAnsi="宋体" w:cs="宋体" w:eastAsia="宋体" w:hint="default"/>
                <w:spacing w:val="-3"/>
                <w:sz w:val="18"/>
                <w:szCs w:val="18"/>
              </w:rPr>
              <w:t>年股权激励计划</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8,783,760.00</w:t>
            </w:r>
          </w:p>
        </w:tc>
        <w:tc>
          <w:tcPr>
            <w:tcW w:w="1911"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859" w:right="0"/>
              <w:jc w:val="left"/>
              <w:rPr>
                <w:rFonts w:ascii="Times New Roman" w:hAnsi="Times New Roman" w:cs="Times New Roman" w:eastAsia="Times New Roman" w:hint="default"/>
                <w:sz w:val="18"/>
                <w:szCs w:val="18"/>
              </w:rPr>
            </w:pPr>
            <w:r>
              <w:rPr>
                <w:rFonts w:ascii="Times New Roman"/>
                <w:sz w:val="18"/>
              </w:rPr>
              <w:t>8,075,280.00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708,480.00</w:t>
            </w:r>
          </w:p>
        </w:tc>
      </w:tr>
      <w:tr>
        <w:trPr>
          <w:trHeight w:val="398" w:hRule="exact"/>
        </w:trPr>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7"/>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5"/>
                <w:sz w:val="18"/>
                <w:szCs w:val="18"/>
              </w:rPr>
              <w:t> </w:t>
            </w:r>
            <w:r>
              <w:rPr>
                <w:rFonts w:ascii="宋体" w:hAnsi="宋体" w:cs="宋体" w:eastAsia="宋体" w:hint="default"/>
                <w:spacing w:val="-3"/>
                <w:sz w:val="18"/>
                <w:szCs w:val="18"/>
              </w:rPr>
              <w:t>年股权激励计划</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21,600,000.00</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854" w:right="0"/>
              <w:jc w:val="left"/>
              <w:rPr>
                <w:rFonts w:ascii="Times New Roman" w:hAnsi="Times New Roman" w:cs="Times New Roman" w:eastAsia="Times New Roman" w:hint="default"/>
                <w:sz w:val="18"/>
                <w:szCs w:val="18"/>
              </w:rPr>
            </w:pPr>
            <w:r>
              <w:rPr>
                <w:rFonts w:ascii="Times New Roman"/>
                <w:sz w:val="18"/>
              </w:rPr>
              <w:t>2,940,000.00</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24,540,000.00</w:t>
            </w:r>
          </w:p>
        </w:tc>
      </w:tr>
    </w:tbl>
    <w:p>
      <w:pPr>
        <w:spacing w:after="0" w:line="240" w:lineRule="auto"/>
        <w:jc w:val="right"/>
        <w:rPr>
          <w:rFonts w:ascii="Times New Roman" w:hAnsi="Times New Roman" w:cs="Times New Roman" w:eastAsia="Times New Roman" w:hint="default"/>
          <w:sz w:val="18"/>
          <w:szCs w:val="18"/>
        </w:rPr>
        <w:sectPr>
          <w:pgSz w:w="11910" w:h="16840"/>
          <w:pgMar w:header="784" w:footer="1022" w:top="1100" w:bottom="1220" w:left="980" w:right="0"/>
        </w:sectPr>
      </w:pPr>
    </w:p>
    <w:p>
      <w:pPr>
        <w:spacing w:line="240" w:lineRule="auto" w:before="7"/>
        <w:rPr>
          <w:rFonts w:ascii="宋体" w:hAnsi="宋体" w:cs="宋体" w:eastAsia="宋体" w:hint="default"/>
          <w:sz w:val="25"/>
          <w:szCs w:val="25"/>
        </w:rPr>
      </w:pPr>
    </w:p>
    <w:tbl>
      <w:tblPr>
        <w:tblW w:w="0" w:type="auto"/>
        <w:jc w:val="left"/>
        <w:tblInd w:w="148" w:type="dxa"/>
        <w:tblLayout w:type="fixed"/>
        <w:tblCellMar>
          <w:top w:w="0" w:type="dxa"/>
          <w:left w:w="0" w:type="dxa"/>
          <w:bottom w:w="0" w:type="dxa"/>
          <w:right w:w="0" w:type="dxa"/>
        </w:tblCellMar>
        <w:tblLook w:val="01E0"/>
      </w:tblPr>
      <w:tblGrid>
        <w:gridCol w:w="1911"/>
        <w:gridCol w:w="1921"/>
        <w:gridCol w:w="1911"/>
        <w:gridCol w:w="1916"/>
        <w:gridCol w:w="1916"/>
      </w:tblGrid>
      <w:tr>
        <w:trPr>
          <w:trHeight w:val="403" w:hRule="exact"/>
        </w:trPr>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年股份回购</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4,898,948.10</w:t>
            </w:r>
          </w:p>
        </w:tc>
        <w:tc>
          <w:tcPr>
            <w:tcW w:w="1911"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4,898,948.10</w:t>
            </w:r>
          </w:p>
        </w:tc>
      </w:tr>
      <w:tr>
        <w:trPr>
          <w:trHeight w:val="398" w:hRule="exact"/>
        </w:trPr>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年股份回购</w:t>
            </w:r>
          </w:p>
        </w:tc>
        <w:tc>
          <w:tcPr>
            <w:tcW w:w="1921" w:type="dxa"/>
            <w:tcBorders>
              <w:top w:val="single" w:sz="4" w:space="0" w:color="000000"/>
              <w:left w:val="single" w:sz="4" w:space="0" w:color="000000"/>
              <w:bottom w:val="single" w:sz="4" w:space="0" w:color="000000"/>
              <w:right w:val="single" w:sz="4" w:space="0" w:color="000000"/>
            </w:tcBorders>
          </w:tcPr>
          <w:p>
            <w:pP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35,194,070.13</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35,194,070.13</w:t>
            </w:r>
          </w:p>
        </w:tc>
      </w:tr>
      <w:tr>
        <w:trPr>
          <w:trHeight w:val="404"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35,282,708.10</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38,134,070.13</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859" w:right="0"/>
              <w:jc w:val="left"/>
              <w:rPr>
                <w:rFonts w:ascii="Times New Roman" w:hAnsi="Times New Roman" w:cs="Times New Roman" w:eastAsia="Times New Roman" w:hint="default"/>
                <w:sz w:val="18"/>
                <w:szCs w:val="18"/>
              </w:rPr>
            </w:pPr>
            <w:r>
              <w:rPr>
                <w:rFonts w:ascii="Times New Roman"/>
                <w:sz w:val="18"/>
              </w:rPr>
              <w:t>8,075,280.00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65,341,498.23</w:t>
            </w:r>
          </w:p>
        </w:tc>
      </w:tr>
    </w:tbl>
    <w:p>
      <w:pPr>
        <w:pStyle w:val="BodyText"/>
        <w:spacing w:line="240" w:lineRule="auto" w:before="53"/>
        <w:ind w:right="0"/>
        <w:jc w:val="left"/>
      </w:pPr>
      <w:r>
        <w:rPr>
          <w:spacing w:val="-3"/>
        </w:rPr>
        <w:t>其他说明，包括本期增减变动情况、变动原因说明：</w:t>
      </w:r>
    </w:p>
    <w:p>
      <w:pPr>
        <w:pStyle w:val="BodyText"/>
        <w:spacing w:line="240" w:lineRule="auto" w:before="115"/>
        <w:ind w:right="0"/>
        <w:jc w:val="left"/>
      </w:pPr>
      <w:r>
        <w:rPr>
          <w:spacing w:val="-3"/>
        </w:rPr>
        <w:t>（</w:t>
      </w:r>
      <w:r>
        <w:rPr>
          <w:rFonts w:ascii="宋体" w:hAnsi="宋体" w:cs="宋体" w:eastAsia="宋体" w:hint="default"/>
          <w:spacing w:val="-3"/>
        </w:rPr>
        <w:t>1</w:t>
      </w:r>
      <w:r>
        <w:rPr>
          <w:spacing w:val="-3"/>
        </w:rPr>
        <w:t>）本年增加库存股</w:t>
      </w:r>
      <w:r>
        <w:rPr>
          <w:rFonts w:ascii="宋体" w:hAnsi="宋体" w:cs="宋体" w:eastAsia="宋体" w:hint="default"/>
          <w:spacing w:val="-3"/>
        </w:rPr>
        <w:t>2,940,000.00</w:t>
      </w:r>
      <w:r>
        <w:rPr>
          <w:spacing w:val="-3"/>
        </w:rPr>
        <w:t>元，系收到附注六、</w:t>
      </w:r>
      <w:r>
        <w:rPr>
          <w:rFonts w:ascii="宋体" w:hAnsi="宋体" w:cs="宋体" w:eastAsia="宋体" w:hint="default"/>
          <w:spacing w:val="-3"/>
        </w:rPr>
        <w:t>31</w:t>
      </w:r>
      <w:r>
        <w:rPr>
          <w:spacing w:val="-3"/>
        </w:rPr>
        <w:t>（</w:t>
      </w:r>
      <w:r>
        <w:rPr>
          <w:rFonts w:ascii="宋体" w:hAnsi="宋体" w:cs="宋体" w:eastAsia="宋体" w:hint="default"/>
          <w:spacing w:val="-3"/>
        </w:rPr>
        <w:t>1</w:t>
      </w:r>
      <w:r>
        <w:rPr>
          <w:spacing w:val="-3"/>
        </w:rPr>
        <w:t>）所述的股权激励认购款所致。</w:t>
      </w:r>
    </w:p>
    <w:p>
      <w:pPr>
        <w:pStyle w:val="BodyText"/>
        <w:spacing w:line="316" w:lineRule="auto" w:before="76"/>
        <w:ind w:right="0"/>
        <w:jc w:val="left"/>
      </w:pPr>
      <w:r>
        <w:rPr>
          <w:spacing w:val="-4"/>
        </w:rPr>
        <w:t>（</w:t>
      </w:r>
      <w:r>
        <w:rPr>
          <w:rFonts w:ascii="宋体" w:hAnsi="宋体" w:cs="宋体" w:eastAsia="宋体" w:hint="default"/>
          <w:spacing w:val="-4"/>
        </w:rPr>
        <w:t>2</w:t>
      </w:r>
      <w:r>
        <w:rPr>
          <w:spacing w:val="-4"/>
        </w:rPr>
        <w:t>）本年减少库存股</w:t>
      </w:r>
      <w:r>
        <w:rPr>
          <w:rFonts w:ascii="宋体" w:hAnsi="宋体" w:cs="宋体" w:eastAsia="宋体" w:hint="default"/>
          <w:spacing w:val="-4"/>
        </w:rPr>
        <w:t>7,501,260.00</w:t>
      </w:r>
      <w:r>
        <w:rPr>
          <w:spacing w:val="-4"/>
        </w:rPr>
        <w:t>元，系</w:t>
      </w:r>
      <w:r>
        <w:rPr>
          <w:rFonts w:ascii="宋体" w:hAnsi="宋体" w:cs="宋体" w:eastAsia="宋体" w:hint="default"/>
          <w:spacing w:val="-4"/>
        </w:rPr>
        <w:t>2016</w:t>
      </w:r>
      <w:r>
        <w:rPr>
          <w:spacing w:val="-4"/>
        </w:rPr>
        <w:t>年限制性股票激励计划第二个解锁期解锁</w:t>
      </w:r>
      <w:r>
        <w:rPr>
          <w:rFonts w:ascii="宋体" w:hAnsi="宋体" w:cs="宋体" w:eastAsia="宋体" w:hint="default"/>
          <w:spacing w:val="-4"/>
        </w:rPr>
        <w:t>216,000</w:t>
      </w:r>
      <w:r>
        <w:rPr>
          <w:spacing w:val="-4"/>
        </w:rPr>
        <w:t>股以及</w:t>
      </w:r>
      <w:r>
        <w:rPr>
          <w:rFonts w:ascii="宋体" w:hAnsi="宋体" w:cs="宋体" w:eastAsia="宋体" w:hint="default"/>
          <w:spacing w:val="-4"/>
        </w:rPr>
        <w:t>2016</w:t>
      </w:r>
      <w:r>
        <w:rPr>
          <w:spacing w:val="-4"/>
        </w:rPr>
        <w:t>年限制性股票激</w:t>
      </w:r>
      <w:r>
        <w:rPr>
          <w:spacing w:val="11"/>
        </w:rPr>
        <w:t> </w:t>
      </w:r>
      <w:r>
        <w:rPr>
          <w:spacing w:val="11"/>
        </w:rPr>
      </w:r>
      <w:r>
        <w:rPr>
          <w:spacing w:val="-3"/>
        </w:rPr>
        <w:t>励计划第三个解锁期解锁</w:t>
      </w:r>
      <w:r>
        <w:rPr>
          <w:rFonts w:ascii="宋体" w:hAnsi="宋体" w:cs="宋体" w:eastAsia="宋体" w:hint="default"/>
          <w:spacing w:val="-3"/>
        </w:rPr>
        <w:t>1,922,850</w:t>
      </w:r>
      <w:r>
        <w:rPr>
          <w:spacing w:val="-3"/>
        </w:rPr>
        <w:t>股。</w:t>
      </w:r>
      <w:r>
        <w:rPr/>
      </w:r>
    </w:p>
    <w:p>
      <w:pPr>
        <w:pStyle w:val="BodyText"/>
        <w:spacing w:line="319" w:lineRule="auto" w:before="19"/>
        <w:ind w:right="1120"/>
        <w:jc w:val="left"/>
      </w:pPr>
      <w:r>
        <w:rPr>
          <w:spacing w:val="-2"/>
        </w:rPr>
        <w:t>（</w:t>
      </w:r>
      <w:r>
        <w:rPr>
          <w:rFonts w:ascii="宋体" w:hAnsi="宋体" w:cs="宋体" w:eastAsia="宋体" w:hint="default"/>
          <w:spacing w:val="-2"/>
        </w:rPr>
        <w:t>3</w:t>
      </w:r>
      <w:r>
        <w:rPr>
          <w:spacing w:val="-2"/>
        </w:rPr>
        <w:t>）本年减少库存股</w:t>
      </w:r>
      <w:r>
        <w:rPr>
          <w:rFonts w:ascii="宋体" w:hAnsi="宋体" w:cs="宋体" w:eastAsia="宋体" w:hint="default"/>
          <w:spacing w:val="-2"/>
        </w:rPr>
        <w:t>574,020.00</w:t>
      </w:r>
      <w:r>
        <w:rPr>
          <w:spacing w:val="-2"/>
        </w:rPr>
        <w:t>元（</w:t>
      </w:r>
      <w:r>
        <w:rPr>
          <w:rFonts w:ascii="宋体" w:hAnsi="宋体" w:cs="宋体" w:eastAsia="宋体" w:hint="default"/>
          <w:spacing w:val="-2"/>
        </w:rPr>
        <w:t>177,750</w:t>
      </w:r>
      <w:r>
        <w:rPr>
          <w:spacing w:val="-2"/>
        </w:rPr>
        <w:t>股），系附注六、</w:t>
      </w:r>
      <w:r>
        <w:rPr>
          <w:rFonts w:ascii="宋体" w:hAnsi="宋体" w:cs="宋体" w:eastAsia="宋体" w:hint="default"/>
          <w:spacing w:val="-2"/>
        </w:rPr>
        <w:t>31</w:t>
      </w:r>
      <w:r>
        <w:rPr>
          <w:spacing w:val="-2"/>
        </w:rPr>
        <w:t>（</w:t>
      </w:r>
      <w:r>
        <w:rPr>
          <w:rFonts w:ascii="宋体" w:hAnsi="宋体" w:cs="宋体" w:eastAsia="宋体" w:hint="default"/>
          <w:spacing w:val="-2"/>
        </w:rPr>
        <w:t>2</w:t>
      </w:r>
      <w:r>
        <w:rPr>
          <w:spacing w:val="-2"/>
        </w:rPr>
        <w:t>）所述的股权激励对象的股份予以回购注销减少库存</w:t>
      </w:r>
      <w:r>
        <w:rPr>
          <w:spacing w:val="46"/>
        </w:rPr>
        <w:t> </w:t>
      </w:r>
      <w:r>
        <w:rPr>
          <w:spacing w:val="46"/>
        </w:rPr>
      </w:r>
      <w:r>
        <w:rPr/>
        <w:t>股。</w:t>
      </w:r>
    </w:p>
    <w:p>
      <w:pPr>
        <w:pStyle w:val="BodyText"/>
        <w:spacing w:line="316" w:lineRule="auto" w:before="17"/>
        <w:ind w:right="0"/>
        <w:jc w:val="left"/>
      </w:pPr>
      <w:r>
        <w:rPr/>
        <w:t>（</w:t>
      </w:r>
      <w:r>
        <w:rPr>
          <w:rFonts w:ascii="宋体" w:hAnsi="宋体" w:cs="宋体" w:eastAsia="宋体" w:hint="default"/>
        </w:rPr>
        <w:t>4</w:t>
      </w:r>
      <w:r>
        <w:rPr/>
        <w:t>）本年增加库存股</w:t>
      </w:r>
      <w:r>
        <w:rPr>
          <w:rFonts w:ascii="宋体" w:hAnsi="宋体" w:cs="宋体" w:eastAsia="宋体" w:hint="default"/>
        </w:rPr>
        <w:t>35,194,070.13</w:t>
      </w:r>
      <w:r>
        <w:rPr/>
        <w:t>元， </w:t>
      </w:r>
      <w:r>
        <w:rPr>
          <w:spacing w:val="-3"/>
        </w:rPr>
        <w:t>系按第三届董事会第三十一次会议审议通过的《关于</w:t>
      </w:r>
      <w:r>
        <w:rPr>
          <w:rFonts w:ascii="宋体" w:hAnsi="宋体" w:cs="宋体" w:eastAsia="宋体" w:hint="default"/>
          <w:spacing w:val="-3"/>
        </w:rPr>
        <w:t>&lt;</w:t>
      </w:r>
      <w:r>
        <w:rPr>
          <w:spacing w:val="-3"/>
        </w:rPr>
        <w:t>回购公司股份的预案</w:t>
      </w:r>
      <w:r>
        <w:rPr>
          <w:rFonts w:ascii="宋体" w:hAnsi="宋体" w:cs="宋体" w:eastAsia="宋体" w:hint="default"/>
          <w:spacing w:val="-3"/>
        </w:rPr>
        <w:t>&gt;</w:t>
      </w:r>
      <w:r>
        <w:rPr>
          <w:spacing w:val="-3"/>
        </w:rPr>
        <w:t>的议</w:t>
      </w:r>
      <w:r>
        <w:rPr>
          <w:spacing w:val="-74"/>
        </w:rPr>
        <w:t> </w:t>
      </w:r>
      <w:r>
        <w:rPr/>
        <w:t>案》回购股份</w:t>
      </w:r>
      <w:r>
        <w:rPr>
          <w:rFonts w:ascii="宋体" w:hAnsi="宋体" w:cs="宋体" w:eastAsia="宋体" w:hint="default"/>
        </w:rPr>
        <w:t>6,067,381</w:t>
      </w:r>
      <w:r>
        <w:rPr/>
        <w:t>股所致。</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Heading4"/>
        <w:spacing w:line="240" w:lineRule="auto" w:before="137"/>
        <w:ind w:right="0"/>
        <w:jc w:val="left"/>
        <w:rPr>
          <w:b w:val="0"/>
          <w:bCs w:val="0"/>
        </w:rPr>
      </w:pPr>
      <w:bookmarkStart w:name="57、其他综合收益" w:id="383"/>
      <w:bookmarkEnd w:id="383"/>
      <w:r>
        <w:rPr>
          <w:b w:val="0"/>
          <w:bCs w:val="0"/>
        </w:rPr>
      </w:r>
      <w:r>
        <w:rPr>
          <w:rFonts w:ascii="Times New Roman" w:hAnsi="Times New Roman" w:cs="Times New Roman" w:eastAsia="Times New Roman" w:hint="default"/>
        </w:rPr>
        <w:t>57</w:t>
      </w:r>
      <w:r>
        <w:rPr/>
        <w:t>、其他综合收益</w:t>
      </w:r>
      <w:r>
        <w:rPr>
          <w:b w:val="0"/>
          <w:bCs w:val="0"/>
        </w:rPr>
      </w:r>
    </w:p>
    <w:p>
      <w:pPr>
        <w:spacing w:line="240" w:lineRule="auto" w:before="9"/>
        <w:rPr>
          <w:rFonts w:ascii="宋体" w:hAnsi="宋体" w:cs="宋体" w:eastAsia="宋体" w:hint="default"/>
          <w:b/>
          <w:bCs/>
          <w:sz w:val="26"/>
          <w:szCs w:val="26"/>
        </w:rPr>
      </w:pPr>
    </w:p>
    <w:p>
      <w:pPr>
        <w:pStyle w:val="BodyText"/>
        <w:spacing w:line="240" w:lineRule="auto" w:before="0"/>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559"/>
        <w:gridCol w:w="975"/>
        <w:gridCol w:w="850"/>
        <w:gridCol w:w="1052"/>
        <w:gridCol w:w="850"/>
        <w:gridCol w:w="855"/>
        <w:gridCol w:w="854"/>
        <w:gridCol w:w="850"/>
        <w:gridCol w:w="725"/>
      </w:tblGrid>
      <w:tr>
        <w:trPr>
          <w:trHeight w:val="398" w:hRule="exact"/>
        </w:trPr>
        <w:tc>
          <w:tcPr>
            <w:tcW w:w="255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97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20"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5311"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72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4"/>
                <w:szCs w:val="24"/>
              </w:rPr>
            </w:pPr>
          </w:p>
          <w:p>
            <w:pPr>
              <w:pStyle w:val="TableParagraph"/>
              <w:spacing w:line="316" w:lineRule="auto"/>
              <w:ind w:left="177" w:right="170"/>
              <w:jc w:val="left"/>
              <w:rPr>
                <w:rFonts w:ascii="宋体" w:hAnsi="宋体" w:cs="宋体" w:eastAsia="宋体" w:hint="default"/>
                <w:sz w:val="18"/>
                <w:szCs w:val="18"/>
              </w:rPr>
            </w:pPr>
            <w:r>
              <w:rPr>
                <w:rFonts w:ascii="宋体" w:hAnsi="宋体" w:cs="宋体" w:eastAsia="宋体" w:hint="default"/>
                <w:sz w:val="18"/>
                <w:szCs w:val="18"/>
              </w:rPr>
              <w:t>期末</w:t>
            </w:r>
            <w:r>
              <w:rPr>
                <w:rFonts w:ascii="宋体" w:hAnsi="宋体" w:cs="宋体" w:eastAsia="宋体" w:hint="default"/>
                <w:spacing w:val="-86"/>
                <w:sz w:val="18"/>
                <w:szCs w:val="18"/>
              </w:rPr>
              <w:t> </w:t>
            </w:r>
            <w:r>
              <w:rPr>
                <w:rFonts w:ascii="宋体" w:hAnsi="宋体" w:cs="宋体" w:eastAsia="宋体" w:hint="default"/>
                <w:sz w:val="18"/>
                <w:szCs w:val="18"/>
              </w:rPr>
              <w:t>余额</w:t>
            </w:r>
          </w:p>
        </w:tc>
      </w:tr>
      <w:tr>
        <w:trPr>
          <w:trHeight w:val="2276" w:hRule="exact"/>
        </w:trPr>
        <w:tc>
          <w:tcPr>
            <w:tcW w:w="2559" w:type="dxa"/>
            <w:vMerge/>
            <w:tcBorders>
              <w:left w:val="single" w:sz="4" w:space="0" w:color="000000"/>
              <w:bottom w:val="single" w:sz="4" w:space="0" w:color="000000"/>
              <w:right w:val="single" w:sz="4" w:space="0" w:color="000000"/>
            </w:tcBorders>
            <w:shd w:val="clear" w:color="auto" w:fill="D2D2D2"/>
          </w:tcPr>
          <w:p>
            <w:pPr/>
          </w:p>
        </w:tc>
        <w:tc>
          <w:tcPr>
            <w:tcW w:w="975" w:type="dxa"/>
            <w:vMerge/>
            <w:tcBorders>
              <w:left w:val="single" w:sz="4" w:space="0" w:color="000000"/>
              <w:bottom w:val="single" w:sz="4" w:space="0" w:color="000000"/>
              <w:right w:val="single" w:sz="4" w:space="0" w:color="000000"/>
            </w:tcBorders>
            <w:shd w:val="clear" w:color="auto" w:fill="D2D2D2"/>
          </w:tcPr>
          <w:p>
            <w:pP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48" w:right="146"/>
              <w:jc w:val="both"/>
              <w:rPr>
                <w:rFonts w:ascii="宋体" w:hAnsi="宋体" w:cs="宋体" w:eastAsia="宋体" w:hint="default"/>
                <w:sz w:val="18"/>
                <w:szCs w:val="18"/>
              </w:rPr>
            </w:pPr>
            <w:r>
              <w:rPr>
                <w:rFonts w:ascii="宋体" w:hAnsi="宋体" w:cs="宋体" w:eastAsia="宋体" w:hint="default"/>
                <w:sz w:val="18"/>
                <w:szCs w:val="18"/>
              </w:rPr>
              <w:t>本期所</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得税前</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发生额</w:t>
            </w:r>
          </w:p>
        </w:tc>
        <w:tc>
          <w:tcPr>
            <w:tcW w:w="10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30"/>
              <w:ind w:left="105" w:right="94"/>
              <w:jc w:val="center"/>
              <w:rPr>
                <w:rFonts w:ascii="宋体" w:hAnsi="宋体" w:cs="宋体" w:eastAsia="宋体" w:hint="default"/>
                <w:sz w:val="18"/>
                <w:szCs w:val="18"/>
              </w:rPr>
            </w:pPr>
            <w:r>
              <w:rPr>
                <w:rFonts w:ascii="宋体" w:hAnsi="宋体" w:cs="宋体" w:eastAsia="宋体" w:hint="default"/>
                <w:spacing w:val="-15"/>
                <w:sz w:val="18"/>
                <w:szCs w:val="18"/>
              </w:rPr>
              <w:t>减：前期计</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入其他综</w:t>
            </w:r>
            <w:r>
              <w:rPr>
                <w:rFonts w:ascii="宋体" w:hAnsi="宋体" w:cs="宋体" w:eastAsia="宋体" w:hint="default"/>
                <w:w w:val="101"/>
                <w:sz w:val="18"/>
                <w:szCs w:val="18"/>
              </w:rPr>
              <w:t> </w:t>
            </w:r>
            <w:r>
              <w:rPr>
                <w:rFonts w:ascii="宋体" w:hAnsi="宋体" w:cs="宋体" w:eastAsia="宋体" w:hint="default"/>
                <w:sz w:val="18"/>
                <w:szCs w:val="18"/>
              </w:rPr>
              <w:t>合收益当</w:t>
            </w:r>
            <w:r>
              <w:rPr>
                <w:rFonts w:ascii="宋体" w:hAnsi="宋体" w:cs="宋体" w:eastAsia="宋体" w:hint="default"/>
                <w:w w:val="101"/>
                <w:sz w:val="18"/>
                <w:szCs w:val="18"/>
              </w:rPr>
              <w:t> </w:t>
            </w:r>
            <w:r>
              <w:rPr>
                <w:rFonts w:ascii="宋体" w:hAnsi="宋体" w:cs="宋体" w:eastAsia="宋体" w:hint="default"/>
                <w:sz w:val="18"/>
                <w:szCs w:val="18"/>
              </w:rPr>
              <w:t>期转入损</w:t>
            </w:r>
            <w:r>
              <w:rPr>
                <w:rFonts w:ascii="宋体" w:hAnsi="宋体" w:cs="宋体" w:eastAsia="宋体" w:hint="default"/>
                <w:w w:val="101"/>
                <w:sz w:val="18"/>
                <w:szCs w:val="18"/>
              </w:rPr>
              <w:t> </w:t>
            </w:r>
            <w:r>
              <w:rPr>
                <w:rFonts w:ascii="宋体" w:hAnsi="宋体" w:cs="宋体" w:eastAsia="宋体" w:hint="default"/>
                <w:sz w:val="18"/>
                <w:szCs w:val="18"/>
              </w:rPr>
              <w:t>益</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105" w:right="94"/>
              <w:jc w:val="center"/>
              <w:rPr>
                <w:rFonts w:ascii="宋体" w:hAnsi="宋体" w:cs="宋体" w:eastAsia="宋体" w:hint="default"/>
                <w:sz w:val="18"/>
                <w:szCs w:val="18"/>
              </w:rPr>
            </w:pPr>
            <w:r>
              <w:rPr>
                <w:rFonts w:ascii="宋体" w:hAnsi="宋体" w:cs="宋体" w:eastAsia="宋体" w:hint="default"/>
                <w:spacing w:val="-23"/>
                <w:w w:val="101"/>
                <w:sz w:val="18"/>
                <w:szCs w:val="18"/>
              </w:rPr>
              <w:t>减：前期</w:t>
            </w:r>
            <w:r>
              <w:rPr>
                <w:rFonts w:ascii="宋体" w:hAnsi="宋体" w:cs="宋体" w:eastAsia="宋体" w:hint="default"/>
                <w:w w:val="101"/>
                <w:sz w:val="18"/>
                <w:szCs w:val="18"/>
              </w:rPr>
              <w:t> </w:t>
            </w:r>
            <w:r>
              <w:rPr>
                <w:rFonts w:ascii="宋体" w:hAnsi="宋体" w:cs="宋体" w:eastAsia="宋体" w:hint="default"/>
                <w:sz w:val="18"/>
                <w:szCs w:val="18"/>
              </w:rPr>
              <w:t>计入其</w:t>
            </w:r>
            <w:r>
              <w:rPr>
                <w:rFonts w:ascii="宋体" w:hAnsi="宋体" w:cs="宋体" w:eastAsia="宋体" w:hint="default"/>
                <w:w w:val="101"/>
                <w:sz w:val="18"/>
                <w:szCs w:val="18"/>
              </w:rPr>
              <w:t> </w:t>
            </w:r>
            <w:r>
              <w:rPr>
                <w:rFonts w:ascii="宋体" w:hAnsi="宋体" w:cs="宋体" w:eastAsia="宋体" w:hint="default"/>
                <w:sz w:val="18"/>
                <w:szCs w:val="18"/>
              </w:rPr>
              <w:t>他综合</w:t>
            </w:r>
            <w:r>
              <w:rPr>
                <w:rFonts w:ascii="宋体" w:hAnsi="宋体" w:cs="宋体" w:eastAsia="宋体" w:hint="default"/>
                <w:w w:val="101"/>
                <w:sz w:val="18"/>
                <w:szCs w:val="18"/>
              </w:rPr>
              <w:t> </w:t>
            </w:r>
            <w:r>
              <w:rPr>
                <w:rFonts w:ascii="宋体" w:hAnsi="宋体" w:cs="宋体" w:eastAsia="宋体" w:hint="default"/>
                <w:sz w:val="18"/>
                <w:szCs w:val="18"/>
              </w:rPr>
              <w:t>收益当</w:t>
            </w:r>
            <w:r>
              <w:rPr>
                <w:rFonts w:ascii="宋体" w:hAnsi="宋体" w:cs="宋体" w:eastAsia="宋体" w:hint="default"/>
                <w:w w:val="101"/>
                <w:sz w:val="18"/>
                <w:szCs w:val="18"/>
              </w:rPr>
              <w:t> </w:t>
            </w:r>
            <w:r>
              <w:rPr>
                <w:rFonts w:ascii="宋体" w:hAnsi="宋体" w:cs="宋体" w:eastAsia="宋体" w:hint="default"/>
                <w:sz w:val="18"/>
                <w:szCs w:val="18"/>
              </w:rPr>
              <w:t>期转入</w:t>
            </w:r>
            <w:r>
              <w:rPr>
                <w:rFonts w:ascii="宋体" w:hAnsi="宋体" w:cs="宋体" w:eastAsia="宋体" w:hint="default"/>
                <w:w w:val="101"/>
                <w:sz w:val="18"/>
                <w:szCs w:val="18"/>
              </w:rPr>
              <w:t> </w:t>
            </w:r>
            <w:r>
              <w:rPr>
                <w:rFonts w:ascii="宋体" w:hAnsi="宋体" w:cs="宋体" w:eastAsia="宋体" w:hint="default"/>
                <w:sz w:val="18"/>
                <w:szCs w:val="18"/>
              </w:rPr>
              <w:t>留存收</w:t>
            </w:r>
            <w:r>
              <w:rPr>
                <w:rFonts w:ascii="宋体" w:hAnsi="宋体" w:cs="宋体" w:eastAsia="宋体" w:hint="default"/>
                <w:w w:val="101"/>
                <w:sz w:val="18"/>
                <w:szCs w:val="18"/>
              </w:rPr>
              <w:t> </w:t>
            </w:r>
            <w:r>
              <w:rPr>
                <w:rFonts w:ascii="宋体" w:hAnsi="宋体" w:cs="宋体" w:eastAsia="宋体" w:hint="default"/>
                <w:sz w:val="18"/>
                <w:szCs w:val="18"/>
              </w:rPr>
              <w:t>益</w:t>
            </w:r>
          </w:p>
        </w:tc>
        <w:tc>
          <w:tcPr>
            <w:tcW w:w="8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30"/>
              <w:ind w:left="153" w:right="99" w:hanging="48"/>
              <w:jc w:val="left"/>
              <w:rPr>
                <w:rFonts w:ascii="宋体" w:hAnsi="宋体" w:cs="宋体" w:eastAsia="宋体" w:hint="default"/>
                <w:sz w:val="18"/>
                <w:szCs w:val="18"/>
              </w:rPr>
            </w:pPr>
            <w:r>
              <w:rPr>
                <w:rFonts w:ascii="宋体" w:hAnsi="宋体" w:cs="宋体" w:eastAsia="宋体" w:hint="default"/>
                <w:spacing w:val="-23"/>
                <w:w w:val="101"/>
                <w:sz w:val="18"/>
                <w:szCs w:val="18"/>
              </w:rPr>
              <w:t>减：所得</w:t>
            </w:r>
            <w:r>
              <w:rPr>
                <w:rFonts w:ascii="宋体" w:hAnsi="宋体" w:cs="宋体" w:eastAsia="宋体" w:hint="default"/>
                <w:w w:val="101"/>
                <w:sz w:val="18"/>
                <w:szCs w:val="18"/>
              </w:rPr>
              <w:t> </w:t>
            </w:r>
            <w:r>
              <w:rPr>
                <w:rFonts w:ascii="宋体" w:hAnsi="宋体" w:cs="宋体" w:eastAsia="宋体" w:hint="default"/>
                <w:sz w:val="18"/>
                <w:szCs w:val="18"/>
              </w:rPr>
              <w:t>税费用</w:t>
            </w:r>
          </w:p>
        </w:tc>
        <w:tc>
          <w:tcPr>
            <w:tcW w:w="8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53" w:right="146"/>
              <w:jc w:val="both"/>
              <w:rPr>
                <w:rFonts w:ascii="宋体" w:hAnsi="宋体" w:cs="宋体" w:eastAsia="宋体" w:hint="default"/>
                <w:sz w:val="18"/>
                <w:szCs w:val="18"/>
              </w:rPr>
            </w:pPr>
            <w:r>
              <w:rPr>
                <w:rFonts w:ascii="宋体" w:hAnsi="宋体" w:cs="宋体" w:eastAsia="宋体" w:hint="default"/>
                <w:sz w:val="18"/>
                <w:szCs w:val="18"/>
              </w:rPr>
              <w:t>税后归</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属于母</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公司</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48" w:right="147"/>
              <w:jc w:val="both"/>
              <w:rPr>
                <w:rFonts w:ascii="宋体" w:hAnsi="宋体" w:cs="宋体" w:eastAsia="宋体" w:hint="default"/>
                <w:sz w:val="18"/>
                <w:szCs w:val="18"/>
              </w:rPr>
            </w:pPr>
            <w:r>
              <w:rPr>
                <w:rFonts w:ascii="宋体" w:hAnsi="宋体" w:cs="宋体" w:eastAsia="宋体" w:hint="default"/>
                <w:sz w:val="18"/>
                <w:szCs w:val="18"/>
              </w:rPr>
              <w:t>税后归</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属于少</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数股东</w:t>
            </w:r>
          </w:p>
        </w:tc>
        <w:tc>
          <w:tcPr>
            <w:tcW w:w="725" w:type="dxa"/>
            <w:vMerge/>
            <w:tcBorders>
              <w:left w:val="single" w:sz="4" w:space="0" w:color="000000"/>
              <w:bottom w:val="single" w:sz="4" w:space="0" w:color="000000"/>
              <w:right w:val="single" w:sz="4" w:space="0" w:color="000000"/>
            </w:tcBorders>
            <w:shd w:val="clear" w:color="auto" w:fill="D2D2D2"/>
          </w:tcPr>
          <w:p>
            <w:pPr/>
          </w:p>
        </w:tc>
      </w:tr>
      <w:tr>
        <w:trPr>
          <w:trHeight w:val="715" w:hRule="exact"/>
        </w:trPr>
        <w:tc>
          <w:tcPr>
            <w:tcW w:w="2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05" w:right="99"/>
              <w:jc w:val="left"/>
              <w:rPr>
                <w:rFonts w:ascii="宋体" w:hAnsi="宋体" w:cs="宋体" w:eastAsia="宋体" w:hint="default"/>
                <w:sz w:val="18"/>
                <w:szCs w:val="18"/>
              </w:rPr>
            </w:pPr>
            <w:r>
              <w:rPr>
                <w:rFonts w:ascii="宋体" w:hAnsi="宋体" w:cs="宋体" w:eastAsia="宋体" w:hint="default"/>
                <w:spacing w:val="-3"/>
                <w:sz w:val="18"/>
                <w:szCs w:val="18"/>
              </w:rPr>
              <w:t>二、将重分类进损益的其他综</w:t>
            </w:r>
            <w:r>
              <w:rPr>
                <w:rFonts w:ascii="宋体" w:hAnsi="宋体" w:cs="宋体" w:eastAsia="宋体" w:hint="default"/>
                <w:spacing w:val="-50"/>
                <w:sz w:val="18"/>
                <w:szCs w:val="18"/>
              </w:rPr>
              <w:t> </w:t>
            </w:r>
            <w:r>
              <w:rPr>
                <w:rFonts w:ascii="宋体" w:hAnsi="宋体" w:cs="宋体" w:eastAsia="宋体" w:hint="default"/>
                <w:spacing w:val="-50"/>
                <w:sz w:val="18"/>
                <w:szCs w:val="18"/>
              </w:rPr>
            </w:r>
            <w:r>
              <w:rPr>
                <w:rFonts w:ascii="宋体" w:hAnsi="宋体" w:cs="宋体" w:eastAsia="宋体" w:hint="default"/>
                <w:sz w:val="18"/>
                <w:szCs w:val="18"/>
              </w:rPr>
              <w:t>合收益</w:t>
            </w:r>
          </w:p>
        </w:tc>
        <w:tc>
          <w:tcPr>
            <w:tcW w:w="9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58,527.18</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6"/>
              <w:jc w:val="right"/>
              <w:rPr>
                <w:rFonts w:ascii="Times New Roman" w:hAnsi="Times New Roman" w:cs="Times New Roman" w:eastAsia="Times New Roman" w:hint="default"/>
                <w:sz w:val="18"/>
                <w:szCs w:val="18"/>
              </w:rPr>
            </w:pPr>
            <w:r>
              <w:rPr>
                <w:rFonts w:ascii="Times New Roman"/>
                <w:spacing w:val="-1"/>
                <w:sz w:val="18"/>
              </w:rPr>
              <w:t>621,831.</w:t>
            </w:r>
          </w:p>
          <w:p>
            <w:pPr>
              <w:pStyle w:val="TableParagraph"/>
              <w:spacing w:line="240" w:lineRule="auto" w:before="110"/>
              <w:ind w:right="95"/>
              <w:jc w:val="right"/>
              <w:rPr>
                <w:rFonts w:ascii="Times New Roman" w:hAnsi="Times New Roman" w:cs="Times New Roman" w:eastAsia="Times New Roman" w:hint="default"/>
                <w:sz w:val="18"/>
                <w:szCs w:val="18"/>
              </w:rPr>
            </w:pPr>
            <w:r>
              <w:rPr>
                <w:rFonts w:ascii="Times New Roman"/>
                <w:sz w:val="18"/>
              </w:rPr>
              <w:t>77</w:t>
            </w:r>
          </w:p>
        </w:tc>
        <w:tc>
          <w:tcPr>
            <w:tcW w:w="105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5" w:type="dxa"/>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6"/>
              <w:jc w:val="right"/>
              <w:rPr>
                <w:rFonts w:ascii="Times New Roman" w:hAnsi="Times New Roman" w:cs="Times New Roman" w:eastAsia="Times New Roman" w:hint="default"/>
                <w:sz w:val="18"/>
                <w:szCs w:val="18"/>
              </w:rPr>
            </w:pPr>
            <w:r>
              <w:rPr>
                <w:rFonts w:ascii="Times New Roman"/>
                <w:spacing w:val="-1"/>
                <w:sz w:val="18"/>
              </w:rPr>
              <w:t>621,831.</w:t>
            </w:r>
          </w:p>
          <w:p>
            <w:pPr>
              <w:pStyle w:val="TableParagraph"/>
              <w:spacing w:line="240" w:lineRule="auto" w:before="110"/>
              <w:ind w:right="95"/>
              <w:jc w:val="right"/>
              <w:rPr>
                <w:rFonts w:ascii="Times New Roman" w:hAnsi="Times New Roman" w:cs="Times New Roman" w:eastAsia="Times New Roman" w:hint="default"/>
                <w:sz w:val="18"/>
                <w:szCs w:val="18"/>
              </w:rPr>
            </w:pPr>
            <w:r>
              <w:rPr>
                <w:rFonts w:ascii="Times New Roman"/>
                <w:sz w:val="18"/>
              </w:rPr>
              <w:t>77</w:t>
            </w:r>
          </w:p>
        </w:tc>
        <w:tc>
          <w:tcPr>
            <w:tcW w:w="850"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4" w:right="0"/>
              <w:jc w:val="center"/>
              <w:rPr>
                <w:rFonts w:ascii="Times New Roman" w:hAnsi="Times New Roman" w:cs="Times New Roman" w:eastAsia="Times New Roman" w:hint="default"/>
                <w:sz w:val="18"/>
                <w:szCs w:val="18"/>
              </w:rPr>
            </w:pPr>
            <w:r>
              <w:rPr>
                <w:rFonts w:ascii="Times New Roman"/>
                <w:sz w:val="18"/>
              </w:rPr>
              <w:t>680,35</w:t>
            </w:r>
          </w:p>
          <w:p>
            <w:pPr>
              <w:pStyle w:val="TableParagraph"/>
              <w:spacing w:line="240" w:lineRule="auto" w:before="110"/>
              <w:ind w:left="201" w:right="0"/>
              <w:jc w:val="center"/>
              <w:rPr>
                <w:rFonts w:ascii="Times New Roman" w:hAnsi="Times New Roman" w:cs="Times New Roman" w:eastAsia="Times New Roman" w:hint="default"/>
                <w:sz w:val="18"/>
                <w:szCs w:val="18"/>
              </w:rPr>
            </w:pPr>
            <w:r>
              <w:rPr>
                <w:rFonts w:ascii="Times New Roman"/>
                <w:sz w:val="18"/>
              </w:rPr>
              <w:t>8.95</w:t>
            </w:r>
          </w:p>
        </w:tc>
      </w:tr>
      <w:tr>
        <w:trPr>
          <w:trHeight w:val="715" w:hRule="exact"/>
        </w:trPr>
        <w:tc>
          <w:tcPr>
            <w:tcW w:w="2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648" w:right="0"/>
              <w:jc w:val="left"/>
              <w:rPr>
                <w:rFonts w:ascii="宋体" w:hAnsi="宋体" w:cs="宋体" w:eastAsia="宋体" w:hint="default"/>
                <w:sz w:val="18"/>
                <w:szCs w:val="18"/>
              </w:rPr>
            </w:pPr>
            <w:r>
              <w:rPr>
                <w:rFonts w:ascii="宋体" w:hAnsi="宋体" w:cs="宋体" w:eastAsia="宋体" w:hint="default"/>
                <w:spacing w:val="-3"/>
                <w:sz w:val="18"/>
                <w:szCs w:val="18"/>
              </w:rPr>
              <w:t>外币财务报表折算差额</w:t>
            </w:r>
          </w:p>
        </w:tc>
        <w:tc>
          <w:tcPr>
            <w:tcW w:w="9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58,527.18</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6"/>
              <w:jc w:val="right"/>
              <w:rPr>
                <w:rFonts w:ascii="Times New Roman" w:hAnsi="Times New Roman" w:cs="Times New Roman" w:eastAsia="Times New Roman" w:hint="default"/>
                <w:sz w:val="18"/>
                <w:szCs w:val="18"/>
              </w:rPr>
            </w:pPr>
            <w:r>
              <w:rPr>
                <w:rFonts w:ascii="Times New Roman"/>
                <w:spacing w:val="-1"/>
                <w:sz w:val="18"/>
              </w:rPr>
              <w:t>621,831.</w:t>
            </w:r>
          </w:p>
          <w:p>
            <w:pPr>
              <w:pStyle w:val="TableParagraph"/>
              <w:spacing w:line="240" w:lineRule="auto" w:before="105"/>
              <w:ind w:right="95"/>
              <w:jc w:val="right"/>
              <w:rPr>
                <w:rFonts w:ascii="Times New Roman" w:hAnsi="Times New Roman" w:cs="Times New Roman" w:eastAsia="Times New Roman" w:hint="default"/>
                <w:sz w:val="18"/>
                <w:szCs w:val="18"/>
              </w:rPr>
            </w:pPr>
            <w:r>
              <w:rPr>
                <w:rFonts w:ascii="Times New Roman"/>
                <w:sz w:val="18"/>
              </w:rPr>
              <w:t>77</w:t>
            </w:r>
          </w:p>
        </w:tc>
        <w:tc>
          <w:tcPr>
            <w:tcW w:w="105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5" w:type="dxa"/>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6"/>
              <w:jc w:val="right"/>
              <w:rPr>
                <w:rFonts w:ascii="Times New Roman" w:hAnsi="Times New Roman" w:cs="Times New Roman" w:eastAsia="Times New Roman" w:hint="default"/>
                <w:sz w:val="18"/>
                <w:szCs w:val="18"/>
              </w:rPr>
            </w:pPr>
            <w:r>
              <w:rPr>
                <w:rFonts w:ascii="Times New Roman"/>
                <w:spacing w:val="-1"/>
                <w:sz w:val="18"/>
              </w:rPr>
              <w:t>621,831.</w:t>
            </w:r>
          </w:p>
          <w:p>
            <w:pPr>
              <w:pStyle w:val="TableParagraph"/>
              <w:spacing w:line="240" w:lineRule="auto" w:before="105"/>
              <w:ind w:right="95"/>
              <w:jc w:val="right"/>
              <w:rPr>
                <w:rFonts w:ascii="Times New Roman" w:hAnsi="Times New Roman" w:cs="Times New Roman" w:eastAsia="Times New Roman" w:hint="default"/>
                <w:sz w:val="18"/>
                <w:szCs w:val="18"/>
              </w:rPr>
            </w:pPr>
            <w:r>
              <w:rPr>
                <w:rFonts w:ascii="Times New Roman"/>
                <w:sz w:val="18"/>
              </w:rPr>
              <w:t>77</w:t>
            </w:r>
          </w:p>
        </w:tc>
        <w:tc>
          <w:tcPr>
            <w:tcW w:w="850"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4" w:right="0"/>
              <w:jc w:val="center"/>
              <w:rPr>
                <w:rFonts w:ascii="Times New Roman" w:hAnsi="Times New Roman" w:cs="Times New Roman" w:eastAsia="Times New Roman" w:hint="default"/>
                <w:sz w:val="18"/>
                <w:szCs w:val="18"/>
              </w:rPr>
            </w:pPr>
            <w:r>
              <w:rPr>
                <w:rFonts w:ascii="Times New Roman"/>
                <w:sz w:val="18"/>
              </w:rPr>
              <w:t>680,35</w:t>
            </w:r>
          </w:p>
          <w:p>
            <w:pPr>
              <w:pStyle w:val="TableParagraph"/>
              <w:spacing w:line="240" w:lineRule="auto" w:before="105"/>
              <w:ind w:left="201" w:right="0"/>
              <w:jc w:val="center"/>
              <w:rPr>
                <w:rFonts w:ascii="Times New Roman" w:hAnsi="Times New Roman" w:cs="Times New Roman" w:eastAsia="Times New Roman" w:hint="default"/>
                <w:sz w:val="18"/>
                <w:szCs w:val="18"/>
              </w:rPr>
            </w:pPr>
            <w:r>
              <w:rPr>
                <w:rFonts w:ascii="Times New Roman"/>
                <w:sz w:val="18"/>
              </w:rPr>
              <w:t>8.95</w:t>
            </w:r>
          </w:p>
        </w:tc>
      </w:tr>
      <w:tr>
        <w:trPr>
          <w:trHeight w:val="711" w:hRule="exact"/>
        </w:trPr>
        <w:tc>
          <w:tcPr>
            <w:tcW w:w="2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其他综合收益合计</w:t>
            </w:r>
          </w:p>
        </w:tc>
        <w:tc>
          <w:tcPr>
            <w:tcW w:w="9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58,527.18</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6"/>
              <w:jc w:val="right"/>
              <w:rPr>
                <w:rFonts w:ascii="Times New Roman" w:hAnsi="Times New Roman" w:cs="Times New Roman" w:eastAsia="Times New Roman" w:hint="default"/>
                <w:sz w:val="18"/>
                <w:szCs w:val="18"/>
              </w:rPr>
            </w:pPr>
            <w:r>
              <w:rPr>
                <w:rFonts w:ascii="Times New Roman"/>
                <w:spacing w:val="-1"/>
                <w:sz w:val="18"/>
              </w:rPr>
              <w:t>621,831.</w:t>
            </w:r>
          </w:p>
          <w:p>
            <w:pPr>
              <w:pStyle w:val="TableParagraph"/>
              <w:spacing w:line="240" w:lineRule="auto" w:before="105"/>
              <w:ind w:right="95"/>
              <w:jc w:val="right"/>
              <w:rPr>
                <w:rFonts w:ascii="Times New Roman" w:hAnsi="Times New Roman" w:cs="Times New Roman" w:eastAsia="Times New Roman" w:hint="default"/>
                <w:sz w:val="18"/>
                <w:szCs w:val="18"/>
              </w:rPr>
            </w:pPr>
            <w:r>
              <w:rPr>
                <w:rFonts w:ascii="Times New Roman"/>
                <w:sz w:val="18"/>
              </w:rPr>
              <w:t>77</w:t>
            </w:r>
          </w:p>
        </w:tc>
        <w:tc>
          <w:tcPr>
            <w:tcW w:w="105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5" w:type="dxa"/>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6"/>
              <w:jc w:val="right"/>
              <w:rPr>
                <w:rFonts w:ascii="Times New Roman" w:hAnsi="Times New Roman" w:cs="Times New Roman" w:eastAsia="Times New Roman" w:hint="default"/>
                <w:sz w:val="18"/>
                <w:szCs w:val="18"/>
              </w:rPr>
            </w:pPr>
            <w:r>
              <w:rPr>
                <w:rFonts w:ascii="Times New Roman"/>
                <w:spacing w:val="-1"/>
                <w:sz w:val="18"/>
              </w:rPr>
              <w:t>621,831.</w:t>
            </w:r>
          </w:p>
          <w:p>
            <w:pPr>
              <w:pStyle w:val="TableParagraph"/>
              <w:spacing w:line="240" w:lineRule="auto" w:before="105"/>
              <w:ind w:right="95"/>
              <w:jc w:val="right"/>
              <w:rPr>
                <w:rFonts w:ascii="Times New Roman" w:hAnsi="Times New Roman" w:cs="Times New Roman" w:eastAsia="Times New Roman" w:hint="default"/>
                <w:sz w:val="18"/>
                <w:szCs w:val="18"/>
              </w:rPr>
            </w:pPr>
            <w:r>
              <w:rPr>
                <w:rFonts w:ascii="Times New Roman"/>
                <w:sz w:val="18"/>
              </w:rPr>
              <w:t>77</w:t>
            </w:r>
          </w:p>
        </w:tc>
        <w:tc>
          <w:tcPr>
            <w:tcW w:w="850"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4" w:right="0"/>
              <w:jc w:val="center"/>
              <w:rPr>
                <w:rFonts w:ascii="Times New Roman" w:hAnsi="Times New Roman" w:cs="Times New Roman" w:eastAsia="Times New Roman" w:hint="default"/>
                <w:sz w:val="18"/>
                <w:szCs w:val="18"/>
              </w:rPr>
            </w:pPr>
            <w:r>
              <w:rPr>
                <w:rFonts w:ascii="Times New Roman"/>
                <w:sz w:val="18"/>
              </w:rPr>
              <w:t>680,35</w:t>
            </w:r>
          </w:p>
          <w:p>
            <w:pPr>
              <w:pStyle w:val="TableParagraph"/>
              <w:spacing w:line="240" w:lineRule="auto" w:before="105"/>
              <w:ind w:left="201" w:right="0"/>
              <w:jc w:val="center"/>
              <w:rPr>
                <w:rFonts w:ascii="Times New Roman" w:hAnsi="Times New Roman" w:cs="Times New Roman" w:eastAsia="Times New Roman" w:hint="default"/>
                <w:sz w:val="18"/>
                <w:szCs w:val="18"/>
              </w:rPr>
            </w:pPr>
            <w:r>
              <w:rPr>
                <w:rFonts w:ascii="Times New Roman"/>
                <w:sz w:val="18"/>
              </w:rPr>
              <w:t>8.95</w:t>
            </w:r>
          </w:p>
        </w:tc>
      </w:tr>
    </w:tbl>
    <w:p>
      <w:pPr>
        <w:pStyle w:val="BodyText"/>
        <w:spacing w:line="357" w:lineRule="auto" w:before="53"/>
        <w:ind w:right="3882"/>
        <w:jc w:val="left"/>
      </w:pPr>
      <w:r>
        <w:rPr>
          <w:spacing w:val="-3"/>
        </w:rPr>
        <w:t>其他说明，包括对现金流量套期损益的有效部分转为被套期项目初始确认金额调整：</w:t>
      </w:r>
      <w:r>
        <w:rPr>
          <w:spacing w:val="19"/>
        </w:rPr>
        <w:t> </w:t>
      </w:r>
      <w:r>
        <w:rPr>
          <w:spacing w:val="19"/>
        </w:rPr>
      </w:r>
      <w:r>
        <w:rPr/>
        <w:t>无。</w:t>
      </w:r>
    </w:p>
    <w:p>
      <w:pPr>
        <w:spacing w:line="240" w:lineRule="auto" w:before="4"/>
        <w:rPr>
          <w:rFonts w:ascii="宋体" w:hAnsi="宋体" w:cs="宋体" w:eastAsia="宋体" w:hint="default"/>
          <w:sz w:val="20"/>
          <w:szCs w:val="20"/>
        </w:rPr>
      </w:pPr>
    </w:p>
    <w:p>
      <w:pPr>
        <w:pStyle w:val="Heading4"/>
        <w:spacing w:line="240" w:lineRule="auto"/>
        <w:ind w:right="0"/>
        <w:jc w:val="left"/>
        <w:rPr>
          <w:b w:val="0"/>
          <w:bCs w:val="0"/>
        </w:rPr>
      </w:pPr>
      <w:bookmarkStart w:name="58、专项储备" w:id="384"/>
      <w:bookmarkEnd w:id="384"/>
      <w:r>
        <w:rPr>
          <w:b w:val="0"/>
          <w:bCs w:val="0"/>
        </w:rPr>
      </w:r>
      <w:r>
        <w:rPr>
          <w:rFonts w:ascii="Times New Roman" w:hAnsi="Times New Roman" w:cs="Times New Roman" w:eastAsia="Times New Roman" w:hint="default"/>
        </w:rPr>
        <w:t>58</w:t>
      </w:r>
      <w:r>
        <w:rPr/>
        <w:t>、专项储备</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11"/>
        <w:gridCol w:w="1921"/>
        <w:gridCol w:w="1911"/>
        <w:gridCol w:w="1916"/>
        <w:gridCol w:w="1916"/>
      </w:tblGrid>
      <w:tr>
        <w:trPr>
          <w:trHeight w:val="401"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0"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5"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5" w:right="0"/>
              <w:jc w:val="left"/>
              <w:rPr>
                <w:rFonts w:ascii="宋体" w:hAnsi="宋体" w:cs="宋体" w:eastAsia="宋体" w:hint="default"/>
                <w:sz w:val="18"/>
                <w:szCs w:val="18"/>
              </w:rPr>
            </w:pPr>
            <w:r>
              <w:rPr>
                <w:rFonts w:ascii="宋体" w:hAnsi="宋体" w:cs="宋体" w:eastAsia="宋体" w:hint="default"/>
                <w:sz w:val="18"/>
                <w:szCs w:val="18"/>
              </w:rPr>
              <w:t>期末余额</w:t>
            </w:r>
          </w:p>
        </w:tc>
      </w:tr>
    </w:tbl>
    <w:p>
      <w:pPr>
        <w:pStyle w:val="BodyText"/>
        <w:spacing w:line="352" w:lineRule="auto" w:before="56"/>
        <w:ind w:right="6445"/>
        <w:jc w:val="left"/>
      </w:pPr>
      <w:r>
        <w:rPr>
          <w:spacing w:val="-3"/>
        </w:rPr>
        <w:t>其他说明，包括本期增减变动情况、变动原因说明：</w:t>
      </w:r>
      <w:r>
        <w:rPr>
          <w:spacing w:val="-21"/>
        </w:rPr>
        <w:t> </w:t>
      </w:r>
      <w:r>
        <w:rPr>
          <w:spacing w:val="-21"/>
        </w:rPr>
      </w:r>
      <w:r>
        <w:rPr/>
        <w:t>无。</w:t>
      </w:r>
    </w:p>
    <w:p>
      <w:pPr>
        <w:spacing w:after="0" w:line="352" w:lineRule="auto"/>
        <w:jc w:val="left"/>
        <w:sectPr>
          <w:pgSz w:w="11910" w:h="16840"/>
          <w:pgMar w:header="784" w:footer="1022" w:top="1100" w:bottom="1220" w:left="980" w:right="0"/>
        </w:sectPr>
      </w:pPr>
    </w:p>
    <w:p>
      <w:pPr>
        <w:spacing w:line="240" w:lineRule="auto" w:before="13"/>
        <w:rPr>
          <w:rFonts w:ascii="宋体" w:hAnsi="宋体" w:cs="宋体" w:eastAsia="宋体" w:hint="default"/>
          <w:sz w:val="21"/>
          <w:szCs w:val="21"/>
        </w:rPr>
      </w:pPr>
    </w:p>
    <w:p>
      <w:pPr>
        <w:pStyle w:val="Heading4"/>
        <w:spacing w:line="240" w:lineRule="auto" w:before="36"/>
        <w:ind w:right="0"/>
        <w:jc w:val="left"/>
        <w:rPr>
          <w:b w:val="0"/>
          <w:bCs w:val="0"/>
        </w:rPr>
      </w:pPr>
      <w:bookmarkStart w:name="59、盈余公积" w:id="385"/>
      <w:bookmarkEnd w:id="385"/>
      <w:r>
        <w:rPr>
          <w:b w:val="0"/>
          <w:bCs w:val="0"/>
        </w:rPr>
      </w:r>
      <w:r>
        <w:rPr>
          <w:rFonts w:ascii="Times New Roman" w:hAnsi="Times New Roman" w:cs="Times New Roman" w:eastAsia="Times New Roman" w:hint="default"/>
        </w:rPr>
        <w:t>59</w:t>
      </w:r>
      <w:r>
        <w:rPr/>
        <w:t>、盈余公积</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11"/>
        <w:gridCol w:w="1921"/>
        <w:gridCol w:w="1911"/>
        <w:gridCol w:w="1916"/>
        <w:gridCol w:w="1916"/>
      </w:tblGrid>
      <w:tr>
        <w:trPr>
          <w:trHeight w:val="404"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59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590"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595"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595"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法定盈余公积</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47,223,013.84</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16,912,139.74</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64,135,153.58</w:t>
            </w:r>
          </w:p>
        </w:tc>
      </w:tr>
      <w:tr>
        <w:trPr>
          <w:trHeight w:val="398"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47,223,013.84</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16,912,139.74</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64,135,153.58</w:t>
            </w:r>
          </w:p>
        </w:tc>
      </w:tr>
    </w:tbl>
    <w:p>
      <w:pPr>
        <w:pStyle w:val="BodyText"/>
        <w:spacing w:line="357" w:lineRule="auto" w:before="53"/>
        <w:ind w:left="633" w:right="0" w:hanging="480"/>
        <w:jc w:val="left"/>
      </w:pPr>
      <w:r>
        <w:rPr>
          <w:spacing w:val="-3"/>
        </w:rPr>
        <w:t>盈余公积说明，包括本期增减变动情况、变动原因说明：</w:t>
      </w:r>
      <w:r>
        <w:rPr>
          <w:spacing w:val="-15"/>
        </w:rPr>
        <w:t> </w:t>
      </w:r>
      <w:r>
        <w:rPr>
          <w:spacing w:val="-15"/>
        </w:rPr>
      </w:r>
      <w:r>
        <w:rPr>
          <w:spacing w:val="-1"/>
        </w:rPr>
        <w:t>注：根据公司法、章程的规定，本公司按净利润的</w:t>
      </w:r>
      <w:r>
        <w:rPr>
          <w:rFonts w:ascii="宋体" w:hAnsi="宋体" w:cs="宋体" w:eastAsia="宋体" w:hint="default"/>
          <w:spacing w:val="-1"/>
        </w:rPr>
        <w:t>10%</w:t>
      </w:r>
      <w:r>
        <w:rPr>
          <w:spacing w:val="-1"/>
        </w:rPr>
        <w:t>提取法定盈余公积金。法定盈余公积累计达到本公司注册资本</w:t>
      </w:r>
    </w:p>
    <w:p>
      <w:pPr>
        <w:pStyle w:val="BodyText"/>
        <w:spacing w:line="224" w:lineRule="exact" w:before="0"/>
        <w:ind w:right="0"/>
        <w:jc w:val="left"/>
      </w:pPr>
      <w:r>
        <w:rPr>
          <w:rFonts w:ascii="宋体" w:hAnsi="宋体" w:cs="宋体" w:eastAsia="宋体" w:hint="default"/>
        </w:rPr>
        <w:t>50%</w:t>
      </w:r>
      <w:r>
        <w:rPr/>
        <w:t>以上，可不再提取。</w:t>
      </w:r>
    </w:p>
    <w:p>
      <w:pPr>
        <w:spacing w:line="240" w:lineRule="auto" w:before="0"/>
        <w:rPr>
          <w:rFonts w:ascii="宋体" w:hAnsi="宋体" w:cs="宋体" w:eastAsia="宋体" w:hint="default"/>
          <w:sz w:val="18"/>
          <w:szCs w:val="18"/>
        </w:rPr>
      </w:pPr>
    </w:p>
    <w:p>
      <w:pPr>
        <w:pStyle w:val="Heading4"/>
        <w:spacing w:line="240" w:lineRule="auto" w:before="118"/>
        <w:ind w:right="0"/>
        <w:jc w:val="left"/>
        <w:rPr>
          <w:b w:val="0"/>
          <w:bCs w:val="0"/>
        </w:rPr>
      </w:pPr>
      <w:bookmarkStart w:name="60、未分配利润" w:id="386"/>
      <w:bookmarkEnd w:id="386"/>
      <w:r>
        <w:rPr>
          <w:b w:val="0"/>
          <w:bCs w:val="0"/>
        </w:rPr>
      </w:r>
      <w:r>
        <w:rPr>
          <w:rFonts w:ascii="Times New Roman" w:hAnsi="Times New Roman" w:cs="Times New Roman" w:eastAsia="Times New Roman" w:hint="default"/>
        </w:rPr>
        <w:t>60</w:t>
      </w:r>
      <w:r>
        <w:rPr/>
        <w:t>、未分配利润</w:t>
      </w:r>
      <w:r>
        <w:rPr>
          <w:b w:val="0"/>
          <w:bCs w:val="0"/>
        </w:rPr>
      </w:r>
    </w:p>
    <w:p>
      <w:pPr>
        <w:spacing w:line="240" w:lineRule="auto" w:before="9"/>
        <w:rPr>
          <w:rFonts w:ascii="宋体" w:hAnsi="宋体" w:cs="宋体" w:eastAsia="宋体" w:hint="default"/>
          <w:b/>
          <w:bCs/>
          <w:sz w:val="26"/>
          <w:szCs w:val="26"/>
        </w:rPr>
      </w:pPr>
    </w:p>
    <w:p>
      <w:pPr>
        <w:pStyle w:val="BodyText"/>
        <w:spacing w:line="240" w:lineRule="auto" w:before="0"/>
        <w:ind w:left="0" w:right="1122"/>
        <w:jc w:val="right"/>
      </w:pPr>
      <w:r>
        <w:rPr/>
        <w:t>单位：</w:t>
      </w:r>
      <w:r>
        <w:rPr>
          <w:spacing w:val="5"/>
        </w:rPr>
        <w:t> </w:t>
      </w:r>
      <w:r>
        <w:rPr/>
        <w:t>元</w:t>
      </w:r>
    </w:p>
    <w:p>
      <w:pPr>
        <w:spacing w:line="240" w:lineRule="auto" w:before="0"/>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726"/>
        <w:gridCol w:w="2924"/>
        <w:gridCol w:w="2919"/>
      </w:tblGrid>
      <w:tr>
        <w:trPr>
          <w:trHeight w:val="401" w:hRule="exact"/>
        </w:trPr>
        <w:tc>
          <w:tcPr>
            <w:tcW w:w="37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9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本期</w:t>
            </w:r>
          </w:p>
        </w:tc>
        <w:tc>
          <w:tcPr>
            <w:tcW w:w="29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401" w:hRule="exact"/>
        </w:trPr>
        <w:tc>
          <w:tcPr>
            <w:tcW w:w="37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105" w:right="0"/>
              <w:jc w:val="left"/>
              <w:rPr>
                <w:rFonts w:ascii="宋体" w:hAnsi="宋体" w:cs="宋体" w:eastAsia="宋体" w:hint="default"/>
                <w:sz w:val="18"/>
                <w:szCs w:val="18"/>
              </w:rPr>
            </w:pPr>
            <w:r>
              <w:rPr>
                <w:rFonts w:ascii="宋体" w:hAnsi="宋体" w:cs="宋体" w:eastAsia="宋体" w:hint="default"/>
                <w:spacing w:val="-3"/>
                <w:sz w:val="18"/>
                <w:szCs w:val="18"/>
              </w:rPr>
              <w:t>调整前上期末未分配利润</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94"/>
              <w:jc w:val="right"/>
              <w:rPr>
                <w:rFonts w:ascii="Times New Roman" w:hAnsi="Times New Roman" w:cs="Times New Roman" w:eastAsia="Times New Roman" w:hint="default"/>
                <w:sz w:val="18"/>
                <w:szCs w:val="18"/>
              </w:rPr>
            </w:pPr>
            <w:r>
              <w:rPr>
                <w:rFonts w:ascii="Times New Roman"/>
                <w:spacing w:val="-1"/>
                <w:sz w:val="18"/>
              </w:rPr>
              <w:t>429,684,583.57</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94"/>
              <w:jc w:val="right"/>
              <w:rPr>
                <w:rFonts w:ascii="Times New Roman" w:hAnsi="Times New Roman" w:cs="Times New Roman" w:eastAsia="Times New Roman" w:hint="default"/>
                <w:sz w:val="18"/>
                <w:szCs w:val="18"/>
              </w:rPr>
            </w:pPr>
            <w:r>
              <w:rPr>
                <w:rFonts w:ascii="Times New Roman"/>
                <w:spacing w:val="-1"/>
                <w:sz w:val="18"/>
              </w:rPr>
              <w:t>314,661,234.52</w:t>
            </w:r>
          </w:p>
        </w:tc>
      </w:tr>
      <w:tr>
        <w:trPr>
          <w:trHeight w:val="403" w:hRule="exact"/>
        </w:trPr>
        <w:tc>
          <w:tcPr>
            <w:tcW w:w="37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调整期初未分配利润合计数（调增</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，调减</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-302,081.20</w:t>
            </w:r>
          </w:p>
        </w:tc>
        <w:tc>
          <w:tcPr>
            <w:tcW w:w="291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7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调整后期初未分配利润</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429,382,502.37</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314,661,234.52</w:t>
            </w:r>
          </w:p>
        </w:tc>
      </w:tr>
      <w:tr>
        <w:trPr>
          <w:trHeight w:val="401" w:hRule="exact"/>
        </w:trPr>
        <w:tc>
          <w:tcPr>
            <w:tcW w:w="37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pacing w:val="-3"/>
                <w:sz w:val="18"/>
                <w:szCs w:val="18"/>
              </w:rPr>
              <w:t>加：本期归属于母公司所有者的净利润</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182,226,754.27</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179,662,312.16</w:t>
            </w:r>
          </w:p>
        </w:tc>
      </w:tr>
      <w:tr>
        <w:trPr>
          <w:trHeight w:val="401" w:hRule="exact"/>
        </w:trPr>
        <w:tc>
          <w:tcPr>
            <w:tcW w:w="37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105" w:right="0"/>
              <w:jc w:val="left"/>
              <w:rPr>
                <w:rFonts w:ascii="宋体" w:hAnsi="宋体" w:cs="宋体" w:eastAsia="宋体" w:hint="default"/>
                <w:sz w:val="18"/>
                <w:szCs w:val="18"/>
              </w:rPr>
            </w:pPr>
            <w:r>
              <w:rPr>
                <w:rFonts w:ascii="宋体" w:hAnsi="宋体" w:cs="宋体" w:eastAsia="宋体" w:hint="default"/>
                <w:sz w:val="18"/>
                <w:szCs w:val="18"/>
              </w:rPr>
              <w:t>减：提取法定盈余公积</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94"/>
              <w:jc w:val="right"/>
              <w:rPr>
                <w:rFonts w:ascii="Times New Roman" w:hAnsi="Times New Roman" w:cs="Times New Roman" w:eastAsia="Times New Roman" w:hint="default"/>
                <w:sz w:val="18"/>
                <w:szCs w:val="18"/>
              </w:rPr>
            </w:pPr>
            <w:r>
              <w:rPr>
                <w:rFonts w:ascii="Times New Roman"/>
                <w:spacing w:val="-1"/>
                <w:sz w:val="18"/>
              </w:rPr>
              <w:t>16,912,139.74</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94"/>
              <w:jc w:val="right"/>
              <w:rPr>
                <w:rFonts w:ascii="Times New Roman" w:hAnsi="Times New Roman" w:cs="Times New Roman" w:eastAsia="Times New Roman" w:hint="default"/>
                <w:sz w:val="18"/>
                <w:szCs w:val="18"/>
              </w:rPr>
            </w:pPr>
            <w:r>
              <w:rPr>
                <w:rFonts w:ascii="Times New Roman"/>
                <w:spacing w:val="-1"/>
                <w:sz w:val="18"/>
              </w:rPr>
              <w:t>2,922,747.71</w:t>
            </w:r>
          </w:p>
        </w:tc>
      </w:tr>
      <w:tr>
        <w:trPr>
          <w:trHeight w:val="403" w:hRule="exact"/>
        </w:trPr>
        <w:tc>
          <w:tcPr>
            <w:tcW w:w="37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应付普通股股利</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62,534,824.20</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61,716,215.40</w:t>
            </w:r>
          </w:p>
        </w:tc>
      </w:tr>
      <w:tr>
        <w:trPr>
          <w:trHeight w:val="403" w:hRule="exact"/>
        </w:trPr>
        <w:tc>
          <w:tcPr>
            <w:tcW w:w="37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期末未分配利润</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532,162,292.70</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429,684,583.57</w:t>
            </w:r>
          </w:p>
        </w:tc>
      </w:tr>
    </w:tbl>
    <w:p>
      <w:pPr>
        <w:pStyle w:val="BodyText"/>
        <w:spacing w:line="240" w:lineRule="auto" w:before="54"/>
        <w:ind w:right="0"/>
        <w:jc w:val="left"/>
      </w:pPr>
      <w:r>
        <w:rPr>
          <w:spacing w:val="-3"/>
        </w:rPr>
        <w:t>调整期初未分配利润明细：</w:t>
      </w:r>
    </w:p>
    <w:p>
      <w:pPr>
        <w:pStyle w:val="BodyText"/>
        <w:spacing w:line="240" w:lineRule="auto" w:before="115"/>
        <w:ind w:right="0"/>
        <w:jc w:val="left"/>
      </w:pPr>
      <w:r>
        <w:rPr>
          <w:rFonts w:ascii="Times New Roman" w:hAnsi="Times New Roman" w:cs="Times New Roman" w:eastAsia="Times New Roman" w:hint="default"/>
          <w:spacing w:val="-3"/>
        </w:rPr>
        <w:t>1)</w:t>
      </w:r>
      <w:r>
        <w:rPr>
          <w:spacing w:val="-3"/>
        </w:rPr>
        <w:t>、由于《企业会计准则》及其相关新规定进行追溯调整，影响期初未分配利润 </w:t>
      </w:r>
      <w:r>
        <w:rPr>
          <w:rFonts w:ascii="Times New Roman" w:hAnsi="Times New Roman" w:cs="Times New Roman" w:eastAsia="Times New Roman" w:hint="default"/>
        </w:rPr>
        <w:t>0.00 </w:t>
      </w:r>
      <w:r>
        <w:rPr>
          <w:rFonts w:ascii="Times New Roman" w:hAnsi="Times New Roman" w:cs="Times New Roman" w:eastAsia="Times New Roman" w:hint="default"/>
          <w:spacing w:val="23"/>
        </w:rPr>
        <w:t> </w:t>
      </w:r>
      <w:r>
        <w:rPr>
          <w:spacing w:val="-5"/>
        </w:rPr>
        <w:t>元。</w:t>
      </w:r>
      <w:r>
        <w:rPr/>
      </w:r>
    </w:p>
    <w:p>
      <w:pPr>
        <w:pStyle w:val="BodyText"/>
        <w:spacing w:line="240" w:lineRule="auto" w:before="106"/>
        <w:ind w:right="0"/>
        <w:jc w:val="left"/>
      </w:pPr>
      <w:r>
        <w:rPr>
          <w:rFonts w:ascii="Times New Roman" w:hAnsi="Times New Roman" w:cs="Times New Roman" w:eastAsia="Times New Roman" w:hint="default"/>
          <w:spacing w:val="-2"/>
        </w:rPr>
        <w:t>2)</w:t>
      </w:r>
      <w:r>
        <w:rPr>
          <w:spacing w:val="-2"/>
        </w:rPr>
        <w:t>、由于会计政策变更，影响期初未分配利润</w:t>
      </w:r>
      <w:r>
        <w:rPr>
          <w:rFonts w:ascii="Times New Roman" w:hAnsi="Times New Roman" w:cs="Times New Roman" w:eastAsia="Times New Roman" w:hint="default"/>
          <w:spacing w:val="-2"/>
        </w:rPr>
        <w:t>-302,081.20</w:t>
      </w:r>
      <w:r>
        <w:rPr>
          <w:rFonts w:ascii="Times New Roman" w:hAnsi="Times New Roman" w:cs="Times New Roman" w:eastAsia="Times New Roman" w:hint="default"/>
        </w:rPr>
        <w:t> </w:t>
      </w:r>
      <w:r>
        <w:rPr>
          <w:rFonts w:ascii="Times New Roman" w:hAnsi="Times New Roman" w:cs="Times New Roman" w:eastAsia="Times New Roman" w:hint="default"/>
          <w:spacing w:val="21"/>
        </w:rPr>
        <w:t> </w:t>
      </w:r>
      <w:r>
        <w:rPr>
          <w:spacing w:val="-5"/>
        </w:rPr>
        <w:t>元。</w:t>
      </w:r>
      <w:r>
        <w:rPr/>
      </w:r>
    </w:p>
    <w:p>
      <w:pPr>
        <w:pStyle w:val="BodyText"/>
        <w:spacing w:line="240" w:lineRule="auto" w:before="101"/>
        <w:ind w:right="0"/>
        <w:jc w:val="left"/>
      </w:pPr>
      <w:r>
        <w:rPr>
          <w:rFonts w:ascii="Times New Roman" w:hAnsi="Times New Roman" w:cs="Times New Roman" w:eastAsia="Times New Roman" w:hint="default"/>
          <w:spacing w:val="-3"/>
        </w:rPr>
        <w:t>3)</w:t>
      </w:r>
      <w:r>
        <w:rPr>
          <w:spacing w:val="-3"/>
        </w:rPr>
        <w:t>、由于重大会计差错更正，影响期初未分配利润 </w:t>
      </w:r>
      <w:r>
        <w:rPr>
          <w:rFonts w:ascii="Times New Roman" w:hAnsi="Times New Roman" w:cs="Times New Roman" w:eastAsia="Times New Roman" w:hint="default"/>
        </w:rPr>
        <w:t>0.00</w:t>
      </w:r>
      <w:r>
        <w:rPr>
          <w:rFonts w:ascii="Times New Roman" w:hAnsi="Times New Roman" w:cs="Times New Roman" w:eastAsia="Times New Roman" w:hint="default"/>
          <w:spacing w:val="28"/>
        </w:rPr>
        <w:t> </w:t>
      </w:r>
      <w:r>
        <w:rPr/>
        <w:t>元。</w:t>
      </w:r>
    </w:p>
    <w:p>
      <w:pPr>
        <w:pStyle w:val="BodyText"/>
        <w:spacing w:line="240" w:lineRule="auto" w:before="101"/>
        <w:ind w:right="0"/>
        <w:jc w:val="left"/>
      </w:pPr>
      <w:r>
        <w:rPr>
          <w:rFonts w:ascii="Times New Roman" w:hAnsi="Times New Roman" w:cs="Times New Roman" w:eastAsia="Times New Roman" w:hint="default"/>
          <w:spacing w:val="-3"/>
        </w:rPr>
        <w:t>4)</w:t>
      </w:r>
      <w:r>
        <w:rPr>
          <w:spacing w:val="-3"/>
        </w:rPr>
        <w:t>、由于同一控制导致的合并范围变更，影响期初未分配利润 </w:t>
      </w:r>
      <w:r>
        <w:rPr>
          <w:rFonts w:ascii="Times New Roman" w:hAnsi="Times New Roman" w:cs="Times New Roman" w:eastAsia="Times New Roman" w:hint="default"/>
        </w:rPr>
        <w:t>0.00</w:t>
      </w:r>
      <w:r>
        <w:rPr>
          <w:rFonts w:ascii="Times New Roman" w:hAnsi="Times New Roman" w:cs="Times New Roman" w:eastAsia="Times New Roman" w:hint="default"/>
          <w:spacing w:val="40"/>
        </w:rPr>
        <w:t> </w:t>
      </w:r>
      <w:r>
        <w:rPr/>
        <w:t>元。</w:t>
      </w:r>
    </w:p>
    <w:p>
      <w:pPr>
        <w:pStyle w:val="BodyText"/>
        <w:spacing w:line="240" w:lineRule="auto" w:before="106"/>
        <w:ind w:right="0"/>
        <w:jc w:val="left"/>
      </w:pPr>
      <w:r>
        <w:rPr>
          <w:rFonts w:ascii="Times New Roman" w:hAnsi="Times New Roman" w:cs="Times New Roman" w:eastAsia="Times New Roman" w:hint="default"/>
        </w:rPr>
        <w:t>5)</w:t>
      </w:r>
      <w:r>
        <w:rPr/>
        <w:t>、其他调整合计影响期初未分配利润</w:t>
      </w:r>
      <w:r>
        <w:rPr>
          <w:spacing w:val="-47"/>
        </w:rPr>
        <w:t> </w:t>
      </w:r>
      <w:r>
        <w:rPr>
          <w:rFonts w:ascii="Times New Roman" w:hAnsi="Times New Roman" w:cs="Times New Roman" w:eastAsia="Times New Roman" w:hint="default"/>
        </w:rPr>
        <w:t>0.00</w:t>
      </w:r>
      <w:r>
        <w:rPr>
          <w:rFonts w:ascii="Times New Roman" w:hAnsi="Times New Roman" w:cs="Times New Roman" w:eastAsia="Times New Roman" w:hint="default"/>
          <w:spacing w:val="4"/>
        </w:rPr>
        <w:t> </w:t>
      </w:r>
      <w:r>
        <w:rPr>
          <w:spacing w:val="-5"/>
        </w:rPr>
        <w:t>元。</w:t>
      </w:r>
      <w:r>
        <w:rPr/>
      </w:r>
    </w:p>
    <w:p>
      <w:pPr>
        <w:spacing w:line="240" w:lineRule="auto" w:before="3"/>
        <w:rPr>
          <w:rFonts w:ascii="宋体" w:hAnsi="宋体" w:cs="宋体" w:eastAsia="宋体" w:hint="default"/>
          <w:sz w:val="25"/>
          <w:szCs w:val="25"/>
        </w:rPr>
      </w:pPr>
    </w:p>
    <w:p>
      <w:pPr>
        <w:pStyle w:val="Heading4"/>
        <w:spacing w:line="240" w:lineRule="auto"/>
        <w:ind w:right="0"/>
        <w:jc w:val="left"/>
        <w:rPr>
          <w:b w:val="0"/>
          <w:bCs w:val="0"/>
        </w:rPr>
      </w:pPr>
      <w:bookmarkStart w:name="61、营业收入和营业成本" w:id="387"/>
      <w:bookmarkEnd w:id="387"/>
      <w:r>
        <w:rPr>
          <w:b w:val="0"/>
          <w:bCs w:val="0"/>
        </w:rPr>
      </w:r>
      <w:r>
        <w:rPr>
          <w:rFonts w:ascii="Times New Roman" w:hAnsi="Times New Roman" w:cs="Times New Roman" w:eastAsia="Times New Roman" w:hint="default"/>
        </w:rPr>
        <w:t>61</w:t>
      </w:r>
      <w:r>
        <w:rPr/>
        <w:t>、营业收入和营业成本</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11"/>
        <w:gridCol w:w="1921"/>
        <w:gridCol w:w="1911"/>
        <w:gridCol w:w="1916"/>
        <w:gridCol w:w="1916"/>
      </w:tblGrid>
      <w:tr>
        <w:trPr>
          <w:trHeight w:val="404" w:hRule="exact"/>
        </w:trPr>
        <w:tc>
          <w:tcPr>
            <w:tcW w:w="191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0"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3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3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1911" w:type="dxa"/>
            <w:vMerge/>
            <w:tcBorders>
              <w:left w:val="single" w:sz="4" w:space="0" w:color="000000"/>
              <w:bottom w:val="single" w:sz="4" w:space="0" w:color="000000"/>
              <w:right w:val="single" w:sz="4" w:space="0" w:color="000000"/>
            </w:tcBorders>
            <w:shd w:val="clear" w:color="auto" w:fill="D2D2D2"/>
          </w:tcPr>
          <w:p>
            <w:pPr/>
          </w:p>
        </w:tc>
        <w:tc>
          <w:tcPr>
            <w:tcW w:w="19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成本</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1,244,321,614.96</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690,599,743.56</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1,572,121,194.59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1,045,539,725.34</w:t>
            </w:r>
          </w:p>
        </w:tc>
      </w:tr>
      <w:tr>
        <w:trPr>
          <w:trHeight w:val="398"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808,805.53</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1,344,718.08</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1,251,249.37</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459,416.33</w:t>
            </w:r>
          </w:p>
        </w:tc>
      </w:tr>
      <w:tr>
        <w:trPr>
          <w:trHeight w:val="404"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1,245,130,420.49</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691,944,461.64</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1,573,372,443.96</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1,045,999,141.67</w:t>
            </w:r>
          </w:p>
        </w:tc>
      </w:tr>
    </w:tbl>
    <w:p>
      <w:pPr>
        <w:pStyle w:val="BodyText"/>
        <w:spacing w:line="240" w:lineRule="auto" w:before="53"/>
        <w:ind w:right="0"/>
        <w:jc w:val="left"/>
      </w:pPr>
      <w:r>
        <w:rPr/>
        <w:t>是否已执行新收入准则</w:t>
      </w:r>
    </w:p>
    <w:p>
      <w:pPr>
        <w:pStyle w:val="BodyText"/>
        <w:spacing w:line="240" w:lineRule="auto" w:before="119"/>
        <w:ind w:right="0"/>
        <w:jc w:val="left"/>
      </w:pPr>
      <w:r>
        <w:rPr/>
        <w:t>□ 是 √</w:t>
      </w:r>
      <w:r>
        <w:rPr>
          <w:spacing w:val="2"/>
        </w:rPr>
        <w:t> </w:t>
      </w:r>
      <w:r>
        <w:rPr/>
        <w:t>否</w:t>
      </w:r>
    </w:p>
    <w:p>
      <w:pPr>
        <w:spacing w:after="0" w:line="240" w:lineRule="auto"/>
        <w:jc w:val="left"/>
        <w:sectPr>
          <w:pgSz w:w="11910" w:h="16840"/>
          <w:pgMar w:header="784" w:footer="1022" w:top="1100" w:bottom="1220" w:left="980" w:right="0"/>
        </w:sectPr>
      </w:pPr>
    </w:p>
    <w:p>
      <w:pPr>
        <w:spacing w:line="240" w:lineRule="auto" w:before="2"/>
        <w:rPr>
          <w:rFonts w:ascii="宋体" w:hAnsi="宋体" w:cs="宋体" w:eastAsia="宋体" w:hint="default"/>
          <w:sz w:val="23"/>
          <w:szCs w:val="23"/>
        </w:rPr>
      </w:pPr>
    </w:p>
    <w:p>
      <w:pPr>
        <w:pStyle w:val="BodyText"/>
        <w:spacing w:line="352" w:lineRule="auto"/>
        <w:ind w:right="10031"/>
        <w:jc w:val="left"/>
      </w:pPr>
      <w:r>
        <w:rPr/>
        <w:t>其他说明</w:t>
      </w:r>
      <w:r>
        <w:rPr>
          <w:spacing w:val="-86"/>
        </w:rPr>
        <w:t> </w:t>
      </w:r>
      <w:r>
        <w:rPr>
          <w:spacing w:val="-86"/>
        </w:rPr>
      </w:r>
      <w:r>
        <w:rPr/>
        <w:t>无。</w:t>
      </w:r>
    </w:p>
    <w:p>
      <w:pPr>
        <w:spacing w:line="240" w:lineRule="auto" w:before="8"/>
        <w:rPr>
          <w:rFonts w:ascii="宋体" w:hAnsi="宋体" w:cs="宋体" w:eastAsia="宋体" w:hint="default"/>
          <w:sz w:val="20"/>
          <w:szCs w:val="20"/>
        </w:rPr>
      </w:pPr>
    </w:p>
    <w:p>
      <w:pPr>
        <w:pStyle w:val="Heading4"/>
        <w:spacing w:line="240" w:lineRule="auto"/>
        <w:ind w:right="0"/>
        <w:jc w:val="left"/>
        <w:rPr>
          <w:b w:val="0"/>
          <w:bCs w:val="0"/>
        </w:rPr>
      </w:pPr>
      <w:bookmarkStart w:name="62、税金及附加" w:id="388"/>
      <w:bookmarkEnd w:id="388"/>
      <w:r>
        <w:rPr>
          <w:b w:val="0"/>
          <w:bCs w:val="0"/>
        </w:rPr>
      </w:r>
      <w:r>
        <w:rPr>
          <w:rFonts w:ascii="Times New Roman" w:hAnsi="Times New Roman" w:cs="Times New Roman" w:eastAsia="Times New Roman" w:hint="default"/>
        </w:rPr>
        <w:t>62</w:t>
      </w:r>
      <w:r>
        <w:rPr/>
        <w:t>、税金及附加</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98"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城市维护建设税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3,751,609.20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3,704,194.72</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9"/>
              <w:ind w:left="105"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94"/>
              <w:jc w:val="right"/>
              <w:rPr>
                <w:rFonts w:ascii="Times New Roman" w:hAnsi="Times New Roman" w:cs="Times New Roman" w:eastAsia="Times New Roman" w:hint="default"/>
                <w:sz w:val="18"/>
                <w:szCs w:val="18"/>
              </w:rPr>
            </w:pPr>
            <w:r>
              <w:rPr>
                <w:rFonts w:ascii="Times New Roman"/>
                <w:spacing w:val="-1"/>
                <w:sz w:val="18"/>
              </w:rPr>
              <w:t>2,674,864.77</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99"/>
              <w:jc w:val="right"/>
              <w:rPr>
                <w:rFonts w:ascii="Times New Roman" w:hAnsi="Times New Roman" w:cs="Times New Roman" w:eastAsia="Times New Roman" w:hint="default"/>
                <w:sz w:val="18"/>
                <w:szCs w:val="18"/>
              </w:rPr>
            </w:pPr>
            <w:r>
              <w:rPr>
                <w:rFonts w:ascii="Times New Roman"/>
                <w:spacing w:val="-1"/>
                <w:sz w:val="18"/>
              </w:rPr>
              <w:t>2,787,508.66</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房产税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1,522,032.59</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1,148,790.70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土地使用税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168,507.09</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pacing w:val="-1"/>
                <w:sz w:val="18"/>
              </w:rPr>
              <w:t>169,984.22</w:t>
            </w:r>
          </w:p>
        </w:tc>
      </w:tr>
      <w:tr>
        <w:trPr>
          <w:trHeight w:val="398"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车船使用税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9,000.00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10,320.00</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9"/>
              <w:ind w:left="105" w:right="0"/>
              <w:jc w:val="left"/>
              <w:rPr>
                <w:rFonts w:ascii="宋体" w:hAnsi="宋体" w:cs="宋体" w:eastAsia="宋体" w:hint="default"/>
                <w:sz w:val="18"/>
                <w:szCs w:val="18"/>
              </w:rPr>
            </w:pPr>
            <w:r>
              <w:rPr>
                <w:rFonts w:ascii="宋体" w:hAnsi="宋体" w:cs="宋体" w:eastAsia="宋体" w:hint="default"/>
                <w:sz w:val="18"/>
                <w:szCs w:val="18"/>
              </w:rPr>
              <w:t>印花税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94"/>
              <w:jc w:val="right"/>
              <w:rPr>
                <w:rFonts w:ascii="Times New Roman" w:hAnsi="Times New Roman" w:cs="Times New Roman" w:eastAsia="Times New Roman" w:hint="default"/>
                <w:sz w:val="18"/>
                <w:szCs w:val="18"/>
              </w:rPr>
            </w:pPr>
            <w:r>
              <w:rPr>
                <w:rFonts w:ascii="Times New Roman"/>
                <w:spacing w:val="-1"/>
                <w:sz w:val="18"/>
              </w:rPr>
              <w:t>578,048.01</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98"/>
              <w:jc w:val="right"/>
              <w:rPr>
                <w:rFonts w:ascii="Times New Roman" w:hAnsi="Times New Roman" w:cs="Times New Roman" w:eastAsia="Times New Roman" w:hint="default"/>
                <w:sz w:val="18"/>
                <w:szCs w:val="18"/>
              </w:rPr>
            </w:pPr>
            <w:r>
              <w:rPr>
                <w:rFonts w:ascii="Times New Roman"/>
                <w:spacing w:val="-1"/>
                <w:sz w:val="18"/>
              </w:rPr>
              <w:t>652,234.36</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98,550.77</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pacing w:val="-1"/>
                <w:sz w:val="18"/>
              </w:rPr>
              <w:t>182,538.44</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8,802,612.43</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8,655,571.10</w:t>
            </w:r>
          </w:p>
        </w:tc>
      </w:tr>
    </w:tbl>
    <w:p>
      <w:pPr>
        <w:pStyle w:val="BodyText"/>
        <w:spacing w:line="352" w:lineRule="auto" w:before="53"/>
        <w:ind w:right="9666"/>
        <w:jc w:val="left"/>
      </w:pPr>
      <w:r>
        <w:rPr/>
        <w:t>其他说明：</w:t>
      </w:r>
      <w:r>
        <w:rPr>
          <w:w w:val="101"/>
        </w:rPr>
        <w:t> </w:t>
      </w:r>
      <w:r>
        <w:rPr/>
        <w:t>无。</w:t>
      </w:r>
    </w:p>
    <w:p>
      <w:pPr>
        <w:spacing w:line="240" w:lineRule="auto" w:before="7"/>
        <w:rPr>
          <w:rFonts w:ascii="宋体" w:hAnsi="宋体" w:cs="宋体" w:eastAsia="宋体" w:hint="default"/>
          <w:sz w:val="20"/>
          <w:szCs w:val="20"/>
        </w:rPr>
      </w:pPr>
    </w:p>
    <w:p>
      <w:pPr>
        <w:pStyle w:val="Heading4"/>
        <w:spacing w:line="240" w:lineRule="auto"/>
        <w:ind w:right="0"/>
        <w:jc w:val="left"/>
        <w:rPr>
          <w:b w:val="0"/>
          <w:bCs w:val="0"/>
        </w:rPr>
      </w:pPr>
      <w:bookmarkStart w:name="63、销售费用" w:id="389"/>
      <w:bookmarkEnd w:id="389"/>
      <w:r>
        <w:rPr>
          <w:b w:val="0"/>
          <w:bCs w:val="0"/>
        </w:rPr>
      </w:r>
      <w:r>
        <w:rPr>
          <w:rFonts w:ascii="Times New Roman" w:hAnsi="Times New Roman" w:cs="Times New Roman" w:eastAsia="Times New Roman" w:hint="default"/>
        </w:rPr>
        <w:t>63</w:t>
      </w:r>
      <w:r>
        <w:rPr/>
        <w:t>、销售费用</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工资及福利</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76,048,026.82</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75,975,593.31</w:t>
            </w:r>
          </w:p>
        </w:tc>
      </w:tr>
      <w:tr>
        <w:trPr>
          <w:trHeight w:val="398"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维护费</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25,609,199.92</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20,183,184.64</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9,596,034.38</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8,401,197.21</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运输费</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7,631,341.62</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7,703,284.46</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展览费</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6,211,213.19</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7,260,322.03</w:t>
            </w:r>
          </w:p>
        </w:tc>
      </w:tr>
      <w:tr>
        <w:trPr>
          <w:trHeight w:val="398"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安装费</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7,439,539.56</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5,643,848.79</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6,341,152.02</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3"/>
                <w:sz w:val="18"/>
              </w:rPr>
              <w:t>5,211,114.59</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租赁及水电费</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4,549,164.17</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4,764,252.06</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折旧费</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4,537,043.18</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3,800,901.12</w:t>
            </w:r>
          </w:p>
        </w:tc>
      </w:tr>
      <w:tr>
        <w:trPr>
          <w:trHeight w:val="398"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9,161,018.76</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7,124,317.24</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157,123,733.62</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146,068,015.45</w:t>
            </w:r>
          </w:p>
        </w:tc>
      </w:tr>
    </w:tbl>
    <w:p>
      <w:pPr>
        <w:pStyle w:val="BodyText"/>
        <w:spacing w:line="357" w:lineRule="auto" w:before="53"/>
        <w:ind w:right="9861"/>
        <w:jc w:val="left"/>
      </w:pPr>
      <w:r>
        <w:rPr>
          <w:spacing w:val="-2"/>
        </w:rPr>
        <w:t>其他说明：</w:t>
      </w:r>
      <w:r>
        <w:rPr>
          <w:spacing w:val="-78"/>
        </w:rPr>
        <w:t> </w:t>
      </w:r>
      <w:r>
        <w:rPr>
          <w:spacing w:val="-78"/>
        </w:rPr>
      </w:r>
      <w:r>
        <w:rPr/>
        <w:t>无。</w:t>
      </w:r>
    </w:p>
    <w:p>
      <w:pPr>
        <w:spacing w:after="0" w:line="357" w:lineRule="auto"/>
        <w:jc w:val="left"/>
        <w:sectPr>
          <w:pgSz w:w="11910" w:h="16840"/>
          <w:pgMar w:header="784" w:footer="1022" w:top="1100" w:bottom="1220" w:left="980" w:right="0"/>
        </w:sectPr>
      </w:pPr>
    </w:p>
    <w:p>
      <w:pPr>
        <w:spacing w:line="240" w:lineRule="auto" w:before="13"/>
        <w:rPr>
          <w:rFonts w:ascii="宋体" w:hAnsi="宋体" w:cs="宋体" w:eastAsia="宋体" w:hint="default"/>
          <w:sz w:val="21"/>
          <w:szCs w:val="21"/>
        </w:rPr>
      </w:pPr>
    </w:p>
    <w:p>
      <w:pPr>
        <w:pStyle w:val="Heading4"/>
        <w:spacing w:line="240" w:lineRule="auto" w:before="36"/>
        <w:ind w:right="0"/>
        <w:jc w:val="left"/>
        <w:rPr>
          <w:b w:val="0"/>
          <w:bCs w:val="0"/>
        </w:rPr>
      </w:pPr>
      <w:bookmarkStart w:name="64、管理费用" w:id="390"/>
      <w:bookmarkEnd w:id="390"/>
      <w:r>
        <w:rPr>
          <w:b w:val="0"/>
          <w:bCs w:val="0"/>
        </w:rPr>
      </w:r>
      <w:r>
        <w:rPr>
          <w:rFonts w:ascii="Times New Roman" w:hAnsi="Times New Roman" w:cs="Times New Roman" w:eastAsia="Times New Roman" w:hint="default"/>
        </w:rPr>
        <w:t>64</w:t>
      </w:r>
      <w:r>
        <w:rPr/>
        <w:t>、管理费用</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5"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工资及福利</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38,384,630.46</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33,951,541.63</w:t>
            </w:r>
          </w:p>
        </w:tc>
      </w:tr>
      <w:tr>
        <w:trPr>
          <w:trHeight w:val="398"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咨询费</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4,365,395.82</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10,769,783.08</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租赁及水电费</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9,452,456.68</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7,148,722.70</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股权激励费</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2,042,593.33</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4,564,459.99</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5,155,463.20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3,874,040.24</w:t>
            </w:r>
          </w:p>
        </w:tc>
      </w:tr>
      <w:tr>
        <w:trPr>
          <w:trHeight w:val="398"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折旧费</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3,562,631.31</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3,201,478.45</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4"/>
                <w:sz w:val="18"/>
                <w:szCs w:val="18"/>
              </w:rPr>
              <w:t>业务招待费</w:t>
            </w:r>
            <w:r>
              <w:rPr>
                <w:rFonts w:ascii="宋体" w:hAnsi="宋体" w:cs="宋体" w:eastAsia="宋体" w:hint="default"/>
                <w:sz w:val="18"/>
                <w:szCs w:val="18"/>
              </w:rPr>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2,182,667.10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2,573,156.59</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1,704,125.25</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1,968,560.61</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1,020,164.75</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786,794.00</w:t>
            </w:r>
          </w:p>
        </w:tc>
      </w:tr>
      <w:tr>
        <w:trPr>
          <w:trHeight w:val="398"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5,631,863.27</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2,423,912.25</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73,501,991.17</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71,262,449.54</w:t>
            </w:r>
          </w:p>
        </w:tc>
      </w:tr>
    </w:tbl>
    <w:p>
      <w:pPr>
        <w:pStyle w:val="BodyText"/>
        <w:spacing w:line="357" w:lineRule="auto" w:before="53"/>
        <w:ind w:right="9666"/>
        <w:jc w:val="left"/>
      </w:pPr>
      <w:r>
        <w:rPr/>
        <w:t>其他说明：</w:t>
      </w:r>
      <w:r>
        <w:rPr>
          <w:w w:val="101"/>
        </w:rPr>
        <w:t> </w:t>
      </w:r>
      <w:r>
        <w:rPr/>
        <w:t>无。</w:t>
      </w:r>
    </w:p>
    <w:p>
      <w:pPr>
        <w:spacing w:line="240" w:lineRule="auto" w:before="3"/>
        <w:rPr>
          <w:rFonts w:ascii="宋体" w:hAnsi="宋体" w:cs="宋体" w:eastAsia="宋体" w:hint="default"/>
          <w:sz w:val="20"/>
          <w:szCs w:val="20"/>
        </w:rPr>
      </w:pPr>
    </w:p>
    <w:p>
      <w:pPr>
        <w:pStyle w:val="Heading4"/>
        <w:spacing w:line="240" w:lineRule="auto"/>
        <w:ind w:right="0"/>
        <w:jc w:val="left"/>
        <w:rPr>
          <w:b w:val="0"/>
          <w:bCs w:val="0"/>
        </w:rPr>
      </w:pPr>
      <w:bookmarkStart w:name="65、研发费用" w:id="391"/>
      <w:bookmarkEnd w:id="391"/>
      <w:r>
        <w:rPr>
          <w:b w:val="0"/>
          <w:bCs w:val="0"/>
        </w:rPr>
      </w:r>
      <w:r>
        <w:rPr>
          <w:rFonts w:ascii="Times New Roman" w:hAnsi="Times New Roman" w:cs="Times New Roman" w:eastAsia="Times New Roman" w:hint="default"/>
        </w:rPr>
        <w:t>65</w:t>
      </w:r>
      <w:r>
        <w:rPr/>
        <w:t>、研发费用</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10"/>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4"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5"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工资及福利</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52,015,175.28</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45,002,338.58</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技术开发费</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20,364,074.44</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32,521,240.02</w:t>
            </w:r>
          </w:p>
        </w:tc>
      </w:tr>
      <w:tr>
        <w:trPr>
          <w:trHeight w:val="398"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折旧费</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3,165,692.19</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3,292,404.41</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5" w:right="0"/>
              <w:jc w:val="left"/>
              <w:rPr>
                <w:rFonts w:ascii="宋体" w:hAnsi="宋体" w:cs="宋体" w:eastAsia="宋体" w:hint="default"/>
                <w:sz w:val="18"/>
                <w:szCs w:val="18"/>
              </w:rPr>
            </w:pPr>
            <w:r>
              <w:rPr>
                <w:rFonts w:ascii="宋体" w:hAnsi="宋体" w:cs="宋体" w:eastAsia="宋体" w:hint="default"/>
                <w:sz w:val="18"/>
                <w:szCs w:val="18"/>
              </w:rPr>
              <w:t>租赁及水电费</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94"/>
              <w:jc w:val="right"/>
              <w:rPr>
                <w:rFonts w:ascii="Times New Roman" w:hAnsi="Times New Roman" w:cs="Times New Roman" w:eastAsia="Times New Roman" w:hint="default"/>
                <w:sz w:val="18"/>
                <w:szCs w:val="18"/>
              </w:rPr>
            </w:pPr>
            <w:r>
              <w:rPr>
                <w:rFonts w:ascii="Times New Roman"/>
                <w:spacing w:val="-1"/>
                <w:sz w:val="18"/>
              </w:rPr>
              <w:t>3,209,204.55</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94"/>
              <w:jc w:val="right"/>
              <w:rPr>
                <w:rFonts w:ascii="Times New Roman" w:hAnsi="Times New Roman" w:cs="Times New Roman" w:eastAsia="Times New Roman" w:hint="default"/>
                <w:sz w:val="18"/>
                <w:szCs w:val="18"/>
              </w:rPr>
            </w:pPr>
            <w:r>
              <w:rPr>
                <w:rFonts w:ascii="Times New Roman"/>
                <w:spacing w:val="-1"/>
                <w:sz w:val="18"/>
              </w:rPr>
              <w:t>3,066,591.10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1,415,481.24</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1,195,294.93</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1,164,269.01</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1,159,267.90</w:t>
            </w:r>
          </w:p>
        </w:tc>
      </w:tr>
      <w:tr>
        <w:trPr>
          <w:trHeight w:val="398"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检测及认证费</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1,873,035.05</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1,035,678.95</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5" w:right="0"/>
              <w:jc w:val="left"/>
              <w:rPr>
                <w:rFonts w:ascii="宋体" w:hAnsi="宋体" w:cs="宋体" w:eastAsia="宋体" w:hint="default"/>
                <w:sz w:val="18"/>
                <w:szCs w:val="18"/>
              </w:rPr>
            </w:pPr>
            <w:r>
              <w:rPr>
                <w:rFonts w:ascii="宋体" w:hAnsi="宋体" w:cs="宋体" w:eastAsia="宋体" w:hint="default"/>
                <w:sz w:val="18"/>
                <w:szCs w:val="18"/>
              </w:rPr>
              <w:t>股权激励费</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94"/>
              <w:jc w:val="right"/>
              <w:rPr>
                <w:rFonts w:ascii="Times New Roman" w:hAnsi="Times New Roman" w:cs="Times New Roman" w:eastAsia="Times New Roman" w:hint="default"/>
                <w:sz w:val="18"/>
                <w:szCs w:val="18"/>
              </w:rPr>
            </w:pPr>
            <w:r>
              <w:rPr>
                <w:rFonts w:ascii="Times New Roman"/>
                <w:spacing w:val="-1"/>
                <w:sz w:val="18"/>
              </w:rPr>
              <w:t>225,840.00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94"/>
              <w:jc w:val="right"/>
              <w:rPr>
                <w:rFonts w:ascii="Times New Roman" w:hAnsi="Times New Roman" w:cs="Times New Roman" w:eastAsia="Times New Roman" w:hint="default"/>
                <w:sz w:val="18"/>
                <w:szCs w:val="18"/>
              </w:rPr>
            </w:pPr>
            <w:r>
              <w:rPr>
                <w:rFonts w:ascii="Times New Roman"/>
                <w:spacing w:val="-1"/>
                <w:sz w:val="18"/>
              </w:rPr>
              <w:t>637,906.67</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2,286,703.89</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2,118,595.49</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85,719,475.65</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90,029,318.05</w:t>
            </w:r>
          </w:p>
        </w:tc>
      </w:tr>
    </w:tbl>
    <w:p>
      <w:pPr>
        <w:pStyle w:val="BodyText"/>
        <w:spacing w:line="352" w:lineRule="auto" w:before="53"/>
        <w:ind w:right="9861"/>
        <w:jc w:val="left"/>
      </w:pPr>
      <w:r>
        <w:rPr>
          <w:spacing w:val="-2"/>
        </w:rPr>
        <w:t>其他说明：</w:t>
      </w:r>
      <w:r>
        <w:rPr>
          <w:spacing w:val="-78"/>
        </w:rPr>
        <w:t> </w:t>
      </w:r>
      <w:r>
        <w:rPr>
          <w:spacing w:val="-78"/>
        </w:rPr>
      </w:r>
      <w:r>
        <w:rPr/>
        <w:t>无。</w:t>
      </w:r>
    </w:p>
    <w:p>
      <w:pPr>
        <w:spacing w:after="0" w:line="352" w:lineRule="auto"/>
        <w:jc w:val="left"/>
        <w:sectPr>
          <w:pgSz w:w="11910" w:h="16840"/>
          <w:pgMar w:header="784" w:footer="1022" w:top="1100" w:bottom="1220" w:left="980" w:right="0"/>
        </w:sectPr>
      </w:pPr>
    </w:p>
    <w:p>
      <w:pPr>
        <w:spacing w:line="240" w:lineRule="auto" w:before="13"/>
        <w:rPr>
          <w:rFonts w:ascii="宋体" w:hAnsi="宋体" w:cs="宋体" w:eastAsia="宋体" w:hint="default"/>
          <w:sz w:val="21"/>
          <w:szCs w:val="21"/>
        </w:rPr>
      </w:pPr>
    </w:p>
    <w:p>
      <w:pPr>
        <w:pStyle w:val="Heading4"/>
        <w:spacing w:line="240" w:lineRule="auto" w:before="36"/>
        <w:ind w:right="0"/>
        <w:jc w:val="left"/>
        <w:rPr>
          <w:b w:val="0"/>
          <w:bCs w:val="0"/>
        </w:rPr>
      </w:pPr>
      <w:bookmarkStart w:name="66、财务费用" w:id="392"/>
      <w:bookmarkEnd w:id="392"/>
      <w:r>
        <w:rPr>
          <w:b w:val="0"/>
          <w:bCs w:val="0"/>
        </w:rPr>
      </w:r>
      <w:r>
        <w:rPr>
          <w:rFonts w:ascii="Times New Roman" w:hAnsi="Times New Roman" w:cs="Times New Roman" w:eastAsia="Times New Roman" w:hint="default"/>
        </w:rPr>
        <w:t>66</w:t>
      </w:r>
      <w:r>
        <w:rPr/>
        <w:t>、财务费用</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5"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6,150,460.09</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6,463,024.92</w:t>
            </w:r>
          </w:p>
        </w:tc>
      </w:tr>
      <w:tr>
        <w:trPr>
          <w:trHeight w:val="398"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减：利息收入</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6,001,224.75</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2,920,242.74</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汇兑损益</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-2,159,274.64</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-7,823,602.94</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手续费及其他</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3"/>
              <w:jc w:val="right"/>
              <w:rPr>
                <w:rFonts w:ascii="Arial" w:hAnsi="Arial" w:cs="Arial" w:eastAsia="Arial" w:hint="default"/>
                <w:sz w:val="18"/>
                <w:szCs w:val="18"/>
              </w:rPr>
            </w:pPr>
            <w:r>
              <w:rPr>
                <w:rFonts w:ascii="Arial"/>
                <w:spacing w:val="-1"/>
                <w:sz w:val="18"/>
              </w:rPr>
              <w:t>405,817.54</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466,198.79</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-1,604,221.76</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-3,814,621.97</w:t>
            </w:r>
          </w:p>
        </w:tc>
      </w:tr>
    </w:tbl>
    <w:p>
      <w:pPr>
        <w:pStyle w:val="BodyText"/>
        <w:spacing w:line="352" w:lineRule="auto" w:before="53"/>
        <w:ind w:right="9666"/>
        <w:jc w:val="left"/>
      </w:pPr>
      <w:r>
        <w:rPr/>
        <w:t>其他说明：</w:t>
      </w:r>
      <w:r>
        <w:rPr>
          <w:w w:val="101"/>
        </w:rPr>
        <w:t> </w:t>
      </w:r>
      <w:r>
        <w:rPr/>
        <w:t>无。</w:t>
      </w:r>
    </w:p>
    <w:p>
      <w:pPr>
        <w:spacing w:line="240" w:lineRule="auto" w:before="8"/>
        <w:rPr>
          <w:rFonts w:ascii="宋体" w:hAnsi="宋体" w:cs="宋体" w:eastAsia="宋体" w:hint="default"/>
          <w:sz w:val="20"/>
          <w:szCs w:val="20"/>
        </w:rPr>
      </w:pPr>
    </w:p>
    <w:p>
      <w:pPr>
        <w:pStyle w:val="Heading4"/>
        <w:spacing w:line="240" w:lineRule="auto"/>
        <w:ind w:right="0"/>
        <w:jc w:val="left"/>
        <w:rPr>
          <w:b w:val="0"/>
          <w:bCs w:val="0"/>
        </w:rPr>
      </w:pPr>
      <w:bookmarkStart w:name="67、其他收益" w:id="393"/>
      <w:bookmarkEnd w:id="393"/>
      <w:r>
        <w:rPr>
          <w:b w:val="0"/>
          <w:bCs w:val="0"/>
        </w:rPr>
      </w:r>
      <w:r>
        <w:rPr>
          <w:rFonts w:ascii="Times New Roman" w:hAnsi="Times New Roman" w:cs="Times New Roman" w:eastAsia="Times New Roman" w:hint="default"/>
        </w:rPr>
        <w:t>67</w:t>
      </w:r>
      <w:r>
        <w:rPr/>
        <w:t>、其他收益</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82" w:right="0"/>
              <w:jc w:val="left"/>
              <w:rPr>
                <w:rFonts w:ascii="宋体" w:hAnsi="宋体" w:cs="宋体" w:eastAsia="宋体" w:hint="default"/>
                <w:sz w:val="18"/>
                <w:szCs w:val="18"/>
              </w:rPr>
            </w:pPr>
            <w:r>
              <w:rPr>
                <w:rFonts w:ascii="宋体" w:hAnsi="宋体" w:cs="宋体" w:eastAsia="宋体" w:hint="default"/>
                <w:spacing w:val="-3"/>
                <w:sz w:val="18"/>
                <w:szCs w:val="18"/>
              </w:rPr>
              <w:t>产生其他收益的来源</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99"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软件退税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3,385,006.19</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3,200,687.46</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14,649,105.64</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12,192,518.81</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3"/>
                <w:sz w:val="18"/>
              </w:rPr>
              <w:t>18,034,111.83</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15,393,206.27</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68、投资收益" w:id="394"/>
      <w:bookmarkEnd w:id="394"/>
      <w:r>
        <w:rPr>
          <w:b w:val="0"/>
          <w:bCs w:val="0"/>
        </w:rPr>
      </w:r>
      <w:r>
        <w:rPr>
          <w:rFonts w:ascii="Times New Roman" w:hAnsi="Times New Roman" w:cs="Times New Roman" w:eastAsia="Times New Roman" w:hint="default"/>
        </w:rPr>
        <w:t>68</w:t>
      </w:r>
      <w:r>
        <w:rPr/>
        <w:t>、投资收益</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462"/>
        <w:gridCol w:w="3188"/>
        <w:gridCol w:w="2919"/>
      </w:tblGrid>
      <w:tr>
        <w:trPr>
          <w:trHeight w:val="398" w:hRule="exact"/>
        </w:trPr>
        <w:tc>
          <w:tcPr>
            <w:tcW w:w="34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29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4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权益法核算的长期股权投资收益</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89"/>
              <w:jc w:val="right"/>
              <w:rPr>
                <w:rFonts w:ascii="Times New Roman" w:hAnsi="Times New Roman" w:cs="Times New Roman" w:eastAsia="Times New Roman" w:hint="default"/>
                <w:sz w:val="18"/>
                <w:szCs w:val="18"/>
              </w:rPr>
            </w:pPr>
            <w:r>
              <w:rPr>
                <w:rFonts w:ascii="Times New Roman"/>
                <w:spacing w:val="-1"/>
                <w:sz w:val="18"/>
              </w:rPr>
              <w:t>-555,186.04</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-621,005.39</w:t>
            </w:r>
          </w:p>
        </w:tc>
      </w:tr>
      <w:tr>
        <w:trPr>
          <w:trHeight w:val="403" w:hRule="exact"/>
        </w:trPr>
        <w:tc>
          <w:tcPr>
            <w:tcW w:w="34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交易性金融资产在持有期间的投资收益</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89"/>
              <w:jc w:val="right"/>
              <w:rPr>
                <w:rFonts w:ascii="Times New Roman" w:hAnsi="Times New Roman" w:cs="Times New Roman" w:eastAsia="Times New Roman" w:hint="default"/>
                <w:sz w:val="18"/>
                <w:szCs w:val="18"/>
              </w:rPr>
            </w:pPr>
            <w:r>
              <w:rPr>
                <w:rFonts w:ascii="Times New Roman"/>
                <w:spacing w:val="-1"/>
                <w:sz w:val="18"/>
              </w:rPr>
              <w:t>4,229,108.27</w:t>
            </w:r>
          </w:p>
        </w:tc>
        <w:tc>
          <w:tcPr>
            <w:tcW w:w="2919"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3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pacing w:val="-3"/>
                <w:sz w:val="18"/>
                <w:szCs w:val="18"/>
              </w:rPr>
              <w:t>其他流动资产在持有期间的投资收益</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89"/>
              <w:jc w:val="right"/>
              <w:rPr>
                <w:rFonts w:ascii="Times New Roman" w:hAnsi="Times New Roman" w:cs="Times New Roman" w:eastAsia="Times New Roman" w:hint="default"/>
                <w:sz w:val="18"/>
                <w:szCs w:val="18"/>
              </w:rPr>
            </w:pPr>
            <w:r>
              <w:rPr>
                <w:rFonts w:ascii="Times New Roman"/>
                <w:spacing w:val="-2"/>
                <w:sz w:val="18"/>
              </w:rPr>
              <w:t>411,731.51</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3,678,293.08</w:t>
            </w:r>
          </w:p>
        </w:tc>
      </w:tr>
      <w:tr>
        <w:trPr>
          <w:trHeight w:val="398" w:hRule="exact"/>
        </w:trPr>
        <w:tc>
          <w:tcPr>
            <w:tcW w:w="3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其他非流动金融资产分配股利</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89"/>
              <w:jc w:val="right"/>
              <w:rPr>
                <w:rFonts w:ascii="Times New Roman" w:hAnsi="Times New Roman" w:cs="Times New Roman" w:eastAsia="Times New Roman" w:hint="default"/>
                <w:sz w:val="18"/>
                <w:szCs w:val="18"/>
              </w:rPr>
            </w:pPr>
            <w:r>
              <w:rPr>
                <w:rFonts w:ascii="Times New Roman"/>
                <w:spacing w:val="-1"/>
                <w:sz w:val="18"/>
              </w:rPr>
              <w:t>1,000,000.00</w:t>
            </w:r>
          </w:p>
        </w:tc>
        <w:tc>
          <w:tcPr>
            <w:tcW w:w="291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4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89"/>
              <w:jc w:val="right"/>
              <w:rPr>
                <w:rFonts w:ascii="Times New Roman" w:hAnsi="Times New Roman" w:cs="Times New Roman" w:eastAsia="Times New Roman" w:hint="default"/>
                <w:sz w:val="18"/>
                <w:szCs w:val="18"/>
              </w:rPr>
            </w:pPr>
            <w:r>
              <w:rPr>
                <w:rFonts w:ascii="Times New Roman"/>
                <w:spacing w:val="-1"/>
                <w:sz w:val="18"/>
              </w:rPr>
              <w:t>5,085,653.74</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3,057,287.69</w:t>
            </w:r>
          </w:p>
        </w:tc>
      </w:tr>
    </w:tbl>
    <w:p>
      <w:pPr>
        <w:pStyle w:val="BodyText"/>
        <w:spacing w:line="357" w:lineRule="auto" w:before="53"/>
        <w:ind w:right="9861"/>
        <w:jc w:val="left"/>
      </w:pPr>
      <w:r>
        <w:rPr>
          <w:spacing w:val="-2"/>
        </w:rPr>
        <w:t>其他说明：</w:t>
      </w:r>
      <w:r>
        <w:rPr>
          <w:spacing w:val="-78"/>
        </w:rPr>
        <w:t> </w:t>
      </w:r>
      <w:r>
        <w:rPr>
          <w:spacing w:val="-78"/>
        </w:rPr>
      </w:r>
      <w:r>
        <w:rPr/>
        <w:t>无。</w:t>
      </w:r>
    </w:p>
    <w:p>
      <w:pPr>
        <w:spacing w:line="240" w:lineRule="auto" w:before="3"/>
        <w:rPr>
          <w:rFonts w:ascii="宋体" w:hAnsi="宋体" w:cs="宋体" w:eastAsia="宋体" w:hint="default"/>
          <w:sz w:val="20"/>
          <w:szCs w:val="20"/>
        </w:rPr>
      </w:pPr>
    </w:p>
    <w:p>
      <w:pPr>
        <w:pStyle w:val="Heading4"/>
        <w:spacing w:line="240" w:lineRule="auto"/>
        <w:ind w:right="0"/>
        <w:jc w:val="left"/>
        <w:rPr>
          <w:b w:val="0"/>
          <w:bCs w:val="0"/>
        </w:rPr>
      </w:pPr>
      <w:bookmarkStart w:name="69、净敞口套期收益" w:id="395"/>
      <w:bookmarkEnd w:id="395"/>
      <w:r>
        <w:rPr>
          <w:b w:val="0"/>
          <w:bCs w:val="0"/>
        </w:rPr>
      </w:r>
      <w:r>
        <w:rPr>
          <w:rFonts w:ascii="Times New Roman" w:hAnsi="Times New Roman" w:cs="Times New Roman" w:eastAsia="Times New Roman" w:hint="default"/>
        </w:rPr>
        <w:t>69</w:t>
      </w:r>
      <w:r>
        <w:rPr/>
        <w:t>、净敞口套期收益</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10"/>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4"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5"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pStyle w:val="BodyText"/>
        <w:spacing w:line="357" w:lineRule="auto" w:before="53"/>
        <w:ind w:right="9861"/>
        <w:jc w:val="left"/>
      </w:pPr>
      <w:r>
        <w:rPr>
          <w:spacing w:val="-2"/>
        </w:rPr>
        <w:t>其他说明：</w:t>
      </w:r>
      <w:r>
        <w:rPr>
          <w:spacing w:val="-78"/>
        </w:rPr>
        <w:t> </w:t>
      </w:r>
      <w:r>
        <w:rPr>
          <w:spacing w:val="-78"/>
        </w:rPr>
      </w:r>
      <w:r>
        <w:rPr/>
        <w:t>无。</w:t>
      </w:r>
    </w:p>
    <w:p>
      <w:pPr>
        <w:spacing w:after="0" w:line="357" w:lineRule="auto"/>
        <w:jc w:val="left"/>
        <w:sectPr>
          <w:pgSz w:w="11910" w:h="16840"/>
          <w:pgMar w:header="784" w:footer="1022" w:top="1100" w:bottom="1220" w:left="980" w:right="0"/>
        </w:sectPr>
      </w:pPr>
    </w:p>
    <w:p>
      <w:pPr>
        <w:spacing w:line="240" w:lineRule="auto" w:before="13"/>
        <w:rPr>
          <w:rFonts w:ascii="宋体" w:hAnsi="宋体" w:cs="宋体" w:eastAsia="宋体" w:hint="default"/>
          <w:sz w:val="21"/>
          <w:szCs w:val="21"/>
        </w:rPr>
      </w:pPr>
    </w:p>
    <w:p>
      <w:pPr>
        <w:pStyle w:val="Heading4"/>
        <w:spacing w:line="240" w:lineRule="auto" w:before="36"/>
        <w:ind w:right="0"/>
        <w:jc w:val="left"/>
        <w:rPr>
          <w:b w:val="0"/>
          <w:bCs w:val="0"/>
        </w:rPr>
      </w:pPr>
      <w:bookmarkStart w:name="70、公允价值变动收益" w:id="396"/>
      <w:bookmarkEnd w:id="396"/>
      <w:r>
        <w:rPr>
          <w:b w:val="0"/>
          <w:bCs w:val="0"/>
        </w:rPr>
      </w:r>
      <w:r>
        <w:rPr>
          <w:rFonts w:ascii="Times New Roman" w:hAnsi="Times New Roman" w:cs="Times New Roman" w:eastAsia="Times New Roman" w:hint="default"/>
        </w:rPr>
        <w:t>70</w:t>
      </w:r>
      <w:r>
        <w:rPr/>
        <w:t>、公允价值变动收益</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22" w:right="0"/>
              <w:jc w:val="left"/>
              <w:rPr>
                <w:rFonts w:ascii="宋体" w:hAnsi="宋体" w:cs="宋体" w:eastAsia="宋体" w:hint="default"/>
                <w:sz w:val="18"/>
                <w:szCs w:val="18"/>
              </w:rPr>
            </w:pPr>
            <w:r>
              <w:rPr>
                <w:rFonts w:ascii="宋体" w:hAnsi="宋体" w:cs="宋体" w:eastAsia="宋体" w:hint="default"/>
                <w:spacing w:val="-3"/>
                <w:sz w:val="18"/>
                <w:szCs w:val="18"/>
              </w:rPr>
              <w:t>产生公允价值变动收益的来源</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5"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交易性金融资产</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-12,750.00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12,750.00</w:t>
            </w:r>
          </w:p>
        </w:tc>
      </w:tr>
      <w:tr>
        <w:trPr>
          <w:trHeight w:val="710"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05" w:right="94" w:firstLine="360"/>
              <w:jc w:val="left"/>
              <w:rPr>
                <w:rFonts w:ascii="宋体" w:hAnsi="宋体" w:cs="宋体" w:eastAsia="宋体" w:hint="default"/>
                <w:sz w:val="18"/>
                <w:szCs w:val="18"/>
              </w:rPr>
            </w:pPr>
            <w:r>
              <w:rPr>
                <w:rFonts w:ascii="宋体" w:hAnsi="宋体" w:cs="宋体" w:eastAsia="宋体" w:hint="default"/>
                <w:spacing w:val="-8"/>
                <w:w w:val="101"/>
                <w:sz w:val="18"/>
                <w:szCs w:val="18"/>
              </w:rPr>
              <w:t>其中：衍生金融工具产生的公允价</w:t>
            </w:r>
            <w:r>
              <w:rPr>
                <w:rFonts w:ascii="宋体" w:hAnsi="宋体" w:cs="宋体" w:eastAsia="宋体" w:hint="default"/>
                <w:w w:val="101"/>
                <w:sz w:val="18"/>
                <w:szCs w:val="18"/>
              </w:rPr>
              <w:t> </w:t>
            </w:r>
            <w:r>
              <w:rPr>
                <w:rFonts w:ascii="宋体" w:hAnsi="宋体" w:cs="宋体" w:eastAsia="宋体" w:hint="default"/>
                <w:sz w:val="18"/>
                <w:szCs w:val="18"/>
              </w:rPr>
              <w:t>值变动收益</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-12,750.00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12,750.00</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交易性金融负债</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376,800.00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pacing w:val="-1"/>
                <w:sz w:val="18"/>
              </w:rPr>
              <w:t>-376,800.00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364,050.00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pacing w:val="-1"/>
                <w:sz w:val="18"/>
              </w:rPr>
              <w:t>-364,050.00</w:t>
            </w:r>
          </w:p>
        </w:tc>
      </w:tr>
    </w:tbl>
    <w:p>
      <w:pPr>
        <w:pStyle w:val="BodyText"/>
        <w:spacing w:line="357" w:lineRule="auto" w:before="53"/>
        <w:ind w:right="9861"/>
        <w:jc w:val="left"/>
      </w:pPr>
      <w:r>
        <w:rPr>
          <w:spacing w:val="-2"/>
        </w:rPr>
        <w:t>其他说明：</w:t>
      </w:r>
      <w:r>
        <w:rPr>
          <w:spacing w:val="-78"/>
        </w:rPr>
        <w:t> </w:t>
      </w:r>
      <w:r>
        <w:rPr>
          <w:spacing w:val="-78"/>
        </w:rPr>
      </w:r>
      <w:r>
        <w:rPr/>
        <w:t>无。</w:t>
      </w:r>
    </w:p>
    <w:p>
      <w:pPr>
        <w:spacing w:line="240" w:lineRule="auto" w:before="4"/>
        <w:rPr>
          <w:rFonts w:ascii="宋体" w:hAnsi="宋体" w:cs="宋体" w:eastAsia="宋体" w:hint="default"/>
          <w:sz w:val="20"/>
          <w:szCs w:val="20"/>
        </w:rPr>
      </w:pPr>
    </w:p>
    <w:p>
      <w:pPr>
        <w:pStyle w:val="Heading4"/>
        <w:spacing w:line="240" w:lineRule="auto"/>
        <w:ind w:right="0"/>
        <w:jc w:val="left"/>
        <w:rPr>
          <w:b w:val="0"/>
          <w:bCs w:val="0"/>
        </w:rPr>
      </w:pPr>
      <w:bookmarkStart w:name="71、信用减值损失" w:id="397"/>
      <w:bookmarkEnd w:id="397"/>
      <w:r>
        <w:rPr>
          <w:b w:val="0"/>
          <w:bCs w:val="0"/>
        </w:rPr>
      </w:r>
      <w:r>
        <w:rPr>
          <w:rFonts w:ascii="Times New Roman" w:hAnsi="Times New Roman" w:cs="Times New Roman" w:eastAsia="Times New Roman" w:hint="default"/>
        </w:rPr>
        <w:t>71</w:t>
      </w:r>
      <w:r>
        <w:rPr/>
        <w:t>、信用减值损失</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其他应收款坏账损失</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-1,370,081.24</w:t>
            </w:r>
          </w:p>
        </w:tc>
        <w:tc>
          <w:tcPr>
            <w:tcW w:w="3193" w:type="dxa"/>
            <w:tcBorders>
              <w:top w:val="single" w:sz="4" w:space="0" w:color="000000"/>
              <w:left w:val="single" w:sz="4" w:space="0" w:color="000000"/>
              <w:bottom w:val="single" w:sz="4" w:space="0" w:color="000000"/>
              <w:right w:val="single" w:sz="4" w:space="0" w:color="000000"/>
            </w:tcBorders>
          </w:tcPr>
          <w:p>
            <w:pPr/>
          </w:p>
        </w:tc>
      </w:tr>
      <w:tr>
        <w:trPr>
          <w:trHeight w:val="399"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应收账款坏账损失</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-38,030,491.32</w:t>
            </w:r>
          </w:p>
        </w:tc>
        <w:tc>
          <w:tcPr>
            <w:tcW w:w="319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z w:val="18"/>
                <w:szCs w:val="18"/>
              </w:rPr>
              <w:t>应收票据坏账损失</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-1,170,071.65</w:t>
            </w:r>
          </w:p>
        </w:tc>
        <w:tc>
          <w:tcPr>
            <w:tcW w:w="319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-40,570,644.21</w:t>
            </w:r>
          </w:p>
        </w:tc>
        <w:tc>
          <w:tcPr>
            <w:tcW w:w="3193" w:type="dxa"/>
            <w:tcBorders>
              <w:top w:val="single" w:sz="4" w:space="0" w:color="000000"/>
              <w:left w:val="single" w:sz="4" w:space="0" w:color="000000"/>
              <w:bottom w:val="single" w:sz="4" w:space="0" w:color="000000"/>
              <w:right w:val="single" w:sz="4" w:space="0" w:color="000000"/>
            </w:tcBorders>
          </w:tcPr>
          <w:p>
            <w:pPr/>
          </w:p>
        </w:tc>
      </w:tr>
    </w:tbl>
    <w:p>
      <w:pPr>
        <w:pStyle w:val="BodyText"/>
        <w:spacing w:line="357" w:lineRule="auto" w:before="53"/>
        <w:ind w:right="9861"/>
        <w:jc w:val="left"/>
      </w:pPr>
      <w:r>
        <w:rPr>
          <w:spacing w:val="-2"/>
        </w:rPr>
        <w:t>其他说明：</w:t>
      </w:r>
      <w:r>
        <w:rPr>
          <w:spacing w:val="-78"/>
        </w:rPr>
        <w:t> </w:t>
      </w:r>
      <w:r>
        <w:rPr>
          <w:spacing w:val="-78"/>
        </w:rPr>
      </w:r>
      <w:r>
        <w:rPr/>
        <w:t>无。</w:t>
      </w:r>
    </w:p>
    <w:p>
      <w:pPr>
        <w:spacing w:line="240" w:lineRule="auto" w:before="3"/>
        <w:rPr>
          <w:rFonts w:ascii="宋体" w:hAnsi="宋体" w:cs="宋体" w:eastAsia="宋体" w:hint="default"/>
          <w:sz w:val="20"/>
          <w:szCs w:val="20"/>
        </w:rPr>
      </w:pPr>
    </w:p>
    <w:p>
      <w:pPr>
        <w:pStyle w:val="Heading4"/>
        <w:spacing w:line="240" w:lineRule="auto"/>
        <w:ind w:right="0"/>
        <w:jc w:val="left"/>
        <w:rPr>
          <w:b w:val="0"/>
          <w:bCs w:val="0"/>
        </w:rPr>
      </w:pPr>
      <w:bookmarkStart w:name="72、资产减值损失" w:id="398"/>
      <w:bookmarkEnd w:id="398"/>
      <w:r>
        <w:rPr>
          <w:b w:val="0"/>
          <w:bCs w:val="0"/>
        </w:rPr>
      </w:r>
      <w:r>
        <w:rPr>
          <w:rFonts w:ascii="Times New Roman" w:hAnsi="Times New Roman" w:cs="Times New Roman" w:eastAsia="Times New Roman" w:hint="default"/>
        </w:rPr>
        <w:t>72</w:t>
      </w:r>
      <w:r>
        <w:rPr/>
        <w:t>、资产减值损失</w:t>
      </w:r>
      <w:r>
        <w:rPr>
          <w:b w:val="0"/>
          <w:bCs w:val="0"/>
        </w:rPr>
      </w:r>
    </w:p>
    <w:p>
      <w:pPr>
        <w:spacing w:line="240" w:lineRule="auto" w:before="2"/>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784" w:footer="1022" w:top="1100" w:bottom="1220" w:left="980" w:right="0"/>
        </w:sectPr>
      </w:pPr>
    </w:p>
    <w:p>
      <w:pPr>
        <w:pStyle w:val="BodyText"/>
        <w:spacing w:line="240" w:lineRule="auto"/>
        <w:ind w:right="0"/>
        <w:jc w:val="left"/>
      </w:pPr>
      <w:r>
        <w:rPr>
          <w:spacing w:val="-2"/>
        </w:rPr>
        <w:t>是否已执行新收入准则</w:t>
      </w:r>
    </w:p>
    <w:p>
      <w:pPr>
        <w:pStyle w:val="BodyText"/>
        <w:spacing w:line="240" w:lineRule="auto" w:before="115"/>
        <w:ind w:right="0"/>
        <w:jc w:val="left"/>
      </w:pPr>
      <w:r>
        <w:rPr/>
        <w:t>□ 是 √</w:t>
      </w:r>
      <w:r>
        <w:rPr>
          <w:spacing w:val="2"/>
        </w:rPr>
        <w:t> </w:t>
      </w:r>
      <w:r>
        <w:rPr/>
        <w:t>否</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21"/>
          <w:szCs w:val="21"/>
        </w:rPr>
      </w:pPr>
    </w:p>
    <w:p>
      <w:pPr>
        <w:pStyle w:val="BodyText"/>
        <w:spacing w:line="240" w:lineRule="auto" w:before="0"/>
        <w:ind w:right="0"/>
        <w:jc w:val="left"/>
      </w:pPr>
      <w:r>
        <w:rPr/>
        <w:t>单位：</w:t>
      </w:r>
      <w:r>
        <w:rPr>
          <w:spacing w:val="5"/>
        </w:rPr>
        <w:t> </w:t>
      </w:r>
      <w:r>
        <w:rPr/>
        <w:t>元</w:t>
      </w:r>
    </w:p>
    <w:p>
      <w:pPr>
        <w:spacing w:after="0" w:line="240" w:lineRule="auto"/>
        <w:jc w:val="left"/>
        <w:sectPr>
          <w:type w:val="continuous"/>
          <w:pgSz w:w="11910" w:h="16840"/>
          <w:pgMar w:top="1100" w:bottom="1220" w:left="980" w:right="0"/>
          <w:cols w:num="2" w:equalWidth="0">
            <w:col w:w="1959" w:space="6872"/>
            <w:col w:w="2099"/>
          </w:cols>
        </w:sectPr>
      </w:pP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98"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一、坏账损失</w:t>
            </w:r>
          </w:p>
        </w:tc>
        <w:tc>
          <w:tcPr>
            <w:tcW w:w="3193" w:type="dxa"/>
            <w:tcBorders>
              <w:top w:val="single" w:sz="4" w:space="0" w:color="000000"/>
              <w:left w:val="single" w:sz="4" w:space="0" w:color="000000"/>
              <w:bottom w:val="single" w:sz="4" w:space="0" w:color="000000"/>
              <w:right w:val="single" w:sz="4" w:space="0" w:color="000000"/>
            </w:tcBorders>
          </w:tcPr>
          <w:p>
            <w:pP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-27,267,570.17</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z w:val="18"/>
                <w:szCs w:val="18"/>
              </w:rPr>
              <w:t>二、存货跌价损失</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-4,962,634.66</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8"/>
              <w:jc w:val="right"/>
              <w:rPr>
                <w:rFonts w:ascii="Times New Roman" w:hAnsi="Times New Roman" w:cs="Times New Roman" w:eastAsia="Times New Roman" w:hint="default"/>
                <w:sz w:val="18"/>
                <w:szCs w:val="18"/>
              </w:rPr>
            </w:pPr>
            <w:r>
              <w:rPr>
                <w:rFonts w:ascii="Times New Roman"/>
                <w:spacing w:val="-1"/>
                <w:sz w:val="18"/>
              </w:rPr>
              <w:t>-320,560.60</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-4,962,634.66</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-27,588,130.77</w:t>
            </w:r>
          </w:p>
        </w:tc>
      </w:tr>
    </w:tbl>
    <w:p>
      <w:pPr>
        <w:pStyle w:val="BodyText"/>
        <w:spacing w:line="357" w:lineRule="auto" w:before="53"/>
        <w:ind w:right="9861"/>
        <w:jc w:val="left"/>
      </w:pPr>
      <w:r>
        <w:rPr>
          <w:spacing w:val="-2"/>
        </w:rPr>
        <w:t>其他说明：</w:t>
      </w:r>
      <w:r>
        <w:rPr>
          <w:spacing w:val="-78"/>
        </w:rPr>
        <w:t> </w:t>
      </w:r>
      <w:r>
        <w:rPr>
          <w:spacing w:val="-78"/>
        </w:rPr>
      </w:r>
      <w:r>
        <w:rPr/>
        <w:t>无。</w:t>
      </w:r>
    </w:p>
    <w:p>
      <w:pPr>
        <w:spacing w:line="240" w:lineRule="auto" w:before="3"/>
        <w:rPr>
          <w:rFonts w:ascii="宋体" w:hAnsi="宋体" w:cs="宋体" w:eastAsia="宋体" w:hint="default"/>
          <w:sz w:val="20"/>
          <w:szCs w:val="20"/>
        </w:rPr>
      </w:pPr>
    </w:p>
    <w:p>
      <w:pPr>
        <w:pStyle w:val="Heading4"/>
        <w:spacing w:line="240" w:lineRule="auto"/>
        <w:ind w:right="0"/>
        <w:jc w:val="left"/>
        <w:rPr>
          <w:b w:val="0"/>
          <w:bCs w:val="0"/>
        </w:rPr>
      </w:pPr>
      <w:bookmarkStart w:name="73、资产处置收益" w:id="399"/>
      <w:bookmarkEnd w:id="399"/>
      <w:r>
        <w:rPr>
          <w:b w:val="0"/>
          <w:bCs w:val="0"/>
        </w:rPr>
      </w:r>
      <w:r>
        <w:rPr>
          <w:rFonts w:ascii="Times New Roman" w:hAnsi="Times New Roman" w:cs="Times New Roman" w:eastAsia="Times New Roman" w:hint="default"/>
        </w:rPr>
        <w:t>73</w:t>
      </w:r>
      <w:r>
        <w:rPr/>
        <w:t>、资产处置收益</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after="0" w:line="240" w:lineRule="auto"/>
        <w:jc w:val="right"/>
        <w:sectPr>
          <w:type w:val="continuous"/>
          <w:pgSz w:w="11910" w:h="16840"/>
          <w:pgMar w:top="1100" w:bottom="1220" w:left="980" w:right="0"/>
        </w:sectPr>
      </w:pPr>
    </w:p>
    <w:p>
      <w:pPr>
        <w:spacing w:line="240" w:lineRule="auto" w:before="7"/>
        <w:rPr>
          <w:rFonts w:ascii="宋体" w:hAnsi="宋体" w:cs="宋体" w:eastAsia="宋体" w:hint="default"/>
          <w:sz w:val="25"/>
          <w:szCs w:val="25"/>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82" w:right="0"/>
              <w:jc w:val="left"/>
              <w:rPr>
                <w:rFonts w:ascii="宋体" w:hAnsi="宋体" w:cs="宋体" w:eastAsia="宋体" w:hint="default"/>
                <w:sz w:val="18"/>
                <w:szCs w:val="18"/>
              </w:rPr>
            </w:pPr>
            <w:r>
              <w:rPr>
                <w:rFonts w:ascii="宋体" w:hAnsi="宋体" w:cs="宋体" w:eastAsia="宋体" w:hint="default"/>
                <w:spacing w:val="-3"/>
                <w:sz w:val="18"/>
                <w:szCs w:val="18"/>
              </w:rPr>
              <w:t>资产处置收益的来源</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98"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非流动资产处置收益</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-527,212.62</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-129,061.91</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-527,212.62</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-129,061.91</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74、营业外收入" w:id="400"/>
      <w:bookmarkEnd w:id="400"/>
      <w:r>
        <w:rPr>
          <w:b w:val="0"/>
          <w:bCs w:val="0"/>
        </w:rPr>
      </w:r>
      <w:r>
        <w:rPr>
          <w:rFonts w:ascii="Times New Roman" w:hAnsi="Times New Roman" w:cs="Times New Roman" w:eastAsia="Times New Roman" w:hint="default"/>
        </w:rPr>
        <w:t>74</w:t>
      </w:r>
      <w:r>
        <w:rPr/>
        <w:t>、营业外收入</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391"/>
        <w:gridCol w:w="2396"/>
        <w:gridCol w:w="2391"/>
        <w:gridCol w:w="2391"/>
      </w:tblGrid>
      <w:tr>
        <w:trPr>
          <w:trHeight w:val="716"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739"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739"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1104" w:right="103" w:hanging="994"/>
              <w:jc w:val="left"/>
              <w:rPr>
                <w:rFonts w:ascii="宋体" w:hAnsi="宋体" w:cs="宋体" w:eastAsia="宋体" w:hint="default"/>
                <w:sz w:val="18"/>
                <w:szCs w:val="18"/>
              </w:rPr>
            </w:pPr>
            <w:r>
              <w:rPr>
                <w:rFonts w:ascii="宋体" w:hAnsi="宋体" w:cs="宋体" w:eastAsia="宋体" w:hint="default"/>
                <w:spacing w:val="-3"/>
                <w:sz w:val="18"/>
                <w:szCs w:val="18"/>
              </w:rPr>
              <w:t>计入当期非经常性损益的金</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额</w:t>
            </w:r>
          </w:p>
        </w:tc>
      </w:tr>
      <w:tr>
        <w:trPr>
          <w:trHeight w:val="398"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641,800.00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780,000.00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641,800.00</w:t>
            </w:r>
          </w:p>
        </w:tc>
      </w:tr>
      <w:tr>
        <w:trPr>
          <w:trHeight w:val="571"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10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280,409.29</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496,849.78</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right="93"/>
              <w:jc w:val="right"/>
              <w:rPr>
                <w:rFonts w:ascii="Arial" w:hAnsi="Arial" w:cs="Arial" w:eastAsia="Arial" w:hint="default"/>
                <w:sz w:val="18"/>
                <w:szCs w:val="18"/>
              </w:rPr>
            </w:pPr>
            <w:r>
              <w:rPr>
                <w:rFonts w:ascii="Arial"/>
                <w:spacing w:val="-1"/>
                <w:sz w:val="18"/>
              </w:rPr>
              <w:t>280,409.29</w:t>
            </w:r>
          </w:p>
        </w:tc>
      </w:tr>
      <w:tr>
        <w:trPr>
          <w:trHeight w:val="572"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0"/>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922,209.29</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1,276,849.78</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3"/>
              <w:jc w:val="right"/>
              <w:rPr>
                <w:rFonts w:ascii="Arial" w:hAnsi="Arial" w:cs="Arial" w:eastAsia="Arial" w:hint="default"/>
                <w:sz w:val="18"/>
                <w:szCs w:val="18"/>
              </w:rPr>
            </w:pPr>
            <w:r>
              <w:rPr>
                <w:rFonts w:ascii="Arial"/>
                <w:spacing w:val="-1"/>
                <w:sz w:val="18"/>
              </w:rPr>
              <w:t>922,209.29</w:t>
            </w:r>
          </w:p>
        </w:tc>
      </w:tr>
    </w:tbl>
    <w:p>
      <w:pPr>
        <w:pStyle w:val="BodyText"/>
        <w:spacing w:line="240" w:lineRule="auto" w:before="53"/>
        <w:ind w:right="0"/>
        <w:jc w:val="left"/>
      </w:pPr>
      <w:r>
        <w:rPr>
          <w:spacing w:val="-3"/>
        </w:rPr>
        <w:t>计入当期损益的政府补助：</w:t>
      </w:r>
    </w:p>
    <w:p>
      <w:pPr>
        <w:pStyle w:val="BodyText"/>
        <w:spacing w:line="240" w:lineRule="auto" w:before="119"/>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066"/>
        <w:gridCol w:w="1061"/>
        <w:gridCol w:w="1066"/>
        <w:gridCol w:w="1061"/>
        <w:gridCol w:w="1066"/>
        <w:gridCol w:w="1061"/>
        <w:gridCol w:w="1066"/>
        <w:gridCol w:w="1061"/>
        <w:gridCol w:w="1066"/>
      </w:tblGrid>
      <w:tr>
        <w:trPr>
          <w:trHeight w:val="1028" w:hRule="exact"/>
        </w:trPr>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168" w:right="0"/>
              <w:jc w:val="left"/>
              <w:rPr>
                <w:rFonts w:ascii="宋体" w:hAnsi="宋体" w:cs="宋体" w:eastAsia="宋体" w:hint="default"/>
                <w:sz w:val="18"/>
                <w:szCs w:val="18"/>
              </w:rPr>
            </w:pPr>
            <w:r>
              <w:rPr>
                <w:rFonts w:ascii="宋体" w:hAnsi="宋体" w:cs="宋体" w:eastAsia="宋体" w:hint="default"/>
                <w:sz w:val="18"/>
                <w:szCs w:val="18"/>
              </w:rPr>
              <w:t>补助项目</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167" w:right="0"/>
              <w:jc w:val="left"/>
              <w:rPr>
                <w:rFonts w:ascii="宋体" w:hAnsi="宋体" w:cs="宋体" w:eastAsia="宋体" w:hint="default"/>
                <w:sz w:val="18"/>
                <w:szCs w:val="18"/>
              </w:rPr>
            </w:pPr>
            <w:r>
              <w:rPr>
                <w:rFonts w:ascii="宋体" w:hAnsi="宋体" w:cs="宋体" w:eastAsia="宋体" w:hint="default"/>
                <w:sz w:val="18"/>
                <w:szCs w:val="18"/>
              </w:rPr>
              <w:t>发放主体</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168" w:right="0"/>
              <w:jc w:val="left"/>
              <w:rPr>
                <w:rFonts w:ascii="宋体" w:hAnsi="宋体" w:cs="宋体" w:eastAsia="宋体" w:hint="default"/>
                <w:sz w:val="18"/>
                <w:szCs w:val="18"/>
              </w:rPr>
            </w:pPr>
            <w:r>
              <w:rPr>
                <w:rFonts w:ascii="宋体" w:hAnsi="宋体" w:cs="宋体" w:eastAsia="宋体" w:hint="default"/>
                <w:sz w:val="18"/>
                <w:szCs w:val="18"/>
              </w:rPr>
              <w:t>发放原因</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168" w:right="0"/>
              <w:jc w:val="left"/>
              <w:rPr>
                <w:rFonts w:ascii="宋体" w:hAnsi="宋体" w:cs="宋体" w:eastAsia="宋体" w:hint="default"/>
                <w:sz w:val="18"/>
                <w:szCs w:val="18"/>
              </w:rPr>
            </w:pPr>
            <w:r>
              <w:rPr>
                <w:rFonts w:ascii="宋体" w:hAnsi="宋体" w:cs="宋体" w:eastAsia="宋体" w:hint="default"/>
                <w:sz w:val="18"/>
                <w:szCs w:val="18"/>
              </w:rPr>
              <w:t>性质类型</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168" w:right="161"/>
              <w:jc w:val="center"/>
              <w:rPr>
                <w:rFonts w:ascii="宋体" w:hAnsi="宋体" w:cs="宋体" w:eastAsia="宋体" w:hint="default"/>
                <w:sz w:val="18"/>
                <w:szCs w:val="18"/>
              </w:rPr>
            </w:pPr>
            <w:r>
              <w:rPr>
                <w:rFonts w:ascii="宋体" w:hAnsi="宋体" w:cs="宋体" w:eastAsia="宋体" w:hint="default"/>
                <w:spacing w:val="-2"/>
                <w:sz w:val="18"/>
                <w:szCs w:val="18"/>
              </w:rPr>
              <w:t>补贴是否</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2"/>
                <w:sz w:val="18"/>
                <w:szCs w:val="18"/>
              </w:rPr>
              <w:t>影响当年</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盈亏</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19" w:lineRule="auto"/>
              <w:ind w:left="340" w:right="161" w:hanging="178"/>
              <w:jc w:val="left"/>
              <w:rPr>
                <w:rFonts w:ascii="宋体" w:hAnsi="宋体" w:cs="宋体" w:eastAsia="宋体" w:hint="default"/>
                <w:sz w:val="18"/>
                <w:szCs w:val="18"/>
              </w:rPr>
            </w:pPr>
            <w:r>
              <w:rPr>
                <w:rFonts w:ascii="宋体" w:hAnsi="宋体" w:cs="宋体" w:eastAsia="宋体" w:hint="default"/>
                <w:sz w:val="18"/>
                <w:szCs w:val="18"/>
              </w:rPr>
              <w:t>是否特殊</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补贴</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19" w:lineRule="auto"/>
              <w:ind w:left="345" w:right="161" w:hanging="178"/>
              <w:jc w:val="left"/>
              <w:rPr>
                <w:rFonts w:ascii="宋体" w:hAnsi="宋体" w:cs="宋体" w:eastAsia="宋体" w:hint="default"/>
                <w:sz w:val="18"/>
                <w:szCs w:val="18"/>
              </w:rPr>
            </w:pPr>
            <w:r>
              <w:rPr>
                <w:rFonts w:ascii="宋体" w:hAnsi="宋体" w:cs="宋体" w:eastAsia="宋体" w:hint="default"/>
                <w:sz w:val="18"/>
                <w:szCs w:val="18"/>
              </w:rPr>
              <w:t>本期发生</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金额</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19" w:lineRule="auto"/>
              <w:ind w:left="340" w:right="161" w:hanging="178"/>
              <w:jc w:val="left"/>
              <w:rPr>
                <w:rFonts w:ascii="宋体" w:hAnsi="宋体" w:cs="宋体" w:eastAsia="宋体" w:hint="default"/>
                <w:sz w:val="18"/>
                <w:szCs w:val="18"/>
              </w:rPr>
            </w:pPr>
            <w:r>
              <w:rPr>
                <w:rFonts w:ascii="宋体" w:hAnsi="宋体" w:cs="宋体" w:eastAsia="宋体" w:hint="default"/>
                <w:sz w:val="18"/>
                <w:szCs w:val="18"/>
              </w:rPr>
              <w:t>上期发生</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金额</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3"/>
              <w:ind w:left="144" w:right="137"/>
              <w:jc w:val="center"/>
              <w:rPr>
                <w:rFonts w:ascii="宋体" w:hAnsi="宋体" w:cs="宋体" w:eastAsia="宋体" w:hint="default"/>
                <w:sz w:val="18"/>
                <w:szCs w:val="18"/>
              </w:rPr>
            </w:pPr>
            <w:r>
              <w:rPr>
                <w:rFonts w:ascii="宋体" w:hAnsi="宋体" w:cs="宋体" w:eastAsia="宋体" w:hint="default"/>
                <w:sz w:val="18"/>
                <w:szCs w:val="18"/>
              </w:rPr>
              <w:t>与资产相</w:t>
            </w:r>
            <w:r>
              <w:rPr>
                <w:rFonts w:ascii="宋体" w:hAnsi="宋体" w:cs="宋体" w:eastAsia="宋体" w:hint="default"/>
                <w:w w:val="101"/>
                <w:sz w:val="18"/>
                <w:szCs w:val="18"/>
              </w:rPr>
              <w:t> </w:t>
            </w:r>
            <w:r>
              <w:rPr>
                <w:rFonts w:ascii="宋体" w:hAnsi="宋体" w:cs="宋体" w:eastAsia="宋体" w:hint="default"/>
                <w:spacing w:val="-2"/>
                <w:sz w:val="18"/>
                <w:szCs w:val="18"/>
              </w:rPr>
              <w:t>关</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与收益</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相关</w:t>
            </w:r>
          </w:p>
        </w:tc>
      </w:tr>
      <w:tr>
        <w:trPr>
          <w:trHeight w:val="1652"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05" w:right="224"/>
              <w:jc w:val="both"/>
              <w:rPr>
                <w:rFonts w:ascii="宋体" w:hAnsi="宋体" w:cs="宋体" w:eastAsia="宋体" w:hint="default"/>
                <w:sz w:val="18"/>
                <w:szCs w:val="18"/>
              </w:rPr>
            </w:pPr>
            <w:r>
              <w:rPr>
                <w:rFonts w:ascii="宋体" w:hAnsi="宋体" w:cs="宋体" w:eastAsia="宋体" w:hint="default"/>
                <w:sz w:val="18"/>
                <w:szCs w:val="18"/>
              </w:rPr>
              <w:t>南京市高</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新技术企</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业培育政</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府补助</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05" w:right="219"/>
              <w:jc w:val="both"/>
              <w:rPr>
                <w:rFonts w:ascii="宋体" w:hAnsi="宋体" w:cs="宋体" w:eastAsia="宋体" w:hint="default"/>
                <w:sz w:val="18"/>
                <w:szCs w:val="18"/>
              </w:rPr>
            </w:pPr>
            <w:r>
              <w:rPr>
                <w:rFonts w:ascii="宋体" w:hAnsi="宋体" w:cs="宋体" w:eastAsia="宋体" w:hint="default"/>
                <w:sz w:val="18"/>
                <w:szCs w:val="18"/>
              </w:rPr>
              <w:t>南京市雨</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花经济开</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发区管理</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委员会</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3"/>
              <w:ind w:left="106" w:right="95"/>
              <w:jc w:val="left"/>
              <w:rPr>
                <w:rFonts w:ascii="宋体" w:hAnsi="宋体" w:cs="宋体" w:eastAsia="宋体" w:hint="default"/>
                <w:sz w:val="18"/>
                <w:szCs w:val="18"/>
              </w:rPr>
            </w:pPr>
            <w:r>
              <w:rPr>
                <w:rFonts w:ascii="宋体" w:hAnsi="宋体" w:cs="宋体" w:eastAsia="宋体" w:hint="default"/>
                <w:sz w:val="18"/>
                <w:szCs w:val="18"/>
              </w:rPr>
              <w:t>因研究开</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13"/>
                <w:sz w:val="18"/>
                <w:szCs w:val="18"/>
              </w:rPr>
              <w:t>发、技术更</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新及改造</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等获得的</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补助</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left="139" w:right="0"/>
              <w:jc w:val="left"/>
              <w:rPr>
                <w:rFonts w:ascii="Times New Roman" w:hAnsi="Times New Roman" w:cs="Times New Roman" w:eastAsia="Times New Roman" w:hint="default"/>
                <w:sz w:val="18"/>
                <w:szCs w:val="18"/>
              </w:rPr>
            </w:pPr>
            <w:r>
              <w:rPr>
                <w:rFonts w:ascii="Times New Roman"/>
                <w:sz w:val="18"/>
              </w:rPr>
              <w:t>641,800.00</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left="134" w:right="0"/>
              <w:jc w:val="left"/>
              <w:rPr>
                <w:rFonts w:ascii="Times New Roman" w:hAnsi="Times New Roman" w:cs="Times New Roman" w:eastAsia="Times New Roman" w:hint="default"/>
                <w:sz w:val="18"/>
                <w:szCs w:val="18"/>
              </w:rPr>
            </w:pPr>
            <w:r>
              <w:rPr>
                <w:rFonts w:ascii="Times New Roman"/>
                <w:sz w:val="18"/>
              </w:rPr>
              <w:t>780,000.00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21" w:lineRule="auto"/>
              <w:ind w:left="105" w:right="223"/>
              <w:jc w:val="left"/>
              <w:rPr>
                <w:rFonts w:ascii="宋体" w:hAnsi="宋体" w:cs="宋体" w:eastAsia="宋体" w:hint="default"/>
                <w:sz w:val="18"/>
                <w:szCs w:val="18"/>
              </w:rPr>
            </w:pPr>
            <w:r>
              <w:rPr>
                <w:rFonts w:ascii="宋体" w:hAnsi="宋体" w:cs="宋体" w:eastAsia="宋体" w:hint="default"/>
                <w:sz w:val="18"/>
                <w:szCs w:val="18"/>
              </w:rPr>
              <w:t>与收益相</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关</w:t>
            </w:r>
          </w:p>
        </w:tc>
      </w:tr>
    </w:tbl>
    <w:p>
      <w:pPr>
        <w:pStyle w:val="BodyText"/>
        <w:spacing w:line="352" w:lineRule="auto" w:before="53"/>
        <w:ind w:right="9861"/>
        <w:jc w:val="left"/>
      </w:pPr>
      <w:r>
        <w:rPr>
          <w:spacing w:val="-2"/>
        </w:rPr>
        <w:t>其他说明：</w:t>
      </w:r>
      <w:r>
        <w:rPr>
          <w:spacing w:val="-78"/>
        </w:rPr>
        <w:t> </w:t>
      </w:r>
      <w:r>
        <w:rPr>
          <w:spacing w:val="-78"/>
        </w:rPr>
      </w:r>
      <w:r>
        <w:rPr/>
        <w:t>无。</w:t>
      </w:r>
    </w:p>
    <w:p>
      <w:pPr>
        <w:spacing w:line="240" w:lineRule="auto" w:before="7"/>
        <w:rPr>
          <w:rFonts w:ascii="宋体" w:hAnsi="宋体" w:cs="宋体" w:eastAsia="宋体" w:hint="default"/>
          <w:sz w:val="20"/>
          <w:szCs w:val="20"/>
        </w:rPr>
      </w:pPr>
    </w:p>
    <w:p>
      <w:pPr>
        <w:pStyle w:val="Heading4"/>
        <w:spacing w:line="240" w:lineRule="auto"/>
        <w:ind w:right="0"/>
        <w:jc w:val="left"/>
        <w:rPr>
          <w:b w:val="0"/>
          <w:bCs w:val="0"/>
        </w:rPr>
      </w:pPr>
      <w:bookmarkStart w:name="75、营业外支出" w:id="401"/>
      <w:bookmarkEnd w:id="401"/>
      <w:r>
        <w:rPr>
          <w:b w:val="0"/>
          <w:bCs w:val="0"/>
        </w:rPr>
      </w:r>
      <w:r>
        <w:rPr>
          <w:rFonts w:ascii="Times New Roman" w:hAnsi="Times New Roman" w:cs="Times New Roman" w:eastAsia="Times New Roman" w:hint="default"/>
        </w:rPr>
        <w:t>75</w:t>
      </w:r>
      <w:r>
        <w:rPr/>
        <w:t>、营业外支出</w:t>
      </w:r>
      <w:r>
        <w:rPr>
          <w:b w:val="0"/>
          <w:bCs w:val="0"/>
        </w:rPr>
      </w:r>
    </w:p>
    <w:p>
      <w:pPr>
        <w:spacing w:line="240" w:lineRule="auto" w:before="7"/>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391"/>
        <w:gridCol w:w="2396"/>
        <w:gridCol w:w="2391"/>
        <w:gridCol w:w="2391"/>
      </w:tblGrid>
      <w:tr>
        <w:trPr>
          <w:trHeight w:val="715"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39"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39"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104" w:right="103" w:hanging="994"/>
              <w:jc w:val="left"/>
              <w:rPr>
                <w:rFonts w:ascii="宋体" w:hAnsi="宋体" w:cs="宋体" w:eastAsia="宋体" w:hint="default"/>
                <w:sz w:val="18"/>
                <w:szCs w:val="18"/>
              </w:rPr>
            </w:pPr>
            <w:r>
              <w:rPr>
                <w:rFonts w:ascii="宋体" w:hAnsi="宋体" w:cs="宋体" w:eastAsia="宋体" w:hint="default"/>
                <w:spacing w:val="-3"/>
                <w:sz w:val="18"/>
                <w:szCs w:val="18"/>
              </w:rPr>
              <w:t>计入当期非经常性损益的金</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额</w:t>
            </w:r>
          </w:p>
        </w:tc>
      </w:tr>
      <w:tr>
        <w:trPr>
          <w:trHeight w:val="399"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对外捐赠</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1,005,000.00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275,569.86</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1,005,000.00</w:t>
            </w:r>
          </w:p>
        </w:tc>
      </w:tr>
      <w:tr>
        <w:trPr>
          <w:trHeight w:val="715"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321" w:lineRule="auto" w:before="53"/>
              <w:ind w:left="105" w:right="109"/>
              <w:jc w:val="left"/>
              <w:rPr>
                <w:rFonts w:ascii="宋体" w:hAnsi="宋体" w:cs="宋体" w:eastAsia="宋体" w:hint="default"/>
                <w:sz w:val="18"/>
                <w:szCs w:val="18"/>
              </w:rPr>
            </w:pPr>
            <w:r>
              <w:rPr>
                <w:rFonts w:ascii="宋体" w:hAnsi="宋体" w:cs="宋体" w:eastAsia="宋体" w:hint="default"/>
                <w:spacing w:val="-3"/>
                <w:sz w:val="18"/>
                <w:szCs w:val="18"/>
              </w:rPr>
              <w:t>非流动资产毁损报废损失合</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188,605.16</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129,644.10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188,605.16</w:t>
            </w:r>
          </w:p>
        </w:tc>
      </w:tr>
      <w:tr>
        <w:trPr>
          <w:trHeight w:val="715"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321" w:lineRule="auto" w:before="53"/>
              <w:ind w:left="105" w:right="109"/>
              <w:jc w:val="left"/>
              <w:rPr>
                <w:rFonts w:ascii="宋体" w:hAnsi="宋体" w:cs="宋体" w:eastAsia="宋体" w:hint="default"/>
                <w:sz w:val="18"/>
                <w:szCs w:val="18"/>
              </w:rPr>
            </w:pPr>
            <w:r>
              <w:rPr>
                <w:rFonts w:ascii="宋体" w:hAnsi="宋体" w:cs="宋体" w:eastAsia="宋体" w:hint="default"/>
                <w:spacing w:val="-3"/>
                <w:sz w:val="18"/>
                <w:szCs w:val="18"/>
              </w:rPr>
              <w:t>其中：固定资产毁损报废损</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失</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188,605.16</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129,644.10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188,605.16</w:t>
            </w:r>
          </w:p>
        </w:tc>
      </w:tr>
      <w:tr>
        <w:trPr>
          <w:trHeight w:val="404"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违约及滞纳金</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106,798.33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51,162.91</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106,798.33</w:t>
            </w:r>
          </w:p>
        </w:tc>
      </w:tr>
      <w:tr>
        <w:trPr>
          <w:trHeight w:val="398"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1,100,434.21</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80,446.57</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1,100,434.21</w:t>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2,400,837.70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536,823.44</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2,400,837.70</w:t>
            </w:r>
          </w:p>
        </w:tc>
      </w:tr>
    </w:tbl>
    <w:p>
      <w:pPr>
        <w:spacing w:after="0" w:line="240" w:lineRule="auto"/>
        <w:jc w:val="right"/>
        <w:rPr>
          <w:rFonts w:ascii="Times New Roman" w:hAnsi="Times New Roman" w:cs="Times New Roman" w:eastAsia="Times New Roman" w:hint="default"/>
          <w:sz w:val="18"/>
          <w:szCs w:val="18"/>
        </w:rPr>
        <w:sectPr>
          <w:pgSz w:w="11910" w:h="16840"/>
          <w:pgMar w:header="784" w:footer="1022" w:top="1100" w:bottom="1220" w:left="980" w:right="0"/>
        </w:sectPr>
      </w:pPr>
    </w:p>
    <w:p>
      <w:pPr>
        <w:spacing w:line="240" w:lineRule="auto" w:before="2"/>
        <w:rPr>
          <w:rFonts w:ascii="宋体" w:hAnsi="宋体" w:cs="宋体" w:eastAsia="宋体" w:hint="default"/>
          <w:sz w:val="23"/>
          <w:szCs w:val="23"/>
        </w:rPr>
      </w:pPr>
    </w:p>
    <w:p>
      <w:pPr>
        <w:pStyle w:val="BodyText"/>
        <w:spacing w:line="352" w:lineRule="auto"/>
        <w:ind w:right="9861"/>
        <w:jc w:val="left"/>
      </w:pPr>
      <w:r>
        <w:rPr>
          <w:spacing w:val="-2"/>
        </w:rPr>
        <w:t>其他说明：</w:t>
      </w:r>
      <w:r>
        <w:rPr>
          <w:spacing w:val="-78"/>
        </w:rPr>
        <w:t> </w:t>
      </w:r>
      <w:r>
        <w:rPr>
          <w:spacing w:val="-78"/>
        </w:rPr>
      </w:r>
      <w:r>
        <w:rPr/>
        <w:t>无。</w:t>
      </w:r>
    </w:p>
    <w:p>
      <w:pPr>
        <w:spacing w:line="240" w:lineRule="auto" w:before="8"/>
        <w:rPr>
          <w:rFonts w:ascii="宋体" w:hAnsi="宋体" w:cs="宋体" w:eastAsia="宋体" w:hint="default"/>
          <w:sz w:val="20"/>
          <w:szCs w:val="20"/>
        </w:rPr>
      </w:pPr>
    </w:p>
    <w:p>
      <w:pPr>
        <w:pStyle w:val="Heading4"/>
        <w:spacing w:line="240" w:lineRule="auto"/>
        <w:ind w:right="0"/>
        <w:jc w:val="left"/>
        <w:rPr>
          <w:b w:val="0"/>
          <w:bCs w:val="0"/>
        </w:rPr>
      </w:pPr>
      <w:bookmarkStart w:name="76、所得税费用" w:id="402"/>
      <w:bookmarkEnd w:id="402"/>
      <w:r>
        <w:rPr>
          <w:b w:val="0"/>
          <w:bCs w:val="0"/>
        </w:rPr>
      </w:r>
      <w:r>
        <w:rPr>
          <w:rFonts w:ascii="Times New Roman" w:hAnsi="Times New Roman" w:cs="Times New Roman" w:eastAsia="Times New Roman" w:hint="default"/>
        </w:rPr>
        <w:t>76</w:t>
      </w:r>
      <w:r>
        <w:rPr/>
        <w:t>、所得税费用</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0"/>
        <w:jc w:val="left"/>
        <w:rPr>
          <w:b w:val="0"/>
          <w:bCs w:val="0"/>
        </w:rPr>
      </w:pPr>
      <w:bookmarkStart w:name="（1）所得税费用表" w:id="403"/>
      <w:bookmarkEnd w:id="403"/>
      <w:r>
        <w:rPr>
          <w:b w:val="0"/>
          <w:bCs w:val="0"/>
        </w:rPr>
      </w:r>
      <w:r>
        <w:rPr/>
        <w:t>（</w:t>
      </w:r>
      <w:r>
        <w:rPr>
          <w:rFonts w:ascii="Times New Roman" w:hAnsi="Times New Roman" w:cs="Times New Roman" w:eastAsia="Times New Roman" w:hint="default"/>
        </w:rPr>
        <w:t>1</w:t>
      </w:r>
      <w:r>
        <w:rPr/>
        <w:t>）所得税费用表</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399"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5"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pacing w:val="-3"/>
                <w:sz w:val="18"/>
                <w:szCs w:val="18"/>
              </w:rPr>
              <w:t>当期所得税费用</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30,338,048.44</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24,605,893.96</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递延所得税费用</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-7,723,339.51</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-2,616,804.03</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22,614,708.93</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21,989,089.93</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2）会计利润与所得税费用调整过程" w:id="404"/>
      <w:bookmarkEnd w:id="404"/>
      <w:r>
        <w:rPr>
          <w:b w:val="0"/>
          <w:bCs w:val="0"/>
        </w:rPr>
      </w:r>
      <w:r>
        <w:rPr/>
        <w:t>（</w:t>
      </w:r>
      <w:r>
        <w:rPr>
          <w:rFonts w:ascii="Times New Roman" w:hAnsi="Times New Roman" w:cs="Times New Roman" w:eastAsia="Times New Roman" w:hint="default"/>
        </w:rPr>
        <w:t>2</w:t>
      </w:r>
      <w:r>
        <w:rPr/>
        <w:t>）会计利润与所得税费用调整过程</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4783"/>
        <w:gridCol w:w="4787"/>
      </w:tblGrid>
      <w:tr>
        <w:trPr>
          <w:trHeight w:val="398"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7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本期发生额</w:t>
            </w:r>
          </w:p>
        </w:tc>
      </w:tr>
      <w:tr>
        <w:trPr>
          <w:trHeight w:val="408"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205,587,063.41</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按法定</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适用税率计算的所得税费用</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30,838,059.51</w:t>
            </w:r>
          </w:p>
        </w:tc>
      </w:tr>
      <w:tr>
        <w:trPr>
          <w:trHeight w:val="398"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子公司适用不同税率的影响</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-659,900.84</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不可抵扣的成本、费用和损失的影响</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777,279.20</w:t>
            </w:r>
          </w:p>
        </w:tc>
      </w:tr>
      <w:tr>
        <w:trPr>
          <w:trHeight w:val="716"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4" w:lineRule="auto" w:before="53"/>
              <w:ind w:left="105" w:right="162"/>
              <w:jc w:val="left"/>
              <w:rPr>
                <w:rFonts w:ascii="宋体" w:hAnsi="宋体" w:cs="宋体" w:eastAsia="宋体" w:hint="default"/>
                <w:sz w:val="18"/>
                <w:szCs w:val="18"/>
              </w:rPr>
            </w:pPr>
            <w:r>
              <w:rPr>
                <w:rFonts w:ascii="宋体" w:hAnsi="宋体" w:cs="宋体" w:eastAsia="宋体" w:hint="default"/>
                <w:spacing w:val="-3"/>
                <w:sz w:val="18"/>
                <w:szCs w:val="18"/>
              </w:rPr>
              <w:t>本期未确认递延所得税资产的可抵扣暂时性差异或可抵扣</w:t>
            </w:r>
            <w:r>
              <w:rPr>
                <w:rFonts w:ascii="宋体" w:hAnsi="宋体" w:cs="宋体" w:eastAsia="宋体" w:hint="default"/>
                <w:spacing w:val="-15"/>
                <w:sz w:val="18"/>
                <w:szCs w:val="18"/>
              </w:rPr>
              <w:t> </w:t>
            </w:r>
            <w:r>
              <w:rPr>
                <w:rFonts w:ascii="宋体" w:hAnsi="宋体" w:cs="宋体" w:eastAsia="宋体" w:hint="default"/>
                <w:spacing w:val="-15"/>
                <w:sz w:val="18"/>
                <w:szCs w:val="18"/>
              </w:rPr>
            </w:r>
            <w:r>
              <w:rPr>
                <w:rFonts w:ascii="宋体" w:hAnsi="宋体" w:cs="宋体" w:eastAsia="宋体" w:hint="default"/>
                <w:sz w:val="18"/>
                <w:szCs w:val="18"/>
              </w:rPr>
              <w:t>亏损的影响</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-635.24</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税率调整导致年初递延所得税资产</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负债余额的变化</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202,860.91</w:t>
            </w:r>
          </w:p>
        </w:tc>
      </w:tr>
      <w:tr>
        <w:trPr>
          <w:trHeight w:val="398"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研发加计扣除的影响</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-8,542,954.61</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22,614,708.93</w:t>
            </w:r>
          </w:p>
        </w:tc>
      </w:tr>
    </w:tbl>
    <w:p>
      <w:pPr>
        <w:pStyle w:val="BodyText"/>
        <w:spacing w:line="357" w:lineRule="auto" w:before="54"/>
        <w:ind w:right="10031"/>
        <w:jc w:val="left"/>
      </w:pPr>
      <w:r>
        <w:rPr/>
        <w:t>其他说明</w:t>
      </w:r>
      <w:r>
        <w:rPr>
          <w:spacing w:val="-86"/>
        </w:rPr>
        <w:t> </w:t>
      </w:r>
      <w:r>
        <w:rPr>
          <w:spacing w:val="-86"/>
        </w:rPr>
      </w:r>
      <w:r>
        <w:rPr/>
        <w:t>无。</w:t>
      </w:r>
    </w:p>
    <w:p>
      <w:pPr>
        <w:spacing w:line="240" w:lineRule="auto" w:before="3"/>
        <w:rPr>
          <w:rFonts w:ascii="宋体" w:hAnsi="宋体" w:cs="宋体" w:eastAsia="宋体" w:hint="default"/>
          <w:sz w:val="20"/>
          <w:szCs w:val="20"/>
        </w:rPr>
      </w:pPr>
    </w:p>
    <w:p>
      <w:pPr>
        <w:pStyle w:val="Heading4"/>
        <w:spacing w:line="240" w:lineRule="auto"/>
        <w:ind w:right="0"/>
        <w:jc w:val="left"/>
        <w:rPr>
          <w:b w:val="0"/>
          <w:bCs w:val="0"/>
        </w:rPr>
      </w:pPr>
      <w:bookmarkStart w:name="77、其他综合收益" w:id="405"/>
      <w:bookmarkEnd w:id="405"/>
      <w:r>
        <w:rPr>
          <w:b w:val="0"/>
          <w:bCs w:val="0"/>
        </w:rPr>
      </w:r>
      <w:r>
        <w:rPr>
          <w:rFonts w:ascii="Times New Roman" w:hAnsi="Times New Roman" w:cs="Times New Roman" w:eastAsia="Times New Roman" w:hint="default"/>
        </w:rPr>
        <w:t>77</w:t>
      </w:r>
      <w:r>
        <w:rPr/>
        <w:t>、其他综合收益</w:t>
      </w:r>
      <w:r>
        <w:rPr>
          <w:b w:val="0"/>
          <w:bCs w:val="0"/>
        </w:rPr>
      </w:r>
    </w:p>
    <w:p>
      <w:pPr>
        <w:spacing w:line="240" w:lineRule="auto" w:before="9"/>
        <w:rPr>
          <w:rFonts w:ascii="宋体" w:hAnsi="宋体" w:cs="宋体" w:eastAsia="宋体" w:hint="default"/>
          <w:b/>
          <w:bCs/>
          <w:sz w:val="26"/>
          <w:szCs w:val="26"/>
        </w:rPr>
      </w:pPr>
    </w:p>
    <w:p>
      <w:pPr>
        <w:pStyle w:val="BodyText"/>
        <w:spacing w:line="240" w:lineRule="auto" w:before="0"/>
        <w:ind w:right="0"/>
        <w:jc w:val="left"/>
      </w:pPr>
      <w:r>
        <w:rPr/>
        <w:t>详见附注。</w:t>
      </w:r>
    </w:p>
    <w:p>
      <w:pPr>
        <w:spacing w:line="240" w:lineRule="auto" w:before="4"/>
        <w:rPr>
          <w:rFonts w:ascii="宋体" w:hAnsi="宋体" w:cs="宋体" w:eastAsia="宋体" w:hint="default"/>
          <w:sz w:val="26"/>
          <w:szCs w:val="26"/>
        </w:rPr>
      </w:pPr>
    </w:p>
    <w:p>
      <w:pPr>
        <w:pStyle w:val="Heading4"/>
        <w:spacing w:line="240" w:lineRule="auto"/>
        <w:ind w:right="0"/>
        <w:jc w:val="left"/>
        <w:rPr>
          <w:b w:val="0"/>
          <w:bCs w:val="0"/>
        </w:rPr>
      </w:pPr>
      <w:bookmarkStart w:name="78、现金流量表项目" w:id="406"/>
      <w:bookmarkEnd w:id="406"/>
      <w:r>
        <w:rPr>
          <w:b w:val="0"/>
          <w:bCs w:val="0"/>
        </w:rPr>
      </w:r>
      <w:r>
        <w:rPr>
          <w:rFonts w:ascii="Times New Roman" w:hAnsi="Times New Roman" w:cs="Times New Roman" w:eastAsia="Times New Roman" w:hint="default"/>
        </w:rPr>
        <w:t>78</w:t>
      </w:r>
      <w:r>
        <w:rPr/>
        <w:t>、现金流量表项目</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0"/>
        <w:jc w:val="left"/>
        <w:rPr>
          <w:b w:val="0"/>
          <w:bCs w:val="0"/>
        </w:rPr>
      </w:pPr>
      <w:bookmarkStart w:name="（1）收到的其他与经营活动有关的现金" w:id="407"/>
      <w:bookmarkEnd w:id="407"/>
      <w:r>
        <w:rPr>
          <w:b w:val="0"/>
          <w:bCs w:val="0"/>
        </w:rPr>
      </w:r>
      <w:r>
        <w:rPr/>
        <w:t>（</w:t>
      </w:r>
      <w:r>
        <w:rPr>
          <w:rFonts w:ascii="Times New Roman" w:hAnsi="Times New Roman" w:cs="Times New Roman" w:eastAsia="Times New Roman" w:hint="default"/>
        </w:rPr>
        <w:t>1</w:t>
      </w:r>
      <w:r>
        <w:rPr/>
        <w:t>）收到的其他与经营活动有关的现金</w:t>
      </w:r>
      <w:r>
        <w:rPr>
          <w:b w:val="0"/>
          <w:bCs w:val="0"/>
        </w:rPr>
      </w:r>
    </w:p>
    <w:p>
      <w:pPr>
        <w:spacing w:line="240" w:lineRule="auto" w:before="7"/>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398"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after="0" w:line="240" w:lineRule="auto"/>
        <w:jc w:val="center"/>
        <w:rPr>
          <w:rFonts w:ascii="宋体" w:hAnsi="宋体" w:cs="宋体" w:eastAsia="宋体" w:hint="default"/>
          <w:sz w:val="18"/>
          <w:szCs w:val="18"/>
        </w:rPr>
        <w:sectPr>
          <w:pgSz w:w="11910" w:h="16840"/>
          <w:pgMar w:header="784" w:footer="1022" w:top="1100" w:bottom="1220" w:left="980" w:right="0"/>
        </w:sectPr>
      </w:pPr>
    </w:p>
    <w:p>
      <w:pPr>
        <w:spacing w:line="240" w:lineRule="auto" w:before="7"/>
        <w:rPr>
          <w:rFonts w:ascii="宋体" w:hAnsi="宋体" w:cs="宋体" w:eastAsia="宋体" w:hint="default"/>
          <w:sz w:val="25"/>
          <w:szCs w:val="25"/>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14,203,493.26</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pacing w:val="-2"/>
                <w:sz w:val="18"/>
              </w:rPr>
              <w:t>18,112,398.45</w:t>
            </w:r>
          </w:p>
        </w:tc>
      </w:tr>
      <w:tr>
        <w:trPr>
          <w:trHeight w:val="398"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5,330,243.74</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2,910,824.70</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89,147,669.31</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7,100,509.26</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8,978,365.96</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7,402,898.58</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117,659,772.27</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35,526,630.99</w:t>
            </w:r>
          </w:p>
        </w:tc>
      </w:tr>
    </w:tbl>
    <w:p>
      <w:pPr>
        <w:pStyle w:val="BodyText"/>
        <w:spacing w:line="352" w:lineRule="auto" w:before="53"/>
        <w:ind w:right="7513"/>
        <w:jc w:val="left"/>
      </w:pPr>
      <w:r>
        <w:rPr>
          <w:spacing w:val="-3"/>
        </w:rPr>
        <w:t>收到的其他与经营活动有关的现金说明：</w:t>
      </w:r>
      <w:r>
        <w:rPr>
          <w:spacing w:val="-33"/>
        </w:rPr>
        <w:t> </w:t>
      </w:r>
      <w:r>
        <w:rPr>
          <w:spacing w:val="-33"/>
        </w:rPr>
      </w:r>
      <w:r>
        <w:rPr/>
        <w:t>无。</w:t>
      </w:r>
    </w:p>
    <w:p>
      <w:pPr>
        <w:spacing w:line="240" w:lineRule="auto" w:before="7"/>
        <w:rPr>
          <w:rFonts w:ascii="宋体" w:hAnsi="宋体" w:cs="宋体" w:eastAsia="宋体" w:hint="default"/>
          <w:sz w:val="20"/>
          <w:szCs w:val="20"/>
        </w:rPr>
      </w:pPr>
    </w:p>
    <w:p>
      <w:pPr>
        <w:pStyle w:val="Heading4"/>
        <w:spacing w:line="240" w:lineRule="auto"/>
        <w:ind w:right="0"/>
        <w:jc w:val="left"/>
        <w:rPr>
          <w:b w:val="0"/>
          <w:bCs w:val="0"/>
        </w:rPr>
      </w:pPr>
      <w:bookmarkStart w:name="（2）支付的其他与经营活动有关的现金" w:id="408"/>
      <w:bookmarkEnd w:id="408"/>
      <w:r>
        <w:rPr>
          <w:b w:val="0"/>
          <w:bCs w:val="0"/>
        </w:rPr>
      </w:r>
      <w:r>
        <w:rPr/>
        <w:t>（</w:t>
      </w:r>
      <w:r>
        <w:rPr>
          <w:rFonts w:ascii="Times New Roman" w:hAnsi="Times New Roman" w:cs="Times New Roman" w:eastAsia="Times New Roman" w:hint="default"/>
        </w:rPr>
        <w:t>2</w:t>
      </w:r>
      <w:r>
        <w:rPr/>
        <w:t>）支付的其他与经营活动有关的现金</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租赁及水电费</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19,532,457.01</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14,979,565.86</w:t>
            </w:r>
          </w:p>
        </w:tc>
      </w:tr>
      <w:tr>
        <w:trPr>
          <w:trHeight w:val="398"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12,567,275.33</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pacing w:val="-2"/>
                <w:sz w:val="18"/>
              </w:rPr>
              <w:t>11,565,052.75</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8,294,217.50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7,784,271.18</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宣传展览费</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4,651,664.24</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7,260,322.03</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运输费</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7,675,808.03</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7,703,284.46</w:t>
            </w:r>
          </w:p>
        </w:tc>
      </w:tr>
      <w:tr>
        <w:trPr>
          <w:trHeight w:val="398"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7,605,093.97</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3,874,040.24</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中介机构费</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8,187,419.55</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10,769,783.08</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维护安装费</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32,237,890.29</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25,827,033.43</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84,022,083.93</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1,934,985.78</w:t>
            </w:r>
          </w:p>
        </w:tc>
      </w:tr>
      <w:tr>
        <w:trPr>
          <w:trHeight w:val="398"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10,552,079.39</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6,083,998.17</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24,471,440.41</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pacing w:val="-2"/>
                <w:sz w:val="18"/>
              </w:rPr>
              <w:t>11,164,412.06</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219,797,429.65</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108,946,749.04</w:t>
            </w:r>
          </w:p>
        </w:tc>
      </w:tr>
    </w:tbl>
    <w:p>
      <w:pPr>
        <w:pStyle w:val="BodyText"/>
        <w:spacing w:line="357" w:lineRule="auto" w:before="53"/>
        <w:ind w:right="7513"/>
        <w:jc w:val="left"/>
      </w:pPr>
      <w:r>
        <w:rPr>
          <w:spacing w:val="-3"/>
        </w:rPr>
        <w:t>支付的其他与经营活动有关的现金说明：</w:t>
      </w:r>
      <w:r>
        <w:rPr>
          <w:spacing w:val="-33"/>
        </w:rPr>
        <w:t> </w:t>
      </w:r>
      <w:r>
        <w:rPr>
          <w:spacing w:val="-33"/>
        </w:rPr>
      </w:r>
      <w:r>
        <w:rPr/>
        <w:t>无。</w:t>
      </w:r>
    </w:p>
    <w:p>
      <w:pPr>
        <w:spacing w:line="240" w:lineRule="auto" w:before="3"/>
        <w:rPr>
          <w:rFonts w:ascii="宋体" w:hAnsi="宋体" w:cs="宋体" w:eastAsia="宋体" w:hint="default"/>
          <w:sz w:val="20"/>
          <w:szCs w:val="20"/>
        </w:rPr>
      </w:pPr>
    </w:p>
    <w:p>
      <w:pPr>
        <w:pStyle w:val="Heading4"/>
        <w:spacing w:line="240" w:lineRule="auto"/>
        <w:ind w:right="0"/>
        <w:jc w:val="left"/>
        <w:rPr>
          <w:b w:val="0"/>
          <w:bCs w:val="0"/>
        </w:rPr>
      </w:pPr>
      <w:bookmarkStart w:name="（3）收到的其他与投资活动有关的现金" w:id="409"/>
      <w:bookmarkEnd w:id="409"/>
      <w:r>
        <w:rPr>
          <w:b w:val="0"/>
          <w:bCs w:val="0"/>
        </w:rPr>
      </w:r>
      <w:r>
        <w:rPr/>
        <w:t>（</w:t>
      </w:r>
      <w:r>
        <w:rPr>
          <w:rFonts w:ascii="Times New Roman" w:hAnsi="Times New Roman" w:cs="Times New Roman" w:eastAsia="Times New Roman" w:hint="default"/>
        </w:rPr>
        <w:t>3</w:t>
      </w:r>
      <w:r>
        <w:rPr/>
        <w:t>）收到的其他与投资活动有关的现金</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pStyle w:val="BodyText"/>
        <w:spacing w:line="357" w:lineRule="auto" w:before="53"/>
        <w:ind w:right="7513"/>
        <w:jc w:val="left"/>
      </w:pPr>
      <w:r>
        <w:rPr>
          <w:spacing w:val="-3"/>
        </w:rPr>
        <w:t>收到的其他与投资活动有关的现金说明：</w:t>
      </w:r>
      <w:r>
        <w:rPr>
          <w:spacing w:val="-33"/>
        </w:rPr>
        <w:t> </w:t>
      </w:r>
      <w:r>
        <w:rPr>
          <w:spacing w:val="-33"/>
        </w:rPr>
      </w:r>
      <w:r>
        <w:rPr/>
        <w:t>无。</w:t>
      </w:r>
    </w:p>
    <w:p>
      <w:pPr>
        <w:spacing w:line="240" w:lineRule="auto" w:before="3"/>
        <w:rPr>
          <w:rFonts w:ascii="宋体" w:hAnsi="宋体" w:cs="宋体" w:eastAsia="宋体" w:hint="default"/>
          <w:sz w:val="20"/>
          <w:szCs w:val="20"/>
        </w:rPr>
      </w:pPr>
    </w:p>
    <w:p>
      <w:pPr>
        <w:pStyle w:val="Heading4"/>
        <w:spacing w:line="240" w:lineRule="auto"/>
        <w:ind w:right="0"/>
        <w:jc w:val="left"/>
        <w:rPr>
          <w:b w:val="0"/>
          <w:bCs w:val="0"/>
        </w:rPr>
      </w:pPr>
      <w:bookmarkStart w:name="（4）支付的其他与投资活动有关的现金" w:id="410"/>
      <w:bookmarkEnd w:id="410"/>
      <w:r>
        <w:rPr>
          <w:b w:val="0"/>
          <w:bCs w:val="0"/>
        </w:rPr>
      </w:r>
      <w:r>
        <w:rPr/>
        <w:t>（</w:t>
      </w:r>
      <w:r>
        <w:rPr>
          <w:rFonts w:ascii="Times New Roman" w:hAnsi="Times New Roman" w:cs="Times New Roman" w:eastAsia="Times New Roman" w:hint="default"/>
        </w:rPr>
        <w:t>4</w:t>
      </w:r>
      <w:r>
        <w:rPr/>
        <w:t>）支付的其他与投资活动有关的现金</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after="0" w:line="240" w:lineRule="auto"/>
        <w:jc w:val="right"/>
        <w:sectPr>
          <w:pgSz w:w="11910" w:h="16840"/>
          <w:pgMar w:header="784" w:footer="1022" w:top="1100" w:bottom="1220" w:left="980" w:right="0"/>
        </w:sectPr>
      </w:pPr>
    </w:p>
    <w:p>
      <w:pPr>
        <w:spacing w:line="240" w:lineRule="auto" w:before="7"/>
        <w:rPr>
          <w:rFonts w:ascii="宋体" w:hAnsi="宋体" w:cs="宋体" w:eastAsia="宋体" w:hint="default"/>
          <w:sz w:val="25"/>
          <w:szCs w:val="25"/>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pStyle w:val="BodyText"/>
        <w:spacing w:line="352" w:lineRule="auto" w:before="53"/>
        <w:ind w:right="7513"/>
        <w:jc w:val="left"/>
      </w:pPr>
      <w:r>
        <w:rPr>
          <w:spacing w:val="-3"/>
        </w:rPr>
        <w:t>支付的其他与投资活动有关的现金说明：</w:t>
      </w:r>
      <w:r>
        <w:rPr>
          <w:spacing w:val="-33"/>
        </w:rPr>
        <w:t> </w:t>
      </w:r>
      <w:r>
        <w:rPr>
          <w:spacing w:val="-33"/>
        </w:rPr>
      </w:r>
      <w:r>
        <w:rPr/>
        <w:t>无。</w:t>
      </w:r>
    </w:p>
    <w:p>
      <w:pPr>
        <w:spacing w:line="240" w:lineRule="auto" w:before="8"/>
        <w:rPr>
          <w:rFonts w:ascii="宋体" w:hAnsi="宋体" w:cs="宋体" w:eastAsia="宋体" w:hint="default"/>
          <w:sz w:val="20"/>
          <w:szCs w:val="20"/>
        </w:rPr>
      </w:pPr>
    </w:p>
    <w:p>
      <w:pPr>
        <w:pStyle w:val="Heading4"/>
        <w:spacing w:line="240" w:lineRule="auto"/>
        <w:ind w:right="0"/>
        <w:jc w:val="left"/>
        <w:rPr>
          <w:b w:val="0"/>
          <w:bCs w:val="0"/>
        </w:rPr>
      </w:pPr>
      <w:bookmarkStart w:name="（5）收到的其他与筹资活动有关的现金" w:id="411"/>
      <w:bookmarkEnd w:id="411"/>
      <w:r>
        <w:rPr>
          <w:b w:val="0"/>
          <w:bCs w:val="0"/>
        </w:rPr>
      </w:r>
      <w:r>
        <w:rPr/>
        <w:t>（</w:t>
      </w:r>
      <w:r>
        <w:rPr>
          <w:rFonts w:ascii="Times New Roman" w:hAnsi="Times New Roman" w:cs="Times New Roman" w:eastAsia="Times New Roman" w:hint="default"/>
        </w:rPr>
        <w:t>5</w:t>
      </w:r>
      <w:r>
        <w:rPr/>
        <w:t>）收到的其他与筹资活动有关的现金</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募集资金存款利息</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6,790.05</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pacing w:val="-1"/>
                <w:sz w:val="18"/>
              </w:rPr>
              <w:t>9,418.04</w:t>
            </w:r>
          </w:p>
        </w:tc>
      </w:tr>
      <w:tr>
        <w:trPr>
          <w:trHeight w:val="398"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6,790.05</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pacing w:val="-1"/>
                <w:sz w:val="18"/>
              </w:rPr>
              <w:t>9,418.04</w:t>
            </w:r>
          </w:p>
        </w:tc>
      </w:tr>
    </w:tbl>
    <w:p>
      <w:pPr>
        <w:pStyle w:val="BodyText"/>
        <w:spacing w:line="357" w:lineRule="auto" w:before="53"/>
        <w:ind w:right="7513"/>
        <w:jc w:val="left"/>
      </w:pPr>
      <w:r>
        <w:rPr>
          <w:spacing w:val="-3"/>
        </w:rPr>
        <w:t>收到的其他与筹资活动有关的现金说明：</w:t>
      </w:r>
      <w:r>
        <w:rPr>
          <w:spacing w:val="-33"/>
        </w:rPr>
        <w:t> </w:t>
      </w:r>
      <w:r>
        <w:rPr>
          <w:spacing w:val="-33"/>
        </w:rPr>
      </w:r>
      <w:r>
        <w:rPr/>
        <w:t>无。</w:t>
      </w:r>
    </w:p>
    <w:p>
      <w:pPr>
        <w:spacing w:line="240" w:lineRule="auto" w:before="4"/>
        <w:rPr>
          <w:rFonts w:ascii="宋体" w:hAnsi="宋体" w:cs="宋体" w:eastAsia="宋体" w:hint="default"/>
          <w:sz w:val="20"/>
          <w:szCs w:val="20"/>
        </w:rPr>
      </w:pPr>
    </w:p>
    <w:p>
      <w:pPr>
        <w:pStyle w:val="Heading4"/>
        <w:spacing w:line="240" w:lineRule="auto"/>
        <w:ind w:right="0"/>
        <w:jc w:val="left"/>
        <w:rPr>
          <w:b w:val="0"/>
          <w:bCs w:val="0"/>
        </w:rPr>
      </w:pPr>
      <w:bookmarkStart w:name="（6）支付的其他与筹资活动有关的现金" w:id="412"/>
      <w:bookmarkEnd w:id="412"/>
      <w:r>
        <w:rPr>
          <w:b w:val="0"/>
          <w:bCs w:val="0"/>
        </w:rPr>
      </w:r>
      <w:r>
        <w:rPr/>
        <w:t>（</w:t>
      </w:r>
      <w:r>
        <w:rPr>
          <w:rFonts w:ascii="Times New Roman" w:hAnsi="Times New Roman" w:cs="Times New Roman" w:eastAsia="Times New Roman" w:hint="default"/>
        </w:rPr>
        <w:t>6</w:t>
      </w:r>
      <w:r>
        <w:rPr/>
        <w:t>）支付的其他与筹资活动有关的现金</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398"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5" w:right="0"/>
              <w:jc w:val="left"/>
              <w:rPr>
                <w:rFonts w:ascii="宋体" w:hAnsi="宋体" w:cs="宋体" w:eastAsia="宋体" w:hint="default"/>
                <w:sz w:val="18"/>
                <w:szCs w:val="18"/>
              </w:rPr>
            </w:pPr>
            <w:r>
              <w:rPr>
                <w:rFonts w:ascii="宋体" w:hAnsi="宋体" w:cs="宋体" w:eastAsia="宋体" w:hint="default"/>
                <w:sz w:val="18"/>
                <w:szCs w:val="18"/>
              </w:rPr>
              <w:t>回购注销股权激励股份</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94"/>
              <w:jc w:val="right"/>
              <w:rPr>
                <w:rFonts w:ascii="Times New Roman" w:hAnsi="Times New Roman" w:cs="Times New Roman" w:eastAsia="Times New Roman" w:hint="default"/>
                <w:sz w:val="18"/>
                <w:szCs w:val="18"/>
              </w:rPr>
            </w:pPr>
            <w:r>
              <w:rPr>
                <w:rFonts w:ascii="Times New Roman"/>
                <w:spacing w:val="-1"/>
                <w:sz w:val="18"/>
              </w:rPr>
              <w:t>35,768,308.94</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99"/>
              <w:jc w:val="right"/>
              <w:rPr>
                <w:rFonts w:ascii="Times New Roman" w:hAnsi="Times New Roman" w:cs="Times New Roman" w:eastAsia="Times New Roman" w:hint="default"/>
                <w:sz w:val="18"/>
                <w:szCs w:val="18"/>
              </w:rPr>
            </w:pPr>
            <w:r>
              <w:rPr>
                <w:rFonts w:ascii="Times New Roman"/>
                <w:spacing w:val="-1"/>
                <w:sz w:val="18"/>
              </w:rPr>
              <w:t>5,476,928.10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35,768,308.94</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5,476,928.10</w:t>
            </w:r>
          </w:p>
        </w:tc>
      </w:tr>
    </w:tbl>
    <w:p>
      <w:pPr>
        <w:pStyle w:val="BodyText"/>
        <w:spacing w:line="357" w:lineRule="auto" w:before="53"/>
        <w:ind w:right="7513"/>
        <w:jc w:val="left"/>
      </w:pPr>
      <w:r>
        <w:rPr>
          <w:spacing w:val="-3"/>
        </w:rPr>
        <w:t>支付的其他与筹资活动有关的现金说明：</w:t>
      </w:r>
      <w:r>
        <w:rPr>
          <w:spacing w:val="-33"/>
        </w:rPr>
        <w:t> </w:t>
      </w:r>
      <w:r>
        <w:rPr>
          <w:spacing w:val="-33"/>
        </w:rPr>
      </w:r>
      <w:r>
        <w:rPr/>
        <w:t>无。</w:t>
      </w:r>
    </w:p>
    <w:p>
      <w:pPr>
        <w:spacing w:line="240" w:lineRule="auto" w:before="4"/>
        <w:rPr>
          <w:rFonts w:ascii="宋体" w:hAnsi="宋体" w:cs="宋体" w:eastAsia="宋体" w:hint="default"/>
          <w:sz w:val="20"/>
          <w:szCs w:val="20"/>
        </w:rPr>
      </w:pPr>
    </w:p>
    <w:p>
      <w:pPr>
        <w:pStyle w:val="Heading4"/>
        <w:spacing w:line="240" w:lineRule="auto"/>
        <w:ind w:right="0"/>
        <w:jc w:val="left"/>
        <w:rPr>
          <w:b w:val="0"/>
          <w:bCs w:val="0"/>
        </w:rPr>
      </w:pPr>
      <w:bookmarkStart w:name="79、现金流量表补充资料" w:id="413"/>
      <w:bookmarkEnd w:id="413"/>
      <w:r>
        <w:rPr>
          <w:b w:val="0"/>
          <w:bCs w:val="0"/>
        </w:rPr>
      </w:r>
      <w:r>
        <w:rPr>
          <w:rFonts w:ascii="Times New Roman" w:hAnsi="Times New Roman" w:cs="Times New Roman" w:eastAsia="Times New Roman" w:hint="default"/>
        </w:rPr>
        <w:t>79</w:t>
      </w:r>
      <w:r>
        <w:rPr/>
        <w:t>、现金流量表补充资料</w:t>
      </w:r>
      <w:r>
        <w:rPr>
          <w:b w:val="0"/>
          <w:bCs w:val="0"/>
        </w:rPr>
      </w:r>
    </w:p>
    <w:p>
      <w:pPr>
        <w:spacing w:line="240" w:lineRule="auto" w:before="5"/>
        <w:rPr>
          <w:rFonts w:ascii="宋体" w:hAnsi="宋体" w:cs="宋体" w:eastAsia="宋体" w:hint="default"/>
          <w:b/>
          <w:bCs/>
          <w:sz w:val="24"/>
          <w:szCs w:val="24"/>
        </w:rPr>
      </w:pPr>
    </w:p>
    <w:p>
      <w:pPr>
        <w:pStyle w:val="Heading4"/>
        <w:spacing w:line="240" w:lineRule="auto"/>
        <w:ind w:right="0"/>
        <w:jc w:val="left"/>
        <w:rPr>
          <w:b w:val="0"/>
          <w:bCs w:val="0"/>
        </w:rPr>
      </w:pPr>
      <w:bookmarkStart w:name="（1）现金流量表补充资料" w:id="414"/>
      <w:bookmarkEnd w:id="414"/>
      <w:r>
        <w:rPr>
          <w:b w:val="0"/>
          <w:bCs w:val="0"/>
        </w:rPr>
      </w:r>
      <w:r>
        <w:rPr/>
        <w:t>（</w:t>
      </w:r>
      <w:r>
        <w:rPr>
          <w:rFonts w:ascii="Times New Roman" w:hAnsi="Times New Roman" w:cs="Times New Roman" w:eastAsia="Times New Roman" w:hint="default"/>
        </w:rPr>
        <w:t>1</w:t>
      </w:r>
      <w:r>
        <w:rPr/>
        <w:t>）现金流量表补充资料</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328"/>
        <w:gridCol w:w="3058"/>
        <w:gridCol w:w="3183"/>
      </w:tblGrid>
      <w:tr>
        <w:trPr>
          <w:trHeight w:val="404"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9" w:right="0"/>
              <w:jc w:val="center"/>
              <w:rPr>
                <w:rFonts w:ascii="宋体" w:hAnsi="宋体" w:cs="宋体" w:eastAsia="宋体" w:hint="default"/>
                <w:sz w:val="18"/>
                <w:szCs w:val="18"/>
              </w:rPr>
            </w:pPr>
            <w:r>
              <w:rPr>
                <w:rFonts w:ascii="宋体" w:hAnsi="宋体" w:cs="宋体" w:eastAsia="宋体" w:hint="default"/>
                <w:sz w:val="18"/>
                <w:szCs w:val="18"/>
              </w:rPr>
              <w:t>补充资料</w:t>
            </w:r>
          </w:p>
        </w:tc>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8"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31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9" w:right="0"/>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403"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．将净利润调节为经营活动现金流量：</w:t>
            </w:r>
          </w:p>
        </w:tc>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2"/>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31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2"/>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r>
        <w:trPr>
          <w:trHeight w:val="398"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182,972,354.48</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184,292,757.81</w:t>
            </w:r>
          </w:p>
        </w:tc>
      </w:tr>
      <w:tr>
        <w:trPr>
          <w:trHeight w:val="403"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45,533,278.87</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27,588,130.77</w:t>
            </w:r>
          </w:p>
        </w:tc>
      </w:tr>
      <w:tr>
        <w:trPr>
          <w:trHeight w:val="716"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4"/>
              <w:ind w:left="105" w:right="3" w:firstLine="720"/>
              <w:jc w:val="left"/>
              <w:rPr>
                <w:rFonts w:ascii="宋体" w:hAnsi="宋体" w:cs="宋体" w:eastAsia="宋体" w:hint="default"/>
                <w:sz w:val="18"/>
                <w:szCs w:val="18"/>
              </w:rPr>
            </w:pPr>
            <w:r>
              <w:rPr>
                <w:rFonts w:ascii="宋体" w:hAnsi="宋体" w:cs="宋体" w:eastAsia="宋体" w:hint="default"/>
                <w:spacing w:val="-5"/>
                <w:sz w:val="18"/>
                <w:szCs w:val="18"/>
              </w:rPr>
              <w:t>固定资产折旧、油气资产折耗、</w:t>
            </w:r>
            <w:r>
              <w:rPr>
                <w:rFonts w:ascii="宋体" w:hAnsi="宋体" w:cs="宋体" w:eastAsia="宋体" w:hint="default"/>
                <w:w w:val="101"/>
                <w:sz w:val="18"/>
                <w:szCs w:val="18"/>
              </w:rPr>
              <w:t> </w:t>
            </w:r>
            <w:r>
              <w:rPr>
                <w:rFonts w:ascii="宋体" w:hAnsi="宋体" w:cs="宋体" w:eastAsia="宋体" w:hint="default"/>
                <w:spacing w:val="-3"/>
                <w:sz w:val="18"/>
                <w:szCs w:val="18"/>
              </w:rPr>
              <w:t>生产性生物资产折旧</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16,308,141.29</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16,581,251.50</w:t>
            </w:r>
          </w:p>
        </w:tc>
      </w:tr>
      <w:tr>
        <w:trPr>
          <w:trHeight w:val="403"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826"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2,730,491.59</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2,530,165.26</w:t>
            </w:r>
          </w:p>
        </w:tc>
      </w:tr>
      <w:tr>
        <w:trPr>
          <w:trHeight w:val="398"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826"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1,102,778.87</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899,969.19</w:t>
            </w:r>
          </w:p>
        </w:tc>
      </w:tr>
      <w:tr>
        <w:trPr>
          <w:trHeight w:val="1028"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05" w:right="147" w:firstLine="720"/>
              <w:jc w:val="both"/>
              <w:rPr>
                <w:rFonts w:ascii="宋体" w:hAnsi="宋体" w:cs="宋体" w:eastAsia="宋体" w:hint="default"/>
                <w:sz w:val="18"/>
                <w:szCs w:val="18"/>
              </w:rPr>
            </w:pPr>
            <w:r>
              <w:rPr>
                <w:rFonts w:ascii="宋体" w:hAnsi="宋体" w:cs="宋体" w:eastAsia="宋体" w:hint="default"/>
                <w:spacing w:val="-3"/>
                <w:sz w:val="18"/>
                <w:szCs w:val="18"/>
              </w:rPr>
              <w:t>处置固定资产、无形资产和其</w:t>
            </w:r>
            <w:r>
              <w:rPr>
                <w:rFonts w:ascii="宋体" w:hAnsi="宋体" w:cs="宋体" w:eastAsia="宋体" w:hint="default"/>
                <w:w w:val="101"/>
                <w:sz w:val="18"/>
                <w:szCs w:val="18"/>
              </w:rPr>
              <w:t> </w:t>
            </w:r>
            <w:r>
              <w:rPr>
                <w:rFonts w:ascii="宋体" w:hAnsi="宋体" w:cs="宋体" w:eastAsia="宋体" w:hint="default"/>
                <w:spacing w:val="-3"/>
                <w:sz w:val="18"/>
                <w:szCs w:val="18"/>
              </w:rPr>
              <w:t>他长期资产的损失（收益以“－”号填</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z w:val="18"/>
                <w:szCs w:val="18"/>
              </w:rPr>
              <w:t>列）</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527,212.62</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258,706.01</w:t>
            </w:r>
          </w:p>
        </w:tc>
      </w:tr>
      <w:tr>
        <w:trPr>
          <w:trHeight w:val="403"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3"/>
              <w:ind w:left="826" w:right="0"/>
              <w:jc w:val="left"/>
              <w:rPr>
                <w:rFonts w:ascii="宋体" w:hAnsi="宋体" w:cs="宋体" w:eastAsia="宋体" w:hint="default"/>
                <w:sz w:val="18"/>
                <w:szCs w:val="18"/>
              </w:rPr>
            </w:pPr>
            <w:r>
              <w:rPr>
                <w:rFonts w:ascii="宋体" w:hAnsi="宋体" w:cs="宋体" w:eastAsia="宋体" w:hint="default"/>
                <w:spacing w:val="-3"/>
                <w:sz w:val="18"/>
                <w:szCs w:val="18"/>
              </w:rPr>
              <w:t>固定资产报废损失（收益以</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188,605.16</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784" w:footer="1022" w:top="1100" w:bottom="1220" w:left="980" w:right="0"/>
        </w:sectPr>
      </w:pPr>
    </w:p>
    <w:p>
      <w:pPr>
        <w:spacing w:line="240" w:lineRule="auto" w:before="7"/>
        <w:rPr>
          <w:rFonts w:ascii="宋体" w:hAnsi="宋体" w:cs="宋体" w:eastAsia="宋体" w:hint="default"/>
          <w:sz w:val="25"/>
          <w:szCs w:val="25"/>
        </w:rPr>
      </w:pPr>
    </w:p>
    <w:tbl>
      <w:tblPr>
        <w:tblW w:w="0" w:type="auto"/>
        <w:jc w:val="left"/>
        <w:tblInd w:w="148" w:type="dxa"/>
        <w:tblLayout w:type="fixed"/>
        <w:tblCellMar>
          <w:top w:w="0" w:type="dxa"/>
          <w:left w:w="0" w:type="dxa"/>
          <w:bottom w:w="0" w:type="dxa"/>
          <w:right w:w="0" w:type="dxa"/>
        </w:tblCellMar>
        <w:tblLook w:val="01E0"/>
      </w:tblPr>
      <w:tblGrid>
        <w:gridCol w:w="3328"/>
        <w:gridCol w:w="3058"/>
        <w:gridCol w:w="3183"/>
      </w:tblGrid>
      <w:tr>
        <w:trPr>
          <w:trHeight w:val="360"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105" w:right="0"/>
              <w:jc w:val="left"/>
              <w:rPr>
                <w:rFonts w:ascii="宋体" w:hAnsi="宋体" w:cs="宋体" w:eastAsia="宋体" w:hint="default"/>
                <w:sz w:val="18"/>
                <w:szCs w:val="18"/>
              </w:rPr>
            </w:pPr>
            <w:r>
              <w:rPr>
                <w:rFonts w:ascii="宋体" w:hAnsi="宋体" w:cs="宋体" w:eastAsia="宋体" w:hint="default"/>
                <w:spacing w:val="-3"/>
                <w:sz w:val="18"/>
                <w:szCs w:val="18"/>
              </w:rPr>
              <w:t>“－”号填列）</w:t>
            </w:r>
          </w:p>
        </w:tc>
        <w:tc>
          <w:tcPr>
            <w:tcW w:w="3058" w:type="dxa"/>
            <w:tcBorders>
              <w:top w:val="single" w:sz="4" w:space="0" w:color="000000"/>
              <w:left w:val="single" w:sz="4" w:space="0" w:color="000000"/>
              <w:bottom w:val="single" w:sz="4" w:space="0" w:color="000000"/>
              <w:right w:val="single" w:sz="4" w:space="0" w:color="000000"/>
            </w:tcBorders>
          </w:tcPr>
          <w:p>
            <w:pPr/>
          </w:p>
        </w:tc>
        <w:tc>
          <w:tcPr>
            <w:tcW w:w="3183"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05" w:right="325" w:firstLine="720"/>
              <w:jc w:val="left"/>
              <w:rPr>
                <w:rFonts w:ascii="宋体" w:hAnsi="宋体" w:cs="宋体" w:eastAsia="宋体" w:hint="default"/>
                <w:sz w:val="18"/>
                <w:szCs w:val="18"/>
              </w:rPr>
            </w:pPr>
            <w:r>
              <w:rPr>
                <w:rFonts w:ascii="宋体" w:hAnsi="宋体" w:cs="宋体" w:eastAsia="宋体" w:hint="default"/>
                <w:spacing w:val="-3"/>
                <w:sz w:val="18"/>
                <w:szCs w:val="18"/>
              </w:rPr>
              <w:t>公允价值变动损失（收益以</w:t>
            </w:r>
            <w:r>
              <w:rPr>
                <w:rFonts w:ascii="宋体" w:hAnsi="宋体" w:cs="宋体" w:eastAsia="宋体" w:hint="default"/>
                <w:w w:val="101"/>
                <w:sz w:val="18"/>
                <w:szCs w:val="18"/>
              </w:rPr>
              <w:t> </w:t>
            </w:r>
            <w:r>
              <w:rPr>
                <w:rFonts w:ascii="宋体" w:hAnsi="宋体" w:cs="宋体" w:eastAsia="宋体" w:hint="default"/>
                <w:spacing w:val="-3"/>
                <w:sz w:val="18"/>
                <w:szCs w:val="18"/>
              </w:rPr>
              <w:t>“－”号填列）</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-364,050.00</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364,050.00</w:t>
            </w:r>
          </w:p>
        </w:tc>
      </w:tr>
      <w:tr>
        <w:trPr>
          <w:trHeight w:val="715"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826" w:right="0"/>
              <w:jc w:val="left"/>
              <w:rPr>
                <w:rFonts w:ascii="宋体" w:hAnsi="宋体" w:cs="宋体" w:eastAsia="宋体" w:hint="default"/>
                <w:sz w:val="18"/>
                <w:szCs w:val="18"/>
              </w:rPr>
            </w:pPr>
            <w:r>
              <w:rPr>
                <w:rFonts w:ascii="宋体" w:hAnsi="宋体" w:cs="宋体" w:eastAsia="宋体" w:hint="default"/>
                <w:spacing w:val="-3"/>
                <w:sz w:val="18"/>
                <w:szCs w:val="18"/>
              </w:rPr>
              <w:t>财务费用（收益以“－”号填</w:t>
            </w:r>
          </w:p>
          <w:p>
            <w:pPr>
              <w:pStyle w:val="TableParagraph"/>
              <w:spacing w:line="240" w:lineRule="auto" w:before="81"/>
              <w:ind w:left="105"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2,049,314.97</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6,453,606.88</w:t>
            </w:r>
          </w:p>
        </w:tc>
      </w:tr>
      <w:tr>
        <w:trPr>
          <w:trHeight w:val="715"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826" w:right="0"/>
              <w:jc w:val="left"/>
              <w:rPr>
                <w:rFonts w:ascii="宋体" w:hAnsi="宋体" w:cs="宋体" w:eastAsia="宋体" w:hint="default"/>
                <w:sz w:val="18"/>
                <w:szCs w:val="18"/>
              </w:rPr>
            </w:pPr>
            <w:r>
              <w:rPr>
                <w:rFonts w:ascii="宋体" w:hAnsi="宋体" w:cs="宋体" w:eastAsia="宋体" w:hint="default"/>
                <w:spacing w:val="-3"/>
                <w:sz w:val="18"/>
                <w:szCs w:val="18"/>
              </w:rPr>
              <w:t>投资损失（收益以“－”号填</w:t>
            </w:r>
          </w:p>
          <w:p>
            <w:pPr>
              <w:pStyle w:val="TableParagraph"/>
              <w:spacing w:line="240" w:lineRule="auto" w:before="76"/>
              <w:ind w:left="105"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-5,085,653.74</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-3,057,287.69</w:t>
            </w:r>
          </w:p>
        </w:tc>
      </w:tr>
      <w:tr>
        <w:trPr>
          <w:trHeight w:val="711"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4"/>
              <w:ind w:left="105" w:right="147" w:firstLine="720"/>
              <w:jc w:val="left"/>
              <w:rPr>
                <w:rFonts w:ascii="宋体" w:hAnsi="宋体" w:cs="宋体" w:eastAsia="宋体" w:hint="default"/>
                <w:sz w:val="18"/>
                <w:szCs w:val="18"/>
              </w:rPr>
            </w:pPr>
            <w:r>
              <w:rPr>
                <w:rFonts w:ascii="宋体" w:hAnsi="宋体" w:cs="宋体" w:eastAsia="宋体" w:hint="default"/>
                <w:spacing w:val="-3"/>
                <w:sz w:val="18"/>
                <w:szCs w:val="18"/>
              </w:rPr>
              <w:t>递延所得税资产减少（增加以</w:t>
            </w:r>
            <w:r>
              <w:rPr>
                <w:rFonts w:ascii="宋体" w:hAnsi="宋体" w:cs="宋体" w:eastAsia="宋体" w:hint="default"/>
                <w:w w:val="101"/>
                <w:sz w:val="18"/>
                <w:szCs w:val="18"/>
              </w:rPr>
              <w:t> </w:t>
            </w:r>
            <w:r>
              <w:rPr>
                <w:rFonts w:ascii="宋体" w:hAnsi="宋体" w:cs="宋体" w:eastAsia="宋体" w:hint="default"/>
                <w:spacing w:val="-3"/>
                <w:sz w:val="18"/>
                <w:szCs w:val="18"/>
              </w:rPr>
              <w:t>“－”号填列）</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-7,723,339.51</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-2,616,804.03</w:t>
            </w:r>
          </w:p>
        </w:tc>
      </w:tr>
      <w:tr>
        <w:trPr>
          <w:trHeight w:val="715"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826" w:right="0"/>
              <w:jc w:val="left"/>
              <w:rPr>
                <w:rFonts w:ascii="宋体" w:hAnsi="宋体" w:cs="宋体" w:eastAsia="宋体" w:hint="default"/>
                <w:sz w:val="18"/>
                <w:szCs w:val="18"/>
              </w:rPr>
            </w:pPr>
            <w:r>
              <w:rPr>
                <w:rFonts w:ascii="宋体" w:hAnsi="宋体" w:cs="宋体" w:eastAsia="宋体" w:hint="default"/>
                <w:spacing w:val="-3"/>
                <w:sz w:val="18"/>
                <w:szCs w:val="18"/>
              </w:rPr>
              <w:t>存货的减少（增加以“－”号</w:t>
            </w:r>
          </w:p>
          <w:p>
            <w:pPr>
              <w:pStyle w:val="TableParagraph"/>
              <w:spacing w:line="240" w:lineRule="auto" w:before="81"/>
              <w:ind w:left="105" w:right="0"/>
              <w:jc w:val="left"/>
              <w:rPr>
                <w:rFonts w:ascii="宋体" w:hAnsi="宋体" w:cs="宋体" w:eastAsia="宋体" w:hint="default"/>
                <w:sz w:val="18"/>
                <w:szCs w:val="18"/>
              </w:rPr>
            </w:pPr>
            <w:r>
              <w:rPr>
                <w:rFonts w:ascii="宋体" w:hAnsi="宋体" w:cs="宋体" w:eastAsia="宋体" w:hint="default"/>
                <w:sz w:val="18"/>
                <w:szCs w:val="18"/>
              </w:rPr>
              <w:t>填列）</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-6,139,659.64</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1,377,666.46</w:t>
            </w:r>
          </w:p>
        </w:tc>
      </w:tr>
      <w:tr>
        <w:trPr>
          <w:trHeight w:val="716"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4" w:lineRule="auto" w:before="53"/>
              <w:ind w:left="105" w:right="147" w:firstLine="720"/>
              <w:jc w:val="left"/>
              <w:rPr>
                <w:rFonts w:ascii="宋体" w:hAnsi="宋体" w:cs="宋体" w:eastAsia="宋体" w:hint="default"/>
                <w:sz w:val="18"/>
                <w:szCs w:val="18"/>
              </w:rPr>
            </w:pPr>
            <w:r>
              <w:rPr>
                <w:rFonts w:ascii="宋体" w:hAnsi="宋体" w:cs="宋体" w:eastAsia="宋体" w:hint="default"/>
                <w:spacing w:val="-3"/>
                <w:sz w:val="18"/>
                <w:szCs w:val="18"/>
              </w:rPr>
              <w:t>经营性应收项目的减少（增加</w:t>
            </w:r>
            <w:r>
              <w:rPr>
                <w:rFonts w:ascii="宋体" w:hAnsi="宋体" w:cs="宋体" w:eastAsia="宋体" w:hint="default"/>
                <w:w w:val="101"/>
                <w:sz w:val="18"/>
                <w:szCs w:val="18"/>
              </w:rPr>
              <w:t> </w:t>
            </w:r>
            <w:r>
              <w:rPr>
                <w:rFonts w:ascii="宋体" w:hAnsi="宋体" w:cs="宋体" w:eastAsia="宋体" w:hint="default"/>
                <w:sz w:val="18"/>
                <w:szCs w:val="18"/>
              </w:rPr>
              <w:t>以“－”号填列）</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-83,282,307.50</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-372,548,258.74</w:t>
            </w:r>
          </w:p>
        </w:tc>
      </w:tr>
      <w:tr>
        <w:trPr>
          <w:trHeight w:val="715"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05" w:right="147" w:firstLine="720"/>
              <w:jc w:val="left"/>
              <w:rPr>
                <w:rFonts w:ascii="宋体" w:hAnsi="宋体" w:cs="宋体" w:eastAsia="宋体" w:hint="default"/>
                <w:sz w:val="18"/>
                <w:szCs w:val="18"/>
              </w:rPr>
            </w:pPr>
            <w:r>
              <w:rPr>
                <w:rFonts w:ascii="宋体" w:hAnsi="宋体" w:cs="宋体" w:eastAsia="宋体" w:hint="default"/>
                <w:spacing w:val="-3"/>
                <w:sz w:val="18"/>
                <w:szCs w:val="18"/>
              </w:rPr>
              <w:t>经营性应付项目的增加（减少</w:t>
            </w:r>
            <w:r>
              <w:rPr>
                <w:rFonts w:ascii="宋体" w:hAnsi="宋体" w:cs="宋体" w:eastAsia="宋体" w:hint="default"/>
                <w:w w:val="101"/>
                <w:sz w:val="18"/>
                <w:szCs w:val="18"/>
              </w:rPr>
              <w:t> </w:t>
            </w:r>
            <w:r>
              <w:rPr>
                <w:rFonts w:ascii="宋体" w:hAnsi="宋体" w:cs="宋体" w:eastAsia="宋体" w:hint="default"/>
                <w:sz w:val="18"/>
                <w:szCs w:val="18"/>
              </w:rPr>
              <w:t>以“－”号填列）</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94"/>
              <w:jc w:val="right"/>
              <w:rPr>
                <w:rFonts w:ascii="Arial" w:hAnsi="Arial" w:cs="Arial" w:eastAsia="Arial" w:hint="default"/>
                <w:sz w:val="18"/>
                <w:szCs w:val="18"/>
              </w:rPr>
            </w:pPr>
            <w:r>
              <w:rPr>
                <w:rFonts w:ascii="Arial"/>
                <w:spacing w:val="-2"/>
                <w:sz w:val="18"/>
              </w:rPr>
              <w:t>32,771,165.59</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325,589,769.54</w:t>
            </w:r>
          </w:p>
        </w:tc>
      </w:tr>
      <w:tr>
        <w:trPr>
          <w:trHeight w:val="398"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826"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2,268,433.34</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5,202,366.66</w:t>
            </w:r>
          </w:p>
        </w:tc>
      </w:tr>
      <w:tr>
        <w:trPr>
          <w:trHeight w:val="404"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826" w:right="0"/>
              <w:jc w:val="left"/>
              <w:rPr>
                <w:rFonts w:ascii="宋体" w:hAnsi="宋体" w:cs="宋体" w:eastAsia="宋体" w:hint="default"/>
                <w:sz w:val="18"/>
                <w:szCs w:val="18"/>
              </w:rPr>
            </w:pPr>
            <w:r>
              <w:rPr>
                <w:rFonts w:ascii="宋体" w:hAnsi="宋体" w:cs="宋体" w:eastAsia="宋体" w:hint="default"/>
                <w:spacing w:val="-3"/>
                <w:sz w:val="18"/>
                <w:szCs w:val="18"/>
              </w:rPr>
              <w:t>经营活动产生的现金流量净额</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183,856,766.39</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192,916,089.62</w:t>
            </w:r>
          </w:p>
        </w:tc>
      </w:tr>
      <w:tr>
        <w:trPr>
          <w:trHeight w:val="715"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4" w:lineRule="auto" w:before="53"/>
              <w:ind w:left="105" w:right="95"/>
              <w:jc w:val="left"/>
              <w:rPr>
                <w:rFonts w:ascii="宋体" w:hAnsi="宋体" w:cs="宋体" w:eastAsia="宋体" w:hint="default"/>
                <w:sz w:val="18"/>
                <w:szCs w:val="18"/>
              </w:rPr>
            </w:pPr>
            <w:r>
              <w:rPr>
                <w:rFonts w:ascii="Times New Roman" w:hAnsi="Times New Roman" w:cs="Times New Roman" w:eastAsia="Times New Roman" w:hint="default"/>
                <w:spacing w:val="-5"/>
                <w:sz w:val="18"/>
                <w:szCs w:val="18"/>
              </w:rPr>
              <w:t>2</w:t>
            </w:r>
            <w:r>
              <w:rPr>
                <w:rFonts w:ascii="宋体" w:hAnsi="宋体" w:cs="宋体" w:eastAsia="宋体" w:hint="default"/>
                <w:spacing w:val="-5"/>
                <w:sz w:val="18"/>
                <w:szCs w:val="18"/>
              </w:rPr>
              <w:t>．不涉及现金收支的重大投资和筹资活</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z w:val="18"/>
                <w:szCs w:val="18"/>
              </w:rPr>
              <w:t>动：</w:t>
            </w:r>
          </w:p>
        </w:tc>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464" w:right="0"/>
              <w:jc w:val="left"/>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31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526" w:right="0"/>
              <w:jc w:val="left"/>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r>
        <w:trPr>
          <w:trHeight w:val="403"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．现金及现金等价物净变动情况：</w:t>
            </w:r>
          </w:p>
        </w:tc>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1464" w:right="0"/>
              <w:jc w:val="left"/>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31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1526" w:right="0"/>
              <w:jc w:val="left"/>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r>
        <w:trPr>
          <w:trHeight w:val="398"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现金的期末余额</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602,696,975.14</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458,726,455.19</w:t>
            </w:r>
          </w:p>
        </w:tc>
      </w:tr>
      <w:tr>
        <w:trPr>
          <w:trHeight w:val="404"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65" w:right="0"/>
              <w:jc w:val="left"/>
              <w:rPr>
                <w:rFonts w:ascii="宋体" w:hAnsi="宋体" w:cs="宋体" w:eastAsia="宋体" w:hint="default"/>
                <w:sz w:val="18"/>
                <w:szCs w:val="18"/>
              </w:rPr>
            </w:pPr>
            <w:r>
              <w:rPr>
                <w:rFonts w:ascii="宋体" w:hAnsi="宋体" w:cs="宋体" w:eastAsia="宋体" w:hint="default"/>
                <w:spacing w:val="-3"/>
                <w:sz w:val="18"/>
                <w:szCs w:val="18"/>
              </w:rPr>
              <w:t>减：现金的期初余额</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458,726,455.19</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320,465,466.19</w:t>
            </w:r>
          </w:p>
        </w:tc>
      </w:tr>
      <w:tr>
        <w:trPr>
          <w:trHeight w:val="403"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现金及现金等价物净增加额</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143,970,519.95</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138,260,989.00</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2）本期支付的取得子公司的现金净额" w:id="415"/>
      <w:bookmarkEnd w:id="415"/>
      <w:r>
        <w:rPr>
          <w:b w:val="0"/>
          <w:bCs w:val="0"/>
        </w:rPr>
      </w:r>
      <w:r>
        <w:rPr/>
        <w:t>（</w:t>
      </w:r>
      <w:r>
        <w:rPr>
          <w:rFonts w:ascii="Times New Roman" w:hAnsi="Times New Roman" w:cs="Times New Roman" w:eastAsia="Times New Roman" w:hint="default"/>
        </w:rPr>
        <w:t>2</w:t>
      </w:r>
      <w:r>
        <w:rPr/>
        <w:t>）本期支付的取得子公司的现金净额</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4989"/>
        <w:gridCol w:w="4581"/>
      </w:tblGrid>
      <w:tr>
        <w:trPr>
          <w:trHeight w:val="398"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45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 w:right="0"/>
              <w:jc w:val="center"/>
              <w:rPr>
                <w:rFonts w:ascii="宋体" w:hAnsi="宋体" w:cs="宋体" w:eastAsia="宋体" w:hint="default"/>
                <w:sz w:val="18"/>
                <w:szCs w:val="18"/>
              </w:rPr>
            </w:pPr>
            <w:r>
              <w:rPr>
                <w:rFonts w:ascii="宋体" w:hAnsi="宋体" w:cs="宋体" w:eastAsia="宋体" w:hint="default"/>
                <w:sz w:val="18"/>
                <w:szCs w:val="18"/>
              </w:rPr>
              <w:t>金额</w:t>
            </w:r>
          </w:p>
        </w:tc>
      </w:tr>
      <w:tr>
        <w:trPr>
          <w:trHeight w:val="403"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r>
        <w:trPr>
          <w:trHeight w:val="403"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r>
        <w:trPr>
          <w:trHeight w:val="404"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bl>
    <w:p>
      <w:pPr>
        <w:pStyle w:val="BodyText"/>
        <w:spacing w:line="352" w:lineRule="auto" w:before="53"/>
        <w:ind w:right="9861"/>
        <w:jc w:val="left"/>
      </w:pPr>
      <w:r>
        <w:rPr>
          <w:spacing w:val="-2"/>
        </w:rPr>
        <w:t>其他说明：</w:t>
      </w:r>
      <w:r>
        <w:rPr>
          <w:spacing w:val="-78"/>
        </w:rPr>
        <w:t> </w:t>
      </w:r>
      <w:r>
        <w:rPr>
          <w:spacing w:val="-78"/>
        </w:rPr>
      </w:r>
      <w:r>
        <w:rPr/>
        <w:t>无。</w:t>
      </w:r>
    </w:p>
    <w:p>
      <w:pPr>
        <w:spacing w:line="240" w:lineRule="auto" w:before="7"/>
        <w:rPr>
          <w:rFonts w:ascii="宋体" w:hAnsi="宋体" w:cs="宋体" w:eastAsia="宋体" w:hint="default"/>
          <w:sz w:val="20"/>
          <w:szCs w:val="20"/>
        </w:rPr>
      </w:pPr>
    </w:p>
    <w:p>
      <w:pPr>
        <w:pStyle w:val="Heading4"/>
        <w:spacing w:line="240" w:lineRule="auto"/>
        <w:ind w:right="0"/>
        <w:jc w:val="left"/>
        <w:rPr>
          <w:b w:val="0"/>
          <w:bCs w:val="0"/>
        </w:rPr>
      </w:pPr>
      <w:bookmarkStart w:name="（3）本期收到的处置子公司的现金净额" w:id="416"/>
      <w:bookmarkEnd w:id="416"/>
      <w:r>
        <w:rPr>
          <w:b w:val="0"/>
          <w:bCs w:val="0"/>
        </w:rPr>
      </w:r>
      <w:r>
        <w:rPr/>
        <w:t>（</w:t>
      </w:r>
      <w:r>
        <w:rPr>
          <w:rFonts w:ascii="Times New Roman" w:hAnsi="Times New Roman" w:cs="Times New Roman" w:eastAsia="Times New Roman" w:hint="default"/>
        </w:rPr>
        <w:t>3</w:t>
      </w:r>
      <w:r>
        <w:rPr/>
        <w:t>）本期收到的处置子公司的现金净额</w:t>
      </w:r>
      <w:r>
        <w:rPr>
          <w:b w:val="0"/>
          <w:bCs w:val="0"/>
        </w:rPr>
      </w:r>
    </w:p>
    <w:p>
      <w:pPr>
        <w:spacing w:line="240" w:lineRule="auto" w:before="7"/>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3"/>
        <w:rPr>
          <w:rFonts w:ascii="宋体" w:hAnsi="宋体" w:cs="宋体" w:eastAsia="宋体" w:hint="default"/>
          <w:sz w:val="7"/>
          <w:szCs w:val="7"/>
        </w:rPr>
      </w:pPr>
    </w:p>
    <w:p>
      <w:pPr>
        <w:spacing w:line="422" w:lineRule="exact"/>
        <w:ind w:left="148"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9pt;height:21.15pt;mso-position-horizontal-relative:char;mso-position-vertical-relative:line" coordorigin="0,0" coordsize="9580,423">
            <v:group style="position:absolute;left:10;top:14;width:106;height:394" coordorigin="10,14" coordsize="106,394">
              <v:shape style="position:absolute;left:10;top:14;width:106;height:394" coordorigin="10,14" coordsize="106,394" path="m10,408l115,408,115,14,10,14,10,408xe" filled="true" fillcolor="#d2d2d2" stroked="false">
                <v:path arrowok="t"/>
                <v:fill type="solid"/>
              </v:shape>
            </v:group>
            <v:group style="position:absolute;left:4888;top:14;width:101;height:394" coordorigin="4888,14" coordsize="101,394">
              <v:shape style="position:absolute;left:4888;top:14;width:101;height:394" coordorigin="4888,14" coordsize="101,394" path="m4888,408l4989,408,4989,14,4888,14,4888,408xe" filled="true" fillcolor="#d2d2d2" stroked="false">
                <v:path arrowok="t"/>
                <v:fill type="solid"/>
              </v:shape>
            </v:group>
            <v:group style="position:absolute;left:115;top:14;width:4774;height:394" coordorigin="115,14" coordsize="4774,394">
              <v:shape style="position:absolute;left:115;top:14;width:4774;height:394" coordorigin="115,14" coordsize="4774,394" path="m115,408l4888,408,4888,14,115,14,115,408xe" filled="true" fillcolor="#d2d2d2" stroked="false">
                <v:path arrowok="t"/>
                <v:fill type="solid"/>
              </v:shape>
            </v:group>
            <v:group style="position:absolute;left:4999;top:14;width:106;height:394" coordorigin="4999,14" coordsize="106,394">
              <v:shape style="position:absolute;left:4999;top:14;width:106;height:394" coordorigin="4999,14" coordsize="106,394" path="m4999,408l5104,408,5104,14,4999,14,4999,408xe" filled="true" fillcolor="#d2d2d2" stroked="false">
                <v:path arrowok="t"/>
                <v:fill type="solid"/>
              </v:shape>
            </v:group>
            <v:group style="position:absolute;left:9469;top:14;width:106;height:394" coordorigin="9469,14" coordsize="106,394">
              <v:shape style="position:absolute;left:9469;top:14;width:106;height:394" coordorigin="9469,14" coordsize="106,394" path="m9469,408l9575,408,9575,14,9469,14,9469,408xe" filled="true" fillcolor="#d2d2d2" stroked="false">
                <v:path arrowok="t"/>
                <v:fill type="solid"/>
              </v:shape>
            </v:group>
            <v:group style="position:absolute;left:5104;top:14;width:4365;height:394" coordorigin="5104,14" coordsize="4365,394">
              <v:shape style="position:absolute;left:5104;top:14;width:4365;height:394" coordorigin="5104,14" coordsize="4365,394" path="m5104,408l9469,408,9469,14,5104,14,5104,408xe" filled="true" fillcolor="#d2d2d2" stroked="false">
                <v:path arrowok="t"/>
                <v:fill type="solid"/>
              </v:shape>
            </v:group>
            <v:group style="position:absolute;left:10;top:10;width:4980;height:2" coordorigin="10,10" coordsize="4980,2">
              <v:shape style="position:absolute;left:10;top:10;width:4980;height:2" coordorigin="10,10" coordsize="4980,0" path="m10,10l4989,10e" filled="false" stroked="true" strokeweight=".47998pt" strokecolor="#000000">
                <v:path arrowok="t"/>
              </v:shape>
            </v:group>
            <v:group style="position:absolute;left:4999;top:10;width:4571;height:2" coordorigin="4999,10" coordsize="4571,2">
              <v:shape style="position:absolute;left:4999;top:10;width:4571;height:2" coordorigin="4999,10" coordsize="4571,0" path="m4999,10l9570,10e" filled="false" stroked="true" strokeweight=".47998pt" strokecolor="#000000">
                <v:path arrowok="t"/>
              </v:shape>
            </v:group>
            <v:group style="position:absolute;left:5;top:5;width:2;height:413" coordorigin="5,5" coordsize="2,413">
              <v:shape style="position:absolute;left:5;top:5;width:2;height:413" coordorigin="5,5" coordsize="0,413" path="m5,5l5,418e" filled="false" stroked="true" strokeweight=".48pt" strokecolor="#000000">
                <v:path arrowok="t"/>
              </v:shape>
            </v:group>
            <v:group style="position:absolute;left:10;top:413;width:4980;height:2" coordorigin="10,413" coordsize="4980,2">
              <v:shape style="position:absolute;left:10;top:413;width:4980;height:2" coordorigin="10,413" coordsize="4980,0" path="m10,413l4989,413e" filled="false" stroked="true" strokeweight=".48004pt" strokecolor="#000000">
                <v:path arrowok="t"/>
              </v:shape>
            </v:group>
            <v:group style="position:absolute;left:4994;top:5;width:2;height:413" coordorigin="4994,5" coordsize="2,413">
              <v:shape style="position:absolute;left:4994;top:5;width:2;height:413" coordorigin="4994,5" coordsize="0,413" path="m4994,5l4994,418e" filled="false" stroked="true" strokeweight=".48001pt" strokecolor="#000000">
                <v:path arrowok="t"/>
              </v:shape>
            </v:group>
            <v:group style="position:absolute;left:4999;top:413;width:4571;height:2" coordorigin="4999,413" coordsize="4571,2">
              <v:shape style="position:absolute;left:4999;top:413;width:4571;height:2" coordorigin="4999,413" coordsize="4571,0" path="m4999,413l9570,413e" filled="false" stroked="true" strokeweight=".48004pt" strokecolor="#000000">
                <v:path arrowok="t"/>
              </v:shape>
            </v:group>
            <v:group style="position:absolute;left:9575;top:5;width:2;height:413" coordorigin="9575,5" coordsize="2,413">
              <v:shape style="position:absolute;left:9575;top:5;width:2;height:413" coordorigin="9575,5" coordsize="0,413" path="m9575,5l9575,418e" filled="false" stroked="true" strokeweight=".48004pt" strokecolor="#000000">
                <v:path arrowok="t"/>
              </v:shape>
              <v:shape style="position:absolute;left:7107;top:122;width:365;height:183" type="#_x0000_t202" filled="false" stroked="false">
                <v:textbox inset="0,0,0,0">
                  <w:txbxContent>
                    <w:p>
                      <w:pPr>
                        <w:spacing w:line="182"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group>
          </v:group>
        </w:pict>
      </w:r>
      <w:r>
        <w:rPr>
          <w:rFonts w:ascii="宋体" w:hAnsi="宋体" w:cs="宋体" w:eastAsia="宋体" w:hint="default"/>
          <w:position w:val="-7"/>
          <w:sz w:val="20"/>
          <w:szCs w:val="20"/>
        </w:rPr>
      </w:r>
    </w:p>
    <w:p>
      <w:pPr>
        <w:spacing w:after="0" w:line="422" w:lineRule="exact"/>
        <w:rPr>
          <w:rFonts w:ascii="宋体" w:hAnsi="宋体" w:cs="宋体" w:eastAsia="宋体" w:hint="default"/>
          <w:sz w:val="20"/>
          <w:szCs w:val="20"/>
        </w:rPr>
        <w:sectPr>
          <w:pgSz w:w="11910" w:h="16840"/>
          <w:pgMar w:header="784" w:footer="1022" w:top="1100" w:bottom="1220" w:left="980" w:right="0"/>
        </w:sectPr>
      </w:pPr>
    </w:p>
    <w:p>
      <w:pPr>
        <w:spacing w:line="240" w:lineRule="auto" w:before="7"/>
        <w:rPr>
          <w:rFonts w:ascii="宋体" w:hAnsi="宋体" w:cs="宋体" w:eastAsia="宋体" w:hint="default"/>
          <w:sz w:val="25"/>
          <w:szCs w:val="25"/>
        </w:rPr>
      </w:pPr>
    </w:p>
    <w:tbl>
      <w:tblPr>
        <w:tblW w:w="0" w:type="auto"/>
        <w:jc w:val="left"/>
        <w:tblInd w:w="148" w:type="dxa"/>
        <w:tblLayout w:type="fixed"/>
        <w:tblCellMar>
          <w:top w:w="0" w:type="dxa"/>
          <w:left w:w="0" w:type="dxa"/>
          <w:bottom w:w="0" w:type="dxa"/>
          <w:right w:w="0" w:type="dxa"/>
        </w:tblCellMar>
        <w:tblLook w:val="01E0"/>
      </w:tblPr>
      <w:tblGrid>
        <w:gridCol w:w="4989"/>
        <w:gridCol w:w="4581"/>
      </w:tblGrid>
      <w:tr>
        <w:trPr>
          <w:trHeight w:val="403"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2228" w:right="0"/>
              <w:jc w:val="left"/>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r>
        <w:trPr>
          <w:trHeight w:val="401"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2228" w:right="0"/>
              <w:jc w:val="left"/>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r>
        <w:trPr>
          <w:trHeight w:val="401"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105"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8"/>
              <w:ind w:left="2228" w:right="0"/>
              <w:jc w:val="left"/>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bl>
    <w:p>
      <w:pPr>
        <w:pStyle w:val="BodyText"/>
        <w:spacing w:line="357" w:lineRule="auto" w:before="53"/>
        <w:ind w:right="9861"/>
        <w:jc w:val="left"/>
      </w:pPr>
      <w:r>
        <w:rPr>
          <w:spacing w:val="-2"/>
        </w:rPr>
        <w:t>其他说明：</w:t>
      </w:r>
      <w:r>
        <w:rPr>
          <w:spacing w:val="-78"/>
        </w:rPr>
        <w:t> </w:t>
      </w:r>
      <w:r>
        <w:rPr>
          <w:spacing w:val="-78"/>
        </w:rPr>
      </w:r>
      <w:r>
        <w:rPr/>
        <w:t>无。</w:t>
      </w:r>
    </w:p>
    <w:p>
      <w:pPr>
        <w:spacing w:line="240" w:lineRule="auto" w:before="3"/>
        <w:rPr>
          <w:rFonts w:ascii="宋体" w:hAnsi="宋体" w:cs="宋体" w:eastAsia="宋体" w:hint="default"/>
          <w:sz w:val="20"/>
          <w:szCs w:val="20"/>
        </w:rPr>
      </w:pPr>
    </w:p>
    <w:p>
      <w:pPr>
        <w:pStyle w:val="Heading4"/>
        <w:spacing w:line="240" w:lineRule="auto"/>
        <w:ind w:right="0"/>
        <w:jc w:val="left"/>
        <w:rPr>
          <w:b w:val="0"/>
          <w:bCs w:val="0"/>
        </w:rPr>
      </w:pPr>
      <w:bookmarkStart w:name="（4）现金和现金等价物的构成" w:id="417"/>
      <w:bookmarkEnd w:id="417"/>
      <w:r>
        <w:rPr>
          <w:b w:val="0"/>
          <w:bCs w:val="0"/>
        </w:rPr>
      </w:r>
      <w:r>
        <w:rPr/>
        <w:t>（</w:t>
      </w:r>
      <w:r>
        <w:rPr>
          <w:rFonts w:ascii="Times New Roman" w:hAnsi="Times New Roman" w:cs="Times New Roman" w:eastAsia="Times New Roman" w:hint="default"/>
        </w:rPr>
        <w:t>4</w:t>
      </w:r>
      <w:r>
        <w:rPr/>
        <w:t>）现金和现金等价物的构成</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328"/>
        <w:gridCol w:w="3058"/>
        <w:gridCol w:w="3183"/>
      </w:tblGrid>
      <w:tr>
        <w:trPr>
          <w:trHeight w:val="398"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8"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一、现金</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602,696,975.14</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458,726,455.19</w:t>
            </w:r>
          </w:p>
        </w:tc>
      </w:tr>
      <w:tr>
        <w:trPr>
          <w:trHeight w:val="403"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其中：库存现金</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191,064.16</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216,081.35</w:t>
            </w:r>
          </w:p>
        </w:tc>
      </w:tr>
      <w:tr>
        <w:trPr>
          <w:trHeight w:val="404"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648" w:right="0"/>
              <w:jc w:val="left"/>
              <w:rPr>
                <w:rFonts w:ascii="宋体" w:hAnsi="宋体" w:cs="宋体" w:eastAsia="宋体" w:hint="default"/>
                <w:sz w:val="18"/>
                <w:szCs w:val="18"/>
              </w:rPr>
            </w:pPr>
            <w:r>
              <w:rPr>
                <w:rFonts w:ascii="宋体" w:hAnsi="宋体" w:cs="宋体" w:eastAsia="宋体" w:hint="default"/>
                <w:spacing w:val="-3"/>
                <w:sz w:val="18"/>
                <w:szCs w:val="18"/>
              </w:rPr>
              <w:t>可随时用于支付的银行存款</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602,505,910.98</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453,410,162.03</w:t>
            </w:r>
          </w:p>
        </w:tc>
      </w:tr>
      <w:tr>
        <w:trPr>
          <w:trHeight w:val="398"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48" w:right="0"/>
              <w:jc w:val="left"/>
              <w:rPr>
                <w:rFonts w:ascii="宋体" w:hAnsi="宋体" w:cs="宋体" w:eastAsia="宋体" w:hint="default"/>
                <w:sz w:val="18"/>
                <w:szCs w:val="18"/>
              </w:rPr>
            </w:pPr>
            <w:r>
              <w:rPr>
                <w:rFonts w:ascii="宋体" w:hAnsi="宋体" w:cs="宋体" w:eastAsia="宋体" w:hint="default"/>
                <w:spacing w:val="-3"/>
                <w:sz w:val="18"/>
                <w:szCs w:val="18"/>
              </w:rPr>
              <w:t>可随时用于支付的其他货币资金</w:t>
            </w:r>
          </w:p>
        </w:tc>
        <w:tc>
          <w:tcPr>
            <w:tcW w:w="3058" w:type="dxa"/>
            <w:tcBorders>
              <w:top w:val="single" w:sz="4" w:space="0" w:color="000000"/>
              <w:left w:val="single" w:sz="4" w:space="0" w:color="000000"/>
              <w:bottom w:val="single" w:sz="4" w:space="0" w:color="000000"/>
              <w:right w:val="single" w:sz="4" w:space="0" w:color="000000"/>
            </w:tcBorders>
          </w:tcPr>
          <w:p>
            <w:pP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5,100,211.81</w:t>
            </w:r>
          </w:p>
        </w:tc>
      </w:tr>
      <w:tr>
        <w:trPr>
          <w:trHeight w:val="403"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三、期末现金及现金等价物余额</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602,696,975.14</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458,726,455.19</w:t>
            </w:r>
          </w:p>
        </w:tc>
      </w:tr>
    </w:tbl>
    <w:p>
      <w:pPr>
        <w:pStyle w:val="BodyText"/>
        <w:spacing w:line="357" w:lineRule="auto" w:before="53"/>
        <w:ind w:right="9861"/>
        <w:jc w:val="left"/>
      </w:pPr>
      <w:r>
        <w:rPr>
          <w:spacing w:val="-2"/>
        </w:rPr>
        <w:t>其他说明：</w:t>
      </w:r>
      <w:r>
        <w:rPr>
          <w:spacing w:val="-78"/>
        </w:rPr>
        <w:t> </w:t>
      </w:r>
      <w:r>
        <w:rPr>
          <w:spacing w:val="-78"/>
        </w:rPr>
      </w:r>
      <w:r>
        <w:rPr/>
        <w:t>无。</w:t>
      </w:r>
    </w:p>
    <w:p>
      <w:pPr>
        <w:spacing w:line="240" w:lineRule="auto" w:before="3"/>
        <w:rPr>
          <w:rFonts w:ascii="宋体" w:hAnsi="宋体" w:cs="宋体" w:eastAsia="宋体" w:hint="default"/>
          <w:sz w:val="20"/>
          <w:szCs w:val="20"/>
        </w:rPr>
      </w:pPr>
    </w:p>
    <w:p>
      <w:pPr>
        <w:pStyle w:val="Heading4"/>
        <w:spacing w:line="240" w:lineRule="auto"/>
        <w:ind w:right="0"/>
        <w:jc w:val="left"/>
        <w:rPr>
          <w:b w:val="0"/>
          <w:bCs w:val="0"/>
        </w:rPr>
      </w:pPr>
      <w:bookmarkStart w:name="80、所有者权益变动表项目注释" w:id="418"/>
      <w:bookmarkEnd w:id="418"/>
      <w:r>
        <w:rPr>
          <w:b w:val="0"/>
          <w:bCs w:val="0"/>
        </w:rPr>
      </w:r>
      <w:r>
        <w:rPr>
          <w:rFonts w:ascii="Times New Roman" w:hAnsi="Times New Roman" w:cs="Times New Roman" w:eastAsia="Times New Roman" w:hint="default"/>
        </w:rPr>
        <w:t>80</w:t>
      </w:r>
      <w:r>
        <w:rPr/>
        <w:t>、所有者权益变动表项目注释</w:t>
      </w:r>
      <w:r>
        <w:rPr>
          <w:b w:val="0"/>
          <w:bCs w:val="0"/>
        </w:rPr>
      </w:r>
    </w:p>
    <w:p>
      <w:pPr>
        <w:spacing w:line="240" w:lineRule="auto" w:before="9"/>
        <w:rPr>
          <w:rFonts w:ascii="宋体" w:hAnsi="宋体" w:cs="宋体" w:eastAsia="宋体" w:hint="default"/>
          <w:b/>
          <w:bCs/>
          <w:sz w:val="26"/>
          <w:szCs w:val="26"/>
        </w:rPr>
      </w:pPr>
    </w:p>
    <w:p>
      <w:pPr>
        <w:pStyle w:val="BodyText"/>
        <w:spacing w:line="352" w:lineRule="auto" w:before="0"/>
        <w:ind w:right="4944"/>
        <w:jc w:val="left"/>
      </w:pPr>
      <w:r>
        <w:rPr>
          <w:spacing w:val="-3"/>
        </w:rPr>
        <w:t>说明对上年期末余额进行调整的“其他”项目名称及调整金额等事项：</w:t>
      </w:r>
      <w:r>
        <w:rPr>
          <w:spacing w:val="2"/>
        </w:rPr>
        <w:t> </w:t>
      </w:r>
      <w:r>
        <w:rPr>
          <w:spacing w:val="2"/>
        </w:rPr>
      </w:r>
      <w:r>
        <w:rPr/>
        <w:t>无。</w:t>
      </w:r>
    </w:p>
    <w:p>
      <w:pPr>
        <w:spacing w:line="240" w:lineRule="auto" w:before="7"/>
        <w:rPr>
          <w:rFonts w:ascii="宋体" w:hAnsi="宋体" w:cs="宋体" w:eastAsia="宋体" w:hint="default"/>
          <w:sz w:val="20"/>
          <w:szCs w:val="20"/>
        </w:rPr>
      </w:pPr>
    </w:p>
    <w:p>
      <w:pPr>
        <w:pStyle w:val="Heading4"/>
        <w:spacing w:line="240" w:lineRule="auto"/>
        <w:ind w:right="0"/>
        <w:jc w:val="left"/>
        <w:rPr>
          <w:b w:val="0"/>
          <w:bCs w:val="0"/>
        </w:rPr>
      </w:pPr>
      <w:bookmarkStart w:name="81、所有权或使用权受到限制的资产" w:id="419"/>
      <w:bookmarkEnd w:id="419"/>
      <w:r>
        <w:rPr>
          <w:b w:val="0"/>
          <w:bCs w:val="0"/>
        </w:rPr>
      </w:r>
      <w:r>
        <w:rPr>
          <w:rFonts w:ascii="Times New Roman" w:hAnsi="Times New Roman" w:cs="Times New Roman" w:eastAsia="Times New Roman" w:hint="default"/>
        </w:rPr>
        <w:t>81</w:t>
      </w:r>
      <w:r>
        <w:rPr/>
        <w:t>、所有权或使用权受到限制的资产</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328"/>
        <w:gridCol w:w="3058"/>
        <w:gridCol w:w="3183"/>
      </w:tblGrid>
      <w:tr>
        <w:trPr>
          <w:trHeight w:val="404"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83" w:right="0"/>
              <w:jc w:val="left"/>
              <w:rPr>
                <w:rFonts w:ascii="宋体" w:hAnsi="宋体" w:cs="宋体" w:eastAsia="宋体" w:hint="default"/>
                <w:sz w:val="18"/>
                <w:szCs w:val="18"/>
              </w:rPr>
            </w:pPr>
            <w:r>
              <w:rPr>
                <w:rFonts w:ascii="宋体" w:hAnsi="宋体" w:cs="宋体" w:eastAsia="宋体" w:hint="default"/>
                <w:sz w:val="18"/>
                <w:szCs w:val="18"/>
              </w:rPr>
              <w:t>期末账面价值</w:t>
            </w:r>
          </w:p>
        </w:tc>
        <w:tc>
          <w:tcPr>
            <w:tcW w:w="31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受限原因</w:t>
            </w:r>
          </w:p>
        </w:tc>
      </w:tr>
      <w:tr>
        <w:trPr>
          <w:trHeight w:val="403"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14,822,462.44</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保证金</w:t>
            </w:r>
          </w:p>
        </w:tc>
      </w:tr>
      <w:tr>
        <w:trPr>
          <w:trHeight w:val="398"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14,822,462.44</w:t>
            </w:r>
          </w:p>
        </w:tc>
        <w:tc>
          <w:tcPr>
            <w:tcW w:w="31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2"/>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bl>
    <w:p>
      <w:pPr>
        <w:pStyle w:val="BodyText"/>
        <w:spacing w:line="357" w:lineRule="auto" w:before="53"/>
        <w:ind w:right="9861"/>
        <w:jc w:val="left"/>
      </w:pPr>
      <w:r>
        <w:rPr>
          <w:spacing w:val="-2"/>
        </w:rPr>
        <w:t>其他说明：</w:t>
      </w:r>
      <w:r>
        <w:rPr>
          <w:spacing w:val="-78"/>
        </w:rPr>
        <w:t> </w:t>
      </w:r>
      <w:r>
        <w:rPr>
          <w:spacing w:val="-78"/>
        </w:rPr>
      </w:r>
      <w:r>
        <w:rPr/>
        <w:t>无。</w:t>
      </w:r>
    </w:p>
    <w:p>
      <w:pPr>
        <w:spacing w:line="240" w:lineRule="auto" w:before="4"/>
        <w:rPr>
          <w:rFonts w:ascii="宋体" w:hAnsi="宋体" w:cs="宋体" w:eastAsia="宋体" w:hint="default"/>
          <w:sz w:val="20"/>
          <w:szCs w:val="20"/>
        </w:rPr>
      </w:pPr>
    </w:p>
    <w:p>
      <w:pPr>
        <w:pStyle w:val="Heading4"/>
        <w:spacing w:line="240" w:lineRule="auto"/>
        <w:ind w:right="0"/>
        <w:jc w:val="left"/>
        <w:rPr>
          <w:b w:val="0"/>
          <w:bCs w:val="0"/>
        </w:rPr>
      </w:pPr>
      <w:bookmarkStart w:name="82、外币货币性项目" w:id="420"/>
      <w:bookmarkEnd w:id="420"/>
      <w:r>
        <w:rPr>
          <w:b w:val="0"/>
          <w:bCs w:val="0"/>
        </w:rPr>
      </w:r>
      <w:r>
        <w:rPr>
          <w:rFonts w:ascii="Times New Roman" w:hAnsi="Times New Roman" w:cs="Times New Roman" w:eastAsia="Times New Roman" w:hint="default"/>
        </w:rPr>
        <w:t>82</w:t>
      </w:r>
      <w:r>
        <w:rPr/>
        <w:t>、外币货币性项目</w:t>
      </w:r>
      <w:r>
        <w:rPr>
          <w:b w:val="0"/>
          <w:bCs w:val="0"/>
        </w:rPr>
      </w:r>
    </w:p>
    <w:p>
      <w:pPr>
        <w:spacing w:line="240" w:lineRule="auto" w:before="5"/>
        <w:rPr>
          <w:rFonts w:ascii="宋体" w:hAnsi="宋体" w:cs="宋体" w:eastAsia="宋体" w:hint="default"/>
          <w:b/>
          <w:bCs/>
          <w:sz w:val="24"/>
          <w:szCs w:val="24"/>
        </w:rPr>
      </w:pPr>
    </w:p>
    <w:p>
      <w:pPr>
        <w:pStyle w:val="Heading4"/>
        <w:spacing w:line="240" w:lineRule="auto"/>
        <w:ind w:right="0"/>
        <w:jc w:val="left"/>
        <w:rPr>
          <w:b w:val="0"/>
          <w:bCs w:val="0"/>
        </w:rPr>
      </w:pPr>
      <w:bookmarkStart w:name="（1）外币货币性项目" w:id="421"/>
      <w:bookmarkEnd w:id="421"/>
      <w:r>
        <w:rPr>
          <w:b w:val="0"/>
          <w:bCs w:val="0"/>
        </w:rPr>
      </w:r>
      <w:r>
        <w:rPr/>
        <w:t>（</w:t>
      </w:r>
      <w:r>
        <w:rPr>
          <w:rFonts w:ascii="Times New Roman" w:hAnsi="Times New Roman" w:cs="Times New Roman" w:eastAsia="Times New Roman" w:hint="default"/>
        </w:rPr>
        <w:t>1</w:t>
      </w:r>
      <w:r>
        <w:rPr/>
        <w:t>）外币货币性项目</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11"/>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497"/>
        <w:gridCol w:w="2295"/>
        <w:gridCol w:w="2387"/>
        <w:gridCol w:w="2391"/>
      </w:tblGrid>
      <w:tr>
        <w:trPr>
          <w:trHeight w:val="401" w:hRule="exact"/>
        </w:trPr>
        <w:tc>
          <w:tcPr>
            <w:tcW w:w="24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8" w:right="0"/>
              <w:jc w:val="center"/>
              <w:rPr>
                <w:rFonts w:ascii="宋体" w:hAnsi="宋体" w:cs="宋体" w:eastAsia="宋体" w:hint="default"/>
                <w:sz w:val="18"/>
                <w:szCs w:val="18"/>
              </w:rPr>
            </w:pPr>
            <w:r>
              <w:rPr>
                <w:rFonts w:ascii="宋体" w:hAnsi="宋体" w:cs="宋体" w:eastAsia="宋体" w:hint="default"/>
                <w:sz w:val="18"/>
                <w:szCs w:val="18"/>
              </w:rPr>
              <w:t>期末外币余额</w:t>
            </w:r>
          </w:p>
        </w:tc>
        <w:tc>
          <w:tcPr>
            <w:tcW w:w="23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折算汇率</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384" w:right="0"/>
              <w:jc w:val="left"/>
              <w:rPr>
                <w:rFonts w:ascii="宋体" w:hAnsi="宋体" w:cs="宋体" w:eastAsia="宋体" w:hint="default"/>
                <w:sz w:val="18"/>
                <w:szCs w:val="18"/>
              </w:rPr>
            </w:pPr>
            <w:r>
              <w:rPr>
                <w:rFonts w:ascii="宋体" w:hAnsi="宋体" w:cs="宋体" w:eastAsia="宋体" w:hint="default"/>
                <w:spacing w:val="-3"/>
                <w:sz w:val="18"/>
                <w:szCs w:val="18"/>
              </w:rPr>
              <w:t>期末折算人民币余额</w:t>
            </w:r>
          </w:p>
        </w:tc>
      </w:tr>
      <w:tr>
        <w:trPr>
          <w:trHeight w:val="403" w:hRule="exact"/>
        </w:trPr>
        <w:tc>
          <w:tcPr>
            <w:tcW w:w="24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23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3"/>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239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84" w:footer="1022" w:top="1100" w:bottom="1220" w:left="980" w:right="0"/>
        </w:sectPr>
      </w:pPr>
    </w:p>
    <w:p>
      <w:pPr>
        <w:spacing w:line="240" w:lineRule="auto" w:before="7"/>
        <w:rPr>
          <w:rFonts w:ascii="宋体" w:hAnsi="宋体" w:cs="宋体" w:eastAsia="宋体" w:hint="default"/>
          <w:sz w:val="25"/>
          <w:szCs w:val="25"/>
        </w:rPr>
      </w:pPr>
    </w:p>
    <w:tbl>
      <w:tblPr>
        <w:tblW w:w="0" w:type="auto"/>
        <w:jc w:val="left"/>
        <w:tblInd w:w="148" w:type="dxa"/>
        <w:tblLayout w:type="fixed"/>
        <w:tblCellMar>
          <w:top w:w="0" w:type="dxa"/>
          <w:left w:w="0" w:type="dxa"/>
          <w:bottom w:w="0" w:type="dxa"/>
          <w:right w:w="0" w:type="dxa"/>
        </w:tblCellMar>
        <w:tblLook w:val="01E0"/>
      </w:tblPr>
      <w:tblGrid>
        <w:gridCol w:w="2497"/>
        <w:gridCol w:w="2295"/>
        <w:gridCol w:w="2387"/>
        <w:gridCol w:w="2391"/>
      </w:tblGrid>
      <w:tr>
        <w:trPr>
          <w:trHeight w:val="403" w:hRule="exact"/>
        </w:trPr>
        <w:tc>
          <w:tcPr>
            <w:tcW w:w="24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39,503,237.19</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0" w:right="0"/>
              <w:jc w:val="left"/>
              <w:rPr>
                <w:rFonts w:ascii="Times New Roman" w:hAnsi="Times New Roman" w:cs="Times New Roman" w:eastAsia="Times New Roman" w:hint="default"/>
                <w:sz w:val="18"/>
                <w:szCs w:val="18"/>
              </w:rPr>
            </w:pPr>
            <w:r>
              <w:rPr>
                <w:rFonts w:ascii="Times New Roman"/>
                <w:sz w:val="18"/>
              </w:rPr>
              <w:t>6.9762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275,582,483.28</w:t>
            </w:r>
          </w:p>
        </w:tc>
      </w:tr>
      <w:tr>
        <w:trPr>
          <w:trHeight w:val="398" w:hRule="exact"/>
        </w:trPr>
        <w:tc>
          <w:tcPr>
            <w:tcW w:w="24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48" w:right="0"/>
              <w:jc w:val="left"/>
              <w:rPr>
                <w:rFonts w:ascii="宋体" w:hAnsi="宋体" w:cs="宋体" w:eastAsia="宋体" w:hint="default"/>
                <w:sz w:val="18"/>
                <w:szCs w:val="18"/>
              </w:rPr>
            </w:pPr>
            <w:r>
              <w:rPr>
                <w:rFonts w:ascii="宋体" w:hAnsi="宋体" w:cs="宋体" w:eastAsia="宋体" w:hint="default"/>
                <w:spacing w:val="-5"/>
                <w:sz w:val="18"/>
                <w:szCs w:val="18"/>
              </w:rPr>
              <w:t>欧元</w:t>
            </w:r>
            <w:r>
              <w:rPr>
                <w:rFonts w:ascii="宋体" w:hAnsi="宋体" w:cs="宋体" w:eastAsia="宋体" w:hint="default"/>
                <w:sz w:val="18"/>
                <w:szCs w:val="18"/>
              </w:rPr>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1,931,659.91</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0" w:right="0"/>
              <w:jc w:val="left"/>
              <w:rPr>
                <w:rFonts w:ascii="Times New Roman" w:hAnsi="Times New Roman" w:cs="Times New Roman" w:eastAsia="Times New Roman" w:hint="default"/>
                <w:sz w:val="18"/>
                <w:szCs w:val="18"/>
              </w:rPr>
            </w:pPr>
            <w:r>
              <w:rPr>
                <w:rFonts w:ascii="Times New Roman"/>
                <w:sz w:val="18"/>
              </w:rPr>
              <w:t>7.8155</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15,096,888.03</w:t>
            </w:r>
          </w:p>
        </w:tc>
      </w:tr>
      <w:tr>
        <w:trPr>
          <w:trHeight w:val="404" w:hRule="exact"/>
        </w:trPr>
        <w:tc>
          <w:tcPr>
            <w:tcW w:w="24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648" w:right="0"/>
              <w:jc w:val="left"/>
              <w:rPr>
                <w:rFonts w:ascii="宋体" w:hAnsi="宋体" w:cs="宋体" w:eastAsia="宋体" w:hint="default"/>
                <w:sz w:val="18"/>
                <w:szCs w:val="18"/>
              </w:rPr>
            </w:pPr>
            <w:r>
              <w:rPr>
                <w:rFonts w:ascii="宋体" w:hAnsi="宋体" w:cs="宋体" w:eastAsia="宋体" w:hint="default"/>
                <w:spacing w:val="-5"/>
                <w:sz w:val="18"/>
                <w:szCs w:val="18"/>
              </w:rPr>
              <w:t>港币</w:t>
            </w:r>
            <w:r>
              <w:rPr>
                <w:rFonts w:ascii="宋体" w:hAnsi="宋体" w:cs="宋体" w:eastAsia="宋体" w:hint="default"/>
                <w:sz w:val="18"/>
                <w:szCs w:val="18"/>
              </w:rPr>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4,205,914.78</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0" w:right="0"/>
              <w:jc w:val="left"/>
              <w:rPr>
                <w:rFonts w:ascii="Times New Roman" w:hAnsi="Times New Roman" w:cs="Times New Roman" w:eastAsia="Times New Roman" w:hint="default"/>
                <w:sz w:val="18"/>
                <w:szCs w:val="18"/>
              </w:rPr>
            </w:pPr>
            <w:r>
              <w:rPr>
                <w:rFonts w:ascii="Times New Roman"/>
                <w:sz w:val="18"/>
              </w:rPr>
              <w:t>0.8958</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3,767,574.34</w:t>
            </w:r>
          </w:p>
        </w:tc>
      </w:tr>
      <w:tr>
        <w:trPr>
          <w:trHeight w:val="403" w:hRule="exact"/>
        </w:trPr>
        <w:tc>
          <w:tcPr>
            <w:tcW w:w="2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13"/>
              <w:jc w:val="center"/>
              <w:rPr>
                <w:rFonts w:ascii="宋体" w:hAnsi="宋体" w:cs="宋体" w:eastAsia="宋体" w:hint="default"/>
                <w:sz w:val="18"/>
                <w:szCs w:val="18"/>
              </w:rPr>
            </w:pPr>
            <w:r>
              <w:rPr>
                <w:rFonts w:ascii="宋体" w:hAnsi="宋体" w:cs="宋体" w:eastAsia="宋体" w:hint="default"/>
                <w:spacing w:val="-5"/>
                <w:sz w:val="18"/>
                <w:szCs w:val="18"/>
              </w:rPr>
              <w:t>英镑</w:t>
            </w:r>
            <w:r>
              <w:rPr>
                <w:rFonts w:ascii="宋体" w:hAnsi="宋体" w:cs="宋体" w:eastAsia="宋体" w:hint="default"/>
                <w:sz w:val="18"/>
                <w:szCs w:val="18"/>
              </w:rPr>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1,131,979.60</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0" w:right="0"/>
              <w:jc w:val="left"/>
              <w:rPr>
                <w:rFonts w:ascii="Times New Roman" w:hAnsi="Times New Roman" w:cs="Times New Roman" w:eastAsia="Times New Roman" w:hint="default"/>
                <w:sz w:val="18"/>
                <w:szCs w:val="18"/>
              </w:rPr>
            </w:pPr>
            <w:r>
              <w:rPr>
                <w:rFonts w:ascii="Times New Roman"/>
                <w:sz w:val="18"/>
              </w:rPr>
              <w:t>9.1501</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10,357,726.54</w:t>
            </w:r>
          </w:p>
        </w:tc>
      </w:tr>
      <w:tr>
        <w:trPr>
          <w:trHeight w:val="403" w:hRule="exact"/>
        </w:trPr>
        <w:tc>
          <w:tcPr>
            <w:tcW w:w="2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13"/>
              <w:jc w:val="center"/>
              <w:rPr>
                <w:rFonts w:ascii="宋体" w:hAnsi="宋体" w:cs="宋体" w:eastAsia="宋体" w:hint="default"/>
                <w:sz w:val="18"/>
                <w:szCs w:val="18"/>
              </w:rPr>
            </w:pPr>
            <w:r>
              <w:rPr>
                <w:rFonts w:ascii="宋体" w:hAnsi="宋体" w:cs="宋体" w:eastAsia="宋体" w:hint="default"/>
                <w:spacing w:val="-5"/>
                <w:sz w:val="18"/>
                <w:szCs w:val="18"/>
              </w:rPr>
              <w:t>日元</w:t>
            </w:r>
            <w:r>
              <w:rPr>
                <w:rFonts w:ascii="宋体" w:hAnsi="宋体" w:cs="宋体" w:eastAsia="宋体" w:hint="default"/>
                <w:sz w:val="18"/>
                <w:szCs w:val="18"/>
              </w:rPr>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30,809,370.00</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0" w:right="0"/>
              <w:jc w:val="left"/>
              <w:rPr>
                <w:rFonts w:ascii="Times New Roman" w:hAnsi="Times New Roman" w:cs="Times New Roman" w:eastAsia="Times New Roman" w:hint="default"/>
                <w:sz w:val="18"/>
                <w:szCs w:val="18"/>
              </w:rPr>
            </w:pPr>
            <w:r>
              <w:rPr>
                <w:rFonts w:ascii="Times New Roman"/>
                <w:sz w:val="18"/>
              </w:rPr>
              <w:t>0.0641</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1,974,449.29</w:t>
            </w:r>
          </w:p>
        </w:tc>
      </w:tr>
      <w:tr>
        <w:trPr>
          <w:trHeight w:val="398" w:hRule="exact"/>
        </w:trPr>
        <w:tc>
          <w:tcPr>
            <w:tcW w:w="24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1085" w:right="0"/>
              <w:jc w:val="left"/>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23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1131"/>
              <w:jc w:val="right"/>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2391"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4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5,559,927.98</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0" w:right="0"/>
              <w:jc w:val="left"/>
              <w:rPr>
                <w:rFonts w:ascii="Times New Roman" w:hAnsi="Times New Roman" w:cs="Times New Roman" w:eastAsia="Times New Roman" w:hint="default"/>
                <w:sz w:val="18"/>
                <w:szCs w:val="18"/>
              </w:rPr>
            </w:pPr>
            <w:r>
              <w:rPr>
                <w:rFonts w:ascii="Times New Roman"/>
                <w:sz w:val="18"/>
              </w:rPr>
              <w:t>6.9762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38,787,169.57</w:t>
            </w:r>
          </w:p>
        </w:tc>
      </w:tr>
      <w:tr>
        <w:trPr>
          <w:trHeight w:val="403" w:hRule="exact"/>
        </w:trPr>
        <w:tc>
          <w:tcPr>
            <w:tcW w:w="24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48" w:right="0"/>
              <w:jc w:val="left"/>
              <w:rPr>
                <w:rFonts w:ascii="宋体" w:hAnsi="宋体" w:cs="宋体" w:eastAsia="宋体" w:hint="default"/>
                <w:sz w:val="18"/>
                <w:szCs w:val="18"/>
              </w:rPr>
            </w:pPr>
            <w:r>
              <w:rPr>
                <w:rFonts w:ascii="宋体" w:hAnsi="宋体" w:cs="宋体" w:eastAsia="宋体" w:hint="default"/>
                <w:spacing w:val="-5"/>
                <w:sz w:val="18"/>
                <w:szCs w:val="18"/>
              </w:rPr>
              <w:t>欧元</w:t>
            </w:r>
            <w:r>
              <w:rPr>
                <w:rFonts w:ascii="宋体" w:hAnsi="宋体" w:cs="宋体" w:eastAsia="宋体" w:hint="default"/>
                <w:sz w:val="18"/>
                <w:szCs w:val="18"/>
              </w:rPr>
            </w:r>
          </w:p>
        </w:tc>
        <w:tc>
          <w:tcPr>
            <w:tcW w:w="2295" w:type="dxa"/>
            <w:tcBorders>
              <w:top w:val="single" w:sz="4" w:space="0" w:color="000000"/>
              <w:left w:val="single" w:sz="4" w:space="0" w:color="000000"/>
              <w:bottom w:val="single" w:sz="4" w:space="0" w:color="000000"/>
              <w:right w:val="single" w:sz="4" w:space="0" w:color="000000"/>
            </w:tcBorders>
          </w:tcPr>
          <w:p>
            <w:pPr/>
          </w:p>
        </w:tc>
        <w:tc>
          <w:tcPr>
            <w:tcW w:w="2387"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4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48" w:right="0"/>
              <w:jc w:val="left"/>
              <w:rPr>
                <w:rFonts w:ascii="宋体" w:hAnsi="宋体" w:cs="宋体" w:eastAsia="宋体" w:hint="default"/>
                <w:sz w:val="18"/>
                <w:szCs w:val="18"/>
              </w:rPr>
            </w:pPr>
            <w:r>
              <w:rPr>
                <w:rFonts w:ascii="宋体" w:hAnsi="宋体" w:cs="宋体" w:eastAsia="宋体" w:hint="default"/>
                <w:spacing w:val="-5"/>
                <w:sz w:val="18"/>
                <w:szCs w:val="18"/>
              </w:rPr>
              <w:t>港币</w:t>
            </w:r>
            <w:r>
              <w:rPr>
                <w:rFonts w:ascii="宋体" w:hAnsi="宋体" w:cs="宋体" w:eastAsia="宋体" w:hint="default"/>
                <w:sz w:val="18"/>
                <w:szCs w:val="18"/>
              </w:rPr>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17,708,370.39</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0" w:right="0"/>
              <w:jc w:val="left"/>
              <w:rPr>
                <w:rFonts w:ascii="Times New Roman" w:hAnsi="Times New Roman" w:cs="Times New Roman" w:eastAsia="Times New Roman" w:hint="default"/>
                <w:sz w:val="18"/>
                <w:szCs w:val="18"/>
              </w:rPr>
            </w:pPr>
            <w:r>
              <w:rPr>
                <w:rFonts w:ascii="Times New Roman"/>
                <w:sz w:val="18"/>
              </w:rPr>
              <w:t>0.8958</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15,862,804.03</w:t>
            </w:r>
          </w:p>
        </w:tc>
      </w:tr>
      <w:tr>
        <w:trPr>
          <w:trHeight w:val="401" w:hRule="exact"/>
        </w:trPr>
        <w:tc>
          <w:tcPr>
            <w:tcW w:w="2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13"/>
              <w:jc w:val="center"/>
              <w:rPr>
                <w:rFonts w:ascii="宋体" w:hAnsi="宋体" w:cs="宋体" w:eastAsia="宋体" w:hint="default"/>
                <w:sz w:val="18"/>
                <w:szCs w:val="18"/>
              </w:rPr>
            </w:pPr>
            <w:r>
              <w:rPr>
                <w:rFonts w:ascii="宋体" w:hAnsi="宋体" w:cs="宋体" w:eastAsia="宋体" w:hint="default"/>
                <w:spacing w:val="-5"/>
                <w:sz w:val="18"/>
                <w:szCs w:val="18"/>
              </w:rPr>
              <w:t>英镑</w:t>
            </w:r>
            <w:r>
              <w:rPr>
                <w:rFonts w:ascii="宋体" w:hAnsi="宋体" w:cs="宋体" w:eastAsia="宋体" w:hint="default"/>
                <w:sz w:val="18"/>
                <w:szCs w:val="18"/>
              </w:rPr>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26,700,369.16</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0" w:right="0"/>
              <w:jc w:val="left"/>
              <w:rPr>
                <w:rFonts w:ascii="Times New Roman" w:hAnsi="Times New Roman" w:cs="Times New Roman" w:eastAsia="Times New Roman" w:hint="default"/>
                <w:sz w:val="18"/>
                <w:szCs w:val="18"/>
              </w:rPr>
            </w:pPr>
            <w:r>
              <w:rPr>
                <w:rFonts w:ascii="Times New Roman"/>
                <w:sz w:val="18"/>
              </w:rPr>
              <w:t>9.1501</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244,311,047.85</w:t>
            </w:r>
          </w:p>
        </w:tc>
      </w:tr>
      <w:tr>
        <w:trPr>
          <w:trHeight w:val="401" w:hRule="exact"/>
        </w:trPr>
        <w:tc>
          <w:tcPr>
            <w:tcW w:w="24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105"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2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8"/>
              <w:ind w:left="1085" w:right="0"/>
              <w:jc w:val="left"/>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23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8"/>
              <w:ind w:right="1131"/>
              <w:jc w:val="right"/>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2391"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4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5" w:type="dxa"/>
            <w:tcBorders>
              <w:top w:val="single" w:sz="4" w:space="0" w:color="000000"/>
              <w:left w:val="single" w:sz="4" w:space="0" w:color="000000"/>
              <w:bottom w:val="single" w:sz="4" w:space="0" w:color="000000"/>
              <w:right w:val="single" w:sz="4" w:space="0" w:color="000000"/>
            </w:tcBorders>
          </w:tcPr>
          <w:p>
            <w:pPr/>
          </w:p>
        </w:tc>
        <w:tc>
          <w:tcPr>
            <w:tcW w:w="2387"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4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48" w:right="0"/>
              <w:jc w:val="left"/>
              <w:rPr>
                <w:rFonts w:ascii="宋体" w:hAnsi="宋体" w:cs="宋体" w:eastAsia="宋体" w:hint="default"/>
                <w:sz w:val="18"/>
                <w:szCs w:val="18"/>
              </w:rPr>
            </w:pPr>
            <w:r>
              <w:rPr>
                <w:rFonts w:ascii="宋体" w:hAnsi="宋体" w:cs="宋体" w:eastAsia="宋体" w:hint="default"/>
                <w:spacing w:val="-5"/>
                <w:sz w:val="18"/>
                <w:szCs w:val="18"/>
              </w:rPr>
              <w:t>欧元</w:t>
            </w:r>
            <w:r>
              <w:rPr>
                <w:rFonts w:ascii="宋体" w:hAnsi="宋体" w:cs="宋体" w:eastAsia="宋体" w:hint="default"/>
                <w:sz w:val="18"/>
                <w:szCs w:val="18"/>
              </w:rPr>
            </w:r>
          </w:p>
        </w:tc>
        <w:tc>
          <w:tcPr>
            <w:tcW w:w="2295" w:type="dxa"/>
            <w:tcBorders>
              <w:top w:val="single" w:sz="4" w:space="0" w:color="000000"/>
              <w:left w:val="single" w:sz="4" w:space="0" w:color="000000"/>
              <w:bottom w:val="single" w:sz="4" w:space="0" w:color="000000"/>
              <w:right w:val="single" w:sz="4" w:space="0" w:color="000000"/>
            </w:tcBorders>
          </w:tcPr>
          <w:p>
            <w:pPr/>
          </w:p>
        </w:tc>
        <w:tc>
          <w:tcPr>
            <w:tcW w:w="2387"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4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48" w:right="0"/>
              <w:jc w:val="left"/>
              <w:rPr>
                <w:rFonts w:ascii="宋体" w:hAnsi="宋体" w:cs="宋体" w:eastAsia="宋体" w:hint="default"/>
                <w:sz w:val="18"/>
                <w:szCs w:val="18"/>
              </w:rPr>
            </w:pPr>
            <w:r>
              <w:rPr>
                <w:rFonts w:ascii="宋体" w:hAnsi="宋体" w:cs="宋体" w:eastAsia="宋体" w:hint="default"/>
                <w:spacing w:val="-5"/>
                <w:sz w:val="18"/>
                <w:szCs w:val="18"/>
              </w:rPr>
              <w:t>港币</w:t>
            </w:r>
            <w:r>
              <w:rPr>
                <w:rFonts w:ascii="宋体" w:hAnsi="宋体" w:cs="宋体" w:eastAsia="宋体" w:hint="default"/>
                <w:sz w:val="18"/>
                <w:szCs w:val="18"/>
              </w:rPr>
            </w:r>
          </w:p>
        </w:tc>
        <w:tc>
          <w:tcPr>
            <w:tcW w:w="2295" w:type="dxa"/>
            <w:tcBorders>
              <w:top w:val="single" w:sz="4" w:space="0" w:color="000000"/>
              <w:left w:val="single" w:sz="4" w:space="0" w:color="000000"/>
              <w:bottom w:val="single" w:sz="4" w:space="0" w:color="000000"/>
              <w:right w:val="single" w:sz="4" w:space="0" w:color="000000"/>
            </w:tcBorders>
          </w:tcPr>
          <w:p>
            <w:pPr/>
          </w:p>
        </w:tc>
        <w:tc>
          <w:tcPr>
            <w:tcW w:w="2387"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295" w:type="dxa"/>
            <w:tcBorders>
              <w:top w:val="single" w:sz="4" w:space="0" w:color="000000"/>
              <w:left w:val="single" w:sz="4" w:space="0" w:color="000000"/>
              <w:bottom w:val="single" w:sz="4" w:space="0" w:color="000000"/>
              <w:right w:val="single" w:sz="4" w:space="0" w:color="000000"/>
            </w:tcBorders>
          </w:tcPr>
          <w:p>
            <w:pPr/>
          </w:p>
        </w:tc>
        <w:tc>
          <w:tcPr>
            <w:tcW w:w="2387"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21,952.96</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0" w:right="0"/>
              <w:jc w:val="left"/>
              <w:rPr>
                <w:rFonts w:ascii="Times New Roman" w:hAnsi="Times New Roman" w:cs="Times New Roman" w:eastAsia="Times New Roman" w:hint="default"/>
                <w:sz w:val="18"/>
                <w:szCs w:val="18"/>
              </w:rPr>
            </w:pPr>
            <w:r>
              <w:rPr>
                <w:rFonts w:ascii="Times New Roman"/>
                <w:sz w:val="18"/>
              </w:rPr>
              <w:t>6.9762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153,148.24</w:t>
            </w:r>
          </w:p>
        </w:tc>
      </w:tr>
      <w:tr>
        <w:trPr>
          <w:trHeight w:val="403" w:hRule="exact"/>
        </w:trPr>
        <w:tc>
          <w:tcPr>
            <w:tcW w:w="2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13"/>
              <w:jc w:val="center"/>
              <w:rPr>
                <w:rFonts w:ascii="宋体" w:hAnsi="宋体" w:cs="宋体" w:eastAsia="宋体" w:hint="default"/>
                <w:sz w:val="18"/>
                <w:szCs w:val="18"/>
              </w:rPr>
            </w:pPr>
            <w:r>
              <w:rPr>
                <w:rFonts w:ascii="宋体" w:hAnsi="宋体" w:cs="宋体" w:eastAsia="宋体" w:hint="default"/>
                <w:spacing w:val="-5"/>
                <w:sz w:val="18"/>
                <w:szCs w:val="18"/>
              </w:rPr>
              <w:t>欧元</w:t>
            </w:r>
            <w:r>
              <w:rPr>
                <w:rFonts w:ascii="宋体" w:hAnsi="宋体" w:cs="宋体" w:eastAsia="宋体" w:hint="default"/>
                <w:sz w:val="18"/>
                <w:szCs w:val="18"/>
              </w:rPr>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12,539.29</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0" w:right="0"/>
              <w:jc w:val="left"/>
              <w:rPr>
                <w:rFonts w:ascii="Times New Roman" w:hAnsi="Times New Roman" w:cs="Times New Roman" w:eastAsia="Times New Roman" w:hint="default"/>
                <w:sz w:val="18"/>
                <w:szCs w:val="18"/>
              </w:rPr>
            </w:pPr>
            <w:r>
              <w:rPr>
                <w:rFonts w:ascii="Times New Roman"/>
                <w:sz w:val="18"/>
              </w:rPr>
              <w:t>7.8155</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98,000.82</w:t>
            </w:r>
          </w:p>
        </w:tc>
      </w:tr>
      <w:tr>
        <w:trPr>
          <w:trHeight w:val="398" w:hRule="exact"/>
        </w:trPr>
        <w:tc>
          <w:tcPr>
            <w:tcW w:w="2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13"/>
              <w:jc w:val="center"/>
              <w:rPr>
                <w:rFonts w:ascii="宋体" w:hAnsi="宋体" w:cs="宋体" w:eastAsia="宋体" w:hint="default"/>
                <w:sz w:val="18"/>
                <w:szCs w:val="18"/>
              </w:rPr>
            </w:pPr>
            <w:r>
              <w:rPr>
                <w:rFonts w:ascii="宋体" w:hAnsi="宋体" w:cs="宋体" w:eastAsia="宋体" w:hint="default"/>
                <w:spacing w:val="-5"/>
                <w:sz w:val="18"/>
                <w:szCs w:val="18"/>
              </w:rPr>
              <w:t>港元</w:t>
            </w:r>
            <w:r>
              <w:rPr>
                <w:rFonts w:ascii="宋体" w:hAnsi="宋体" w:cs="宋体" w:eastAsia="宋体" w:hint="default"/>
                <w:sz w:val="18"/>
                <w:szCs w:val="18"/>
              </w:rPr>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213,670.00</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0" w:right="0"/>
              <w:jc w:val="left"/>
              <w:rPr>
                <w:rFonts w:ascii="Times New Roman" w:hAnsi="Times New Roman" w:cs="Times New Roman" w:eastAsia="Times New Roman" w:hint="default"/>
                <w:sz w:val="18"/>
                <w:szCs w:val="18"/>
              </w:rPr>
            </w:pPr>
            <w:r>
              <w:rPr>
                <w:rFonts w:ascii="Times New Roman"/>
                <w:sz w:val="18"/>
              </w:rPr>
              <w:t>0.8958</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191,401.31</w:t>
            </w:r>
          </w:p>
        </w:tc>
      </w:tr>
      <w:tr>
        <w:trPr>
          <w:trHeight w:val="403" w:hRule="exact"/>
        </w:trPr>
        <w:tc>
          <w:tcPr>
            <w:tcW w:w="2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13"/>
              <w:jc w:val="center"/>
              <w:rPr>
                <w:rFonts w:ascii="宋体" w:hAnsi="宋体" w:cs="宋体" w:eastAsia="宋体" w:hint="default"/>
                <w:sz w:val="18"/>
                <w:szCs w:val="18"/>
              </w:rPr>
            </w:pPr>
            <w:r>
              <w:rPr>
                <w:rFonts w:ascii="宋体" w:hAnsi="宋体" w:cs="宋体" w:eastAsia="宋体" w:hint="default"/>
                <w:spacing w:val="-5"/>
                <w:sz w:val="18"/>
                <w:szCs w:val="18"/>
              </w:rPr>
              <w:t>英镑</w:t>
            </w:r>
            <w:r>
              <w:rPr>
                <w:rFonts w:ascii="宋体" w:hAnsi="宋体" w:cs="宋体" w:eastAsia="宋体" w:hint="default"/>
                <w:sz w:val="18"/>
                <w:szCs w:val="18"/>
              </w:rPr>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9,680.16</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0" w:right="0"/>
              <w:jc w:val="left"/>
              <w:rPr>
                <w:rFonts w:ascii="Times New Roman" w:hAnsi="Times New Roman" w:cs="Times New Roman" w:eastAsia="Times New Roman" w:hint="default"/>
                <w:sz w:val="18"/>
                <w:szCs w:val="18"/>
              </w:rPr>
            </w:pPr>
            <w:r>
              <w:rPr>
                <w:rFonts w:ascii="Times New Roman"/>
                <w:sz w:val="18"/>
              </w:rPr>
              <w:t>9.1501</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88,574.43</w:t>
            </w:r>
          </w:p>
        </w:tc>
      </w:tr>
      <w:tr>
        <w:trPr>
          <w:trHeight w:val="404" w:hRule="exact"/>
        </w:trPr>
        <w:tc>
          <w:tcPr>
            <w:tcW w:w="2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13"/>
              <w:jc w:val="center"/>
              <w:rPr>
                <w:rFonts w:ascii="宋体" w:hAnsi="宋体" w:cs="宋体" w:eastAsia="宋体" w:hint="default"/>
                <w:sz w:val="18"/>
                <w:szCs w:val="18"/>
              </w:rPr>
            </w:pPr>
            <w:r>
              <w:rPr>
                <w:rFonts w:ascii="宋体" w:hAnsi="宋体" w:cs="宋体" w:eastAsia="宋体" w:hint="default"/>
                <w:spacing w:val="-5"/>
                <w:sz w:val="18"/>
                <w:szCs w:val="18"/>
              </w:rPr>
              <w:t>日元</w:t>
            </w:r>
            <w:r>
              <w:rPr>
                <w:rFonts w:ascii="宋体" w:hAnsi="宋体" w:cs="宋体" w:eastAsia="宋体" w:hint="default"/>
                <w:sz w:val="18"/>
                <w:szCs w:val="18"/>
              </w:rPr>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2,852,400.00</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0" w:right="0"/>
              <w:jc w:val="left"/>
              <w:rPr>
                <w:rFonts w:ascii="Times New Roman" w:hAnsi="Times New Roman" w:cs="Times New Roman" w:eastAsia="Times New Roman" w:hint="default"/>
                <w:sz w:val="18"/>
                <w:szCs w:val="18"/>
              </w:rPr>
            </w:pPr>
            <w:r>
              <w:rPr>
                <w:rFonts w:ascii="Times New Roman"/>
                <w:sz w:val="18"/>
              </w:rPr>
              <w:t>0.0641</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182,798.91</w:t>
            </w:r>
          </w:p>
        </w:tc>
      </w:tr>
      <w:tr>
        <w:trPr>
          <w:trHeight w:val="403" w:hRule="exact"/>
        </w:trPr>
        <w:tc>
          <w:tcPr>
            <w:tcW w:w="2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739" w:right="0"/>
              <w:jc w:val="left"/>
              <w:rPr>
                <w:rFonts w:ascii="宋体" w:hAnsi="宋体" w:cs="宋体" w:eastAsia="宋体" w:hint="default"/>
                <w:sz w:val="18"/>
                <w:szCs w:val="18"/>
              </w:rPr>
            </w:pPr>
            <w:r>
              <w:rPr>
                <w:rFonts w:ascii="宋体" w:hAnsi="宋体" w:cs="宋体" w:eastAsia="宋体" w:hint="default"/>
                <w:sz w:val="18"/>
                <w:szCs w:val="18"/>
              </w:rPr>
              <w:t>墨西哥比索</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156,828.00</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0" w:right="0"/>
              <w:jc w:val="left"/>
              <w:rPr>
                <w:rFonts w:ascii="Times New Roman" w:hAnsi="Times New Roman" w:cs="Times New Roman" w:eastAsia="Times New Roman" w:hint="default"/>
                <w:sz w:val="18"/>
                <w:szCs w:val="18"/>
              </w:rPr>
            </w:pPr>
            <w:r>
              <w:rPr>
                <w:rFonts w:ascii="Times New Roman"/>
                <w:sz w:val="18"/>
              </w:rPr>
              <w:t>0.3684</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57,775.44</w:t>
            </w:r>
          </w:p>
        </w:tc>
      </w:tr>
      <w:tr>
        <w:trPr>
          <w:trHeight w:val="398" w:hRule="exact"/>
        </w:trPr>
        <w:tc>
          <w:tcPr>
            <w:tcW w:w="2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295" w:type="dxa"/>
            <w:tcBorders>
              <w:top w:val="single" w:sz="4" w:space="0" w:color="000000"/>
              <w:left w:val="single" w:sz="4" w:space="0" w:color="000000"/>
              <w:bottom w:val="single" w:sz="4" w:space="0" w:color="000000"/>
              <w:right w:val="single" w:sz="4" w:space="0" w:color="000000"/>
            </w:tcBorders>
          </w:tcPr>
          <w:p>
            <w:pPr/>
          </w:p>
        </w:tc>
        <w:tc>
          <w:tcPr>
            <w:tcW w:w="2387"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145,333.12</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0" w:right="0"/>
              <w:jc w:val="left"/>
              <w:rPr>
                <w:rFonts w:ascii="Times New Roman" w:hAnsi="Times New Roman" w:cs="Times New Roman" w:eastAsia="Times New Roman" w:hint="default"/>
                <w:sz w:val="18"/>
                <w:szCs w:val="18"/>
              </w:rPr>
            </w:pPr>
            <w:r>
              <w:rPr>
                <w:rFonts w:ascii="Times New Roman"/>
                <w:sz w:val="18"/>
              </w:rPr>
              <w:t>6.9762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1,013,872.91</w:t>
            </w:r>
          </w:p>
        </w:tc>
      </w:tr>
      <w:tr>
        <w:trPr>
          <w:trHeight w:val="404" w:hRule="exact"/>
        </w:trPr>
        <w:tc>
          <w:tcPr>
            <w:tcW w:w="2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13"/>
              <w:jc w:val="center"/>
              <w:rPr>
                <w:rFonts w:ascii="宋体" w:hAnsi="宋体" w:cs="宋体" w:eastAsia="宋体" w:hint="default"/>
                <w:sz w:val="18"/>
                <w:szCs w:val="18"/>
              </w:rPr>
            </w:pPr>
            <w:r>
              <w:rPr>
                <w:rFonts w:ascii="宋体" w:hAnsi="宋体" w:cs="宋体" w:eastAsia="宋体" w:hint="default"/>
                <w:spacing w:val="-5"/>
                <w:sz w:val="18"/>
                <w:szCs w:val="18"/>
              </w:rPr>
              <w:t>港元</w:t>
            </w:r>
            <w:r>
              <w:rPr>
                <w:rFonts w:ascii="宋体" w:hAnsi="宋体" w:cs="宋体" w:eastAsia="宋体" w:hint="default"/>
                <w:sz w:val="18"/>
                <w:szCs w:val="18"/>
              </w:rPr>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325,182.00</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0" w:right="0"/>
              <w:jc w:val="left"/>
              <w:rPr>
                <w:rFonts w:ascii="Times New Roman" w:hAnsi="Times New Roman" w:cs="Times New Roman" w:eastAsia="Times New Roman" w:hint="default"/>
                <w:sz w:val="18"/>
                <w:szCs w:val="18"/>
              </w:rPr>
            </w:pPr>
            <w:r>
              <w:rPr>
                <w:rFonts w:ascii="Times New Roman"/>
                <w:sz w:val="18"/>
              </w:rPr>
              <w:t>0.8958</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291,291.53</w:t>
            </w:r>
          </w:p>
        </w:tc>
      </w:tr>
      <w:tr>
        <w:trPr>
          <w:trHeight w:val="403" w:hRule="exact"/>
        </w:trPr>
        <w:tc>
          <w:tcPr>
            <w:tcW w:w="2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295" w:type="dxa"/>
            <w:tcBorders>
              <w:top w:val="single" w:sz="4" w:space="0" w:color="000000"/>
              <w:left w:val="single" w:sz="4" w:space="0" w:color="000000"/>
              <w:bottom w:val="single" w:sz="4" w:space="0" w:color="000000"/>
              <w:right w:val="single" w:sz="4" w:space="0" w:color="000000"/>
            </w:tcBorders>
          </w:tcPr>
          <w:p>
            <w:pPr/>
          </w:p>
        </w:tc>
        <w:tc>
          <w:tcPr>
            <w:tcW w:w="2387"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127,155.67</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0" w:right="0"/>
              <w:jc w:val="left"/>
              <w:rPr>
                <w:rFonts w:ascii="Times New Roman" w:hAnsi="Times New Roman" w:cs="Times New Roman" w:eastAsia="Times New Roman" w:hint="default"/>
                <w:sz w:val="18"/>
                <w:szCs w:val="18"/>
              </w:rPr>
            </w:pPr>
            <w:r>
              <w:rPr>
                <w:rFonts w:ascii="Times New Roman"/>
                <w:sz w:val="18"/>
              </w:rPr>
              <w:t>6.9762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887,063.39</w:t>
            </w:r>
          </w:p>
        </w:tc>
      </w:tr>
      <w:tr>
        <w:trPr>
          <w:trHeight w:val="403" w:hRule="exact"/>
        </w:trPr>
        <w:tc>
          <w:tcPr>
            <w:tcW w:w="2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13"/>
              <w:jc w:val="center"/>
              <w:rPr>
                <w:rFonts w:ascii="宋体" w:hAnsi="宋体" w:cs="宋体" w:eastAsia="宋体" w:hint="default"/>
                <w:sz w:val="18"/>
                <w:szCs w:val="18"/>
              </w:rPr>
            </w:pPr>
            <w:r>
              <w:rPr>
                <w:rFonts w:ascii="宋体" w:hAnsi="宋体" w:cs="宋体" w:eastAsia="宋体" w:hint="default"/>
                <w:spacing w:val="-5"/>
                <w:sz w:val="18"/>
                <w:szCs w:val="18"/>
              </w:rPr>
              <w:t>欧元</w:t>
            </w:r>
            <w:r>
              <w:rPr>
                <w:rFonts w:ascii="宋体" w:hAnsi="宋体" w:cs="宋体" w:eastAsia="宋体" w:hint="default"/>
                <w:sz w:val="18"/>
                <w:szCs w:val="18"/>
              </w:rPr>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2,626.80</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0" w:right="0"/>
              <w:jc w:val="left"/>
              <w:rPr>
                <w:rFonts w:ascii="Times New Roman" w:hAnsi="Times New Roman" w:cs="Times New Roman" w:eastAsia="Times New Roman" w:hint="default"/>
                <w:sz w:val="18"/>
                <w:szCs w:val="18"/>
              </w:rPr>
            </w:pPr>
            <w:r>
              <w:rPr>
                <w:rFonts w:ascii="Times New Roman"/>
                <w:sz w:val="18"/>
              </w:rPr>
              <w:t>7.8155</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20,529.76</w:t>
            </w:r>
          </w:p>
        </w:tc>
      </w:tr>
      <w:tr>
        <w:trPr>
          <w:trHeight w:val="404" w:hRule="exact"/>
        </w:trPr>
        <w:tc>
          <w:tcPr>
            <w:tcW w:w="2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13"/>
              <w:jc w:val="center"/>
              <w:rPr>
                <w:rFonts w:ascii="宋体" w:hAnsi="宋体" w:cs="宋体" w:eastAsia="宋体" w:hint="default"/>
                <w:sz w:val="18"/>
                <w:szCs w:val="18"/>
              </w:rPr>
            </w:pPr>
            <w:r>
              <w:rPr>
                <w:rFonts w:ascii="宋体" w:hAnsi="宋体" w:cs="宋体" w:eastAsia="宋体" w:hint="default"/>
                <w:spacing w:val="-5"/>
                <w:sz w:val="18"/>
                <w:szCs w:val="18"/>
              </w:rPr>
              <w:t>港元</w:t>
            </w:r>
            <w:r>
              <w:rPr>
                <w:rFonts w:ascii="宋体" w:hAnsi="宋体" w:cs="宋体" w:eastAsia="宋体" w:hint="default"/>
                <w:sz w:val="18"/>
                <w:szCs w:val="18"/>
              </w:rPr>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90,097.02</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0" w:right="0"/>
              <w:jc w:val="left"/>
              <w:rPr>
                <w:rFonts w:ascii="Times New Roman" w:hAnsi="Times New Roman" w:cs="Times New Roman" w:eastAsia="Times New Roman" w:hint="default"/>
                <w:sz w:val="18"/>
                <w:szCs w:val="18"/>
              </w:rPr>
            </w:pPr>
            <w:r>
              <w:rPr>
                <w:rFonts w:ascii="Times New Roman"/>
                <w:sz w:val="18"/>
              </w:rPr>
              <w:t>0.8958</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80,707.11</w:t>
            </w:r>
          </w:p>
        </w:tc>
      </w:tr>
      <w:tr>
        <w:trPr>
          <w:trHeight w:val="403" w:hRule="exact"/>
        </w:trPr>
        <w:tc>
          <w:tcPr>
            <w:tcW w:w="2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13"/>
              <w:jc w:val="center"/>
              <w:rPr>
                <w:rFonts w:ascii="宋体" w:hAnsi="宋体" w:cs="宋体" w:eastAsia="宋体" w:hint="default"/>
                <w:sz w:val="18"/>
                <w:szCs w:val="18"/>
              </w:rPr>
            </w:pPr>
            <w:r>
              <w:rPr>
                <w:rFonts w:ascii="宋体" w:hAnsi="宋体" w:cs="宋体" w:eastAsia="宋体" w:hint="default"/>
                <w:spacing w:val="-5"/>
                <w:sz w:val="18"/>
                <w:szCs w:val="18"/>
              </w:rPr>
              <w:t>英镑</w:t>
            </w:r>
            <w:r>
              <w:rPr>
                <w:rFonts w:ascii="宋体" w:hAnsi="宋体" w:cs="宋体" w:eastAsia="宋体" w:hint="default"/>
                <w:sz w:val="18"/>
                <w:szCs w:val="18"/>
              </w:rPr>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6,976.86</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0" w:right="0"/>
              <w:jc w:val="left"/>
              <w:rPr>
                <w:rFonts w:ascii="Times New Roman" w:hAnsi="Times New Roman" w:cs="Times New Roman" w:eastAsia="Times New Roman" w:hint="default"/>
                <w:sz w:val="18"/>
                <w:szCs w:val="18"/>
              </w:rPr>
            </w:pPr>
            <w:r>
              <w:rPr>
                <w:rFonts w:ascii="Times New Roman"/>
                <w:sz w:val="18"/>
              </w:rPr>
              <w:t>9.1501</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63,838.97</w:t>
            </w:r>
          </w:p>
        </w:tc>
      </w:tr>
      <w:tr>
        <w:trPr>
          <w:trHeight w:val="403" w:hRule="exact"/>
        </w:trPr>
        <w:tc>
          <w:tcPr>
            <w:tcW w:w="2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13"/>
              <w:jc w:val="center"/>
              <w:rPr>
                <w:rFonts w:ascii="宋体" w:hAnsi="宋体" w:cs="宋体" w:eastAsia="宋体" w:hint="default"/>
                <w:sz w:val="18"/>
                <w:szCs w:val="18"/>
              </w:rPr>
            </w:pPr>
            <w:r>
              <w:rPr>
                <w:rFonts w:ascii="宋体" w:hAnsi="宋体" w:cs="宋体" w:eastAsia="宋体" w:hint="default"/>
                <w:spacing w:val="-5"/>
                <w:sz w:val="18"/>
                <w:szCs w:val="18"/>
              </w:rPr>
              <w:t>日元</w:t>
            </w:r>
            <w:r>
              <w:rPr>
                <w:rFonts w:ascii="宋体" w:hAnsi="宋体" w:cs="宋体" w:eastAsia="宋体" w:hint="default"/>
                <w:sz w:val="18"/>
                <w:szCs w:val="18"/>
              </w:rPr>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1,478,329.00</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0" w:right="0"/>
              <w:jc w:val="left"/>
              <w:rPr>
                <w:rFonts w:ascii="Times New Roman" w:hAnsi="Times New Roman" w:cs="Times New Roman" w:eastAsia="Times New Roman" w:hint="default"/>
                <w:sz w:val="18"/>
                <w:szCs w:val="18"/>
              </w:rPr>
            </w:pPr>
            <w:r>
              <w:rPr>
                <w:rFonts w:ascii="Times New Roman"/>
                <w:sz w:val="18"/>
              </w:rPr>
              <w:t>0.0641</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94,740.19</w:t>
            </w:r>
          </w:p>
        </w:tc>
      </w:tr>
    </w:tbl>
    <w:p>
      <w:pPr>
        <w:pStyle w:val="BodyText"/>
        <w:spacing w:line="352" w:lineRule="auto" w:before="53"/>
        <w:ind w:right="9861"/>
        <w:jc w:val="left"/>
      </w:pPr>
      <w:r>
        <w:rPr>
          <w:spacing w:val="-2"/>
        </w:rPr>
        <w:t>其他说明：</w:t>
      </w:r>
      <w:r>
        <w:rPr>
          <w:spacing w:val="-78"/>
        </w:rPr>
        <w:t> </w:t>
      </w:r>
      <w:r>
        <w:rPr>
          <w:spacing w:val="-78"/>
        </w:rPr>
      </w:r>
      <w:r>
        <w:rPr/>
        <w:t>无。</w:t>
      </w:r>
    </w:p>
    <w:p>
      <w:pPr>
        <w:spacing w:after="0" w:line="352" w:lineRule="auto"/>
        <w:jc w:val="left"/>
        <w:sectPr>
          <w:pgSz w:w="11910" w:h="16840"/>
          <w:pgMar w:header="784" w:footer="1022" w:top="1100" w:bottom="1220" w:left="980" w:right="0"/>
        </w:sectPr>
      </w:pPr>
    </w:p>
    <w:p>
      <w:pPr>
        <w:spacing w:line="240" w:lineRule="auto" w:before="13"/>
        <w:rPr>
          <w:rFonts w:ascii="宋体" w:hAnsi="宋体" w:cs="宋体" w:eastAsia="宋体" w:hint="default"/>
          <w:sz w:val="21"/>
          <w:szCs w:val="21"/>
        </w:rPr>
      </w:pPr>
    </w:p>
    <w:p>
      <w:pPr>
        <w:pStyle w:val="Heading4"/>
        <w:spacing w:line="254" w:lineRule="auto" w:before="36"/>
        <w:ind w:right="0"/>
        <w:jc w:val="left"/>
        <w:rPr>
          <w:b w:val="0"/>
          <w:bCs w:val="0"/>
        </w:rPr>
      </w:pPr>
      <w:bookmarkStart w:name="（2）境外经营实体说明，包括对于重要的境外经营实体，应披露其境外主要经营地、记账" w:id="422"/>
      <w:bookmarkEnd w:id="422"/>
      <w:r>
        <w:rPr>
          <w:b w:val="0"/>
          <w:bCs w:val="0"/>
        </w:rPr>
      </w:r>
      <w:r>
        <w:rPr/>
        <w:t>（</w:t>
      </w:r>
      <w:r>
        <w:rPr>
          <w:rFonts w:ascii="Times New Roman" w:hAnsi="Times New Roman" w:cs="Times New Roman" w:eastAsia="Times New Roman" w:hint="default"/>
        </w:rPr>
        <w:t>2</w:t>
      </w:r>
      <w:r>
        <w:rPr/>
        <w:t>）境外经营实体说明，包括对于重要的境外经营实体，应披露其境外主要经营地、记账本位币及选择</w:t>
      </w:r>
      <w:r>
        <w:rPr>
          <w:spacing w:val="-66"/>
        </w:rPr>
        <w:t> </w:t>
      </w:r>
      <w:r>
        <w:rPr>
          <w:spacing w:val="-66"/>
        </w:rPr>
      </w:r>
      <w:r>
        <w:rPr/>
        <w:t>依据，记账本位币发生变化的还应披露原因。</w:t>
      </w:r>
      <w:r>
        <w:rPr>
          <w:b w:val="0"/>
          <w:bCs w:val="0"/>
        </w:rPr>
      </w:r>
    </w:p>
    <w:p>
      <w:pPr>
        <w:spacing w:line="240" w:lineRule="auto" w:before="5"/>
        <w:rPr>
          <w:rFonts w:ascii="宋体" w:hAnsi="宋体" w:cs="宋体" w:eastAsia="宋体" w:hint="default"/>
          <w:b/>
          <w:bCs/>
          <w:sz w:val="27"/>
          <w:szCs w:val="27"/>
        </w:rPr>
      </w:pPr>
    </w:p>
    <w:p>
      <w:pPr>
        <w:pStyle w:val="BodyText"/>
        <w:spacing w:line="240" w:lineRule="auto" w:before="0"/>
        <w:ind w:right="0"/>
        <w:jc w:val="left"/>
      </w:pPr>
      <w:r>
        <w:rPr/>
        <w:t>√ </w:t>
      </w:r>
      <w:r>
        <w:rPr>
          <w:spacing w:val="-3"/>
        </w:rPr>
        <w:t>适用 </w:t>
      </w:r>
      <w:r>
        <w:rPr/>
        <w:t>□</w:t>
      </w:r>
      <w:r>
        <w:rPr>
          <w:spacing w:val="13"/>
        </w:rPr>
        <w:t> </w:t>
      </w:r>
      <w:r>
        <w:rPr/>
        <w:t>不适用</w:t>
      </w:r>
    </w:p>
    <w:p>
      <w:pPr>
        <w:pStyle w:val="BodyText"/>
        <w:spacing w:line="316" w:lineRule="auto" w:before="110"/>
        <w:ind w:right="0" w:firstLine="480"/>
        <w:jc w:val="left"/>
      </w:pPr>
      <w:r>
        <w:rPr>
          <w:spacing w:val="-3"/>
        </w:rPr>
        <w:t>本公司属下有四家境外实体，其中一家为全资子公司奥拓电子（香港）有限公司（以下简称“香港奥拓”），注册地</w:t>
      </w:r>
      <w:r>
        <w:rPr>
          <w:w w:val="101"/>
        </w:rPr>
        <w:t> </w:t>
      </w:r>
      <w:r>
        <w:rPr>
          <w:spacing w:val="-3"/>
        </w:rPr>
        <w:t>香港；另三家均为香港奥拓之全资子公司，注册地分别为美国、英国和日本。</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Heading4"/>
        <w:spacing w:line="240" w:lineRule="auto" w:before="136"/>
        <w:ind w:right="0"/>
        <w:jc w:val="left"/>
        <w:rPr>
          <w:b w:val="0"/>
          <w:bCs w:val="0"/>
        </w:rPr>
      </w:pPr>
      <w:bookmarkStart w:name="83、套期" w:id="423"/>
      <w:bookmarkEnd w:id="423"/>
      <w:r>
        <w:rPr>
          <w:b w:val="0"/>
          <w:bCs w:val="0"/>
        </w:rPr>
      </w:r>
      <w:r>
        <w:rPr>
          <w:rFonts w:ascii="Times New Roman" w:hAnsi="Times New Roman" w:cs="Times New Roman" w:eastAsia="Times New Roman" w:hint="default"/>
        </w:rPr>
        <w:t>83</w:t>
      </w:r>
      <w:r>
        <w:rPr/>
        <w:t>、套期</w:t>
      </w:r>
      <w:r>
        <w:rPr>
          <w:b w:val="0"/>
          <w:bCs w:val="0"/>
        </w:rPr>
      </w:r>
    </w:p>
    <w:p>
      <w:pPr>
        <w:spacing w:line="240" w:lineRule="auto" w:before="1"/>
        <w:rPr>
          <w:rFonts w:ascii="宋体" w:hAnsi="宋体" w:cs="宋体" w:eastAsia="宋体" w:hint="default"/>
          <w:b/>
          <w:bCs/>
          <w:sz w:val="27"/>
          <w:szCs w:val="27"/>
        </w:rPr>
      </w:pPr>
    </w:p>
    <w:p>
      <w:pPr>
        <w:pStyle w:val="BodyText"/>
        <w:spacing w:line="352" w:lineRule="auto" w:before="0"/>
        <w:ind w:right="4413"/>
        <w:jc w:val="left"/>
      </w:pPr>
      <w:r>
        <w:rPr>
          <w:spacing w:val="-3"/>
        </w:rPr>
        <w:t>按照套期类别披露套期项目及相关套期工具、被套期风险的定性和定量信息：</w:t>
      </w:r>
      <w:r>
        <w:rPr>
          <w:spacing w:val="8"/>
        </w:rPr>
        <w:t> </w:t>
      </w:r>
      <w:r>
        <w:rPr>
          <w:spacing w:val="8"/>
        </w:rPr>
      </w:r>
      <w:r>
        <w:rPr/>
        <w:t>无。</w:t>
      </w:r>
    </w:p>
    <w:p>
      <w:pPr>
        <w:spacing w:line="240" w:lineRule="auto" w:before="7"/>
        <w:rPr>
          <w:rFonts w:ascii="宋体" w:hAnsi="宋体" w:cs="宋体" w:eastAsia="宋体" w:hint="default"/>
          <w:sz w:val="20"/>
          <w:szCs w:val="20"/>
        </w:rPr>
      </w:pPr>
    </w:p>
    <w:p>
      <w:pPr>
        <w:pStyle w:val="Heading4"/>
        <w:spacing w:line="240" w:lineRule="auto"/>
        <w:ind w:right="0"/>
        <w:jc w:val="left"/>
        <w:rPr>
          <w:b w:val="0"/>
          <w:bCs w:val="0"/>
        </w:rPr>
      </w:pPr>
      <w:bookmarkStart w:name="84、政府补助" w:id="424"/>
      <w:bookmarkEnd w:id="424"/>
      <w:r>
        <w:rPr>
          <w:b w:val="0"/>
          <w:bCs w:val="0"/>
        </w:rPr>
      </w:r>
      <w:r>
        <w:rPr>
          <w:rFonts w:ascii="Times New Roman" w:hAnsi="Times New Roman" w:cs="Times New Roman" w:eastAsia="Times New Roman" w:hint="default"/>
        </w:rPr>
        <w:t>84</w:t>
      </w:r>
      <w:r>
        <w:rPr/>
        <w:t>、政府补助</w:t>
      </w:r>
      <w:r>
        <w:rPr>
          <w:b w:val="0"/>
          <w:bCs w:val="0"/>
        </w:rPr>
      </w:r>
    </w:p>
    <w:p>
      <w:pPr>
        <w:spacing w:line="240" w:lineRule="auto" w:before="5"/>
        <w:rPr>
          <w:rFonts w:ascii="宋体" w:hAnsi="宋体" w:cs="宋体" w:eastAsia="宋体" w:hint="default"/>
          <w:b/>
          <w:bCs/>
          <w:sz w:val="24"/>
          <w:szCs w:val="24"/>
        </w:rPr>
      </w:pPr>
    </w:p>
    <w:p>
      <w:pPr>
        <w:pStyle w:val="Heading4"/>
        <w:spacing w:line="240" w:lineRule="auto"/>
        <w:ind w:right="0"/>
        <w:jc w:val="left"/>
        <w:rPr>
          <w:b w:val="0"/>
          <w:bCs w:val="0"/>
        </w:rPr>
      </w:pPr>
      <w:bookmarkStart w:name="（1）政府补助基本情况" w:id="425"/>
      <w:bookmarkEnd w:id="425"/>
      <w:r>
        <w:rPr>
          <w:b w:val="0"/>
          <w:bCs w:val="0"/>
        </w:rPr>
      </w:r>
      <w:r>
        <w:rPr/>
        <w:t>（</w:t>
      </w:r>
      <w:r>
        <w:rPr>
          <w:rFonts w:ascii="Times New Roman" w:hAnsi="Times New Roman" w:cs="Times New Roman" w:eastAsia="Times New Roman" w:hint="default"/>
        </w:rPr>
        <w:t>1</w:t>
      </w:r>
      <w:r>
        <w:rPr/>
        <w:t>）政府补助基本情况</w:t>
      </w:r>
      <w:r>
        <w:rPr>
          <w:b w:val="0"/>
          <w:bCs w:val="0"/>
        </w:rPr>
      </w:r>
    </w:p>
    <w:p>
      <w:pPr>
        <w:spacing w:line="240" w:lineRule="auto" w:before="1"/>
        <w:rPr>
          <w:rFonts w:ascii="宋体" w:hAnsi="宋体" w:cs="宋体" w:eastAsia="宋体" w:hint="default"/>
          <w:b/>
          <w:bCs/>
          <w:sz w:val="27"/>
          <w:szCs w:val="27"/>
        </w:rPr>
      </w:pPr>
    </w:p>
    <w:p>
      <w:pPr>
        <w:pStyle w:val="BodyText"/>
        <w:spacing w:line="240" w:lineRule="auto" w:before="0"/>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391"/>
        <w:gridCol w:w="2396"/>
        <w:gridCol w:w="2391"/>
        <w:gridCol w:w="2391"/>
      </w:tblGrid>
      <w:tr>
        <w:trPr>
          <w:trHeight w:val="403"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1001"/>
              <w:jc w:val="right"/>
              <w:rPr>
                <w:rFonts w:ascii="宋体" w:hAnsi="宋体" w:cs="宋体" w:eastAsia="宋体" w:hint="default"/>
                <w:sz w:val="18"/>
                <w:szCs w:val="18"/>
              </w:rPr>
            </w:pPr>
            <w:r>
              <w:rPr>
                <w:rFonts w:ascii="宋体" w:hAnsi="宋体" w:cs="宋体" w:eastAsia="宋体" w:hint="default"/>
                <w:sz w:val="18"/>
                <w:szCs w:val="18"/>
              </w:rPr>
              <w:t>种类</w:t>
            </w: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3"/>
              <w:jc w:val="center"/>
              <w:rPr>
                <w:rFonts w:ascii="宋体" w:hAnsi="宋体" w:cs="宋体" w:eastAsia="宋体" w:hint="default"/>
                <w:sz w:val="18"/>
                <w:szCs w:val="18"/>
              </w:rPr>
            </w:pPr>
            <w:r>
              <w:rPr>
                <w:rFonts w:ascii="宋体" w:hAnsi="宋体" w:cs="宋体" w:eastAsia="宋体" w:hint="default"/>
                <w:sz w:val="18"/>
                <w:szCs w:val="18"/>
              </w:rPr>
              <w:t>列报项目</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pacing w:val="-3"/>
                <w:sz w:val="18"/>
                <w:szCs w:val="18"/>
              </w:rPr>
              <w:t>计入当期损益的金额</w:t>
            </w:r>
          </w:p>
        </w:tc>
      </w:tr>
      <w:tr>
        <w:trPr>
          <w:trHeight w:val="716"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304" w:lineRule="auto" w:before="54"/>
              <w:ind w:left="105" w:right="243"/>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3"/>
                <w:sz w:val="18"/>
                <w:szCs w:val="18"/>
              </w:rPr>
              <w:t> </w:t>
            </w:r>
            <w:r>
              <w:rPr>
                <w:rFonts w:ascii="宋体" w:hAnsi="宋体" w:cs="宋体" w:eastAsia="宋体" w:hint="default"/>
                <w:spacing w:val="-3"/>
                <w:sz w:val="18"/>
                <w:szCs w:val="18"/>
              </w:rPr>
              <w:t>年企业品牌提升项目</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补助</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1,380,000.00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1,380,000.00</w:t>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1"/>
              <w:jc w:val="right"/>
              <w:rPr>
                <w:rFonts w:ascii="宋体" w:hAnsi="宋体" w:cs="宋体" w:eastAsia="宋体" w:hint="default"/>
                <w:sz w:val="18"/>
                <w:szCs w:val="18"/>
              </w:rPr>
            </w:pPr>
            <w:r>
              <w:rPr>
                <w:rFonts w:ascii="宋体" w:hAnsi="宋体" w:cs="宋体" w:eastAsia="宋体" w:hint="default"/>
                <w:spacing w:val="-3"/>
                <w:sz w:val="18"/>
                <w:szCs w:val="18"/>
              </w:rPr>
              <w:t>科创委研发补助</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1,173,000.00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1,173,000.00</w:t>
            </w:r>
          </w:p>
        </w:tc>
      </w:tr>
      <w:tr>
        <w:trPr>
          <w:trHeight w:val="1023"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3"/>
              <w:ind w:left="105" w:right="243"/>
              <w:jc w:val="left"/>
              <w:rPr>
                <w:rFonts w:ascii="宋体" w:hAnsi="宋体" w:cs="宋体" w:eastAsia="宋体" w:hint="default"/>
                <w:sz w:val="18"/>
                <w:szCs w:val="18"/>
              </w:rPr>
            </w:pPr>
            <w:r>
              <w:rPr>
                <w:rFonts w:ascii="宋体" w:hAnsi="宋体" w:cs="宋体" w:eastAsia="宋体" w:hint="default"/>
                <w:sz w:val="18"/>
                <w:szCs w:val="18"/>
              </w:rPr>
              <w:t>深圳市科技创新委员会</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3"/>
                <w:sz w:val="18"/>
                <w:szCs w:val="18"/>
              </w:rPr>
              <w:t> </w:t>
            </w:r>
            <w:r>
              <w:rPr>
                <w:rFonts w:ascii="宋体" w:hAnsi="宋体" w:cs="宋体" w:eastAsia="宋体" w:hint="default"/>
                <w:spacing w:val="-3"/>
                <w:sz w:val="18"/>
                <w:szCs w:val="18"/>
              </w:rPr>
              <w:t>年第一批企业研究开</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发资助计划资助款</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1,086,000.00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100"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1,086,000.00</w:t>
            </w:r>
          </w:p>
        </w:tc>
      </w:tr>
      <w:tr>
        <w:trPr>
          <w:trHeight w:val="715"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深圳市南山区经济促进局</w:t>
            </w:r>
          </w:p>
          <w:p>
            <w:pPr>
              <w:pStyle w:val="TableParagraph"/>
              <w:spacing w:line="240" w:lineRule="auto" w:before="81"/>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31"/>
                <w:sz w:val="18"/>
                <w:szCs w:val="18"/>
              </w:rPr>
              <w:t> </w:t>
            </w:r>
            <w:r>
              <w:rPr>
                <w:rFonts w:ascii="宋体" w:hAnsi="宋体" w:cs="宋体" w:eastAsia="宋体" w:hint="default"/>
                <w:spacing w:val="-3"/>
                <w:sz w:val="18"/>
                <w:szCs w:val="18"/>
              </w:rPr>
              <w:t>年稳增长资助项目款</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1,070,000.00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1,070,000.00</w:t>
            </w:r>
          </w:p>
        </w:tc>
      </w:tr>
      <w:tr>
        <w:trPr>
          <w:trHeight w:val="1028"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321" w:lineRule="auto" w:before="53"/>
              <w:ind w:left="105" w:right="109"/>
              <w:jc w:val="both"/>
              <w:rPr>
                <w:rFonts w:ascii="宋体" w:hAnsi="宋体" w:cs="宋体" w:eastAsia="宋体" w:hint="default"/>
                <w:sz w:val="18"/>
                <w:szCs w:val="18"/>
              </w:rPr>
            </w:pPr>
            <w:r>
              <w:rPr>
                <w:rFonts w:ascii="宋体" w:hAnsi="宋体" w:cs="宋体" w:eastAsia="宋体" w:hint="default"/>
                <w:spacing w:val="-3"/>
                <w:sz w:val="18"/>
                <w:szCs w:val="18"/>
              </w:rPr>
              <w:t>深圳市经济贸易和信息化委</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pacing w:val="-3"/>
                <w:sz w:val="18"/>
                <w:szCs w:val="18"/>
              </w:rPr>
              <w:t>员于鹏飞工信发展领域项目</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会补助款</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1,000,000.00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1"/>
              <w:ind w:left="100"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1,000,000.00</w:t>
            </w:r>
          </w:p>
        </w:tc>
      </w:tr>
      <w:tr>
        <w:trPr>
          <w:trHeight w:val="715"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3"/>
              <w:ind w:left="105" w:right="123"/>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LED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裸眼</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3D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显示技术工程</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实验室项目</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1,000,000.00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1,000,000.00</w:t>
            </w:r>
          </w:p>
        </w:tc>
      </w:tr>
      <w:tr>
        <w:trPr>
          <w:trHeight w:val="1023"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3"/>
              <w:ind w:left="105" w:right="109"/>
              <w:jc w:val="both"/>
              <w:rPr>
                <w:rFonts w:ascii="宋体" w:hAnsi="宋体" w:cs="宋体" w:eastAsia="宋体" w:hint="default"/>
                <w:sz w:val="18"/>
                <w:szCs w:val="18"/>
              </w:rPr>
            </w:pPr>
            <w:r>
              <w:rPr>
                <w:rFonts w:ascii="宋体" w:hAnsi="宋体" w:cs="宋体" w:eastAsia="宋体" w:hint="default"/>
                <w:spacing w:val="-3"/>
                <w:sz w:val="18"/>
                <w:szCs w:val="18"/>
              </w:rPr>
              <w:t>深圳市南山区经济促进局重</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pacing w:val="-3"/>
                <w:sz w:val="18"/>
                <w:szCs w:val="18"/>
              </w:rPr>
              <w:t>点出口企业参加展会活动资</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助项目补助款</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824,700.00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100"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824,700.00</w:t>
            </w:r>
          </w:p>
        </w:tc>
      </w:tr>
      <w:tr>
        <w:trPr>
          <w:trHeight w:val="715"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321" w:lineRule="auto" w:before="53"/>
              <w:ind w:left="105" w:right="109"/>
              <w:jc w:val="left"/>
              <w:rPr>
                <w:rFonts w:ascii="宋体" w:hAnsi="宋体" w:cs="宋体" w:eastAsia="宋体" w:hint="default"/>
                <w:sz w:val="18"/>
                <w:szCs w:val="18"/>
              </w:rPr>
            </w:pPr>
            <w:r>
              <w:rPr>
                <w:rFonts w:ascii="宋体" w:hAnsi="宋体" w:cs="宋体" w:eastAsia="宋体" w:hint="default"/>
                <w:spacing w:val="-3"/>
                <w:sz w:val="18"/>
                <w:szCs w:val="18"/>
              </w:rPr>
              <w:t>基于金融行业智能服务机器</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人及云控平台应用补助</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800,000.00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800,000.00</w:t>
            </w:r>
          </w:p>
        </w:tc>
      </w:tr>
      <w:tr>
        <w:trPr>
          <w:trHeight w:val="716"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324" w:lineRule="auto" w:before="53"/>
              <w:ind w:left="105" w:right="109"/>
              <w:jc w:val="left"/>
              <w:rPr>
                <w:rFonts w:ascii="宋体" w:hAnsi="宋体" w:cs="宋体" w:eastAsia="宋体" w:hint="default"/>
                <w:sz w:val="18"/>
                <w:szCs w:val="18"/>
              </w:rPr>
            </w:pPr>
            <w:r>
              <w:rPr>
                <w:rFonts w:ascii="宋体" w:hAnsi="宋体" w:cs="宋体" w:eastAsia="宋体" w:hint="default"/>
                <w:spacing w:val="-3"/>
                <w:sz w:val="18"/>
                <w:szCs w:val="18"/>
              </w:rPr>
              <w:t>南京市高新技术企业培育政</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府补助</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641,800.00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641,800.00</w:t>
            </w:r>
          </w:p>
        </w:tc>
      </w:tr>
      <w:tr>
        <w:trPr>
          <w:trHeight w:val="672"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Times New Roman" w:hAnsi="Times New Roman" w:cs="Times New Roman" w:eastAsia="Times New Roman" w:hint="default"/>
                <w:sz w:val="18"/>
                <w:szCs w:val="18"/>
              </w:rPr>
            </w:pPr>
            <w:r>
              <w:rPr>
                <w:rFonts w:ascii="宋体" w:hAnsi="宋体" w:cs="宋体" w:eastAsia="宋体" w:hint="default"/>
                <w:spacing w:val="-2"/>
                <w:sz w:val="18"/>
                <w:szCs w:val="18"/>
              </w:rPr>
              <w:t>新型柔性超大尺寸全彩</w:t>
            </w:r>
            <w:r>
              <w:rPr>
                <w:rFonts w:ascii="宋体" w:hAnsi="宋体" w:cs="宋体" w:eastAsia="宋体" w:hint="default"/>
                <w:spacing w:val="-37"/>
                <w:sz w:val="18"/>
                <w:szCs w:val="18"/>
              </w:rPr>
              <w:t> </w:t>
            </w:r>
            <w:r>
              <w:rPr>
                <w:rFonts w:ascii="Times New Roman" w:hAnsi="Times New Roman" w:cs="Times New Roman" w:eastAsia="Times New Roman" w:hint="default"/>
                <w:spacing w:val="-3"/>
                <w:sz w:val="18"/>
                <w:szCs w:val="18"/>
              </w:rPr>
              <w:t>LED</w:t>
            </w:r>
          </w:p>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pacing w:val="-3"/>
                <w:sz w:val="18"/>
                <w:szCs w:val="18"/>
              </w:rPr>
              <w:t>显示屏研发及产业化（创客</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450,000.00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450,000.00</w:t>
            </w:r>
          </w:p>
        </w:tc>
      </w:tr>
    </w:tbl>
    <w:p>
      <w:pPr>
        <w:spacing w:after="0" w:line="240" w:lineRule="auto"/>
        <w:jc w:val="right"/>
        <w:rPr>
          <w:rFonts w:ascii="Times New Roman" w:hAnsi="Times New Roman" w:cs="Times New Roman" w:eastAsia="Times New Roman" w:hint="default"/>
          <w:sz w:val="18"/>
          <w:szCs w:val="18"/>
        </w:rPr>
        <w:sectPr>
          <w:pgSz w:w="11910" w:h="16840"/>
          <w:pgMar w:header="784" w:footer="1022" w:top="1100" w:bottom="1220" w:left="980" w:right="0"/>
        </w:sectPr>
      </w:pPr>
    </w:p>
    <w:p>
      <w:pPr>
        <w:spacing w:line="240" w:lineRule="auto" w:before="7"/>
        <w:rPr>
          <w:rFonts w:ascii="宋体" w:hAnsi="宋体" w:cs="宋体" w:eastAsia="宋体" w:hint="default"/>
          <w:sz w:val="25"/>
          <w:szCs w:val="25"/>
        </w:rPr>
      </w:pPr>
    </w:p>
    <w:tbl>
      <w:tblPr>
        <w:tblW w:w="0" w:type="auto"/>
        <w:jc w:val="left"/>
        <w:tblInd w:w="148" w:type="dxa"/>
        <w:tblLayout w:type="fixed"/>
        <w:tblCellMar>
          <w:top w:w="0" w:type="dxa"/>
          <w:left w:w="0" w:type="dxa"/>
          <w:bottom w:w="0" w:type="dxa"/>
          <w:right w:w="0" w:type="dxa"/>
        </w:tblCellMar>
        <w:tblLook w:val="01E0"/>
      </w:tblPr>
      <w:tblGrid>
        <w:gridCol w:w="2391"/>
        <w:gridCol w:w="2396"/>
        <w:gridCol w:w="2391"/>
        <w:gridCol w:w="2391"/>
      </w:tblGrid>
      <w:tr>
        <w:trPr>
          <w:trHeight w:val="360"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5" w:right="0"/>
              <w:jc w:val="left"/>
              <w:rPr>
                <w:rFonts w:ascii="宋体" w:hAnsi="宋体" w:cs="宋体" w:eastAsia="宋体" w:hint="default"/>
                <w:sz w:val="18"/>
                <w:szCs w:val="18"/>
              </w:rPr>
            </w:pPr>
            <w:r>
              <w:rPr>
                <w:rFonts w:ascii="宋体" w:hAnsi="宋体" w:cs="宋体" w:eastAsia="宋体" w:hint="default"/>
                <w:spacing w:val="-3"/>
                <w:sz w:val="18"/>
                <w:szCs w:val="18"/>
              </w:rPr>
              <w:t>创业资助项目）</w:t>
            </w:r>
          </w:p>
        </w:tc>
        <w:tc>
          <w:tcPr>
            <w:tcW w:w="2396"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321" w:lineRule="auto" w:before="53"/>
              <w:ind w:left="105" w:right="109"/>
              <w:jc w:val="left"/>
              <w:rPr>
                <w:rFonts w:ascii="宋体" w:hAnsi="宋体" w:cs="宋体" w:eastAsia="宋体" w:hint="default"/>
                <w:sz w:val="18"/>
                <w:szCs w:val="18"/>
              </w:rPr>
            </w:pPr>
            <w:r>
              <w:rPr>
                <w:rFonts w:ascii="宋体" w:hAnsi="宋体" w:cs="宋体" w:eastAsia="宋体" w:hint="default"/>
                <w:spacing w:val="-3"/>
                <w:sz w:val="18"/>
                <w:szCs w:val="18"/>
              </w:rPr>
              <w:t>深圳市市场和质量监督委员</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会</w:t>
            </w:r>
            <w:r>
              <w:rPr>
                <w:rFonts w:ascii="宋体" w:hAnsi="宋体" w:cs="宋体" w:eastAsia="宋体" w:hint="default"/>
                <w:spacing w:val="-37"/>
                <w:sz w:val="18"/>
                <w:szCs w:val="18"/>
              </w:rPr>
              <w:t> </w:t>
            </w:r>
            <w:r>
              <w:rPr>
                <w:rFonts w:ascii="Times New Roman" w:hAnsi="Times New Roman" w:cs="Times New Roman" w:eastAsia="Times New Roman" w:hint="default"/>
                <w:spacing w:val="-3"/>
                <w:sz w:val="18"/>
                <w:szCs w:val="18"/>
              </w:rPr>
              <w:t>QLED</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专利补助</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422,388.00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422,388.00</w:t>
            </w:r>
          </w:p>
        </w:tc>
      </w:tr>
      <w:tr>
        <w:trPr>
          <w:trHeight w:val="715"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321" w:lineRule="auto" w:before="53"/>
              <w:ind w:left="105" w:right="109"/>
              <w:jc w:val="left"/>
              <w:rPr>
                <w:rFonts w:ascii="宋体" w:hAnsi="宋体" w:cs="宋体" w:eastAsia="宋体" w:hint="default"/>
                <w:sz w:val="18"/>
                <w:szCs w:val="18"/>
              </w:rPr>
            </w:pPr>
            <w:r>
              <w:rPr>
                <w:rFonts w:ascii="宋体" w:hAnsi="宋体" w:cs="宋体" w:eastAsia="宋体" w:hint="default"/>
                <w:spacing w:val="-3"/>
                <w:sz w:val="18"/>
                <w:szCs w:val="18"/>
              </w:rPr>
              <w:t>福田区政府知识产权质押贷</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款补助</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419,500.00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419,500.00</w:t>
            </w:r>
          </w:p>
        </w:tc>
      </w:tr>
      <w:tr>
        <w:trPr>
          <w:trHeight w:val="1340"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3"/>
              <w:ind w:left="105" w:right="109"/>
              <w:jc w:val="left"/>
              <w:rPr>
                <w:rFonts w:ascii="宋体" w:hAnsi="宋体" w:cs="宋体" w:eastAsia="宋体" w:hint="default"/>
                <w:sz w:val="18"/>
                <w:szCs w:val="18"/>
              </w:rPr>
            </w:pPr>
            <w:r>
              <w:rPr>
                <w:rFonts w:ascii="宋体" w:hAnsi="宋体" w:cs="宋体" w:eastAsia="宋体" w:hint="default"/>
                <w:spacing w:val="-3"/>
                <w:sz w:val="18"/>
                <w:szCs w:val="18"/>
              </w:rPr>
              <w:t>深圳市南山区人民政府文化</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pacing w:val="-3"/>
                <w:sz w:val="18"/>
                <w:szCs w:val="18"/>
              </w:rPr>
              <w:t>产业发展办公室文化产业</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宋体" w:hAnsi="宋体" w:cs="宋体" w:eastAsia="宋体" w:hint="default"/>
                <w:spacing w:val="-3"/>
                <w:sz w:val="18"/>
                <w:szCs w:val="18"/>
              </w:rPr>
              <w:t>“四上”在库企业营收增长</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pacing w:val="-3"/>
                <w:sz w:val="18"/>
                <w:szCs w:val="18"/>
              </w:rPr>
              <w:t>奖励项目补助款</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400,000.00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400,000.00</w:t>
            </w:r>
          </w:p>
        </w:tc>
      </w:tr>
      <w:tr>
        <w:trPr>
          <w:trHeight w:val="710"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105" w:right="109"/>
              <w:jc w:val="left"/>
              <w:rPr>
                <w:rFonts w:ascii="宋体" w:hAnsi="宋体" w:cs="宋体" w:eastAsia="宋体" w:hint="default"/>
                <w:sz w:val="18"/>
                <w:szCs w:val="18"/>
              </w:rPr>
            </w:pPr>
            <w:r>
              <w:rPr>
                <w:rFonts w:ascii="宋体" w:hAnsi="宋体" w:cs="宋体" w:eastAsia="宋体" w:hint="default"/>
                <w:spacing w:val="-3"/>
                <w:sz w:val="18"/>
                <w:szCs w:val="18"/>
              </w:rPr>
              <w:t>智能遥控与信息采集系统专</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项补助</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400,000.00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400,000.00</w:t>
            </w:r>
          </w:p>
        </w:tc>
      </w:tr>
      <w:tr>
        <w:trPr>
          <w:trHeight w:val="716"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304" w:lineRule="auto" w:before="53"/>
              <w:ind w:left="105" w:right="65"/>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3"/>
                <w:sz w:val="18"/>
                <w:szCs w:val="18"/>
              </w:rPr>
              <w:t> </w:t>
            </w:r>
            <w:r>
              <w:rPr>
                <w:rFonts w:ascii="宋体" w:hAnsi="宋体" w:cs="宋体" w:eastAsia="宋体" w:hint="default"/>
                <w:spacing w:val="-3"/>
                <w:sz w:val="18"/>
                <w:szCs w:val="18"/>
              </w:rPr>
              <w:t>年下半年人才（团队）</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项目扶持经费</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300,000.00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300,000.00</w:t>
            </w:r>
          </w:p>
        </w:tc>
      </w:tr>
      <w:tr>
        <w:trPr>
          <w:trHeight w:val="715"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304" w:lineRule="auto" w:before="53"/>
              <w:ind w:left="105" w:right="243"/>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3"/>
                <w:sz w:val="18"/>
                <w:szCs w:val="18"/>
              </w:rPr>
              <w:t> </w:t>
            </w:r>
            <w:r>
              <w:rPr>
                <w:rFonts w:ascii="宋体" w:hAnsi="宋体" w:cs="宋体" w:eastAsia="宋体" w:hint="default"/>
                <w:spacing w:val="-3"/>
                <w:sz w:val="18"/>
                <w:szCs w:val="18"/>
              </w:rPr>
              <w:t>年软件产业综合发展</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3"/>
                <w:sz w:val="18"/>
                <w:szCs w:val="18"/>
              </w:rPr>
              <w:t>专项资金第二批</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300,000.00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300,000.00</w:t>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研发经费补助</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300,000.00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300,000.00</w:t>
            </w:r>
          </w:p>
        </w:tc>
      </w:tr>
      <w:tr>
        <w:trPr>
          <w:trHeight w:val="711"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3"/>
              <w:ind w:left="105" w:right="109"/>
              <w:jc w:val="left"/>
              <w:rPr>
                <w:rFonts w:ascii="宋体" w:hAnsi="宋体" w:cs="宋体" w:eastAsia="宋体" w:hint="default"/>
                <w:sz w:val="18"/>
                <w:szCs w:val="18"/>
              </w:rPr>
            </w:pPr>
            <w:r>
              <w:rPr>
                <w:rFonts w:ascii="宋体" w:hAnsi="宋体" w:cs="宋体" w:eastAsia="宋体" w:hint="default"/>
                <w:spacing w:val="-3"/>
                <w:sz w:val="18"/>
                <w:szCs w:val="18"/>
              </w:rPr>
              <w:t>雨花区第二批软件产业综合</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发展专项资金</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250,000.00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250,000.00</w:t>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补助知识产权开发计划项目</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240,000.00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240,000.00</w:t>
            </w:r>
          </w:p>
        </w:tc>
      </w:tr>
      <w:tr>
        <w:trPr>
          <w:trHeight w:val="1027"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3"/>
              <w:ind w:left="105" w:right="108"/>
              <w:jc w:val="both"/>
              <w:rPr>
                <w:rFonts w:ascii="宋体" w:hAnsi="宋体" w:cs="宋体" w:eastAsia="宋体" w:hint="default"/>
                <w:sz w:val="18"/>
                <w:szCs w:val="18"/>
              </w:rPr>
            </w:pPr>
            <w:r>
              <w:rPr>
                <w:rFonts w:ascii="宋体" w:hAnsi="宋体" w:cs="宋体" w:eastAsia="宋体" w:hint="default"/>
                <w:spacing w:val="-3"/>
                <w:sz w:val="18"/>
                <w:szCs w:val="18"/>
              </w:rPr>
              <w:t>深圳市南山科学技术局大型</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pacing w:val="-3"/>
                <w:sz w:val="18"/>
                <w:szCs w:val="18"/>
              </w:rPr>
              <w:t>工业企业创新能力培育提升</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pacing w:val="-3"/>
                <w:sz w:val="18"/>
                <w:szCs w:val="18"/>
              </w:rPr>
              <w:t>支持计划项目资助款</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231,200.00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100"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231,200.00</w:t>
            </w:r>
          </w:p>
        </w:tc>
      </w:tr>
      <w:tr>
        <w:trPr>
          <w:trHeight w:val="1027"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3"/>
              <w:ind w:left="105" w:right="109"/>
              <w:jc w:val="left"/>
              <w:rPr>
                <w:rFonts w:ascii="宋体" w:hAnsi="宋体" w:cs="宋体" w:eastAsia="宋体" w:hint="default"/>
                <w:sz w:val="18"/>
                <w:szCs w:val="18"/>
              </w:rPr>
            </w:pPr>
            <w:r>
              <w:rPr>
                <w:rFonts w:ascii="宋体" w:hAnsi="宋体" w:cs="宋体" w:eastAsia="宋体" w:hint="default"/>
                <w:sz w:val="18"/>
                <w:szCs w:val="18"/>
              </w:rPr>
              <w:t>深圳市商务局</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年第一</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3"/>
                <w:sz w:val="18"/>
                <w:szCs w:val="18"/>
              </w:rPr>
              <w:t>季度出口信用保险资助项目</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款</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217,915.00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100"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217,915.00</w:t>
            </w:r>
          </w:p>
        </w:tc>
      </w:tr>
      <w:tr>
        <w:trPr>
          <w:trHeight w:val="398"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短期出口信用保险资助款</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217,900.00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217,900.00</w:t>
            </w:r>
          </w:p>
        </w:tc>
      </w:tr>
      <w:tr>
        <w:trPr>
          <w:trHeight w:val="1028"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4"/>
              <w:ind w:left="105" w:right="109"/>
              <w:jc w:val="left"/>
              <w:rPr>
                <w:rFonts w:ascii="宋体" w:hAnsi="宋体" w:cs="宋体" w:eastAsia="宋体" w:hint="default"/>
                <w:sz w:val="18"/>
                <w:szCs w:val="18"/>
              </w:rPr>
            </w:pPr>
            <w:r>
              <w:rPr>
                <w:rFonts w:ascii="宋体" w:hAnsi="宋体" w:cs="宋体" w:eastAsia="宋体" w:hint="default"/>
                <w:spacing w:val="-3"/>
                <w:sz w:val="18"/>
                <w:szCs w:val="18"/>
              </w:rPr>
              <w:t>深圳市经济贸易和信息化委</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员会庞振达</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pacing w:val="-3"/>
                <w:sz w:val="18"/>
                <w:szCs w:val="18"/>
              </w:rPr>
              <w:t>年度省级</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3"/>
                <w:sz w:val="18"/>
                <w:szCs w:val="18"/>
              </w:rPr>
              <w:t>亮化融合项目补助款</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200,000.00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1"/>
              <w:ind w:left="100"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200,000.00</w:t>
            </w:r>
          </w:p>
        </w:tc>
      </w:tr>
      <w:tr>
        <w:trPr>
          <w:trHeight w:val="715"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321" w:lineRule="auto" w:before="53"/>
              <w:ind w:left="105" w:right="109"/>
              <w:jc w:val="left"/>
              <w:rPr>
                <w:rFonts w:ascii="宋体" w:hAnsi="宋体" w:cs="宋体" w:eastAsia="宋体" w:hint="default"/>
                <w:sz w:val="18"/>
                <w:szCs w:val="18"/>
              </w:rPr>
            </w:pPr>
            <w:r>
              <w:rPr>
                <w:rFonts w:ascii="宋体" w:hAnsi="宋体" w:cs="宋体" w:eastAsia="宋体" w:hint="default"/>
                <w:spacing w:val="-3"/>
                <w:sz w:val="18"/>
                <w:szCs w:val="18"/>
              </w:rPr>
              <w:t>南山区鼓励中小企业上规模</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资助项目</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200,000.00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200,000.00</w:t>
            </w:r>
          </w:p>
        </w:tc>
      </w:tr>
      <w:tr>
        <w:trPr>
          <w:trHeight w:val="716"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4"/>
              <w:ind w:left="105" w:right="109"/>
              <w:jc w:val="left"/>
              <w:rPr>
                <w:rFonts w:ascii="宋体" w:hAnsi="宋体" w:cs="宋体" w:eastAsia="宋体" w:hint="default"/>
                <w:sz w:val="18"/>
                <w:szCs w:val="18"/>
              </w:rPr>
            </w:pPr>
            <w:r>
              <w:rPr>
                <w:rFonts w:ascii="宋体" w:hAnsi="宋体" w:cs="宋体" w:eastAsia="宋体" w:hint="default"/>
                <w:spacing w:val="-3"/>
                <w:sz w:val="18"/>
                <w:szCs w:val="18"/>
              </w:rPr>
              <w:t>福田政府综合贡献支出补助</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费</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200,000.00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200,000.00</w:t>
            </w:r>
          </w:p>
        </w:tc>
      </w:tr>
      <w:tr>
        <w:trPr>
          <w:trHeight w:val="398"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其他小额补助</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1,566,502.64</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1,566,502.64</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2）政府补助退回情况" w:id="426"/>
      <w:bookmarkEnd w:id="426"/>
      <w:r>
        <w:rPr>
          <w:b w:val="0"/>
          <w:bCs w:val="0"/>
        </w:rPr>
      </w:r>
      <w:r>
        <w:rPr/>
        <w:t>（</w:t>
      </w:r>
      <w:r>
        <w:rPr>
          <w:rFonts w:ascii="Times New Roman" w:hAnsi="Times New Roman" w:cs="Times New Roman" w:eastAsia="Times New Roman" w:hint="default"/>
        </w:rPr>
        <w:t>2</w:t>
      </w:r>
      <w:r>
        <w:rPr/>
        <w:t>）政府补助退回情况</w:t>
      </w:r>
      <w:r>
        <w:rPr>
          <w:b w:val="0"/>
          <w:bCs w:val="0"/>
        </w:rPr>
      </w:r>
    </w:p>
    <w:p>
      <w:pPr>
        <w:spacing w:line="240" w:lineRule="auto" w:before="1"/>
        <w:rPr>
          <w:rFonts w:ascii="宋体" w:hAnsi="宋体" w:cs="宋体" w:eastAsia="宋体" w:hint="default"/>
          <w:b/>
          <w:bCs/>
          <w:sz w:val="27"/>
          <w:szCs w:val="27"/>
        </w:rPr>
      </w:pPr>
    </w:p>
    <w:p>
      <w:pPr>
        <w:pStyle w:val="BodyText"/>
        <w:spacing w:line="357" w:lineRule="auto" w:before="0"/>
        <w:ind w:right="9217"/>
        <w:jc w:val="left"/>
      </w:pPr>
      <w:r>
        <w:rPr/>
        <w:t>□ </w:t>
      </w:r>
      <w:r>
        <w:rPr>
          <w:spacing w:val="-3"/>
        </w:rPr>
        <w:t>适用 </w:t>
      </w:r>
      <w:r>
        <w:rPr/>
        <w:t>√</w:t>
      </w:r>
      <w:r>
        <w:rPr>
          <w:spacing w:val="13"/>
        </w:rPr>
        <w:t> </w:t>
      </w:r>
      <w:r>
        <w:rPr/>
        <w:t>不适用</w:t>
      </w:r>
      <w:r>
        <w:rPr>
          <w:w w:val="101"/>
        </w:rPr>
        <w:t> </w:t>
      </w:r>
      <w:r>
        <w:rPr/>
        <w:t>其他说明：</w:t>
      </w:r>
    </w:p>
    <w:p>
      <w:pPr>
        <w:spacing w:after="0" w:line="357" w:lineRule="auto"/>
        <w:jc w:val="left"/>
        <w:sectPr>
          <w:pgSz w:w="11910" w:h="16840"/>
          <w:pgMar w:header="784" w:footer="1022" w:top="1100" w:bottom="1220" w:left="980" w:right="0"/>
        </w:sectPr>
      </w:pPr>
    </w:p>
    <w:p>
      <w:pPr>
        <w:spacing w:line="240" w:lineRule="auto" w:before="10"/>
        <w:rPr>
          <w:rFonts w:ascii="宋体" w:hAnsi="宋体" w:cs="宋体" w:eastAsia="宋体" w:hint="default"/>
          <w:sz w:val="22"/>
          <w:szCs w:val="22"/>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4"/>
        <w:spacing w:line="240" w:lineRule="auto" w:before="118"/>
        <w:ind w:right="0"/>
        <w:jc w:val="left"/>
        <w:rPr>
          <w:b w:val="0"/>
          <w:bCs w:val="0"/>
        </w:rPr>
      </w:pPr>
      <w:bookmarkStart w:name="85、其他" w:id="427"/>
      <w:bookmarkEnd w:id="427"/>
      <w:r>
        <w:rPr>
          <w:b w:val="0"/>
          <w:bCs w:val="0"/>
        </w:rPr>
      </w:r>
      <w:r>
        <w:rPr>
          <w:rFonts w:ascii="Times New Roman" w:hAnsi="Times New Roman" w:cs="Times New Roman" w:eastAsia="Times New Roman" w:hint="default"/>
        </w:rPr>
        <w:t>85</w:t>
      </w:r>
      <w:r>
        <w:rPr/>
        <w:t>、其他</w:t>
      </w:r>
      <w:r>
        <w:rPr>
          <w:b w:val="0"/>
          <w:bCs w:val="0"/>
        </w:rPr>
      </w:r>
    </w:p>
    <w:p>
      <w:pPr>
        <w:spacing w:line="240" w:lineRule="auto" w:before="5"/>
        <w:rPr>
          <w:rFonts w:ascii="宋体" w:hAnsi="宋体" w:cs="宋体" w:eastAsia="宋体" w:hint="default"/>
          <w:b/>
          <w:bCs/>
          <w:sz w:val="26"/>
          <w:szCs w:val="26"/>
        </w:rPr>
      </w:pPr>
    </w:p>
    <w:p>
      <w:pPr>
        <w:pStyle w:val="BodyText"/>
        <w:spacing w:line="240" w:lineRule="auto" w:before="0"/>
        <w:ind w:right="0"/>
        <w:jc w:val="left"/>
      </w:pPr>
      <w:r>
        <w:rPr/>
        <w:t>无。</w:t>
      </w:r>
    </w:p>
    <w:p>
      <w:pPr>
        <w:spacing w:line="240" w:lineRule="auto" w:before="9"/>
        <w:rPr>
          <w:rFonts w:ascii="宋体" w:hAnsi="宋体" w:cs="宋体" w:eastAsia="宋体" w:hint="default"/>
          <w:sz w:val="24"/>
          <w:szCs w:val="24"/>
        </w:rPr>
      </w:pPr>
    </w:p>
    <w:p>
      <w:pPr>
        <w:pStyle w:val="Heading2"/>
        <w:spacing w:line="240" w:lineRule="auto"/>
        <w:ind w:right="0"/>
        <w:jc w:val="left"/>
        <w:rPr>
          <w:b w:val="0"/>
          <w:bCs w:val="0"/>
        </w:rPr>
      </w:pPr>
      <w:bookmarkStart w:name="八、合并范围的变更" w:id="428"/>
      <w:bookmarkEnd w:id="428"/>
      <w:r>
        <w:rPr>
          <w:b w:val="0"/>
          <w:bCs w:val="0"/>
        </w:rPr>
      </w:r>
      <w:r>
        <w:rPr/>
        <w:t>八、合并范围的变更</w:t>
      </w:r>
      <w:r>
        <w:rPr>
          <w:b w:val="0"/>
          <w:bCs w:val="0"/>
        </w:rPr>
      </w:r>
    </w:p>
    <w:p>
      <w:pPr>
        <w:spacing w:line="240" w:lineRule="auto" w:before="3"/>
        <w:rPr>
          <w:rFonts w:ascii="宋体" w:hAnsi="宋体" w:cs="宋体" w:eastAsia="宋体" w:hint="default"/>
          <w:b/>
          <w:bCs/>
          <w:sz w:val="25"/>
          <w:szCs w:val="25"/>
        </w:rPr>
      </w:pPr>
    </w:p>
    <w:p>
      <w:pPr>
        <w:pStyle w:val="Heading4"/>
        <w:spacing w:line="240" w:lineRule="auto"/>
        <w:ind w:right="0"/>
        <w:jc w:val="left"/>
        <w:rPr>
          <w:b w:val="0"/>
          <w:bCs w:val="0"/>
        </w:rPr>
      </w:pPr>
      <w:bookmarkStart w:name="1、非同一控制下企业合并" w:id="429"/>
      <w:bookmarkEnd w:id="429"/>
      <w:r>
        <w:rPr>
          <w:b w:val="0"/>
          <w:bCs w:val="0"/>
        </w:rPr>
      </w:r>
      <w:r>
        <w:rPr>
          <w:rFonts w:ascii="Times New Roman" w:hAnsi="Times New Roman" w:cs="Times New Roman" w:eastAsia="Times New Roman" w:hint="default"/>
        </w:rPr>
        <w:t>1</w:t>
      </w:r>
      <w:r>
        <w:rPr/>
        <w:t>、非同一控制下企业合并</w:t>
      </w:r>
      <w:r>
        <w:rPr>
          <w:b w:val="0"/>
          <w:bCs w:val="0"/>
        </w:rPr>
      </w:r>
    </w:p>
    <w:p>
      <w:pPr>
        <w:spacing w:line="240" w:lineRule="auto" w:before="5"/>
        <w:rPr>
          <w:rFonts w:ascii="宋体" w:hAnsi="宋体" w:cs="宋体" w:eastAsia="宋体" w:hint="default"/>
          <w:b/>
          <w:bCs/>
          <w:sz w:val="24"/>
          <w:szCs w:val="24"/>
        </w:rPr>
      </w:pPr>
    </w:p>
    <w:p>
      <w:pPr>
        <w:pStyle w:val="Heading4"/>
        <w:spacing w:line="240" w:lineRule="auto"/>
        <w:ind w:right="0"/>
        <w:jc w:val="left"/>
        <w:rPr>
          <w:b w:val="0"/>
          <w:bCs w:val="0"/>
        </w:rPr>
      </w:pPr>
      <w:bookmarkStart w:name="（1）本期发生的非同一控制下企业合并" w:id="430"/>
      <w:bookmarkEnd w:id="430"/>
      <w:r>
        <w:rPr>
          <w:b w:val="0"/>
          <w:bCs w:val="0"/>
        </w:rPr>
      </w:r>
      <w:r>
        <w:rPr/>
        <w:t>（</w:t>
      </w:r>
      <w:r>
        <w:rPr>
          <w:rFonts w:ascii="Times New Roman" w:hAnsi="Times New Roman" w:cs="Times New Roman" w:eastAsia="Times New Roman" w:hint="default"/>
        </w:rPr>
        <w:t>1</w:t>
      </w:r>
      <w:r>
        <w:rPr/>
        <w:t>）本期发生的非同一控制下企业合并</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061"/>
        <w:gridCol w:w="1066"/>
        <w:gridCol w:w="1066"/>
        <w:gridCol w:w="1061"/>
        <w:gridCol w:w="1066"/>
        <w:gridCol w:w="1066"/>
        <w:gridCol w:w="1061"/>
        <w:gridCol w:w="1061"/>
        <w:gridCol w:w="1066"/>
      </w:tblGrid>
      <w:tr>
        <w:trPr>
          <w:trHeight w:val="1340" w:hRule="exact"/>
        </w:trPr>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21" w:lineRule="auto" w:before="131"/>
              <w:ind w:left="345" w:right="156" w:hanging="178"/>
              <w:jc w:val="left"/>
              <w:rPr>
                <w:rFonts w:ascii="宋体" w:hAnsi="宋体" w:cs="宋体" w:eastAsia="宋体" w:hint="default"/>
                <w:sz w:val="18"/>
                <w:szCs w:val="18"/>
              </w:rPr>
            </w:pPr>
            <w:r>
              <w:rPr>
                <w:rFonts w:ascii="宋体" w:hAnsi="宋体" w:cs="宋体" w:eastAsia="宋体" w:hint="default"/>
                <w:sz w:val="18"/>
                <w:szCs w:val="18"/>
              </w:rPr>
              <w:t>被购买方</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名称</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21" w:lineRule="auto" w:before="131"/>
              <w:ind w:left="350" w:right="161" w:hanging="183"/>
              <w:jc w:val="left"/>
              <w:rPr>
                <w:rFonts w:ascii="宋体" w:hAnsi="宋体" w:cs="宋体" w:eastAsia="宋体" w:hint="default"/>
                <w:sz w:val="18"/>
                <w:szCs w:val="18"/>
              </w:rPr>
            </w:pPr>
            <w:r>
              <w:rPr>
                <w:rFonts w:ascii="宋体" w:hAnsi="宋体" w:cs="宋体" w:eastAsia="宋体" w:hint="default"/>
                <w:sz w:val="18"/>
                <w:szCs w:val="18"/>
              </w:rPr>
              <w:t>股权取得</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时点</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21" w:lineRule="auto" w:before="131"/>
              <w:ind w:left="350" w:right="161" w:hanging="183"/>
              <w:jc w:val="left"/>
              <w:rPr>
                <w:rFonts w:ascii="宋体" w:hAnsi="宋体" w:cs="宋体" w:eastAsia="宋体" w:hint="default"/>
                <w:sz w:val="18"/>
                <w:szCs w:val="18"/>
              </w:rPr>
            </w:pPr>
            <w:r>
              <w:rPr>
                <w:rFonts w:ascii="宋体" w:hAnsi="宋体" w:cs="宋体" w:eastAsia="宋体" w:hint="default"/>
                <w:sz w:val="18"/>
                <w:szCs w:val="18"/>
              </w:rPr>
              <w:t>股权取得</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成本</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21" w:lineRule="auto" w:before="131"/>
              <w:ind w:left="350" w:right="156" w:hanging="183"/>
              <w:jc w:val="left"/>
              <w:rPr>
                <w:rFonts w:ascii="宋体" w:hAnsi="宋体" w:cs="宋体" w:eastAsia="宋体" w:hint="default"/>
                <w:sz w:val="18"/>
                <w:szCs w:val="18"/>
              </w:rPr>
            </w:pPr>
            <w:r>
              <w:rPr>
                <w:rFonts w:ascii="宋体" w:hAnsi="宋体" w:cs="宋体" w:eastAsia="宋体" w:hint="default"/>
                <w:sz w:val="18"/>
                <w:szCs w:val="18"/>
              </w:rPr>
              <w:t>股权取得</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比例</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21" w:lineRule="auto" w:before="131"/>
              <w:ind w:left="350" w:right="161" w:hanging="183"/>
              <w:jc w:val="left"/>
              <w:rPr>
                <w:rFonts w:ascii="宋体" w:hAnsi="宋体" w:cs="宋体" w:eastAsia="宋体" w:hint="default"/>
                <w:sz w:val="18"/>
                <w:szCs w:val="18"/>
              </w:rPr>
            </w:pPr>
            <w:r>
              <w:rPr>
                <w:rFonts w:ascii="宋体" w:hAnsi="宋体" w:cs="宋体" w:eastAsia="宋体" w:hint="default"/>
                <w:sz w:val="18"/>
                <w:szCs w:val="18"/>
              </w:rPr>
              <w:t>股权取得</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方式</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259" w:right="0"/>
              <w:jc w:val="left"/>
              <w:rPr>
                <w:rFonts w:ascii="宋体" w:hAnsi="宋体" w:cs="宋体" w:eastAsia="宋体" w:hint="default"/>
                <w:sz w:val="18"/>
                <w:szCs w:val="18"/>
              </w:rPr>
            </w:pPr>
            <w:r>
              <w:rPr>
                <w:rFonts w:ascii="宋体" w:hAnsi="宋体" w:cs="宋体" w:eastAsia="宋体" w:hint="default"/>
                <w:sz w:val="18"/>
                <w:szCs w:val="18"/>
              </w:rPr>
              <w:t>购买日</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21" w:lineRule="auto" w:before="131"/>
              <w:ind w:left="167" w:right="156"/>
              <w:jc w:val="left"/>
              <w:rPr>
                <w:rFonts w:ascii="宋体" w:hAnsi="宋体" w:cs="宋体" w:eastAsia="宋体" w:hint="default"/>
                <w:sz w:val="18"/>
                <w:szCs w:val="18"/>
              </w:rPr>
            </w:pPr>
            <w:r>
              <w:rPr>
                <w:rFonts w:ascii="宋体" w:hAnsi="宋体" w:cs="宋体" w:eastAsia="宋体" w:hint="default"/>
                <w:sz w:val="18"/>
                <w:szCs w:val="18"/>
              </w:rPr>
              <w:t>购买日的</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确定依据</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168" w:right="156"/>
              <w:jc w:val="center"/>
              <w:rPr>
                <w:rFonts w:ascii="宋体" w:hAnsi="宋体" w:cs="宋体" w:eastAsia="宋体" w:hint="default"/>
                <w:sz w:val="18"/>
                <w:szCs w:val="18"/>
              </w:rPr>
            </w:pPr>
            <w:r>
              <w:rPr>
                <w:rFonts w:ascii="宋体" w:hAnsi="宋体" w:cs="宋体" w:eastAsia="宋体" w:hint="default"/>
                <w:spacing w:val="-2"/>
                <w:sz w:val="18"/>
                <w:szCs w:val="18"/>
              </w:rPr>
              <w:t>购买日至</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2"/>
                <w:sz w:val="18"/>
                <w:szCs w:val="18"/>
              </w:rPr>
              <w:t>期末被购</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2"/>
                <w:sz w:val="18"/>
                <w:szCs w:val="18"/>
              </w:rPr>
              <w:t>买方的收</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入</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168" w:right="161"/>
              <w:jc w:val="center"/>
              <w:rPr>
                <w:rFonts w:ascii="宋体" w:hAnsi="宋体" w:cs="宋体" w:eastAsia="宋体" w:hint="default"/>
                <w:sz w:val="18"/>
                <w:szCs w:val="18"/>
              </w:rPr>
            </w:pPr>
            <w:r>
              <w:rPr>
                <w:rFonts w:ascii="宋体" w:hAnsi="宋体" w:cs="宋体" w:eastAsia="宋体" w:hint="default"/>
                <w:spacing w:val="-2"/>
                <w:sz w:val="18"/>
                <w:szCs w:val="18"/>
              </w:rPr>
              <w:t>购买日至</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2"/>
                <w:sz w:val="18"/>
                <w:szCs w:val="18"/>
              </w:rPr>
              <w:t>期末被购</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2"/>
                <w:sz w:val="18"/>
                <w:szCs w:val="18"/>
              </w:rPr>
              <w:t>买方的净</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利润</w:t>
            </w:r>
          </w:p>
        </w:tc>
      </w:tr>
    </w:tbl>
    <w:p>
      <w:pPr>
        <w:pStyle w:val="BodyText"/>
        <w:spacing w:line="357" w:lineRule="auto" w:before="53"/>
        <w:ind w:right="9861"/>
        <w:jc w:val="left"/>
      </w:pPr>
      <w:r>
        <w:rPr>
          <w:spacing w:val="-2"/>
        </w:rPr>
        <w:t>其他说明：</w:t>
      </w:r>
      <w:r>
        <w:rPr>
          <w:spacing w:val="-78"/>
        </w:rPr>
        <w:t> </w:t>
      </w:r>
      <w:r>
        <w:rPr>
          <w:spacing w:val="-78"/>
        </w:rPr>
      </w:r>
      <w:r>
        <w:rPr/>
        <w:t>无。</w:t>
      </w:r>
    </w:p>
    <w:p>
      <w:pPr>
        <w:spacing w:line="240" w:lineRule="auto" w:before="4"/>
        <w:rPr>
          <w:rFonts w:ascii="宋体" w:hAnsi="宋体" w:cs="宋体" w:eastAsia="宋体" w:hint="default"/>
          <w:sz w:val="20"/>
          <w:szCs w:val="20"/>
        </w:rPr>
      </w:pPr>
    </w:p>
    <w:p>
      <w:pPr>
        <w:pStyle w:val="Heading4"/>
        <w:spacing w:line="240" w:lineRule="auto"/>
        <w:ind w:right="0"/>
        <w:jc w:val="left"/>
        <w:rPr>
          <w:b w:val="0"/>
          <w:bCs w:val="0"/>
        </w:rPr>
      </w:pPr>
      <w:bookmarkStart w:name="（2）合并成本及商誉" w:id="431"/>
      <w:bookmarkEnd w:id="431"/>
      <w:r>
        <w:rPr>
          <w:b w:val="0"/>
          <w:bCs w:val="0"/>
        </w:rPr>
      </w:r>
      <w:r>
        <w:rPr/>
        <w:t>（</w:t>
      </w:r>
      <w:r>
        <w:rPr>
          <w:rFonts w:ascii="Times New Roman" w:hAnsi="Times New Roman" w:cs="Times New Roman" w:eastAsia="Times New Roman" w:hint="default"/>
        </w:rPr>
        <w:t>2</w:t>
      </w:r>
      <w:r>
        <w:rPr/>
        <w:t>）合并成本及商誉</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p>
      <w:pPr>
        <w:spacing w:line="417" w:lineRule="exact"/>
        <w:ind w:left="148"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9pt;height:20.9pt;mso-position-horizontal-relative:char;mso-position-vertical-relative:line" coordorigin="0,0" coordsize="9580,418">
            <v:group style="position:absolute;left:10;top:14;width:106;height:389" coordorigin="10,14" coordsize="106,389">
              <v:shape style="position:absolute;left:10;top:14;width:106;height:389" coordorigin="10,14" coordsize="106,389" path="m10,403l115,403,115,14,10,14,10,403xe" filled="true" fillcolor="#d2d2d2" stroked="false">
                <v:path arrowok="t"/>
                <v:fill type="solid"/>
              </v:shape>
            </v:group>
            <v:group style="position:absolute;left:4682;top:14;width:106;height:389" coordorigin="4682,14" coordsize="106,389">
              <v:shape style="position:absolute;left:4682;top:14;width:106;height:389" coordorigin="4682,14" coordsize="106,389" path="m4682,403l4788,403,4788,14,4682,14,4682,403xe" filled="true" fillcolor="#d2d2d2" stroked="false">
                <v:path arrowok="t"/>
                <v:fill type="solid"/>
              </v:shape>
            </v:group>
            <v:group style="position:absolute;left:115;top:14;width:4567;height:389" coordorigin="115,14" coordsize="4567,389">
              <v:shape style="position:absolute;left:115;top:14;width:4567;height:389" coordorigin="115,14" coordsize="4567,389" path="m115,403l4682,403,4682,14,115,14,115,403xe" filled="true" fillcolor="#d2d2d2" stroked="false">
                <v:path arrowok="t"/>
                <v:fill type="solid"/>
              </v:shape>
            </v:group>
            <v:group style="position:absolute;left:4797;top:14;width:101;height:389" coordorigin="4797,14" coordsize="101,389">
              <v:shape style="position:absolute;left:4797;top:14;width:101;height:389" coordorigin="4797,14" coordsize="101,389" path="m4797,403l4898,403,4898,14,4797,14,4797,403xe" filled="true" fillcolor="#d2d2d2" stroked="false">
                <v:path arrowok="t"/>
                <v:fill type="solid"/>
              </v:shape>
            </v:group>
            <v:group style="position:absolute;left:9469;top:14;width:106;height:389" coordorigin="9469,14" coordsize="106,389">
              <v:shape style="position:absolute;left:9469;top:14;width:106;height:389" coordorigin="9469,14" coordsize="106,389" path="m9469,403l9575,403,9575,14,9469,14,9469,403xe" filled="true" fillcolor="#d2d2d2" stroked="false">
                <v:path arrowok="t"/>
                <v:fill type="solid"/>
              </v:shape>
            </v:group>
            <v:group style="position:absolute;left:4898;top:14;width:4571;height:389" coordorigin="4898,14" coordsize="4571,389">
              <v:shape style="position:absolute;left:4898;top:14;width:4571;height:389" coordorigin="4898,14" coordsize="4571,389" path="m4898,403l9469,403,9469,14,4898,14,4898,403xe" filled="true" fillcolor="#d2d2d2" stroked="false">
                <v:path arrowok="t"/>
                <v:fill type="solid"/>
              </v:shape>
            </v:group>
            <v:group style="position:absolute;left:10;top:10;width:4778;height:2" coordorigin="10,10" coordsize="4778,2">
              <v:shape style="position:absolute;left:10;top:10;width:4778;height:2" coordorigin="10,10" coordsize="4778,0" path="m10,10l4788,10e" filled="false" stroked="true" strokeweight=".48001pt" strokecolor="#000000">
                <v:path arrowok="t"/>
              </v:shape>
            </v:group>
            <v:group style="position:absolute;left:4797;top:10;width:4773;height:2" coordorigin="4797,10" coordsize="4773,2">
              <v:shape style="position:absolute;left:4797;top:10;width:4773;height:2" coordorigin="4797,10" coordsize="4773,0" path="m4797,10l9570,10e" filled="false" stroked="true" strokeweight=".48001pt" strokecolor="#000000">
                <v:path arrowok="t"/>
              </v:shape>
            </v:group>
            <v:group style="position:absolute;left:5;top:5;width:2;height:408" coordorigin="5,5" coordsize="2,408">
              <v:shape style="position:absolute;left:5;top:5;width:2;height:408" coordorigin="5,5" coordsize="0,408" path="m5,5l5,413e" filled="false" stroked="true" strokeweight=".48pt" strokecolor="#000000">
                <v:path arrowok="t"/>
              </v:shape>
            </v:group>
            <v:group style="position:absolute;left:10;top:408;width:4778;height:2" coordorigin="10,408" coordsize="4778,2">
              <v:shape style="position:absolute;left:10;top:408;width:4778;height:2" coordorigin="10,408" coordsize="4778,0" path="m10,408l4788,408e" filled="false" stroked="true" strokeweight=".47998pt" strokecolor="#000000">
                <v:path arrowok="t"/>
              </v:shape>
            </v:group>
            <v:group style="position:absolute;left:4792;top:5;width:2;height:408" coordorigin="4792,5" coordsize="2,408">
              <v:shape style="position:absolute;left:4792;top:5;width:2;height:408" coordorigin="4792,5" coordsize="0,408" path="m4792,5l4792,413e" filled="false" stroked="true" strokeweight=".48001pt" strokecolor="#000000">
                <v:path arrowok="t"/>
              </v:shape>
            </v:group>
            <v:group style="position:absolute;left:4797;top:408;width:4773;height:2" coordorigin="4797,408" coordsize="4773,2">
              <v:shape style="position:absolute;left:4797;top:408;width:4773;height:2" coordorigin="4797,408" coordsize="4773,0" path="m4797,408l9570,408e" filled="false" stroked="true" strokeweight=".47998pt" strokecolor="#000000">
                <v:path arrowok="t"/>
              </v:shape>
            </v:group>
            <v:group style="position:absolute;left:9575;top:5;width:2;height:408" coordorigin="9575,5" coordsize="2,408">
              <v:shape style="position:absolute;left:9575;top:5;width:2;height:408" coordorigin="9575,5" coordsize="0,408" path="m9575,5l9575,413e" filled="false" stroked="true" strokeweight=".48004pt" strokecolor="#000000">
                <v:path arrowok="t"/>
              </v:shape>
              <v:shape style="position:absolute;left:5;top:10;width:4788;height:399" type="#_x0000_t202" filled="false" stroked="false">
                <v:textbox inset="0,0,0,0">
                  <w:txbxContent>
                    <w:p>
                      <w:pPr>
                        <w:spacing w:before="58"/>
                        <w:ind w:left="9" w:right="0" w:firstLine="0"/>
                        <w:jc w:val="center"/>
                        <w:rPr>
                          <w:rFonts w:ascii="宋体" w:hAnsi="宋体" w:cs="宋体" w:eastAsia="宋体" w:hint="default"/>
                          <w:sz w:val="18"/>
                          <w:szCs w:val="18"/>
                        </w:rPr>
                      </w:pPr>
                      <w:r>
                        <w:rPr>
                          <w:rFonts w:ascii="宋体" w:hAnsi="宋体" w:cs="宋体" w:eastAsia="宋体" w:hint="default"/>
                          <w:sz w:val="18"/>
                          <w:szCs w:val="18"/>
                        </w:rPr>
                        <w:t>合并成本</w:t>
                      </w:r>
                    </w:p>
                  </w:txbxContent>
                </v:textbox>
                <w10:wrap type="none"/>
              </v:shape>
            </v:group>
          </v:group>
        </w:pict>
      </w:r>
      <w:r>
        <w:rPr>
          <w:rFonts w:ascii="宋体" w:hAnsi="宋体" w:cs="宋体" w:eastAsia="宋体" w:hint="default"/>
          <w:position w:val="-7"/>
          <w:sz w:val="20"/>
          <w:szCs w:val="20"/>
        </w:rPr>
      </w:r>
    </w:p>
    <w:p>
      <w:pPr>
        <w:pStyle w:val="BodyText"/>
        <w:spacing w:line="357" w:lineRule="auto" w:before="50"/>
        <w:ind w:right="5829"/>
        <w:jc w:val="left"/>
      </w:pPr>
      <w:r>
        <w:rPr>
          <w:spacing w:val="-3"/>
        </w:rPr>
        <w:t>合并成本公允价值的确定方法、或有对价及其变动的说明：</w:t>
      </w:r>
      <w:r>
        <w:rPr>
          <w:spacing w:val="-10"/>
        </w:rPr>
        <w:t> </w:t>
      </w:r>
      <w:r>
        <w:rPr>
          <w:spacing w:val="-10"/>
        </w:rPr>
      </w:r>
      <w:r>
        <w:rPr/>
        <w:t>无。</w:t>
      </w:r>
    </w:p>
    <w:p>
      <w:pPr>
        <w:pStyle w:val="BodyText"/>
        <w:spacing w:line="357" w:lineRule="auto" w:before="31"/>
        <w:ind w:right="8587"/>
        <w:jc w:val="left"/>
      </w:pPr>
      <w:r>
        <w:rPr>
          <w:spacing w:val="-3"/>
        </w:rPr>
        <w:t>大额商誉形成的主要原因：</w:t>
      </w:r>
      <w:r>
        <w:rPr>
          <w:spacing w:val="-51"/>
        </w:rPr>
        <w:t> </w:t>
      </w:r>
      <w:r>
        <w:rPr>
          <w:spacing w:val="-51"/>
        </w:rPr>
      </w:r>
      <w:r>
        <w:rPr/>
        <w:t>无。</w:t>
      </w:r>
    </w:p>
    <w:p>
      <w:pPr>
        <w:pStyle w:val="BodyText"/>
        <w:spacing w:line="352" w:lineRule="auto" w:before="31"/>
        <w:ind w:right="9861"/>
        <w:jc w:val="left"/>
      </w:pPr>
      <w:r>
        <w:rPr>
          <w:spacing w:val="-2"/>
        </w:rPr>
        <w:t>其他说明：</w:t>
      </w:r>
      <w:r>
        <w:rPr>
          <w:spacing w:val="-78"/>
        </w:rPr>
        <w:t> </w:t>
      </w:r>
      <w:r>
        <w:rPr>
          <w:spacing w:val="-78"/>
        </w:rPr>
      </w:r>
      <w:r>
        <w:rPr/>
        <w:t>无。</w:t>
      </w:r>
    </w:p>
    <w:p>
      <w:pPr>
        <w:spacing w:line="240" w:lineRule="auto" w:before="7"/>
        <w:rPr>
          <w:rFonts w:ascii="宋体" w:hAnsi="宋体" w:cs="宋体" w:eastAsia="宋体" w:hint="default"/>
          <w:sz w:val="20"/>
          <w:szCs w:val="20"/>
        </w:rPr>
      </w:pPr>
    </w:p>
    <w:p>
      <w:pPr>
        <w:pStyle w:val="Heading4"/>
        <w:spacing w:line="240" w:lineRule="auto"/>
        <w:ind w:right="0"/>
        <w:jc w:val="left"/>
        <w:rPr>
          <w:b w:val="0"/>
          <w:bCs w:val="0"/>
        </w:rPr>
      </w:pPr>
      <w:bookmarkStart w:name="（3）被购买方于购买日可辨认资产、负债" w:id="432"/>
      <w:bookmarkEnd w:id="432"/>
      <w:r>
        <w:rPr>
          <w:b w:val="0"/>
          <w:bCs w:val="0"/>
        </w:rPr>
      </w:r>
      <w:r>
        <w:rPr/>
        <w:t>（</w:t>
      </w:r>
      <w:r>
        <w:rPr>
          <w:rFonts w:ascii="Times New Roman" w:hAnsi="Times New Roman" w:cs="Times New Roman" w:eastAsia="Times New Roman" w:hint="default"/>
        </w:rPr>
        <w:t>3</w:t>
      </w:r>
      <w:r>
        <w:rPr/>
        <w:t>）被购买方于购买日可辨认资产、负债</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93"/>
        <w:gridCol w:w="3189"/>
        <w:gridCol w:w="3193"/>
      </w:tblGrid>
      <w:tr>
        <w:trPr>
          <w:trHeight w:val="404" w:hRule="exact"/>
        </w:trPr>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6382" w:type="dxa"/>
            <w:gridSpan w:val="2"/>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60" w:right="0"/>
              <w:jc w:val="left"/>
              <w:rPr>
                <w:rFonts w:ascii="宋体" w:hAnsi="宋体" w:cs="宋体" w:eastAsia="宋体" w:hint="default"/>
                <w:sz w:val="18"/>
                <w:szCs w:val="18"/>
              </w:rPr>
            </w:pPr>
            <w:r>
              <w:rPr>
                <w:rFonts w:ascii="宋体" w:hAnsi="宋体" w:cs="宋体" w:eastAsia="宋体" w:hint="default"/>
                <w:spacing w:val="-3"/>
                <w:sz w:val="18"/>
                <w:szCs w:val="18"/>
              </w:rPr>
              <w:t>购买日公允价值</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65" w:right="0"/>
              <w:jc w:val="left"/>
              <w:rPr>
                <w:rFonts w:ascii="宋体" w:hAnsi="宋体" w:cs="宋体" w:eastAsia="宋体" w:hint="default"/>
                <w:sz w:val="18"/>
                <w:szCs w:val="18"/>
              </w:rPr>
            </w:pPr>
            <w:r>
              <w:rPr>
                <w:rFonts w:ascii="宋体" w:hAnsi="宋体" w:cs="宋体" w:eastAsia="宋体" w:hint="default"/>
                <w:spacing w:val="-3"/>
                <w:sz w:val="18"/>
                <w:szCs w:val="18"/>
              </w:rPr>
              <w:t>购买日账面价值</w:t>
            </w:r>
          </w:p>
        </w:tc>
      </w:tr>
    </w:tbl>
    <w:p>
      <w:pPr>
        <w:pStyle w:val="BodyText"/>
        <w:spacing w:line="357" w:lineRule="auto" w:before="56"/>
        <w:ind w:right="7513"/>
        <w:jc w:val="left"/>
      </w:pPr>
      <w:r>
        <w:rPr>
          <w:spacing w:val="-3"/>
        </w:rPr>
        <w:t>可辨认资产、负债公允价值的确定方法：</w:t>
      </w:r>
      <w:r>
        <w:rPr>
          <w:spacing w:val="-33"/>
        </w:rPr>
        <w:t> </w:t>
      </w:r>
      <w:r>
        <w:rPr>
          <w:spacing w:val="-33"/>
        </w:rPr>
      </w:r>
      <w:r>
        <w:rPr/>
        <w:t>无。</w:t>
      </w:r>
      <w:r>
        <w:rPr>
          <w:spacing w:val="-86"/>
        </w:rPr>
        <w:t> </w:t>
      </w:r>
      <w:r>
        <w:rPr>
          <w:spacing w:val="-3"/>
        </w:rPr>
        <w:t>企业合并中承担的被购买方的或有负债：</w:t>
      </w:r>
      <w:r>
        <w:rPr>
          <w:spacing w:val="-33"/>
        </w:rPr>
        <w:t> </w:t>
      </w:r>
      <w:r>
        <w:rPr>
          <w:spacing w:val="-33"/>
        </w:rPr>
      </w:r>
      <w:r>
        <w:rPr/>
        <w:t>无。</w:t>
      </w:r>
    </w:p>
    <w:p>
      <w:pPr>
        <w:pStyle w:val="BodyText"/>
        <w:spacing w:line="240" w:lineRule="auto" w:before="31"/>
        <w:ind w:right="0"/>
        <w:jc w:val="left"/>
      </w:pPr>
      <w:r>
        <w:rPr/>
        <w:t>其他说明：</w:t>
      </w:r>
    </w:p>
    <w:p>
      <w:pPr>
        <w:spacing w:after="0" w:line="240" w:lineRule="auto"/>
        <w:jc w:val="left"/>
        <w:sectPr>
          <w:pgSz w:w="11910" w:h="16840"/>
          <w:pgMar w:header="784" w:footer="1022" w:top="1100" w:bottom="1220" w:left="980" w:right="0"/>
        </w:sectPr>
      </w:pPr>
    </w:p>
    <w:p>
      <w:pPr>
        <w:spacing w:line="240" w:lineRule="auto" w:before="10"/>
        <w:rPr>
          <w:rFonts w:ascii="宋体" w:hAnsi="宋体" w:cs="宋体" w:eastAsia="宋体" w:hint="default"/>
          <w:sz w:val="22"/>
          <w:szCs w:val="22"/>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4"/>
        <w:spacing w:line="240" w:lineRule="auto" w:before="118"/>
        <w:ind w:right="0"/>
        <w:jc w:val="left"/>
        <w:rPr>
          <w:b w:val="0"/>
          <w:bCs w:val="0"/>
        </w:rPr>
      </w:pPr>
      <w:bookmarkStart w:name="（4）购买日之前持有的股权按照公允价值重新计量产生的利得或损失" w:id="433"/>
      <w:bookmarkEnd w:id="433"/>
      <w:r>
        <w:rPr>
          <w:b w:val="0"/>
          <w:bCs w:val="0"/>
        </w:rPr>
      </w:r>
      <w:r>
        <w:rPr/>
        <w:t>（</w:t>
      </w:r>
      <w:r>
        <w:rPr>
          <w:rFonts w:ascii="Times New Roman" w:hAnsi="Times New Roman" w:cs="Times New Roman" w:eastAsia="Times New Roman" w:hint="default"/>
        </w:rPr>
        <w:t>4</w:t>
      </w:r>
      <w:r>
        <w:rPr/>
        <w:t>）购买日之前持有的股权按照公允价值重新计量产生的利得或损失</w:t>
      </w:r>
      <w:r>
        <w:rPr>
          <w:b w:val="0"/>
          <w:bCs w:val="0"/>
        </w:rPr>
      </w:r>
    </w:p>
    <w:p>
      <w:pPr>
        <w:spacing w:line="240" w:lineRule="auto" w:before="10"/>
        <w:rPr>
          <w:rFonts w:ascii="宋体" w:hAnsi="宋体" w:cs="宋体" w:eastAsia="宋体" w:hint="default"/>
          <w:b/>
          <w:bCs/>
          <w:sz w:val="26"/>
          <w:szCs w:val="26"/>
        </w:rPr>
      </w:pPr>
    </w:p>
    <w:p>
      <w:pPr>
        <w:pStyle w:val="BodyText"/>
        <w:spacing w:line="240" w:lineRule="auto" w:before="0"/>
        <w:ind w:right="0"/>
        <w:jc w:val="left"/>
      </w:pPr>
      <w:r>
        <w:rPr>
          <w:spacing w:val="-3"/>
        </w:rPr>
        <w:t>是否存在通过多次交易分步实现企业合并且在报告期内取得控制权的交易</w:t>
      </w:r>
    </w:p>
    <w:p>
      <w:pPr>
        <w:pStyle w:val="BodyText"/>
        <w:spacing w:line="240" w:lineRule="auto" w:before="119"/>
        <w:ind w:right="0"/>
        <w:jc w:val="left"/>
      </w:pPr>
      <w:r>
        <w:rPr/>
        <w:t>□ 是 √</w:t>
      </w:r>
      <w:r>
        <w:rPr>
          <w:spacing w:val="2"/>
        </w:rPr>
        <w:t> </w:t>
      </w:r>
      <w:r>
        <w:rPr/>
        <w:t>否</w:t>
      </w:r>
    </w:p>
    <w:p>
      <w:pPr>
        <w:spacing w:line="240" w:lineRule="auto" w:before="4"/>
        <w:rPr>
          <w:rFonts w:ascii="宋体" w:hAnsi="宋体" w:cs="宋体" w:eastAsia="宋体" w:hint="default"/>
          <w:sz w:val="26"/>
          <w:szCs w:val="26"/>
        </w:rPr>
      </w:pPr>
    </w:p>
    <w:p>
      <w:pPr>
        <w:pStyle w:val="Heading4"/>
        <w:spacing w:line="240" w:lineRule="auto"/>
        <w:ind w:right="0"/>
        <w:jc w:val="left"/>
        <w:rPr>
          <w:b w:val="0"/>
          <w:bCs w:val="0"/>
        </w:rPr>
      </w:pPr>
      <w:bookmarkStart w:name="（5）购买日或合并当期期末无法合理确定合并对价或被购买方可辨认资产、负债公允价值" w:id="434"/>
      <w:bookmarkEnd w:id="434"/>
      <w:r>
        <w:rPr>
          <w:b w:val="0"/>
          <w:bCs w:val="0"/>
        </w:rPr>
      </w:r>
      <w:r>
        <w:rPr/>
        <w:t>（</w:t>
      </w:r>
      <w:r>
        <w:rPr>
          <w:rFonts w:ascii="Times New Roman" w:hAnsi="Times New Roman" w:cs="Times New Roman" w:eastAsia="Times New Roman" w:hint="default"/>
        </w:rPr>
        <w:t>5</w:t>
      </w:r>
      <w:r>
        <w:rPr/>
        <w:t>）购买日或合并当期期末无法合理确定合并对价或被购买方可辨认资产、负债公允价值的相关说明</w:t>
      </w:r>
      <w:r>
        <w:rPr>
          <w:b w:val="0"/>
          <w:bCs w:val="0"/>
        </w:rPr>
      </w:r>
    </w:p>
    <w:p>
      <w:pPr>
        <w:spacing w:line="240" w:lineRule="auto" w:before="9"/>
        <w:rPr>
          <w:rFonts w:ascii="宋体" w:hAnsi="宋体" w:cs="宋体" w:eastAsia="宋体" w:hint="default"/>
          <w:b/>
          <w:bCs/>
          <w:sz w:val="26"/>
          <w:szCs w:val="26"/>
        </w:rPr>
      </w:pPr>
    </w:p>
    <w:p>
      <w:pPr>
        <w:pStyle w:val="BodyText"/>
        <w:spacing w:line="240" w:lineRule="auto" w:before="0"/>
        <w:ind w:right="0"/>
        <w:jc w:val="left"/>
      </w:pPr>
      <w:r>
        <w:rPr/>
        <w:t>无。</w:t>
      </w:r>
    </w:p>
    <w:p>
      <w:pPr>
        <w:spacing w:line="240" w:lineRule="auto" w:before="0"/>
        <w:rPr>
          <w:rFonts w:ascii="宋体" w:hAnsi="宋体" w:cs="宋体" w:eastAsia="宋体" w:hint="default"/>
          <w:sz w:val="18"/>
          <w:szCs w:val="18"/>
        </w:rPr>
      </w:pPr>
    </w:p>
    <w:p>
      <w:pPr>
        <w:pStyle w:val="Heading4"/>
        <w:spacing w:line="240" w:lineRule="auto" w:before="118"/>
        <w:ind w:right="0"/>
        <w:jc w:val="left"/>
        <w:rPr>
          <w:b w:val="0"/>
          <w:bCs w:val="0"/>
        </w:rPr>
      </w:pPr>
      <w:bookmarkStart w:name="（6）其他说明" w:id="435"/>
      <w:bookmarkEnd w:id="435"/>
      <w:r>
        <w:rPr>
          <w:b w:val="0"/>
          <w:bCs w:val="0"/>
        </w:rPr>
      </w:r>
      <w:r>
        <w:rPr/>
        <w:t>（</w:t>
      </w:r>
      <w:r>
        <w:rPr>
          <w:rFonts w:ascii="Times New Roman" w:hAnsi="Times New Roman" w:cs="Times New Roman" w:eastAsia="Times New Roman" w:hint="default"/>
        </w:rPr>
        <w:t>6</w:t>
      </w:r>
      <w:r>
        <w:rPr/>
        <w:t>）其他说明</w:t>
      </w:r>
      <w:r>
        <w:rPr>
          <w:b w:val="0"/>
          <w:bCs w:val="0"/>
        </w:rPr>
      </w:r>
    </w:p>
    <w:p>
      <w:pPr>
        <w:spacing w:line="240" w:lineRule="auto" w:before="4"/>
        <w:rPr>
          <w:rFonts w:ascii="宋体" w:hAnsi="宋体" w:cs="宋体" w:eastAsia="宋体" w:hint="default"/>
          <w:b/>
          <w:bCs/>
          <w:sz w:val="26"/>
          <w:szCs w:val="26"/>
        </w:rPr>
      </w:pPr>
    </w:p>
    <w:p>
      <w:pPr>
        <w:pStyle w:val="BodyText"/>
        <w:spacing w:line="240" w:lineRule="auto" w:before="0"/>
        <w:ind w:right="0"/>
        <w:jc w:val="left"/>
      </w:pPr>
      <w:r>
        <w:rPr/>
        <w:t>无。</w:t>
      </w:r>
    </w:p>
    <w:p>
      <w:pPr>
        <w:spacing w:line="240" w:lineRule="auto" w:before="0"/>
        <w:rPr>
          <w:rFonts w:ascii="宋体" w:hAnsi="宋体" w:cs="宋体" w:eastAsia="宋体" w:hint="default"/>
          <w:sz w:val="18"/>
          <w:szCs w:val="18"/>
        </w:rPr>
      </w:pPr>
    </w:p>
    <w:p>
      <w:pPr>
        <w:pStyle w:val="Heading4"/>
        <w:spacing w:line="240" w:lineRule="auto" w:before="118"/>
        <w:ind w:right="0"/>
        <w:jc w:val="left"/>
        <w:rPr>
          <w:b w:val="0"/>
          <w:bCs w:val="0"/>
        </w:rPr>
      </w:pPr>
      <w:bookmarkStart w:name="2、同一控制下企业合并" w:id="436"/>
      <w:bookmarkEnd w:id="436"/>
      <w:r>
        <w:rPr>
          <w:b w:val="0"/>
          <w:bCs w:val="0"/>
        </w:rPr>
      </w:r>
      <w:r>
        <w:rPr>
          <w:rFonts w:ascii="Times New Roman" w:hAnsi="Times New Roman" w:cs="Times New Roman" w:eastAsia="Times New Roman" w:hint="default"/>
        </w:rPr>
        <w:t>2</w:t>
      </w:r>
      <w:r>
        <w:rPr/>
        <w:t>、同一控制下企业合并</w:t>
      </w:r>
      <w:r>
        <w:rPr>
          <w:b w:val="0"/>
          <w:bCs w:val="0"/>
        </w:rPr>
      </w:r>
    </w:p>
    <w:p>
      <w:pPr>
        <w:spacing w:line="240" w:lineRule="auto" w:before="5"/>
        <w:rPr>
          <w:rFonts w:ascii="宋体" w:hAnsi="宋体" w:cs="宋体" w:eastAsia="宋体" w:hint="default"/>
          <w:b/>
          <w:bCs/>
          <w:sz w:val="24"/>
          <w:szCs w:val="24"/>
        </w:rPr>
      </w:pPr>
    </w:p>
    <w:p>
      <w:pPr>
        <w:pStyle w:val="Heading4"/>
        <w:spacing w:line="240" w:lineRule="auto"/>
        <w:ind w:right="0"/>
        <w:jc w:val="left"/>
        <w:rPr>
          <w:b w:val="0"/>
          <w:bCs w:val="0"/>
        </w:rPr>
      </w:pPr>
      <w:bookmarkStart w:name="（1）本期发生的同一控制下企业合并" w:id="437"/>
      <w:bookmarkEnd w:id="437"/>
      <w:r>
        <w:rPr>
          <w:b w:val="0"/>
          <w:bCs w:val="0"/>
        </w:rPr>
      </w:r>
      <w:r>
        <w:rPr/>
        <w:t>（</w:t>
      </w:r>
      <w:r>
        <w:rPr>
          <w:rFonts w:ascii="Times New Roman" w:hAnsi="Times New Roman" w:cs="Times New Roman" w:eastAsia="Times New Roman" w:hint="default"/>
        </w:rPr>
        <w:t>1</w:t>
      </w:r>
      <w:r>
        <w:rPr/>
        <w:t>）本期发生的同一控制下企业合并</w:t>
      </w:r>
      <w:r>
        <w:rPr>
          <w:b w:val="0"/>
          <w:bCs w:val="0"/>
        </w:rPr>
      </w:r>
    </w:p>
    <w:p>
      <w:pPr>
        <w:spacing w:line="240" w:lineRule="auto" w:before="1"/>
        <w:rPr>
          <w:rFonts w:ascii="宋体" w:hAnsi="宋体" w:cs="宋体" w:eastAsia="宋体" w:hint="default"/>
          <w:b/>
          <w:bCs/>
          <w:sz w:val="27"/>
          <w:szCs w:val="27"/>
        </w:rPr>
      </w:pPr>
    </w:p>
    <w:p>
      <w:pPr>
        <w:pStyle w:val="BodyText"/>
        <w:spacing w:line="240" w:lineRule="auto" w:before="0"/>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061"/>
        <w:gridCol w:w="1061"/>
        <w:gridCol w:w="1066"/>
        <w:gridCol w:w="1061"/>
        <w:gridCol w:w="1066"/>
        <w:gridCol w:w="1066"/>
        <w:gridCol w:w="1061"/>
        <w:gridCol w:w="1066"/>
        <w:gridCol w:w="1066"/>
      </w:tblGrid>
      <w:tr>
        <w:trPr>
          <w:trHeight w:val="1647" w:hRule="exact"/>
        </w:trPr>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345" w:right="156" w:hanging="178"/>
              <w:jc w:val="left"/>
              <w:rPr>
                <w:rFonts w:ascii="宋体" w:hAnsi="宋体" w:cs="宋体" w:eastAsia="宋体" w:hint="default"/>
                <w:sz w:val="18"/>
                <w:szCs w:val="18"/>
              </w:rPr>
            </w:pPr>
            <w:r>
              <w:rPr>
                <w:rFonts w:ascii="宋体" w:hAnsi="宋体" w:cs="宋体" w:eastAsia="宋体" w:hint="default"/>
                <w:sz w:val="18"/>
                <w:szCs w:val="18"/>
              </w:rPr>
              <w:t>被合并方</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名称</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30"/>
              <w:ind w:left="168" w:right="156"/>
              <w:jc w:val="both"/>
              <w:rPr>
                <w:rFonts w:ascii="宋体" w:hAnsi="宋体" w:cs="宋体" w:eastAsia="宋体" w:hint="default"/>
                <w:sz w:val="18"/>
                <w:szCs w:val="18"/>
              </w:rPr>
            </w:pPr>
            <w:r>
              <w:rPr>
                <w:rFonts w:ascii="宋体" w:hAnsi="宋体" w:cs="宋体" w:eastAsia="宋体" w:hint="default"/>
                <w:sz w:val="18"/>
                <w:szCs w:val="18"/>
              </w:rPr>
              <w:t>企业合并</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中取得的</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权益比例</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67" w:right="161"/>
              <w:jc w:val="center"/>
              <w:rPr>
                <w:rFonts w:ascii="宋体" w:hAnsi="宋体" w:cs="宋体" w:eastAsia="宋体" w:hint="default"/>
                <w:sz w:val="18"/>
                <w:szCs w:val="18"/>
              </w:rPr>
            </w:pPr>
            <w:r>
              <w:rPr>
                <w:rFonts w:ascii="宋体" w:hAnsi="宋体" w:cs="宋体" w:eastAsia="宋体" w:hint="default"/>
                <w:spacing w:val="-2"/>
                <w:sz w:val="18"/>
                <w:szCs w:val="18"/>
              </w:rPr>
              <w:t>构成同一</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2"/>
                <w:sz w:val="18"/>
                <w:szCs w:val="18"/>
              </w:rPr>
              <w:t>控制下企</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2"/>
                <w:sz w:val="18"/>
                <w:szCs w:val="18"/>
              </w:rPr>
              <w:t>业合并的</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依据</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55" w:right="0"/>
              <w:jc w:val="left"/>
              <w:rPr>
                <w:rFonts w:ascii="宋体" w:hAnsi="宋体" w:cs="宋体" w:eastAsia="宋体" w:hint="default"/>
                <w:sz w:val="18"/>
                <w:szCs w:val="18"/>
              </w:rPr>
            </w:pPr>
            <w:r>
              <w:rPr>
                <w:rFonts w:ascii="宋体" w:hAnsi="宋体" w:cs="宋体" w:eastAsia="宋体" w:hint="default"/>
                <w:sz w:val="18"/>
                <w:szCs w:val="18"/>
              </w:rPr>
              <w:t>合并日</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167" w:right="161"/>
              <w:jc w:val="left"/>
              <w:rPr>
                <w:rFonts w:ascii="宋体" w:hAnsi="宋体" w:cs="宋体" w:eastAsia="宋体" w:hint="default"/>
                <w:sz w:val="18"/>
                <w:szCs w:val="18"/>
              </w:rPr>
            </w:pPr>
            <w:r>
              <w:rPr>
                <w:rFonts w:ascii="宋体" w:hAnsi="宋体" w:cs="宋体" w:eastAsia="宋体" w:hint="default"/>
                <w:sz w:val="18"/>
                <w:szCs w:val="18"/>
              </w:rPr>
              <w:t>合并日的</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确定依据</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68" w:right="161"/>
              <w:jc w:val="center"/>
              <w:rPr>
                <w:rFonts w:ascii="宋体" w:hAnsi="宋体" w:cs="宋体" w:eastAsia="宋体" w:hint="default"/>
                <w:sz w:val="18"/>
                <w:szCs w:val="18"/>
              </w:rPr>
            </w:pPr>
            <w:r>
              <w:rPr>
                <w:rFonts w:ascii="宋体" w:hAnsi="宋体" w:cs="宋体" w:eastAsia="宋体" w:hint="default"/>
                <w:spacing w:val="-2"/>
                <w:sz w:val="18"/>
                <w:szCs w:val="18"/>
              </w:rPr>
              <w:t>合并当期</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2"/>
                <w:sz w:val="18"/>
                <w:szCs w:val="18"/>
              </w:rPr>
              <w:t>期初至合</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2"/>
                <w:sz w:val="18"/>
                <w:szCs w:val="18"/>
              </w:rPr>
              <w:t>并日被合</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2"/>
                <w:sz w:val="18"/>
                <w:szCs w:val="18"/>
              </w:rPr>
              <w:t>并方的收</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入</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63" w:right="161"/>
              <w:jc w:val="center"/>
              <w:rPr>
                <w:rFonts w:ascii="宋体" w:hAnsi="宋体" w:cs="宋体" w:eastAsia="宋体" w:hint="default"/>
                <w:sz w:val="18"/>
                <w:szCs w:val="18"/>
              </w:rPr>
            </w:pPr>
            <w:r>
              <w:rPr>
                <w:rFonts w:ascii="宋体" w:hAnsi="宋体" w:cs="宋体" w:eastAsia="宋体" w:hint="default"/>
                <w:spacing w:val="-2"/>
                <w:sz w:val="18"/>
                <w:szCs w:val="18"/>
              </w:rPr>
              <w:t>合并当期</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2"/>
                <w:sz w:val="18"/>
                <w:szCs w:val="18"/>
              </w:rPr>
              <w:t>期初至合</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2"/>
                <w:sz w:val="18"/>
                <w:szCs w:val="18"/>
              </w:rPr>
              <w:t>并日被合</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2"/>
                <w:sz w:val="18"/>
                <w:szCs w:val="18"/>
              </w:rPr>
              <w:t>并方的净</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利润</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30"/>
              <w:ind w:left="167" w:right="161"/>
              <w:jc w:val="both"/>
              <w:rPr>
                <w:rFonts w:ascii="宋体" w:hAnsi="宋体" w:cs="宋体" w:eastAsia="宋体" w:hint="default"/>
                <w:sz w:val="18"/>
                <w:szCs w:val="18"/>
              </w:rPr>
            </w:pPr>
            <w:r>
              <w:rPr>
                <w:rFonts w:ascii="宋体" w:hAnsi="宋体" w:cs="宋体" w:eastAsia="宋体" w:hint="default"/>
                <w:sz w:val="18"/>
                <w:szCs w:val="18"/>
              </w:rPr>
              <w:t>比较期间</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被合并方</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的收入</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30"/>
              <w:ind w:left="168" w:right="161"/>
              <w:jc w:val="both"/>
              <w:rPr>
                <w:rFonts w:ascii="宋体" w:hAnsi="宋体" w:cs="宋体" w:eastAsia="宋体" w:hint="default"/>
                <w:sz w:val="18"/>
                <w:szCs w:val="18"/>
              </w:rPr>
            </w:pPr>
            <w:r>
              <w:rPr>
                <w:rFonts w:ascii="宋体" w:hAnsi="宋体" w:cs="宋体" w:eastAsia="宋体" w:hint="default"/>
                <w:sz w:val="18"/>
                <w:szCs w:val="18"/>
              </w:rPr>
              <w:t>比较期间</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被合并方</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的净利润</w:t>
            </w:r>
          </w:p>
        </w:tc>
      </w:tr>
    </w:tbl>
    <w:p>
      <w:pPr>
        <w:pStyle w:val="BodyText"/>
        <w:spacing w:line="357" w:lineRule="auto" w:before="53"/>
        <w:ind w:right="9861"/>
        <w:jc w:val="left"/>
      </w:pPr>
      <w:r>
        <w:rPr>
          <w:spacing w:val="-2"/>
        </w:rPr>
        <w:t>其他说明：</w:t>
      </w:r>
      <w:r>
        <w:rPr>
          <w:spacing w:val="-78"/>
        </w:rPr>
        <w:t> </w:t>
      </w:r>
      <w:r>
        <w:rPr>
          <w:spacing w:val="-78"/>
        </w:rPr>
      </w:r>
      <w:r>
        <w:rPr/>
        <w:t>无。</w:t>
      </w:r>
    </w:p>
    <w:p>
      <w:pPr>
        <w:spacing w:line="240" w:lineRule="auto" w:before="3"/>
        <w:rPr>
          <w:rFonts w:ascii="宋体" w:hAnsi="宋体" w:cs="宋体" w:eastAsia="宋体" w:hint="default"/>
          <w:sz w:val="20"/>
          <w:szCs w:val="20"/>
        </w:rPr>
      </w:pPr>
    </w:p>
    <w:p>
      <w:pPr>
        <w:pStyle w:val="Heading4"/>
        <w:spacing w:line="240" w:lineRule="auto"/>
        <w:ind w:right="0"/>
        <w:jc w:val="left"/>
        <w:rPr>
          <w:b w:val="0"/>
          <w:bCs w:val="0"/>
        </w:rPr>
      </w:pPr>
      <w:bookmarkStart w:name="（2）合并成本" w:id="438"/>
      <w:bookmarkEnd w:id="438"/>
      <w:r>
        <w:rPr>
          <w:b w:val="0"/>
          <w:bCs w:val="0"/>
        </w:rPr>
      </w:r>
      <w:r>
        <w:rPr/>
        <w:t>（</w:t>
      </w:r>
      <w:r>
        <w:rPr>
          <w:rFonts w:ascii="Times New Roman" w:hAnsi="Times New Roman" w:cs="Times New Roman" w:eastAsia="Times New Roman" w:hint="default"/>
        </w:rPr>
        <w:t>2</w:t>
      </w:r>
      <w:r>
        <w:rPr/>
        <w:t>）合并成本</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p>
      <w:pPr>
        <w:spacing w:line="417" w:lineRule="exact"/>
        <w:ind w:left="148"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9pt;height:20.9pt;mso-position-horizontal-relative:char;mso-position-vertical-relative:line" coordorigin="0,0" coordsize="9580,418">
            <v:group style="position:absolute;left:10;top:14;width:106;height:389" coordorigin="10,14" coordsize="106,389">
              <v:shape style="position:absolute;left:10;top:14;width:106;height:389" coordorigin="10,14" coordsize="106,389" path="m10,403l115,403,115,14,10,14,10,403xe" filled="true" fillcolor="#d2d2d2" stroked="false">
                <v:path arrowok="t"/>
                <v:fill type="solid"/>
              </v:shape>
            </v:group>
            <v:group style="position:absolute;left:4682;top:14;width:106;height:389" coordorigin="4682,14" coordsize="106,389">
              <v:shape style="position:absolute;left:4682;top:14;width:106;height:389" coordorigin="4682,14" coordsize="106,389" path="m4682,403l4788,403,4788,14,4682,14,4682,403xe" filled="true" fillcolor="#d2d2d2" stroked="false">
                <v:path arrowok="t"/>
                <v:fill type="solid"/>
              </v:shape>
            </v:group>
            <v:group style="position:absolute;left:115;top:14;width:4567;height:389" coordorigin="115,14" coordsize="4567,389">
              <v:shape style="position:absolute;left:115;top:14;width:4567;height:389" coordorigin="115,14" coordsize="4567,389" path="m115,403l4682,403,4682,14,115,14,115,403xe" filled="true" fillcolor="#d2d2d2" stroked="false">
                <v:path arrowok="t"/>
                <v:fill type="solid"/>
              </v:shape>
            </v:group>
            <v:group style="position:absolute;left:4797;top:14;width:101;height:389" coordorigin="4797,14" coordsize="101,389">
              <v:shape style="position:absolute;left:4797;top:14;width:101;height:389" coordorigin="4797,14" coordsize="101,389" path="m4797,403l4898,403,4898,14,4797,14,4797,403xe" filled="true" fillcolor="#d2d2d2" stroked="false">
                <v:path arrowok="t"/>
                <v:fill type="solid"/>
              </v:shape>
            </v:group>
            <v:group style="position:absolute;left:9469;top:14;width:106;height:389" coordorigin="9469,14" coordsize="106,389">
              <v:shape style="position:absolute;left:9469;top:14;width:106;height:389" coordorigin="9469,14" coordsize="106,389" path="m9469,403l9575,403,9575,14,9469,14,9469,403xe" filled="true" fillcolor="#d2d2d2" stroked="false">
                <v:path arrowok="t"/>
                <v:fill type="solid"/>
              </v:shape>
            </v:group>
            <v:group style="position:absolute;left:4898;top:14;width:4571;height:389" coordorigin="4898,14" coordsize="4571,389">
              <v:shape style="position:absolute;left:4898;top:14;width:4571;height:389" coordorigin="4898,14" coordsize="4571,389" path="m4898,403l9469,403,9469,14,4898,14,4898,403xe" filled="true" fillcolor="#d2d2d2" stroked="false">
                <v:path arrowok="t"/>
                <v:fill type="solid"/>
              </v:shape>
            </v:group>
            <v:group style="position:absolute;left:10;top:10;width:4778;height:2" coordorigin="10,10" coordsize="4778,2">
              <v:shape style="position:absolute;left:10;top:10;width:4778;height:2" coordorigin="10,10" coordsize="4778,0" path="m10,10l4788,10e" filled="false" stroked="true" strokeweight=".47998pt" strokecolor="#000000">
                <v:path arrowok="t"/>
              </v:shape>
            </v:group>
            <v:group style="position:absolute;left:4797;top:10;width:4773;height:2" coordorigin="4797,10" coordsize="4773,2">
              <v:shape style="position:absolute;left:4797;top:10;width:4773;height:2" coordorigin="4797,10" coordsize="4773,0" path="m4797,10l9570,10e" filled="false" stroked="true" strokeweight=".47998pt" strokecolor="#000000">
                <v:path arrowok="t"/>
              </v:shape>
            </v:group>
            <v:group style="position:absolute;left:5;top:5;width:2;height:408" coordorigin="5,5" coordsize="2,408">
              <v:shape style="position:absolute;left:5;top:5;width:2;height:408" coordorigin="5,5" coordsize="0,408" path="m5,5l5,413e" filled="false" stroked="true" strokeweight=".48pt" strokecolor="#000000">
                <v:path arrowok="t"/>
              </v:shape>
            </v:group>
            <v:group style="position:absolute;left:10;top:408;width:4778;height:2" coordorigin="10,408" coordsize="4778,2">
              <v:shape style="position:absolute;left:10;top:408;width:4778;height:2" coordorigin="10,408" coordsize="4778,0" path="m10,408l4788,408e" filled="false" stroked="true" strokeweight=".48004pt" strokecolor="#000000">
                <v:path arrowok="t"/>
              </v:shape>
            </v:group>
            <v:group style="position:absolute;left:4792;top:5;width:2;height:408" coordorigin="4792,5" coordsize="2,408">
              <v:shape style="position:absolute;left:4792;top:5;width:2;height:408" coordorigin="4792,5" coordsize="0,408" path="m4792,5l4792,413e" filled="false" stroked="true" strokeweight=".48001pt" strokecolor="#000000">
                <v:path arrowok="t"/>
              </v:shape>
            </v:group>
            <v:group style="position:absolute;left:4797;top:408;width:4773;height:2" coordorigin="4797,408" coordsize="4773,2">
              <v:shape style="position:absolute;left:4797;top:408;width:4773;height:2" coordorigin="4797,408" coordsize="4773,0" path="m4797,408l9570,408e" filled="false" stroked="true" strokeweight=".48004pt" strokecolor="#000000">
                <v:path arrowok="t"/>
              </v:shape>
            </v:group>
            <v:group style="position:absolute;left:9575;top:5;width:2;height:408" coordorigin="9575,5" coordsize="2,408">
              <v:shape style="position:absolute;left:9575;top:5;width:2;height:408" coordorigin="9575,5" coordsize="0,408" path="m9575,5l9575,413e" filled="false" stroked="true" strokeweight=".48004pt" strokecolor="#000000">
                <v:path arrowok="t"/>
              </v:shape>
              <v:shape style="position:absolute;left:5;top:10;width:4788;height:399" type="#_x0000_t202" filled="false" stroked="false">
                <v:textbox inset="0,0,0,0">
                  <w:txbxContent>
                    <w:p>
                      <w:pPr>
                        <w:spacing w:before="58"/>
                        <w:ind w:left="9" w:right="0" w:firstLine="0"/>
                        <w:jc w:val="center"/>
                        <w:rPr>
                          <w:rFonts w:ascii="宋体" w:hAnsi="宋体" w:cs="宋体" w:eastAsia="宋体" w:hint="default"/>
                          <w:sz w:val="18"/>
                          <w:szCs w:val="18"/>
                        </w:rPr>
                      </w:pPr>
                      <w:r>
                        <w:rPr>
                          <w:rFonts w:ascii="宋体" w:hAnsi="宋体" w:cs="宋体" w:eastAsia="宋体" w:hint="default"/>
                          <w:sz w:val="18"/>
                          <w:szCs w:val="18"/>
                        </w:rPr>
                        <w:t>合并成本</w:t>
                      </w:r>
                    </w:p>
                  </w:txbxContent>
                </v:textbox>
                <w10:wrap type="none"/>
              </v:shape>
            </v:group>
          </v:group>
        </w:pict>
      </w:r>
      <w:r>
        <w:rPr>
          <w:rFonts w:ascii="宋体" w:hAnsi="宋体" w:cs="宋体" w:eastAsia="宋体" w:hint="default"/>
          <w:position w:val="-7"/>
          <w:sz w:val="20"/>
          <w:szCs w:val="20"/>
        </w:rPr>
      </w:r>
    </w:p>
    <w:p>
      <w:pPr>
        <w:pStyle w:val="BodyText"/>
        <w:spacing w:line="357" w:lineRule="auto" w:before="49"/>
        <w:ind w:right="8587"/>
        <w:jc w:val="left"/>
      </w:pPr>
      <w:r>
        <w:rPr>
          <w:spacing w:val="-3"/>
        </w:rPr>
        <w:t>或有对价及其变动的说明：</w:t>
      </w:r>
      <w:r>
        <w:rPr>
          <w:spacing w:val="-51"/>
        </w:rPr>
        <w:t> </w:t>
      </w:r>
      <w:r>
        <w:rPr>
          <w:spacing w:val="-51"/>
        </w:rPr>
      </w:r>
      <w:r>
        <w:rPr/>
        <w:t>无。</w:t>
      </w:r>
    </w:p>
    <w:p>
      <w:pPr>
        <w:pStyle w:val="BodyText"/>
        <w:spacing w:line="357" w:lineRule="auto" w:before="32"/>
        <w:ind w:right="9861"/>
        <w:jc w:val="left"/>
      </w:pPr>
      <w:r>
        <w:rPr>
          <w:spacing w:val="-2"/>
        </w:rPr>
        <w:t>其他说明：</w:t>
      </w:r>
      <w:r>
        <w:rPr>
          <w:spacing w:val="-78"/>
        </w:rPr>
        <w:t> </w:t>
      </w:r>
      <w:r>
        <w:rPr>
          <w:spacing w:val="-78"/>
        </w:rPr>
      </w:r>
      <w:r>
        <w:rPr/>
        <w:t>无。</w:t>
      </w:r>
    </w:p>
    <w:p>
      <w:pPr>
        <w:spacing w:line="240" w:lineRule="auto" w:before="3"/>
        <w:rPr>
          <w:rFonts w:ascii="宋体" w:hAnsi="宋体" w:cs="宋体" w:eastAsia="宋体" w:hint="default"/>
          <w:sz w:val="20"/>
          <w:szCs w:val="20"/>
        </w:rPr>
      </w:pPr>
    </w:p>
    <w:p>
      <w:pPr>
        <w:pStyle w:val="Heading4"/>
        <w:spacing w:line="240" w:lineRule="auto"/>
        <w:ind w:right="0"/>
        <w:jc w:val="left"/>
        <w:rPr>
          <w:b w:val="0"/>
          <w:bCs w:val="0"/>
        </w:rPr>
      </w:pPr>
      <w:bookmarkStart w:name="（3）合并日被合并方资产、负债的账面价值" w:id="439"/>
      <w:bookmarkEnd w:id="439"/>
      <w:r>
        <w:rPr>
          <w:b w:val="0"/>
          <w:bCs w:val="0"/>
        </w:rPr>
      </w:r>
      <w:r>
        <w:rPr/>
        <w:t>（</w:t>
      </w:r>
      <w:r>
        <w:rPr>
          <w:rFonts w:ascii="Times New Roman" w:hAnsi="Times New Roman" w:cs="Times New Roman" w:eastAsia="Times New Roman" w:hint="default"/>
        </w:rPr>
        <w:t>3</w:t>
      </w:r>
      <w:r>
        <w:rPr/>
        <w:t>）合并日被合并方资产、负债的账面价值</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3"/>
        <w:rPr>
          <w:rFonts w:ascii="宋体" w:hAnsi="宋体" w:cs="宋体" w:eastAsia="宋体" w:hint="default"/>
          <w:sz w:val="7"/>
          <w:szCs w:val="7"/>
        </w:rPr>
      </w:pPr>
    </w:p>
    <w:p>
      <w:pPr>
        <w:spacing w:line="826" w:lineRule="exact"/>
        <w:ind w:left="148"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479.25pt;height:41.3pt;mso-position-horizontal-relative:char;mso-position-vertical-relative:line" coordorigin="0,0" coordsize="9585,826">
            <v:group style="position:absolute;left:10;top:15;width:106;height:394" coordorigin="10,15" coordsize="106,394">
              <v:shape style="position:absolute;left:10;top:15;width:106;height:394" coordorigin="10,15" coordsize="106,394" path="m10,408l115,408,115,15,10,15,10,408xe" filled="true" fillcolor="#d2d2d2" stroked="false">
                <v:path arrowok="t"/>
                <v:fill type="solid"/>
              </v:shape>
            </v:group>
            <v:group style="position:absolute;left:3087;top:15;width:106;height:394" coordorigin="3087,15" coordsize="106,394">
              <v:shape style="position:absolute;left:3087;top:15;width:106;height:394" coordorigin="3087,15" coordsize="106,394" path="m3087,408l3193,408,3193,15,3087,15,3087,408xe" filled="true" fillcolor="#d2d2d2" stroked="false">
                <v:path arrowok="t"/>
                <v:fill type="solid"/>
              </v:shape>
            </v:group>
            <v:group style="position:absolute;left:115;top:15;width:2973;height:394" coordorigin="115,15" coordsize="2973,394">
              <v:shape style="position:absolute;left:115;top:15;width:2973;height:394" coordorigin="115,15" coordsize="2973,394" path="m115,408l3087,408,3087,15,115,15,115,408xe" filled="true" fillcolor="#d2d2d2" stroked="false">
                <v:path arrowok="t"/>
                <v:fill type="solid"/>
              </v:shape>
            </v:group>
            <v:group style="position:absolute;left:3203;top:15;width:102;height:394" coordorigin="3203,15" coordsize="102,394">
              <v:shape style="position:absolute;left:3203;top:15;width:102;height:394" coordorigin="3203,15" coordsize="102,394" path="m3203,408l3304,408,3304,15,3203,15,3203,408xe" filled="true" fillcolor="#d2d2d2" stroked="false">
                <v:path arrowok="t"/>
                <v:fill type="solid"/>
              </v:shape>
            </v:group>
            <v:group style="position:absolute;left:9469;top:15;width:106;height:394" coordorigin="9469,15" coordsize="106,394">
              <v:shape style="position:absolute;left:9469;top:15;width:106;height:394" coordorigin="9469,15" coordsize="106,394" path="m9469,408l9575,408,9575,15,9469,15,9469,408xe" filled="true" fillcolor="#d2d2d2" stroked="false">
                <v:path arrowok="t"/>
                <v:fill type="solid"/>
              </v:shape>
            </v:group>
            <v:group style="position:absolute;left:3304;top:15;width:6166;height:394" coordorigin="3304,15" coordsize="6166,394">
              <v:shape style="position:absolute;left:3304;top:15;width:6166;height:394" coordorigin="3304,15" coordsize="6166,394" path="m3304,408l9469,408,9469,15,3304,15,3304,408xe" filled="true" fillcolor="#d2d2d2" stroked="false">
                <v:path arrowok="t"/>
                <v:fill type="solid"/>
              </v:shape>
            </v:group>
            <v:group style="position:absolute;left:10;top:10;width:3184;height:2" coordorigin="10,10" coordsize="3184,2">
              <v:shape style="position:absolute;left:10;top:10;width:3184;height:2" coordorigin="10,10" coordsize="3184,0" path="m10,10l3193,10e" filled="false" stroked="true" strokeweight=".47998pt" strokecolor="#000000">
                <v:path arrowok="t"/>
              </v:shape>
            </v:group>
            <v:group style="position:absolute;left:3203;top:10;width:6372;height:2" coordorigin="3203,10" coordsize="6372,2">
              <v:shape style="position:absolute;left:3203;top:10;width:6372;height:2" coordorigin="3203,10" coordsize="6372,0" path="m3203,10l9575,10e" filled="false" stroked="true" strokeweight=".47998pt" strokecolor="#000000">
                <v:path arrowok="t"/>
              </v:shape>
            </v:group>
            <v:group style="position:absolute;left:10;top:418;width:106;height:394" coordorigin="10,418" coordsize="106,394">
              <v:shape style="position:absolute;left:10;top:418;width:106;height:394" coordorigin="10,418" coordsize="106,394" path="m10,811l115,811,115,418,10,418,10,811xe" filled="true" fillcolor="#d2d2d2" stroked="false">
                <v:path arrowok="t"/>
                <v:fill type="solid"/>
              </v:shape>
            </v:group>
            <v:group style="position:absolute;left:3087;top:418;width:106;height:394" coordorigin="3087,418" coordsize="106,394">
              <v:shape style="position:absolute;left:3087;top:418;width:106;height:394" coordorigin="3087,418" coordsize="106,394" path="m3087,811l3193,811,3193,418,3087,418,3087,811xe" filled="true" fillcolor="#d2d2d2" stroked="false">
                <v:path arrowok="t"/>
                <v:fill type="solid"/>
              </v:shape>
            </v:group>
            <v:group style="position:absolute;left:115;top:418;width:2973;height:394" coordorigin="115,418" coordsize="2973,394">
              <v:shape style="position:absolute;left:115;top:418;width:2973;height:394" coordorigin="115,418" coordsize="2973,394" path="m115,811l3087,811,3087,418,115,418,115,811xe" filled="true" fillcolor="#d2d2d2" stroked="false">
                <v:path arrowok="t"/>
                <v:fill type="solid"/>
              </v:shape>
            </v:group>
            <v:group style="position:absolute;left:3203;top:418;width:102;height:394" coordorigin="3203,418" coordsize="102,394">
              <v:shape style="position:absolute;left:3203;top:418;width:102;height:394" coordorigin="3203,418" coordsize="102,394" path="m3203,811l3304,811,3304,418,3203,418,3203,811xe" filled="true" fillcolor="#d2d2d2" stroked="false">
                <v:path arrowok="t"/>
                <v:fill type="solid"/>
              </v:shape>
            </v:group>
            <v:group style="position:absolute;left:6281;top:418;width:101;height:394" coordorigin="6281,418" coordsize="101,394">
              <v:shape style="position:absolute;left:6281;top:418;width:101;height:394" coordorigin="6281,418" coordsize="101,394" path="m6281,811l6382,811,6382,418,6281,418,6281,811xe" filled="true" fillcolor="#d2d2d2" stroked="false">
                <v:path arrowok="t"/>
                <v:fill type="solid"/>
              </v:shape>
            </v:group>
            <v:group style="position:absolute;left:3304;top:418;width:2977;height:394" coordorigin="3304,418" coordsize="2977,394">
              <v:shape style="position:absolute;left:3304;top:418;width:2977;height:394" coordorigin="3304,418" coordsize="2977,394" path="m3304,811l6281,811,6281,418,3304,418,3304,811xe" filled="true" fillcolor="#d2d2d2" stroked="false">
                <v:path arrowok="t"/>
                <v:fill type="solid"/>
              </v:shape>
            </v:group>
            <v:group style="position:absolute;left:6391;top:418;width:106;height:394" coordorigin="6391,418" coordsize="106,394">
              <v:shape style="position:absolute;left:6391;top:418;width:106;height:394" coordorigin="6391,418" coordsize="106,394" path="m6391,811l6497,811,6497,418,6391,418,6391,811xe" filled="true" fillcolor="#d2d2d2" stroked="false">
                <v:path arrowok="t"/>
                <v:fill type="solid"/>
              </v:shape>
            </v:group>
            <v:group style="position:absolute;left:9469;top:418;width:106;height:394" coordorigin="9469,418" coordsize="106,394">
              <v:shape style="position:absolute;left:9469;top:418;width:106;height:394" coordorigin="9469,418" coordsize="106,394" path="m9469,811l9575,811,9575,418,9469,418,9469,811xe" filled="true" fillcolor="#d2d2d2" stroked="false">
                <v:path arrowok="t"/>
                <v:fill type="solid"/>
              </v:shape>
            </v:group>
            <v:group style="position:absolute;left:6497;top:418;width:2973;height:394" coordorigin="6497,418" coordsize="2973,394">
              <v:shape style="position:absolute;left:6497;top:418;width:2973;height:394" coordorigin="6497,418" coordsize="2973,394" path="m6497,811l9469,811,9469,418,6497,418,6497,811xe" filled="true" fillcolor="#d2d2d2" stroked="false">
                <v:path arrowok="t"/>
                <v:fill type="solid"/>
              </v:shape>
            </v:group>
            <v:group style="position:absolute;left:10;top:413;width:3184;height:2" coordorigin="10,413" coordsize="3184,2">
              <v:shape style="position:absolute;left:10;top:413;width:3184;height:2" coordorigin="10,413" coordsize="3184,0" path="m10,413l3193,413e" filled="false" stroked="true" strokeweight=".47998pt" strokecolor="#000000">
                <v:path arrowok="t"/>
              </v:shape>
            </v:group>
            <v:group style="position:absolute;left:3203;top:413;width:3179;height:2" coordorigin="3203,413" coordsize="3179,2">
              <v:shape style="position:absolute;left:3203;top:413;width:3179;height:2" coordorigin="3203,413" coordsize="3179,0" path="m3203,413l6382,413e" filled="false" stroked="true" strokeweight=".47998pt" strokecolor="#000000">
                <v:path arrowok="t"/>
              </v:shape>
            </v:group>
            <v:group style="position:absolute;left:6391;top:413;width:3184;height:2" coordorigin="6391,413" coordsize="3184,2">
              <v:shape style="position:absolute;left:6391;top:413;width:3184;height:2" coordorigin="6391,413" coordsize="3184,0" path="m6391,413l9575,413e" filled="false" stroked="true" strokeweight=".47998pt" strokecolor="#000000">
                <v:path arrowok="t"/>
              </v:shape>
            </v:group>
            <v:group style="position:absolute;left:5;top:5;width:2;height:816" coordorigin="5,5" coordsize="2,816">
              <v:shape style="position:absolute;left:5;top:5;width:2;height:816" coordorigin="5,5" coordsize="0,816" path="m5,5l5,821e" filled="false" stroked="true" strokeweight=".48pt" strokecolor="#000000">
                <v:path arrowok="t"/>
              </v:shape>
            </v:group>
            <v:group style="position:absolute;left:10;top:816;width:3184;height:2" coordorigin="10,816" coordsize="3184,2">
              <v:shape style="position:absolute;left:10;top:816;width:3184;height:2" coordorigin="10,816" coordsize="3184,0" path="m10,816l3193,816e" filled="false" stroked="true" strokeweight=".47998pt" strokecolor="#000000">
                <v:path arrowok="t"/>
              </v:shape>
            </v:group>
            <v:group style="position:absolute;left:3198;top:5;width:2;height:816" coordorigin="3198,5" coordsize="2,816">
              <v:shape style="position:absolute;left:3198;top:5;width:2;height:816" coordorigin="3198,5" coordsize="0,816" path="m3198,5l3198,821e" filled="false" stroked="true" strokeweight=".48pt" strokecolor="#000000">
                <v:path arrowok="t"/>
              </v:shape>
            </v:group>
            <v:group style="position:absolute;left:3203;top:816;width:3179;height:2" coordorigin="3203,816" coordsize="3179,2">
              <v:shape style="position:absolute;left:3203;top:816;width:3179;height:2" coordorigin="3203,816" coordsize="3179,0" path="m3203,816l6382,816e" filled="false" stroked="true" strokeweight=".47998pt" strokecolor="#000000">
                <v:path arrowok="t"/>
              </v:shape>
            </v:group>
            <v:group style="position:absolute;left:6386;top:408;width:2;height:413" coordorigin="6386,408" coordsize="2,413">
              <v:shape style="position:absolute;left:6386;top:408;width:2;height:413" coordorigin="6386,408" coordsize="0,413" path="m6386,408l6386,821e" filled="false" stroked="true" strokeweight=".48001pt" strokecolor="#000000">
                <v:path arrowok="t"/>
              </v:shape>
            </v:group>
            <v:group style="position:absolute;left:6391;top:816;width:3184;height:2" coordorigin="6391,816" coordsize="3184,2">
              <v:shape style="position:absolute;left:6391;top:816;width:3184;height:2" coordorigin="6391,816" coordsize="3184,0" path="m6391,816l9575,816e" filled="false" stroked="true" strokeweight=".47998pt" strokecolor="#000000">
                <v:path arrowok="t"/>
              </v:shape>
            </v:group>
            <v:group style="position:absolute;left:9580;top:5;width:2;height:816" coordorigin="9580,5" coordsize="2,816">
              <v:shape style="position:absolute;left:9580;top:5;width:2;height:816" coordorigin="9580,5" coordsize="0,816" path="m9580,5l9580,821e" filled="false" stroked="true" strokeweight=".50403pt" strokecolor="#000000">
                <v:path arrowok="t"/>
              </v:shape>
              <v:shape style="position:absolute;left:3198;top:413;width:3189;height:404" type="#_x0000_t202" filled="false" stroked="false">
                <v:textbox inset="0,0,0,0">
                  <w:txbxContent>
                    <w:p>
                      <w:pPr>
                        <w:spacing w:before="58"/>
                        <w:ind w:left="4" w:right="0" w:firstLine="0"/>
                        <w:jc w:val="center"/>
                        <w:rPr>
                          <w:rFonts w:ascii="宋体" w:hAnsi="宋体" w:cs="宋体" w:eastAsia="宋体" w:hint="default"/>
                          <w:sz w:val="18"/>
                          <w:szCs w:val="18"/>
                        </w:rPr>
                      </w:pPr>
                      <w:r>
                        <w:rPr>
                          <w:rFonts w:ascii="宋体" w:hAnsi="宋体" w:cs="宋体" w:eastAsia="宋体" w:hint="default"/>
                          <w:sz w:val="18"/>
                          <w:szCs w:val="18"/>
                        </w:rPr>
                        <w:t>合并日</w:t>
                      </w:r>
                    </w:p>
                  </w:txbxContent>
                </v:textbox>
                <w10:wrap type="none"/>
              </v:shape>
              <v:shape style="position:absolute;left:6386;top:413;width:3194;height:404" type="#_x0000_t202" filled="false" stroked="false">
                <v:textbox inset="0,0,0,0">
                  <w:txbxContent>
                    <w:p>
                      <w:pPr>
                        <w:spacing w:before="58"/>
                        <w:ind w:left="9" w:right="0" w:firstLine="0"/>
                        <w:jc w:val="center"/>
                        <w:rPr>
                          <w:rFonts w:ascii="宋体" w:hAnsi="宋体" w:cs="宋体" w:eastAsia="宋体" w:hint="default"/>
                          <w:sz w:val="18"/>
                          <w:szCs w:val="18"/>
                        </w:rPr>
                      </w:pPr>
                      <w:r>
                        <w:rPr>
                          <w:rFonts w:ascii="宋体" w:hAnsi="宋体" w:cs="宋体" w:eastAsia="宋体" w:hint="default"/>
                          <w:sz w:val="18"/>
                          <w:szCs w:val="18"/>
                        </w:rPr>
                        <w:t>上期期末</w:t>
                      </w:r>
                    </w:p>
                  </w:txbxContent>
                </v:textbox>
                <w10:wrap type="none"/>
              </v:shape>
            </v:group>
          </v:group>
        </w:pict>
      </w:r>
      <w:r>
        <w:rPr>
          <w:rFonts w:ascii="宋体" w:hAnsi="宋体" w:cs="宋体" w:eastAsia="宋体" w:hint="default"/>
          <w:position w:val="-16"/>
          <w:sz w:val="20"/>
          <w:szCs w:val="20"/>
        </w:rPr>
      </w:r>
    </w:p>
    <w:p>
      <w:pPr>
        <w:spacing w:after="0" w:line="826" w:lineRule="exact"/>
        <w:rPr>
          <w:rFonts w:ascii="宋体" w:hAnsi="宋体" w:cs="宋体" w:eastAsia="宋体" w:hint="default"/>
          <w:sz w:val="20"/>
          <w:szCs w:val="20"/>
        </w:rPr>
        <w:sectPr>
          <w:pgSz w:w="11910" w:h="16840"/>
          <w:pgMar w:header="784" w:footer="1022" w:top="1100" w:bottom="1220" w:left="980" w:right="0"/>
        </w:sectPr>
      </w:pPr>
    </w:p>
    <w:p>
      <w:pPr>
        <w:spacing w:line="240" w:lineRule="auto" w:before="2"/>
        <w:rPr>
          <w:rFonts w:ascii="宋体" w:hAnsi="宋体" w:cs="宋体" w:eastAsia="宋体" w:hint="default"/>
          <w:sz w:val="23"/>
          <w:szCs w:val="23"/>
        </w:rPr>
      </w:pPr>
    </w:p>
    <w:p>
      <w:pPr>
        <w:pStyle w:val="BodyText"/>
        <w:spacing w:line="352" w:lineRule="auto"/>
        <w:ind w:right="7513"/>
        <w:jc w:val="left"/>
      </w:pPr>
      <w:r>
        <w:rPr>
          <w:spacing w:val="-3"/>
        </w:rPr>
        <w:t>企业合并中承担的被合并方的或有负债：</w:t>
      </w:r>
      <w:r>
        <w:rPr>
          <w:spacing w:val="-33"/>
        </w:rPr>
        <w:t> </w:t>
      </w:r>
      <w:r>
        <w:rPr>
          <w:spacing w:val="-33"/>
        </w:rPr>
      </w:r>
      <w:r>
        <w:rPr/>
        <w:t>无。</w:t>
      </w:r>
    </w:p>
    <w:p>
      <w:pPr>
        <w:pStyle w:val="BodyText"/>
        <w:spacing w:line="357" w:lineRule="auto" w:before="35"/>
        <w:ind w:right="9666"/>
        <w:jc w:val="left"/>
      </w:pPr>
      <w:r>
        <w:rPr/>
        <w:t>其他说明：</w:t>
      </w:r>
      <w:r>
        <w:rPr>
          <w:w w:val="101"/>
        </w:rPr>
        <w:t> </w:t>
      </w:r>
      <w:r>
        <w:rPr/>
        <w:t>无。</w:t>
      </w:r>
    </w:p>
    <w:p>
      <w:pPr>
        <w:spacing w:line="240" w:lineRule="auto" w:before="3"/>
        <w:rPr>
          <w:rFonts w:ascii="宋体" w:hAnsi="宋体" w:cs="宋体" w:eastAsia="宋体" w:hint="default"/>
          <w:sz w:val="20"/>
          <w:szCs w:val="20"/>
        </w:rPr>
      </w:pPr>
    </w:p>
    <w:p>
      <w:pPr>
        <w:pStyle w:val="Heading4"/>
        <w:spacing w:line="240" w:lineRule="auto"/>
        <w:ind w:right="0"/>
        <w:jc w:val="left"/>
        <w:rPr>
          <w:b w:val="0"/>
          <w:bCs w:val="0"/>
        </w:rPr>
      </w:pPr>
      <w:bookmarkStart w:name="3、反向购买" w:id="440"/>
      <w:bookmarkEnd w:id="440"/>
      <w:r>
        <w:rPr>
          <w:b w:val="0"/>
          <w:bCs w:val="0"/>
        </w:rPr>
      </w:r>
      <w:r>
        <w:rPr>
          <w:rFonts w:ascii="Times New Roman" w:hAnsi="Times New Roman" w:cs="Times New Roman" w:eastAsia="Times New Roman" w:hint="default"/>
        </w:rPr>
        <w:t>3</w:t>
      </w:r>
      <w:r>
        <w:rPr/>
        <w:t>、反向购买</w:t>
      </w:r>
      <w:r>
        <w:rPr>
          <w:b w:val="0"/>
          <w:bCs w:val="0"/>
        </w:rPr>
      </w:r>
    </w:p>
    <w:p>
      <w:pPr>
        <w:spacing w:line="240" w:lineRule="auto" w:before="4"/>
        <w:rPr>
          <w:rFonts w:ascii="宋体" w:hAnsi="宋体" w:cs="宋体" w:eastAsia="宋体" w:hint="default"/>
          <w:b/>
          <w:bCs/>
          <w:sz w:val="26"/>
          <w:szCs w:val="26"/>
        </w:rPr>
      </w:pPr>
    </w:p>
    <w:p>
      <w:pPr>
        <w:pStyle w:val="BodyText"/>
        <w:spacing w:line="324" w:lineRule="auto" w:before="0"/>
        <w:ind w:right="0"/>
        <w:jc w:val="left"/>
      </w:pPr>
      <w:r>
        <w:rPr>
          <w:spacing w:val="-4"/>
        </w:rPr>
        <w:t>交易基本信息、交易构成反向购买的依据、上市公司保留的资产、负债是否构成业务及其依据、合并成本的确定、按照权益</w:t>
      </w:r>
      <w:r>
        <w:rPr>
          <w:spacing w:val="40"/>
        </w:rPr>
        <w:t> </w:t>
      </w:r>
      <w:r>
        <w:rPr>
          <w:spacing w:val="40"/>
        </w:rPr>
      </w:r>
      <w:r>
        <w:rPr>
          <w:spacing w:val="-3"/>
        </w:rPr>
        <w:t>性交易处理时调整权益的金额及其计算：</w:t>
      </w:r>
    </w:p>
    <w:p>
      <w:pPr>
        <w:pStyle w:val="BodyText"/>
        <w:spacing w:line="240" w:lineRule="auto" w:before="52"/>
        <w:ind w:right="0"/>
        <w:jc w:val="left"/>
      </w:pPr>
      <w:r>
        <w:rPr/>
        <w:t>无。</w:t>
      </w:r>
    </w:p>
    <w:p>
      <w:pPr>
        <w:spacing w:line="240" w:lineRule="auto" w:before="0"/>
        <w:rPr>
          <w:rFonts w:ascii="宋体" w:hAnsi="宋体" w:cs="宋体" w:eastAsia="宋体" w:hint="default"/>
          <w:sz w:val="18"/>
          <w:szCs w:val="18"/>
        </w:rPr>
      </w:pPr>
    </w:p>
    <w:p>
      <w:pPr>
        <w:pStyle w:val="Heading4"/>
        <w:spacing w:line="240" w:lineRule="auto" w:before="118"/>
        <w:ind w:right="0"/>
        <w:jc w:val="left"/>
        <w:rPr>
          <w:b w:val="0"/>
          <w:bCs w:val="0"/>
        </w:rPr>
      </w:pPr>
      <w:bookmarkStart w:name="4、处置子公司" w:id="441"/>
      <w:bookmarkEnd w:id="441"/>
      <w:r>
        <w:rPr>
          <w:b w:val="0"/>
          <w:bCs w:val="0"/>
        </w:rPr>
      </w:r>
      <w:r>
        <w:rPr>
          <w:rFonts w:ascii="Times New Roman" w:hAnsi="Times New Roman" w:cs="Times New Roman" w:eastAsia="Times New Roman" w:hint="default"/>
        </w:rPr>
        <w:t>4</w:t>
      </w:r>
      <w:r>
        <w:rPr/>
        <w:t>、处置子公司</w:t>
      </w:r>
      <w:r>
        <w:rPr>
          <w:b w:val="0"/>
          <w:bCs w:val="0"/>
        </w:rPr>
      </w:r>
    </w:p>
    <w:p>
      <w:pPr>
        <w:spacing w:line="240" w:lineRule="auto" w:before="9"/>
        <w:rPr>
          <w:rFonts w:ascii="宋体" w:hAnsi="宋体" w:cs="宋体" w:eastAsia="宋体" w:hint="default"/>
          <w:b/>
          <w:bCs/>
          <w:sz w:val="26"/>
          <w:szCs w:val="26"/>
        </w:rPr>
      </w:pPr>
    </w:p>
    <w:p>
      <w:pPr>
        <w:pStyle w:val="BodyText"/>
        <w:spacing w:line="240" w:lineRule="auto" w:before="0"/>
        <w:ind w:right="0"/>
        <w:jc w:val="left"/>
      </w:pPr>
      <w:r>
        <w:rPr>
          <w:spacing w:val="-3"/>
        </w:rPr>
        <w:t>是否存在单次处置对子公司投资即丧失控制权的情形</w:t>
      </w:r>
    </w:p>
    <w:p>
      <w:pPr>
        <w:pStyle w:val="BodyText"/>
        <w:spacing w:line="362" w:lineRule="auto" w:before="115"/>
        <w:ind w:right="4900"/>
        <w:jc w:val="left"/>
      </w:pPr>
      <w:r>
        <w:rPr/>
        <w:t>□</w:t>
      </w:r>
      <w:r>
        <w:rPr>
          <w:spacing w:val="1"/>
        </w:rPr>
        <w:t> </w:t>
      </w:r>
      <w:r>
        <w:rPr/>
        <w:t>是</w:t>
      </w:r>
      <w:r>
        <w:rPr>
          <w:spacing w:val="-4"/>
        </w:rPr>
        <w:t> </w:t>
      </w:r>
      <w:r>
        <w:rPr/>
        <w:t>√</w:t>
      </w:r>
      <w:r>
        <w:rPr>
          <w:spacing w:val="-4"/>
        </w:rPr>
        <w:t> </w:t>
      </w:r>
      <w:r>
        <w:rPr/>
        <w:t>否</w:t>
      </w:r>
      <w:r>
        <w:rPr>
          <w:spacing w:val="-81"/>
        </w:rPr>
        <w:t> </w:t>
      </w:r>
      <w:r>
        <w:rPr>
          <w:spacing w:val="-81"/>
        </w:rPr>
      </w:r>
      <w:r>
        <w:rPr>
          <w:spacing w:val="-3"/>
        </w:rPr>
        <w:t>是否存在通过多次交易分步处置对子公司投资且在本期丧失控制权的情形</w:t>
      </w:r>
    </w:p>
    <w:p>
      <w:pPr>
        <w:pStyle w:val="BodyText"/>
        <w:spacing w:line="240" w:lineRule="auto" w:before="23"/>
        <w:ind w:right="0"/>
        <w:jc w:val="left"/>
      </w:pPr>
      <w:r>
        <w:rPr/>
        <w:t>□ 是 √</w:t>
      </w:r>
      <w:r>
        <w:rPr>
          <w:spacing w:val="2"/>
        </w:rPr>
        <w:t> </w:t>
      </w:r>
      <w:r>
        <w:rPr/>
        <w:t>否</w:t>
      </w:r>
    </w:p>
    <w:p>
      <w:pPr>
        <w:spacing w:line="240" w:lineRule="auto" w:before="4"/>
        <w:rPr>
          <w:rFonts w:ascii="宋体" w:hAnsi="宋体" w:cs="宋体" w:eastAsia="宋体" w:hint="default"/>
          <w:sz w:val="26"/>
          <w:szCs w:val="26"/>
        </w:rPr>
      </w:pPr>
    </w:p>
    <w:p>
      <w:pPr>
        <w:pStyle w:val="Heading4"/>
        <w:spacing w:line="240" w:lineRule="auto"/>
        <w:ind w:right="0"/>
        <w:jc w:val="left"/>
        <w:rPr>
          <w:b w:val="0"/>
          <w:bCs w:val="0"/>
        </w:rPr>
      </w:pPr>
      <w:bookmarkStart w:name="5、其他原因的合并范围变动" w:id="442"/>
      <w:bookmarkEnd w:id="442"/>
      <w:r>
        <w:rPr>
          <w:b w:val="0"/>
          <w:bCs w:val="0"/>
        </w:rPr>
      </w:r>
      <w:r>
        <w:rPr>
          <w:rFonts w:ascii="Times New Roman" w:hAnsi="Times New Roman" w:cs="Times New Roman" w:eastAsia="Times New Roman" w:hint="default"/>
        </w:rPr>
        <w:t>5</w:t>
      </w:r>
      <w:r>
        <w:rPr/>
        <w:t>、其他原因的合并范围变动</w:t>
      </w:r>
      <w:r>
        <w:rPr>
          <w:b w:val="0"/>
          <w:bCs w:val="0"/>
        </w:rPr>
      </w:r>
    </w:p>
    <w:p>
      <w:pPr>
        <w:spacing w:line="240" w:lineRule="auto" w:before="1"/>
        <w:rPr>
          <w:rFonts w:ascii="宋体" w:hAnsi="宋体" w:cs="宋体" w:eastAsia="宋体" w:hint="default"/>
          <w:b/>
          <w:bCs/>
          <w:sz w:val="27"/>
          <w:szCs w:val="27"/>
        </w:rPr>
      </w:pPr>
    </w:p>
    <w:p>
      <w:pPr>
        <w:pStyle w:val="BodyText"/>
        <w:spacing w:line="352" w:lineRule="auto" w:before="0"/>
        <w:ind w:right="3882"/>
        <w:jc w:val="left"/>
      </w:pPr>
      <w:r>
        <w:rPr>
          <w:spacing w:val="-3"/>
        </w:rPr>
        <w:t>说明其他原因导致的合并范围变动（如，新设子公司、清算子公司等）及其相关情况：</w:t>
      </w:r>
      <w:r>
        <w:rPr>
          <w:spacing w:val="20"/>
        </w:rPr>
        <w:t> </w:t>
      </w:r>
      <w:r>
        <w:rPr>
          <w:spacing w:val="20"/>
        </w:rPr>
      </w:r>
      <w:r>
        <w:rPr/>
        <w:t>无。</w:t>
      </w:r>
    </w:p>
    <w:p>
      <w:pPr>
        <w:spacing w:line="240" w:lineRule="auto" w:before="7"/>
        <w:rPr>
          <w:rFonts w:ascii="宋体" w:hAnsi="宋体" w:cs="宋体" w:eastAsia="宋体" w:hint="default"/>
          <w:sz w:val="20"/>
          <w:szCs w:val="20"/>
        </w:rPr>
      </w:pPr>
    </w:p>
    <w:p>
      <w:pPr>
        <w:pStyle w:val="Heading4"/>
        <w:spacing w:line="240" w:lineRule="auto"/>
        <w:ind w:right="0"/>
        <w:jc w:val="left"/>
        <w:rPr>
          <w:b w:val="0"/>
          <w:bCs w:val="0"/>
        </w:rPr>
      </w:pPr>
      <w:bookmarkStart w:name="6、其他" w:id="443"/>
      <w:bookmarkEnd w:id="443"/>
      <w:r>
        <w:rPr>
          <w:b w:val="0"/>
          <w:bCs w:val="0"/>
        </w:rPr>
      </w:r>
      <w:r>
        <w:rPr>
          <w:rFonts w:ascii="Times New Roman" w:hAnsi="Times New Roman" w:cs="Times New Roman" w:eastAsia="Times New Roman" w:hint="default"/>
        </w:rPr>
        <w:t>6</w:t>
      </w:r>
      <w:r>
        <w:rPr/>
        <w:t>、其他</w:t>
      </w:r>
      <w:r>
        <w:rPr>
          <w:b w:val="0"/>
          <w:bCs w:val="0"/>
        </w:rPr>
      </w:r>
    </w:p>
    <w:p>
      <w:pPr>
        <w:spacing w:line="240" w:lineRule="auto" w:before="9"/>
        <w:rPr>
          <w:rFonts w:ascii="宋体" w:hAnsi="宋体" w:cs="宋体" w:eastAsia="宋体" w:hint="default"/>
          <w:b/>
          <w:bCs/>
          <w:sz w:val="26"/>
          <w:szCs w:val="26"/>
        </w:rPr>
      </w:pPr>
    </w:p>
    <w:p>
      <w:pPr>
        <w:pStyle w:val="BodyText"/>
        <w:spacing w:line="240" w:lineRule="auto" w:before="0"/>
        <w:ind w:right="0"/>
        <w:jc w:val="left"/>
      </w:pPr>
      <w:r>
        <w:rPr/>
        <w:t>无。</w:t>
      </w:r>
    </w:p>
    <w:p>
      <w:pPr>
        <w:spacing w:line="240" w:lineRule="auto" w:before="9"/>
        <w:rPr>
          <w:rFonts w:ascii="宋体" w:hAnsi="宋体" w:cs="宋体" w:eastAsia="宋体" w:hint="default"/>
          <w:sz w:val="24"/>
          <w:szCs w:val="24"/>
        </w:rPr>
      </w:pPr>
    </w:p>
    <w:p>
      <w:pPr>
        <w:pStyle w:val="Heading2"/>
        <w:spacing w:line="240" w:lineRule="auto"/>
        <w:ind w:right="0"/>
        <w:jc w:val="left"/>
        <w:rPr>
          <w:b w:val="0"/>
          <w:bCs w:val="0"/>
        </w:rPr>
      </w:pPr>
      <w:bookmarkStart w:name="九、在其他主体中的权益" w:id="444"/>
      <w:bookmarkEnd w:id="444"/>
      <w:r>
        <w:rPr>
          <w:b w:val="0"/>
          <w:bCs w:val="0"/>
        </w:rPr>
      </w:r>
      <w:r>
        <w:rPr/>
        <w:t>九、在其他主体中的权益</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0"/>
        <w:jc w:val="left"/>
        <w:rPr>
          <w:b w:val="0"/>
          <w:bCs w:val="0"/>
        </w:rPr>
      </w:pPr>
      <w:bookmarkStart w:name="1、在子公司中的权益" w:id="445"/>
      <w:bookmarkEnd w:id="445"/>
      <w:r>
        <w:rPr>
          <w:b w:val="0"/>
          <w:bCs w:val="0"/>
        </w:rPr>
      </w:r>
      <w:r>
        <w:rPr>
          <w:rFonts w:ascii="Times New Roman" w:hAnsi="Times New Roman" w:cs="Times New Roman" w:eastAsia="Times New Roman" w:hint="default"/>
        </w:rPr>
        <w:t>1</w:t>
      </w:r>
      <w:r>
        <w:rPr/>
        <w:t>、在子公司中的权益</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0"/>
        <w:jc w:val="left"/>
        <w:rPr>
          <w:b w:val="0"/>
          <w:bCs w:val="0"/>
        </w:rPr>
      </w:pPr>
      <w:bookmarkStart w:name="（1）企业集团的构成" w:id="446"/>
      <w:bookmarkEnd w:id="446"/>
      <w:r>
        <w:rPr>
          <w:b w:val="0"/>
          <w:bCs w:val="0"/>
        </w:rPr>
      </w:r>
      <w:r>
        <w:rPr/>
        <w:t>（</w:t>
      </w:r>
      <w:r>
        <w:rPr>
          <w:rFonts w:ascii="Times New Roman" w:hAnsi="Times New Roman" w:cs="Times New Roman" w:eastAsia="Times New Roman" w:hint="default"/>
        </w:rPr>
        <w:t>1</w:t>
      </w:r>
      <w:r>
        <w:rPr/>
        <w:t>）企业集团的构成</w:t>
      </w:r>
      <w:r>
        <w:rPr>
          <w:b w:val="0"/>
          <w:bCs w:val="0"/>
        </w:rPr>
      </w:r>
    </w:p>
    <w:p>
      <w:pPr>
        <w:spacing w:line="240" w:lineRule="auto" w:before="11"/>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1373"/>
        <w:gridCol w:w="1364"/>
        <w:gridCol w:w="1369"/>
        <w:gridCol w:w="1368"/>
        <w:gridCol w:w="1368"/>
        <w:gridCol w:w="1364"/>
        <w:gridCol w:w="1369"/>
      </w:tblGrid>
      <w:tr>
        <w:trPr>
          <w:trHeight w:val="398" w:hRule="exact"/>
        </w:trPr>
        <w:tc>
          <w:tcPr>
            <w:tcW w:w="137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b/>
                <w:bCs/>
                <w:sz w:val="19"/>
                <w:szCs w:val="19"/>
              </w:rPr>
            </w:pPr>
          </w:p>
          <w:p>
            <w:pPr>
              <w:pStyle w:val="TableParagraph"/>
              <w:spacing w:line="240" w:lineRule="auto"/>
              <w:ind w:left="235"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36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b/>
                <w:bCs/>
                <w:sz w:val="19"/>
                <w:szCs w:val="19"/>
              </w:rPr>
            </w:pPr>
          </w:p>
          <w:p>
            <w:pPr>
              <w:pStyle w:val="TableParagraph"/>
              <w:spacing w:line="240" w:lineRule="auto"/>
              <w:ind w:left="225"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36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b/>
                <w:bCs/>
                <w:sz w:val="19"/>
                <w:szCs w:val="19"/>
              </w:rPr>
            </w:pPr>
          </w:p>
          <w:p>
            <w:pPr>
              <w:pStyle w:val="TableParagraph"/>
              <w:spacing w:line="240" w:lineRule="auto"/>
              <w:ind w:left="412"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b/>
                <w:bCs/>
                <w:sz w:val="19"/>
                <w:szCs w:val="19"/>
              </w:rPr>
            </w:pPr>
          </w:p>
          <w:p>
            <w:pPr>
              <w:pStyle w:val="TableParagraph"/>
              <w:spacing w:line="240" w:lineRule="auto"/>
              <w:ind w:left="321"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273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持股比例</w:t>
            </w:r>
          </w:p>
        </w:tc>
        <w:tc>
          <w:tcPr>
            <w:tcW w:w="136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b/>
                <w:bCs/>
                <w:sz w:val="19"/>
                <w:szCs w:val="19"/>
              </w:rPr>
            </w:pPr>
          </w:p>
          <w:p>
            <w:pPr>
              <w:pStyle w:val="TableParagraph"/>
              <w:spacing w:line="240" w:lineRule="auto"/>
              <w:ind w:left="321" w:right="0"/>
              <w:jc w:val="left"/>
              <w:rPr>
                <w:rFonts w:ascii="宋体" w:hAnsi="宋体" w:cs="宋体" w:eastAsia="宋体" w:hint="default"/>
                <w:sz w:val="18"/>
                <w:szCs w:val="18"/>
              </w:rPr>
            </w:pPr>
            <w:r>
              <w:rPr>
                <w:rFonts w:ascii="宋体" w:hAnsi="宋体" w:cs="宋体" w:eastAsia="宋体" w:hint="default"/>
                <w:sz w:val="18"/>
                <w:szCs w:val="18"/>
              </w:rPr>
              <w:t>取得方式</w:t>
            </w:r>
          </w:p>
        </w:tc>
      </w:tr>
      <w:tr>
        <w:trPr>
          <w:trHeight w:val="404" w:hRule="exact"/>
        </w:trPr>
        <w:tc>
          <w:tcPr>
            <w:tcW w:w="1373" w:type="dxa"/>
            <w:vMerge/>
            <w:tcBorders>
              <w:left w:val="single" w:sz="4" w:space="0" w:color="000000"/>
              <w:bottom w:val="single" w:sz="4" w:space="0" w:color="000000"/>
              <w:right w:val="single" w:sz="4" w:space="0" w:color="000000"/>
            </w:tcBorders>
            <w:shd w:val="clear" w:color="auto" w:fill="D2D2D2"/>
          </w:tcPr>
          <w:p>
            <w:pPr/>
          </w:p>
        </w:tc>
        <w:tc>
          <w:tcPr>
            <w:tcW w:w="1364" w:type="dxa"/>
            <w:vMerge/>
            <w:tcBorders>
              <w:left w:val="single" w:sz="4" w:space="0" w:color="000000"/>
              <w:bottom w:val="single" w:sz="4" w:space="0" w:color="000000"/>
              <w:right w:val="single" w:sz="4" w:space="0" w:color="000000"/>
            </w:tcBorders>
            <w:shd w:val="clear" w:color="auto" w:fill="D2D2D2"/>
          </w:tcPr>
          <w:p>
            <w:pPr/>
          </w:p>
        </w:tc>
        <w:tc>
          <w:tcPr>
            <w:tcW w:w="1369"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直接</w:t>
            </w:r>
          </w:p>
        </w:tc>
        <w:tc>
          <w:tcPr>
            <w:tcW w:w="13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 w:right="0"/>
              <w:jc w:val="center"/>
              <w:rPr>
                <w:rFonts w:ascii="宋体" w:hAnsi="宋体" w:cs="宋体" w:eastAsia="宋体" w:hint="default"/>
                <w:sz w:val="18"/>
                <w:szCs w:val="18"/>
              </w:rPr>
            </w:pPr>
            <w:r>
              <w:rPr>
                <w:rFonts w:ascii="宋体" w:hAnsi="宋体" w:cs="宋体" w:eastAsia="宋体" w:hint="default"/>
                <w:sz w:val="18"/>
                <w:szCs w:val="18"/>
              </w:rPr>
              <w:t>间接</w:t>
            </w:r>
          </w:p>
        </w:tc>
        <w:tc>
          <w:tcPr>
            <w:tcW w:w="1369" w:type="dxa"/>
            <w:vMerge/>
            <w:tcBorders>
              <w:left w:val="single" w:sz="4" w:space="0" w:color="000000"/>
              <w:bottom w:val="single" w:sz="4" w:space="0" w:color="000000"/>
              <w:right w:val="single" w:sz="4" w:space="0" w:color="000000"/>
            </w:tcBorders>
            <w:shd w:val="clear" w:color="auto" w:fill="D2D2D2"/>
          </w:tcPr>
          <w:p>
            <w:pPr/>
          </w:p>
        </w:tc>
      </w:tr>
      <w:tr>
        <w:trPr>
          <w:trHeight w:val="1027"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105" w:right="3"/>
              <w:jc w:val="left"/>
              <w:rPr>
                <w:rFonts w:ascii="宋体" w:hAnsi="宋体" w:cs="宋体" w:eastAsia="宋体" w:hint="default"/>
                <w:sz w:val="18"/>
                <w:szCs w:val="18"/>
              </w:rPr>
            </w:pPr>
            <w:r>
              <w:rPr>
                <w:rFonts w:ascii="宋体" w:hAnsi="宋体" w:cs="宋体" w:eastAsia="宋体" w:hint="default"/>
                <w:sz w:val="18"/>
                <w:szCs w:val="18"/>
              </w:rPr>
              <w:t>深圳市奥拓软</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件技术有限公</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4"/>
                <w:sz w:val="18"/>
                <w:szCs w:val="18"/>
              </w:rPr>
              <w:t>司（奥拓软件）</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100"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2"/>
                <w:sz w:val="18"/>
              </w:rPr>
              <w:t>100.00%</w:t>
            </w:r>
          </w:p>
        </w:tc>
        <w:tc>
          <w:tcPr>
            <w:tcW w:w="1364"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宋体" w:hAnsi="宋体" w:cs="宋体" w:eastAsia="宋体" w:hint="default"/>
                <w:sz w:val="18"/>
                <w:szCs w:val="18"/>
              </w:rPr>
              <w:t>出资设立</w:t>
            </w:r>
          </w:p>
        </w:tc>
      </w:tr>
      <w:tr>
        <w:trPr>
          <w:trHeight w:val="1028"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3"/>
              <w:ind w:left="105" w:right="3"/>
              <w:jc w:val="left"/>
              <w:rPr>
                <w:rFonts w:ascii="宋体" w:hAnsi="宋体" w:cs="宋体" w:eastAsia="宋体" w:hint="default"/>
                <w:sz w:val="18"/>
                <w:szCs w:val="18"/>
              </w:rPr>
            </w:pPr>
            <w:r>
              <w:rPr>
                <w:rFonts w:ascii="宋体" w:hAnsi="宋体" w:cs="宋体" w:eastAsia="宋体" w:hint="default"/>
                <w:sz w:val="18"/>
                <w:szCs w:val="18"/>
              </w:rPr>
              <w:t>深圳市奥拓光</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电科技有限公</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4"/>
                <w:sz w:val="18"/>
                <w:szCs w:val="18"/>
              </w:rPr>
              <w:t>司（奥拓光电）</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left="100"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left="105"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left="105"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2"/>
                <w:sz w:val="18"/>
              </w:rPr>
              <w:t>100.00%</w:t>
            </w:r>
          </w:p>
        </w:tc>
        <w:tc>
          <w:tcPr>
            <w:tcW w:w="1364"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left="105" w:right="0"/>
              <w:jc w:val="left"/>
              <w:rPr>
                <w:rFonts w:ascii="宋体" w:hAnsi="宋体" w:cs="宋体" w:eastAsia="宋体" w:hint="default"/>
                <w:sz w:val="18"/>
                <w:szCs w:val="18"/>
              </w:rPr>
            </w:pPr>
            <w:r>
              <w:rPr>
                <w:rFonts w:ascii="宋体" w:hAnsi="宋体" w:cs="宋体" w:eastAsia="宋体" w:hint="default"/>
                <w:sz w:val="18"/>
                <w:szCs w:val="18"/>
              </w:rPr>
              <w:t>出资设立</w:t>
            </w:r>
          </w:p>
        </w:tc>
      </w:tr>
      <w:tr>
        <w:trPr>
          <w:trHeight w:val="398"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left="105" w:right="0"/>
              <w:jc w:val="left"/>
              <w:rPr>
                <w:rFonts w:ascii="宋体" w:hAnsi="宋体" w:cs="宋体" w:eastAsia="宋体" w:hint="default"/>
                <w:sz w:val="18"/>
                <w:szCs w:val="18"/>
              </w:rPr>
            </w:pPr>
            <w:r>
              <w:rPr>
                <w:rFonts w:ascii="宋体" w:hAnsi="宋体" w:cs="宋体" w:eastAsia="宋体" w:hint="default"/>
                <w:sz w:val="18"/>
                <w:szCs w:val="18"/>
              </w:rPr>
              <w:t>南京奥拓电子</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z w:val="18"/>
                <w:szCs w:val="18"/>
              </w:rPr>
              <w:t>南京</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南京</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2"/>
                <w:sz w:val="18"/>
              </w:rPr>
              <w:t>100.00%</w:t>
            </w:r>
          </w:p>
        </w:tc>
        <w:tc>
          <w:tcPr>
            <w:tcW w:w="1364"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出资设立</w:t>
            </w:r>
          </w:p>
        </w:tc>
      </w:tr>
    </w:tbl>
    <w:p>
      <w:pPr>
        <w:spacing w:after="0" w:line="240" w:lineRule="auto"/>
        <w:jc w:val="left"/>
        <w:rPr>
          <w:rFonts w:ascii="宋体" w:hAnsi="宋体" w:cs="宋体" w:eastAsia="宋体" w:hint="default"/>
          <w:sz w:val="18"/>
          <w:szCs w:val="18"/>
        </w:rPr>
        <w:sectPr>
          <w:footerReference w:type="default" r:id="rId49"/>
          <w:pgSz w:w="11910" w:h="16840"/>
          <w:pgMar w:footer="1022" w:header="784" w:top="1100" w:bottom="1220" w:left="980" w:right="0"/>
        </w:sectPr>
      </w:pPr>
    </w:p>
    <w:p>
      <w:pPr>
        <w:spacing w:line="240" w:lineRule="auto" w:before="7"/>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1373"/>
        <w:gridCol w:w="1364"/>
        <w:gridCol w:w="1369"/>
        <w:gridCol w:w="1368"/>
        <w:gridCol w:w="1368"/>
        <w:gridCol w:w="1364"/>
        <w:gridCol w:w="1369"/>
      </w:tblGrid>
      <w:tr>
        <w:trPr>
          <w:trHeight w:val="672"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科技有限公司</w:t>
            </w:r>
          </w:p>
          <w:p>
            <w:pPr>
              <w:pStyle w:val="TableParagraph"/>
              <w:spacing w:line="240" w:lineRule="auto" w:before="81"/>
              <w:ind w:left="105" w:right="0"/>
              <w:jc w:val="left"/>
              <w:rPr>
                <w:rFonts w:ascii="宋体" w:hAnsi="宋体" w:cs="宋体" w:eastAsia="宋体" w:hint="default"/>
                <w:sz w:val="18"/>
                <w:szCs w:val="18"/>
              </w:rPr>
            </w:pPr>
            <w:r>
              <w:rPr>
                <w:rFonts w:ascii="宋体" w:hAnsi="宋体" w:cs="宋体" w:eastAsia="宋体" w:hint="default"/>
                <w:sz w:val="18"/>
                <w:szCs w:val="18"/>
              </w:rPr>
              <w:t>（南京奥拓）</w:t>
            </w:r>
          </w:p>
        </w:tc>
        <w:tc>
          <w:tcPr>
            <w:tcW w:w="1364"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r>
      <w:tr>
        <w:trPr>
          <w:trHeight w:val="1028"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321" w:lineRule="auto" w:before="53"/>
              <w:ind w:left="105" w:right="3"/>
              <w:jc w:val="left"/>
              <w:rPr>
                <w:rFonts w:ascii="宋体" w:hAnsi="宋体" w:cs="宋体" w:eastAsia="宋体" w:hint="default"/>
                <w:sz w:val="18"/>
                <w:szCs w:val="18"/>
              </w:rPr>
            </w:pPr>
            <w:r>
              <w:rPr>
                <w:rFonts w:ascii="宋体" w:hAnsi="宋体" w:cs="宋体" w:eastAsia="宋体" w:hint="default"/>
                <w:sz w:val="18"/>
                <w:szCs w:val="18"/>
              </w:rPr>
              <w:t>惠州市奥拓电</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子科技有限公</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4"/>
                <w:sz w:val="18"/>
                <w:szCs w:val="18"/>
              </w:rPr>
              <w:t>司（惠州奥拓）</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left="100" w:right="0"/>
              <w:jc w:val="left"/>
              <w:rPr>
                <w:rFonts w:ascii="宋体" w:hAnsi="宋体" w:cs="宋体" w:eastAsia="宋体" w:hint="default"/>
                <w:sz w:val="18"/>
                <w:szCs w:val="18"/>
              </w:rPr>
            </w:pPr>
            <w:r>
              <w:rPr>
                <w:rFonts w:ascii="宋体" w:hAnsi="宋体" w:cs="宋体" w:eastAsia="宋体" w:hint="default"/>
                <w:sz w:val="18"/>
                <w:szCs w:val="18"/>
              </w:rPr>
              <w:t>惠州</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left="105" w:right="0"/>
              <w:jc w:val="left"/>
              <w:rPr>
                <w:rFonts w:ascii="宋体" w:hAnsi="宋体" w:cs="宋体" w:eastAsia="宋体" w:hint="default"/>
                <w:sz w:val="18"/>
                <w:szCs w:val="18"/>
              </w:rPr>
            </w:pPr>
            <w:r>
              <w:rPr>
                <w:rFonts w:ascii="宋体" w:hAnsi="宋体" w:cs="宋体" w:eastAsia="宋体" w:hint="default"/>
                <w:sz w:val="18"/>
                <w:szCs w:val="18"/>
              </w:rPr>
              <w:t>惠州</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left="105"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2"/>
                <w:sz w:val="18"/>
              </w:rPr>
              <w:t>100.00%</w:t>
            </w:r>
          </w:p>
        </w:tc>
        <w:tc>
          <w:tcPr>
            <w:tcW w:w="1364"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left="105" w:right="0"/>
              <w:jc w:val="left"/>
              <w:rPr>
                <w:rFonts w:ascii="宋体" w:hAnsi="宋体" w:cs="宋体" w:eastAsia="宋体" w:hint="default"/>
                <w:sz w:val="18"/>
                <w:szCs w:val="18"/>
              </w:rPr>
            </w:pPr>
            <w:r>
              <w:rPr>
                <w:rFonts w:ascii="宋体" w:hAnsi="宋体" w:cs="宋体" w:eastAsia="宋体" w:hint="default"/>
                <w:sz w:val="18"/>
                <w:szCs w:val="18"/>
              </w:rPr>
              <w:t>出资设立</w:t>
            </w:r>
          </w:p>
        </w:tc>
      </w:tr>
      <w:tr>
        <w:trPr>
          <w:trHeight w:val="1027"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105" w:right="171"/>
              <w:jc w:val="left"/>
              <w:rPr>
                <w:rFonts w:ascii="宋体" w:hAnsi="宋体" w:cs="宋体" w:eastAsia="宋体" w:hint="default"/>
                <w:sz w:val="18"/>
                <w:szCs w:val="18"/>
              </w:rPr>
            </w:pPr>
            <w:r>
              <w:rPr>
                <w:rFonts w:ascii="宋体" w:hAnsi="宋体" w:cs="宋体" w:eastAsia="宋体" w:hint="default"/>
                <w:spacing w:val="-2"/>
                <w:sz w:val="18"/>
                <w:szCs w:val="18"/>
              </w:rPr>
              <w:t>奥拓电子（香</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港）有限公司</w:t>
            </w:r>
          </w:p>
          <w:p>
            <w:pPr>
              <w:pStyle w:val="TableParagraph"/>
              <w:spacing w:line="240" w:lineRule="auto" w:before="23"/>
              <w:ind w:left="105" w:right="0"/>
              <w:jc w:val="left"/>
              <w:rPr>
                <w:rFonts w:ascii="宋体" w:hAnsi="宋体" w:cs="宋体" w:eastAsia="宋体" w:hint="default"/>
                <w:sz w:val="18"/>
                <w:szCs w:val="18"/>
              </w:rPr>
            </w:pPr>
            <w:r>
              <w:rPr>
                <w:rFonts w:ascii="宋体" w:hAnsi="宋体" w:cs="宋体" w:eastAsia="宋体" w:hint="default"/>
                <w:sz w:val="18"/>
                <w:szCs w:val="18"/>
              </w:rPr>
              <w:t>（香港奥拓）</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100"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2"/>
                <w:sz w:val="18"/>
              </w:rPr>
              <w:t>100.00%</w:t>
            </w:r>
          </w:p>
        </w:tc>
        <w:tc>
          <w:tcPr>
            <w:tcW w:w="1364"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宋体" w:hAnsi="宋体" w:cs="宋体" w:eastAsia="宋体" w:hint="default"/>
                <w:sz w:val="18"/>
                <w:szCs w:val="18"/>
              </w:rPr>
              <w:t>出资设立</w:t>
            </w:r>
          </w:p>
        </w:tc>
      </w:tr>
      <w:tr>
        <w:trPr>
          <w:trHeight w:val="1028"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4"/>
              <w:ind w:left="105" w:right="171"/>
              <w:jc w:val="left"/>
              <w:rPr>
                <w:rFonts w:ascii="宋体" w:hAnsi="宋体" w:cs="宋体" w:eastAsia="宋体" w:hint="default"/>
                <w:sz w:val="18"/>
                <w:szCs w:val="18"/>
              </w:rPr>
            </w:pPr>
            <w:r>
              <w:rPr>
                <w:rFonts w:ascii="宋体" w:hAnsi="宋体" w:cs="宋体" w:eastAsia="宋体" w:hint="default"/>
                <w:spacing w:val="-2"/>
                <w:sz w:val="18"/>
                <w:szCs w:val="18"/>
              </w:rPr>
              <w:t>深圳前海奥拓</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投资有限公司</w:t>
            </w:r>
          </w:p>
          <w:p>
            <w:pPr>
              <w:pStyle w:val="TableParagraph"/>
              <w:spacing w:line="240" w:lineRule="auto" w:before="27"/>
              <w:ind w:left="105" w:right="0"/>
              <w:jc w:val="left"/>
              <w:rPr>
                <w:rFonts w:ascii="宋体" w:hAnsi="宋体" w:cs="宋体" w:eastAsia="宋体" w:hint="default"/>
                <w:sz w:val="18"/>
                <w:szCs w:val="18"/>
              </w:rPr>
            </w:pPr>
            <w:r>
              <w:rPr>
                <w:rFonts w:ascii="宋体" w:hAnsi="宋体" w:cs="宋体" w:eastAsia="宋体" w:hint="default"/>
                <w:sz w:val="18"/>
                <w:szCs w:val="18"/>
              </w:rPr>
              <w:t>（前海奥拓）</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100"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2"/>
                <w:sz w:val="18"/>
              </w:rPr>
              <w:t>100.00%</w:t>
            </w:r>
          </w:p>
        </w:tc>
        <w:tc>
          <w:tcPr>
            <w:tcW w:w="1364"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宋体" w:hAnsi="宋体" w:cs="宋体" w:eastAsia="宋体" w:hint="default"/>
                <w:sz w:val="18"/>
                <w:szCs w:val="18"/>
              </w:rPr>
              <w:t>出资设立</w:t>
            </w:r>
          </w:p>
        </w:tc>
      </w:tr>
      <w:tr>
        <w:trPr>
          <w:trHeight w:val="1023"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3"/>
              <w:ind w:left="105" w:right="3"/>
              <w:jc w:val="left"/>
              <w:rPr>
                <w:rFonts w:ascii="宋体" w:hAnsi="宋体" w:cs="宋体" w:eastAsia="宋体" w:hint="default"/>
                <w:sz w:val="18"/>
                <w:szCs w:val="18"/>
              </w:rPr>
            </w:pPr>
            <w:r>
              <w:rPr>
                <w:rFonts w:ascii="宋体" w:hAnsi="宋体" w:cs="宋体" w:eastAsia="宋体" w:hint="default"/>
                <w:sz w:val="18"/>
                <w:szCs w:val="18"/>
              </w:rPr>
              <w:t>北京市奥拓电</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子科技有限公</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4"/>
                <w:sz w:val="18"/>
                <w:szCs w:val="18"/>
              </w:rPr>
              <w:t>司（北京奥拓）</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100"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2"/>
                <w:sz w:val="18"/>
              </w:rPr>
              <w:t>100.00%</w:t>
            </w:r>
          </w:p>
        </w:tc>
        <w:tc>
          <w:tcPr>
            <w:tcW w:w="1364"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宋体" w:hAnsi="宋体" w:cs="宋体" w:eastAsia="宋体" w:hint="default"/>
                <w:sz w:val="18"/>
                <w:szCs w:val="18"/>
              </w:rPr>
              <w:t>出资设立</w:t>
            </w:r>
          </w:p>
        </w:tc>
      </w:tr>
      <w:tr>
        <w:trPr>
          <w:trHeight w:val="1339"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3"/>
              <w:ind w:left="105" w:right="113"/>
              <w:jc w:val="both"/>
              <w:rPr>
                <w:rFonts w:ascii="宋体" w:hAnsi="宋体" w:cs="宋体" w:eastAsia="宋体" w:hint="default"/>
                <w:sz w:val="18"/>
                <w:szCs w:val="18"/>
              </w:rPr>
            </w:pPr>
            <w:r>
              <w:rPr>
                <w:rFonts w:ascii="宋体" w:hAnsi="宋体" w:cs="宋体" w:eastAsia="宋体" w:hint="default"/>
                <w:sz w:val="18"/>
                <w:szCs w:val="18"/>
              </w:rPr>
              <w:t>深圳市奥拓体</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育文化发展有</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3"/>
                <w:sz w:val="18"/>
                <w:szCs w:val="18"/>
              </w:rPr>
              <w:t>限公司</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奥拓体</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育）</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22"/>
                <w:szCs w:val="2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22"/>
                <w:szCs w:val="22"/>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22"/>
                <w:szCs w:val="22"/>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5"/>
                <w:szCs w:val="25"/>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1"/>
                <w:sz w:val="18"/>
              </w:rPr>
              <w:t>51.00%</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5"/>
                <w:szCs w:val="25"/>
              </w:rPr>
            </w:pPr>
          </w:p>
          <w:p>
            <w:pPr>
              <w:pStyle w:val="TableParagraph"/>
              <w:spacing w:line="240" w:lineRule="auto"/>
              <w:ind w:left="701" w:right="0"/>
              <w:jc w:val="left"/>
              <w:rPr>
                <w:rFonts w:ascii="Times New Roman" w:hAnsi="Times New Roman" w:cs="Times New Roman" w:eastAsia="Times New Roman" w:hint="default"/>
                <w:sz w:val="18"/>
                <w:szCs w:val="18"/>
              </w:rPr>
            </w:pPr>
            <w:r>
              <w:rPr>
                <w:rFonts w:ascii="Times New Roman"/>
                <w:sz w:val="18"/>
              </w:rPr>
              <w:t>27.00%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22"/>
                <w:szCs w:val="22"/>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出资设立</w:t>
            </w:r>
          </w:p>
        </w:tc>
      </w:tr>
      <w:tr>
        <w:trPr>
          <w:trHeight w:val="1028"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4"/>
              <w:ind w:left="105" w:right="171"/>
              <w:jc w:val="both"/>
              <w:rPr>
                <w:rFonts w:ascii="Times New Roman" w:hAnsi="Times New Roman" w:cs="Times New Roman" w:eastAsia="Times New Roman" w:hint="default"/>
                <w:sz w:val="18"/>
                <w:szCs w:val="18"/>
              </w:rPr>
            </w:pPr>
            <w:r>
              <w:rPr>
                <w:rFonts w:ascii="宋体" w:hAnsi="宋体" w:cs="宋体" w:eastAsia="宋体" w:hint="default"/>
                <w:spacing w:val="-2"/>
                <w:sz w:val="18"/>
                <w:szCs w:val="18"/>
              </w:rPr>
              <w:t>深圳市千百辉</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照明工程有限</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公司</w:t>
            </w:r>
            <w:r>
              <w:rPr>
                <w:rFonts w:ascii="Times New Roman" w:hAnsi="Times New Roman" w:cs="Times New Roman" w:eastAsia="Times New Roman" w:hint="default"/>
                <w:sz w:val="18"/>
                <w:szCs w:val="18"/>
              </w:rPr>
              <w:t>(</w:t>
            </w:r>
            <w:r>
              <w:rPr>
                <w:rFonts w:ascii="宋体" w:hAnsi="宋体" w:cs="宋体" w:eastAsia="宋体" w:hint="default"/>
                <w:sz w:val="18"/>
                <w:szCs w:val="18"/>
              </w:rPr>
              <w:t>千百辉</w:t>
            </w:r>
            <w:r>
              <w:rPr>
                <w:rFonts w:ascii="Times New Roman" w:hAnsi="Times New Roman" w:cs="Times New Roman" w:eastAsia="Times New Roman" w:hint="default"/>
                <w:sz w:val="18"/>
                <w:szCs w:val="18"/>
              </w:rPr>
              <w:t>)</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100"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2"/>
                <w:sz w:val="18"/>
              </w:rPr>
              <w:t>100.00%</w:t>
            </w:r>
          </w:p>
        </w:tc>
        <w:tc>
          <w:tcPr>
            <w:tcW w:w="1364"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宋体" w:hAnsi="宋体" w:cs="宋体" w:eastAsia="宋体" w:hint="default"/>
                <w:sz w:val="18"/>
                <w:szCs w:val="18"/>
              </w:rPr>
              <w:t>企业合并</w:t>
            </w:r>
          </w:p>
        </w:tc>
      </w:tr>
      <w:tr>
        <w:trPr>
          <w:trHeight w:val="1340"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3"/>
              <w:ind w:left="105" w:right="171"/>
              <w:jc w:val="both"/>
              <w:rPr>
                <w:rFonts w:ascii="宋体" w:hAnsi="宋体" w:cs="宋体" w:eastAsia="宋体" w:hint="default"/>
                <w:sz w:val="18"/>
                <w:szCs w:val="18"/>
              </w:rPr>
            </w:pPr>
            <w:r>
              <w:rPr>
                <w:rFonts w:ascii="宋体" w:hAnsi="宋体" w:cs="宋体" w:eastAsia="宋体" w:hint="default"/>
                <w:spacing w:val="-2"/>
                <w:sz w:val="18"/>
                <w:szCs w:val="18"/>
              </w:rPr>
              <w:t>深圳市奥拓立</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翔光电科技有</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限公司（奥拓</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立翔）</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24"/>
                <w:szCs w:val="24"/>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1"/>
                <w:sz w:val="18"/>
              </w:rPr>
              <w:t>60.00%</w:t>
            </w:r>
          </w:p>
        </w:tc>
        <w:tc>
          <w:tcPr>
            <w:tcW w:w="1364"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出资设立</w:t>
            </w:r>
          </w:p>
        </w:tc>
      </w:tr>
      <w:tr>
        <w:trPr>
          <w:trHeight w:val="1023"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105" w:right="3"/>
              <w:jc w:val="left"/>
              <w:rPr>
                <w:rFonts w:ascii="宋体" w:hAnsi="宋体" w:cs="宋体" w:eastAsia="宋体" w:hint="default"/>
                <w:sz w:val="18"/>
                <w:szCs w:val="18"/>
              </w:rPr>
            </w:pPr>
            <w:r>
              <w:rPr>
                <w:rFonts w:ascii="宋体" w:hAnsi="宋体" w:cs="宋体" w:eastAsia="宋体" w:hint="default"/>
                <w:sz w:val="18"/>
                <w:szCs w:val="18"/>
              </w:rPr>
              <w:t>武汉市奥拓电</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子科技有限公</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4"/>
                <w:sz w:val="18"/>
                <w:szCs w:val="18"/>
              </w:rPr>
              <w:t>司（武汉奥拓）</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100" w:right="0"/>
              <w:jc w:val="left"/>
              <w:rPr>
                <w:rFonts w:ascii="宋体" w:hAnsi="宋体" w:cs="宋体" w:eastAsia="宋体" w:hint="default"/>
                <w:sz w:val="18"/>
                <w:szCs w:val="18"/>
              </w:rPr>
            </w:pPr>
            <w:r>
              <w:rPr>
                <w:rFonts w:ascii="宋体" w:hAnsi="宋体" w:cs="宋体" w:eastAsia="宋体" w:hint="default"/>
                <w:sz w:val="18"/>
                <w:szCs w:val="18"/>
              </w:rPr>
              <w:t>武汉</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宋体" w:hAnsi="宋体" w:cs="宋体" w:eastAsia="宋体" w:hint="default"/>
                <w:sz w:val="18"/>
                <w:szCs w:val="18"/>
              </w:rPr>
              <w:t>武汉</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2"/>
                <w:sz w:val="18"/>
              </w:rPr>
              <w:t>100.00%</w:t>
            </w:r>
          </w:p>
        </w:tc>
        <w:tc>
          <w:tcPr>
            <w:tcW w:w="1364"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宋体" w:hAnsi="宋体" w:cs="宋体" w:eastAsia="宋体" w:hint="default"/>
                <w:sz w:val="18"/>
                <w:szCs w:val="18"/>
              </w:rPr>
              <w:t>出资设立</w:t>
            </w:r>
          </w:p>
        </w:tc>
      </w:tr>
    </w:tbl>
    <w:p>
      <w:pPr>
        <w:pStyle w:val="BodyText"/>
        <w:spacing w:line="357" w:lineRule="auto" w:before="53"/>
        <w:ind w:right="6714"/>
        <w:jc w:val="left"/>
      </w:pPr>
      <w:r>
        <w:rPr>
          <w:spacing w:val="-3"/>
        </w:rPr>
        <w:t>在子公司的持股比例不同于表决权比例的说明：</w:t>
      </w:r>
      <w:r>
        <w:rPr>
          <w:spacing w:val="-27"/>
        </w:rPr>
        <w:t> </w:t>
      </w:r>
      <w:r>
        <w:rPr>
          <w:spacing w:val="-27"/>
        </w:rPr>
      </w:r>
      <w:r>
        <w:rPr/>
        <w:t>无。</w:t>
      </w:r>
    </w:p>
    <w:p>
      <w:pPr>
        <w:pStyle w:val="BodyText"/>
        <w:spacing w:line="357" w:lineRule="auto" w:before="31"/>
        <w:ind w:right="2643"/>
        <w:jc w:val="left"/>
      </w:pPr>
      <w:r>
        <w:rPr>
          <w:spacing w:val="-3"/>
        </w:rPr>
        <w:t>持有半数或以下表决权但仍控制被投资单位、以及持有半数以上表决权但不控制被投资单位的依据：</w:t>
      </w:r>
      <w:r>
        <w:rPr>
          <w:spacing w:val="37"/>
        </w:rPr>
        <w:t> </w:t>
      </w:r>
      <w:r>
        <w:rPr>
          <w:spacing w:val="37"/>
        </w:rPr>
      </w:r>
      <w:r>
        <w:rPr/>
        <w:t>无。</w:t>
      </w:r>
    </w:p>
    <w:p>
      <w:pPr>
        <w:pStyle w:val="BodyText"/>
        <w:spacing w:line="352" w:lineRule="auto" w:before="32"/>
        <w:ind w:right="6445"/>
        <w:jc w:val="left"/>
      </w:pPr>
      <w:r>
        <w:rPr>
          <w:spacing w:val="-3"/>
        </w:rPr>
        <w:t>对于纳入合并范围的重要的结构化主体，控制的依据：</w:t>
      </w:r>
      <w:r>
        <w:rPr>
          <w:spacing w:val="-16"/>
        </w:rPr>
        <w:t> </w:t>
      </w:r>
      <w:r>
        <w:rPr>
          <w:spacing w:val="-16"/>
        </w:rPr>
      </w:r>
      <w:r>
        <w:rPr/>
        <w:t>无。</w:t>
      </w:r>
    </w:p>
    <w:p>
      <w:pPr>
        <w:pStyle w:val="BodyText"/>
        <w:spacing w:line="357" w:lineRule="auto" w:before="35"/>
        <w:ind w:right="7667"/>
        <w:jc w:val="left"/>
      </w:pPr>
      <w:r>
        <w:rPr>
          <w:spacing w:val="-3"/>
        </w:rPr>
        <w:t>确定公司是代理人还是委托人的依据：</w:t>
      </w:r>
      <w:r>
        <w:rPr>
          <w:spacing w:val="-39"/>
        </w:rPr>
        <w:t> </w:t>
      </w:r>
      <w:r>
        <w:rPr>
          <w:spacing w:val="-39"/>
        </w:rPr>
      </w:r>
      <w:r>
        <w:rPr/>
        <w:t>无。</w:t>
      </w:r>
    </w:p>
    <w:p>
      <w:pPr>
        <w:pStyle w:val="BodyText"/>
        <w:spacing w:line="357" w:lineRule="auto" w:before="31"/>
        <w:ind w:right="9861"/>
        <w:jc w:val="left"/>
      </w:pPr>
      <w:r>
        <w:rPr>
          <w:spacing w:val="-2"/>
        </w:rPr>
        <w:t>其他说明：</w:t>
      </w:r>
      <w:r>
        <w:rPr>
          <w:spacing w:val="-78"/>
        </w:rPr>
        <w:t> </w:t>
      </w:r>
      <w:r>
        <w:rPr>
          <w:spacing w:val="-78"/>
        </w:rPr>
      </w:r>
      <w:r>
        <w:rPr/>
        <w:t>无。</w:t>
      </w:r>
    </w:p>
    <w:p>
      <w:pPr>
        <w:spacing w:after="0" w:line="357" w:lineRule="auto"/>
        <w:jc w:val="left"/>
        <w:sectPr>
          <w:footerReference w:type="default" r:id="rId50"/>
          <w:pgSz w:w="11910" w:h="16840"/>
          <w:pgMar w:footer="1022" w:header="784" w:top="1100" w:bottom="1220" w:left="980" w:right="0"/>
          <w:pgNumType w:start="201"/>
        </w:sectPr>
      </w:pPr>
    </w:p>
    <w:p>
      <w:pPr>
        <w:spacing w:line="240" w:lineRule="auto" w:before="13"/>
        <w:rPr>
          <w:rFonts w:ascii="宋体" w:hAnsi="宋体" w:cs="宋体" w:eastAsia="宋体" w:hint="default"/>
          <w:sz w:val="21"/>
          <w:szCs w:val="21"/>
        </w:rPr>
      </w:pPr>
    </w:p>
    <w:p>
      <w:pPr>
        <w:pStyle w:val="Heading4"/>
        <w:spacing w:line="240" w:lineRule="auto" w:before="36"/>
        <w:ind w:right="0"/>
        <w:jc w:val="left"/>
        <w:rPr>
          <w:b w:val="0"/>
          <w:bCs w:val="0"/>
        </w:rPr>
      </w:pPr>
      <w:bookmarkStart w:name="（2）重要的非全资子公司" w:id="447"/>
      <w:bookmarkEnd w:id="447"/>
      <w:r>
        <w:rPr>
          <w:b w:val="0"/>
          <w:bCs w:val="0"/>
        </w:rPr>
      </w:r>
      <w:r>
        <w:rPr/>
        <w:t>（</w:t>
      </w:r>
      <w:r>
        <w:rPr>
          <w:rFonts w:ascii="Times New Roman" w:hAnsi="Times New Roman" w:cs="Times New Roman" w:eastAsia="Times New Roman" w:hint="default"/>
        </w:rPr>
        <w:t>2</w:t>
      </w:r>
      <w:r>
        <w:rPr/>
        <w:t>）重要的非全资子公司</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16"/>
        <w:gridCol w:w="1916"/>
        <w:gridCol w:w="1916"/>
        <w:gridCol w:w="1911"/>
        <w:gridCol w:w="1916"/>
      </w:tblGrid>
      <w:tr>
        <w:trPr>
          <w:trHeight w:val="764"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504"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35" w:right="0"/>
              <w:jc w:val="left"/>
              <w:rPr>
                <w:rFonts w:ascii="宋体" w:hAnsi="宋体" w:cs="宋体" w:eastAsia="宋体" w:hint="default"/>
                <w:sz w:val="18"/>
                <w:szCs w:val="18"/>
              </w:rPr>
            </w:pPr>
            <w:r>
              <w:rPr>
                <w:rFonts w:ascii="宋体" w:hAnsi="宋体" w:cs="宋体" w:eastAsia="宋体" w:hint="default"/>
                <w:sz w:val="18"/>
                <w:szCs w:val="18"/>
              </w:rPr>
              <w:t>少数股东持股比例</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78"/>
              <w:ind w:left="686" w:right="137" w:hanging="543"/>
              <w:jc w:val="left"/>
              <w:rPr>
                <w:rFonts w:ascii="宋体" w:hAnsi="宋体" w:cs="宋体" w:eastAsia="宋体" w:hint="default"/>
                <w:sz w:val="18"/>
                <w:szCs w:val="18"/>
              </w:rPr>
            </w:pPr>
            <w:r>
              <w:rPr>
                <w:rFonts w:ascii="宋体" w:hAnsi="宋体" w:cs="宋体" w:eastAsia="宋体" w:hint="default"/>
                <w:spacing w:val="-3"/>
                <w:sz w:val="18"/>
                <w:szCs w:val="18"/>
              </w:rPr>
              <w:t>本期归属于少数股东</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的损益</w:t>
            </w:r>
          </w:p>
        </w:tc>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78"/>
              <w:ind w:left="499" w:right="137" w:hanging="360"/>
              <w:jc w:val="left"/>
              <w:rPr>
                <w:rFonts w:ascii="宋体" w:hAnsi="宋体" w:cs="宋体" w:eastAsia="宋体" w:hint="default"/>
                <w:sz w:val="18"/>
                <w:szCs w:val="18"/>
              </w:rPr>
            </w:pPr>
            <w:r>
              <w:rPr>
                <w:rFonts w:ascii="宋体" w:hAnsi="宋体" w:cs="宋体" w:eastAsia="宋体" w:hint="default"/>
                <w:spacing w:val="-3"/>
                <w:sz w:val="18"/>
                <w:szCs w:val="18"/>
              </w:rPr>
              <w:t>本期向少数股东宣告</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分派的股利</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78"/>
              <w:ind w:left="864" w:right="137" w:hanging="721"/>
              <w:jc w:val="left"/>
              <w:rPr>
                <w:rFonts w:ascii="宋体" w:hAnsi="宋体" w:cs="宋体" w:eastAsia="宋体" w:hint="default"/>
                <w:sz w:val="18"/>
                <w:szCs w:val="18"/>
              </w:rPr>
            </w:pPr>
            <w:r>
              <w:rPr>
                <w:rFonts w:ascii="宋体" w:hAnsi="宋体" w:cs="宋体" w:eastAsia="宋体" w:hint="default"/>
                <w:spacing w:val="-3"/>
                <w:sz w:val="18"/>
                <w:szCs w:val="18"/>
              </w:rPr>
              <w:t>期末少数股东权益余</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额</w:t>
            </w:r>
          </w:p>
        </w:tc>
      </w:tr>
      <w:tr>
        <w:trPr>
          <w:trHeight w:val="403"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奥拓立翔</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6"/>
              <w:jc w:val="right"/>
              <w:rPr>
                <w:rFonts w:ascii="Times New Roman" w:hAnsi="Times New Roman" w:cs="Times New Roman" w:eastAsia="Times New Roman" w:hint="default"/>
                <w:sz w:val="18"/>
                <w:szCs w:val="18"/>
              </w:rPr>
            </w:pPr>
            <w:r>
              <w:rPr>
                <w:rFonts w:ascii="Times New Roman"/>
                <w:spacing w:val="-1"/>
                <w:sz w:val="18"/>
              </w:rPr>
              <w:t>40.00%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-277,902.08</w:t>
            </w:r>
          </w:p>
        </w:tc>
        <w:tc>
          <w:tcPr>
            <w:tcW w:w="1911"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18,370,735.54</w:t>
            </w:r>
          </w:p>
        </w:tc>
      </w:tr>
      <w:tr>
        <w:trPr>
          <w:trHeight w:val="403"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奥拓体育发展</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6"/>
              <w:jc w:val="right"/>
              <w:rPr>
                <w:rFonts w:ascii="Times New Roman" w:hAnsi="Times New Roman" w:cs="Times New Roman" w:eastAsia="Times New Roman" w:hint="default"/>
                <w:sz w:val="18"/>
                <w:szCs w:val="18"/>
              </w:rPr>
            </w:pPr>
            <w:r>
              <w:rPr>
                <w:rFonts w:ascii="Times New Roman"/>
                <w:spacing w:val="-1"/>
                <w:sz w:val="18"/>
              </w:rPr>
              <w:t>22.00%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-58,759.39</w:t>
            </w:r>
          </w:p>
        </w:tc>
        <w:tc>
          <w:tcPr>
            <w:tcW w:w="1911"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85,115.97</w:t>
            </w:r>
          </w:p>
        </w:tc>
      </w:tr>
    </w:tbl>
    <w:p>
      <w:pPr>
        <w:pStyle w:val="BodyText"/>
        <w:spacing w:line="357" w:lineRule="auto" w:before="54"/>
        <w:ind w:right="6445"/>
        <w:jc w:val="left"/>
      </w:pPr>
      <w:r>
        <w:rPr>
          <w:spacing w:val="-3"/>
        </w:rPr>
        <w:t>子公司少数股东的持股比例不同于表决权比例的说明：</w:t>
      </w:r>
      <w:r>
        <w:rPr>
          <w:spacing w:val="-16"/>
        </w:rPr>
        <w:t> </w:t>
      </w:r>
      <w:r>
        <w:rPr>
          <w:spacing w:val="-16"/>
        </w:rPr>
      </w:r>
      <w:r>
        <w:rPr/>
        <w:t>无。</w:t>
      </w:r>
    </w:p>
    <w:p>
      <w:pPr>
        <w:pStyle w:val="BodyText"/>
        <w:spacing w:line="352" w:lineRule="auto" w:before="31"/>
        <w:ind w:right="9861"/>
        <w:jc w:val="left"/>
      </w:pPr>
      <w:r>
        <w:rPr>
          <w:spacing w:val="-2"/>
        </w:rPr>
        <w:t>其他说明：</w:t>
      </w:r>
      <w:r>
        <w:rPr>
          <w:spacing w:val="-78"/>
        </w:rPr>
        <w:t> </w:t>
      </w:r>
      <w:r>
        <w:rPr>
          <w:spacing w:val="-78"/>
        </w:rPr>
      </w:r>
      <w:r>
        <w:rPr/>
        <w:t>无。</w:t>
      </w:r>
    </w:p>
    <w:p>
      <w:pPr>
        <w:spacing w:line="240" w:lineRule="auto" w:before="8"/>
        <w:rPr>
          <w:rFonts w:ascii="宋体" w:hAnsi="宋体" w:cs="宋体" w:eastAsia="宋体" w:hint="default"/>
          <w:sz w:val="20"/>
          <w:szCs w:val="20"/>
        </w:rPr>
      </w:pPr>
    </w:p>
    <w:p>
      <w:pPr>
        <w:pStyle w:val="Heading4"/>
        <w:spacing w:line="240" w:lineRule="auto"/>
        <w:ind w:right="0"/>
        <w:jc w:val="left"/>
        <w:rPr>
          <w:b w:val="0"/>
          <w:bCs w:val="0"/>
        </w:rPr>
      </w:pPr>
      <w:bookmarkStart w:name="（3）重要非全资子公司的主要财务信息" w:id="448"/>
      <w:bookmarkEnd w:id="448"/>
      <w:r>
        <w:rPr>
          <w:b w:val="0"/>
          <w:bCs w:val="0"/>
        </w:rPr>
      </w:r>
      <w:r>
        <w:rPr/>
        <w:t>（</w:t>
      </w:r>
      <w:r>
        <w:rPr>
          <w:rFonts w:ascii="Times New Roman" w:hAnsi="Times New Roman" w:cs="Times New Roman" w:eastAsia="Times New Roman" w:hint="default"/>
        </w:rPr>
        <w:t>3</w:t>
      </w:r>
      <w:r>
        <w:rPr/>
        <w:t>）重要非全资子公司的主要财务信息</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734"/>
        <w:gridCol w:w="740"/>
        <w:gridCol w:w="735"/>
        <w:gridCol w:w="734"/>
        <w:gridCol w:w="740"/>
        <w:gridCol w:w="734"/>
        <w:gridCol w:w="735"/>
        <w:gridCol w:w="735"/>
        <w:gridCol w:w="734"/>
        <w:gridCol w:w="735"/>
        <w:gridCol w:w="739"/>
        <w:gridCol w:w="735"/>
        <w:gridCol w:w="739"/>
      </w:tblGrid>
      <w:tr>
        <w:trPr>
          <w:trHeight w:val="403" w:hRule="exact"/>
        </w:trPr>
        <w:tc>
          <w:tcPr>
            <w:tcW w:w="73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319" w:lineRule="auto"/>
              <w:ind w:left="182" w:right="175"/>
              <w:jc w:val="both"/>
              <w:rPr>
                <w:rFonts w:ascii="宋体" w:hAnsi="宋体" w:cs="宋体" w:eastAsia="宋体" w:hint="default"/>
                <w:sz w:val="18"/>
                <w:szCs w:val="18"/>
              </w:rPr>
            </w:pPr>
            <w:r>
              <w:rPr>
                <w:rFonts w:ascii="宋体" w:hAnsi="宋体" w:cs="宋体" w:eastAsia="宋体" w:hint="default"/>
                <w:sz w:val="18"/>
                <w:szCs w:val="18"/>
              </w:rPr>
              <w:t>子公</w:t>
            </w:r>
            <w:r>
              <w:rPr>
                <w:rFonts w:ascii="宋体" w:hAnsi="宋体" w:cs="宋体" w:eastAsia="宋体" w:hint="default"/>
                <w:spacing w:val="-86"/>
                <w:sz w:val="18"/>
                <w:szCs w:val="18"/>
              </w:rPr>
              <w:t> </w:t>
            </w:r>
            <w:r>
              <w:rPr>
                <w:rFonts w:ascii="宋体" w:hAnsi="宋体" w:cs="宋体" w:eastAsia="宋体" w:hint="default"/>
                <w:sz w:val="18"/>
                <w:szCs w:val="18"/>
              </w:rPr>
              <w:t>司名</w:t>
            </w:r>
            <w:r>
              <w:rPr>
                <w:rFonts w:ascii="宋体" w:hAnsi="宋体" w:cs="宋体" w:eastAsia="宋体" w:hint="default"/>
                <w:spacing w:val="-86"/>
                <w:sz w:val="18"/>
                <w:szCs w:val="18"/>
              </w:rPr>
              <w:t> </w:t>
            </w:r>
            <w:r>
              <w:rPr>
                <w:rFonts w:ascii="宋体" w:hAnsi="宋体" w:cs="宋体" w:eastAsia="宋体" w:hint="default"/>
                <w:sz w:val="18"/>
                <w:szCs w:val="18"/>
              </w:rPr>
              <w:t>称</w:t>
            </w:r>
          </w:p>
        </w:tc>
        <w:tc>
          <w:tcPr>
            <w:tcW w:w="441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417"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023" w:hRule="exact"/>
        </w:trPr>
        <w:tc>
          <w:tcPr>
            <w:tcW w:w="734" w:type="dxa"/>
            <w:vMerge/>
            <w:tcBorders>
              <w:left w:val="single" w:sz="4" w:space="0" w:color="000000"/>
              <w:bottom w:val="single" w:sz="4" w:space="0" w:color="000000"/>
              <w:right w:val="single" w:sz="4" w:space="0" w:color="000000"/>
            </w:tcBorders>
            <w:shd w:val="clear" w:color="auto" w:fill="D2D2D2"/>
          </w:tcPr>
          <w:p>
            <w:pPr/>
          </w:p>
        </w:tc>
        <w:tc>
          <w:tcPr>
            <w:tcW w:w="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82" w:right="180"/>
              <w:jc w:val="left"/>
              <w:rPr>
                <w:rFonts w:ascii="宋体" w:hAnsi="宋体" w:cs="宋体" w:eastAsia="宋体" w:hint="default"/>
                <w:sz w:val="18"/>
                <w:szCs w:val="18"/>
              </w:rPr>
            </w:pPr>
            <w:r>
              <w:rPr>
                <w:rFonts w:ascii="宋体" w:hAnsi="宋体" w:cs="宋体" w:eastAsia="宋体" w:hint="default"/>
                <w:sz w:val="18"/>
                <w:szCs w:val="18"/>
              </w:rPr>
              <w:t>流动</w:t>
            </w:r>
            <w:r>
              <w:rPr>
                <w:rFonts w:ascii="宋体" w:hAnsi="宋体" w:cs="宋体" w:eastAsia="宋体" w:hint="default"/>
                <w:spacing w:val="-86"/>
                <w:sz w:val="18"/>
                <w:szCs w:val="18"/>
              </w:rPr>
              <w:t> </w:t>
            </w:r>
            <w:r>
              <w:rPr>
                <w:rFonts w:ascii="宋体" w:hAnsi="宋体" w:cs="宋体" w:eastAsia="宋体" w:hint="default"/>
                <w:sz w:val="18"/>
                <w:szCs w:val="18"/>
              </w:rPr>
              <w:t>资产</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177" w:right="180"/>
              <w:jc w:val="both"/>
              <w:rPr>
                <w:rFonts w:ascii="宋体" w:hAnsi="宋体" w:cs="宋体" w:eastAsia="宋体" w:hint="default"/>
                <w:sz w:val="18"/>
                <w:szCs w:val="18"/>
              </w:rPr>
            </w:pPr>
            <w:r>
              <w:rPr>
                <w:rFonts w:ascii="宋体" w:hAnsi="宋体" w:cs="宋体" w:eastAsia="宋体" w:hint="default"/>
                <w:sz w:val="18"/>
                <w:szCs w:val="18"/>
              </w:rPr>
              <w:t>非流</w:t>
            </w:r>
            <w:r>
              <w:rPr>
                <w:rFonts w:ascii="宋体" w:hAnsi="宋体" w:cs="宋体" w:eastAsia="宋体" w:hint="default"/>
                <w:spacing w:val="-86"/>
                <w:sz w:val="18"/>
                <w:szCs w:val="18"/>
              </w:rPr>
              <w:t> </w:t>
            </w:r>
            <w:r>
              <w:rPr>
                <w:rFonts w:ascii="宋体" w:hAnsi="宋体" w:cs="宋体" w:eastAsia="宋体" w:hint="default"/>
                <w:sz w:val="18"/>
                <w:szCs w:val="18"/>
              </w:rPr>
              <w:t>动资</w:t>
            </w:r>
            <w:r>
              <w:rPr>
                <w:rFonts w:ascii="宋体" w:hAnsi="宋体" w:cs="宋体" w:eastAsia="宋体" w:hint="default"/>
                <w:spacing w:val="-86"/>
                <w:sz w:val="18"/>
                <w:szCs w:val="18"/>
              </w:rPr>
              <w:t> </w:t>
            </w:r>
            <w:r>
              <w:rPr>
                <w:rFonts w:ascii="宋体" w:hAnsi="宋体" w:cs="宋体" w:eastAsia="宋体" w:hint="default"/>
                <w:sz w:val="18"/>
                <w:szCs w:val="18"/>
              </w:rPr>
              <w:t>产</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82" w:right="175"/>
              <w:jc w:val="left"/>
              <w:rPr>
                <w:rFonts w:ascii="宋体" w:hAnsi="宋体" w:cs="宋体" w:eastAsia="宋体" w:hint="default"/>
                <w:sz w:val="18"/>
                <w:szCs w:val="18"/>
              </w:rPr>
            </w:pPr>
            <w:r>
              <w:rPr>
                <w:rFonts w:ascii="宋体" w:hAnsi="宋体" w:cs="宋体" w:eastAsia="宋体" w:hint="default"/>
                <w:sz w:val="18"/>
                <w:szCs w:val="18"/>
              </w:rPr>
              <w:t>资产</w:t>
            </w:r>
            <w:r>
              <w:rPr>
                <w:rFonts w:ascii="宋体" w:hAnsi="宋体" w:cs="宋体" w:eastAsia="宋体" w:hint="default"/>
                <w:spacing w:val="-86"/>
                <w:sz w:val="18"/>
                <w:szCs w:val="18"/>
              </w:rPr>
              <w:t> </w:t>
            </w:r>
            <w:r>
              <w:rPr>
                <w:rFonts w:ascii="宋体" w:hAnsi="宋体" w:cs="宋体" w:eastAsia="宋体" w:hint="default"/>
                <w:sz w:val="18"/>
                <w:szCs w:val="18"/>
              </w:rPr>
              <w:t>合计</w:t>
            </w:r>
          </w:p>
        </w:tc>
        <w:tc>
          <w:tcPr>
            <w:tcW w:w="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82" w:right="182"/>
              <w:jc w:val="left"/>
              <w:rPr>
                <w:rFonts w:ascii="宋体" w:hAnsi="宋体" w:cs="宋体" w:eastAsia="宋体" w:hint="default"/>
                <w:sz w:val="18"/>
                <w:szCs w:val="18"/>
              </w:rPr>
            </w:pPr>
            <w:r>
              <w:rPr>
                <w:rFonts w:ascii="宋体" w:hAnsi="宋体" w:cs="宋体" w:eastAsia="宋体" w:hint="default"/>
                <w:sz w:val="18"/>
                <w:szCs w:val="18"/>
              </w:rPr>
              <w:t>流动</w:t>
            </w:r>
            <w:r>
              <w:rPr>
                <w:rFonts w:ascii="宋体" w:hAnsi="宋体" w:cs="宋体" w:eastAsia="宋体" w:hint="default"/>
                <w:spacing w:val="-86"/>
                <w:sz w:val="18"/>
                <w:szCs w:val="18"/>
              </w:rPr>
              <w:t> </w:t>
            </w:r>
            <w:r>
              <w:rPr>
                <w:rFonts w:ascii="宋体" w:hAnsi="宋体" w:cs="宋体" w:eastAsia="宋体" w:hint="default"/>
                <w:sz w:val="18"/>
                <w:szCs w:val="18"/>
              </w:rPr>
              <w:t>负债</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177" w:right="180"/>
              <w:jc w:val="both"/>
              <w:rPr>
                <w:rFonts w:ascii="宋体" w:hAnsi="宋体" w:cs="宋体" w:eastAsia="宋体" w:hint="default"/>
                <w:sz w:val="18"/>
                <w:szCs w:val="18"/>
              </w:rPr>
            </w:pPr>
            <w:r>
              <w:rPr>
                <w:rFonts w:ascii="宋体" w:hAnsi="宋体" w:cs="宋体" w:eastAsia="宋体" w:hint="default"/>
                <w:sz w:val="18"/>
                <w:szCs w:val="18"/>
              </w:rPr>
              <w:t>非流</w:t>
            </w:r>
            <w:r>
              <w:rPr>
                <w:rFonts w:ascii="宋体" w:hAnsi="宋体" w:cs="宋体" w:eastAsia="宋体" w:hint="default"/>
                <w:spacing w:val="-86"/>
                <w:sz w:val="18"/>
                <w:szCs w:val="18"/>
              </w:rPr>
              <w:t> </w:t>
            </w:r>
            <w:r>
              <w:rPr>
                <w:rFonts w:ascii="宋体" w:hAnsi="宋体" w:cs="宋体" w:eastAsia="宋体" w:hint="default"/>
                <w:sz w:val="18"/>
                <w:szCs w:val="18"/>
              </w:rPr>
              <w:t>动负</w:t>
            </w:r>
            <w:r>
              <w:rPr>
                <w:rFonts w:ascii="宋体" w:hAnsi="宋体" w:cs="宋体" w:eastAsia="宋体" w:hint="default"/>
                <w:spacing w:val="-86"/>
                <w:sz w:val="18"/>
                <w:szCs w:val="18"/>
              </w:rPr>
              <w:t> </w:t>
            </w:r>
            <w:r>
              <w:rPr>
                <w:rFonts w:ascii="宋体" w:hAnsi="宋体" w:cs="宋体" w:eastAsia="宋体" w:hint="default"/>
                <w:sz w:val="18"/>
                <w:szCs w:val="18"/>
              </w:rPr>
              <w:t>债</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82" w:right="175"/>
              <w:jc w:val="left"/>
              <w:rPr>
                <w:rFonts w:ascii="宋体" w:hAnsi="宋体" w:cs="宋体" w:eastAsia="宋体" w:hint="default"/>
                <w:sz w:val="18"/>
                <w:szCs w:val="18"/>
              </w:rPr>
            </w:pPr>
            <w:r>
              <w:rPr>
                <w:rFonts w:ascii="宋体" w:hAnsi="宋体" w:cs="宋体" w:eastAsia="宋体" w:hint="default"/>
                <w:sz w:val="18"/>
                <w:szCs w:val="18"/>
              </w:rPr>
              <w:t>负债</w:t>
            </w:r>
            <w:r>
              <w:rPr>
                <w:rFonts w:ascii="宋体" w:hAnsi="宋体" w:cs="宋体" w:eastAsia="宋体" w:hint="default"/>
                <w:spacing w:val="-86"/>
                <w:sz w:val="18"/>
                <w:szCs w:val="18"/>
              </w:rPr>
              <w:t> </w:t>
            </w:r>
            <w:r>
              <w:rPr>
                <w:rFonts w:ascii="宋体" w:hAnsi="宋体" w:cs="宋体" w:eastAsia="宋体" w:hint="default"/>
                <w:sz w:val="18"/>
                <w:szCs w:val="18"/>
              </w:rPr>
              <w:t>合计</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82" w:right="177"/>
              <w:jc w:val="left"/>
              <w:rPr>
                <w:rFonts w:ascii="宋体" w:hAnsi="宋体" w:cs="宋体" w:eastAsia="宋体" w:hint="default"/>
                <w:sz w:val="18"/>
                <w:szCs w:val="18"/>
              </w:rPr>
            </w:pPr>
            <w:r>
              <w:rPr>
                <w:rFonts w:ascii="宋体" w:hAnsi="宋体" w:cs="宋体" w:eastAsia="宋体" w:hint="default"/>
                <w:sz w:val="18"/>
                <w:szCs w:val="18"/>
              </w:rPr>
              <w:t>流动</w:t>
            </w:r>
            <w:r>
              <w:rPr>
                <w:rFonts w:ascii="宋体" w:hAnsi="宋体" w:cs="宋体" w:eastAsia="宋体" w:hint="default"/>
                <w:spacing w:val="-86"/>
                <w:sz w:val="18"/>
                <w:szCs w:val="18"/>
              </w:rPr>
              <w:t> </w:t>
            </w:r>
            <w:r>
              <w:rPr>
                <w:rFonts w:ascii="宋体" w:hAnsi="宋体" w:cs="宋体" w:eastAsia="宋体" w:hint="default"/>
                <w:sz w:val="18"/>
                <w:szCs w:val="18"/>
              </w:rPr>
              <w:t>资产</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182" w:right="175"/>
              <w:jc w:val="both"/>
              <w:rPr>
                <w:rFonts w:ascii="宋体" w:hAnsi="宋体" w:cs="宋体" w:eastAsia="宋体" w:hint="default"/>
                <w:sz w:val="18"/>
                <w:szCs w:val="18"/>
              </w:rPr>
            </w:pPr>
            <w:r>
              <w:rPr>
                <w:rFonts w:ascii="宋体" w:hAnsi="宋体" w:cs="宋体" w:eastAsia="宋体" w:hint="default"/>
                <w:sz w:val="18"/>
                <w:szCs w:val="18"/>
              </w:rPr>
              <w:t>非流</w:t>
            </w:r>
            <w:r>
              <w:rPr>
                <w:rFonts w:ascii="宋体" w:hAnsi="宋体" w:cs="宋体" w:eastAsia="宋体" w:hint="default"/>
                <w:spacing w:val="-86"/>
                <w:sz w:val="18"/>
                <w:szCs w:val="18"/>
              </w:rPr>
              <w:t> </w:t>
            </w:r>
            <w:r>
              <w:rPr>
                <w:rFonts w:ascii="宋体" w:hAnsi="宋体" w:cs="宋体" w:eastAsia="宋体" w:hint="default"/>
                <w:sz w:val="18"/>
                <w:szCs w:val="18"/>
              </w:rPr>
              <w:t>动资</w:t>
            </w:r>
            <w:r>
              <w:rPr>
                <w:rFonts w:ascii="宋体" w:hAnsi="宋体" w:cs="宋体" w:eastAsia="宋体" w:hint="default"/>
                <w:spacing w:val="-86"/>
                <w:sz w:val="18"/>
                <w:szCs w:val="18"/>
              </w:rPr>
              <w:t> </w:t>
            </w:r>
            <w:r>
              <w:rPr>
                <w:rFonts w:ascii="宋体" w:hAnsi="宋体" w:cs="宋体" w:eastAsia="宋体" w:hint="default"/>
                <w:sz w:val="18"/>
                <w:szCs w:val="18"/>
              </w:rPr>
              <w:t>产</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82" w:right="176"/>
              <w:jc w:val="left"/>
              <w:rPr>
                <w:rFonts w:ascii="宋体" w:hAnsi="宋体" w:cs="宋体" w:eastAsia="宋体" w:hint="default"/>
                <w:sz w:val="18"/>
                <w:szCs w:val="18"/>
              </w:rPr>
            </w:pPr>
            <w:r>
              <w:rPr>
                <w:rFonts w:ascii="宋体" w:hAnsi="宋体" w:cs="宋体" w:eastAsia="宋体" w:hint="default"/>
                <w:sz w:val="18"/>
                <w:szCs w:val="18"/>
              </w:rPr>
              <w:t>资产</w:t>
            </w:r>
            <w:r>
              <w:rPr>
                <w:rFonts w:ascii="宋体" w:hAnsi="宋体" w:cs="宋体" w:eastAsia="宋体" w:hint="default"/>
                <w:spacing w:val="-86"/>
                <w:sz w:val="18"/>
                <w:szCs w:val="18"/>
              </w:rPr>
              <w:t> </w:t>
            </w:r>
            <w:r>
              <w:rPr>
                <w:rFonts w:ascii="宋体" w:hAnsi="宋体" w:cs="宋体" w:eastAsia="宋体" w:hint="default"/>
                <w:sz w:val="18"/>
                <w:szCs w:val="18"/>
              </w:rPr>
              <w:t>合计</w:t>
            </w:r>
          </w:p>
        </w:tc>
        <w:tc>
          <w:tcPr>
            <w:tcW w:w="7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87" w:right="175"/>
              <w:jc w:val="left"/>
              <w:rPr>
                <w:rFonts w:ascii="宋体" w:hAnsi="宋体" w:cs="宋体" w:eastAsia="宋体" w:hint="default"/>
                <w:sz w:val="18"/>
                <w:szCs w:val="18"/>
              </w:rPr>
            </w:pPr>
            <w:r>
              <w:rPr>
                <w:rFonts w:ascii="宋体" w:hAnsi="宋体" w:cs="宋体" w:eastAsia="宋体" w:hint="default"/>
                <w:sz w:val="18"/>
                <w:szCs w:val="18"/>
              </w:rPr>
              <w:t>流动</w:t>
            </w:r>
            <w:r>
              <w:rPr>
                <w:rFonts w:ascii="宋体" w:hAnsi="宋体" w:cs="宋体" w:eastAsia="宋体" w:hint="default"/>
                <w:spacing w:val="-86"/>
                <w:sz w:val="18"/>
                <w:szCs w:val="18"/>
              </w:rPr>
              <w:t> </w:t>
            </w:r>
            <w:r>
              <w:rPr>
                <w:rFonts w:ascii="宋体" w:hAnsi="宋体" w:cs="宋体" w:eastAsia="宋体" w:hint="default"/>
                <w:sz w:val="18"/>
                <w:szCs w:val="18"/>
              </w:rPr>
              <w:t>负债</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182" w:right="177"/>
              <w:jc w:val="both"/>
              <w:rPr>
                <w:rFonts w:ascii="宋体" w:hAnsi="宋体" w:cs="宋体" w:eastAsia="宋体" w:hint="default"/>
                <w:sz w:val="18"/>
                <w:szCs w:val="18"/>
              </w:rPr>
            </w:pPr>
            <w:r>
              <w:rPr>
                <w:rFonts w:ascii="宋体" w:hAnsi="宋体" w:cs="宋体" w:eastAsia="宋体" w:hint="default"/>
                <w:sz w:val="18"/>
                <w:szCs w:val="18"/>
              </w:rPr>
              <w:t>非流</w:t>
            </w:r>
            <w:r>
              <w:rPr>
                <w:rFonts w:ascii="宋体" w:hAnsi="宋体" w:cs="宋体" w:eastAsia="宋体" w:hint="default"/>
                <w:spacing w:val="-86"/>
                <w:sz w:val="18"/>
                <w:szCs w:val="18"/>
              </w:rPr>
              <w:t> </w:t>
            </w:r>
            <w:r>
              <w:rPr>
                <w:rFonts w:ascii="宋体" w:hAnsi="宋体" w:cs="宋体" w:eastAsia="宋体" w:hint="default"/>
                <w:sz w:val="18"/>
                <w:szCs w:val="18"/>
              </w:rPr>
              <w:t>动负</w:t>
            </w:r>
            <w:r>
              <w:rPr>
                <w:rFonts w:ascii="宋体" w:hAnsi="宋体" w:cs="宋体" w:eastAsia="宋体" w:hint="default"/>
                <w:spacing w:val="-86"/>
                <w:sz w:val="18"/>
                <w:szCs w:val="18"/>
              </w:rPr>
              <w:t> </w:t>
            </w:r>
            <w:r>
              <w:rPr>
                <w:rFonts w:ascii="宋体" w:hAnsi="宋体" w:cs="宋体" w:eastAsia="宋体" w:hint="default"/>
                <w:sz w:val="18"/>
                <w:szCs w:val="18"/>
              </w:rPr>
              <w:t>债</w:t>
            </w:r>
          </w:p>
        </w:tc>
        <w:tc>
          <w:tcPr>
            <w:tcW w:w="7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82" w:right="180"/>
              <w:jc w:val="left"/>
              <w:rPr>
                <w:rFonts w:ascii="宋体" w:hAnsi="宋体" w:cs="宋体" w:eastAsia="宋体" w:hint="default"/>
                <w:sz w:val="18"/>
                <w:szCs w:val="18"/>
              </w:rPr>
            </w:pPr>
            <w:r>
              <w:rPr>
                <w:rFonts w:ascii="宋体" w:hAnsi="宋体" w:cs="宋体" w:eastAsia="宋体" w:hint="default"/>
                <w:sz w:val="18"/>
                <w:szCs w:val="18"/>
              </w:rPr>
              <w:t>负债</w:t>
            </w:r>
            <w:r>
              <w:rPr>
                <w:rFonts w:ascii="宋体" w:hAnsi="宋体" w:cs="宋体" w:eastAsia="宋体" w:hint="default"/>
                <w:spacing w:val="-86"/>
                <w:sz w:val="18"/>
                <w:szCs w:val="18"/>
              </w:rPr>
              <w:t> </w:t>
            </w:r>
            <w:r>
              <w:rPr>
                <w:rFonts w:ascii="宋体" w:hAnsi="宋体" w:cs="宋体" w:eastAsia="宋体" w:hint="default"/>
                <w:sz w:val="18"/>
                <w:szCs w:val="18"/>
              </w:rPr>
              <w:t>合计</w:t>
            </w:r>
          </w:p>
        </w:tc>
      </w:tr>
      <w:tr>
        <w:trPr>
          <w:trHeight w:val="1027" w:hRule="exact"/>
        </w:trPr>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316" w:lineRule="auto"/>
              <w:ind w:left="105" w:right="252"/>
              <w:jc w:val="left"/>
              <w:rPr>
                <w:rFonts w:ascii="宋体" w:hAnsi="宋体" w:cs="宋体" w:eastAsia="宋体" w:hint="default"/>
                <w:sz w:val="18"/>
                <w:szCs w:val="18"/>
              </w:rPr>
            </w:pPr>
            <w:r>
              <w:rPr>
                <w:rFonts w:ascii="宋体" w:hAnsi="宋体" w:cs="宋体" w:eastAsia="宋体" w:hint="default"/>
                <w:sz w:val="18"/>
                <w:szCs w:val="18"/>
              </w:rPr>
              <w:t>奥拓</w:t>
            </w:r>
            <w:r>
              <w:rPr>
                <w:rFonts w:ascii="宋体" w:hAnsi="宋体" w:cs="宋体" w:eastAsia="宋体" w:hint="default"/>
                <w:spacing w:val="-86"/>
                <w:sz w:val="18"/>
                <w:szCs w:val="18"/>
              </w:rPr>
              <w:t> </w:t>
            </w:r>
            <w:r>
              <w:rPr>
                <w:rFonts w:ascii="宋体" w:hAnsi="宋体" w:cs="宋体" w:eastAsia="宋体" w:hint="default"/>
                <w:sz w:val="18"/>
                <w:szCs w:val="18"/>
              </w:rPr>
              <w:t>立翔</w:t>
            </w:r>
          </w:p>
        </w:tc>
        <w:tc>
          <w:tcPr>
            <w:tcW w:w="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pacing w:val="-1"/>
                <w:sz w:val="18"/>
              </w:rPr>
              <w:t>53,983</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pacing w:val="-1"/>
                <w:sz w:val="18"/>
              </w:rPr>
              <w:t>,709.6</w:t>
            </w:r>
          </w:p>
          <w:p>
            <w:pPr>
              <w:pStyle w:val="TableParagraph"/>
              <w:spacing w:line="240" w:lineRule="auto" w:before="110"/>
              <w:ind w:right="103"/>
              <w:jc w:val="right"/>
              <w:rPr>
                <w:rFonts w:ascii="Times New Roman" w:hAnsi="Times New Roman" w:cs="Times New Roman" w:eastAsia="Times New Roman" w:hint="default"/>
                <w:sz w:val="18"/>
                <w:szCs w:val="18"/>
              </w:rPr>
            </w:pPr>
            <w:r>
              <w:rPr>
                <w:rFonts w:ascii="Times New Roman"/>
                <w:w w:val="101"/>
                <w:sz w:val="18"/>
              </w:rPr>
              <w:t>2</w:t>
            </w:r>
            <w:r>
              <w:rPr>
                <w:rFonts w:ascii="Times New Roman"/>
                <w:sz w:val="18"/>
              </w:rPr>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12,182</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pacing w:val="-1"/>
                <w:sz w:val="18"/>
              </w:rPr>
              <w:t>,178.7</w:t>
            </w:r>
          </w:p>
          <w:p>
            <w:pPr>
              <w:pStyle w:val="TableParagraph"/>
              <w:spacing w:line="240" w:lineRule="auto" w:before="110"/>
              <w:ind w:right="105"/>
              <w:jc w:val="right"/>
              <w:rPr>
                <w:rFonts w:ascii="Times New Roman" w:hAnsi="Times New Roman" w:cs="Times New Roman" w:eastAsia="Times New Roman" w:hint="default"/>
                <w:sz w:val="18"/>
                <w:szCs w:val="18"/>
              </w:rPr>
            </w:pPr>
            <w:r>
              <w:rPr>
                <w:rFonts w:ascii="Times New Roman"/>
                <w:w w:val="101"/>
                <w:sz w:val="18"/>
              </w:rPr>
              <w:t>4</w:t>
            </w:r>
            <w:r>
              <w:rPr>
                <w:rFonts w:ascii="Times New Roman"/>
                <w:sz w:val="18"/>
              </w:rPr>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66,165</w:t>
            </w:r>
          </w:p>
          <w:p>
            <w:pPr>
              <w:pStyle w:val="TableParagraph"/>
              <w:spacing w:line="240" w:lineRule="auto" w:before="105"/>
              <w:ind w:right="94"/>
              <w:jc w:val="right"/>
              <w:rPr>
                <w:rFonts w:ascii="Times New Roman" w:hAnsi="Times New Roman" w:cs="Times New Roman" w:eastAsia="Times New Roman" w:hint="default"/>
                <w:sz w:val="18"/>
                <w:szCs w:val="18"/>
              </w:rPr>
            </w:pPr>
            <w:r>
              <w:rPr>
                <w:rFonts w:ascii="Times New Roman"/>
                <w:spacing w:val="-1"/>
                <w:sz w:val="18"/>
              </w:rPr>
              <w:t>,888.3</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6</w:t>
            </w:r>
            <w:r>
              <w:rPr>
                <w:rFonts w:ascii="Times New Roman"/>
                <w:sz w:val="18"/>
              </w:rPr>
            </w:r>
          </w:p>
        </w:tc>
        <w:tc>
          <w:tcPr>
            <w:tcW w:w="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26,195</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pacing w:val="-1"/>
                <w:sz w:val="18"/>
              </w:rPr>
              <w:t>,336.6</w:t>
            </w:r>
          </w:p>
          <w:p>
            <w:pPr>
              <w:pStyle w:val="TableParagraph"/>
              <w:spacing w:line="240" w:lineRule="auto" w:before="110"/>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68" w:right="0"/>
              <w:jc w:val="left"/>
              <w:rPr>
                <w:rFonts w:ascii="Times New Roman" w:hAnsi="Times New Roman" w:cs="Times New Roman" w:eastAsia="Times New Roman" w:hint="default"/>
                <w:sz w:val="18"/>
                <w:szCs w:val="18"/>
              </w:rPr>
            </w:pPr>
            <w:r>
              <w:rPr>
                <w:rFonts w:ascii="Times New Roman"/>
                <w:sz w:val="18"/>
              </w:rPr>
              <w:t>1,592,</w:t>
            </w:r>
          </w:p>
          <w:p>
            <w:pPr>
              <w:pStyle w:val="TableParagraph"/>
              <w:spacing w:line="240" w:lineRule="auto" w:before="105"/>
              <w:ind w:left="124" w:right="0"/>
              <w:jc w:val="left"/>
              <w:rPr>
                <w:rFonts w:ascii="Times New Roman" w:hAnsi="Times New Roman" w:cs="Times New Roman" w:eastAsia="Times New Roman" w:hint="default"/>
                <w:sz w:val="18"/>
                <w:szCs w:val="18"/>
              </w:rPr>
            </w:pPr>
            <w:r>
              <w:rPr>
                <w:rFonts w:ascii="Times New Roman"/>
                <w:sz w:val="18"/>
              </w:rPr>
              <w:t>015.97</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27,787</w:t>
            </w:r>
          </w:p>
          <w:p>
            <w:pPr>
              <w:pStyle w:val="TableParagraph"/>
              <w:spacing w:line="240" w:lineRule="auto" w:before="105"/>
              <w:ind w:right="94"/>
              <w:jc w:val="right"/>
              <w:rPr>
                <w:rFonts w:ascii="Times New Roman" w:hAnsi="Times New Roman" w:cs="Times New Roman" w:eastAsia="Times New Roman" w:hint="default"/>
                <w:sz w:val="18"/>
                <w:szCs w:val="18"/>
              </w:rPr>
            </w:pPr>
            <w:r>
              <w:rPr>
                <w:rFonts w:ascii="Times New Roman"/>
                <w:spacing w:val="-1"/>
                <w:sz w:val="18"/>
              </w:rPr>
              <w:t>,352.5</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7</w:t>
            </w:r>
            <w:r>
              <w:rPr>
                <w:rFonts w:ascii="Times New Roman"/>
                <w:sz w:val="18"/>
              </w:rPr>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59,488</w:t>
            </w:r>
          </w:p>
          <w:p>
            <w:pPr>
              <w:pStyle w:val="TableParagraph"/>
              <w:spacing w:line="240" w:lineRule="auto" w:before="105"/>
              <w:ind w:right="94"/>
              <w:jc w:val="right"/>
              <w:rPr>
                <w:rFonts w:ascii="Times New Roman" w:hAnsi="Times New Roman" w:cs="Times New Roman" w:eastAsia="Times New Roman" w:hint="default"/>
                <w:sz w:val="18"/>
                <w:szCs w:val="18"/>
              </w:rPr>
            </w:pPr>
            <w:r>
              <w:rPr>
                <w:rFonts w:ascii="Times New Roman"/>
                <w:spacing w:val="-1"/>
                <w:sz w:val="18"/>
              </w:rPr>
              <w:t>,787.0</w:t>
            </w:r>
          </w:p>
          <w:p>
            <w:pPr>
              <w:pStyle w:val="TableParagraph"/>
              <w:spacing w:line="240" w:lineRule="auto" w:before="110"/>
              <w:ind w:right="99"/>
              <w:jc w:val="right"/>
              <w:rPr>
                <w:rFonts w:ascii="Times New Roman" w:hAnsi="Times New Roman" w:cs="Times New Roman" w:eastAsia="Times New Roman" w:hint="default"/>
                <w:sz w:val="18"/>
                <w:szCs w:val="18"/>
              </w:rPr>
            </w:pPr>
            <w:r>
              <w:rPr>
                <w:rFonts w:ascii="Times New Roman"/>
                <w:w w:val="101"/>
                <w:sz w:val="18"/>
              </w:rPr>
              <w:t>6</w:t>
            </w:r>
            <w:r>
              <w:rPr>
                <w:rFonts w:ascii="Times New Roman"/>
                <w:sz w:val="18"/>
              </w:rPr>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12,827</w:t>
            </w:r>
          </w:p>
          <w:p>
            <w:pPr>
              <w:pStyle w:val="TableParagraph"/>
              <w:spacing w:line="240" w:lineRule="auto" w:before="105"/>
              <w:ind w:right="94"/>
              <w:jc w:val="right"/>
              <w:rPr>
                <w:rFonts w:ascii="Times New Roman" w:hAnsi="Times New Roman" w:cs="Times New Roman" w:eastAsia="Times New Roman" w:hint="default"/>
                <w:sz w:val="18"/>
                <w:szCs w:val="18"/>
              </w:rPr>
            </w:pPr>
            <w:r>
              <w:rPr>
                <w:rFonts w:ascii="Times New Roman"/>
                <w:spacing w:val="-1"/>
                <w:sz w:val="18"/>
              </w:rPr>
              <w:t>,752.6</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5</w:t>
            </w:r>
            <w:r>
              <w:rPr>
                <w:rFonts w:ascii="Times New Roman"/>
                <w:sz w:val="18"/>
              </w:rPr>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72,316</w:t>
            </w:r>
          </w:p>
          <w:p>
            <w:pPr>
              <w:pStyle w:val="TableParagraph"/>
              <w:spacing w:line="240" w:lineRule="auto" w:before="105"/>
              <w:ind w:right="94"/>
              <w:jc w:val="right"/>
              <w:rPr>
                <w:rFonts w:ascii="Times New Roman" w:hAnsi="Times New Roman" w:cs="Times New Roman" w:eastAsia="Times New Roman" w:hint="default"/>
                <w:sz w:val="18"/>
                <w:szCs w:val="18"/>
              </w:rPr>
            </w:pPr>
            <w:r>
              <w:rPr>
                <w:rFonts w:ascii="Times New Roman"/>
                <w:spacing w:val="-1"/>
                <w:sz w:val="18"/>
              </w:rPr>
              <w:t>,539.7</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1</w:t>
            </w:r>
            <w:r>
              <w:rPr>
                <w:rFonts w:ascii="Times New Roman"/>
                <w:sz w:val="18"/>
              </w:rPr>
            </w:r>
          </w:p>
        </w:tc>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37,136</w:t>
            </w:r>
          </w:p>
          <w:p>
            <w:pPr>
              <w:pStyle w:val="TableParagraph"/>
              <w:spacing w:line="240" w:lineRule="auto" w:before="105"/>
              <w:ind w:right="94"/>
              <w:jc w:val="right"/>
              <w:rPr>
                <w:rFonts w:ascii="Times New Roman" w:hAnsi="Times New Roman" w:cs="Times New Roman" w:eastAsia="Times New Roman" w:hint="default"/>
                <w:sz w:val="18"/>
                <w:szCs w:val="18"/>
              </w:rPr>
            </w:pPr>
            <w:r>
              <w:rPr>
                <w:rFonts w:ascii="Times New Roman"/>
                <w:spacing w:val="-1"/>
                <w:sz w:val="18"/>
              </w:rPr>
              <w:t>,918.7</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8</w:t>
            </w:r>
            <w:r>
              <w:rPr>
                <w:rFonts w:ascii="Times New Roman"/>
                <w:sz w:val="18"/>
              </w:rPr>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72" w:right="0"/>
              <w:jc w:val="left"/>
              <w:rPr>
                <w:rFonts w:ascii="Times New Roman" w:hAnsi="Times New Roman" w:cs="Times New Roman" w:eastAsia="Times New Roman" w:hint="default"/>
                <w:sz w:val="18"/>
                <w:szCs w:val="18"/>
              </w:rPr>
            </w:pPr>
            <w:r>
              <w:rPr>
                <w:rFonts w:ascii="Times New Roman"/>
                <w:sz w:val="18"/>
              </w:rPr>
              <w:t>1,106,</w:t>
            </w:r>
          </w:p>
          <w:p>
            <w:pPr>
              <w:pStyle w:val="TableParagraph"/>
              <w:spacing w:line="240" w:lineRule="auto" w:before="105"/>
              <w:ind w:left="129" w:right="0"/>
              <w:jc w:val="left"/>
              <w:rPr>
                <w:rFonts w:ascii="Times New Roman" w:hAnsi="Times New Roman" w:cs="Times New Roman" w:eastAsia="Times New Roman" w:hint="default"/>
                <w:sz w:val="18"/>
                <w:szCs w:val="18"/>
              </w:rPr>
            </w:pPr>
            <w:r>
              <w:rPr>
                <w:rFonts w:ascii="Times New Roman"/>
                <w:sz w:val="18"/>
              </w:rPr>
              <w:t>329.94</w:t>
            </w:r>
          </w:p>
        </w:tc>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pacing w:val="-1"/>
                <w:sz w:val="18"/>
              </w:rPr>
              <w:t>38,243</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pacing w:val="-1"/>
                <w:sz w:val="18"/>
              </w:rPr>
              <w:t>,248.7</w:t>
            </w:r>
          </w:p>
          <w:p>
            <w:pPr>
              <w:pStyle w:val="TableParagraph"/>
              <w:spacing w:line="240" w:lineRule="auto" w:before="110"/>
              <w:ind w:right="103"/>
              <w:jc w:val="right"/>
              <w:rPr>
                <w:rFonts w:ascii="Times New Roman" w:hAnsi="Times New Roman" w:cs="Times New Roman" w:eastAsia="Times New Roman" w:hint="default"/>
                <w:sz w:val="18"/>
                <w:szCs w:val="18"/>
              </w:rPr>
            </w:pPr>
            <w:r>
              <w:rPr>
                <w:rFonts w:ascii="Times New Roman"/>
                <w:w w:val="101"/>
                <w:sz w:val="18"/>
              </w:rPr>
              <w:t>2</w:t>
            </w:r>
            <w:r>
              <w:rPr>
                <w:rFonts w:ascii="Times New Roman"/>
                <w:sz w:val="18"/>
              </w:rPr>
            </w:r>
          </w:p>
        </w:tc>
      </w:tr>
      <w:tr>
        <w:trPr>
          <w:trHeight w:val="1028" w:hRule="exact"/>
        </w:trPr>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4"/>
              <w:ind w:left="105" w:right="252"/>
              <w:jc w:val="both"/>
              <w:rPr>
                <w:rFonts w:ascii="宋体" w:hAnsi="宋体" w:cs="宋体" w:eastAsia="宋体" w:hint="default"/>
                <w:sz w:val="18"/>
                <w:szCs w:val="18"/>
              </w:rPr>
            </w:pPr>
            <w:r>
              <w:rPr>
                <w:rFonts w:ascii="宋体" w:hAnsi="宋体" w:cs="宋体" w:eastAsia="宋体" w:hint="default"/>
                <w:sz w:val="18"/>
                <w:szCs w:val="18"/>
              </w:rPr>
              <w:t>奥拓</w:t>
            </w:r>
            <w:r>
              <w:rPr>
                <w:rFonts w:ascii="宋体" w:hAnsi="宋体" w:cs="宋体" w:eastAsia="宋体" w:hint="default"/>
                <w:spacing w:val="-86"/>
                <w:sz w:val="18"/>
                <w:szCs w:val="18"/>
              </w:rPr>
              <w:t> </w:t>
            </w:r>
            <w:r>
              <w:rPr>
                <w:rFonts w:ascii="宋体" w:hAnsi="宋体" w:cs="宋体" w:eastAsia="宋体" w:hint="default"/>
                <w:sz w:val="18"/>
                <w:szCs w:val="18"/>
              </w:rPr>
              <w:t>体育</w:t>
            </w:r>
            <w:r>
              <w:rPr>
                <w:rFonts w:ascii="宋体" w:hAnsi="宋体" w:cs="宋体" w:eastAsia="宋体" w:hint="default"/>
                <w:spacing w:val="-86"/>
                <w:sz w:val="18"/>
                <w:szCs w:val="18"/>
              </w:rPr>
              <w:t> </w:t>
            </w:r>
            <w:r>
              <w:rPr>
                <w:rFonts w:ascii="宋体" w:hAnsi="宋体" w:cs="宋体" w:eastAsia="宋体" w:hint="default"/>
                <w:sz w:val="18"/>
                <w:szCs w:val="18"/>
              </w:rPr>
              <w:t>发展</w:t>
            </w:r>
          </w:p>
        </w:tc>
        <w:tc>
          <w:tcPr>
            <w:tcW w:w="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73" w:right="0"/>
              <w:jc w:val="left"/>
              <w:rPr>
                <w:rFonts w:ascii="Times New Roman" w:hAnsi="Times New Roman" w:cs="Times New Roman" w:eastAsia="Times New Roman" w:hint="default"/>
                <w:sz w:val="18"/>
                <w:szCs w:val="18"/>
              </w:rPr>
            </w:pPr>
            <w:r>
              <w:rPr>
                <w:rFonts w:ascii="Times New Roman"/>
                <w:sz w:val="18"/>
              </w:rPr>
              <w:t>3,129,</w:t>
            </w:r>
          </w:p>
          <w:p>
            <w:pPr>
              <w:pStyle w:val="TableParagraph"/>
              <w:spacing w:line="240" w:lineRule="auto" w:before="105"/>
              <w:ind w:left="130" w:right="0"/>
              <w:jc w:val="left"/>
              <w:rPr>
                <w:rFonts w:ascii="Times New Roman" w:hAnsi="Times New Roman" w:cs="Times New Roman" w:eastAsia="Times New Roman" w:hint="default"/>
                <w:sz w:val="18"/>
                <w:szCs w:val="18"/>
              </w:rPr>
            </w:pPr>
            <w:r>
              <w:rPr>
                <w:rFonts w:ascii="Times New Roman"/>
                <w:sz w:val="18"/>
              </w:rPr>
              <w:t>958.24</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67" w:right="0"/>
              <w:jc w:val="left"/>
              <w:rPr>
                <w:rFonts w:ascii="Times New Roman" w:hAnsi="Times New Roman" w:cs="Times New Roman" w:eastAsia="Times New Roman" w:hint="default"/>
                <w:sz w:val="18"/>
                <w:szCs w:val="18"/>
              </w:rPr>
            </w:pPr>
            <w:r>
              <w:rPr>
                <w:rFonts w:ascii="Times New Roman"/>
                <w:sz w:val="18"/>
              </w:rPr>
              <w:t>2,337,</w:t>
            </w:r>
          </w:p>
          <w:p>
            <w:pPr>
              <w:pStyle w:val="TableParagraph"/>
              <w:spacing w:line="240" w:lineRule="auto" w:before="105"/>
              <w:ind w:left="124" w:right="0"/>
              <w:jc w:val="left"/>
              <w:rPr>
                <w:rFonts w:ascii="Times New Roman" w:hAnsi="Times New Roman" w:cs="Times New Roman" w:eastAsia="Times New Roman" w:hint="default"/>
                <w:sz w:val="18"/>
                <w:szCs w:val="18"/>
              </w:rPr>
            </w:pPr>
            <w:r>
              <w:rPr>
                <w:rFonts w:ascii="Times New Roman"/>
                <w:sz w:val="18"/>
              </w:rPr>
              <w:t>067.44</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72" w:right="0"/>
              <w:jc w:val="left"/>
              <w:rPr>
                <w:rFonts w:ascii="Times New Roman" w:hAnsi="Times New Roman" w:cs="Times New Roman" w:eastAsia="Times New Roman" w:hint="default"/>
                <w:sz w:val="18"/>
                <w:szCs w:val="18"/>
              </w:rPr>
            </w:pPr>
            <w:r>
              <w:rPr>
                <w:rFonts w:ascii="Times New Roman"/>
                <w:sz w:val="18"/>
              </w:rPr>
              <w:t>5,467,</w:t>
            </w:r>
          </w:p>
          <w:p>
            <w:pPr>
              <w:pStyle w:val="TableParagraph"/>
              <w:spacing w:line="240" w:lineRule="auto" w:before="105"/>
              <w:ind w:left="129" w:right="0"/>
              <w:jc w:val="left"/>
              <w:rPr>
                <w:rFonts w:ascii="Times New Roman" w:hAnsi="Times New Roman" w:cs="Times New Roman" w:eastAsia="Times New Roman" w:hint="default"/>
                <w:sz w:val="18"/>
                <w:szCs w:val="18"/>
              </w:rPr>
            </w:pPr>
            <w:r>
              <w:rPr>
                <w:rFonts w:ascii="Times New Roman"/>
                <w:sz w:val="18"/>
              </w:rPr>
              <w:t>025.68</w:t>
            </w:r>
          </w:p>
        </w:tc>
        <w:tc>
          <w:tcPr>
            <w:tcW w:w="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72" w:right="0"/>
              <w:jc w:val="left"/>
              <w:rPr>
                <w:rFonts w:ascii="Times New Roman" w:hAnsi="Times New Roman" w:cs="Times New Roman" w:eastAsia="Times New Roman" w:hint="default"/>
                <w:sz w:val="18"/>
                <w:szCs w:val="18"/>
              </w:rPr>
            </w:pPr>
            <w:r>
              <w:rPr>
                <w:rFonts w:ascii="Times New Roman"/>
                <w:sz w:val="18"/>
              </w:rPr>
              <w:t>2,189,</w:t>
            </w:r>
          </w:p>
          <w:p>
            <w:pPr>
              <w:pStyle w:val="TableParagraph"/>
              <w:spacing w:line="240" w:lineRule="auto" w:before="105"/>
              <w:ind w:left="129" w:right="0"/>
              <w:jc w:val="left"/>
              <w:rPr>
                <w:rFonts w:ascii="Times New Roman" w:hAnsi="Times New Roman" w:cs="Times New Roman" w:eastAsia="Times New Roman" w:hint="default"/>
                <w:sz w:val="18"/>
                <w:szCs w:val="18"/>
              </w:rPr>
            </w:pPr>
            <w:r>
              <w:rPr>
                <w:rFonts w:ascii="Times New Roman"/>
                <w:sz w:val="18"/>
              </w:rPr>
              <w:t>680.40</w:t>
            </w:r>
          </w:p>
        </w:tc>
        <w:tc>
          <w:tcPr>
            <w:tcW w:w="734" w:type="dxa"/>
            <w:tcBorders>
              <w:top w:val="single" w:sz="4" w:space="0" w:color="000000"/>
              <w:left w:val="single" w:sz="4" w:space="0" w:color="000000"/>
              <w:bottom w:val="single" w:sz="4" w:space="0" w:color="000000"/>
              <w:right w:val="single" w:sz="4" w:space="0" w:color="000000"/>
            </w:tcBorders>
          </w:tcPr>
          <w:p>
            <w:pP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73" w:right="0"/>
              <w:jc w:val="left"/>
              <w:rPr>
                <w:rFonts w:ascii="Times New Roman" w:hAnsi="Times New Roman" w:cs="Times New Roman" w:eastAsia="Times New Roman" w:hint="default"/>
                <w:sz w:val="18"/>
                <w:szCs w:val="18"/>
              </w:rPr>
            </w:pPr>
            <w:r>
              <w:rPr>
                <w:rFonts w:ascii="Times New Roman"/>
                <w:sz w:val="18"/>
              </w:rPr>
              <w:t>2,189,</w:t>
            </w:r>
          </w:p>
          <w:p>
            <w:pPr>
              <w:pStyle w:val="TableParagraph"/>
              <w:spacing w:line="240" w:lineRule="auto" w:before="105"/>
              <w:ind w:left="129" w:right="0"/>
              <w:jc w:val="left"/>
              <w:rPr>
                <w:rFonts w:ascii="Times New Roman" w:hAnsi="Times New Roman" w:cs="Times New Roman" w:eastAsia="Times New Roman" w:hint="default"/>
                <w:sz w:val="18"/>
                <w:szCs w:val="18"/>
              </w:rPr>
            </w:pPr>
            <w:r>
              <w:rPr>
                <w:rFonts w:ascii="Times New Roman"/>
                <w:sz w:val="18"/>
              </w:rPr>
              <w:t>680.40</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72" w:right="0"/>
              <w:jc w:val="left"/>
              <w:rPr>
                <w:rFonts w:ascii="Times New Roman" w:hAnsi="Times New Roman" w:cs="Times New Roman" w:eastAsia="Times New Roman" w:hint="default"/>
                <w:sz w:val="18"/>
                <w:szCs w:val="18"/>
              </w:rPr>
            </w:pPr>
            <w:r>
              <w:rPr>
                <w:rFonts w:ascii="Times New Roman"/>
                <w:sz w:val="18"/>
              </w:rPr>
              <w:t>3,845,</w:t>
            </w:r>
          </w:p>
          <w:p>
            <w:pPr>
              <w:pStyle w:val="TableParagraph"/>
              <w:spacing w:line="240" w:lineRule="auto" w:before="105"/>
              <w:ind w:left="129" w:right="0"/>
              <w:jc w:val="left"/>
              <w:rPr>
                <w:rFonts w:ascii="Times New Roman" w:hAnsi="Times New Roman" w:cs="Times New Roman" w:eastAsia="Times New Roman" w:hint="default"/>
                <w:sz w:val="18"/>
                <w:szCs w:val="18"/>
              </w:rPr>
            </w:pPr>
            <w:r>
              <w:rPr>
                <w:rFonts w:ascii="Times New Roman"/>
                <w:sz w:val="18"/>
              </w:rPr>
              <w:t>780.13</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72" w:right="0"/>
              <w:jc w:val="left"/>
              <w:rPr>
                <w:rFonts w:ascii="Times New Roman" w:hAnsi="Times New Roman" w:cs="Times New Roman" w:eastAsia="Times New Roman" w:hint="default"/>
                <w:sz w:val="18"/>
                <w:szCs w:val="18"/>
              </w:rPr>
            </w:pPr>
            <w:r>
              <w:rPr>
                <w:rFonts w:ascii="Times New Roman"/>
                <w:sz w:val="18"/>
              </w:rPr>
              <w:t>2,720,</w:t>
            </w:r>
          </w:p>
          <w:p>
            <w:pPr>
              <w:pStyle w:val="TableParagraph"/>
              <w:spacing w:line="240" w:lineRule="auto" w:before="105"/>
              <w:ind w:left="129" w:right="0"/>
              <w:jc w:val="left"/>
              <w:rPr>
                <w:rFonts w:ascii="Times New Roman" w:hAnsi="Times New Roman" w:cs="Times New Roman" w:eastAsia="Times New Roman" w:hint="default"/>
                <w:sz w:val="18"/>
                <w:szCs w:val="18"/>
              </w:rPr>
            </w:pPr>
            <w:r>
              <w:rPr>
                <w:rFonts w:ascii="Times New Roman"/>
                <w:sz w:val="18"/>
              </w:rPr>
              <w:t>655.90</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72" w:right="0"/>
              <w:jc w:val="left"/>
              <w:rPr>
                <w:rFonts w:ascii="Times New Roman" w:hAnsi="Times New Roman" w:cs="Times New Roman" w:eastAsia="Times New Roman" w:hint="default"/>
                <w:sz w:val="18"/>
                <w:szCs w:val="18"/>
              </w:rPr>
            </w:pPr>
            <w:r>
              <w:rPr>
                <w:rFonts w:ascii="Times New Roman"/>
                <w:sz w:val="18"/>
              </w:rPr>
              <w:t>6,566,</w:t>
            </w:r>
          </w:p>
          <w:p>
            <w:pPr>
              <w:pStyle w:val="TableParagraph"/>
              <w:spacing w:line="240" w:lineRule="auto" w:before="105"/>
              <w:ind w:left="129" w:right="0"/>
              <w:jc w:val="left"/>
              <w:rPr>
                <w:rFonts w:ascii="Times New Roman" w:hAnsi="Times New Roman" w:cs="Times New Roman" w:eastAsia="Times New Roman" w:hint="default"/>
                <w:sz w:val="18"/>
                <w:szCs w:val="18"/>
              </w:rPr>
            </w:pPr>
            <w:r>
              <w:rPr>
                <w:rFonts w:ascii="Times New Roman"/>
                <w:sz w:val="18"/>
              </w:rPr>
              <w:t>436.03</w:t>
            </w:r>
          </w:p>
        </w:tc>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77" w:right="0"/>
              <w:jc w:val="left"/>
              <w:rPr>
                <w:rFonts w:ascii="Times New Roman" w:hAnsi="Times New Roman" w:cs="Times New Roman" w:eastAsia="Times New Roman" w:hint="default"/>
                <w:sz w:val="18"/>
                <w:szCs w:val="18"/>
              </w:rPr>
            </w:pPr>
            <w:r>
              <w:rPr>
                <w:rFonts w:ascii="Times New Roman"/>
                <w:sz w:val="18"/>
              </w:rPr>
              <w:t>4,022,</w:t>
            </w:r>
          </w:p>
          <w:p>
            <w:pPr>
              <w:pStyle w:val="TableParagraph"/>
              <w:spacing w:line="240" w:lineRule="auto" w:before="105"/>
              <w:ind w:left="134" w:right="0"/>
              <w:jc w:val="left"/>
              <w:rPr>
                <w:rFonts w:ascii="Times New Roman" w:hAnsi="Times New Roman" w:cs="Times New Roman" w:eastAsia="Times New Roman" w:hint="default"/>
                <w:sz w:val="18"/>
                <w:szCs w:val="18"/>
              </w:rPr>
            </w:pPr>
            <w:r>
              <w:rPr>
                <w:rFonts w:ascii="Times New Roman"/>
                <w:sz w:val="18"/>
              </w:rPr>
              <w:t>002.61</w:t>
            </w:r>
          </w:p>
        </w:tc>
        <w:tc>
          <w:tcPr>
            <w:tcW w:w="735"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72" w:right="0"/>
              <w:jc w:val="left"/>
              <w:rPr>
                <w:rFonts w:ascii="Times New Roman" w:hAnsi="Times New Roman" w:cs="Times New Roman" w:eastAsia="Times New Roman" w:hint="default"/>
                <w:sz w:val="18"/>
                <w:szCs w:val="18"/>
              </w:rPr>
            </w:pPr>
            <w:r>
              <w:rPr>
                <w:rFonts w:ascii="Times New Roman"/>
                <w:sz w:val="18"/>
              </w:rPr>
              <w:t>4,022,</w:t>
            </w:r>
          </w:p>
          <w:p>
            <w:pPr>
              <w:pStyle w:val="TableParagraph"/>
              <w:spacing w:line="240" w:lineRule="auto" w:before="105"/>
              <w:ind w:left="129" w:right="0"/>
              <w:jc w:val="left"/>
              <w:rPr>
                <w:rFonts w:ascii="Times New Roman" w:hAnsi="Times New Roman" w:cs="Times New Roman" w:eastAsia="Times New Roman" w:hint="default"/>
                <w:sz w:val="18"/>
                <w:szCs w:val="18"/>
              </w:rPr>
            </w:pPr>
            <w:r>
              <w:rPr>
                <w:rFonts w:ascii="Times New Roman"/>
                <w:sz w:val="18"/>
              </w:rPr>
              <w:t>002.61</w:t>
            </w:r>
          </w:p>
        </w:tc>
      </w:tr>
    </w:tbl>
    <w:p>
      <w:pPr>
        <w:pStyle w:val="BodyText"/>
        <w:spacing w:line="240" w:lineRule="auto" w:before="53"/>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061"/>
        <w:gridCol w:w="1061"/>
        <w:gridCol w:w="1061"/>
        <w:gridCol w:w="1066"/>
        <w:gridCol w:w="1066"/>
        <w:gridCol w:w="1066"/>
        <w:gridCol w:w="1061"/>
        <w:gridCol w:w="1061"/>
        <w:gridCol w:w="1071"/>
      </w:tblGrid>
      <w:tr>
        <w:trPr>
          <w:trHeight w:val="399" w:hRule="exact"/>
        </w:trPr>
        <w:tc>
          <w:tcPr>
            <w:tcW w:w="106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321" w:lineRule="auto"/>
              <w:ind w:left="436" w:right="156" w:hanging="269"/>
              <w:jc w:val="left"/>
              <w:rPr>
                <w:rFonts w:ascii="宋体" w:hAnsi="宋体" w:cs="宋体" w:eastAsia="宋体" w:hint="default"/>
                <w:sz w:val="18"/>
                <w:szCs w:val="18"/>
              </w:rPr>
            </w:pPr>
            <w:r>
              <w:rPr>
                <w:rFonts w:ascii="宋体" w:hAnsi="宋体" w:cs="宋体" w:eastAsia="宋体" w:hint="default"/>
                <w:sz w:val="18"/>
                <w:szCs w:val="18"/>
              </w:rPr>
              <w:t>子公司名</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称</w:t>
            </w:r>
          </w:p>
        </w:tc>
        <w:tc>
          <w:tcPr>
            <w:tcW w:w="4254"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425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5" w:hRule="exact"/>
        </w:trPr>
        <w:tc>
          <w:tcPr>
            <w:tcW w:w="1061" w:type="dxa"/>
            <w:vMerge/>
            <w:tcBorders>
              <w:left w:val="single" w:sz="4" w:space="0" w:color="000000"/>
              <w:bottom w:val="single" w:sz="4" w:space="0" w:color="000000"/>
              <w:right w:val="single" w:sz="4" w:space="0" w:color="000000"/>
            </w:tcBorders>
            <w:shd w:val="clear" w:color="auto" w:fill="D2D2D2"/>
          </w:tcPr>
          <w:p>
            <w:pP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68"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259"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4"/>
              <w:ind w:left="350" w:right="161" w:hanging="183"/>
              <w:jc w:val="left"/>
              <w:rPr>
                <w:rFonts w:ascii="宋体" w:hAnsi="宋体" w:cs="宋体" w:eastAsia="宋体" w:hint="default"/>
                <w:sz w:val="18"/>
                <w:szCs w:val="18"/>
              </w:rPr>
            </w:pPr>
            <w:r>
              <w:rPr>
                <w:rFonts w:ascii="宋体" w:hAnsi="宋体" w:cs="宋体" w:eastAsia="宋体" w:hint="default"/>
                <w:sz w:val="18"/>
                <w:szCs w:val="18"/>
              </w:rPr>
              <w:t>综合收益</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总额</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4"/>
              <w:ind w:left="167" w:right="161"/>
              <w:jc w:val="left"/>
              <w:rPr>
                <w:rFonts w:ascii="宋体" w:hAnsi="宋体" w:cs="宋体" w:eastAsia="宋体" w:hint="default"/>
                <w:sz w:val="18"/>
                <w:szCs w:val="18"/>
              </w:rPr>
            </w:pPr>
            <w:r>
              <w:rPr>
                <w:rFonts w:ascii="宋体" w:hAnsi="宋体" w:cs="宋体" w:eastAsia="宋体" w:hint="default"/>
                <w:sz w:val="18"/>
                <w:szCs w:val="18"/>
              </w:rPr>
              <w:t>经营活动</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现金流量</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68"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254"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4"/>
              <w:ind w:left="345" w:right="156" w:hanging="178"/>
              <w:jc w:val="left"/>
              <w:rPr>
                <w:rFonts w:ascii="宋体" w:hAnsi="宋体" w:cs="宋体" w:eastAsia="宋体" w:hint="default"/>
                <w:sz w:val="18"/>
                <w:szCs w:val="18"/>
              </w:rPr>
            </w:pPr>
            <w:r>
              <w:rPr>
                <w:rFonts w:ascii="宋体" w:hAnsi="宋体" w:cs="宋体" w:eastAsia="宋体" w:hint="default"/>
                <w:sz w:val="18"/>
                <w:szCs w:val="18"/>
              </w:rPr>
              <w:t>综合收益</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总额</w:t>
            </w:r>
          </w:p>
        </w:tc>
        <w:tc>
          <w:tcPr>
            <w:tcW w:w="10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4"/>
              <w:ind w:left="168" w:right="165"/>
              <w:jc w:val="left"/>
              <w:rPr>
                <w:rFonts w:ascii="宋体" w:hAnsi="宋体" w:cs="宋体" w:eastAsia="宋体" w:hint="default"/>
                <w:sz w:val="18"/>
                <w:szCs w:val="18"/>
              </w:rPr>
            </w:pPr>
            <w:r>
              <w:rPr>
                <w:rFonts w:ascii="宋体" w:hAnsi="宋体" w:cs="宋体" w:eastAsia="宋体" w:hint="default"/>
                <w:sz w:val="18"/>
                <w:szCs w:val="18"/>
              </w:rPr>
              <w:t>经营活动</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现金流量</w:t>
            </w:r>
          </w:p>
        </w:tc>
      </w:tr>
      <w:tr>
        <w:trPr>
          <w:trHeight w:val="715" w:hRule="exact"/>
        </w:trPr>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奥拓立翔</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48,568,603</w:t>
            </w:r>
          </w:p>
          <w:p>
            <w:pPr>
              <w:pStyle w:val="TableParagraph"/>
              <w:spacing w:line="240" w:lineRule="auto" w:before="105"/>
              <w:ind w:right="94"/>
              <w:jc w:val="right"/>
              <w:rPr>
                <w:rFonts w:ascii="Times New Roman" w:hAnsi="Times New Roman" w:cs="Times New Roman" w:eastAsia="Times New Roman" w:hint="default"/>
                <w:sz w:val="18"/>
                <w:szCs w:val="18"/>
              </w:rPr>
            </w:pPr>
            <w:r>
              <w:rPr>
                <w:rFonts w:ascii="Times New Roman"/>
                <w:sz w:val="18"/>
              </w:rPr>
              <w:t>.45</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-694,755.2</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-694,755.2</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7"/>
              <w:jc w:val="right"/>
              <w:rPr>
                <w:rFonts w:ascii="Times New Roman" w:hAnsi="Times New Roman" w:cs="Times New Roman" w:eastAsia="Times New Roman" w:hint="default"/>
                <w:sz w:val="18"/>
                <w:szCs w:val="18"/>
              </w:rPr>
            </w:pPr>
            <w:r>
              <w:rPr>
                <w:rFonts w:ascii="Times New Roman"/>
                <w:spacing w:val="-1"/>
                <w:sz w:val="18"/>
              </w:rPr>
              <w:t>-7,832,121.</w:t>
            </w:r>
          </w:p>
          <w:p>
            <w:pPr>
              <w:pStyle w:val="TableParagraph"/>
              <w:spacing w:line="240" w:lineRule="auto" w:before="105"/>
              <w:ind w:right="95"/>
              <w:jc w:val="right"/>
              <w:rPr>
                <w:rFonts w:ascii="Times New Roman" w:hAnsi="Times New Roman" w:cs="Times New Roman" w:eastAsia="Times New Roman" w:hint="default"/>
                <w:sz w:val="18"/>
                <w:szCs w:val="18"/>
              </w:rPr>
            </w:pPr>
            <w:r>
              <w:rPr>
                <w:rFonts w:ascii="Times New Roman"/>
                <w:sz w:val="18"/>
              </w:rPr>
              <w:t>57</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82,050,361</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.62</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10,968,530</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.84</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10,968,530</w:t>
            </w:r>
          </w:p>
          <w:p>
            <w:pPr>
              <w:pStyle w:val="TableParagraph"/>
              <w:spacing w:line="240" w:lineRule="auto" w:before="105"/>
              <w:ind w:right="94"/>
              <w:jc w:val="right"/>
              <w:rPr>
                <w:rFonts w:ascii="Times New Roman" w:hAnsi="Times New Roman" w:cs="Times New Roman" w:eastAsia="Times New Roman" w:hint="default"/>
                <w:sz w:val="18"/>
                <w:szCs w:val="18"/>
              </w:rPr>
            </w:pPr>
            <w:r>
              <w:rPr>
                <w:rFonts w:ascii="Times New Roman"/>
                <w:sz w:val="18"/>
              </w:rPr>
              <w:t>.84</w:t>
            </w:r>
          </w:p>
        </w:tc>
        <w:tc>
          <w:tcPr>
            <w:tcW w:w="10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2"/>
                <w:sz w:val="18"/>
              </w:rPr>
              <w:t>4,485,267.</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sz w:val="18"/>
              </w:rPr>
              <w:t>83</w:t>
            </w:r>
          </w:p>
        </w:tc>
      </w:tr>
      <w:tr>
        <w:trPr>
          <w:trHeight w:val="716" w:hRule="exact"/>
        </w:trPr>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4"/>
              <w:ind w:left="105" w:right="219"/>
              <w:jc w:val="left"/>
              <w:rPr>
                <w:rFonts w:ascii="宋体" w:hAnsi="宋体" w:cs="宋体" w:eastAsia="宋体" w:hint="default"/>
                <w:sz w:val="18"/>
                <w:szCs w:val="18"/>
              </w:rPr>
            </w:pPr>
            <w:r>
              <w:rPr>
                <w:rFonts w:ascii="宋体" w:hAnsi="宋体" w:cs="宋体" w:eastAsia="宋体" w:hint="default"/>
                <w:sz w:val="18"/>
                <w:szCs w:val="18"/>
              </w:rPr>
              <w:t>奥拓体育</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发展</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6"/>
              <w:jc w:val="right"/>
              <w:rPr>
                <w:rFonts w:ascii="Times New Roman" w:hAnsi="Times New Roman" w:cs="Times New Roman" w:eastAsia="Times New Roman" w:hint="default"/>
                <w:sz w:val="18"/>
                <w:szCs w:val="18"/>
              </w:rPr>
            </w:pPr>
            <w:r>
              <w:rPr>
                <w:rFonts w:ascii="Times New Roman"/>
                <w:spacing w:val="-2"/>
                <w:sz w:val="18"/>
              </w:rPr>
              <w:t>4,571,651.</w:t>
            </w:r>
          </w:p>
          <w:p>
            <w:pPr>
              <w:pStyle w:val="TableParagraph"/>
              <w:spacing w:line="240" w:lineRule="auto" w:before="105"/>
              <w:ind w:right="94"/>
              <w:jc w:val="right"/>
              <w:rPr>
                <w:rFonts w:ascii="Times New Roman" w:hAnsi="Times New Roman" w:cs="Times New Roman" w:eastAsia="Times New Roman" w:hint="default"/>
                <w:sz w:val="18"/>
                <w:szCs w:val="18"/>
              </w:rPr>
            </w:pPr>
            <w:r>
              <w:rPr>
                <w:rFonts w:ascii="Times New Roman"/>
                <w:sz w:val="18"/>
              </w:rPr>
              <w:t>30</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-267,088.1</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w w:val="101"/>
                <w:sz w:val="18"/>
              </w:rPr>
              <w:t>4</w:t>
            </w:r>
            <w:r>
              <w:rPr>
                <w:rFonts w:ascii="Times New Roman"/>
                <w:sz w:val="18"/>
              </w:rPr>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-267,088.1</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w w:val="101"/>
                <w:sz w:val="18"/>
              </w:rPr>
              <w:t>4</w:t>
            </w:r>
            <w:r>
              <w:rPr>
                <w:rFonts w:ascii="Times New Roman"/>
                <w:sz w:val="18"/>
              </w:rPr>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7"/>
              <w:jc w:val="right"/>
              <w:rPr>
                <w:rFonts w:ascii="Times New Roman" w:hAnsi="Times New Roman" w:cs="Times New Roman" w:eastAsia="Times New Roman" w:hint="default"/>
                <w:sz w:val="18"/>
                <w:szCs w:val="18"/>
              </w:rPr>
            </w:pPr>
            <w:r>
              <w:rPr>
                <w:rFonts w:ascii="Times New Roman"/>
                <w:spacing w:val="-1"/>
                <w:sz w:val="18"/>
              </w:rPr>
              <w:t>-3,408,106.</w:t>
            </w:r>
          </w:p>
          <w:p>
            <w:pPr>
              <w:pStyle w:val="TableParagraph"/>
              <w:spacing w:line="240" w:lineRule="auto" w:before="105"/>
              <w:ind w:right="95"/>
              <w:jc w:val="right"/>
              <w:rPr>
                <w:rFonts w:ascii="Times New Roman" w:hAnsi="Times New Roman" w:cs="Times New Roman" w:eastAsia="Times New Roman" w:hint="default"/>
                <w:sz w:val="18"/>
                <w:szCs w:val="18"/>
              </w:rPr>
            </w:pPr>
            <w:r>
              <w:rPr>
                <w:rFonts w:ascii="Times New Roman"/>
                <w:sz w:val="18"/>
              </w:rPr>
              <w:t>95</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2"/>
                <w:sz w:val="18"/>
              </w:rPr>
              <w:t>5,474,135.</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sz w:val="18"/>
              </w:rPr>
              <w:t>21</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2"/>
              <w:jc w:val="right"/>
              <w:rPr>
                <w:rFonts w:ascii="Times New Roman" w:hAnsi="Times New Roman" w:cs="Times New Roman" w:eastAsia="Times New Roman" w:hint="default"/>
                <w:sz w:val="18"/>
                <w:szCs w:val="18"/>
              </w:rPr>
            </w:pPr>
            <w:r>
              <w:rPr>
                <w:rFonts w:ascii="Times New Roman"/>
                <w:spacing w:val="-1"/>
                <w:sz w:val="18"/>
              </w:rPr>
              <w:t>-1,454,333.</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sz w:val="18"/>
              </w:rPr>
              <w:t>20</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7"/>
              <w:jc w:val="right"/>
              <w:rPr>
                <w:rFonts w:ascii="Times New Roman" w:hAnsi="Times New Roman" w:cs="Times New Roman" w:eastAsia="Times New Roman" w:hint="default"/>
                <w:sz w:val="18"/>
                <w:szCs w:val="18"/>
              </w:rPr>
            </w:pPr>
            <w:r>
              <w:rPr>
                <w:rFonts w:ascii="Times New Roman"/>
                <w:spacing w:val="-1"/>
                <w:sz w:val="18"/>
              </w:rPr>
              <w:t>-1,454,333.</w:t>
            </w:r>
          </w:p>
          <w:p>
            <w:pPr>
              <w:pStyle w:val="TableParagraph"/>
              <w:spacing w:line="240" w:lineRule="auto" w:before="105"/>
              <w:ind w:right="94"/>
              <w:jc w:val="right"/>
              <w:rPr>
                <w:rFonts w:ascii="Times New Roman" w:hAnsi="Times New Roman" w:cs="Times New Roman" w:eastAsia="Times New Roman" w:hint="default"/>
                <w:sz w:val="18"/>
                <w:szCs w:val="18"/>
              </w:rPr>
            </w:pPr>
            <w:r>
              <w:rPr>
                <w:rFonts w:ascii="Times New Roman"/>
                <w:sz w:val="18"/>
              </w:rPr>
              <w:t>20</w:t>
            </w:r>
          </w:p>
        </w:tc>
        <w:tc>
          <w:tcPr>
            <w:tcW w:w="10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2"/>
                <w:sz w:val="18"/>
              </w:rPr>
              <w:t>1,756,752.</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sz w:val="18"/>
              </w:rPr>
              <w:t>99</w:t>
            </w:r>
          </w:p>
        </w:tc>
      </w:tr>
    </w:tbl>
    <w:p>
      <w:pPr>
        <w:pStyle w:val="BodyText"/>
        <w:spacing w:line="352" w:lineRule="auto" w:before="53"/>
        <w:ind w:right="9861"/>
        <w:jc w:val="left"/>
      </w:pPr>
      <w:r>
        <w:rPr>
          <w:spacing w:val="-2"/>
        </w:rPr>
        <w:t>其他说明：</w:t>
      </w:r>
      <w:r>
        <w:rPr>
          <w:spacing w:val="-78"/>
        </w:rPr>
        <w:t> </w:t>
      </w:r>
      <w:r>
        <w:rPr>
          <w:spacing w:val="-78"/>
        </w:rPr>
      </w:r>
      <w:r>
        <w:rPr/>
        <w:t>无。</w:t>
      </w:r>
    </w:p>
    <w:p>
      <w:pPr>
        <w:spacing w:line="240" w:lineRule="auto" w:before="8"/>
        <w:rPr>
          <w:rFonts w:ascii="宋体" w:hAnsi="宋体" w:cs="宋体" w:eastAsia="宋体" w:hint="default"/>
          <w:sz w:val="20"/>
          <w:szCs w:val="20"/>
        </w:rPr>
      </w:pPr>
    </w:p>
    <w:p>
      <w:pPr>
        <w:pStyle w:val="Heading4"/>
        <w:spacing w:line="240" w:lineRule="auto"/>
        <w:ind w:right="0"/>
        <w:jc w:val="left"/>
        <w:rPr>
          <w:b w:val="0"/>
          <w:bCs w:val="0"/>
        </w:rPr>
      </w:pPr>
      <w:bookmarkStart w:name="（4）使用企业集团资产和清偿企业集团债务的重大限制" w:id="449"/>
      <w:bookmarkEnd w:id="449"/>
      <w:r>
        <w:rPr>
          <w:b w:val="0"/>
          <w:bCs w:val="0"/>
        </w:rPr>
      </w:r>
      <w:r>
        <w:rPr/>
        <w:t>（</w:t>
      </w:r>
      <w:r>
        <w:rPr>
          <w:rFonts w:ascii="Times New Roman" w:hAnsi="Times New Roman" w:cs="Times New Roman" w:eastAsia="Times New Roman" w:hint="default"/>
        </w:rPr>
        <w:t>4</w:t>
      </w:r>
      <w:r>
        <w:rPr/>
        <w:t>）使用企业集团资产和清偿企业集团债务的重大限制</w:t>
      </w:r>
      <w:r>
        <w:rPr>
          <w:b w:val="0"/>
          <w:bCs w:val="0"/>
        </w:rPr>
      </w:r>
    </w:p>
    <w:p>
      <w:pPr>
        <w:spacing w:line="240" w:lineRule="auto" w:before="9"/>
        <w:rPr>
          <w:rFonts w:ascii="宋体" w:hAnsi="宋体" w:cs="宋体" w:eastAsia="宋体" w:hint="default"/>
          <w:b/>
          <w:bCs/>
          <w:sz w:val="26"/>
          <w:szCs w:val="26"/>
        </w:rPr>
      </w:pPr>
    </w:p>
    <w:p>
      <w:pPr>
        <w:pStyle w:val="BodyText"/>
        <w:spacing w:line="240" w:lineRule="auto" w:before="0"/>
        <w:ind w:right="0"/>
        <w:jc w:val="left"/>
      </w:pPr>
      <w:r>
        <w:rPr/>
        <w:t>无。</w:t>
      </w:r>
    </w:p>
    <w:p>
      <w:pPr>
        <w:spacing w:after="0" w:line="240" w:lineRule="auto"/>
        <w:jc w:val="left"/>
        <w:sectPr>
          <w:pgSz w:w="11910" w:h="16840"/>
          <w:pgMar w:header="784" w:footer="1022" w:top="1100" w:bottom="1220" w:left="980" w:right="0"/>
        </w:sectPr>
      </w:pPr>
    </w:p>
    <w:p>
      <w:pPr>
        <w:spacing w:line="240" w:lineRule="auto" w:before="13"/>
        <w:rPr>
          <w:rFonts w:ascii="宋体" w:hAnsi="宋体" w:cs="宋体" w:eastAsia="宋体" w:hint="default"/>
          <w:sz w:val="21"/>
          <w:szCs w:val="21"/>
        </w:rPr>
      </w:pPr>
    </w:p>
    <w:p>
      <w:pPr>
        <w:pStyle w:val="Heading4"/>
        <w:spacing w:line="240" w:lineRule="auto" w:before="36"/>
        <w:ind w:right="0"/>
        <w:jc w:val="left"/>
        <w:rPr>
          <w:b w:val="0"/>
          <w:bCs w:val="0"/>
        </w:rPr>
      </w:pPr>
      <w:bookmarkStart w:name="（5）向纳入合并财务报表范围的结构化主体提供的财务支持或其他支持" w:id="450"/>
      <w:bookmarkEnd w:id="450"/>
      <w:r>
        <w:rPr>
          <w:b w:val="0"/>
          <w:bCs w:val="0"/>
        </w:rPr>
      </w:r>
      <w:r>
        <w:rPr/>
        <w:t>（</w:t>
      </w:r>
      <w:r>
        <w:rPr>
          <w:rFonts w:ascii="Times New Roman" w:hAnsi="Times New Roman" w:cs="Times New Roman" w:eastAsia="Times New Roman" w:hint="default"/>
        </w:rPr>
        <w:t>5</w:t>
      </w:r>
      <w:r>
        <w:rPr/>
        <w:t>）向纳入合并财务报表范围的结构化主体提供的财务支持或其他支持</w:t>
      </w:r>
      <w:r>
        <w:rPr>
          <w:b w:val="0"/>
          <w:bCs w:val="0"/>
        </w:rPr>
      </w:r>
    </w:p>
    <w:p>
      <w:pPr>
        <w:spacing w:line="240" w:lineRule="auto" w:before="4"/>
        <w:rPr>
          <w:rFonts w:ascii="宋体" w:hAnsi="宋体" w:cs="宋体" w:eastAsia="宋体" w:hint="default"/>
          <w:b/>
          <w:bCs/>
          <w:sz w:val="26"/>
          <w:szCs w:val="26"/>
        </w:rPr>
      </w:pPr>
    </w:p>
    <w:p>
      <w:pPr>
        <w:pStyle w:val="BodyText"/>
        <w:spacing w:line="357" w:lineRule="auto" w:before="0"/>
        <w:ind w:right="9861"/>
        <w:jc w:val="left"/>
      </w:pPr>
      <w:r>
        <w:rPr/>
        <w:t>无。</w:t>
      </w:r>
      <w:r>
        <w:rPr>
          <w:spacing w:val="-86"/>
        </w:rPr>
        <w:t> </w:t>
      </w:r>
      <w:r>
        <w:rPr>
          <w:spacing w:val="-2"/>
        </w:rPr>
        <w:t>其他说明：</w:t>
      </w:r>
      <w:r>
        <w:rPr>
          <w:spacing w:val="-78"/>
        </w:rPr>
        <w:t> </w:t>
      </w:r>
      <w:r>
        <w:rPr>
          <w:spacing w:val="-78"/>
        </w:rPr>
      </w:r>
      <w:r>
        <w:rPr/>
        <w:t>无。</w:t>
      </w:r>
    </w:p>
    <w:p>
      <w:pPr>
        <w:spacing w:line="240" w:lineRule="auto" w:before="3"/>
        <w:rPr>
          <w:rFonts w:ascii="宋体" w:hAnsi="宋体" w:cs="宋体" w:eastAsia="宋体" w:hint="default"/>
          <w:sz w:val="20"/>
          <w:szCs w:val="20"/>
        </w:rPr>
      </w:pPr>
    </w:p>
    <w:p>
      <w:pPr>
        <w:pStyle w:val="Heading4"/>
        <w:spacing w:line="240" w:lineRule="auto"/>
        <w:ind w:right="0"/>
        <w:jc w:val="left"/>
        <w:rPr>
          <w:b w:val="0"/>
          <w:bCs w:val="0"/>
        </w:rPr>
      </w:pPr>
      <w:bookmarkStart w:name="2、在子公司的所有者权益份额发生变化且仍控制子公司的交易" w:id="451"/>
      <w:bookmarkEnd w:id="451"/>
      <w:r>
        <w:rPr>
          <w:b w:val="0"/>
          <w:bCs w:val="0"/>
        </w:rPr>
      </w:r>
      <w:r>
        <w:rPr>
          <w:rFonts w:ascii="Times New Roman" w:hAnsi="Times New Roman" w:cs="Times New Roman" w:eastAsia="Times New Roman" w:hint="default"/>
        </w:rPr>
        <w:t>2</w:t>
      </w:r>
      <w:r>
        <w:rPr/>
        <w:t>、在子公司的所有者权益份额发生变化且仍控制子公司的交易</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0"/>
        <w:jc w:val="left"/>
        <w:rPr>
          <w:b w:val="0"/>
          <w:bCs w:val="0"/>
        </w:rPr>
      </w:pPr>
      <w:bookmarkStart w:name="（1）在子公司所有者权益份额发生变化的情况说明" w:id="452"/>
      <w:bookmarkEnd w:id="452"/>
      <w:r>
        <w:rPr>
          <w:b w:val="0"/>
          <w:bCs w:val="0"/>
        </w:rPr>
      </w:r>
      <w:r>
        <w:rPr/>
        <w:t>（</w:t>
      </w:r>
      <w:r>
        <w:rPr>
          <w:rFonts w:ascii="Times New Roman" w:hAnsi="Times New Roman" w:cs="Times New Roman" w:eastAsia="Times New Roman" w:hint="default"/>
        </w:rPr>
        <w:t>1</w:t>
      </w:r>
      <w:r>
        <w:rPr/>
        <w:t>）在子公司所有者权益份额发生变化的情况说明</w:t>
      </w:r>
      <w:r>
        <w:rPr>
          <w:b w:val="0"/>
          <w:bCs w:val="0"/>
        </w:rPr>
      </w:r>
    </w:p>
    <w:p>
      <w:pPr>
        <w:spacing w:line="240" w:lineRule="auto" w:before="4"/>
        <w:rPr>
          <w:rFonts w:ascii="宋体" w:hAnsi="宋体" w:cs="宋体" w:eastAsia="宋体" w:hint="default"/>
          <w:b/>
          <w:bCs/>
          <w:sz w:val="26"/>
          <w:szCs w:val="26"/>
        </w:rPr>
      </w:pPr>
    </w:p>
    <w:p>
      <w:pPr>
        <w:pStyle w:val="BodyText"/>
        <w:spacing w:line="240" w:lineRule="auto" w:before="0"/>
        <w:ind w:right="0"/>
        <w:jc w:val="left"/>
      </w:pPr>
      <w:r>
        <w:rPr/>
        <w:t>无。</w:t>
      </w:r>
    </w:p>
    <w:p>
      <w:pPr>
        <w:spacing w:line="240" w:lineRule="auto" w:before="0"/>
        <w:rPr>
          <w:rFonts w:ascii="宋体" w:hAnsi="宋体" w:cs="宋体" w:eastAsia="宋体" w:hint="default"/>
          <w:sz w:val="18"/>
          <w:szCs w:val="18"/>
        </w:rPr>
      </w:pPr>
    </w:p>
    <w:p>
      <w:pPr>
        <w:pStyle w:val="Heading4"/>
        <w:spacing w:line="240" w:lineRule="auto" w:before="118"/>
        <w:ind w:right="0"/>
        <w:jc w:val="left"/>
        <w:rPr>
          <w:b w:val="0"/>
          <w:bCs w:val="0"/>
        </w:rPr>
      </w:pPr>
      <w:bookmarkStart w:name="（2）交易对于少数股东权益及归属于母公司所有者权益的影响" w:id="453"/>
      <w:bookmarkEnd w:id="453"/>
      <w:r>
        <w:rPr>
          <w:b w:val="0"/>
          <w:bCs w:val="0"/>
        </w:rPr>
      </w:r>
      <w:r>
        <w:rPr/>
        <w:t>（</w:t>
      </w:r>
      <w:r>
        <w:rPr>
          <w:rFonts w:ascii="Times New Roman" w:hAnsi="Times New Roman" w:cs="Times New Roman" w:eastAsia="Times New Roman" w:hint="default"/>
        </w:rPr>
        <w:t>2</w:t>
      </w:r>
      <w:r>
        <w:rPr/>
        <w:t>）交易对于少数股东权益及归属于母公司所有者权益的影响</w:t>
      </w:r>
      <w:r>
        <w:rPr>
          <w:b w:val="0"/>
          <w:bCs w:val="0"/>
        </w:rPr>
      </w:r>
    </w:p>
    <w:p>
      <w:pPr>
        <w:spacing w:line="240" w:lineRule="auto" w:before="7"/>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3"/>
        <w:rPr>
          <w:rFonts w:ascii="宋体" w:hAnsi="宋体" w:cs="宋体" w:eastAsia="宋体" w:hint="default"/>
          <w:sz w:val="7"/>
          <w:szCs w:val="7"/>
        </w:rPr>
      </w:pPr>
    </w:p>
    <w:p>
      <w:pPr>
        <w:spacing w:line="422" w:lineRule="exact"/>
        <w:ind w:left="148"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9pt;height:21.15pt;mso-position-horizontal-relative:char;mso-position-vertical-relative:line" coordorigin="0,0" coordsize="9580,423">
            <v:group style="position:absolute;left:10;top:14;width:106;height:394" coordorigin="10,14" coordsize="106,394">
              <v:shape style="position:absolute;left:10;top:14;width:106;height:394" coordorigin="10,14" coordsize="106,394" path="m10,408l115,408,115,14,10,14,10,408xe" filled="true" fillcolor="#d2d2d2" stroked="false">
                <v:path arrowok="t"/>
                <v:fill type="solid"/>
              </v:shape>
            </v:group>
            <v:group style="position:absolute;left:4682;top:14;width:106;height:394" coordorigin="4682,14" coordsize="106,394">
              <v:shape style="position:absolute;left:4682;top:14;width:106;height:394" coordorigin="4682,14" coordsize="106,394" path="m4682,408l4788,408,4788,14,4682,14,4682,408xe" filled="true" fillcolor="#d2d2d2" stroked="false">
                <v:path arrowok="t"/>
                <v:fill type="solid"/>
              </v:shape>
            </v:group>
            <v:group style="position:absolute;left:115;top:14;width:4567;height:394" coordorigin="115,14" coordsize="4567,394">
              <v:shape style="position:absolute;left:115;top:14;width:4567;height:394" coordorigin="115,14" coordsize="4567,394" path="m115,408l4682,408,4682,14,115,14,115,408xe" filled="true" fillcolor="#d2d2d2" stroked="false">
                <v:path arrowok="t"/>
                <v:fill type="solid"/>
              </v:shape>
            </v:group>
            <v:group style="position:absolute;left:4797;top:14;width:101;height:394" coordorigin="4797,14" coordsize="101,394">
              <v:shape style="position:absolute;left:4797;top:14;width:101;height:394" coordorigin="4797,14" coordsize="101,394" path="m4797,408l4898,408,4898,14,4797,14,4797,408xe" filled="true" fillcolor="#d2d2d2" stroked="false">
                <v:path arrowok="t"/>
                <v:fill type="solid"/>
              </v:shape>
            </v:group>
            <v:group style="position:absolute;left:9469;top:14;width:106;height:394" coordorigin="9469,14" coordsize="106,394">
              <v:shape style="position:absolute;left:9469;top:14;width:106;height:394" coordorigin="9469,14" coordsize="106,394" path="m9469,408l9575,408,9575,14,9469,14,9469,408xe" filled="true" fillcolor="#d2d2d2" stroked="false">
                <v:path arrowok="t"/>
                <v:fill type="solid"/>
              </v:shape>
            </v:group>
            <v:group style="position:absolute;left:4898;top:14;width:4571;height:394" coordorigin="4898,14" coordsize="4571,394">
              <v:shape style="position:absolute;left:4898;top:14;width:4571;height:394" coordorigin="4898,14" coordsize="4571,394" path="m4898,408l9469,408,9469,14,4898,14,4898,408xe" filled="true" fillcolor="#d2d2d2" stroked="false">
                <v:path arrowok="t"/>
                <v:fill type="solid"/>
              </v:shape>
            </v:group>
            <v:group style="position:absolute;left:10;top:10;width:4778;height:2" coordorigin="10,10" coordsize="4778,2">
              <v:shape style="position:absolute;left:10;top:10;width:4778;height:2" coordorigin="10,10" coordsize="4778,0" path="m10,10l4788,10e" filled="false" stroked="true" strokeweight=".48001pt" strokecolor="#000000">
                <v:path arrowok="t"/>
              </v:shape>
            </v:group>
            <v:group style="position:absolute;left:4797;top:10;width:4773;height:2" coordorigin="4797,10" coordsize="4773,2">
              <v:shape style="position:absolute;left:4797;top:10;width:4773;height:2" coordorigin="4797,10" coordsize="4773,0" path="m4797,10l9570,10e" filled="false" stroked="true" strokeweight=".48001pt" strokecolor="#000000">
                <v:path arrowok="t"/>
              </v:shape>
            </v:group>
            <v:group style="position:absolute;left:5;top:5;width:2;height:413" coordorigin="5,5" coordsize="2,413">
              <v:shape style="position:absolute;left:5;top:5;width:2;height:413" coordorigin="5,5" coordsize="0,413" path="m5,5l5,418e" filled="false" stroked="true" strokeweight=".48pt" strokecolor="#000000">
                <v:path arrowok="t"/>
              </v:shape>
            </v:group>
            <v:group style="position:absolute;left:10;top:413;width:4778;height:2" coordorigin="10,413" coordsize="4778,2">
              <v:shape style="position:absolute;left:10;top:413;width:4778;height:2" coordorigin="10,413" coordsize="4778,0" path="m10,413l4788,413e" filled="false" stroked="true" strokeweight=".48001pt" strokecolor="#000000">
                <v:path arrowok="t"/>
              </v:shape>
            </v:group>
            <v:group style="position:absolute;left:4792;top:5;width:2;height:413" coordorigin="4792,5" coordsize="2,413">
              <v:shape style="position:absolute;left:4792;top:5;width:2;height:413" coordorigin="4792,5" coordsize="0,413" path="m4792,5l4792,418e" filled="false" stroked="true" strokeweight=".48001pt" strokecolor="#000000">
                <v:path arrowok="t"/>
              </v:shape>
            </v:group>
            <v:group style="position:absolute;left:4797;top:413;width:4773;height:2" coordorigin="4797,413" coordsize="4773,2">
              <v:shape style="position:absolute;left:4797;top:413;width:4773;height:2" coordorigin="4797,413" coordsize="4773,0" path="m4797,413l9570,413e" filled="false" stroked="true" strokeweight=".48001pt" strokecolor="#000000">
                <v:path arrowok="t"/>
              </v:shape>
            </v:group>
            <v:group style="position:absolute;left:9575;top:5;width:2;height:413" coordorigin="9575,5" coordsize="2,413">
              <v:shape style="position:absolute;left:9575;top:5;width:2;height:413" coordorigin="9575,5" coordsize="0,413" path="m9575,5l9575,418e" filled="false" stroked="true" strokeweight=".48004pt" strokecolor="#000000">
                <v:path arrowok="t"/>
              </v:shape>
            </v:group>
          </v:group>
        </w:pict>
      </w:r>
      <w:r>
        <w:rPr>
          <w:rFonts w:ascii="宋体" w:hAnsi="宋体" w:cs="宋体" w:eastAsia="宋体" w:hint="default"/>
          <w:position w:val="-7"/>
          <w:sz w:val="20"/>
          <w:szCs w:val="20"/>
        </w:rPr>
      </w:r>
    </w:p>
    <w:p>
      <w:pPr>
        <w:pStyle w:val="BodyText"/>
        <w:spacing w:line="357" w:lineRule="auto" w:before="49"/>
        <w:ind w:right="10031"/>
        <w:jc w:val="left"/>
      </w:pPr>
      <w:r>
        <w:rPr/>
        <w:t>其他说明</w:t>
      </w:r>
      <w:r>
        <w:rPr>
          <w:spacing w:val="-86"/>
        </w:rPr>
        <w:t> </w:t>
      </w:r>
      <w:r>
        <w:rPr>
          <w:spacing w:val="-86"/>
        </w:rPr>
      </w:r>
      <w:r>
        <w:rPr/>
        <w:t>无。</w:t>
      </w:r>
    </w:p>
    <w:p>
      <w:pPr>
        <w:spacing w:line="240" w:lineRule="auto" w:before="4"/>
        <w:rPr>
          <w:rFonts w:ascii="宋体" w:hAnsi="宋体" w:cs="宋体" w:eastAsia="宋体" w:hint="default"/>
          <w:sz w:val="20"/>
          <w:szCs w:val="20"/>
        </w:rPr>
      </w:pPr>
    </w:p>
    <w:p>
      <w:pPr>
        <w:pStyle w:val="Heading4"/>
        <w:spacing w:line="240" w:lineRule="auto"/>
        <w:ind w:right="0"/>
        <w:jc w:val="left"/>
        <w:rPr>
          <w:b w:val="0"/>
          <w:bCs w:val="0"/>
        </w:rPr>
      </w:pPr>
      <w:bookmarkStart w:name="3、在合营安排或联营企业中的权益" w:id="454"/>
      <w:bookmarkEnd w:id="454"/>
      <w:r>
        <w:rPr>
          <w:b w:val="0"/>
          <w:bCs w:val="0"/>
        </w:rPr>
      </w:r>
      <w:r>
        <w:rPr>
          <w:rFonts w:ascii="Times New Roman" w:hAnsi="Times New Roman" w:cs="Times New Roman" w:eastAsia="Times New Roman" w:hint="default"/>
        </w:rPr>
        <w:t>3</w:t>
      </w:r>
      <w:r>
        <w:rPr/>
        <w:t>、在合营安排或联营企业中的权益</w:t>
      </w:r>
      <w:r>
        <w:rPr>
          <w:b w:val="0"/>
          <w:bCs w:val="0"/>
        </w:rPr>
      </w:r>
    </w:p>
    <w:p>
      <w:pPr>
        <w:spacing w:line="240" w:lineRule="auto" w:before="5"/>
        <w:rPr>
          <w:rFonts w:ascii="宋体" w:hAnsi="宋体" w:cs="宋体" w:eastAsia="宋体" w:hint="default"/>
          <w:b/>
          <w:bCs/>
          <w:sz w:val="24"/>
          <w:szCs w:val="24"/>
        </w:rPr>
      </w:pPr>
    </w:p>
    <w:p>
      <w:pPr>
        <w:pStyle w:val="Heading4"/>
        <w:spacing w:line="240" w:lineRule="auto"/>
        <w:ind w:right="0"/>
        <w:jc w:val="left"/>
        <w:rPr>
          <w:b w:val="0"/>
          <w:bCs w:val="0"/>
        </w:rPr>
      </w:pPr>
      <w:bookmarkStart w:name="（1）重要的合营企业或联营企业" w:id="455"/>
      <w:bookmarkEnd w:id="455"/>
      <w:r>
        <w:rPr>
          <w:b w:val="0"/>
          <w:bCs w:val="0"/>
        </w:rPr>
      </w:r>
      <w:r>
        <w:rPr/>
        <w:t>（</w:t>
      </w:r>
      <w:r>
        <w:rPr>
          <w:rFonts w:ascii="Times New Roman" w:hAnsi="Times New Roman" w:cs="Times New Roman" w:eastAsia="Times New Roman" w:hint="default"/>
        </w:rPr>
        <w:t>1</w:t>
      </w:r>
      <w:r>
        <w:rPr/>
        <w:t>）重要的合营企业或联营企业</w:t>
      </w:r>
      <w:r>
        <w:rPr>
          <w:b w:val="0"/>
          <w:bCs w:val="0"/>
        </w:rPr>
      </w:r>
    </w:p>
    <w:p>
      <w:pPr>
        <w:spacing w:line="240" w:lineRule="auto" w:before="11"/>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1373"/>
        <w:gridCol w:w="1364"/>
        <w:gridCol w:w="1369"/>
        <w:gridCol w:w="1368"/>
        <w:gridCol w:w="1368"/>
        <w:gridCol w:w="1364"/>
        <w:gridCol w:w="1369"/>
      </w:tblGrid>
      <w:tr>
        <w:trPr>
          <w:trHeight w:val="398" w:hRule="exact"/>
        </w:trPr>
        <w:tc>
          <w:tcPr>
            <w:tcW w:w="137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30"/>
              <w:ind w:left="235" w:right="132" w:hanging="92"/>
              <w:jc w:val="left"/>
              <w:rPr>
                <w:rFonts w:ascii="宋体" w:hAnsi="宋体" w:cs="宋体" w:eastAsia="宋体" w:hint="default"/>
                <w:sz w:val="18"/>
                <w:szCs w:val="18"/>
              </w:rPr>
            </w:pPr>
            <w:r>
              <w:rPr>
                <w:rFonts w:ascii="宋体" w:hAnsi="宋体" w:cs="宋体" w:eastAsia="宋体" w:hint="default"/>
                <w:spacing w:val="-2"/>
                <w:sz w:val="18"/>
                <w:szCs w:val="18"/>
              </w:rPr>
              <w:t>合营企业或联</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营企业名称</w:t>
            </w:r>
          </w:p>
        </w:tc>
        <w:tc>
          <w:tcPr>
            <w:tcW w:w="136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left="225"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36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left="412"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left="321"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273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持股比例</w:t>
            </w:r>
          </w:p>
        </w:tc>
        <w:tc>
          <w:tcPr>
            <w:tcW w:w="1369"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3"/>
              <w:ind w:left="139" w:right="132"/>
              <w:jc w:val="center"/>
              <w:rPr>
                <w:rFonts w:ascii="宋体" w:hAnsi="宋体" w:cs="宋体" w:eastAsia="宋体" w:hint="default"/>
                <w:sz w:val="18"/>
                <w:szCs w:val="18"/>
              </w:rPr>
            </w:pPr>
            <w:r>
              <w:rPr>
                <w:rFonts w:ascii="宋体" w:hAnsi="宋体" w:cs="宋体" w:eastAsia="宋体" w:hint="default"/>
                <w:spacing w:val="-2"/>
                <w:sz w:val="18"/>
                <w:szCs w:val="18"/>
              </w:rPr>
              <w:t>对合营企业或</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2"/>
                <w:sz w:val="18"/>
                <w:szCs w:val="18"/>
              </w:rPr>
              <w:t>联营企业投资</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2"/>
                <w:sz w:val="18"/>
                <w:szCs w:val="18"/>
              </w:rPr>
              <w:t>的会计处理方</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法</w:t>
            </w:r>
          </w:p>
        </w:tc>
      </w:tr>
      <w:tr>
        <w:trPr>
          <w:trHeight w:val="936" w:hRule="exact"/>
        </w:trPr>
        <w:tc>
          <w:tcPr>
            <w:tcW w:w="1373" w:type="dxa"/>
            <w:vMerge/>
            <w:tcBorders>
              <w:left w:val="single" w:sz="4" w:space="0" w:color="000000"/>
              <w:bottom w:val="single" w:sz="4" w:space="0" w:color="000000"/>
              <w:right w:val="single" w:sz="4" w:space="0" w:color="000000"/>
            </w:tcBorders>
            <w:shd w:val="clear" w:color="auto" w:fill="D2D2D2"/>
          </w:tcPr>
          <w:p>
            <w:pPr/>
          </w:p>
        </w:tc>
        <w:tc>
          <w:tcPr>
            <w:tcW w:w="1364" w:type="dxa"/>
            <w:vMerge/>
            <w:tcBorders>
              <w:left w:val="single" w:sz="4" w:space="0" w:color="000000"/>
              <w:bottom w:val="single" w:sz="4" w:space="0" w:color="000000"/>
              <w:right w:val="single" w:sz="4" w:space="0" w:color="000000"/>
            </w:tcBorders>
            <w:shd w:val="clear" w:color="auto" w:fill="D2D2D2"/>
          </w:tcPr>
          <w:p>
            <w:pPr/>
          </w:p>
        </w:tc>
        <w:tc>
          <w:tcPr>
            <w:tcW w:w="1369"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直接</w:t>
            </w:r>
          </w:p>
        </w:tc>
        <w:tc>
          <w:tcPr>
            <w:tcW w:w="13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left="10" w:right="0"/>
              <w:jc w:val="center"/>
              <w:rPr>
                <w:rFonts w:ascii="宋体" w:hAnsi="宋体" w:cs="宋体" w:eastAsia="宋体" w:hint="default"/>
                <w:sz w:val="18"/>
                <w:szCs w:val="18"/>
              </w:rPr>
            </w:pPr>
            <w:r>
              <w:rPr>
                <w:rFonts w:ascii="宋体" w:hAnsi="宋体" w:cs="宋体" w:eastAsia="宋体" w:hint="default"/>
                <w:sz w:val="18"/>
                <w:szCs w:val="18"/>
              </w:rPr>
              <w:t>间接</w:t>
            </w:r>
          </w:p>
        </w:tc>
        <w:tc>
          <w:tcPr>
            <w:tcW w:w="1369" w:type="dxa"/>
            <w:vMerge/>
            <w:tcBorders>
              <w:left w:val="single" w:sz="4" w:space="0" w:color="000000"/>
              <w:bottom w:val="single" w:sz="4" w:space="0" w:color="000000"/>
              <w:right w:val="single" w:sz="4" w:space="0" w:color="000000"/>
            </w:tcBorders>
            <w:shd w:val="clear" w:color="auto" w:fill="D2D2D2"/>
          </w:tcPr>
          <w:p>
            <w:pPr/>
          </w:p>
        </w:tc>
      </w:tr>
    </w:tbl>
    <w:p>
      <w:pPr>
        <w:pStyle w:val="BodyText"/>
        <w:spacing w:line="357" w:lineRule="auto" w:before="53"/>
        <w:ind w:right="5829"/>
        <w:jc w:val="left"/>
      </w:pPr>
      <w:r>
        <w:rPr>
          <w:spacing w:val="-3"/>
        </w:rPr>
        <w:t>在合营企业或联营企业的持股比例不同于表决权比例的说明：</w:t>
      </w:r>
      <w:r>
        <w:rPr>
          <w:spacing w:val="-10"/>
        </w:rPr>
        <w:t> </w:t>
      </w:r>
      <w:r>
        <w:rPr>
          <w:spacing w:val="-10"/>
        </w:rPr>
      </w:r>
      <w:r>
        <w:rPr/>
        <w:t>无。</w:t>
      </w:r>
    </w:p>
    <w:p>
      <w:pPr>
        <w:pStyle w:val="BodyText"/>
        <w:spacing w:line="338" w:lineRule="auto" w:before="32"/>
        <w:ind w:right="3057"/>
        <w:jc w:val="left"/>
      </w:pPr>
      <w:r>
        <w:rPr/>
        <w:t>持有 </w:t>
      </w:r>
      <w:r>
        <w:rPr>
          <w:rFonts w:ascii="Times New Roman" w:hAnsi="Times New Roman" w:cs="Times New Roman" w:eastAsia="Times New Roman" w:hint="default"/>
          <w:spacing w:val="-3"/>
        </w:rPr>
        <w:t>20%</w:t>
      </w:r>
      <w:r>
        <w:rPr>
          <w:spacing w:val="-3"/>
        </w:rPr>
        <w:t>以下表决权但具有重大影响，或者持有 </w:t>
      </w:r>
      <w:r>
        <w:rPr>
          <w:rFonts w:ascii="Times New Roman" w:hAnsi="Times New Roman" w:cs="Times New Roman" w:eastAsia="Times New Roman" w:hint="default"/>
          <w:spacing w:val="-3"/>
        </w:rPr>
        <w:t>20%</w:t>
      </w:r>
      <w:r>
        <w:rPr>
          <w:spacing w:val="-3"/>
        </w:rPr>
        <w:t>或以上表决权但不具有重大影响的依据：</w:t>
      </w:r>
      <w:r>
        <w:rPr>
          <w:spacing w:val="-53"/>
        </w:rPr>
        <w:t> </w:t>
      </w:r>
      <w:r>
        <w:rPr>
          <w:spacing w:val="-53"/>
        </w:rPr>
      </w:r>
      <w:r>
        <w:rPr/>
        <w:t>无。</w:t>
      </w:r>
    </w:p>
    <w:p>
      <w:pPr>
        <w:spacing w:line="240" w:lineRule="auto" w:before="5"/>
        <w:rPr>
          <w:rFonts w:ascii="宋体" w:hAnsi="宋体" w:cs="宋体" w:eastAsia="宋体" w:hint="default"/>
          <w:sz w:val="21"/>
          <w:szCs w:val="21"/>
        </w:rPr>
      </w:pPr>
    </w:p>
    <w:p>
      <w:pPr>
        <w:pStyle w:val="Heading4"/>
        <w:spacing w:line="240" w:lineRule="auto"/>
        <w:ind w:right="0"/>
        <w:jc w:val="left"/>
        <w:rPr>
          <w:b w:val="0"/>
          <w:bCs w:val="0"/>
        </w:rPr>
      </w:pPr>
      <w:bookmarkStart w:name="（2）重要合营企业的主要财务信息" w:id="456"/>
      <w:bookmarkEnd w:id="456"/>
      <w:r>
        <w:rPr>
          <w:b w:val="0"/>
          <w:bCs w:val="0"/>
        </w:rPr>
      </w:r>
      <w:r>
        <w:rPr/>
        <w:t>（</w:t>
      </w:r>
      <w:r>
        <w:rPr>
          <w:rFonts w:ascii="Times New Roman" w:hAnsi="Times New Roman" w:cs="Times New Roman" w:eastAsia="Times New Roman" w:hint="default"/>
        </w:rPr>
        <w:t>2</w:t>
      </w:r>
      <w:r>
        <w:rPr/>
        <w:t>）重要合营企业的主要财务信息</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93"/>
        <w:gridCol w:w="3189"/>
        <w:gridCol w:w="3193"/>
      </w:tblGrid>
      <w:tr>
        <w:trPr>
          <w:trHeight w:val="403" w:hRule="exact"/>
        </w:trPr>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54"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58"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403" w:hRule="exact"/>
        </w:trPr>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
        </w:tc>
      </w:tr>
    </w:tbl>
    <w:p>
      <w:pPr>
        <w:pStyle w:val="BodyText"/>
        <w:spacing w:line="357" w:lineRule="auto" w:before="53"/>
        <w:ind w:right="10031"/>
        <w:jc w:val="left"/>
      </w:pPr>
      <w:r>
        <w:rPr/>
        <w:t>其他说明</w:t>
      </w:r>
      <w:r>
        <w:rPr>
          <w:spacing w:val="-86"/>
        </w:rPr>
        <w:t> </w:t>
      </w:r>
      <w:r>
        <w:rPr>
          <w:spacing w:val="-86"/>
        </w:rPr>
      </w:r>
      <w:r>
        <w:rPr/>
        <w:t>无。</w:t>
      </w:r>
    </w:p>
    <w:p>
      <w:pPr>
        <w:spacing w:after="0" w:line="357" w:lineRule="auto"/>
        <w:jc w:val="left"/>
        <w:sectPr>
          <w:pgSz w:w="11910" w:h="16840"/>
          <w:pgMar w:header="784" w:footer="1022" w:top="1100" w:bottom="1220" w:left="980" w:right="0"/>
        </w:sectPr>
      </w:pPr>
    </w:p>
    <w:p>
      <w:pPr>
        <w:spacing w:line="240" w:lineRule="auto" w:before="13"/>
        <w:rPr>
          <w:rFonts w:ascii="宋体" w:hAnsi="宋体" w:cs="宋体" w:eastAsia="宋体" w:hint="default"/>
          <w:sz w:val="21"/>
          <w:szCs w:val="21"/>
        </w:rPr>
      </w:pPr>
    </w:p>
    <w:p>
      <w:pPr>
        <w:pStyle w:val="Heading4"/>
        <w:spacing w:line="240" w:lineRule="auto" w:before="36"/>
        <w:ind w:right="0"/>
        <w:jc w:val="left"/>
        <w:rPr>
          <w:b w:val="0"/>
          <w:bCs w:val="0"/>
        </w:rPr>
      </w:pPr>
      <w:bookmarkStart w:name="（3）重要联营企业的主要财务信息" w:id="457"/>
      <w:bookmarkEnd w:id="457"/>
      <w:r>
        <w:rPr>
          <w:b w:val="0"/>
          <w:bCs w:val="0"/>
        </w:rPr>
      </w:r>
      <w:r>
        <w:rPr/>
        <w:t>（</w:t>
      </w:r>
      <w:r>
        <w:rPr>
          <w:rFonts w:ascii="Times New Roman" w:hAnsi="Times New Roman" w:cs="Times New Roman" w:eastAsia="Times New Roman" w:hint="default"/>
        </w:rPr>
        <w:t>3</w:t>
      </w:r>
      <w:r>
        <w:rPr/>
        <w:t>）重要联营企业的主要财务信息</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93"/>
        <w:gridCol w:w="3189"/>
        <w:gridCol w:w="3193"/>
      </w:tblGrid>
      <w:tr>
        <w:trPr>
          <w:trHeight w:val="404" w:hRule="exact"/>
        </w:trPr>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754"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758"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403" w:hRule="exact"/>
        </w:trPr>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
        </w:tc>
      </w:tr>
    </w:tbl>
    <w:p>
      <w:pPr>
        <w:pStyle w:val="BodyText"/>
        <w:spacing w:line="352" w:lineRule="auto" w:before="53"/>
        <w:ind w:right="10031"/>
        <w:jc w:val="left"/>
      </w:pPr>
      <w:r>
        <w:rPr/>
        <w:t>其他说明</w:t>
      </w:r>
      <w:r>
        <w:rPr>
          <w:spacing w:val="-86"/>
        </w:rPr>
        <w:t> </w:t>
      </w:r>
      <w:r>
        <w:rPr>
          <w:spacing w:val="-86"/>
        </w:rPr>
      </w:r>
      <w:r>
        <w:rPr/>
        <w:t>无。</w:t>
      </w:r>
    </w:p>
    <w:p>
      <w:pPr>
        <w:spacing w:line="240" w:lineRule="auto" w:before="7"/>
        <w:rPr>
          <w:rFonts w:ascii="宋体" w:hAnsi="宋体" w:cs="宋体" w:eastAsia="宋体" w:hint="default"/>
          <w:sz w:val="20"/>
          <w:szCs w:val="20"/>
        </w:rPr>
      </w:pPr>
    </w:p>
    <w:p>
      <w:pPr>
        <w:pStyle w:val="Heading4"/>
        <w:spacing w:line="240" w:lineRule="auto"/>
        <w:ind w:right="0"/>
        <w:jc w:val="left"/>
        <w:rPr>
          <w:b w:val="0"/>
          <w:bCs w:val="0"/>
        </w:rPr>
      </w:pPr>
      <w:bookmarkStart w:name="（4）不重要的合营企业和联营企业的汇总财务信息" w:id="458"/>
      <w:bookmarkEnd w:id="458"/>
      <w:r>
        <w:rPr>
          <w:b w:val="0"/>
          <w:bCs w:val="0"/>
        </w:rPr>
      </w:r>
      <w:r>
        <w:rPr/>
        <w:t>（</w:t>
      </w:r>
      <w:r>
        <w:rPr>
          <w:rFonts w:ascii="Times New Roman" w:hAnsi="Times New Roman" w:cs="Times New Roman" w:eastAsia="Times New Roman" w:hint="default"/>
        </w:rPr>
        <w:t>4</w:t>
      </w:r>
      <w:r>
        <w:rPr/>
        <w:t>）不重要的合营企业和联营企业的汇总财务信息</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328"/>
        <w:gridCol w:w="3058"/>
        <w:gridCol w:w="3188"/>
      </w:tblGrid>
      <w:tr>
        <w:trPr>
          <w:trHeight w:val="403"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86"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54"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399"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合营企业：</w:t>
            </w:r>
          </w:p>
        </w:tc>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12"/>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r>
        <w:trPr>
          <w:trHeight w:val="403"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z w:val="18"/>
                <w:szCs w:val="18"/>
              </w:rPr>
              <w:t>投资账面价值合计</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3,001,257.57</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3,556,443.61</w:t>
            </w:r>
          </w:p>
        </w:tc>
      </w:tr>
      <w:tr>
        <w:trPr>
          <w:trHeight w:val="403"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下列各项按持股比例计算的合计数</w:t>
            </w:r>
          </w:p>
        </w:tc>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12"/>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r>
        <w:trPr>
          <w:trHeight w:val="403"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净利润</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-555,186.04</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3"/>
              <w:jc w:val="right"/>
              <w:rPr>
                <w:rFonts w:ascii="Times New Roman" w:hAnsi="Times New Roman" w:cs="Times New Roman" w:eastAsia="Times New Roman" w:hint="default"/>
                <w:sz w:val="18"/>
                <w:szCs w:val="18"/>
              </w:rPr>
            </w:pPr>
            <w:r>
              <w:rPr>
                <w:rFonts w:ascii="Times New Roman"/>
                <w:spacing w:val="-1"/>
                <w:sz w:val="18"/>
              </w:rPr>
              <w:t>-621,005.39</w:t>
            </w:r>
          </w:p>
        </w:tc>
      </w:tr>
      <w:tr>
        <w:trPr>
          <w:trHeight w:val="401"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综合收益总额</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-555,186.04</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-621,005.39</w:t>
            </w:r>
          </w:p>
        </w:tc>
      </w:tr>
      <w:tr>
        <w:trPr>
          <w:trHeight w:val="401"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105" w:right="0"/>
              <w:jc w:val="left"/>
              <w:rPr>
                <w:rFonts w:ascii="宋体" w:hAnsi="宋体" w:cs="宋体" w:eastAsia="宋体" w:hint="default"/>
                <w:sz w:val="18"/>
                <w:szCs w:val="18"/>
              </w:rPr>
            </w:pPr>
            <w:r>
              <w:rPr>
                <w:rFonts w:ascii="宋体" w:hAnsi="宋体" w:cs="宋体" w:eastAsia="宋体" w:hint="default"/>
                <w:sz w:val="18"/>
                <w:szCs w:val="18"/>
              </w:rPr>
              <w:t>联营企业：</w:t>
            </w:r>
          </w:p>
        </w:tc>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8"/>
              <w:ind w:right="12"/>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8"/>
              <w:ind w:right="0"/>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r>
        <w:trPr>
          <w:trHeight w:val="403"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下列各项按持股比例计算的合计数</w:t>
            </w:r>
          </w:p>
        </w:tc>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12"/>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bl>
    <w:p>
      <w:pPr>
        <w:pStyle w:val="BodyText"/>
        <w:spacing w:line="357" w:lineRule="auto" w:before="53"/>
        <w:ind w:right="10031"/>
        <w:jc w:val="left"/>
      </w:pPr>
      <w:r>
        <w:rPr/>
        <w:t>其他说明</w:t>
      </w:r>
      <w:r>
        <w:rPr>
          <w:spacing w:val="-86"/>
        </w:rPr>
        <w:t> </w:t>
      </w:r>
      <w:r>
        <w:rPr>
          <w:spacing w:val="-86"/>
        </w:rPr>
      </w:r>
      <w:r>
        <w:rPr/>
        <w:t>无。</w:t>
      </w:r>
    </w:p>
    <w:p>
      <w:pPr>
        <w:spacing w:line="240" w:lineRule="auto" w:before="4"/>
        <w:rPr>
          <w:rFonts w:ascii="宋体" w:hAnsi="宋体" w:cs="宋体" w:eastAsia="宋体" w:hint="default"/>
          <w:sz w:val="20"/>
          <w:szCs w:val="20"/>
        </w:rPr>
      </w:pPr>
    </w:p>
    <w:p>
      <w:pPr>
        <w:pStyle w:val="Heading4"/>
        <w:spacing w:line="240" w:lineRule="auto"/>
        <w:ind w:right="0"/>
        <w:jc w:val="left"/>
        <w:rPr>
          <w:b w:val="0"/>
          <w:bCs w:val="0"/>
        </w:rPr>
      </w:pPr>
      <w:bookmarkStart w:name="（5）合营企业或联营企业向本公司转移资金的能力存在重大限制的说明" w:id="459"/>
      <w:bookmarkEnd w:id="459"/>
      <w:r>
        <w:rPr>
          <w:b w:val="0"/>
          <w:bCs w:val="0"/>
        </w:rPr>
      </w:r>
      <w:r>
        <w:rPr/>
        <w:t>（</w:t>
      </w:r>
      <w:r>
        <w:rPr>
          <w:rFonts w:ascii="Times New Roman" w:hAnsi="Times New Roman" w:cs="Times New Roman" w:eastAsia="Times New Roman" w:hint="default"/>
        </w:rPr>
        <w:t>5</w:t>
      </w:r>
      <w:r>
        <w:rPr/>
        <w:t>）合营企业或联营企业向本公司转移资金的能力存在重大限制的说明</w:t>
      </w:r>
      <w:r>
        <w:rPr>
          <w:b w:val="0"/>
          <w:bCs w:val="0"/>
        </w:rPr>
      </w:r>
    </w:p>
    <w:p>
      <w:pPr>
        <w:spacing w:line="240" w:lineRule="auto" w:before="4"/>
        <w:rPr>
          <w:rFonts w:ascii="宋体" w:hAnsi="宋体" w:cs="宋体" w:eastAsia="宋体" w:hint="default"/>
          <w:b/>
          <w:bCs/>
          <w:sz w:val="26"/>
          <w:szCs w:val="26"/>
        </w:rPr>
      </w:pPr>
    </w:p>
    <w:p>
      <w:pPr>
        <w:pStyle w:val="BodyText"/>
        <w:spacing w:line="240" w:lineRule="auto" w:before="0"/>
        <w:ind w:right="0"/>
        <w:jc w:val="left"/>
      </w:pPr>
      <w:r>
        <w:rPr/>
        <w:t>无。</w:t>
      </w:r>
    </w:p>
    <w:p>
      <w:pPr>
        <w:spacing w:line="240" w:lineRule="auto" w:before="0"/>
        <w:rPr>
          <w:rFonts w:ascii="宋体" w:hAnsi="宋体" w:cs="宋体" w:eastAsia="宋体" w:hint="default"/>
          <w:sz w:val="18"/>
          <w:szCs w:val="18"/>
        </w:rPr>
      </w:pPr>
    </w:p>
    <w:p>
      <w:pPr>
        <w:pStyle w:val="Heading4"/>
        <w:spacing w:line="240" w:lineRule="auto" w:before="118"/>
        <w:ind w:right="0"/>
        <w:jc w:val="left"/>
        <w:rPr>
          <w:b w:val="0"/>
          <w:bCs w:val="0"/>
        </w:rPr>
      </w:pPr>
      <w:bookmarkStart w:name="（6）合营企业或联营企业发生的超额亏损" w:id="460"/>
      <w:bookmarkEnd w:id="460"/>
      <w:r>
        <w:rPr>
          <w:b w:val="0"/>
          <w:bCs w:val="0"/>
        </w:rPr>
      </w:r>
      <w:r>
        <w:rPr/>
        <w:t>（</w:t>
      </w:r>
      <w:r>
        <w:rPr>
          <w:rFonts w:ascii="Times New Roman" w:hAnsi="Times New Roman" w:cs="Times New Roman" w:eastAsia="Times New Roman" w:hint="default"/>
        </w:rPr>
        <w:t>6</w:t>
      </w:r>
      <w:r>
        <w:rPr/>
        <w:t>）合营企业或联营企业发生的超额亏损</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391"/>
        <w:gridCol w:w="2391"/>
        <w:gridCol w:w="2396"/>
        <w:gridCol w:w="2391"/>
      </w:tblGrid>
      <w:tr>
        <w:trPr>
          <w:trHeight w:val="710"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01" w:right="0"/>
              <w:jc w:val="left"/>
              <w:rPr>
                <w:rFonts w:ascii="宋体" w:hAnsi="宋体" w:cs="宋体" w:eastAsia="宋体" w:hint="default"/>
                <w:sz w:val="18"/>
                <w:szCs w:val="18"/>
              </w:rPr>
            </w:pPr>
            <w:r>
              <w:rPr>
                <w:rFonts w:ascii="宋体" w:hAnsi="宋体" w:cs="宋体" w:eastAsia="宋体" w:hint="default"/>
                <w:spacing w:val="-3"/>
                <w:sz w:val="18"/>
                <w:szCs w:val="18"/>
              </w:rPr>
              <w:t>合营企业或联营企业名称</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104" w:right="104" w:hanging="995"/>
              <w:jc w:val="left"/>
              <w:rPr>
                <w:rFonts w:ascii="宋体" w:hAnsi="宋体" w:cs="宋体" w:eastAsia="宋体" w:hint="default"/>
                <w:sz w:val="18"/>
                <w:szCs w:val="18"/>
              </w:rPr>
            </w:pPr>
            <w:r>
              <w:rPr>
                <w:rFonts w:ascii="宋体" w:hAnsi="宋体" w:cs="宋体" w:eastAsia="宋体" w:hint="default"/>
                <w:spacing w:val="-3"/>
                <w:sz w:val="18"/>
                <w:szCs w:val="18"/>
              </w:rPr>
              <w:t>累积未确认前期累计认的损</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失</w:t>
            </w: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561" w:right="109" w:hanging="452"/>
              <w:jc w:val="left"/>
              <w:rPr>
                <w:rFonts w:ascii="宋体" w:hAnsi="宋体" w:cs="宋体" w:eastAsia="宋体" w:hint="default"/>
                <w:sz w:val="18"/>
                <w:szCs w:val="18"/>
              </w:rPr>
            </w:pPr>
            <w:r>
              <w:rPr>
                <w:rFonts w:ascii="宋体" w:hAnsi="宋体" w:cs="宋体" w:eastAsia="宋体" w:hint="default"/>
                <w:spacing w:val="-3"/>
                <w:sz w:val="18"/>
                <w:szCs w:val="18"/>
              </w:rPr>
              <w:t>本期未确认的损失（或本期</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pacing w:val="-3"/>
                <w:sz w:val="18"/>
                <w:szCs w:val="18"/>
              </w:rPr>
              <w:t>分享的净利润）</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01" w:right="0"/>
              <w:jc w:val="left"/>
              <w:rPr>
                <w:rFonts w:ascii="宋体" w:hAnsi="宋体" w:cs="宋体" w:eastAsia="宋体" w:hint="default"/>
                <w:sz w:val="18"/>
                <w:szCs w:val="18"/>
              </w:rPr>
            </w:pPr>
            <w:r>
              <w:rPr>
                <w:rFonts w:ascii="宋体" w:hAnsi="宋体" w:cs="宋体" w:eastAsia="宋体" w:hint="default"/>
                <w:spacing w:val="-3"/>
                <w:sz w:val="18"/>
                <w:szCs w:val="18"/>
              </w:rPr>
              <w:t>本期末累积未确认的损失</w:t>
            </w:r>
          </w:p>
        </w:tc>
      </w:tr>
    </w:tbl>
    <w:p>
      <w:pPr>
        <w:pStyle w:val="BodyText"/>
        <w:spacing w:line="357" w:lineRule="auto" w:before="53"/>
        <w:ind w:right="10031"/>
        <w:jc w:val="left"/>
      </w:pPr>
      <w:r>
        <w:rPr/>
        <w:t>其他说明</w:t>
      </w:r>
      <w:r>
        <w:rPr>
          <w:spacing w:val="-86"/>
        </w:rPr>
        <w:t> </w:t>
      </w:r>
      <w:r>
        <w:rPr>
          <w:spacing w:val="-86"/>
        </w:rPr>
      </w:r>
      <w:r>
        <w:rPr/>
        <w:t>无。</w:t>
      </w:r>
    </w:p>
    <w:p>
      <w:pPr>
        <w:spacing w:line="240" w:lineRule="auto" w:before="3"/>
        <w:rPr>
          <w:rFonts w:ascii="宋体" w:hAnsi="宋体" w:cs="宋体" w:eastAsia="宋体" w:hint="default"/>
          <w:sz w:val="20"/>
          <w:szCs w:val="20"/>
        </w:rPr>
      </w:pPr>
    </w:p>
    <w:p>
      <w:pPr>
        <w:pStyle w:val="Heading4"/>
        <w:spacing w:line="240" w:lineRule="auto"/>
        <w:ind w:right="0"/>
        <w:jc w:val="left"/>
        <w:rPr>
          <w:b w:val="0"/>
          <w:bCs w:val="0"/>
        </w:rPr>
      </w:pPr>
      <w:bookmarkStart w:name="（7）与合营企业投资相关的未确认承诺" w:id="461"/>
      <w:bookmarkEnd w:id="461"/>
      <w:r>
        <w:rPr>
          <w:b w:val="0"/>
          <w:bCs w:val="0"/>
        </w:rPr>
      </w:r>
      <w:r>
        <w:rPr/>
        <w:t>（</w:t>
      </w:r>
      <w:r>
        <w:rPr>
          <w:rFonts w:ascii="Times New Roman" w:hAnsi="Times New Roman" w:cs="Times New Roman" w:eastAsia="Times New Roman" w:hint="default"/>
        </w:rPr>
        <w:t>7</w:t>
      </w:r>
      <w:r>
        <w:rPr/>
        <w:t>）与合营企业投资相关的未确认承诺</w:t>
      </w:r>
      <w:r>
        <w:rPr>
          <w:b w:val="0"/>
          <w:bCs w:val="0"/>
        </w:rPr>
      </w:r>
    </w:p>
    <w:p>
      <w:pPr>
        <w:spacing w:line="240" w:lineRule="auto" w:before="4"/>
        <w:rPr>
          <w:rFonts w:ascii="宋体" w:hAnsi="宋体" w:cs="宋体" w:eastAsia="宋体" w:hint="default"/>
          <w:b/>
          <w:bCs/>
          <w:sz w:val="26"/>
          <w:szCs w:val="26"/>
        </w:rPr>
      </w:pPr>
    </w:p>
    <w:p>
      <w:pPr>
        <w:pStyle w:val="BodyText"/>
        <w:spacing w:line="240" w:lineRule="auto" w:before="0"/>
        <w:ind w:right="0"/>
        <w:jc w:val="left"/>
      </w:pPr>
      <w:r>
        <w:rPr/>
        <w:t>无。</w:t>
      </w:r>
    </w:p>
    <w:p>
      <w:pPr>
        <w:spacing w:after="0" w:line="240" w:lineRule="auto"/>
        <w:jc w:val="left"/>
        <w:sectPr>
          <w:pgSz w:w="11910" w:h="16840"/>
          <w:pgMar w:header="784" w:footer="1022" w:top="1100" w:bottom="1220" w:left="980" w:right="0"/>
        </w:sectPr>
      </w:pPr>
    </w:p>
    <w:p>
      <w:pPr>
        <w:spacing w:line="240" w:lineRule="auto" w:before="13"/>
        <w:rPr>
          <w:rFonts w:ascii="宋体" w:hAnsi="宋体" w:cs="宋体" w:eastAsia="宋体" w:hint="default"/>
          <w:sz w:val="21"/>
          <w:szCs w:val="21"/>
        </w:rPr>
      </w:pPr>
    </w:p>
    <w:p>
      <w:pPr>
        <w:pStyle w:val="Heading4"/>
        <w:spacing w:line="240" w:lineRule="auto" w:before="36"/>
        <w:ind w:right="0"/>
        <w:jc w:val="left"/>
        <w:rPr>
          <w:b w:val="0"/>
          <w:bCs w:val="0"/>
        </w:rPr>
      </w:pPr>
      <w:bookmarkStart w:name="（8）与合营企业或联营企业投资相关的或有负债" w:id="462"/>
      <w:bookmarkEnd w:id="462"/>
      <w:r>
        <w:rPr>
          <w:b w:val="0"/>
          <w:bCs w:val="0"/>
        </w:rPr>
      </w:r>
      <w:r>
        <w:rPr/>
        <w:t>（</w:t>
      </w:r>
      <w:r>
        <w:rPr>
          <w:rFonts w:ascii="Times New Roman" w:hAnsi="Times New Roman" w:cs="Times New Roman" w:eastAsia="Times New Roman" w:hint="default"/>
        </w:rPr>
        <w:t>8</w:t>
      </w:r>
      <w:r>
        <w:rPr/>
        <w:t>）与合营企业或联营企业投资相关的或有负债</w:t>
      </w:r>
      <w:r>
        <w:rPr>
          <w:b w:val="0"/>
          <w:bCs w:val="0"/>
        </w:rPr>
      </w:r>
    </w:p>
    <w:p>
      <w:pPr>
        <w:spacing w:line="240" w:lineRule="auto" w:before="4"/>
        <w:rPr>
          <w:rFonts w:ascii="宋体" w:hAnsi="宋体" w:cs="宋体" w:eastAsia="宋体" w:hint="default"/>
          <w:b/>
          <w:bCs/>
          <w:sz w:val="26"/>
          <w:szCs w:val="26"/>
        </w:rPr>
      </w:pPr>
    </w:p>
    <w:p>
      <w:pPr>
        <w:pStyle w:val="BodyText"/>
        <w:spacing w:line="240" w:lineRule="auto" w:before="0"/>
        <w:ind w:right="0"/>
        <w:jc w:val="left"/>
      </w:pPr>
      <w:r>
        <w:rPr/>
        <w:t>无。</w:t>
      </w:r>
    </w:p>
    <w:p>
      <w:pPr>
        <w:spacing w:line="240" w:lineRule="auto" w:before="0"/>
        <w:rPr>
          <w:rFonts w:ascii="宋体" w:hAnsi="宋体" w:cs="宋体" w:eastAsia="宋体" w:hint="default"/>
          <w:sz w:val="18"/>
          <w:szCs w:val="18"/>
        </w:rPr>
      </w:pPr>
    </w:p>
    <w:p>
      <w:pPr>
        <w:pStyle w:val="Heading4"/>
        <w:spacing w:line="240" w:lineRule="auto" w:before="118"/>
        <w:ind w:right="0"/>
        <w:jc w:val="left"/>
        <w:rPr>
          <w:b w:val="0"/>
          <w:bCs w:val="0"/>
        </w:rPr>
      </w:pPr>
      <w:bookmarkStart w:name="4、重要的共同经营" w:id="463"/>
      <w:bookmarkEnd w:id="463"/>
      <w:r>
        <w:rPr>
          <w:b w:val="0"/>
          <w:bCs w:val="0"/>
        </w:rPr>
      </w:r>
      <w:r>
        <w:rPr>
          <w:rFonts w:ascii="Times New Roman" w:hAnsi="Times New Roman" w:cs="Times New Roman" w:eastAsia="Times New Roman" w:hint="default"/>
        </w:rPr>
        <w:t>4</w:t>
      </w:r>
      <w:r>
        <w:rPr/>
        <w:t>、重要的共同经营</w:t>
      </w:r>
      <w:r>
        <w:rPr>
          <w:b w:val="0"/>
          <w:bCs w:val="0"/>
        </w:rPr>
      </w:r>
    </w:p>
    <w:p>
      <w:pPr>
        <w:spacing w:line="240" w:lineRule="auto" w:before="7"/>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1599"/>
        <w:gridCol w:w="1594"/>
        <w:gridCol w:w="1595"/>
        <w:gridCol w:w="1594"/>
        <w:gridCol w:w="1594"/>
        <w:gridCol w:w="1594"/>
      </w:tblGrid>
      <w:tr>
        <w:trPr>
          <w:trHeight w:val="403" w:hRule="exact"/>
        </w:trPr>
        <w:tc>
          <w:tcPr>
            <w:tcW w:w="159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b/>
                <w:bCs/>
                <w:sz w:val="19"/>
                <w:szCs w:val="19"/>
              </w:rPr>
            </w:pPr>
          </w:p>
          <w:p>
            <w:pPr>
              <w:pStyle w:val="TableParagraph"/>
              <w:spacing w:line="240" w:lineRule="auto"/>
              <w:ind w:left="254" w:right="0"/>
              <w:jc w:val="left"/>
              <w:rPr>
                <w:rFonts w:ascii="宋体" w:hAnsi="宋体" w:cs="宋体" w:eastAsia="宋体" w:hint="default"/>
                <w:sz w:val="18"/>
                <w:szCs w:val="18"/>
              </w:rPr>
            </w:pPr>
            <w:r>
              <w:rPr>
                <w:rFonts w:ascii="宋体" w:hAnsi="宋体" w:cs="宋体" w:eastAsia="宋体" w:hint="default"/>
                <w:sz w:val="18"/>
                <w:szCs w:val="18"/>
              </w:rPr>
              <w:t>共同经营名称</w:t>
            </w: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b/>
                <w:bCs/>
                <w:sz w:val="19"/>
                <w:szCs w:val="19"/>
              </w:rPr>
            </w:pPr>
          </w:p>
          <w:p>
            <w:pPr>
              <w:pStyle w:val="TableParagraph"/>
              <w:spacing w:line="240" w:lineRule="auto"/>
              <w:ind w:left="340"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5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b/>
                <w:bCs/>
                <w:sz w:val="19"/>
                <w:szCs w:val="19"/>
              </w:rPr>
            </w:pPr>
          </w:p>
          <w:p>
            <w:pPr>
              <w:pStyle w:val="TableParagraph"/>
              <w:spacing w:line="240" w:lineRule="auto"/>
              <w:ind w:left="523"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b/>
                <w:bCs/>
                <w:sz w:val="19"/>
                <w:szCs w:val="19"/>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318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54" w:right="0"/>
              <w:jc w:val="left"/>
              <w:rPr>
                <w:rFonts w:ascii="宋体" w:hAnsi="宋体" w:cs="宋体" w:eastAsia="宋体" w:hint="default"/>
                <w:sz w:val="18"/>
                <w:szCs w:val="18"/>
              </w:rPr>
            </w:pPr>
            <w:r>
              <w:rPr>
                <w:rFonts w:ascii="宋体" w:hAnsi="宋体" w:cs="宋体" w:eastAsia="宋体" w:hint="default"/>
                <w:sz w:val="18"/>
                <w:szCs w:val="18"/>
              </w:rPr>
              <w:t>持股比例</w:t>
            </w:r>
            <w:r>
              <w:rPr>
                <w:rFonts w:ascii="Times New Roman" w:hAnsi="Times New Roman" w:cs="Times New Roman" w:eastAsia="Times New Roman" w:hint="default"/>
                <w:sz w:val="18"/>
                <w:szCs w:val="18"/>
              </w:rPr>
              <w:t>/</w:t>
            </w:r>
            <w:r>
              <w:rPr>
                <w:rFonts w:ascii="宋体" w:hAnsi="宋体" w:cs="宋体" w:eastAsia="宋体" w:hint="default"/>
                <w:sz w:val="18"/>
                <w:szCs w:val="18"/>
              </w:rPr>
              <w:t>享有的份额</w:t>
            </w:r>
          </w:p>
        </w:tc>
      </w:tr>
      <w:tr>
        <w:trPr>
          <w:trHeight w:val="403" w:hRule="exact"/>
        </w:trPr>
        <w:tc>
          <w:tcPr>
            <w:tcW w:w="1599" w:type="dxa"/>
            <w:vMerge/>
            <w:tcBorders>
              <w:left w:val="single" w:sz="4" w:space="0" w:color="000000"/>
              <w:bottom w:val="single" w:sz="4" w:space="0" w:color="000000"/>
              <w:right w:val="single" w:sz="4" w:space="0" w:color="000000"/>
            </w:tcBorders>
            <w:shd w:val="clear" w:color="auto" w:fill="D2D2D2"/>
          </w:tcPr>
          <w:p>
            <w:pPr/>
          </w:p>
        </w:tc>
        <w:tc>
          <w:tcPr>
            <w:tcW w:w="1594" w:type="dxa"/>
            <w:vMerge/>
            <w:tcBorders>
              <w:left w:val="single" w:sz="4" w:space="0" w:color="000000"/>
              <w:bottom w:val="single" w:sz="4" w:space="0" w:color="000000"/>
              <w:right w:val="single" w:sz="4" w:space="0" w:color="000000"/>
            </w:tcBorders>
            <w:shd w:val="clear" w:color="auto" w:fill="D2D2D2"/>
          </w:tcPr>
          <w:p>
            <w:pPr/>
          </w:p>
        </w:tc>
        <w:tc>
          <w:tcPr>
            <w:tcW w:w="1595" w:type="dxa"/>
            <w:vMerge/>
            <w:tcBorders>
              <w:left w:val="single" w:sz="4" w:space="0" w:color="000000"/>
              <w:bottom w:val="single" w:sz="4" w:space="0" w:color="000000"/>
              <w:right w:val="single" w:sz="4" w:space="0" w:color="000000"/>
            </w:tcBorders>
            <w:shd w:val="clear" w:color="auto" w:fill="D2D2D2"/>
          </w:tcPr>
          <w:p>
            <w:pPr/>
          </w:p>
        </w:tc>
        <w:tc>
          <w:tcPr>
            <w:tcW w:w="1594" w:type="dxa"/>
            <w:vMerge/>
            <w:tcBorders>
              <w:left w:val="single" w:sz="4" w:space="0" w:color="000000"/>
              <w:bottom w:val="single" w:sz="4" w:space="0" w:color="000000"/>
              <w:right w:val="single" w:sz="4" w:space="0" w:color="000000"/>
            </w:tcBorders>
            <w:shd w:val="clear" w:color="auto" w:fill="D2D2D2"/>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8" w:right="0"/>
              <w:jc w:val="center"/>
              <w:rPr>
                <w:rFonts w:ascii="宋体" w:hAnsi="宋体" w:cs="宋体" w:eastAsia="宋体" w:hint="default"/>
                <w:sz w:val="18"/>
                <w:szCs w:val="18"/>
              </w:rPr>
            </w:pPr>
            <w:r>
              <w:rPr>
                <w:rFonts w:ascii="宋体" w:hAnsi="宋体" w:cs="宋体" w:eastAsia="宋体" w:hint="default"/>
                <w:sz w:val="18"/>
                <w:szCs w:val="18"/>
              </w:rPr>
              <w:t>直接</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间接</w:t>
            </w:r>
          </w:p>
        </w:tc>
      </w:tr>
    </w:tbl>
    <w:p>
      <w:pPr>
        <w:pStyle w:val="BodyText"/>
        <w:spacing w:line="352" w:lineRule="auto" w:before="54"/>
        <w:ind w:right="5298"/>
        <w:jc w:val="left"/>
      </w:pPr>
      <w:r>
        <w:rPr>
          <w:spacing w:val="-3"/>
        </w:rPr>
        <w:t>在共同经营中的持股比例或享有的份额不同于表决权比例的说明：</w:t>
      </w:r>
      <w:r>
        <w:rPr>
          <w:spacing w:val="-4"/>
        </w:rPr>
        <w:t> </w:t>
      </w:r>
      <w:r>
        <w:rPr>
          <w:spacing w:val="-4"/>
        </w:rPr>
      </w:r>
      <w:r>
        <w:rPr/>
        <w:t>无。</w:t>
      </w:r>
    </w:p>
    <w:p>
      <w:pPr>
        <w:pStyle w:val="BodyText"/>
        <w:spacing w:line="357" w:lineRule="auto" w:before="35"/>
        <w:ind w:right="6714"/>
        <w:jc w:val="left"/>
      </w:pPr>
      <w:r>
        <w:rPr>
          <w:spacing w:val="-3"/>
        </w:rPr>
        <w:t>共同经营为单独主体的，分类为共同经营的依据：</w:t>
      </w:r>
      <w:r>
        <w:rPr>
          <w:spacing w:val="-22"/>
        </w:rPr>
        <w:t> </w:t>
      </w:r>
      <w:r>
        <w:rPr>
          <w:spacing w:val="-22"/>
        </w:rPr>
      </w:r>
      <w:r>
        <w:rPr/>
        <w:t>无。</w:t>
      </w:r>
    </w:p>
    <w:p>
      <w:pPr>
        <w:pStyle w:val="BodyText"/>
        <w:spacing w:line="357" w:lineRule="auto" w:before="31"/>
        <w:ind w:right="10031"/>
        <w:jc w:val="left"/>
      </w:pPr>
      <w:r>
        <w:rPr/>
        <w:t>其他说明</w:t>
      </w:r>
      <w:r>
        <w:rPr>
          <w:spacing w:val="-86"/>
        </w:rPr>
        <w:t> </w:t>
      </w:r>
      <w:r>
        <w:rPr>
          <w:spacing w:val="-86"/>
        </w:rPr>
      </w:r>
      <w:r>
        <w:rPr/>
        <w:t>无。</w:t>
      </w:r>
    </w:p>
    <w:p>
      <w:pPr>
        <w:spacing w:line="240" w:lineRule="auto" w:before="3"/>
        <w:rPr>
          <w:rFonts w:ascii="宋体" w:hAnsi="宋体" w:cs="宋体" w:eastAsia="宋体" w:hint="default"/>
          <w:sz w:val="20"/>
          <w:szCs w:val="20"/>
        </w:rPr>
      </w:pPr>
    </w:p>
    <w:p>
      <w:pPr>
        <w:pStyle w:val="Heading4"/>
        <w:spacing w:line="240" w:lineRule="auto"/>
        <w:ind w:right="0"/>
        <w:jc w:val="left"/>
        <w:rPr>
          <w:b w:val="0"/>
          <w:bCs w:val="0"/>
        </w:rPr>
      </w:pPr>
      <w:bookmarkStart w:name="5、在未纳入合并财务报表范围的结构化主体中的权益" w:id="464"/>
      <w:bookmarkEnd w:id="464"/>
      <w:r>
        <w:rPr>
          <w:b w:val="0"/>
          <w:bCs w:val="0"/>
        </w:rPr>
      </w:r>
      <w:r>
        <w:rPr>
          <w:rFonts w:ascii="Times New Roman" w:hAnsi="Times New Roman" w:cs="Times New Roman" w:eastAsia="Times New Roman" w:hint="default"/>
        </w:rPr>
        <w:t>5</w:t>
      </w:r>
      <w:r>
        <w:rPr/>
        <w:t>、在未纳入合并财务报表范围的结构化主体中的权益</w:t>
      </w:r>
      <w:r>
        <w:rPr>
          <w:b w:val="0"/>
          <w:bCs w:val="0"/>
        </w:rPr>
      </w:r>
    </w:p>
    <w:p>
      <w:pPr>
        <w:spacing w:line="240" w:lineRule="auto" w:before="9"/>
        <w:rPr>
          <w:rFonts w:ascii="宋体" w:hAnsi="宋体" w:cs="宋体" w:eastAsia="宋体" w:hint="default"/>
          <w:b/>
          <w:bCs/>
          <w:sz w:val="26"/>
          <w:szCs w:val="26"/>
        </w:rPr>
      </w:pPr>
    </w:p>
    <w:p>
      <w:pPr>
        <w:pStyle w:val="BodyText"/>
        <w:spacing w:line="352" w:lineRule="auto" w:before="0"/>
        <w:ind w:right="6445"/>
        <w:jc w:val="left"/>
      </w:pPr>
      <w:r>
        <w:rPr>
          <w:spacing w:val="-3"/>
        </w:rPr>
        <w:t>未纳入合并财务报表范围的结构化主体的相关说明：</w:t>
      </w:r>
      <w:r>
        <w:rPr>
          <w:spacing w:val="-21"/>
        </w:rPr>
        <w:t> </w:t>
      </w:r>
      <w:r>
        <w:rPr>
          <w:spacing w:val="-21"/>
        </w:rPr>
      </w:r>
      <w:r>
        <w:rPr/>
        <w:t>无。</w:t>
      </w:r>
    </w:p>
    <w:p>
      <w:pPr>
        <w:spacing w:line="240" w:lineRule="auto" w:before="7"/>
        <w:rPr>
          <w:rFonts w:ascii="宋体" w:hAnsi="宋体" w:cs="宋体" w:eastAsia="宋体" w:hint="default"/>
          <w:sz w:val="20"/>
          <w:szCs w:val="20"/>
        </w:rPr>
      </w:pPr>
    </w:p>
    <w:p>
      <w:pPr>
        <w:pStyle w:val="Heading4"/>
        <w:spacing w:line="240" w:lineRule="auto"/>
        <w:ind w:right="0"/>
        <w:jc w:val="left"/>
        <w:rPr>
          <w:b w:val="0"/>
          <w:bCs w:val="0"/>
        </w:rPr>
      </w:pPr>
      <w:bookmarkStart w:name="6、其他" w:id="465"/>
      <w:bookmarkEnd w:id="465"/>
      <w:r>
        <w:rPr>
          <w:b w:val="0"/>
          <w:bCs w:val="0"/>
        </w:rPr>
      </w:r>
      <w:r>
        <w:rPr>
          <w:rFonts w:ascii="Times New Roman" w:hAnsi="Times New Roman" w:cs="Times New Roman" w:eastAsia="Times New Roman" w:hint="default"/>
        </w:rPr>
        <w:t>6</w:t>
      </w:r>
      <w:r>
        <w:rPr/>
        <w:t>、其他</w:t>
      </w:r>
      <w:r>
        <w:rPr>
          <w:b w:val="0"/>
          <w:bCs w:val="0"/>
        </w:rPr>
      </w:r>
    </w:p>
    <w:p>
      <w:pPr>
        <w:spacing w:line="240" w:lineRule="auto" w:before="4"/>
        <w:rPr>
          <w:rFonts w:ascii="宋体" w:hAnsi="宋体" w:cs="宋体" w:eastAsia="宋体" w:hint="default"/>
          <w:b/>
          <w:bCs/>
          <w:sz w:val="26"/>
          <w:szCs w:val="26"/>
        </w:rPr>
      </w:pPr>
    </w:p>
    <w:p>
      <w:pPr>
        <w:pStyle w:val="Heading6"/>
        <w:spacing w:line="626" w:lineRule="auto"/>
        <w:ind w:right="8587"/>
        <w:jc w:val="left"/>
        <w:rPr>
          <w:b w:val="0"/>
          <w:bCs w:val="0"/>
        </w:rPr>
      </w:pPr>
      <w:r>
        <w:rPr>
          <w:rFonts w:ascii="宋体" w:hAnsi="宋体" w:cs="宋体" w:eastAsia="宋体" w:hint="default"/>
          <w:b w:val="0"/>
          <w:bCs w:val="0"/>
        </w:rPr>
        <w:t>无。</w:t>
      </w:r>
      <w:r>
        <w:rPr>
          <w:rFonts w:ascii="宋体" w:hAnsi="宋体" w:cs="宋体" w:eastAsia="宋体" w:hint="default"/>
          <w:b w:val="0"/>
          <w:bCs w:val="0"/>
          <w:spacing w:val="-86"/>
        </w:rPr>
        <w:t> </w:t>
      </w:r>
      <w:bookmarkStart w:name="十、与金融工具相关的风险" w:id="466"/>
      <w:bookmarkEnd w:id="466"/>
      <w:r>
        <w:rPr>
          <w:rFonts w:ascii="宋体" w:hAnsi="宋体" w:cs="宋体" w:eastAsia="宋体" w:hint="default"/>
          <w:b w:val="0"/>
          <w:bCs w:val="0"/>
          <w:spacing w:val="-86"/>
        </w:rPr>
      </w:r>
      <w:r>
        <w:rPr>
          <w:spacing w:val="-2"/>
        </w:rPr>
        <w:t>十、与金融工具相关的风险</w:t>
      </w:r>
      <w:r>
        <w:rPr>
          <w:b w:val="0"/>
          <w:bCs w:val="0"/>
          <w:spacing w:val="-2"/>
        </w:rPr>
      </w:r>
    </w:p>
    <w:p>
      <w:pPr>
        <w:pStyle w:val="BodyText"/>
        <w:spacing w:line="316" w:lineRule="auto" w:before="89"/>
        <w:ind w:right="1123" w:firstLine="480"/>
        <w:jc w:val="both"/>
      </w:pPr>
      <w:r>
        <w:rPr>
          <w:spacing w:val="-3"/>
        </w:rPr>
        <w:t>本公司的主要金融工具包括应收账款、衍生金额工具、应付账款等，各项金融工具的详细情况说明见本附注六相关项</w:t>
      </w:r>
      <w:r>
        <w:rPr>
          <w:w w:val="101"/>
        </w:rPr>
        <w:t> </w:t>
      </w:r>
      <w:r>
        <w:rPr>
          <w:spacing w:val="-4"/>
        </w:rPr>
        <w:t>目。与这些金融工具有关的风险，以及本公司为降低这些风险所采取的风险管理政策如下所述。本公司管理层对这些风险敞</w:t>
      </w:r>
      <w:r>
        <w:rPr>
          <w:spacing w:val="43"/>
        </w:rPr>
        <w:t> </w:t>
      </w:r>
      <w:r>
        <w:rPr>
          <w:spacing w:val="43"/>
        </w:rPr>
      </w:r>
      <w:r>
        <w:rPr>
          <w:spacing w:val="-3"/>
        </w:rPr>
        <w:t>口进行管理和监控以确保将上述风险控制在限定的范围之内。</w:t>
      </w:r>
    </w:p>
    <w:p>
      <w:pPr>
        <w:pStyle w:val="BodyText"/>
        <w:spacing w:line="316" w:lineRule="auto" w:before="19"/>
        <w:ind w:right="1124" w:firstLine="480"/>
        <w:jc w:val="both"/>
      </w:pPr>
      <w:r>
        <w:rPr>
          <w:spacing w:val="-3"/>
        </w:rPr>
        <w:t>本公司采用敏感性分析技术分析风险变量的合理、可能变化对当期损益或股东权益可能产生的影响。由于任何风险变</w:t>
      </w:r>
      <w:r>
        <w:rPr>
          <w:w w:val="101"/>
        </w:rPr>
        <w:t> </w:t>
      </w:r>
      <w:r>
        <w:rPr>
          <w:spacing w:val="-4"/>
        </w:rPr>
        <w:t>量很少孤立地发生变化，而变量之间存在的相关性对某一风险变量的变化的最终影响金额将产生重大作用，因此下述内容是</w:t>
      </w:r>
      <w:r>
        <w:rPr>
          <w:spacing w:val="43"/>
        </w:rPr>
        <w:t> </w:t>
      </w:r>
      <w:r>
        <w:rPr>
          <w:spacing w:val="43"/>
        </w:rPr>
      </w:r>
      <w:r>
        <w:rPr>
          <w:spacing w:val="-3"/>
        </w:rPr>
        <w:t>在假设每一变量的变化是在独立的情况下进行的。</w:t>
      </w:r>
    </w:p>
    <w:p>
      <w:pPr>
        <w:spacing w:line="240" w:lineRule="auto" w:before="4"/>
        <w:rPr>
          <w:rFonts w:ascii="宋体" w:hAnsi="宋体" w:cs="宋体" w:eastAsia="宋体" w:hint="default"/>
          <w:sz w:val="25"/>
          <w:szCs w:val="25"/>
        </w:rPr>
      </w:pPr>
    </w:p>
    <w:p>
      <w:pPr>
        <w:spacing w:line="319" w:lineRule="auto" w:before="0"/>
        <w:ind w:left="633" w:right="0" w:firstLine="0"/>
        <w:jc w:val="left"/>
        <w:rPr>
          <w:rFonts w:ascii="宋体" w:hAnsi="宋体" w:cs="宋体" w:eastAsia="宋体" w:hint="default"/>
          <w:sz w:val="18"/>
          <w:szCs w:val="18"/>
        </w:rPr>
      </w:pPr>
      <w:r>
        <w:rPr>
          <w:rFonts w:ascii="宋体" w:hAnsi="宋体" w:cs="宋体" w:eastAsia="宋体" w:hint="default"/>
          <w:b/>
          <w:bCs/>
          <w:sz w:val="18"/>
          <w:szCs w:val="18"/>
        </w:rPr>
        <w:t>（一）风险管理目标和政策</w:t>
      </w:r>
      <w:r>
        <w:rPr>
          <w:rFonts w:ascii="宋体" w:hAnsi="宋体" w:cs="宋体" w:eastAsia="宋体" w:hint="default"/>
          <w:b/>
          <w:bCs/>
          <w:spacing w:val="-86"/>
          <w:sz w:val="18"/>
          <w:szCs w:val="18"/>
        </w:rPr>
        <w:t> </w:t>
      </w:r>
      <w:r>
        <w:rPr>
          <w:rFonts w:ascii="宋体" w:hAnsi="宋体" w:cs="宋体" w:eastAsia="宋体" w:hint="default"/>
          <w:b/>
          <w:bCs/>
          <w:spacing w:val="-86"/>
          <w:sz w:val="18"/>
          <w:szCs w:val="18"/>
        </w:rPr>
      </w:r>
      <w:r>
        <w:rPr>
          <w:rFonts w:ascii="宋体" w:hAnsi="宋体" w:cs="宋体" w:eastAsia="宋体" w:hint="default"/>
          <w:spacing w:val="-3"/>
          <w:sz w:val="18"/>
          <w:szCs w:val="18"/>
        </w:rPr>
        <w:t>本公司从事风险管理的目标是在风险和收益之间取得适当的平衡，将风险对本公司经营业绩的负面影响降低到最低水</w:t>
      </w:r>
    </w:p>
    <w:p>
      <w:pPr>
        <w:pStyle w:val="BodyText"/>
        <w:spacing w:line="316" w:lineRule="auto" w:before="17"/>
        <w:ind w:right="0"/>
        <w:jc w:val="left"/>
      </w:pPr>
      <w:r>
        <w:rPr>
          <w:spacing w:val="-4"/>
        </w:rPr>
        <w:t>平。基于该风险管理目标，本公司风险管理的基本策略是确定和分析本公司所面临的各种风险，建立适当的风险承受底线和</w:t>
      </w:r>
      <w:r>
        <w:rPr>
          <w:spacing w:val="43"/>
        </w:rPr>
        <w:t> </w:t>
      </w:r>
      <w:r>
        <w:rPr>
          <w:spacing w:val="43"/>
        </w:rPr>
      </w:r>
      <w:r>
        <w:rPr>
          <w:spacing w:val="-3"/>
        </w:rPr>
        <w:t>进行风险管理，并及时可靠地对各种风险进行监督，将风险控制在限定的范围之内。</w:t>
      </w:r>
    </w:p>
    <w:p>
      <w:pPr>
        <w:spacing w:line="240" w:lineRule="auto" w:before="11"/>
        <w:rPr>
          <w:rFonts w:ascii="宋体" w:hAnsi="宋体" w:cs="宋体" w:eastAsia="宋体" w:hint="default"/>
          <w:sz w:val="23"/>
          <w:szCs w:val="23"/>
        </w:rPr>
      </w:pPr>
    </w:p>
    <w:p>
      <w:pPr>
        <w:pStyle w:val="Heading6"/>
        <w:spacing w:line="240" w:lineRule="auto"/>
        <w:ind w:left="969" w:right="0"/>
        <w:jc w:val="left"/>
        <w:rPr>
          <w:b w:val="0"/>
          <w:bCs w:val="0"/>
        </w:rPr>
      </w:pPr>
      <w:r>
        <w:rPr>
          <w:rFonts w:ascii="宋体" w:hAnsi="宋体" w:cs="宋体" w:eastAsia="宋体" w:hint="default"/>
        </w:rPr>
        <w:t>1</w:t>
      </w:r>
      <w:r>
        <w:rPr/>
        <w:t>、市场风险</w:t>
      </w:r>
      <w:r>
        <w:rPr>
          <w:b w:val="0"/>
          <w:bCs w:val="0"/>
        </w:rPr>
      </w:r>
    </w:p>
    <w:p>
      <w:pPr>
        <w:pStyle w:val="BodyText"/>
        <w:spacing w:line="319" w:lineRule="auto" w:before="71"/>
        <w:ind w:left="633" w:right="1120"/>
        <w:jc w:val="left"/>
      </w:pPr>
      <w:r>
        <w:rPr/>
        <w:t>（</w:t>
      </w:r>
      <w:r>
        <w:rPr>
          <w:rFonts w:ascii="宋体" w:hAnsi="宋体" w:cs="宋体" w:eastAsia="宋体" w:hint="default"/>
        </w:rPr>
        <w:t>1</w:t>
      </w:r>
      <w:r>
        <w:rPr/>
        <w:t>）外汇风险</w:t>
      </w:r>
      <w:r>
        <w:rPr>
          <w:spacing w:val="-85"/>
        </w:rPr>
        <w:t> </w:t>
      </w:r>
      <w:r>
        <w:rPr>
          <w:spacing w:val="-85"/>
        </w:rPr>
      </w:r>
      <w:r>
        <w:rPr>
          <w:spacing w:val="-3"/>
        </w:rPr>
        <w:t>外汇风险指因汇率变动产生损失的风险。本公司承受外汇风险主要与美元有关，本公司的主要业务活动以人民币计价</w:t>
      </w:r>
    </w:p>
    <w:p>
      <w:pPr>
        <w:pStyle w:val="BodyText"/>
        <w:spacing w:line="316" w:lineRule="auto" w:before="17"/>
        <w:ind w:right="0"/>
        <w:jc w:val="left"/>
      </w:pPr>
      <w:r>
        <w:rPr>
          <w:spacing w:val="-4"/>
        </w:rPr>
        <w:t>结算。于</w:t>
      </w:r>
      <w:r>
        <w:rPr>
          <w:rFonts w:ascii="宋体" w:hAnsi="宋体" w:cs="宋体" w:eastAsia="宋体" w:hint="default"/>
          <w:spacing w:val="-4"/>
        </w:rPr>
        <w:t>2019</w:t>
      </w:r>
      <w:r>
        <w:rPr>
          <w:spacing w:val="-4"/>
        </w:rPr>
        <w:t>年</w:t>
      </w:r>
      <w:r>
        <w:rPr>
          <w:rFonts w:ascii="宋体" w:hAnsi="宋体" w:cs="宋体" w:eastAsia="宋体" w:hint="default"/>
          <w:spacing w:val="-4"/>
        </w:rPr>
        <w:t>12</w:t>
      </w:r>
      <w:r>
        <w:rPr>
          <w:spacing w:val="-4"/>
        </w:rPr>
        <w:t>月</w:t>
      </w:r>
      <w:r>
        <w:rPr>
          <w:rFonts w:ascii="宋体" w:hAnsi="宋体" w:cs="宋体" w:eastAsia="宋体" w:hint="default"/>
          <w:spacing w:val="-4"/>
        </w:rPr>
        <w:t>31</w:t>
      </w:r>
      <w:r>
        <w:rPr>
          <w:spacing w:val="-4"/>
        </w:rPr>
        <w:t>日，除下表所述资产或负债为外币余额外，本公司的资产及负债均为人民币余额。该等外币余额的资</w:t>
      </w:r>
      <w:r>
        <w:rPr>
          <w:spacing w:val="56"/>
        </w:rPr>
        <w:t> </w:t>
      </w:r>
      <w:r>
        <w:rPr>
          <w:spacing w:val="56"/>
        </w:rPr>
      </w:r>
      <w:r>
        <w:rPr>
          <w:spacing w:val="-3"/>
        </w:rPr>
        <w:t>产和负债产生的外汇风险可能对本公司的经营业绩产生影响。</w:t>
      </w:r>
    </w:p>
    <w:p>
      <w:pPr>
        <w:spacing w:after="0" w:line="316" w:lineRule="auto"/>
        <w:jc w:val="left"/>
        <w:sectPr>
          <w:pgSz w:w="11910" w:h="16840"/>
          <w:pgMar w:header="784" w:footer="1022" w:top="1100" w:bottom="1220" w:left="980" w:right="0"/>
        </w:sectPr>
      </w:pPr>
    </w:p>
    <w:p>
      <w:pPr>
        <w:spacing w:line="240" w:lineRule="auto" w:before="7"/>
        <w:rPr>
          <w:rFonts w:ascii="宋体" w:hAnsi="宋体" w:cs="宋体" w:eastAsia="宋体" w:hint="default"/>
          <w:sz w:val="25"/>
          <w:szCs w:val="25"/>
        </w:rPr>
      </w:pPr>
    </w:p>
    <w:tbl>
      <w:tblPr>
        <w:tblW w:w="0" w:type="auto"/>
        <w:jc w:val="left"/>
        <w:tblInd w:w="143" w:type="dxa"/>
        <w:tblLayout w:type="fixed"/>
        <w:tblCellMar>
          <w:top w:w="0" w:type="dxa"/>
          <w:left w:w="0" w:type="dxa"/>
          <w:bottom w:w="0" w:type="dxa"/>
          <w:right w:w="0" w:type="dxa"/>
        </w:tblCellMar>
        <w:tblLook w:val="01E0"/>
      </w:tblPr>
      <w:tblGrid>
        <w:gridCol w:w="710"/>
        <w:gridCol w:w="850"/>
        <w:gridCol w:w="850"/>
        <w:gridCol w:w="710"/>
        <w:gridCol w:w="850"/>
        <w:gridCol w:w="850"/>
        <w:gridCol w:w="850"/>
        <w:gridCol w:w="850"/>
        <w:gridCol w:w="711"/>
        <w:gridCol w:w="710"/>
        <w:gridCol w:w="850"/>
        <w:gridCol w:w="994"/>
        <w:gridCol w:w="706"/>
      </w:tblGrid>
      <w:tr>
        <w:trPr>
          <w:trHeight w:val="346" w:hRule="exact"/>
        </w:trPr>
        <w:tc>
          <w:tcPr>
            <w:tcW w:w="710" w:type="dxa"/>
            <w:vMerge w:val="restart"/>
            <w:tcBorders>
              <w:top w:val="single" w:sz="6" w:space="0" w:color="000000"/>
              <w:left w:val="single" w:sz="6" w:space="0" w:color="000000"/>
              <w:right w:val="single" w:sz="6" w:space="0" w:color="000000"/>
            </w:tcBorders>
          </w:tcPr>
          <w:p>
            <w:pPr>
              <w:pStyle w:val="TableParagraph"/>
              <w:spacing w:line="240" w:lineRule="auto" w:before="20"/>
              <w:ind w:left="168"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4960" w:type="dxa"/>
            <w:gridSpan w:val="6"/>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center"/>
              <w:rPr>
                <w:rFonts w:ascii="宋体" w:hAnsi="宋体" w:cs="宋体" w:eastAsia="宋体" w:hint="default"/>
                <w:sz w:val="18"/>
                <w:szCs w:val="18"/>
              </w:rPr>
            </w:pPr>
            <w:r>
              <w:rPr>
                <w:rFonts w:ascii="宋体" w:hAnsi="宋体" w:cs="宋体" w:eastAsia="宋体" w:hint="default"/>
                <w:sz w:val="18"/>
                <w:szCs w:val="18"/>
              </w:rPr>
              <w:t>年末数</w:t>
            </w:r>
          </w:p>
        </w:tc>
        <w:tc>
          <w:tcPr>
            <w:tcW w:w="4821" w:type="dxa"/>
            <w:gridSpan w:val="6"/>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9" w:right="0"/>
              <w:jc w:val="center"/>
              <w:rPr>
                <w:rFonts w:ascii="宋体" w:hAnsi="宋体" w:cs="宋体" w:eastAsia="宋体" w:hint="default"/>
                <w:sz w:val="18"/>
                <w:szCs w:val="18"/>
              </w:rPr>
            </w:pPr>
            <w:r>
              <w:rPr>
                <w:rFonts w:ascii="宋体" w:hAnsi="宋体" w:cs="宋体" w:eastAsia="宋体" w:hint="default"/>
                <w:sz w:val="18"/>
                <w:szCs w:val="18"/>
              </w:rPr>
              <w:t>年初数</w:t>
            </w:r>
          </w:p>
        </w:tc>
      </w:tr>
      <w:tr>
        <w:trPr>
          <w:trHeight w:val="662" w:hRule="exact"/>
        </w:trPr>
        <w:tc>
          <w:tcPr>
            <w:tcW w:w="710" w:type="dxa"/>
            <w:vMerge/>
            <w:tcBorders>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5"/>
              <w:ind w:left="10" w:right="0"/>
              <w:jc w:val="center"/>
              <w:rPr>
                <w:rFonts w:ascii="宋体" w:hAnsi="宋体" w:cs="宋体" w:eastAsia="宋体" w:hint="default"/>
                <w:sz w:val="18"/>
                <w:szCs w:val="18"/>
              </w:rPr>
            </w:pPr>
            <w:r>
              <w:rPr>
                <w:rFonts w:ascii="宋体" w:hAnsi="宋体" w:cs="宋体" w:eastAsia="宋体" w:hint="default"/>
                <w:sz w:val="18"/>
                <w:szCs w:val="18"/>
              </w:rPr>
              <w:t>美元</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5"/>
              <w:ind w:left="9" w:right="0"/>
              <w:jc w:val="center"/>
              <w:rPr>
                <w:rFonts w:ascii="宋体" w:hAnsi="宋体" w:cs="宋体" w:eastAsia="宋体" w:hint="default"/>
                <w:sz w:val="18"/>
                <w:szCs w:val="18"/>
              </w:rPr>
            </w:pPr>
            <w:r>
              <w:rPr>
                <w:rFonts w:ascii="宋体" w:hAnsi="宋体" w:cs="宋体" w:eastAsia="宋体" w:hint="default"/>
                <w:sz w:val="18"/>
                <w:szCs w:val="18"/>
              </w:rPr>
              <w:t>欧元</w:t>
            </w:r>
          </w:p>
        </w:tc>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5"/>
              <w:ind w:left="4" w:right="0"/>
              <w:jc w:val="center"/>
              <w:rPr>
                <w:rFonts w:ascii="宋体" w:hAnsi="宋体" w:cs="宋体" w:eastAsia="宋体" w:hint="default"/>
                <w:sz w:val="18"/>
                <w:szCs w:val="18"/>
              </w:rPr>
            </w:pPr>
            <w:r>
              <w:rPr>
                <w:rFonts w:ascii="宋体" w:hAnsi="宋体" w:cs="宋体" w:eastAsia="宋体" w:hint="default"/>
                <w:sz w:val="18"/>
                <w:szCs w:val="18"/>
              </w:rPr>
              <w:t>英镑</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5"/>
              <w:ind w:left="10" w:right="0"/>
              <w:jc w:val="center"/>
              <w:rPr>
                <w:rFonts w:ascii="宋体" w:hAnsi="宋体" w:cs="宋体" w:eastAsia="宋体" w:hint="default"/>
                <w:sz w:val="18"/>
                <w:szCs w:val="18"/>
              </w:rPr>
            </w:pPr>
            <w:r>
              <w:rPr>
                <w:rFonts w:ascii="宋体" w:hAnsi="宋体" w:cs="宋体" w:eastAsia="宋体" w:hint="default"/>
                <w:sz w:val="18"/>
                <w:szCs w:val="18"/>
              </w:rPr>
              <w:t>港元</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5"/>
              <w:ind w:left="239" w:right="0"/>
              <w:jc w:val="left"/>
              <w:rPr>
                <w:rFonts w:ascii="宋体" w:hAnsi="宋体" w:cs="宋体" w:eastAsia="宋体" w:hint="default"/>
                <w:sz w:val="18"/>
                <w:szCs w:val="18"/>
              </w:rPr>
            </w:pPr>
            <w:r>
              <w:rPr>
                <w:rFonts w:ascii="宋体" w:hAnsi="宋体" w:cs="宋体" w:eastAsia="宋体" w:hint="default"/>
                <w:sz w:val="18"/>
                <w:szCs w:val="18"/>
              </w:rPr>
              <w:t>日元</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312" w:lineRule="auto" w:before="25"/>
              <w:ind w:left="331" w:right="50" w:hanging="274"/>
              <w:jc w:val="left"/>
              <w:rPr>
                <w:rFonts w:ascii="宋体" w:hAnsi="宋体" w:cs="宋体" w:eastAsia="宋体" w:hint="default"/>
                <w:sz w:val="18"/>
                <w:szCs w:val="18"/>
              </w:rPr>
            </w:pPr>
            <w:r>
              <w:rPr>
                <w:rFonts w:ascii="宋体" w:hAnsi="宋体" w:cs="宋体" w:eastAsia="宋体" w:hint="default"/>
                <w:sz w:val="18"/>
                <w:szCs w:val="18"/>
              </w:rPr>
              <w:t>墨西哥比</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索</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5"/>
              <w:ind w:left="19" w:right="0"/>
              <w:jc w:val="center"/>
              <w:rPr>
                <w:rFonts w:ascii="宋体" w:hAnsi="宋体" w:cs="宋体" w:eastAsia="宋体" w:hint="default"/>
                <w:sz w:val="18"/>
                <w:szCs w:val="18"/>
              </w:rPr>
            </w:pPr>
            <w:r>
              <w:rPr>
                <w:rFonts w:ascii="宋体" w:hAnsi="宋体" w:cs="宋体" w:eastAsia="宋体" w:hint="default"/>
                <w:sz w:val="18"/>
                <w:szCs w:val="18"/>
              </w:rPr>
              <w:t>美元</w:t>
            </w:r>
          </w:p>
        </w:tc>
        <w:tc>
          <w:tcPr>
            <w:tcW w:w="7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5"/>
              <w:ind w:left="172"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5"/>
              <w:ind w:left="167" w:right="0"/>
              <w:jc w:val="left"/>
              <w:rPr>
                <w:rFonts w:ascii="宋体" w:hAnsi="宋体" w:cs="宋体" w:eastAsia="宋体" w:hint="default"/>
                <w:sz w:val="18"/>
                <w:szCs w:val="18"/>
              </w:rPr>
            </w:pPr>
            <w:r>
              <w:rPr>
                <w:rFonts w:ascii="宋体" w:hAnsi="宋体" w:cs="宋体" w:eastAsia="宋体" w:hint="default"/>
                <w:sz w:val="18"/>
                <w:szCs w:val="18"/>
              </w:rPr>
              <w:t>英镑</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5"/>
              <w:ind w:left="9" w:right="0"/>
              <w:jc w:val="center"/>
              <w:rPr>
                <w:rFonts w:ascii="宋体" w:hAnsi="宋体" w:cs="宋体" w:eastAsia="宋体" w:hint="default"/>
                <w:sz w:val="18"/>
                <w:szCs w:val="18"/>
              </w:rPr>
            </w:pPr>
            <w:r>
              <w:rPr>
                <w:rFonts w:ascii="宋体" w:hAnsi="宋体" w:cs="宋体" w:eastAsia="宋体" w:hint="default"/>
                <w:sz w:val="18"/>
                <w:szCs w:val="18"/>
              </w:rPr>
              <w:t>港元</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5"/>
              <w:ind w:left="311" w:right="0"/>
              <w:jc w:val="left"/>
              <w:rPr>
                <w:rFonts w:ascii="宋体" w:hAnsi="宋体" w:cs="宋体" w:eastAsia="宋体" w:hint="default"/>
                <w:sz w:val="18"/>
                <w:szCs w:val="18"/>
              </w:rPr>
            </w:pPr>
            <w:r>
              <w:rPr>
                <w:rFonts w:ascii="宋体" w:hAnsi="宋体" w:cs="宋体" w:eastAsia="宋体" w:hint="default"/>
                <w:sz w:val="18"/>
                <w:szCs w:val="18"/>
              </w:rPr>
              <w:t>日元</w:t>
            </w:r>
          </w:p>
        </w:tc>
        <w:tc>
          <w:tcPr>
            <w:tcW w:w="706" w:type="dxa"/>
            <w:tcBorders>
              <w:top w:val="single" w:sz="6" w:space="0" w:color="000000"/>
              <w:left w:val="single" w:sz="6" w:space="0" w:color="000000"/>
              <w:bottom w:val="single" w:sz="6" w:space="0" w:color="000000"/>
              <w:right w:val="single" w:sz="6" w:space="0" w:color="000000"/>
            </w:tcBorders>
          </w:tcPr>
          <w:p>
            <w:pPr>
              <w:pStyle w:val="TableParagraph"/>
              <w:spacing w:line="312" w:lineRule="auto" w:before="25"/>
              <w:ind w:left="168" w:right="69" w:hanging="92"/>
              <w:jc w:val="left"/>
              <w:rPr>
                <w:rFonts w:ascii="宋体" w:hAnsi="宋体" w:cs="宋体" w:eastAsia="宋体" w:hint="default"/>
                <w:sz w:val="18"/>
                <w:szCs w:val="18"/>
              </w:rPr>
            </w:pPr>
            <w:r>
              <w:rPr>
                <w:rFonts w:ascii="宋体" w:hAnsi="宋体" w:cs="宋体" w:eastAsia="宋体" w:hint="default"/>
                <w:sz w:val="18"/>
                <w:szCs w:val="18"/>
              </w:rPr>
              <w:t>墨西哥</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比索</w:t>
            </w:r>
          </w:p>
        </w:tc>
      </w:tr>
      <w:tr>
        <w:trPr>
          <w:trHeight w:val="740" w:hRule="exact"/>
        </w:trPr>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0"/>
              <w:ind w:left="4" w:right="146"/>
              <w:jc w:val="left"/>
              <w:rPr>
                <w:rFonts w:ascii="宋体" w:hAnsi="宋体" w:cs="宋体" w:eastAsia="宋体" w:hint="default"/>
                <w:sz w:val="18"/>
                <w:szCs w:val="18"/>
              </w:rPr>
            </w:pPr>
            <w:r>
              <w:rPr>
                <w:rFonts w:ascii="宋体" w:hAnsi="宋体" w:cs="宋体" w:eastAsia="宋体" w:hint="default"/>
                <w:sz w:val="18"/>
                <w:szCs w:val="18"/>
              </w:rPr>
              <w:t>货币资</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金</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left="9" w:right="0"/>
              <w:jc w:val="center"/>
              <w:rPr>
                <w:rFonts w:ascii="Times New Roman" w:hAnsi="Times New Roman" w:cs="Times New Roman" w:eastAsia="Times New Roman" w:hint="default"/>
                <w:sz w:val="18"/>
                <w:szCs w:val="18"/>
              </w:rPr>
            </w:pPr>
            <w:r>
              <w:rPr>
                <w:rFonts w:ascii="Times New Roman"/>
                <w:sz w:val="18"/>
              </w:rPr>
              <w:t>39,503,237</w:t>
            </w:r>
          </w:p>
          <w:p>
            <w:pPr>
              <w:pStyle w:val="TableParagraph"/>
              <w:spacing w:line="240" w:lineRule="auto" w:before="105"/>
              <w:ind w:left="9" w:right="0"/>
              <w:jc w:val="center"/>
              <w:rPr>
                <w:rFonts w:ascii="Times New Roman" w:hAnsi="Times New Roman" w:cs="Times New Roman" w:eastAsia="Times New Roman" w:hint="default"/>
                <w:sz w:val="18"/>
                <w:szCs w:val="18"/>
              </w:rPr>
            </w:pPr>
            <w:r>
              <w:rPr>
                <w:rFonts w:ascii="Times New Roman"/>
                <w:sz w:val="18"/>
              </w:rPr>
              <w:t>.19</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left="7" w:right="0"/>
              <w:jc w:val="center"/>
              <w:rPr>
                <w:rFonts w:ascii="Times New Roman" w:hAnsi="Times New Roman" w:cs="Times New Roman" w:eastAsia="Times New Roman" w:hint="default"/>
                <w:sz w:val="18"/>
                <w:szCs w:val="18"/>
              </w:rPr>
            </w:pPr>
            <w:r>
              <w:rPr>
                <w:rFonts w:ascii="Times New Roman"/>
                <w:sz w:val="18"/>
              </w:rPr>
              <w:t>1,931,659.</w:t>
            </w:r>
          </w:p>
          <w:p>
            <w:pPr>
              <w:pStyle w:val="TableParagraph"/>
              <w:spacing w:line="240" w:lineRule="auto" w:before="105"/>
              <w:ind w:left="9" w:right="0"/>
              <w:jc w:val="center"/>
              <w:rPr>
                <w:rFonts w:ascii="Times New Roman" w:hAnsi="Times New Roman" w:cs="Times New Roman" w:eastAsia="Times New Roman" w:hint="default"/>
                <w:sz w:val="18"/>
                <w:szCs w:val="18"/>
              </w:rPr>
            </w:pPr>
            <w:r>
              <w:rPr>
                <w:rFonts w:ascii="Times New Roman"/>
                <w:sz w:val="18"/>
              </w:rPr>
              <w:t>91</w:t>
            </w:r>
          </w:p>
        </w:tc>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left="4" w:right="0"/>
              <w:jc w:val="center"/>
              <w:rPr>
                <w:rFonts w:ascii="Times New Roman" w:hAnsi="Times New Roman" w:cs="Times New Roman" w:eastAsia="Times New Roman" w:hint="default"/>
                <w:sz w:val="18"/>
                <w:szCs w:val="18"/>
              </w:rPr>
            </w:pPr>
            <w:r>
              <w:rPr>
                <w:rFonts w:ascii="Times New Roman"/>
                <w:sz w:val="18"/>
              </w:rPr>
              <w:t>1,131,97</w:t>
            </w:r>
          </w:p>
          <w:p>
            <w:pPr>
              <w:pStyle w:val="TableParagraph"/>
              <w:spacing w:line="240" w:lineRule="auto" w:before="105"/>
              <w:ind w:left="9" w:right="0"/>
              <w:jc w:val="center"/>
              <w:rPr>
                <w:rFonts w:ascii="Times New Roman" w:hAnsi="Times New Roman" w:cs="Times New Roman" w:eastAsia="Times New Roman" w:hint="default"/>
                <w:sz w:val="18"/>
                <w:szCs w:val="18"/>
              </w:rPr>
            </w:pPr>
            <w:r>
              <w:rPr>
                <w:rFonts w:ascii="Times New Roman"/>
                <w:sz w:val="18"/>
              </w:rPr>
              <w:t>9.60</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5"/>
              <w:jc w:val="right"/>
              <w:rPr>
                <w:rFonts w:ascii="Arial" w:hAnsi="Arial" w:cs="Arial" w:eastAsia="Arial" w:hint="default"/>
                <w:sz w:val="18"/>
                <w:szCs w:val="18"/>
              </w:rPr>
            </w:pPr>
            <w:r>
              <w:rPr>
                <w:rFonts w:ascii="Arial"/>
                <w:spacing w:val="-1"/>
                <w:sz w:val="18"/>
              </w:rPr>
              <w:t>4,205,914</w:t>
            </w:r>
          </w:p>
          <w:p>
            <w:pPr>
              <w:pStyle w:val="TableParagraph"/>
              <w:spacing w:line="240" w:lineRule="auto" w:before="105"/>
              <w:ind w:right="-6"/>
              <w:jc w:val="right"/>
              <w:rPr>
                <w:rFonts w:ascii="Arial" w:hAnsi="Arial" w:cs="Arial" w:eastAsia="Arial" w:hint="default"/>
                <w:sz w:val="18"/>
                <w:szCs w:val="18"/>
              </w:rPr>
            </w:pPr>
            <w:r>
              <w:rPr>
                <w:rFonts w:ascii="Arial"/>
                <w:sz w:val="18"/>
              </w:rPr>
              <w:t>.78</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left="33" w:right="-5"/>
              <w:jc w:val="left"/>
              <w:rPr>
                <w:rFonts w:ascii="Arial" w:hAnsi="Arial" w:cs="Arial" w:eastAsia="Arial" w:hint="default"/>
                <w:sz w:val="18"/>
                <w:szCs w:val="18"/>
              </w:rPr>
            </w:pPr>
            <w:r>
              <w:rPr>
                <w:rFonts w:ascii="Arial"/>
                <w:sz w:val="18"/>
              </w:rPr>
              <w:t>30,809,37</w:t>
            </w:r>
          </w:p>
          <w:p>
            <w:pPr>
              <w:pStyle w:val="TableParagraph"/>
              <w:spacing w:line="240" w:lineRule="auto" w:before="105"/>
              <w:ind w:left="484" w:right="-5"/>
              <w:jc w:val="left"/>
              <w:rPr>
                <w:rFonts w:ascii="Arial" w:hAnsi="Arial" w:cs="Arial" w:eastAsia="Arial" w:hint="default"/>
                <w:sz w:val="18"/>
                <w:szCs w:val="18"/>
              </w:rPr>
            </w:pPr>
            <w:r>
              <w:rPr>
                <w:rFonts w:ascii="Arial"/>
                <w:sz w:val="18"/>
              </w:rPr>
              <w:t>0.00</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4"/>
              <w:jc w:val="right"/>
              <w:rPr>
                <w:rFonts w:ascii="Arial" w:hAnsi="Arial" w:cs="Arial" w:eastAsia="Arial" w:hint="default"/>
                <w:sz w:val="18"/>
                <w:szCs w:val="18"/>
              </w:rPr>
            </w:pPr>
            <w:r>
              <w:rPr>
                <w:rFonts w:ascii="Arial"/>
                <w:w w:val="101"/>
                <w:sz w:val="18"/>
              </w:rPr>
              <w:t>-</w:t>
            </w:r>
            <w:r>
              <w:rPr>
                <w:rFonts w:ascii="Arial"/>
                <w:sz w:val="18"/>
              </w:rPr>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left="38" w:right="-10"/>
              <w:jc w:val="left"/>
              <w:rPr>
                <w:rFonts w:ascii="Arial" w:hAnsi="Arial" w:cs="Arial" w:eastAsia="Arial" w:hint="default"/>
                <w:sz w:val="18"/>
                <w:szCs w:val="18"/>
              </w:rPr>
            </w:pPr>
            <w:r>
              <w:rPr>
                <w:rFonts w:ascii="Arial"/>
                <w:sz w:val="18"/>
              </w:rPr>
              <w:t>19,807,74</w:t>
            </w:r>
          </w:p>
          <w:p>
            <w:pPr>
              <w:pStyle w:val="TableParagraph"/>
              <w:spacing w:line="240" w:lineRule="auto" w:before="105"/>
              <w:ind w:left="489" w:right="-11"/>
              <w:jc w:val="left"/>
              <w:rPr>
                <w:rFonts w:ascii="Arial" w:hAnsi="Arial" w:cs="Arial" w:eastAsia="Arial" w:hint="default"/>
                <w:sz w:val="18"/>
                <w:szCs w:val="18"/>
              </w:rPr>
            </w:pPr>
            <w:r>
              <w:rPr>
                <w:rFonts w:ascii="Arial"/>
                <w:sz w:val="18"/>
              </w:rPr>
              <w:t>6.60</w:t>
            </w:r>
          </w:p>
        </w:tc>
        <w:tc>
          <w:tcPr>
            <w:tcW w:w="7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left="100" w:right="-10"/>
              <w:jc w:val="center"/>
              <w:rPr>
                <w:rFonts w:ascii="Arial" w:hAnsi="Arial" w:cs="Arial" w:eastAsia="Arial" w:hint="default"/>
                <w:sz w:val="18"/>
                <w:szCs w:val="18"/>
              </w:rPr>
            </w:pPr>
            <w:r>
              <w:rPr>
                <w:rFonts w:ascii="Arial"/>
                <w:spacing w:val="-1"/>
                <w:sz w:val="18"/>
              </w:rPr>
              <w:t>1,286,0</w:t>
            </w:r>
          </w:p>
          <w:p>
            <w:pPr>
              <w:pStyle w:val="TableParagraph"/>
              <w:spacing w:line="240" w:lineRule="auto" w:before="105"/>
              <w:ind w:left="249" w:right="-10"/>
              <w:jc w:val="center"/>
              <w:rPr>
                <w:rFonts w:ascii="Arial" w:hAnsi="Arial" w:cs="Arial" w:eastAsia="Arial" w:hint="default"/>
                <w:sz w:val="18"/>
                <w:szCs w:val="18"/>
              </w:rPr>
            </w:pPr>
            <w:r>
              <w:rPr>
                <w:rFonts w:ascii="Arial"/>
                <w:sz w:val="18"/>
              </w:rPr>
              <w:t>78.96</w:t>
            </w:r>
          </w:p>
        </w:tc>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left="43" w:right="-6"/>
              <w:jc w:val="left"/>
              <w:rPr>
                <w:rFonts w:ascii="Arial" w:hAnsi="Arial" w:cs="Arial" w:eastAsia="Arial" w:hint="default"/>
                <w:sz w:val="18"/>
                <w:szCs w:val="18"/>
              </w:rPr>
            </w:pPr>
            <w:r>
              <w:rPr>
                <w:rFonts w:ascii="Arial"/>
                <w:sz w:val="18"/>
              </w:rPr>
              <w:t>172,247</w:t>
            </w:r>
          </w:p>
          <w:p>
            <w:pPr>
              <w:pStyle w:val="TableParagraph"/>
              <w:spacing w:line="240" w:lineRule="auto" w:before="105"/>
              <w:ind w:left="446" w:right="-6"/>
              <w:jc w:val="left"/>
              <w:rPr>
                <w:rFonts w:ascii="Arial" w:hAnsi="Arial" w:cs="Arial" w:eastAsia="Arial" w:hint="default"/>
                <w:sz w:val="18"/>
                <w:szCs w:val="18"/>
              </w:rPr>
            </w:pPr>
            <w:r>
              <w:rPr>
                <w:rFonts w:ascii="Arial"/>
                <w:sz w:val="18"/>
              </w:rPr>
              <w:t>.07</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left="33" w:right="-5"/>
              <w:jc w:val="left"/>
              <w:rPr>
                <w:rFonts w:ascii="Arial" w:hAnsi="Arial" w:cs="Arial" w:eastAsia="Arial" w:hint="default"/>
                <w:sz w:val="18"/>
                <w:szCs w:val="18"/>
              </w:rPr>
            </w:pPr>
            <w:r>
              <w:rPr>
                <w:rFonts w:ascii="Arial"/>
                <w:sz w:val="18"/>
              </w:rPr>
              <w:t>17,168,46</w:t>
            </w:r>
          </w:p>
          <w:p>
            <w:pPr>
              <w:pStyle w:val="TableParagraph"/>
              <w:spacing w:line="240" w:lineRule="auto" w:before="105"/>
              <w:ind w:left="485" w:right="-6"/>
              <w:jc w:val="left"/>
              <w:rPr>
                <w:rFonts w:ascii="Arial" w:hAnsi="Arial" w:cs="Arial" w:eastAsia="Arial" w:hint="default"/>
                <w:sz w:val="18"/>
                <w:szCs w:val="18"/>
              </w:rPr>
            </w:pPr>
            <w:r>
              <w:rPr>
                <w:rFonts w:ascii="Arial"/>
                <w:sz w:val="18"/>
              </w:rPr>
              <w:t>8.44</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5"/>
              <w:jc w:val="right"/>
              <w:rPr>
                <w:rFonts w:ascii="Arial" w:hAnsi="Arial" w:cs="Arial" w:eastAsia="Arial" w:hint="default"/>
                <w:sz w:val="18"/>
                <w:szCs w:val="18"/>
              </w:rPr>
            </w:pPr>
            <w:r>
              <w:rPr>
                <w:rFonts w:ascii="Arial"/>
                <w:spacing w:val="-2"/>
                <w:sz w:val="18"/>
              </w:rPr>
              <w:t>4,316,538.0</w:t>
            </w:r>
          </w:p>
          <w:p>
            <w:pPr>
              <w:pStyle w:val="TableParagraph"/>
              <w:spacing w:line="240" w:lineRule="auto" w:before="105"/>
              <w:ind w:right="-1"/>
              <w:jc w:val="right"/>
              <w:rPr>
                <w:rFonts w:ascii="Arial" w:hAnsi="Arial" w:cs="Arial" w:eastAsia="Arial" w:hint="default"/>
                <w:sz w:val="18"/>
                <w:szCs w:val="18"/>
              </w:rPr>
            </w:pPr>
            <w:r>
              <w:rPr>
                <w:rFonts w:ascii="Arial"/>
                <w:w w:val="101"/>
                <w:sz w:val="18"/>
              </w:rPr>
              <w:t>0</w:t>
            </w:r>
            <w:r>
              <w:rPr>
                <w:rFonts w:ascii="Arial"/>
                <w:sz w:val="18"/>
              </w:rPr>
            </w:r>
          </w:p>
        </w:tc>
        <w:tc>
          <w:tcPr>
            <w:tcW w:w="7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4"/>
              <w:jc w:val="right"/>
              <w:rPr>
                <w:rFonts w:ascii="Arial" w:hAnsi="Arial" w:cs="Arial" w:eastAsia="Arial" w:hint="default"/>
                <w:sz w:val="18"/>
                <w:szCs w:val="18"/>
              </w:rPr>
            </w:pPr>
            <w:r>
              <w:rPr>
                <w:rFonts w:ascii="Arial"/>
                <w:w w:val="101"/>
                <w:sz w:val="18"/>
              </w:rPr>
              <w:t>-</w:t>
            </w:r>
            <w:r>
              <w:rPr>
                <w:rFonts w:ascii="Arial"/>
                <w:sz w:val="18"/>
              </w:rPr>
            </w:r>
          </w:p>
        </w:tc>
      </w:tr>
      <w:tr>
        <w:trPr>
          <w:trHeight w:val="734" w:hRule="exact"/>
        </w:trPr>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0"/>
              <w:ind w:left="4" w:right="146"/>
              <w:jc w:val="left"/>
              <w:rPr>
                <w:rFonts w:ascii="宋体" w:hAnsi="宋体" w:cs="宋体" w:eastAsia="宋体" w:hint="default"/>
                <w:sz w:val="18"/>
                <w:szCs w:val="18"/>
              </w:rPr>
            </w:pPr>
            <w:r>
              <w:rPr>
                <w:rFonts w:ascii="宋体" w:hAnsi="宋体" w:cs="宋体" w:eastAsia="宋体" w:hint="default"/>
                <w:sz w:val="18"/>
                <w:szCs w:val="18"/>
              </w:rPr>
              <w:t>应收账</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款</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7" w:right="0"/>
              <w:jc w:val="center"/>
              <w:rPr>
                <w:rFonts w:ascii="Times New Roman" w:hAnsi="Times New Roman" w:cs="Times New Roman" w:eastAsia="Times New Roman" w:hint="default"/>
                <w:sz w:val="18"/>
                <w:szCs w:val="18"/>
              </w:rPr>
            </w:pPr>
            <w:r>
              <w:rPr>
                <w:rFonts w:ascii="Times New Roman"/>
                <w:sz w:val="18"/>
              </w:rPr>
              <w:t>5,559,927.</w:t>
            </w:r>
          </w:p>
          <w:p>
            <w:pPr>
              <w:pStyle w:val="TableParagraph"/>
              <w:spacing w:line="240" w:lineRule="auto" w:before="105"/>
              <w:ind w:left="10" w:right="0"/>
              <w:jc w:val="center"/>
              <w:rPr>
                <w:rFonts w:ascii="Times New Roman" w:hAnsi="Times New Roman" w:cs="Times New Roman" w:eastAsia="Times New Roman" w:hint="default"/>
                <w:sz w:val="18"/>
                <w:szCs w:val="18"/>
              </w:rPr>
            </w:pPr>
            <w:r>
              <w:rPr>
                <w:rFonts w:ascii="Times New Roman"/>
                <w:sz w:val="18"/>
              </w:rPr>
              <w:t>98</w:t>
            </w:r>
          </w:p>
        </w:tc>
        <w:tc>
          <w:tcPr>
            <w:tcW w:w="850" w:type="dxa"/>
            <w:tcBorders>
              <w:top w:val="single" w:sz="6" w:space="0" w:color="000000"/>
              <w:left w:val="single" w:sz="6" w:space="0" w:color="000000"/>
              <w:bottom w:val="single" w:sz="6" w:space="0" w:color="000000"/>
              <w:right w:val="single" w:sz="6" w:space="0" w:color="000000"/>
            </w:tcBorders>
          </w:tcPr>
          <w:p>
            <w:pPr/>
          </w:p>
        </w:tc>
        <w:tc>
          <w:tcPr>
            <w:tcW w:w="71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left="33" w:right="-5"/>
              <w:jc w:val="left"/>
              <w:rPr>
                <w:rFonts w:ascii="Arial" w:hAnsi="Arial" w:cs="Arial" w:eastAsia="Arial" w:hint="default"/>
                <w:sz w:val="18"/>
                <w:szCs w:val="18"/>
              </w:rPr>
            </w:pPr>
            <w:r>
              <w:rPr>
                <w:rFonts w:ascii="Arial"/>
                <w:sz w:val="18"/>
              </w:rPr>
              <w:t>17,708,37</w:t>
            </w:r>
          </w:p>
          <w:p>
            <w:pPr>
              <w:pStyle w:val="TableParagraph"/>
              <w:spacing w:line="240" w:lineRule="auto" w:before="105"/>
              <w:ind w:left="485" w:right="-6"/>
              <w:jc w:val="left"/>
              <w:rPr>
                <w:rFonts w:ascii="Arial" w:hAnsi="Arial" w:cs="Arial" w:eastAsia="Arial" w:hint="default"/>
                <w:sz w:val="18"/>
                <w:szCs w:val="18"/>
              </w:rPr>
            </w:pPr>
            <w:r>
              <w:rPr>
                <w:rFonts w:ascii="Arial"/>
                <w:sz w:val="18"/>
              </w:rPr>
              <w:t>0.39</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left="33" w:right="-5"/>
              <w:jc w:val="left"/>
              <w:rPr>
                <w:rFonts w:ascii="Arial" w:hAnsi="Arial" w:cs="Arial" w:eastAsia="Arial" w:hint="default"/>
                <w:sz w:val="18"/>
                <w:szCs w:val="18"/>
              </w:rPr>
            </w:pPr>
            <w:r>
              <w:rPr>
                <w:rFonts w:ascii="Arial"/>
                <w:sz w:val="18"/>
              </w:rPr>
              <w:t>26,700,36</w:t>
            </w:r>
          </w:p>
          <w:p>
            <w:pPr>
              <w:pStyle w:val="TableParagraph"/>
              <w:spacing w:line="240" w:lineRule="auto" w:before="105"/>
              <w:ind w:left="484" w:right="-5"/>
              <w:jc w:val="left"/>
              <w:rPr>
                <w:rFonts w:ascii="Arial" w:hAnsi="Arial" w:cs="Arial" w:eastAsia="Arial" w:hint="default"/>
                <w:sz w:val="18"/>
                <w:szCs w:val="18"/>
              </w:rPr>
            </w:pPr>
            <w:r>
              <w:rPr>
                <w:rFonts w:ascii="Arial"/>
                <w:sz w:val="18"/>
              </w:rPr>
              <w:t>9.16</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4"/>
              <w:jc w:val="right"/>
              <w:rPr>
                <w:rFonts w:ascii="Arial" w:hAnsi="Arial" w:cs="Arial" w:eastAsia="Arial" w:hint="default"/>
                <w:sz w:val="18"/>
                <w:szCs w:val="18"/>
              </w:rPr>
            </w:pPr>
            <w:r>
              <w:rPr>
                <w:rFonts w:ascii="Arial"/>
                <w:w w:val="101"/>
                <w:sz w:val="18"/>
              </w:rPr>
              <w:t>-</w:t>
            </w:r>
            <w:r>
              <w:rPr>
                <w:rFonts w:ascii="Arial"/>
                <w:sz w:val="18"/>
              </w:rPr>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10"/>
              <w:jc w:val="right"/>
              <w:rPr>
                <w:rFonts w:ascii="Arial" w:hAnsi="Arial" w:cs="Arial" w:eastAsia="Arial" w:hint="default"/>
                <w:sz w:val="18"/>
                <w:szCs w:val="18"/>
              </w:rPr>
            </w:pPr>
            <w:r>
              <w:rPr>
                <w:rFonts w:ascii="Arial"/>
                <w:spacing w:val="-1"/>
                <w:sz w:val="18"/>
              </w:rPr>
              <w:t>3,909,025</w:t>
            </w:r>
          </w:p>
          <w:p>
            <w:pPr>
              <w:pStyle w:val="TableParagraph"/>
              <w:spacing w:line="240" w:lineRule="auto" w:before="105"/>
              <w:ind w:right="-11"/>
              <w:jc w:val="right"/>
              <w:rPr>
                <w:rFonts w:ascii="Arial" w:hAnsi="Arial" w:cs="Arial" w:eastAsia="Arial" w:hint="default"/>
                <w:sz w:val="18"/>
                <w:szCs w:val="18"/>
              </w:rPr>
            </w:pPr>
            <w:r>
              <w:rPr>
                <w:rFonts w:ascii="Arial"/>
                <w:sz w:val="18"/>
              </w:rPr>
              <w:t>.80</w:t>
            </w:r>
          </w:p>
        </w:tc>
        <w:tc>
          <w:tcPr>
            <w:tcW w:w="7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7"/>
              <w:jc w:val="right"/>
              <w:rPr>
                <w:rFonts w:ascii="Arial" w:hAnsi="Arial" w:cs="Arial" w:eastAsia="Arial" w:hint="default"/>
                <w:sz w:val="18"/>
                <w:szCs w:val="18"/>
              </w:rPr>
            </w:pPr>
            <w:r>
              <w:rPr>
                <w:rFonts w:ascii="Arial"/>
                <w:spacing w:val="-2"/>
                <w:sz w:val="18"/>
              </w:rPr>
              <w:t>43,008.</w:t>
            </w:r>
          </w:p>
          <w:p>
            <w:pPr>
              <w:pStyle w:val="TableParagraph"/>
              <w:spacing w:line="240" w:lineRule="auto" w:before="105"/>
              <w:ind w:right="-5"/>
              <w:jc w:val="right"/>
              <w:rPr>
                <w:rFonts w:ascii="Arial" w:hAnsi="Arial" w:cs="Arial" w:eastAsia="Arial" w:hint="default"/>
                <w:sz w:val="18"/>
                <w:szCs w:val="18"/>
              </w:rPr>
            </w:pPr>
            <w:r>
              <w:rPr>
                <w:rFonts w:ascii="Arial"/>
                <w:spacing w:val="-1"/>
                <w:sz w:val="18"/>
              </w:rPr>
              <w:t>30</w:t>
            </w:r>
            <w:r>
              <w:rPr>
                <w:rFonts w:ascii="Arial"/>
                <w:sz w:val="18"/>
              </w:rPr>
            </w:r>
          </w:p>
        </w:tc>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6"/>
              <w:jc w:val="right"/>
              <w:rPr>
                <w:rFonts w:ascii="Arial" w:hAnsi="Arial" w:cs="Arial" w:eastAsia="Arial" w:hint="default"/>
                <w:sz w:val="18"/>
                <w:szCs w:val="18"/>
              </w:rPr>
            </w:pPr>
            <w:r>
              <w:rPr>
                <w:rFonts w:ascii="Arial"/>
                <w:spacing w:val="-1"/>
                <w:sz w:val="18"/>
              </w:rPr>
              <w:t>5,950.6</w:t>
            </w:r>
          </w:p>
          <w:p>
            <w:pPr>
              <w:pStyle w:val="TableParagraph"/>
              <w:spacing w:line="240" w:lineRule="auto" w:before="105"/>
              <w:ind w:right="-1"/>
              <w:jc w:val="right"/>
              <w:rPr>
                <w:rFonts w:ascii="Arial" w:hAnsi="Arial" w:cs="Arial" w:eastAsia="Arial" w:hint="default"/>
                <w:sz w:val="18"/>
                <w:szCs w:val="18"/>
              </w:rPr>
            </w:pPr>
            <w:r>
              <w:rPr>
                <w:rFonts w:ascii="Arial"/>
                <w:w w:val="101"/>
                <w:sz w:val="18"/>
              </w:rPr>
              <w:t>5</w:t>
            </w:r>
            <w:r>
              <w:rPr>
                <w:rFonts w:ascii="Arial"/>
                <w:sz w:val="18"/>
              </w:rPr>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left="33" w:right="-5"/>
              <w:jc w:val="left"/>
              <w:rPr>
                <w:rFonts w:ascii="Arial" w:hAnsi="Arial" w:cs="Arial" w:eastAsia="Arial" w:hint="default"/>
                <w:sz w:val="18"/>
                <w:szCs w:val="18"/>
              </w:rPr>
            </w:pPr>
            <w:r>
              <w:rPr>
                <w:rFonts w:ascii="Arial"/>
                <w:sz w:val="18"/>
              </w:rPr>
              <w:t>12,747,65</w:t>
            </w:r>
          </w:p>
          <w:p>
            <w:pPr>
              <w:pStyle w:val="TableParagraph"/>
              <w:spacing w:line="240" w:lineRule="auto" w:before="105"/>
              <w:ind w:left="485" w:right="-6"/>
              <w:jc w:val="left"/>
              <w:rPr>
                <w:rFonts w:ascii="Arial" w:hAnsi="Arial" w:cs="Arial" w:eastAsia="Arial" w:hint="default"/>
                <w:sz w:val="18"/>
                <w:szCs w:val="18"/>
              </w:rPr>
            </w:pPr>
            <w:r>
              <w:rPr>
                <w:rFonts w:ascii="Arial"/>
                <w:sz w:val="18"/>
              </w:rPr>
              <w:t>4.26</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4"/>
              <w:jc w:val="right"/>
              <w:rPr>
                <w:rFonts w:ascii="Arial" w:hAnsi="Arial" w:cs="Arial" w:eastAsia="Arial" w:hint="default"/>
                <w:sz w:val="18"/>
                <w:szCs w:val="18"/>
              </w:rPr>
            </w:pPr>
            <w:r>
              <w:rPr>
                <w:rFonts w:ascii="Arial"/>
                <w:w w:val="101"/>
                <w:sz w:val="18"/>
              </w:rPr>
              <w:t>-</w:t>
            </w:r>
            <w:r>
              <w:rPr>
                <w:rFonts w:ascii="Arial"/>
                <w:sz w:val="18"/>
              </w:rPr>
            </w:r>
          </w:p>
        </w:tc>
        <w:tc>
          <w:tcPr>
            <w:tcW w:w="7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4"/>
              <w:jc w:val="right"/>
              <w:rPr>
                <w:rFonts w:ascii="Arial" w:hAnsi="Arial" w:cs="Arial" w:eastAsia="Arial" w:hint="default"/>
                <w:sz w:val="18"/>
                <w:szCs w:val="18"/>
              </w:rPr>
            </w:pPr>
            <w:r>
              <w:rPr>
                <w:rFonts w:ascii="Arial"/>
                <w:w w:val="101"/>
                <w:sz w:val="18"/>
              </w:rPr>
              <w:t>-</w:t>
            </w:r>
            <w:r>
              <w:rPr>
                <w:rFonts w:ascii="Arial"/>
                <w:sz w:val="18"/>
              </w:rPr>
            </w:r>
          </w:p>
        </w:tc>
      </w:tr>
      <w:tr>
        <w:trPr>
          <w:trHeight w:val="740" w:hRule="exact"/>
        </w:trPr>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319" w:lineRule="auto" w:before="25"/>
              <w:ind w:left="4" w:right="146"/>
              <w:jc w:val="left"/>
              <w:rPr>
                <w:rFonts w:ascii="宋体" w:hAnsi="宋体" w:cs="宋体" w:eastAsia="宋体" w:hint="default"/>
                <w:sz w:val="18"/>
                <w:szCs w:val="18"/>
              </w:rPr>
            </w:pPr>
            <w:r>
              <w:rPr>
                <w:rFonts w:ascii="宋体" w:hAnsi="宋体" w:cs="宋体" w:eastAsia="宋体" w:hint="default"/>
                <w:sz w:val="18"/>
                <w:szCs w:val="18"/>
              </w:rPr>
              <w:t>其他应</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收款</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7"/>
              <w:ind w:left="5" w:right="0"/>
              <w:jc w:val="center"/>
              <w:rPr>
                <w:rFonts w:ascii="Times New Roman" w:hAnsi="Times New Roman" w:cs="Times New Roman" w:eastAsia="Times New Roman" w:hint="default"/>
                <w:sz w:val="18"/>
                <w:szCs w:val="18"/>
              </w:rPr>
            </w:pPr>
            <w:r>
              <w:rPr>
                <w:rFonts w:ascii="Times New Roman"/>
                <w:sz w:val="18"/>
              </w:rPr>
              <w:t>21,952.96</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7"/>
              <w:ind w:left="4" w:right="0"/>
              <w:jc w:val="center"/>
              <w:rPr>
                <w:rFonts w:ascii="Times New Roman" w:hAnsi="Times New Roman" w:cs="Times New Roman" w:eastAsia="Times New Roman" w:hint="default"/>
                <w:sz w:val="18"/>
                <w:szCs w:val="18"/>
              </w:rPr>
            </w:pPr>
            <w:r>
              <w:rPr>
                <w:rFonts w:ascii="Times New Roman"/>
                <w:sz w:val="18"/>
              </w:rPr>
              <w:t>12,539.29</w:t>
            </w:r>
          </w:p>
        </w:tc>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7"/>
              <w:ind w:left="4" w:right="0"/>
              <w:jc w:val="center"/>
              <w:rPr>
                <w:rFonts w:ascii="Times New Roman" w:hAnsi="Times New Roman" w:cs="Times New Roman" w:eastAsia="Times New Roman" w:hint="default"/>
                <w:sz w:val="18"/>
                <w:szCs w:val="18"/>
              </w:rPr>
            </w:pPr>
            <w:r>
              <w:rPr>
                <w:rFonts w:ascii="Times New Roman"/>
                <w:sz w:val="18"/>
              </w:rPr>
              <w:t>9,680.16</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5"/>
              <w:jc w:val="right"/>
              <w:rPr>
                <w:rFonts w:ascii="Arial" w:hAnsi="Arial" w:cs="Arial" w:eastAsia="Arial" w:hint="default"/>
                <w:sz w:val="18"/>
                <w:szCs w:val="18"/>
              </w:rPr>
            </w:pPr>
            <w:r>
              <w:rPr>
                <w:rFonts w:ascii="Arial"/>
                <w:spacing w:val="-1"/>
                <w:sz w:val="18"/>
              </w:rPr>
              <w:t>213,670.0</w:t>
            </w:r>
          </w:p>
          <w:p>
            <w:pPr>
              <w:pStyle w:val="TableParagraph"/>
              <w:spacing w:line="240" w:lineRule="auto" w:before="105"/>
              <w:ind w:right="-1"/>
              <w:jc w:val="right"/>
              <w:rPr>
                <w:rFonts w:ascii="Arial" w:hAnsi="Arial" w:cs="Arial" w:eastAsia="Arial" w:hint="default"/>
                <w:sz w:val="18"/>
                <w:szCs w:val="18"/>
              </w:rPr>
            </w:pPr>
            <w:r>
              <w:rPr>
                <w:rFonts w:ascii="Arial"/>
                <w:w w:val="101"/>
                <w:sz w:val="18"/>
              </w:rPr>
              <w:t>0</w:t>
            </w:r>
            <w:r>
              <w:rPr>
                <w:rFonts w:ascii="Arial"/>
                <w:sz w:val="18"/>
              </w:rPr>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5"/>
              <w:jc w:val="right"/>
              <w:rPr>
                <w:rFonts w:ascii="Arial" w:hAnsi="Arial" w:cs="Arial" w:eastAsia="Arial" w:hint="default"/>
                <w:sz w:val="18"/>
                <w:szCs w:val="18"/>
              </w:rPr>
            </w:pPr>
            <w:r>
              <w:rPr>
                <w:rFonts w:ascii="Arial"/>
                <w:spacing w:val="-1"/>
                <w:sz w:val="18"/>
              </w:rPr>
              <w:t>2,852,400</w:t>
            </w:r>
          </w:p>
          <w:p>
            <w:pPr>
              <w:pStyle w:val="TableParagraph"/>
              <w:spacing w:line="240" w:lineRule="auto" w:before="105"/>
              <w:ind w:right="-6"/>
              <w:jc w:val="right"/>
              <w:rPr>
                <w:rFonts w:ascii="Arial" w:hAnsi="Arial" w:cs="Arial" w:eastAsia="Arial" w:hint="default"/>
                <w:sz w:val="18"/>
                <w:szCs w:val="18"/>
              </w:rPr>
            </w:pPr>
            <w:r>
              <w:rPr>
                <w:rFonts w:ascii="Arial"/>
                <w:sz w:val="18"/>
              </w:rPr>
              <w:t>.00</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6"/>
              <w:jc w:val="right"/>
              <w:rPr>
                <w:rFonts w:ascii="Arial" w:hAnsi="Arial" w:cs="Arial" w:eastAsia="Arial" w:hint="default"/>
                <w:sz w:val="18"/>
                <w:szCs w:val="18"/>
              </w:rPr>
            </w:pPr>
            <w:r>
              <w:rPr>
                <w:rFonts w:ascii="Arial"/>
                <w:spacing w:val="-1"/>
                <w:sz w:val="18"/>
              </w:rPr>
              <w:t>156,828.0</w:t>
            </w:r>
          </w:p>
          <w:p>
            <w:pPr>
              <w:pStyle w:val="TableParagraph"/>
              <w:spacing w:line="240" w:lineRule="auto" w:before="105"/>
              <w:ind w:right="-1"/>
              <w:jc w:val="right"/>
              <w:rPr>
                <w:rFonts w:ascii="Arial" w:hAnsi="Arial" w:cs="Arial" w:eastAsia="Arial" w:hint="default"/>
                <w:sz w:val="18"/>
                <w:szCs w:val="18"/>
              </w:rPr>
            </w:pPr>
            <w:r>
              <w:rPr>
                <w:rFonts w:ascii="Arial"/>
                <w:w w:val="101"/>
                <w:sz w:val="18"/>
              </w:rPr>
              <w:t>0</w:t>
            </w:r>
            <w:r>
              <w:rPr>
                <w:rFonts w:ascii="Arial"/>
                <w:sz w:val="18"/>
              </w:rPr>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38" w:right="-10"/>
              <w:jc w:val="center"/>
              <w:rPr>
                <w:rFonts w:ascii="Arial" w:hAnsi="Arial" w:cs="Arial" w:eastAsia="Arial" w:hint="default"/>
                <w:sz w:val="18"/>
                <w:szCs w:val="18"/>
              </w:rPr>
            </w:pPr>
            <w:r>
              <w:rPr>
                <w:rFonts w:ascii="Arial"/>
                <w:spacing w:val="-1"/>
                <w:sz w:val="18"/>
              </w:rPr>
              <w:t>10,623.58</w:t>
            </w:r>
          </w:p>
        </w:tc>
        <w:tc>
          <w:tcPr>
            <w:tcW w:w="7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8"/>
              <w:jc w:val="right"/>
              <w:rPr>
                <w:rFonts w:ascii="Arial" w:hAnsi="Arial" w:cs="Arial" w:eastAsia="Arial" w:hint="default"/>
                <w:sz w:val="18"/>
                <w:szCs w:val="18"/>
              </w:rPr>
            </w:pPr>
            <w:r>
              <w:rPr>
                <w:rFonts w:ascii="Arial"/>
                <w:w w:val="101"/>
                <w:sz w:val="18"/>
              </w:rPr>
              <w:t>-</w:t>
            </w:r>
            <w:r>
              <w:rPr>
                <w:rFonts w:ascii="Arial"/>
                <w:sz w:val="18"/>
              </w:rPr>
            </w:r>
          </w:p>
        </w:tc>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3"/>
              <w:jc w:val="right"/>
              <w:rPr>
                <w:rFonts w:ascii="Arial" w:hAnsi="Arial" w:cs="Arial" w:eastAsia="Arial" w:hint="default"/>
                <w:sz w:val="18"/>
                <w:szCs w:val="18"/>
              </w:rPr>
            </w:pPr>
            <w:r>
              <w:rPr>
                <w:rFonts w:ascii="Arial"/>
                <w:spacing w:val="-2"/>
                <w:sz w:val="18"/>
              </w:rPr>
              <w:t>20,799.</w:t>
            </w:r>
          </w:p>
          <w:p>
            <w:pPr>
              <w:pStyle w:val="TableParagraph"/>
              <w:spacing w:line="240" w:lineRule="auto" w:before="105"/>
              <w:ind w:right="-1"/>
              <w:jc w:val="right"/>
              <w:rPr>
                <w:rFonts w:ascii="Arial" w:hAnsi="Arial" w:cs="Arial" w:eastAsia="Arial" w:hint="default"/>
                <w:sz w:val="18"/>
                <w:szCs w:val="18"/>
              </w:rPr>
            </w:pPr>
            <w:r>
              <w:rPr>
                <w:rFonts w:ascii="Arial"/>
                <w:spacing w:val="-1"/>
                <w:sz w:val="18"/>
              </w:rPr>
              <w:t>21</w:t>
            </w:r>
            <w:r>
              <w:rPr>
                <w:rFonts w:ascii="Arial"/>
                <w:sz w:val="18"/>
              </w:rPr>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5"/>
              <w:jc w:val="right"/>
              <w:rPr>
                <w:rFonts w:ascii="Arial" w:hAnsi="Arial" w:cs="Arial" w:eastAsia="Arial" w:hint="default"/>
                <w:sz w:val="18"/>
                <w:szCs w:val="18"/>
              </w:rPr>
            </w:pPr>
            <w:r>
              <w:rPr>
                <w:rFonts w:ascii="Arial"/>
                <w:spacing w:val="-1"/>
                <w:sz w:val="18"/>
              </w:rPr>
              <w:t>266,431.0</w:t>
            </w:r>
          </w:p>
          <w:p>
            <w:pPr>
              <w:pStyle w:val="TableParagraph"/>
              <w:spacing w:line="240" w:lineRule="auto" w:before="105"/>
              <w:ind w:right="-1"/>
              <w:jc w:val="right"/>
              <w:rPr>
                <w:rFonts w:ascii="Arial" w:hAnsi="Arial" w:cs="Arial" w:eastAsia="Arial" w:hint="default"/>
                <w:sz w:val="18"/>
                <w:szCs w:val="18"/>
              </w:rPr>
            </w:pPr>
            <w:r>
              <w:rPr>
                <w:rFonts w:ascii="Arial"/>
                <w:w w:val="101"/>
                <w:sz w:val="18"/>
              </w:rPr>
              <w:t>9</w:t>
            </w:r>
            <w:r>
              <w:rPr>
                <w:rFonts w:ascii="Arial"/>
                <w:sz w:val="18"/>
              </w:rPr>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5"/>
              <w:jc w:val="right"/>
              <w:rPr>
                <w:rFonts w:ascii="Arial" w:hAnsi="Arial" w:cs="Arial" w:eastAsia="Arial" w:hint="default"/>
                <w:sz w:val="18"/>
                <w:szCs w:val="18"/>
              </w:rPr>
            </w:pPr>
            <w:r>
              <w:rPr>
                <w:rFonts w:ascii="Arial"/>
                <w:spacing w:val="-2"/>
                <w:sz w:val="18"/>
              </w:rPr>
              <w:t>2,852,400.0</w:t>
            </w:r>
          </w:p>
          <w:p>
            <w:pPr>
              <w:pStyle w:val="TableParagraph"/>
              <w:spacing w:line="240" w:lineRule="auto" w:before="105"/>
              <w:ind w:right="-1"/>
              <w:jc w:val="right"/>
              <w:rPr>
                <w:rFonts w:ascii="Arial" w:hAnsi="Arial" w:cs="Arial" w:eastAsia="Arial" w:hint="default"/>
                <w:sz w:val="18"/>
                <w:szCs w:val="18"/>
              </w:rPr>
            </w:pPr>
            <w:r>
              <w:rPr>
                <w:rFonts w:ascii="Arial"/>
                <w:w w:val="101"/>
                <w:sz w:val="18"/>
              </w:rPr>
              <w:t>0</w:t>
            </w:r>
            <w:r>
              <w:rPr>
                <w:rFonts w:ascii="Arial"/>
                <w:sz w:val="18"/>
              </w:rPr>
            </w:r>
          </w:p>
        </w:tc>
        <w:tc>
          <w:tcPr>
            <w:tcW w:w="7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4"/>
              <w:jc w:val="right"/>
              <w:rPr>
                <w:rFonts w:ascii="Arial" w:hAnsi="Arial" w:cs="Arial" w:eastAsia="Arial" w:hint="default"/>
                <w:sz w:val="18"/>
                <w:szCs w:val="18"/>
              </w:rPr>
            </w:pPr>
            <w:r>
              <w:rPr>
                <w:rFonts w:ascii="Arial"/>
                <w:w w:val="101"/>
                <w:sz w:val="18"/>
              </w:rPr>
              <w:t>-</w:t>
            </w:r>
            <w:r>
              <w:rPr>
                <w:rFonts w:ascii="Arial"/>
                <w:sz w:val="18"/>
              </w:rPr>
            </w:r>
          </w:p>
        </w:tc>
      </w:tr>
      <w:tr>
        <w:trPr>
          <w:trHeight w:val="739" w:hRule="exact"/>
        </w:trPr>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5"/>
              <w:ind w:left="4" w:right="146"/>
              <w:jc w:val="left"/>
              <w:rPr>
                <w:rFonts w:ascii="宋体" w:hAnsi="宋体" w:cs="宋体" w:eastAsia="宋体" w:hint="default"/>
                <w:sz w:val="18"/>
                <w:szCs w:val="18"/>
              </w:rPr>
            </w:pPr>
            <w:r>
              <w:rPr>
                <w:rFonts w:ascii="宋体" w:hAnsi="宋体" w:cs="宋体" w:eastAsia="宋体" w:hint="default"/>
                <w:sz w:val="18"/>
                <w:szCs w:val="18"/>
              </w:rPr>
              <w:t>应付账</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款</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7"/>
              <w:ind w:left="9" w:right="0"/>
              <w:jc w:val="center"/>
              <w:rPr>
                <w:rFonts w:ascii="Times New Roman" w:hAnsi="Times New Roman" w:cs="Times New Roman" w:eastAsia="Times New Roman" w:hint="default"/>
                <w:sz w:val="18"/>
                <w:szCs w:val="18"/>
              </w:rPr>
            </w:pPr>
            <w:r>
              <w:rPr>
                <w:rFonts w:ascii="Times New Roman"/>
                <w:sz w:val="18"/>
              </w:rPr>
              <w:t>145,333.12</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7"/>
              <w:ind w:left="2" w:right="0"/>
              <w:jc w:val="center"/>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71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4"/>
              <w:ind w:right="-5"/>
              <w:jc w:val="right"/>
              <w:rPr>
                <w:rFonts w:ascii="Arial" w:hAnsi="Arial" w:cs="Arial" w:eastAsia="Arial" w:hint="default"/>
                <w:sz w:val="18"/>
                <w:szCs w:val="18"/>
              </w:rPr>
            </w:pPr>
            <w:r>
              <w:rPr>
                <w:rFonts w:ascii="Arial"/>
                <w:spacing w:val="-1"/>
                <w:sz w:val="18"/>
              </w:rPr>
              <w:t>325,182.0</w:t>
            </w:r>
          </w:p>
          <w:p>
            <w:pPr>
              <w:pStyle w:val="TableParagraph"/>
              <w:spacing w:line="240" w:lineRule="auto" w:before="105"/>
              <w:ind w:right="-1"/>
              <w:jc w:val="right"/>
              <w:rPr>
                <w:rFonts w:ascii="Arial" w:hAnsi="Arial" w:cs="Arial" w:eastAsia="Arial" w:hint="default"/>
                <w:sz w:val="18"/>
                <w:szCs w:val="18"/>
              </w:rPr>
            </w:pPr>
            <w:r>
              <w:rPr>
                <w:rFonts w:ascii="Arial"/>
                <w:w w:val="101"/>
                <w:sz w:val="18"/>
              </w:rPr>
              <w:t>0</w:t>
            </w:r>
            <w:r>
              <w:rPr>
                <w:rFonts w:ascii="Arial"/>
                <w:sz w:val="18"/>
              </w:rPr>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4"/>
              <w:jc w:val="right"/>
              <w:rPr>
                <w:rFonts w:ascii="Arial" w:hAnsi="Arial" w:cs="Arial" w:eastAsia="Arial" w:hint="default"/>
                <w:sz w:val="18"/>
                <w:szCs w:val="18"/>
              </w:rPr>
            </w:pPr>
            <w:r>
              <w:rPr>
                <w:rFonts w:ascii="Arial"/>
                <w:w w:val="101"/>
                <w:sz w:val="18"/>
              </w:rPr>
              <w:t>-</w:t>
            </w:r>
            <w:r>
              <w:rPr>
                <w:rFonts w:ascii="Arial"/>
                <w:sz w:val="18"/>
              </w:rPr>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4"/>
              <w:jc w:val="right"/>
              <w:rPr>
                <w:rFonts w:ascii="Arial" w:hAnsi="Arial" w:cs="Arial" w:eastAsia="Arial" w:hint="default"/>
                <w:sz w:val="18"/>
                <w:szCs w:val="18"/>
              </w:rPr>
            </w:pPr>
            <w:r>
              <w:rPr>
                <w:rFonts w:ascii="Arial"/>
                <w:w w:val="101"/>
                <w:sz w:val="18"/>
              </w:rPr>
              <w:t>-</w:t>
            </w:r>
            <w:r>
              <w:rPr>
                <w:rFonts w:ascii="Arial"/>
                <w:sz w:val="18"/>
              </w:rPr>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38" w:right="-10"/>
              <w:jc w:val="center"/>
              <w:rPr>
                <w:rFonts w:ascii="Arial" w:hAnsi="Arial" w:cs="Arial" w:eastAsia="Arial" w:hint="default"/>
                <w:sz w:val="18"/>
                <w:szCs w:val="18"/>
              </w:rPr>
            </w:pPr>
            <w:r>
              <w:rPr>
                <w:rFonts w:ascii="Arial"/>
                <w:spacing w:val="-1"/>
                <w:sz w:val="18"/>
              </w:rPr>
              <w:t>45,968.32</w:t>
            </w:r>
          </w:p>
        </w:tc>
        <w:tc>
          <w:tcPr>
            <w:tcW w:w="7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8"/>
              <w:jc w:val="right"/>
              <w:rPr>
                <w:rFonts w:ascii="Arial" w:hAnsi="Arial" w:cs="Arial" w:eastAsia="Arial" w:hint="default"/>
                <w:sz w:val="18"/>
                <w:szCs w:val="18"/>
              </w:rPr>
            </w:pPr>
            <w:r>
              <w:rPr>
                <w:rFonts w:ascii="Arial"/>
                <w:w w:val="101"/>
                <w:sz w:val="18"/>
              </w:rPr>
              <w:t>-</w:t>
            </w:r>
            <w:r>
              <w:rPr>
                <w:rFonts w:ascii="Arial"/>
                <w:sz w:val="18"/>
              </w:rPr>
            </w:r>
          </w:p>
        </w:tc>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4"/>
              <w:jc w:val="right"/>
              <w:rPr>
                <w:rFonts w:ascii="Arial" w:hAnsi="Arial" w:cs="Arial" w:eastAsia="Arial" w:hint="default"/>
                <w:sz w:val="18"/>
                <w:szCs w:val="18"/>
              </w:rPr>
            </w:pPr>
            <w:r>
              <w:rPr>
                <w:rFonts w:ascii="Arial"/>
                <w:w w:val="101"/>
                <w:sz w:val="18"/>
              </w:rPr>
              <w:t>-</w:t>
            </w:r>
            <w:r>
              <w:rPr>
                <w:rFonts w:ascii="Arial"/>
                <w:sz w:val="18"/>
              </w:rPr>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4"/>
              <w:ind w:right="-5"/>
              <w:jc w:val="right"/>
              <w:rPr>
                <w:rFonts w:ascii="Arial" w:hAnsi="Arial" w:cs="Arial" w:eastAsia="Arial" w:hint="default"/>
                <w:sz w:val="18"/>
                <w:szCs w:val="18"/>
              </w:rPr>
            </w:pPr>
            <w:r>
              <w:rPr>
                <w:rFonts w:ascii="Arial"/>
                <w:spacing w:val="-1"/>
                <w:sz w:val="18"/>
              </w:rPr>
              <w:t>199,182.0</w:t>
            </w:r>
          </w:p>
          <w:p>
            <w:pPr>
              <w:pStyle w:val="TableParagraph"/>
              <w:spacing w:line="240" w:lineRule="auto" w:before="105"/>
              <w:ind w:right="-1"/>
              <w:jc w:val="right"/>
              <w:rPr>
                <w:rFonts w:ascii="Arial" w:hAnsi="Arial" w:cs="Arial" w:eastAsia="Arial" w:hint="default"/>
                <w:sz w:val="18"/>
                <w:szCs w:val="18"/>
              </w:rPr>
            </w:pPr>
            <w:r>
              <w:rPr>
                <w:rFonts w:ascii="Arial"/>
                <w:w w:val="101"/>
                <w:sz w:val="18"/>
              </w:rPr>
              <w:t>0</w:t>
            </w:r>
            <w:r>
              <w:rPr>
                <w:rFonts w:ascii="Arial"/>
                <w:sz w:val="18"/>
              </w:rPr>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4"/>
              <w:jc w:val="right"/>
              <w:rPr>
                <w:rFonts w:ascii="Arial" w:hAnsi="Arial" w:cs="Arial" w:eastAsia="Arial" w:hint="default"/>
                <w:sz w:val="18"/>
                <w:szCs w:val="18"/>
              </w:rPr>
            </w:pPr>
            <w:r>
              <w:rPr>
                <w:rFonts w:ascii="Arial"/>
                <w:w w:val="101"/>
                <w:sz w:val="18"/>
              </w:rPr>
              <w:t>-</w:t>
            </w:r>
            <w:r>
              <w:rPr>
                <w:rFonts w:ascii="Arial"/>
                <w:sz w:val="18"/>
              </w:rPr>
            </w:r>
          </w:p>
        </w:tc>
        <w:tc>
          <w:tcPr>
            <w:tcW w:w="7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4"/>
              <w:jc w:val="right"/>
              <w:rPr>
                <w:rFonts w:ascii="Arial" w:hAnsi="Arial" w:cs="Arial" w:eastAsia="Arial" w:hint="default"/>
                <w:sz w:val="18"/>
                <w:szCs w:val="18"/>
              </w:rPr>
            </w:pPr>
            <w:r>
              <w:rPr>
                <w:rFonts w:ascii="Arial"/>
                <w:w w:val="101"/>
                <w:sz w:val="18"/>
              </w:rPr>
              <w:t>-</w:t>
            </w:r>
            <w:r>
              <w:rPr>
                <w:rFonts w:ascii="Arial"/>
                <w:sz w:val="18"/>
              </w:rPr>
            </w:r>
          </w:p>
        </w:tc>
      </w:tr>
      <w:tr>
        <w:trPr>
          <w:trHeight w:val="740" w:hRule="exact"/>
        </w:trPr>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319" w:lineRule="auto" w:before="25"/>
              <w:ind w:left="4" w:right="146"/>
              <w:jc w:val="left"/>
              <w:rPr>
                <w:rFonts w:ascii="宋体" w:hAnsi="宋体" w:cs="宋体" w:eastAsia="宋体" w:hint="default"/>
                <w:sz w:val="18"/>
                <w:szCs w:val="18"/>
              </w:rPr>
            </w:pPr>
            <w:r>
              <w:rPr>
                <w:rFonts w:ascii="宋体" w:hAnsi="宋体" w:cs="宋体" w:eastAsia="宋体" w:hint="default"/>
                <w:sz w:val="18"/>
                <w:szCs w:val="18"/>
              </w:rPr>
              <w:t>其他应</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付款</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7"/>
              <w:ind w:left="9" w:right="0"/>
              <w:jc w:val="center"/>
              <w:rPr>
                <w:rFonts w:ascii="Times New Roman" w:hAnsi="Times New Roman" w:cs="Times New Roman" w:eastAsia="Times New Roman" w:hint="default"/>
                <w:sz w:val="18"/>
                <w:szCs w:val="18"/>
              </w:rPr>
            </w:pPr>
            <w:r>
              <w:rPr>
                <w:rFonts w:ascii="Times New Roman"/>
                <w:sz w:val="18"/>
              </w:rPr>
              <w:t>127,155.67</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7"/>
              <w:ind w:left="96" w:right="0"/>
              <w:jc w:val="center"/>
              <w:rPr>
                <w:rFonts w:ascii="Times New Roman" w:hAnsi="Times New Roman" w:cs="Times New Roman" w:eastAsia="Times New Roman" w:hint="default"/>
                <w:sz w:val="18"/>
                <w:szCs w:val="18"/>
              </w:rPr>
            </w:pPr>
            <w:r>
              <w:rPr>
                <w:rFonts w:ascii="Times New Roman"/>
                <w:sz w:val="18"/>
              </w:rPr>
              <w:t>2,626.80</w:t>
            </w:r>
          </w:p>
        </w:tc>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7"/>
              <w:ind w:left="4" w:right="0"/>
              <w:jc w:val="center"/>
              <w:rPr>
                <w:rFonts w:ascii="Times New Roman" w:hAnsi="Times New Roman" w:cs="Times New Roman" w:eastAsia="Times New Roman" w:hint="default"/>
                <w:sz w:val="18"/>
                <w:szCs w:val="18"/>
              </w:rPr>
            </w:pPr>
            <w:r>
              <w:rPr>
                <w:rFonts w:ascii="Times New Roman"/>
                <w:sz w:val="18"/>
              </w:rPr>
              <w:t>6,976.86</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33" w:right="-5"/>
              <w:jc w:val="center"/>
              <w:rPr>
                <w:rFonts w:ascii="Arial" w:hAnsi="Arial" w:cs="Arial" w:eastAsia="Arial" w:hint="default"/>
                <w:sz w:val="18"/>
                <w:szCs w:val="18"/>
              </w:rPr>
            </w:pPr>
            <w:r>
              <w:rPr>
                <w:rFonts w:ascii="Arial"/>
                <w:spacing w:val="-1"/>
                <w:sz w:val="18"/>
              </w:rPr>
              <w:t>90,097.02</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4"/>
              <w:ind w:right="-5"/>
              <w:jc w:val="right"/>
              <w:rPr>
                <w:rFonts w:ascii="Arial" w:hAnsi="Arial" w:cs="Arial" w:eastAsia="Arial" w:hint="default"/>
                <w:sz w:val="18"/>
                <w:szCs w:val="18"/>
              </w:rPr>
            </w:pPr>
            <w:r>
              <w:rPr>
                <w:rFonts w:ascii="Arial"/>
                <w:spacing w:val="-1"/>
                <w:sz w:val="18"/>
              </w:rPr>
              <w:t>1,478,329</w:t>
            </w:r>
          </w:p>
          <w:p>
            <w:pPr>
              <w:pStyle w:val="TableParagraph"/>
              <w:spacing w:line="240" w:lineRule="auto" w:before="105"/>
              <w:ind w:right="-6"/>
              <w:jc w:val="right"/>
              <w:rPr>
                <w:rFonts w:ascii="Arial" w:hAnsi="Arial" w:cs="Arial" w:eastAsia="Arial" w:hint="default"/>
                <w:sz w:val="18"/>
                <w:szCs w:val="18"/>
              </w:rPr>
            </w:pPr>
            <w:r>
              <w:rPr>
                <w:rFonts w:ascii="Arial"/>
                <w:sz w:val="18"/>
              </w:rPr>
              <w:t>.00</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4"/>
              <w:jc w:val="right"/>
              <w:rPr>
                <w:rFonts w:ascii="Arial" w:hAnsi="Arial" w:cs="Arial" w:eastAsia="Arial" w:hint="default"/>
                <w:sz w:val="18"/>
                <w:szCs w:val="18"/>
              </w:rPr>
            </w:pPr>
            <w:r>
              <w:rPr>
                <w:rFonts w:ascii="Arial"/>
                <w:w w:val="101"/>
                <w:sz w:val="18"/>
              </w:rPr>
              <w:t>-</w:t>
            </w:r>
            <w:r>
              <w:rPr>
                <w:rFonts w:ascii="Arial"/>
                <w:sz w:val="18"/>
              </w:rPr>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38" w:right="-10"/>
              <w:jc w:val="center"/>
              <w:rPr>
                <w:rFonts w:ascii="Arial" w:hAnsi="Arial" w:cs="Arial" w:eastAsia="Arial" w:hint="default"/>
                <w:sz w:val="18"/>
                <w:szCs w:val="18"/>
              </w:rPr>
            </w:pPr>
            <w:r>
              <w:rPr>
                <w:rFonts w:ascii="Arial"/>
                <w:spacing w:val="-1"/>
                <w:sz w:val="18"/>
              </w:rPr>
              <w:t>24,015.10</w:t>
            </w:r>
          </w:p>
        </w:tc>
        <w:tc>
          <w:tcPr>
            <w:tcW w:w="7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8"/>
              <w:jc w:val="right"/>
              <w:rPr>
                <w:rFonts w:ascii="Arial" w:hAnsi="Arial" w:cs="Arial" w:eastAsia="Arial" w:hint="default"/>
                <w:sz w:val="18"/>
                <w:szCs w:val="18"/>
              </w:rPr>
            </w:pPr>
            <w:r>
              <w:rPr>
                <w:rFonts w:ascii="Arial"/>
                <w:w w:val="101"/>
                <w:sz w:val="18"/>
              </w:rPr>
              <w:t>-</w:t>
            </w:r>
            <w:r>
              <w:rPr>
                <w:rFonts w:ascii="Arial"/>
                <w:sz w:val="18"/>
              </w:rPr>
            </w:r>
          </w:p>
        </w:tc>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4"/>
              <w:ind w:right="-6"/>
              <w:jc w:val="right"/>
              <w:rPr>
                <w:rFonts w:ascii="Arial" w:hAnsi="Arial" w:cs="Arial" w:eastAsia="Arial" w:hint="default"/>
                <w:sz w:val="18"/>
                <w:szCs w:val="18"/>
              </w:rPr>
            </w:pPr>
            <w:r>
              <w:rPr>
                <w:rFonts w:ascii="Arial"/>
                <w:spacing w:val="-1"/>
                <w:sz w:val="18"/>
              </w:rPr>
              <w:t>7,628.4</w:t>
            </w:r>
          </w:p>
          <w:p>
            <w:pPr>
              <w:pStyle w:val="TableParagraph"/>
              <w:spacing w:line="240" w:lineRule="auto" w:before="105"/>
              <w:ind w:right="-1"/>
              <w:jc w:val="right"/>
              <w:rPr>
                <w:rFonts w:ascii="Arial" w:hAnsi="Arial" w:cs="Arial" w:eastAsia="Arial" w:hint="default"/>
                <w:sz w:val="18"/>
                <w:szCs w:val="18"/>
              </w:rPr>
            </w:pPr>
            <w:r>
              <w:rPr>
                <w:rFonts w:ascii="Arial"/>
                <w:w w:val="101"/>
                <w:sz w:val="18"/>
              </w:rPr>
              <w:t>2</w:t>
            </w:r>
            <w:r>
              <w:rPr>
                <w:rFonts w:ascii="Arial"/>
                <w:sz w:val="18"/>
              </w:rPr>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33" w:right="-5"/>
              <w:jc w:val="center"/>
              <w:rPr>
                <w:rFonts w:ascii="Arial" w:hAnsi="Arial" w:cs="Arial" w:eastAsia="Arial" w:hint="default"/>
                <w:sz w:val="18"/>
                <w:szCs w:val="18"/>
              </w:rPr>
            </w:pPr>
            <w:r>
              <w:rPr>
                <w:rFonts w:ascii="Arial"/>
                <w:spacing w:val="-1"/>
                <w:sz w:val="18"/>
              </w:rPr>
              <w:t>88,028.53</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4"/>
              <w:jc w:val="right"/>
              <w:rPr>
                <w:rFonts w:ascii="Arial" w:hAnsi="Arial" w:cs="Arial" w:eastAsia="Arial" w:hint="default"/>
                <w:sz w:val="18"/>
                <w:szCs w:val="18"/>
              </w:rPr>
            </w:pPr>
            <w:r>
              <w:rPr>
                <w:rFonts w:ascii="Arial"/>
                <w:w w:val="101"/>
                <w:sz w:val="18"/>
              </w:rPr>
              <w:t>-</w:t>
            </w:r>
            <w:r>
              <w:rPr>
                <w:rFonts w:ascii="Arial"/>
                <w:sz w:val="18"/>
              </w:rPr>
            </w:r>
          </w:p>
        </w:tc>
        <w:tc>
          <w:tcPr>
            <w:tcW w:w="7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4"/>
              <w:jc w:val="right"/>
              <w:rPr>
                <w:rFonts w:ascii="Arial" w:hAnsi="Arial" w:cs="Arial" w:eastAsia="Arial" w:hint="default"/>
                <w:sz w:val="18"/>
                <w:szCs w:val="18"/>
              </w:rPr>
            </w:pPr>
            <w:r>
              <w:rPr>
                <w:rFonts w:ascii="Arial"/>
                <w:w w:val="101"/>
                <w:sz w:val="18"/>
              </w:rPr>
              <w:t>-</w:t>
            </w:r>
            <w:r>
              <w:rPr>
                <w:rFonts w:ascii="Arial"/>
                <w:sz w:val="18"/>
              </w:rPr>
            </w:r>
          </w:p>
        </w:tc>
      </w:tr>
    </w:tbl>
    <w:p>
      <w:pPr>
        <w:spacing w:line="240" w:lineRule="auto" w:before="1"/>
        <w:rPr>
          <w:rFonts w:ascii="宋体" w:hAnsi="宋体" w:cs="宋体" w:eastAsia="宋体" w:hint="default"/>
          <w:sz w:val="21"/>
          <w:szCs w:val="21"/>
        </w:rPr>
      </w:pPr>
    </w:p>
    <w:p>
      <w:pPr>
        <w:pStyle w:val="BodyText"/>
        <w:spacing w:line="316" w:lineRule="auto"/>
        <w:ind w:right="0" w:firstLine="480"/>
        <w:jc w:val="left"/>
      </w:pPr>
      <w:r>
        <w:rPr>
          <w:spacing w:val="-3"/>
        </w:rPr>
        <w:t>本公司密切关注汇率变动对本公司外汇风险的影响。通常选择在人民币兑美元升值期间及时结汇，在人民币兑美元贬</w:t>
      </w:r>
      <w:r>
        <w:rPr>
          <w:w w:val="101"/>
        </w:rPr>
        <w:t> </w:t>
      </w:r>
      <w:r>
        <w:rPr>
          <w:spacing w:val="-3"/>
        </w:rPr>
        <w:t>值期间延期结汇以降低外汇风险。</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13"/>
          <w:szCs w:val="13"/>
        </w:rPr>
      </w:pPr>
    </w:p>
    <w:p>
      <w:pPr>
        <w:pStyle w:val="BodyText"/>
        <w:spacing w:line="316" w:lineRule="auto" w:before="0"/>
        <w:ind w:left="633" w:right="0"/>
        <w:jc w:val="left"/>
      </w:pPr>
      <w:r>
        <w:rPr>
          <w:spacing w:val="-3"/>
        </w:rPr>
        <w:t>（</w:t>
      </w:r>
      <w:r>
        <w:rPr>
          <w:rFonts w:ascii="宋体" w:hAnsi="宋体" w:cs="宋体" w:eastAsia="宋体" w:hint="default"/>
          <w:spacing w:val="-3"/>
        </w:rPr>
        <w:t>2</w:t>
      </w:r>
      <w:r>
        <w:rPr>
          <w:spacing w:val="-3"/>
        </w:rPr>
        <w:t>）利率风险－现金流量变动风险</w:t>
      </w:r>
      <w:r>
        <w:rPr>
          <w:spacing w:val="-40"/>
        </w:rPr>
        <w:t> </w:t>
      </w:r>
      <w:r>
        <w:rPr>
          <w:spacing w:val="-40"/>
        </w:rPr>
      </w:r>
      <w:r>
        <w:rPr>
          <w:spacing w:val="-3"/>
        </w:rPr>
        <w:t>利率风险，是指金融工具的公允价值或未来现金流量因市场利率变动而发生波动的风险。本公司面临的利率风险主要</w:t>
      </w:r>
    </w:p>
    <w:p>
      <w:pPr>
        <w:pStyle w:val="BodyText"/>
        <w:spacing w:line="316" w:lineRule="auto" w:before="19"/>
        <w:ind w:right="0"/>
        <w:jc w:val="left"/>
      </w:pPr>
      <w:r>
        <w:rPr/>
        <w:t>来源于银行短期借款 </w:t>
      </w:r>
      <w:r>
        <w:rPr>
          <w:rFonts w:ascii="宋体" w:hAnsi="宋体" w:cs="宋体" w:eastAsia="宋体" w:hint="default"/>
          <w:spacing w:val="-3"/>
        </w:rPr>
        <w:t>(</w:t>
      </w:r>
      <w:r>
        <w:rPr>
          <w:spacing w:val="-3"/>
        </w:rPr>
        <w:t>详见本附注四、</w:t>
      </w:r>
      <w:r>
        <w:rPr>
          <w:rFonts w:ascii="宋体" w:hAnsi="宋体" w:cs="宋体" w:eastAsia="宋体" w:hint="default"/>
          <w:spacing w:val="-3"/>
        </w:rPr>
        <w:t>18)</w:t>
      </w:r>
      <w:r>
        <w:rPr>
          <w:spacing w:val="-3"/>
        </w:rPr>
        <w:t>，公司通过建立良好的银企关系，对授信额度及授信期限进行合理的设计，保障</w:t>
      </w:r>
      <w:r>
        <w:rPr>
          <w:spacing w:val="-39"/>
        </w:rPr>
        <w:t> </w:t>
      </w:r>
      <w:r>
        <w:rPr>
          <w:spacing w:val="-39"/>
        </w:rPr>
      </w:r>
      <w:r>
        <w:rPr>
          <w:spacing w:val="-3"/>
        </w:rPr>
        <w:t>银行授信额度充足，满足公司各类短期融资需求。</w:t>
      </w:r>
    </w:p>
    <w:p>
      <w:pPr>
        <w:spacing w:line="240" w:lineRule="auto" w:before="4"/>
        <w:rPr>
          <w:rFonts w:ascii="宋体" w:hAnsi="宋体" w:cs="宋体" w:eastAsia="宋体" w:hint="default"/>
          <w:sz w:val="25"/>
          <w:szCs w:val="25"/>
        </w:rPr>
      </w:pPr>
    </w:p>
    <w:p>
      <w:pPr>
        <w:pStyle w:val="Heading6"/>
        <w:spacing w:line="240" w:lineRule="auto"/>
        <w:ind w:left="633" w:right="0"/>
        <w:jc w:val="left"/>
        <w:rPr>
          <w:b w:val="0"/>
          <w:bCs w:val="0"/>
        </w:rPr>
      </w:pPr>
      <w:r>
        <w:rPr>
          <w:rFonts w:ascii="宋体" w:hAnsi="宋体" w:cs="宋体" w:eastAsia="宋体" w:hint="default"/>
        </w:rPr>
        <w:t>2</w:t>
      </w:r>
      <w:r>
        <w:rPr/>
        <w:t>、信用风险</w:t>
      </w:r>
      <w:r>
        <w:rPr>
          <w:b w:val="0"/>
          <w:bCs w:val="0"/>
        </w:rPr>
      </w:r>
    </w:p>
    <w:p>
      <w:pPr>
        <w:pStyle w:val="BodyText"/>
        <w:spacing w:line="316" w:lineRule="auto" w:before="76"/>
        <w:ind w:right="1128" w:firstLine="360"/>
        <w:jc w:val="both"/>
      </w:pPr>
      <w:r>
        <w:rPr>
          <w:rFonts w:ascii="宋体" w:hAnsi="宋体" w:cs="宋体" w:eastAsia="宋体" w:hint="default"/>
          <w:spacing w:val="-4"/>
          <w:w w:val="101"/>
        </w:rPr>
        <w:t>2019</w:t>
      </w:r>
      <w:r>
        <w:rPr>
          <w:spacing w:val="-4"/>
          <w:w w:val="101"/>
        </w:rPr>
        <w:t>年</w:t>
      </w:r>
      <w:r>
        <w:rPr>
          <w:rFonts w:ascii="宋体" w:hAnsi="宋体" w:cs="宋体" w:eastAsia="宋体" w:hint="default"/>
          <w:spacing w:val="-4"/>
          <w:w w:val="101"/>
        </w:rPr>
        <w:t>12</w:t>
      </w:r>
      <w:r>
        <w:rPr>
          <w:spacing w:val="-4"/>
          <w:w w:val="101"/>
        </w:rPr>
        <w:t>月</w:t>
      </w:r>
      <w:r>
        <w:rPr>
          <w:rFonts w:ascii="宋体" w:hAnsi="宋体" w:cs="宋体" w:eastAsia="宋体" w:hint="default"/>
          <w:spacing w:val="-4"/>
          <w:w w:val="101"/>
        </w:rPr>
        <w:t>31</w:t>
      </w:r>
      <w:r>
        <w:rPr>
          <w:spacing w:val="-4"/>
          <w:w w:val="101"/>
        </w:rPr>
        <w:t>日，可能引起本公司财务损失的最大信用风险敞口主要来自于合同另一方未能履行义务而导致本公司金融</w:t>
      </w:r>
      <w:r>
        <w:rPr>
          <w:w w:val="101"/>
        </w:rPr>
        <w:t> </w:t>
      </w:r>
      <w:r>
        <w:rPr>
          <w:spacing w:val="-3"/>
        </w:rPr>
        <w:t>资产产生的损失以及本公司承担的财务担保，具体包括：</w:t>
      </w:r>
    </w:p>
    <w:p>
      <w:pPr>
        <w:pStyle w:val="BodyText"/>
        <w:spacing w:line="316" w:lineRule="auto" w:before="19"/>
        <w:ind w:right="1047" w:firstLine="360"/>
        <w:jc w:val="both"/>
      </w:pPr>
      <w:r>
        <w:rPr>
          <w:spacing w:val="-3"/>
        </w:rPr>
        <w:t>合并资产负债表中已确认的金融资产的账面金额；对于以公允价值计量的金融工具而言，账面价值反映了其风险敞口，</w:t>
      </w:r>
      <w:r>
        <w:rPr>
          <w:w w:val="101"/>
        </w:rPr>
        <w:t> </w:t>
      </w:r>
      <w:r>
        <w:rPr>
          <w:spacing w:val="-3"/>
        </w:rPr>
        <w:t>但并非最大风险敞口，其最大风险敞口将随着未来公允价值的变化而改变。</w:t>
      </w:r>
    </w:p>
    <w:p>
      <w:pPr>
        <w:pStyle w:val="BodyText"/>
        <w:spacing w:line="316" w:lineRule="auto" w:before="19"/>
        <w:ind w:right="1122" w:firstLine="360"/>
        <w:jc w:val="both"/>
      </w:pPr>
      <w:r>
        <w:rPr>
          <w:spacing w:val="-4"/>
        </w:rPr>
        <w:t>为降低信用风险，本公司成立了一个小组负责确定信用额度、进行信用审批，并执行其他监控程序以确保采取必要的措</w:t>
      </w:r>
      <w:r>
        <w:rPr>
          <w:w w:val="101"/>
        </w:rPr>
        <w:t> </w:t>
      </w:r>
      <w:r>
        <w:rPr>
          <w:spacing w:val="-4"/>
        </w:rPr>
        <w:t>施回收过期债权。此外，本公司于每个资产负债表日审核每一单项应收款的回收情况，以确保就无法回收的款项计提充分的</w:t>
      </w:r>
      <w:r>
        <w:rPr>
          <w:spacing w:val="43"/>
        </w:rPr>
        <w:t> </w:t>
      </w:r>
      <w:r>
        <w:rPr>
          <w:spacing w:val="43"/>
        </w:rPr>
      </w:r>
      <w:r>
        <w:rPr>
          <w:spacing w:val="-3"/>
        </w:rPr>
        <w:t>坏账准备。因此，本公司管理层认为本公司所承担的信用风险已经大为降低。</w:t>
      </w:r>
    </w:p>
    <w:p>
      <w:pPr>
        <w:pStyle w:val="BodyText"/>
        <w:spacing w:line="240" w:lineRule="auto" w:before="19"/>
        <w:ind w:left="633" w:right="0"/>
        <w:jc w:val="left"/>
      </w:pPr>
      <w:r>
        <w:rPr>
          <w:spacing w:val="-3"/>
        </w:rPr>
        <w:t>本公司的流动资金存放在信用评级较高的银行，故流动资金的信用风险较低。</w:t>
      </w:r>
    </w:p>
    <w:p>
      <w:pPr>
        <w:spacing w:line="240" w:lineRule="auto" w:before="0"/>
        <w:rPr>
          <w:rFonts w:ascii="宋体" w:hAnsi="宋体" w:cs="宋体" w:eastAsia="宋体" w:hint="default"/>
          <w:sz w:val="18"/>
          <w:szCs w:val="18"/>
        </w:rPr>
      </w:pPr>
    </w:p>
    <w:p>
      <w:pPr>
        <w:pStyle w:val="BodyText"/>
        <w:spacing w:line="319" w:lineRule="auto" w:before="153"/>
        <w:ind w:left="633" w:right="1120"/>
        <w:jc w:val="left"/>
      </w:pPr>
      <w:r>
        <w:rPr>
          <w:rFonts w:ascii="宋体" w:hAnsi="宋体" w:cs="宋体" w:eastAsia="宋体" w:hint="default"/>
          <w:b/>
          <w:bCs/>
        </w:rPr>
        <w:t>3</w:t>
      </w:r>
      <w:r>
        <w:rPr>
          <w:rFonts w:ascii="宋体" w:hAnsi="宋体" w:cs="宋体" w:eastAsia="宋体" w:hint="default"/>
          <w:b/>
          <w:bCs/>
        </w:rPr>
        <w:t>、流动风险</w:t>
      </w:r>
      <w:r>
        <w:rPr>
          <w:rFonts w:ascii="宋体" w:hAnsi="宋体" w:cs="宋体" w:eastAsia="宋体" w:hint="default"/>
          <w:b/>
          <w:bCs/>
          <w:spacing w:val="-87"/>
        </w:rPr>
        <w:t> </w:t>
      </w:r>
      <w:r>
        <w:rPr>
          <w:rFonts w:ascii="宋体" w:hAnsi="宋体" w:cs="宋体" w:eastAsia="宋体" w:hint="default"/>
          <w:b/>
          <w:bCs/>
          <w:spacing w:val="-87"/>
        </w:rPr>
      </w:r>
      <w:r>
        <w:rPr>
          <w:spacing w:val="-3"/>
        </w:rPr>
        <w:t>管理流动风险时，本公司保持管理层认为充分的现金及现金等价物并对其进行监控，以满足本公司经营需要，并降低</w:t>
      </w:r>
    </w:p>
    <w:p>
      <w:pPr>
        <w:pStyle w:val="BodyText"/>
        <w:spacing w:line="240" w:lineRule="auto" w:before="17"/>
        <w:ind w:right="0"/>
        <w:jc w:val="left"/>
      </w:pPr>
      <w:r>
        <w:rPr>
          <w:spacing w:val="-3"/>
        </w:rPr>
        <w:t>现金流量波动的影响。本公司管理层对银行借款的使用情况进行监控并确保遵守借款协议。</w:t>
      </w:r>
    </w:p>
    <w:p>
      <w:pPr>
        <w:spacing w:line="240" w:lineRule="auto" w:before="0"/>
        <w:rPr>
          <w:rFonts w:ascii="宋体" w:hAnsi="宋体" w:cs="宋体" w:eastAsia="宋体" w:hint="default"/>
          <w:sz w:val="18"/>
          <w:szCs w:val="18"/>
        </w:rPr>
      </w:pPr>
    </w:p>
    <w:p>
      <w:pPr>
        <w:spacing w:line="316" w:lineRule="auto" w:before="153"/>
        <w:ind w:left="633" w:right="3511" w:firstLine="0"/>
        <w:jc w:val="left"/>
        <w:rPr>
          <w:rFonts w:ascii="宋体" w:hAnsi="宋体" w:cs="宋体" w:eastAsia="宋体" w:hint="default"/>
          <w:sz w:val="18"/>
          <w:szCs w:val="18"/>
        </w:rPr>
      </w:pPr>
      <w:r>
        <w:rPr>
          <w:rFonts w:ascii="宋体" w:hAnsi="宋体" w:cs="宋体" w:eastAsia="宋体" w:hint="default"/>
          <w:b/>
          <w:bCs/>
          <w:sz w:val="18"/>
          <w:szCs w:val="18"/>
        </w:rPr>
        <w:t>（二）金融资产转移</w:t>
      </w:r>
      <w:r>
        <w:rPr>
          <w:rFonts w:ascii="宋体" w:hAnsi="宋体" w:cs="宋体" w:eastAsia="宋体" w:hint="default"/>
          <w:b/>
          <w:bCs/>
          <w:spacing w:val="-86"/>
          <w:sz w:val="18"/>
          <w:szCs w:val="18"/>
        </w:rPr>
        <w:t> </w:t>
      </w:r>
      <w:r>
        <w:rPr>
          <w:rFonts w:ascii="宋体" w:hAnsi="宋体" w:cs="宋体" w:eastAsia="宋体" w:hint="default"/>
          <w:b/>
          <w:bCs/>
          <w:spacing w:val="-86"/>
          <w:sz w:val="18"/>
          <w:szCs w:val="18"/>
        </w:rPr>
      </w:r>
      <w:r>
        <w:rPr>
          <w:rFonts w:ascii="宋体" w:hAnsi="宋体" w:cs="宋体" w:eastAsia="宋体" w:hint="default"/>
          <w:spacing w:val="-3"/>
          <w:sz w:val="18"/>
          <w:szCs w:val="18"/>
        </w:rPr>
        <w:t>年末已背书且在资产负债表日尚未到期的应收票据为</w:t>
      </w:r>
      <w:r>
        <w:rPr>
          <w:rFonts w:ascii="宋体" w:hAnsi="宋体" w:cs="宋体" w:eastAsia="宋体" w:hint="default"/>
          <w:spacing w:val="-3"/>
          <w:sz w:val="18"/>
          <w:szCs w:val="18"/>
        </w:rPr>
        <w:t>1,300,000.00</w:t>
      </w:r>
      <w:r>
        <w:rPr>
          <w:rFonts w:ascii="宋体" w:hAnsi="宋体" w:cs="宋体" w:eastAsia="宋体" w:hint="default"/>
          <w:spacing w:val="-3"/>
          <w:sz w:val="18"/>
          <w:szCs w:val="18"/>
        </w:rPr>
        <w:t>元。</w:t>
      </w:r>
    </w:p>
    <w:p>
      <w:pPr>
        <w:pStyle w:val="Heading6"/>
        <w:spacing w:line="316" w:lineRule="auto" w:before="19"/>
        <w:ind w:left="633" w:right="7092"/>
        <w:jc w:val="left"/>
        <w:rPr>
          <w:b w:val="0"/>
          <w:bCs w:val="0"/>
        </w:rPr>
      </w:pPr>
      <w:r>
        <w:rPr>
          <w:spacing w:val="-2"/>
        </w:rPr>
        <w:t>（三）金融资产与金融负债的抵销情况</w:t>
      </w:r>
      <w:r>
        <w:rPr>
          <w:spacing w:val="-53"/>
        </w:rPr>
        <w:t> </w:t>
      </w:r>
      <w:r>
        <w:rPr>
          <w:spacing w:val="-53"/>
        </w:rPr>
      </w:r>
      <w:r>
        <w:rPr/>
        <w:t>无</w:t>
      </w:r>
      <w:r>
        <w:rPr>
          <w:b w:val="0"/>
          <w:bCs w:val="0"/>
        </w:rPr>
      </w:r>
    </w:p>
    <w:p>
      <w:pPr>
        <w:spacing w:after="0" w:line="316" w:lineRule="auto"/>
        <w:jc w:val="left"/>
        <w:sectPr>
          <w:pgSz w:w="11910" w:h="16840"/>
          <w:pgMar w:header="784" w:footer="1022" w:top="1100" w:bottom="1220" w:left="980" w:right="0"/>
        </w:sectPr>
      </w:pPr>
    </w:p>
    <w:p>
      <w:pPr>
        <w:spacing w:line="240" w:lineRule="auto" w:before="6"/>
        <w:rPr>
          <w:rFonts w:ascii="宋体" w:hAnsi="宋体" w:cs="宋体" w:eastAsia="宋体" w:hint="default"/>
          <w:b/>
          <w:bCs/>
          <w:sz w:val="20"/>
          <w:szCs w:val="20"/>
        </w:rPr>
      </w:pPr>
    </w:p>
    <w:p>
      <w:pPr>
        <w:pStyle w:val="Heading2"/>
        <w:spacing w:line="240" w:lineRule="auto" w:before="26"/>
        <w:ind w:right="0"/>
        <w:jc w:val="left"/>
        <w:rPr>
          <w:b w:val="0"/>
          <w:bCs w:val="0"/>
        </w:rPr>
      </w:pPr>
      <w:bookmarkStart w:name="十一、公允价值的披露" w:id="467"/>
      <w:bookmarkEnd w:id="467"/>
      <w:r>
        <w:rPr>
          <w:b w:val="0"/>
          <w:bCs w:val="0"/>
        </w:rPr>
      </w:r>
      <w:r>
        <w:rPr/>
        <w:t>十一、公允价值的披露</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0"/>
        <w:jc w:val="left"/>
        <w:rPr>
          <w:b w:val="0"/>
          <w:bCs w:val="0"/>
        </w:rPr>
      </w:pPr>
      <w:bookmarkStart w:name="1、以公允价值计量的资产和负债的期末公允价值" w:id="468"/>
      <w:bookmarkEnd w:id="468"/>
      <w:r>
        <w:rPr>
          <w:b w:val="0"/>
          <w:bCs w:val="0"/>
        </w:rPr>
      </w:r>
      <w:r>
        <w:rPr>
          <w:rFonts w:ascii="Times New Roman" w:hAnsi="Times New Roman" w:cs="Times New Roman" w:eastAsia="Times New Roman" w:hint="default"/>
        </w:rPr>
        <w:t>1</w:t>
      </w:r>
      <w:r>
        <w:rPr/>
        <w:t>、以公允价值计量的资产和负债的期末公允价值</w:t>
      </w:r>
      <w:r>
        <w:rPr>
          <w:b w:val="0"/>
          <w:bCs w:val="0"/>
        </w:rPr>
      </w:r>
    </w:p>
    <w:p>
      <w:pPr>
        <w:spacing w:line="240" w:lineRule="auto" w:before="7"/>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93"/>
        <w:gridCol w:w="1839"/>
        <w:gridCol w:w="1916"/>
        <w:gridCol w:w="1911"/>
        <w:gridCol w:w="1916"/>
      </w:tblGrid>
      <w:tr>
        <w:trPr>
          <w:trHeight w:val="403" w:hRule="exact"/>
        </w:trPr>
        <w:tc>
          <w:tcPr>
            <w:tcW w:w="199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7582"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期末公允价值</w:t>
            </w:r>
          </w:p>
        </w:tc>
      </w:tr>
      <w:tr>
        <w:trPr>
          <w:trHeight w:val="710" w:hRule="exact"/>
        </w:trPr>
        <w:tc>
          <w:tcPr>
            <w:tcW w:w="1993" w:type="dxa"/>
            <w:vMerge/>
            <w:tcBorders>
              <w:left w:val="single" w:sz="4" w:space="0" w:color="000000"/>
              <w:bottom w:val="single" w:sz="4" w:space="0" w:color="000000"/>
              <w:right w:val="single" w:sz="4" w:space="0" w:color="000000"/>
            </w:tcBorders>
            <w:shd w:val="clear" w:color="auto" w:fill="D2D2D2"/>
          </w:tcPr>
          <w:p>
            <w:pPr/>
          </w:p>
        </w:tc>
        <w:tc>
          <w:tcPr>
            <w:tcW w:w="18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825" w:right="99" w:hanging="720"/>
              <w:jc w:val="left"/>
              <w:rPr>
                <w:rFonts w:ascii="宋体" w:hAnsi="宋体" w:cs="宋体" w:eastAsia="宋体" w:hint="default"/>
                <w:sz w:val="18"/>
                <w:szCs w:val="18"/>
              </w:rPr>
            </w:pPr>
            <w:r>
              <w:rPr>
                <w:rFonts w:ascii="宋体" w:hAnsi="宋体" w:cs="宋体" w:eastAsia="宋体" w:hint="default"/>
                <w:spacing w:val="-3"/>
                <w:sz w:val="18"/>
                <w:szCs w:val="18"/>
              </w:rPr>
              <w:t>第一层次公允价值计</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量</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864" w:right="137" w:hanging="721"/>
              <w:jc w:val="left"/>
              <w:rPr>
                <w:rFonts w:ascii="宋体" w:hAnsi="宋体" w:cs="宋体" w:eastAsia="宋体" w:hint="default"/>
                <w:sz w:val="18"/>
                <w:szCs w:val="18"/>
              </w:rPr>
            </w:pPr>
            <w:r>
              <w:rPr>
                <w:rFonts w:ascii="宋体" w:hAnsi="宋体" w:cs="宋体" w:eastAsia="宋体" w:hint="default"/>
                <w:spacing w:val="-3"/>
                <w:sz w:val="18"/>
                <w:szCs w:val="18"/>
              </w:rPr>
              <w:t>第二层次公允价值计</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量</w:t>
            </w:r>
          </w:p>
        </w:tc>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859" w:right="137" w:hanging="720"/>
              <w:jc w:val="left"/>
              <w:rPr>
                <w:rFonts w:ascii="宋体" w:hAnsi="宋体" w:cs="宋体" w:eastAsia="宋体" w:hint="default"/>
                <w:sz w:val="18"/>
                <w:szCs w:val="18"/>
              </w:rPr>
            </w:pPr>
            <w:r>
              <w:rPr>
                <w:rFonts w:ascii="宋体" w:hAnsi="宋体" w:cs="宋体" w:eastAsia="宋体" w:hint="default"/>
                <w:spacing w:val="-3"/>
                <w:sz w:val="18"/>
                <w:szCs w:val="18"/>
              </w:rPr>
              <w:t>第三层次公允价值计</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量</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73" w:right="0"/>
              <w:jc w:val="left"/>
              <w:rPr>
                <w:rFonts w:ascii="宋体" w:hAnsi="宋体" w:cs="宋体" w:eastAsia="宋体" w:hint="default"/>
                <w:sz w:val="18"/>
                <w:szCs w:val="18"/>
              </w:rPr>
            </w:pPr>
            <w:r>
              <w:rPr>
                <w:rFonts w:ascii="宋体" w:hAnsi="宋体" w:cs="宋体" w:eastAsia="宋体" w:hint="default"/>
                <w:sz w:val="18"/>
                <w:szCs w:val="18"/>
              </w:rPr>
              <w:t>合计</w:t>
            </w:r>
          </w:p>
        </w:tc>
      </w:tr>
      <w:tr>
        <w:trPr>
          <w:trHeight w:val="716" w:hRule="exact"/>
        </w:trPr>
        <w:tc>
          <w:tcPr>
            <w:tcW w:w="19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4"/>
              <w:ind w:left="105" w:right="94"/>
              <w:jc w:val="left"/>
              <w:rPr>
                <w:rFonts w:ascii="宋体" w:hAnsi="宋体" w:cs="宋体" w:eastAsia="宋体" w:hint="default"/>
                <w:sz w:val="18"/>
                <w:szCs w:val="18"/>
              </w:rPr>
            </w:pPr>
            <w:r>
              <w:rPr>
                <w:rFonts w:ascii="宋体" w:hAnsi="宋体" w:cs="宋体" w:eastAsia="宋体" w:hint="default"/>
                <w:spacing w:val="-5"/>
                <w:sz w:val="18"/>
                <w:szCs w:val="18"/>
              </w:rPr>
              <w:t>一、持续的公允价值计</w:t>
            </w:r>
            <w:r>
              <w:rPr>
                <w:rFonts w:ascii="宋体" w:hAnsi="宋体" w:cs="宋体" w:eastAsia="宋体" w:hint="default"/>
                <w:spacing w:val="-61"/>
                <w:sz w:val="18"/>
                <w:szCs w:val="18"/>
              </w:rPr>
              <w:t> </w:t>
            </w:r>
            <w:r>
              <w:rPr>
                <w:rFonts w:ascii="宋体" w:hAnsi="宋体" w:cs="宋体" w:eastAsia="宋体" w:hint="default"/>
                <w:spacing w:val="-61"/>
                <w:sz w:val="18"/>
                <w:szCs w:val="18"/>
              </w:rPr>
            </w:r>
            <w:r>
              <w:rPr>
                <w:rFonts w:ascii="宋体" w:hAnsi="宋体" w:cs="宋体" w:eastAsia="宋体" w:hint="default"/>
                <w:sz w:val="18"/>
                <w:szCs w:val="18"/>
              </w:rPr>
              <w:t>量</w:t>
            </w:r>
          </w:p>
        </w:tc>
        <w:tc>
          <w:tcPr>
            <w:tcW w:w="18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3"/>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893" w:right="0"/>
              <w:jc w:val="left"/>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7"/>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2"/>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r>
        <w:trPr>
          <w:trHeight w:val="403" w:hRule="exact"/>
        </w:trPr>
        <w:tc>
          <w:tcPr>
            <w:tcW w:w="19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5"/>
                <w:sz w:val="18"/>
                <w:szCs w:val="18"/>
              </w:rPr>
              <w:t>（一）交易性金融资产</w:t>
            </w:r>
          </w:p>
        </w:tc>
        <w:tc>
          <w:tcPr>
            <w:tcW w:w="18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71,460,000.00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859" w:right="0"/>
              <w:jc w:val="left"/>
              <w:rPr>
                <w:rFonts w:ascii="Times New Roman" w:hAnsi="Times New Roman" w:cs="Times New Roman" w:eastAsia="Times New Roman" w:hint="default"/>
                <w:sz w:val="18"/>
                <w:szCs w:val="18"/>
              </w:rPr>
            </w:pPr>
            <w:r>
              <w:rPr>
                <w:rFonts w:ascii="Times New Roman"/>
                <w:sz w:val="18"/>
              </w:rPr>
              <w:t>4,500,000.00</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13,000,000.00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768" w:right="0"/>
              <w:jc w:val="left"/>
              <w:rPr>
                <w:rFonts w:ascii="Times New Roman" w:hAnsi="Times New Roman" w:cs="Times New Roman" w:eastAsia="Times New Roman" w:hint="default"/>
                <w:sz w:val="18"/>
                <w:szCs w:val="18"/>
              </w:rPr>
            </w:pPr>
            <w:r>
              <w:rPr>
                <w:rFonts w:ascii="Times New Roman"/>
                <w:sz w:val="18"/>
              </w:rPr>
              <w:t>88,960,000.00</w:t>
            </w:r>
          </w:p>
        </w:tc>
      </w:tr>
      <w:tr>
        <w:trPr>
          <w:trHeight w:val="1028" w:hRule="exact"/>
        </w:trPr>
        <w:tc>
          <w:tcPr>
            <w:tcW w:w="19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3"/>
              <w:ind w:left="105" w:right="113"/>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以公允价值计量且其</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pacing w:val="-3"/>
                <w:sz w:val="18"/>
                <w:szCs w:val="18"/>
              </w:rPr>
              <w:t>变动计入当期损益的</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金融资产</w:t>
            </w:r>
          </w:p>
        </w:tc>
        <w:tc>
          <w:tcPr>
            <w:tcW w:w="18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1"/>
                <w:sz w:val="18"/>
              </w:rPr>
              <w:t>71,460,000.00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859" w:right="0"/>
              <w:jc w:val="left"/>
              <w:rPr>
                <w:rFonts w:ascii="Times New Roman" w:hAnsi="Times New Roman" w:cs="Times New Roman" w:eastAsia="Times New Roman" w:hint="default"/>
                <w:sz w:val="18"/>
                <w:szCs w:val="18"/>
              </w:rPr>
            </w:pPr>
            <w:r>
              <w:rPr>
                <w:rFonts w:ascii="Times New Roman"/>
                <w:sz w:val="18"/>
              </w:rPr>
              <w:t>4,500,000.00</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1"/>
                <w:sz w:val="18"/>
              </w:rPr>
              <w:t>13,000,000.00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768" w:right="0"/>
              <w:jc w:val="left"/>
              <w:rPr>
                <w:rFonts w:ascii="Times New Roman" w:hAnsi="Times New Roman" w:cs="Times New Roman" w:eastAsia="Times New Roman" w:hint="default"/>
                <w:sz w:val="18"/>
                <w:szCs w:val="18"/>
              </w:rPr>
            </w:pPr>
            <w:r>
              <w:rPr>
                <w:rFonts w:ascii="Times New Roman"/>
                <w:sz w:val="18"/>
              </w:rPr>
              <w:t>88,960,000.00</w:t>
            </w:r>
          </w:p>
        </w:tc>
      </w:tr>
      <w:tr>
        <w:trPr>
          <w:trHeight w:val="398" w:hRule="exact"/>
        </w:trPr>
        <w:tc>
          <w:tcPr>
            <w:tcW w:w="19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）债务工具投资</w:t>
            </w:r>
          </w:p>
        </w:tc>
        <w:tc>
          <w:tcPr>
            <w:tcW w:w="18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71,460,000.00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859" w:right="0"/>
              <w:jc w:val="left"/>
              <w:rPr>
                <w:rFonts w:ascii="Times New Roman" w:hAnsi="Times New Roman" w:cs="Times New Roman" w:eastAsia="Times New Roman" w:hint="default"/>
                <w:sz w:val="18"/>
                <w:szCs w:val="18"/>
              </w:rPr>
            </w:pPr>
            <w:r>
              <w:rPr>
                <w:rFonts w:ascii="Times New Roman"/>
                <w:sz w:val="18"/>
              </w:rPr>
              <w:t>4,500,000.00</w:t>
            </w:r>
          </w:p>
        </w:tc>
        <w:tc>
          <w:tcPr>
            <w:tcW w:w="1911"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768" w:right="0"/>
              <w:jc w:val="left"/>
              <w:rPr>
                <w:rFonts w:ascii="Times New Roman" w:hAnsi="Times New Roman" w:cs="Times New Roman" w:eastAsia="Times New Roman" w:hint="default"/>
                <w:sz w:val="18"/>
                <w:szCs w:val="18"/>
              </w:rPr>
            </w:pPr>
            <w:r>
              <w:rPr>
                <w:rFonts w:ascii="Times New Roman"/>
                <w:sz w:val="18"/>
              </w:rPr>
              <w:t>75,960,000.00</w:t>
            </w:r>
          </w:p>
        </w:tc>
      </w:tr>
      <w:tr>
        <w:trPr>
          <w:trHeight w:val="403" w:hRule="exact"/>
        </w:trPr>
        <w:tc>
          <w:tcPr>
            <w:tcW w:w="19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）权益工具投资</w:t>
            </w:r>
          </w:p>
        </w:tc>
        <w:tc>
          <w:tcPr>
            <w:tcW w:w="1839"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13,000,000.00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768" w:right="0"/>
              <w:jc w:val="left"/>
              <w:rPr>
                <w:rFonts w:ascii="Times New Roman" w:hAnsi="Times New Roman" w:cs="Times New Roman" w:eastAsia="Times New Roman" w:hint="default"/>
                <w:sz w:val="18"/>
                <w:szCs w:val="18"/>
              </w:rPr>
            </w:pPr>
            <w:r>
              <w:rPr>
                <w:rFonts w:ascii="Times New Roman"/>
                <w:sz w:val="18"/>
              </w:rPr>
              <w:t>13,000,000.00</w:t>
            </w:r>
          </w:p>
        </w:tc>
      </w:tr>
      <w:tr>
        <w:trPr>
          <w:trHeight w:val="716" w:hRule="exact"/>
        </w:trPr>
        <w:tc>
          <w:tcPr>
            <w:tcW w:w="19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4" w:lineRule="auto" w:before="53"/>
              <w:ind w:left="105" w:right="252"/>
              <w:jc w:val="left"/>
              <w:rPr>
                <w:rFonts w:ascii="宋体" w:hAnsi="宋体" w:cs="宋体" w:eastAsia="宋体" w:hint="default"/>
                <w:sz w:val="18"/>
                <w:szCs w:val="18"/>
              </w:rPr>
            </w:pPr>
            <w:r>
              <w:rPr>
                <w:rFonts w:ascii="宋体" w:hAnsi="宋体" w:cs="宋体" w:eastAsia="宋体" w:hint="default"/>
                <w:spacing w:val="-3"/>
                <w:sz w:val="18"/>
                <w:szCs w:val="18"/>
              </w:rPr>
              <w:t>持续以公允价值计量</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pacing w:val="-3"/>
                <w:sz w:val="18"/>
                <w:szCs w:val="18"/>
              </w:rPr>
              <w:t>的资产总额</w:t>
            </w:r>
            <w:r>
              <w:rPr>
                <w:rFonts w:ascii="宋体" w:hAnsi="宋体" w:cs="宋体" w:eastAsia="宋体" w:hint="default"/>
                <w:sz w:val="18"/>
                <w:szCs w:val="18"/>
              </w:rPr>
            </w:r>
          </w:p>
        </w:tc>
        <w:tc>
          <w:tcPr>
            <w:tcW w:w="18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1"/>
                <w:sz w:val="18"/>
              </w:rPr>
              <w:t>71,460,000.00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859" w:right="0"/>
              <w:jc w:val="left"/>
              <w:rPr>
                <w:rFonts w:ascii="Times New Roman" w:hAnsi="Times New Roman" w:cs="Times New Roman" w:eastAsia="Times New Roman" w:hint="default"/>
                <w:sz w:val="18"/>
                <w:szCs w:val="18"/>
              </w:rPr>
            </w:pPr>
            <w:r>
              <w:rPr>
                <w:rFonts w:ascii="Times New Roman"/>
                <w:sz w:val="18"/>
              </w:rPr>
              <w:t>4,500,000.00</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1"/>
                <w:sz w:val="18"/>
              </w:rPr>
              <w:t>13,000,000.00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768" w:right="0"/>
              <w:jc w:val="left"/>
              <w:rPr>
                <w:rFonts w:ascii="Times New Roman" w:hAnsi="Times New Roman" w:cs="Times New Roman" w:eastAsia="Times New Roman" w:hint="default"/>
                <w:sz w:val="18"/>
                <w:szCs w:val="18"/>
              </w:rPr>
            </w:pPr>
            <w:r>
              <w:rPr>
                <w:rFonts w:ascii="Times New Roman"/>
                <w:sz w:val="18"/>
              </w:rPr>
              <w:t>88,960,000.00</w:t>
            </w:r>
          </w:p>
        </w:tc>
      </w:tr>
      <w:tr>
        <w:trPr>
          <w:trHeight w:val="715" w:hRule="exact"/>
        </w:trPr>
        <w:tc>
          <w:tcPr>
            <w:tcW w:w="19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05" w:right="94"/>
              <w:jc w:val="left"/>
              <w:rPr>
                <w:rFonts w:ascii="宋体" w:hAnsi="宋体" w:cs="宋体" w:eastAsia="宋体" w:hint="default"/>
                <w:sz w:val="18"/>
                <w:szCs w:val="18"/>
              </w:rPr>
            </w:pPr>
            <w:r>
              <w:rPr>
                <w:rFonts w:ascii="宋体" w:hAnsi="宋体" w:cs="宋体" w:eastAsia="宋体" w:hint="default"/>
                <w:spacing w:val="-5"/>
                <w:sz w:val="18"/>
                <w:szCs w:val="18"/>
              </w:rPr>
              <w:t>二、非持续的公允价值</w:t>
            </w:r>
            <w:r>
              <w:rPr>
                <w:rFonts w:ascii="宋体" w:hAnsi="宋体" w:cs="宋体" w:eastAsia="宋体" w:hint="default"/>
                <w:spacing w:val="-61"/>
                <w:sz w:val="18"/>
                <w:szCs w:val="18"/>
              </w:rPr>
              <w:t> </w:t>
            </w:r>
            <w:r>
              <w:rPr>
                <w:rFonts w:ascii="宋体" w:hAnsi="宋体" w:cs="宋体" w:eastAsia="宋体" w:hint="default"/>
                <w:spacing w:val="-61"/>
                <w:sz w:val="18"/>
                <w:szCs w:val="18"/>
              </w:rPr>
            </w:r>
            <w:r>
              <w:rPr>
                <w:rFonts w:ascii="宋体" w:hAnsi="宋体" w:cs="宋体" w:eastAsia="宋体" w:hint="default"/>
                <w:sz w:val="18"/>
                <w:szCs w:val="18"/>
              </w:rPr>
              <w:t>计量</w:t>
            </w:r>
          </w:p>
        </w:tc>
        <w:tc>
          <w:tcPr>
            <w:tcW w:w="18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3"/>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893" w:right="0"/>
              <w:jc w:val="left"/>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7"/>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2、持续和非持续第一层次公允价值计量项目市价的确定依据" w:id="469"/>
      <w:bookmarkEnd w:id="469"/>
      <w:r>
        <w:rPr>
          <w:b w:val="0"/>
          <w:bCs w:val="0"/>
        </w:rPr>
      </w:r>
      <w:r>
        <w:rPr>
          <w:rFonts w:ascii="Times New Roman" w:hAnsi="Times New Roman" w:cs="Times New Roman" w:eastAsia="Times New Roman" w:hint="default"/>
        </w:rPr>
        <w:t>2</w:t>
      </w:r>
      <w:r>
        <w:rPr/>
        <w:t>、持续和非持续第一层次公允价值计量项目市价的确定依据</w:t>
      </w:r>
      <w:r>
        <w:rPr>
          <w:b w:val="0"/>
          <w:bCs w:val="0"/>
        </w:rPr>
      </w:r>
    </w:p>
    <w:p>
      <w:pPr>
        <w:spacing w:line="240" w:lineRule="auto" w:before="5"/>
        <w:rPr>
          <w:rFonts w:ascii="宋体" w:hAnsi="宋体" w:cs="宋体" w:eastAsia="宋体" w:hint="default"/>
          <w:b/>
          <w:bCs/>
          <w:sz w:val="26"/>
          <w:szCs w:val="26"/>
        </w:rPr>
      </w:pPr>
    </w:p>
    <w:p>
      <w:pPr>
        <w:pStyle w:val="BodyText"/>
        <w:spacing w:line="240" w:lineRule="auto" w:before="0"/>
        <w:ind w:right="0"/>
        <w:jc w:val="left"/>
      </w:pPr>
      <w:r>
        <w:rPr/>
        <w:t>无。</w:t>
      </w:r>
    </w:p>
    <w:p>
      <w:pPr>
        <w:spacing w:line="240" w:lineRule="auto" w:before="0"/>
        <w:rPr>
          <w:rFonts w:ascii="宋体" w:hAnsi="宋体" w:cs="宋体" w:eastAsia="宋体" w:hint="default"/>
          <w:sz w:val="18"/>
          <w:szCs w:val="18"/>
        </w:rPr>
      </w:pPr>
    </w:p>
    <w:p>
      <w:pPr>
        <w:pStyle w:val="Heading4"/>
        <w:spacing w:line="240" w:lineRule="auto" w:before="118"/>
        <w:ind w:right="0"/>
        <w:jc w:val="left"/>
        <w:rPr>
          <w:b w:val="0"/>
          <w:bCs w:val="0"/>
        </w:rPr>
      </w:pPr>
      <w:bookmarkStart w:name="3、持续和非持续第二层次公允价值计量项目，采用的估值技术和重要参数的定性及定量信" w:id="470"/>
      <w:bookmarkEnd w:id="470"/>
      <w:r>
        <w:rPr>
          <w:b w:val="0"/>
          <w:bCs w:val="0"/>
        </w:rPr>
      </w:r>
      <w:r>
        <w:rPr>
          <w:rFonts w:ascii="Times New Roman" w:hAnsi="Times New Roman" w:cs="Times New Roman" w:eastAsia="Times New Roman" w:hint="default"/>
        </w:rPr>
        <w:t>3</w:t>
      </w:r>
      <w:r>
        <w:rPr/>
        <w:t>、持续和非持续第二层次公允价值计量项目，采用的估值技术和重要参数的定性及定量信息</w:t>
      </w:r>
      <w:r>
        <w:rPr>
          <w:b w:val="0"/>
          <w:bCs w:val="0"/>
        </w:rPr>
      </w:r>
    </w:p>
    <w:p>
      <w:pPr>
        <w:spacing w:line="240" w:lineRule="auto" w:before="4"/>
        <w:rPr>
          <w:rFonts w:ascii="宋体" w:hAnsi="宋体" w:cs="宋体" w:eastAsia="宋体" w:hint="default"/>
          <w:b/>
          <w:bCs/>
          <w:sz w:val="26"/>
          <w:szCs w:val="26"/>
        </w:rPr>
      </w:pPr>
    </w:p>
    <w:p>
      <w:pPr>
        <w:pStyle w:val="BodyText"/>
        <w:spacing w:line="240" w:lineRule="auto" w:before="0"/>
        <w:ind w:right="0"/>
        <w:jc w:val="left"/>
      </w:pPr>
      <w:r>
        <w:rPr/>
        <w:t>无。</w:t>
      </w:r>
    </w:p>
    <w:p>
      <w:pPr>
        <w:spacing w:line="240" w:lineRule="auto" w:before="0"/>
        <w:rPr>
          <w:rFonts w:ascii="宋体" w:hAnsi="宋体" w:cs="宋体" w:eastAsia="宋体" w:hint="default"/>
          <w:sz w:val="18"/>
          <w:szCs w:val="18"/>
        </w:rPr>
      </w:pPr>
    </w:p>
    <w:p>
      <w:pPr>
        <w:pStyle w:val="Heading4"/>
        <w:spacing w:line="240" w:lineRule="auto" w:before="118"/>
        <w:ind w:right="0"/>
        <w:jc w:val="left"/>
        <w:rPr>
          <w:b w:val="0"/>
          <w:bCs w:val="0"/>
        </w:rPr>
      </w:pPr>
      <w:bookmarkStart w:name="4、持续和非持续第三层次公允价值计量项目，采用的估值技术和重要参数的定性及定量信" w:id="471"/>
      <w:bookmarkEnd w:id="471"/>
      <w:r>
        <w:rPr>
          <w:b w:val="0"/>
          <w:bCs w:val="0"/>
        </w:rPr>
      </w:r>
      <w:r>
        <w:rPr>
          <w:rFonts w:ascii="Times New Roman" w:hAnsi="Times New Roman" w:cs="Times New Roman" w:eastAsia="Times New Roman" w:hint="default"/>
        </w:rPr>
        <w:t>4</w:t>
      </w:r>
      <w:r>
        <w:rPr/>
        <w:t>、持续和非持续第三层次公允价值计量项目，采用的估值技术和重要参数的定性及定量信息</w:t>
      </w:r>
      <w:r>
        <w:rPr>
          <w:b w:val="0"/>
          <w:bCs w:val="0"/>
        </w:rPr>
      </w:r>
    </w:p>
    <w:p>
      <w:pPr>
        <w:spacing w:line="240" w:lineRule="auto" w:before="9"/>
        <w:rPr>
          <w:rFonts w:ascii="宋体" w:hAnsi="宋体" w:cs="宋体" w:eastAsia="宋体" w:hint="default"/>
          <w:b/>
          <w:bCs/>
          <w:sz w:val="26"/>
          <w:szCs w:val="26"/>
        </w:rPr>
      </w:pPr>
    </w:p>
    <w:p>
      <w:pPr>
        <w:pStyle w:val="BodyText"/>
        <w:spacing w:line="240" w:lineRule="auto" w:before="0"/>
        <w:ind w:right="0"/>
        <w:jc w:val="left"/>
      </w:pPr>
      <w:r>
        <w:rPr/>
        <w:t>无。</w:t>
      </w:r>
    </w:p>
    <w:p>
      <w:pPr>
        <w:spacing w:line="240" w:lineRule="auto" w:before="0"/>
        <w:rPr>
          <w:rFonts w:ascii="宋体" w:hAnsi="宋体" w:cs="宋体" w:eastAsia="宋体" w:hint="default"/>
          <w:sz w:val="18"/>
          <w:szCs w:val="18"/>
        </w:rPr>
      </w:pPr>
    </w:p>
    <w:p>
      <w:pPr>
        <w:pStyle w:val="Heading4"/>
        <w:spacing w:line="240" w:lineRule="auto" w:before="118"/>
        <w:ind w:right="0"/>
        <w:jc w:val="left"/>
        <w:rPr>
          <w:b w:val="0"/>
          <w:bCs w:val="0"/>
        </w:rPr>
      </w:pPr>
      <w:bookmarkStart w:name="5、持续的第三层次公允价值计量项目，期初与期末账面价值间的调节信息及不可观察参数" w:id="472"/>
      <w:bookmarkEnd w:id="472"/>
      <w:r>
        <w:rPr>
          <w:b w:val="0"/>
          <w:bCs w:val="0"/>
        </w:rPr>
      </w:r>
      <w:r>
        <w:rPr>
          <w:rFonts w:ascii="Times New Roman" w:hAnsi="Times New Roman" w:cs="Times New Roman" w:eastAsia="Times New Roman" w:hint="default"/>
        </w:rPr>
        <w:t>5</w:t>
      </w:r>
      <w:r>
        <w:rPr/>
        <w:t>、持续的第三层次公允价值计量项目，期初与期末账面价值间的调节信息及不可观察参数敏感性分析</w:t>
      </w:r>
      <w:r>
        <w:rPr>
          <w:b w:val="0"/>
          <w:bCs w:val="0"/>
        </w:rPr>
      </w:r>
    </w:p>
    <w:p>
      <w:pPr>
        <w:spacing w:line="240" w:lineRule="auto" w:before="4"/>
        <w:rPr>
          <w:rFonts w:ascii="宋体" w:hAnsi="宋体" w:cs="宋体" w:eastAsia="宋体" w:hint="default"/>
          <w:b/>
          <w:bCs/>
          <w:sz w:val="26"/>
          <w:szCs w:val="26"/>
        </w:rPr>
      </w:pPr>
    </w:p>
    <w:p>
      <w:pPr>
        <w:pStyle w:val="BodyText"/>
        <w:spacing w:line="240" w:lineRule="auto" w:before="0"/>
        <w:ind w:right="0"/>
        <w:jc w:val="left"/>
      </w:pPr>
      <w:r>
        <w:rPr/>
        <w:t>无。</w:t>
      </w:r>
    </w:p>
    <w:p>
      <w:pPr>
        <w:spacing w:line="240" w:lineRule="auto" w:before="0"/>
        <w:rPr>
          <w:rFonts w:ascii="宋体" w:hAnsi="宋体" w:cs="宋体" w:eastAsia="宋体" w:hint="default"/>
          <w:sz w:val="18"/>
          <w:szCs w:val="18"/>
        </w:rPr>
      </w:pPr>
    </w:p>
    <w:p>
      <w:pPr>
        <w:pStyle w:val="Heading4"/>
        <w:spacing w:line="240" w:lineRule="auto" w:before="118"/>
        <w:ind w:right="0"/>
        <w:jc w:val="left"/>
        <w:rPr>
          <w:b w:val="0"/>
          <w:bCs w:val="0"/>
        </w:rPr>
      </w:pPr>
      <w:bookmarkStart w:name="6、持续的公允价值计量项目，本期内发生各层级之间转换的，转换的原因及确定转换时点" w:id="473"/>
      <w:bookmarkEnd w:id="473"/>
      <w:r>
        <w:rPr>
          <w:b w:val="0"/>
          <w:bCs w:val="0"/>
        </w:rPr>
      </w:r>
      <w:r>
        <w:rPr>
          <w:rFonts w:ascii="Times New Roman" w:hAnsi="Times New Roman" w:cs="Times New Roman" w:eastAsia="Times New Roman" w:hint="default"/>
        </w:rPr>
        <w:t>6</w:t>
      </w:r>
      <w:r>
        <w:rPr/>
        <w:t>、持续的公允价值计量项目，本期内发生各层级之间转换的，转换的原因及确定转换时点的政策</w:t>
      </w:r>
      <w:r>
        <w:rPr>
          <w:b w:val="0"/>
          <w:bCs w:val="0"/>
        </w:rPr>
      </w:r>
    </w:p>
    <w:p>
      <w:pPr>
        <w:spacing w:line="240" w:lineRule="auto" w:before="5"/>
        <w:rPr>
          <w:rFonts w:ascii="宋体" w:hAnsi="宋体" w:cs="宋体" w:eastAsia="宋体" w:hint="default"/>
          <w:b/>
          <w:bCs/>
          <w:sz w:val="26"/>
          <w:szCs w:val="26"/>
        </w:rPr>
      </w:pPr>
    </w:p>
    <w:p>
      <w:pPr>
        <w:pStyle w:val="BodyText"/>
        <w:spacing w:line="240" w:lineRule="auto" w:before="0"/>
        <w:ind w:right="0"/>
        <w:jc w:val="left"/>
      </w:pPr>
      <w:r>
        <w:rPr/>
        <w:t>无。</w:t>
      </w:r>
    </w:p>
    <w:p>
      <w:pPr>
        <w:spacing w:after="0" w:line="240" w:lineRule="auto"/>
        <w:jc w:val="left"/>
        <w:sectPr>
          <w:pgSz w:w="11910" w:h="16840"/>
          <w:pgMar w:header="784" w:footer="1022" w:top="1100" w:bottom="1220" w:left="980" w:right="0"/>
        </w:sectPr>
      </w:pPr>
    </w:p>
    <w:p>
      <w:pPr>
        <w:spacing w:line="240" w:lineRule="auto" w:before="13"/>
        <w:rPr>
          <w:rFonts w:ascii="宋体" w:hAnsi="宋体" w:cs="宋体" w:eastAsia="宋体" w:hint="default"/>
          <w:sz w:val="21"/>
          <w:szCs w:val="21"/>
        </w:rPr>
      </w:pPr>
    </w:p>
    <w:p>
      <w:pPr>
        <w:pStyle w:val="Heading4"/>
        <w:spacing w:line="240" w:lineRule="auto" w:before="36"/>
        <w:ind w:right="0"/>
        <w:jc w:val="left"/>
        <w:rPr>
          <w:b w:val="0"/>
          <w:bCs w:val="0"/>
        </w:rPr>
      </w:pPr>
      <w:bookmarkStart w:name="7、本期内发生的估值技术变更及变更原因" w:id="474"/>
      <w:bookmarkEnd w:id="474"/>
      <w:r>
        <w:rPr>
          <w:b w:val="0"/>
          <w:bCs w:val="0"/>
        </w:rPr>
      </w:r>
      <w:r>
        <w:rPr>
          <w:rFonts w:ascii="Times New Roman" w:hAnsi="Times New Roman" w:cs="Times New Roman" w:eastAsia="Times New Roman" w:hint="default"/>
        </w:rPr>
        <w:t>7</w:t>
      </w:r>
      <w:r>
        <w:rPr/>
        <w:t>、本期内发生的估值技术变更及变更原因</w:t>
      </w:r>
      <w:r>
        <w:rPr>
          <w:b w:val="0"/>
          <w:bCs w:val="0"/>
        </w:rPr>
      </w:r>
    </w:p>
    <w:p>
      <w:pPr>
        <w:spacing w:line="240" w:lineRule="auto" w:before="4"/>
        <w:rPr>
          <w:rFonts w:ascii="宋体" w:hAnsi="宋体" w:cs="宋体" w:eastAsia="宋体" w:hint="default"/>
          <w:b/>
          <w:bCs/>
          <w:sz w:val="26"/>
          <w:szCs w:val="26"/>
        </w:rPr>
      </w:pPr>
    </w:p>
    <w:p>
      <w:pPr>
        <w:pStyle w:val="BodyText"/>
        <w:spacing w:line="240" w:lineRule="auto" w:before="0"/>
        <w:ind w:right="0"/>
        <w:jc w:val="left"/>
      </w:pPr>
      <w:r>
        <w:rPr/>
        <w:t>无。</w:t>
      </w:r>
    </w:p>
    <w:p>
      <w:pPr>
        <w:spacing w:line="240" w:lineRule="auto" w:before="0"/>
        <w:rPr>
          <w:rFonts w:ascii="宋体" w:hAnsi="宋体" w:cs="宋体" w:eastAsia="宋体" w:hint="default"/>
          <w:sz w:val="18"/>
          <w:szCs w:val="18"/>
        </w:rPr>
      </w:pPr>
    </w:p>
    <w:p>
      <w:pPr>
        <w:pStyle w:val="Heading4"/>
        <w:spacing w:line="240" w:lineRule="auto" w:before="118"/>
        <w:ind w:right="0"/>
        <w:jc w:val="left"/>
        <w:rPr>
          <w:b w:val="0"/>
          <w:bCs w:val="0"/>
        </w:rPr>
      </w:pPr>
      <w:bookmarkStart w:name="8、不以公允价值计量的金融资产和金融负债的公允价值情况" w:id="475"/>
      <w:bookmarkEnd w:id="475"/>
      <w:r>
        <w:rPr>
          <w:b w:val="0"/>
          <w:bCs w:val="0"/>
        </w:rPr>
      </w:r>
      <w:r>
        <w:rPr>
          <w:rFonts w:ascii="Times New Roman" w:hAnsi="Times New Roman" w:cs="Times New Roman" w:eastAsia="Times New Roman" w:hint="default"/>
        </w:rPr>
        <w:t>8</w:t>
      </w:r>
      <w:r>
        <w:rPr/>
        <w:t>、不以公允价值计量的金融资产和金融负债的公允价值情况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before="0"/>
        <w:ind w:right="0"/>
        <w:jc w:val="left"/>
      </w:pPr>
      <w:r>
        <w:rPr/>
        <w:t>无。</w:t>
      </w:r>
    </w:p>
    <w:p>
      <w:pPr>
        <w:spacing w:line="240" w:lineRule="auto" w:before="0"/>
        <w:rPr>
          <w:rFonts w:ascii="宋体" w:hAnsi="宋体" w:cs="宋体" w:eastAsia="宋体" w:hint="default"/>
          <w:sz w:val="18"/>
          <w:szCs w:val="18"/>
        </w:rPr>
      </w:pPr>
    </w:p>
    <w:p>
      <w:pPr>
        <w:pStyle w:val="Heading4"/>
        <w:spacing w:line="240" w:lineRule="auto" w:before="118"/>
        <w:ind w:right="0"/>
        <w:jc w:val="left"/>
        <w:rPr>
          <w:b w:val="0"/>
          <w:bCs w:val="0"/>
        </w:rPr>
      </w:pPr>
      <w:bookmarkStart w:name="9、其他" w:id="476"/>
      <w:bookmarkEnd w:id="476"/>
      <w:r>
        <w:rPr>
          <w:b w:val="0"/>
          <w:bCs w:val="0"/>
        </w:rPr>
      </w:r>
      <w:r>
        <w:rPr>
          <w:rFonts w:ascii="Times New Roman" w:hAnsi="Times New Roman" w:cs="Times New Roman" w:eastAsia="Times New Roman" w:hint="default"/>
        </w:rPr>
        <w:t>9</w:t>
      </w:r>
      <w:r>
        <w:rPr/>
        <w:t>、其他</w:t>
      </w:r>
      <w:r>
        <w:rPr>
          <w:b w:val="0"/>
          <w:bCs w:val="0"/>
        </w:rPr>
      </w:r>
    </w:p>
    <w:p>
      <w:pPr>
        <w:spacing w:line="240" w:lineRule="auto" w:before="5"/>
        <w:rPr>
          <w:rFonts w:ascii="宋体" w:hAnsi="宋体" w:cs="宋体" w:eastAsia="宋体" w:hint="default"/>
          <w:b/>
          <w:bCs/>
          <w:sz w:val="26"/>
          <w:szCs w:val="26"/>
        </w:rPr>
      </w:pPr>
    </w:p>
    <w:p>
      <w:pPr>
        <w:pStyle w:val="BodyText"/>
        <w:spacing w:line="240" w:lineRule="auto" w:before="0"/>
        <w:ind w:right="0"/>
        <w:jc w:val="left"/>
      </w:pPr>
      <w:r>
        <w:rPr/>
        <w:t>无。</w:t>
      </w:r>
    </w:p>
    <w:p>
      <w:pPr>
        <w:spacing w:line="240" w:lineRule="auto" w:before="9"/>
        <w:rPr>
          <w:rFonts w:ascii="宋体" w:hAnsi="宋体" w:cs="宋体" w:eastAsia="宋体" w:hint="default"/>
          <w:sz w:val="24"/>
          <w:szCs w:val="24"/>
        </w:rPr>
      </w:pPr>
    </w:p>
    <w:p>
      <w:pPr>
        <w:pStyle w:val="Heading2"/>
        <w:spacing w:line="240" w:lineRule="auto"/>
        <w:ind w:right="0"/>
        <w:jc w:val="left"/>
        <w:rPr>
          <w:b w:val="0"/>
          <w:bCs w:val="0"/>
        </w:rPr>
      </w:pPr>
      <w:bookmarkStart w:name="十二、关联方及关联交易" w:id="477"/>
      <w:bookmarkEnd w:id="477"/>
      <w:r>
        <w:rPr>
          <w:b w:val="0"/>
          <w:bCs w:val="0"/>
        </w:rPr>
      </w:r>
      <w:r>
        <w:rPr/>
        <w:t>十二、关联方及关联交易</w:t>
      </w:r>
      <w:r>
        <w:rPr>
          <w:b w:val="0"/>
          <w:bCs w:val="0"/>
        </w:rPr>
      </w:r>
    </w:p>
    <w:p>
      <w:pPr>
        <w:spacing w:line="240" w:lineRule="auto" w:before="4"/>
        <w:rPr>
          <w:rFonts w:ascii="宋体" w:hAnsi="宋体" w:cs="宋体" w:eastAsia="宋体" w:hint="default"/>
          <w:b/>
          <w:bCs/>
          <w:sz w:val="25"/>
          <w:szCs w:val="25"/>
        </w:rPr>
      </w:pPr>
    </w:p>
    <w:p>
      <w:pPr>
        <w:pStyle w:val="Heading4"/>
        <w:spacing w:line="240" w:lineRule="auto"/>
        <w:ind w:right="0"/>
        <w:jc w:val="left"/>
        <w:rPr>
          <w:b w:val="0"/>
          <w:bCs w:val="0"/>
        </w:rPr>
      </w:pPr>
      <w:bookmarkStart w:name="1、本企业的母公司情况" w:id="478"/>
      <w:bookmarkEnd w:id="478"/>
      <w:r>
        <w:rPr>
          <w:b w:val="0"/>
          <w:bCs w:val="0"/>
        </w:rPr>
      </w:r>
      <w:r>
        <w:rPr>
          <w:rFonts w:ascii="Times New Roman" w:hAnsi="Times New Roman" w:cs="Times New Roman" w:eastAsia="Times New Roman" w:hint="default"/>
        </w:rPr>
        <w:t>1</w:t>
      </w:r>
      <w:r>
        <w:rPr/>
        <w:t>、本企业的母公司情况</w:t>
      </w:r>
      <w:r>
        <w:rPr>
          <w:b w:val="0"/>
          <w:bCs w:val="0"/>
        </w:rPr>
      </w:r>
    </w:p>
    <w:p>
      <w:pPr>
        <w:spacing w:line="240" w:lineRule="auto" w:before="7"/>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1594"/>
        <w:gridCol w:w="1594"/>
        <w:gridCol w:w="1595"/>
        <w:gridCol w:w="1599"/>
        <w:gridCol w:w="1594"/>
        <w:gridCol w:w="1594"/>
      </w:tblGrid>
      <w:tr>
        <w:trPr>
          <w:trHeight w:val="715"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left="345" w:right="0"/>
              <w:jc w:val="left"/>
              <w:rPr>
                <w:rFonts w:ascii="宋体" w:hAnsi="宋体" w:cs="宋体" w:eastAsia="宋体" w:hint="default"/>
                <w:sz w:val="18"/>
                <w:szCs w:val="18"/>
              </w:rPr>
            </w:pPr>
            <w:r>
              <w:rPr>
                <w:rFonts w:ascii="宋体" w:hAnsi="宋体" w:cs="宋体" w:eastAsia="宋体" w:hint="default"/>
                <w:sz w:val="18"/>
                <w:szCs w:val="18"/>
              </w:rPr>
              <w:t>母公司名称</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left="523"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1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340" w:right="161" w:hanging="183"/>
              <w:jc w:val="left"/>
              <w:rPr>
                <w:rFonts w:ascii="宋体" w:hAnsi="宋体" w:cs="宋体" w:eastAsia="宋体" w:hint="default"/>
                <w:sz w:val="18"/>
                <w:szCs w:val="18"/>
              </w:rPr>
            </w:pPr>
            <w:r>
              <w:rPr>
                <w:rFonts w:ascii="宋体" w:hAnsi="宋体" w:cs="宋体" w:eastAsia="宋体" w:hint="default"/>
                <w:spacing w:val="-3"/>
                <w:sz w:val="18"/>
                <w:szCs w:val="18"/>
              </w:rPr>
              <w:t>母公司对本企业</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的持股比例</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249" w:right="161" w:hanging="92"/>
              <w:jc w:val="left"/>
              <w:rPr>
                <w:rFonts w:ascii="宋体" w:hAnsi="宋体" w:cs="宋体" w:eastAsia="宋体" w:hint="default"/>
                <w:sz w:val="18"/>
                <w:szCs w:val="18"/>
              </w:rPr>
            </w:pPr>
            <w:r>
              <w:rPr>
                <w:rFonts w:ascii="宋体" w:hAnsi="宋体" w:cs="宋体" w:eastAsia="宋体" w:hint="default"/>
                <w:spacing w:val="-3"/>
                <w:sz w:val="18"/>
                <w:szCs w:val="18"/>
              </w:rPr>
              <w:t>母公司对本企业</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的表决权比例</w:t>
            </w: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吴涵渠</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6"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922" w:right="0"/>
              <w:jc w:val="left"/>
              <w:rPr>
                <w:rFonts w:ascii="Times New Roman" w:hAnsi="Times New Roman" w:cs="Times New Roman" w:eastAsia="Times New Roman" w:hint="default"/>
                <w:sz w:val="18"/>
                <w:szCs w:val="18"/>
              </w:rPr>
            </w:pPr>
            <w:r>
              <w:rPr>
                <w:rFonts w:ascii="Times New Roman"/>
                <w:sz w:val="18"/>
              </w:rPr>
              <w:t>27.60%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921" w:right="0"/>
              <w:jc w:val="left"/>
              <w:rPr>
                <w:rFonts w:ascii="Times New Roman" w:hAnsi="Times New Roman" w:cs="Times New Roman" w:eastAsia="Times New Roman" w:hint="default"/>
                <w:sz w:val="18"/>
                <w:szCs w:val="18"/>
              </w:rPr>
            </w:pPr>
            <w:r>
              <w:rPr>
                <w:rFonts w:ascii="Times New Roman"/>
                <w:sz w:val="18"/>
              </w:rPr>
              <w:t>27.60%</w:t>
            </w:r>
          </w:p>
        </w:tc>
      </w:tr>
    </w:tbl>
    <w:p>
      <w:pPr>
        <w:pStyle w:val="BodyText"/>
        <w:spacing w:line="357" w:lineRule="auto" w:before="54"/>
        <w:ind w:right="8307"/>
        <w:jc w:val="left"/>
      </w:pPr>
      <w:r>
        <w:rPr>
          <w:spacing w:val="-3"/>
        </w:rPr>
        <w:t>本企业的母公司情况的说明</w:t>
      </w:r>
      <w:r>
        <w:rPr>
          <w:spacing w:val="-51"/>
        </w:rPr>
        <w:t> </w:t>
      </w:r>
      <w:r>
        <w:rPr>
          <w:spacing w:val="-51"/>
        </w:rPr>
      </w:r>
      <w:r>
        <w:rPr/>
        <w:t>无。</w:t>
      </w:r>
      <w:r>
        <w:rPr>
          <w:spacing w:val="-86"/>
        </w:rPr>
        <w:t> </w:t>
      </w:r>
      <w:r>
        <w:rPr>
          <w:spacing w:val="-3"/>
        </w:rPr>
        <w:t>本企业最终控制方是吴涵渠。</w:t>
      </w:r>
      <w:r>
        <w:rPr>
          <w:spacing w:val="-50"/>
        </w:rPr>
        <w:t> </w:t>
      </w:r>
      <w:r>
        <w:rPr>
          <w:spacing w:val="-50"/>
        </w:rPr>
      </w:r>
      <w:r>
        <w:rPr/>
        <w:t>其他说明：</w:t>
      </w:r>
    </w:p>
    <w:p>
      <w:pPr>
        <w:pStyle w:val="BodyText"/>
        <w:spacing w:line="240" w:lineRule="auto" w:before="26"/>
        <w:ind w:right="0"/>
        <w:jc w:val="left"/>
      </w:pPr>
      <w:r>
        <w:rPr/>
        <w:t>无。</w:t>
      </w:r>
    </w:p>
    <w:p>
      <w:pPr>
        <w:spacing w:line="240" w:lineRule="auto" w:before="0"/>
        <w:rPr>
          <w:rFonts w:ascii="宋体" w:hAnsi="宋体" w:cs="宋体" w:eastAsia="宋体" w:hint="default"/>
          <w:sz w:val="18"/>
          <w:szCs w:val="18"/>
        </w:rPr>
      </w:pPr>
    </w:p>
    <w:p>
      <w:pPr>
        <w:spacing w:line="542" w:lineRule="auto" w:before="118"/>
        <w:ind w:left="153" w:right="4900" w:firstLine="0"/>
        <w:jc w:val="left"/>
        <w:rPr>
          <w:rFonts w:ascii="宋体" w:hAnsi="宋体" w:cs="宋体" w:eastAsia="宋体" w:hint="default"/>
          <w:sz w:val="21"/>
          <w:szCs w:val="21"/>
        </w:rPr>
      </w:pPr>
      <w:bookmarkStart w:name="2、本企业的子公司情况" w:id="479"/>
      <w:bookmarkEnd w:id="479"/>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、本企业的子公司情况</w:t>
      </w:r>
      <w:r>
        <w:rPr>
          <w:rFonts w:ascii="宋体" w:hAnsi="宋体" w:cs="宋体" w:eastAsia="宋体" w:hint="default"/>
          <w:b/>
          <w:bCs/>
          <w:spacing w:val="-102"/>
          <w:sz w:val="21"/>
          <w:szCs w:val="21"/>
        </w:rPr>
        <w:t> </w:t>
      </w:r>
      <w:r>
        <w:rPr>
          <w:rFonts w:ascii="宋体" w:hAnsi="宋体" w:cs="宋体" w:eastAsia="宋体" w:hint="default"/>
          <w:spacing w:val="-3"/>
          <w:sz w:val="18"/>
          <w:szCs w:val="18"/>
        </w:rPr>
        <w:t>本企业子公司的情况详见附注附注八、</w:t>
      </w: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、在子公司中的权益。</w:t>
      </w:r>
      <w:r>
        <w:rPr>
          <w:rFonts w:ascii="宋体" w:hAnsi="宋体" w:cs="宋体" w:eastAsia="宋体" w:hint="default"/>
          <w:spacing w:val="-5"/>
          <w:sz w:val="18"/>
          <w:szCs w:val="18"/>
        </w:rPr>
        <w:t> </w:t>
      </w:r>
      <w:r>
        <w:rPr>
          <w:rFonts w:ascii="宋体" w:hAnsi="宋体" w:cs="宋体" w:eastAsia="宋体" w:hint="default"/>
          <w:spacing w:val="-5"/>
          <w:sz w:val="18"/>
          <w:szCs w:val="18"/>
        </w:rPr>
      </w:r>
      <w:bookmarkStart w:name="3、本企业合营和联营企业情况" w:id="480"/>
      <w:bookmarkEnd w:id="480"/>
      <w:r>
        <w:rPr>
          <w:rFonts w:ascii="宋体" w:hAnsi="宋体" w:cs="宋体" w:eastAsia="宋体" w:hint="default"/>
          <w:spacing w:val="-5"/>
          <w:sz w:val="18"/>
          <w:szCs w:val="18"/>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、本企业合营和联营企业情况</w:t>
      </w:r>
      <w:r>
        <w:rPr>
          <w:rFonts w:ascii="宋体" w:hAnsi="宋体" w:cs="宋体" w:eastAsia="宋体" w:hint="default"/>
          <w:sz w:val="21"/>
          <w:szCs w:val="21"/>
        </w:rPr>
      </w:r>
    </w:p>
    <w:p>
      <w:pPr>
        <w:pStyle w:val="BodyText"/>
        <w:spacing w:line="357" w:lineRule="auto" w:before="61"/>
        <w:ind w:right="0"/>
        <w:jc w:val="left"/>
      </w:pPr>
      <w:r>
        <w:rPr>
          <w:spacing w:val="-3"/>
        </w:rPr>
        <w:t>本企业重要的合营或联营企业详见附注。</w:t>
      </w:r>
      <w:r>
        <w:rPr>
          <w:spacing w:val="-33"/>
        </w:rPr>
        <w:t> </w:t>
      </w:r>
      <w:r>
        <w:rPr>
          <w:spacing w:val="-33"/>
        </w:rPr>
      </w:r>
      <w:r>
        <w:rPr>
          <w:spacing w:val="-3"/>
        </w:rPr>
        <w:t>本期与本公司发生关联方交易，或前期与本公司发生关联方交易形成余额的其他合营或联营企业情况如下：</w:t>
      </w:r>
    </w:p>
    <w:tbl>
      <w:tblPr>
        <w:tblW w:w="0" w:type="auto"/>
        <w:jc w:val="left"/>
        <w:tblInd w:w="148" w:type="dxa"/>
        <w:tblLayout w:type="fixed"/>
        <w:tblCellMar>
          <w:top w:w="0" w:type="dxa"/>
          <w:left w:w="0" w:type="dxa"/>
          <w:bottom w:w="0" w:type="dxa"/>
          <w:right w:w="0" w:type="dxa"/>
        </w:tblCellMar>
        <w:tblLook w:val="01E0"/>
      </w:tblPr>
      <w:tblGrid>
        <w:gridCol w:w="4783"/>
        <w:gridCol w:w="4787"/>
      </w:tblGrid>
      <w:tr>
        <w:trPr>
          <w:trHeight w:val="403"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579" w:right="0"/>
              <w:jc w:val="left"/>
              <w:rPr>
                <w:rFonts w:ascii="宋体" w:hAnsi="宋体" w:cs="宋体" w:eastAsia="宋体" w:hint="default"/>
                <w:sz w:val="18"/>
                <w:szCs w:val="18"/>
              </w:rPr>
            </w:pPr>
            <w:r>
              <w:rPr>
                <w:rFonts w:ascii="宋体" w:hAnsi="宋体" w:cs="宋体" w:eastAsia="宋体" w:hint="default"/>
                <w:spacing w:val="-3"/>
                <w:sz w:val="18"/>
                <w:szCs w:val="18"/>
              </w:rPr>
              <w:t>合营或联营企业名称</w:t>
            </w:r>
          </w:p>
        </w:tc>
        <w:tc>
          <w:tcPr>
            <w:tcW w:w="47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与本企业关系</w:t>
            </w:r>
          </w:p>
        </w:tc>
      </w:tr>
    </w:tbl>
    <w:p>
      <w:pPr>
        <w:pStyle w:val="BodyText"/>
        <w:spacing w:line="352" w:lineRule="auto" w:before="70"/>
        <w:ind w:right="10031"/>
        <w:jc w:val="left"/>
      </w:pPr>
      <w:r>
        <w:rPr/>
        <w:t>其他说明</w:t>
      </w:r>
      <w:r>
        <w:rPr>
          <w:spacing w:val="-86"/>
        </w:rPr>
        <w:t> </w:t>
      </w:r>
      <w:r>
        <w:rPr>
          <w:spacing w:val="-86"/>
        </w:rPr>
      </w:r>
      <w:r>
        <w:rPr/>
        <w:t>无。</w:t>
      </w:r>
    </w:p>
    <w:p>
      <w:pPr>
        <w:spacing w:line="240" w:lineRule="auto" w:before="7"/>
        <w:rPr>
          <w:rFonts w:ascii="宋体" w:hAnsi="宋体" w:cs="宋体" w:eastAsia="宋体" w:hint="default"/>
          <w:sz w:val="20"/>
          <w:szCs w:val="20"/>
        </w:rPr>
      </w:pPr>
    </w:p>
    <w:p>
      <w:pPr>
        <w:pStyle w:val="Heading4"/>
        <w:spacing w:line="240" w:lineRule="auto"/>
        <w:ind w:right="0"/>
        <w:jc w:val="left"/>
        <w:rPr>
          <w:b w:val="0"/>
          <w:bCs w:val="0"/>
        </w:rPr>
      </w:pPr>
      <w:bookmarkStart w:name="4、其他关联方情况" w:id="481"/>
      <w:bookmarkEnd w:id="481"/>
      <w:r>
        <w:rPr>
          <w:b w:val="0"/>
          <w:bCs w:val="0"/>
        </w:rPr>
      </w:r>
      <w:r>
        <w:rPr>
          <w:rFonts w:ascii="Times New Roman" w:hAnsi="Times New Roman" w:cs="Times New Roman" w:eastAsia="Times New Roman" w:hint="default"/>
        </w:rPr>
        <w:t>4</w:t>
      </w:r>
      <w:r>
        <w:rPr/>
        <w:t>、其他关联方情况</w:t>
      </w:r>
      <w:r>
        <w:rPr>
          <w:b w:val="0"/>
          <w:bCs w:val="0"/>
        </w:rPr>
      </w:r>
    </w:p>
    <w:p>
      <w:pPr>
        <w:spacing w:line="240" w:lineRule="auto" w:before="11"/>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4783"/>
        <w:gridCol w:w="4787"/>
      </w:tblGrid>
      <w:tr>
        <w:trPr>
          <w:trHeight w:val="399"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pacing w:val="-3"/>
                <w:sz w:val="18"/>
                <w:szCs w:val="18"/>
              </w:rPr>
              <w:t>其他关联方名称</w:t>
            </w:r>
          </w:p>
        </w:tc>
        <w:tc>
          <w:tcPr>
            <w:tcW w:w="47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401" w:right="0"/>
              <w:jc w:val="left"/>
              <w:rPr>
                <w:rFonts w:ascii="宋体" w:hAnsi="宋体" w:cs="宋体" w:eastAsia="宋体" w:hint="default"/>
                <w:sz w:val="18"/>
                <w:szCs w:val="18"/>
              </w:rPr>
            </w:pPr>
            <w:r>
              <w:rPr>
                <w:rFonts w:ascii="宋体" w:hAnsi="宋体" w:cs="宋体" w:eastAsia="宋体" w:hint="default"/>
                <w:spacing w:val="-3"/>
                <w:sz w:val="18"/>
                <w:szCs w:val="18"/>
              </w:rPr>
              <w:t>其他关联方与本企业关系</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深圳市如茵生态环境建设有限公司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公司第一大股东妹妹控股的公司</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深圳市奥伦德科技股份有限公司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公司第一大股东弟弟控制的公司</w:t>
            </w:r>
          </w:p>
        </w:tc>
      </w:tr>
    </w:tbl>
    <w:p>
      <w:pPr>
        <w:spacing w:after="0" w:line="240" w:lineRule="auto"/>
        <w:jc w:val="left"/>
        <w:rPr>
          <w:rFonts w:ascii="宋体" w:hAnsi="宋体" w:cs="宋体" w:eastAsia="宋体" w:hint="default"/>
          <w:sz w:val="18"/>
          <w:szCs w:val="18"/>
        </w:rPr>
        <w:sectPr>
          <w:pgSz w:w="11910" w:h="16840"/>
          <w:pgMar w:header="784" w:footer="1022" w:top="1100" w:bottom="1220" w:left="980" w:right="0"/>
        </w:sectPr>
      </w:pPr>
    </w:p>
    <w:p>
      <w:pPr>
        <w:spacing w:line="240" w:lineRule="auto" w:before="7"/>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4783"/>
        <w:gridCol w:w="4787"/>
      </w:tblGrid>
      <w:tr>
        <w:trPr>
          <w:trHeight w:val="403"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江门市奥伦德光电有限公司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公司第一大股东弟弟控制的公司</w:t>
            </w:r>
          </w:p>
        </w:tc>
      </w:tr>
      <w:tr>
        <w:trPr>
          <w:trHeight w:val="398"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邱荣邦</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本公司股东、监事</w:t>
            </w:r>
          </w:p>
        </w:tc>
      </w:tr>
      <w:tr>
        <w:trPr>
          <w:trHeight w:val="404"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z w:val="18"/>
                <w:szCs w:val="18"/>
              </w:rPr>
              <w:t>沈永健</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pacing w:val="-3"/>
                <w:sz w:val="18"/>
                <w:szCs w:val="18"/>
              </w:rPr>
              <w:t>本公司股东、董事兼高管</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赵旭峰</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本公司股东、高管</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黄永忠</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本公司股东、监事</w:t>
            </w:r>
          </w:p>
        </w:tc>
      </w:tr>
      <w:tr>
        <w:trPr>
          <w:trHeight w:val="398"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杨文超</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本公司股东、董事</w:t>
            </w:r>
          </w:p>
        </w:tc>
      </w:tr>
      <w:tr>
        <w:trPr>
          <w:trHeight w:val="404"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z w:val="18"/>
                <w:szCs w:val="18"/>
              </w:rPr>
              <w:t>刘钧厚</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z w:val="18"/>
                <w:szCs w:val="18"/>
              </w:rPr>
              <w:t>本公司董事</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杨建中</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本公司董事</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彭世新</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本公司股东、高管</w:t>
            </w:r>
          </w:p>
        </w:tc>
      </w:tr>
      <w:tr>
        <w:trPr>
          <w:trHeight w:val="398"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杨四化</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本公司股东、董事兼高管</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z w:val="18"/>
                <w:szCs w:val="18"/>
              </w:rPr>
              <w:t>吴振志</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z w:val="18"/>
                <w:szCs w:val="18"/>
              </w:rPr>
              <w:t>本公司股东、高管</w:t>
            </w:r>
          </w:p>
        </w:tc>
      </w:tr>
      <w:tr>
        <w:trPr>
          <w:trHeight w:val="404"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矫人全</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本公司股东、高管</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颜春晓</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本公司监事</w:t>
            </w:r>
          </w:p>
        </w:tc>
      </w:tr>
      <w:tr>
        <w:trPr>
          <w:trHeight w:val="398"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孔德建</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本公司股东、高管</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z w:val="18"/>
                <w:szCs w:val="18"/>
              </w:rPr>
              <w:t>周维君</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pacing w:val="-3"/>
                <w:sz w:val="18"/>
                <w:szCs w:val="18"/>
              </w:rPr>
              <w:t>本公司股东、子公司千百辉董事兼总经理</w:t>
            </w:r>
          </w:p>
        </w:tc>
      </w:tr>
      <w:tr>
        <w:trPr>
          <w:trHeight w:val="404"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赵燕泥</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吴涵渠配偶</w:t>
            </w:r>
          </w:p>
        </w:tc>
      </w:tr>
    </w:tbl>
    <w:p>
      <w:pPr>
        <w:pStyle w:val="BodyText"/>
        <w:spacing w:line="357" w:lineRule="auto" w:before="53"/>
        <w:ind w:right="10031"/>
        <w:jc w:val="left"/>
      </w:pPr>
      <w:r>
        <w:rPr/>
        <w:t>其他说明</w:t>
      </w:r>
      <w:r>
        <w:rPr>
          <w:spacing w:val="-86"/>
        </w:rPr>
        <w:t> </w:t>
      </w:r>
      <w:r>
        <w:rPr>
          <w:spacing w:val="-86"/>
        </w:rPr>
      </w:r>
      <w:r>
        <w:rPr/>
        <w:t>无。</w:t>
      </w:r>
    </w:p>
    <w:p>
      <w:pPr>
        <w:spacing w:line="240" w:lineRule="auto" w:before="3"/>
        <w:rPr>
          <w:rFonts w:ascii="宋体" w:hAnsi="宋体" w:cs="宋体" w:eastAsia="宋体" w:hint="default"/>
          <w:sz w:val="20"/>
          <w:szCs w:val="20"/>
        </w:rPr>
      </w:pPr>
    </w:p>
    <w:p>
      <w:pPr>
        <w:pStyle w:val="Heading4"/>
        <w:spacing w:line="240" w:lineRule="auto"/>
        <w:ind w:right="0"/>
        <w:jc w:val="left"/>
        <w:rPr>
          <w:b w:val="0"/>
          <w:bCs w:val="0"/>
        </w:rPr>
      </w:pPr>
      <w:bookmarkStart w:name="5、关联交易情况" w:id="482"/>
      <w:bookmarkEnd w:id="482"/>
      <w:r>
        <w:rPr>
          <w:b w:val="0"/>
          <w:bCs w:val="0"/>
        </w:rPr>
      </w:r>
      <w:r>
        <w:rPr>
          <w:rFonts w:ascii="Times New Roman" w:hAnsi="Times New Roman" w:cs="Times New Roman" w:eastAsia="Times New Roman" w:hint="default"/>
        </w:rPr>
        <w:t>5</w:t>
      </w:r>
      <w:r>
        <w:rPr/>
        <w:t>、关联交易情况</w:t>
      </w:r>
      <w:r>
        <w:rPr>
          <w:b w:val="0"/>
          <w:bCs w:val="0"/>
        </w:rPr>
      </w:r>
    </w:p>
    <w:p>
      <w:pPr>
        <w:spacing w:line="240" w:lineRule="auto" w:before="5"/>
        <w:rPr>
          <w:rFonts w:ascii="宋体" w:hAnsi="宋体" w:cs="宋体" w:eastAsia="宋体" w:hint="default"/>
          <w:b/>
          <w:bCs/>
          <w:sz w:val="24"/>
          <w:szCs w:val="24"/>
        </w:rPr>
      </w:pPr>
    </w:p>
    <w:p>
      <w:pPr>
        <w:pStyle w:val="Heading4"/>
        <w:spacing w:line="240" w:lineRule="auto"/>
        <w:ind w:right="0"/>
        <w:jc w:val="left"/>
        <w:rPr>
          <w:b w:val="0"/>
          <w:bCs w:val="0"/>
        </w:rPr>
      </w:pPr>
      <w:bookmarkStart w:name="（1）购销商品、提供和接受劳务的关联交易" w:id="483"/>
      <w:bookmarkEnd w:id="483"/>
      <w:r>
        <w:rPr>
          <w:b w:val="0"/>
          <w:bCs w:val="0"/>
        </w:rPr>
      </w:r>
      <w:r>
        <w:rPr/>
        <w:t>（</w:t>
      </w:r>
      <w:r>
        <w:rPr>
          <w:rFonts w:ascii="Times New Roman" w:hAnsi="Times New Roman" w:cs="Times New Roman" w:eastAsia="Times New Roman" w:hint="default"/>
        </w:rPr>
        <w:t>1</w:t>
      </w:r>
      <w:r>
        <w:rPr/>
        <w:t>）购销商品、提供和接受劳务的关联交易</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right="0"/>
        <w:jc w:val="left"/>
      </w:pPr>
      <w:r>
        <w:rPr/>
        <w:t>采购商品</w:t>
      </w:r>
      <w:r>
        <w:rPr>
          <w:rFonts w:ascii="Times New Roman" w:hAnsi="Times New Roman" w:cs="Times New Roman" w:eastAsia="Times New Roman" w:hint="default"/>
        </w:rPr>
        <w:t>/</w:t>
      </w:r>
      <w:r>
        <w:rPr/>
        <w:t>接受劳务情况表</w:t>
      </w:r>
    </w:p>
    <w:p>
      <w:pPr>
        <w:pStyle w:val="BodyText"/>
        <w:spacing w:line="240" w:lineRule="auto" w:before="101"/>
        <w:ind w:left="0" w:right="1122"/>
        <w:jc w:val="right"/>
      </w:pPr>
      <w:r>
        <w:rPr/>
        <w:t>单位：</w:t>
      </w:r>
      <w:r>
        <w:rPr>
          <w:spacing w:val="5"/>
        </w:rPr>
        <w:t> </w:t>
      </w:r>
      <w:r>
        <w:rPr/>
        <w:t>元</w:t>
      </w:r>
    </w:p>
    <w:p>
      <w:pPr>
        <w:spacing w:line="240" w:lineRule="auto" w:before="10"/>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541"/>
        <w:gridCol w:w="1455"/>
        <w:gridCol w:w="1455"/>
        <w:gridCol w:w="1705"/>
        <w:gridCol w:w="1709"/>
        <w:gridCol w:w="1709"/>
      </w:tblGrid>
      <w:tr>
        <w:trPr>
          <w:trHeight w:val="401" w:hRule="exact"/>
        </w:trPr>
        <w:tc>
          <w:tcPr>
            <w:tcW w:w="15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499"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1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182"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1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268"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7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216" w:right="0"/>
              <w:jc w:val="left"/>
              <w:rPr>
                <w:rFonts w:ascii="宋体" w:hAnsi="宋体" w:cs="宋体" w:eastAsia="宋体" w:hint="default"/>
                <w:sz w:val="18"/>
                <w:szCs w:val="18"/>
              </w:rPr>
            </w:pPr>
            <w:r>
              <w:rPr>
                <w:rFonts w:ascii="宋体" w:hAnsi="宋体" w:cs="宋体" w:eastAsia="宋体" w:hint="default"/>
                <w:spacing w:val="-3"/>
                <w:sz w:val="18"/>
                <w:szCs w:val="18"/>
              </w:rPr>
              <w:t>获批的交易额度</w:t>
            </w:r>
          </w:p>
        </w:tc>
        <w:tc>
          <w:tcPr>
            <w:tcW w:w="1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129" w:right="0"/>
              <w:jc w:val="left"/>
              <w:rPr>
                <w:rFonts w:ascii="宋体" w:hAnsi="宋体" w:cs="宋体" w:eastAsia="宋体" w:hint="default"/>
                <w:sz w:val="18"/>
                <w:szCs w:val="18"/>
              </w:rPr>
            </w:pPr>
            <w:r>
              <w:rPr>
                <w:rFonts w:ascii="宋体" w:hAnsi="宋体" w:cs="宋体" w:eastAsia="宋体" w:hint="default"/>
                <w:sz w:val="18"/>
                <w:szCs w:val="18"/>
              </w:rPr>
              <w:t>是否超过交易额度</w:t>
            </w:r>
          </w:p>
        </w:tc>
        <w:tc>
          <w:tcPr>
            <w:tcW w:w="1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403"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5" w:hRule="exact"/>
        </w:trPr>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321" w:lineRule="auto" w:before="53"/>
              <w:ind w:left="105" w:right="161"/>
              <w:jc w:val="left"/>
              <w:rPr>
                <w:rFonts w:ascii="宋体" w:hAnsi="宋体" w:cs="宋体" w:eastAsia="宋体" w:hint="default"/>
                <w:sz w:val="18"/>
                <w:szCs w:val="18"/>
              </w:rPr>
            </w:pPr>
            <w:r>
              <w:rPr>
                <w:rFonts w:ascii="宋体" w:hAnsi="宋体" w:cs="宋体" w:eastAsia="宋体" w:hint="default"/>
                <w:spacing w:val="-3"/>
                <w:sz w:val="18"/>
                <w:szCs w:val="18"/>
              </w:rPr>
              <w:t>深圳市奥伦德科</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3"/>
                <w:sz w:val="18"/>
                <w:szCs w:val="18"/>
              </w:rPr>
              <w:t>技股份有限公司</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配件</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619" w:right="0"/>
              <w:jc w:val="left"/>
              <w:rPr>
                <w:rFonts w:ascii="Times New Roman" w:hAnsi="Times New Roman" w:cs="Times New Roman" w:eastAsia="Times New Roman" w:hint="default"/>
                <w:sz w:val="18"/>
                <w:szCs w:val="18"/>
              </w:rPr>
            </w:pPr>
            <w:r>
              <w:rPr>
                <w:rFonts w:ascii="Times New Roman"/>
                <w:sz w:val="18"/>
              </w:rPr>
              <w:t>20,795.47</w:t>
            </w:r>
          </w:p>
        </w:tc>
        <w:tc>
          <w:tcPr>
            <w:tcW w:w="1705" w:type="dxa"/>
            <w:tcBorders>
              <w:top w:val="single" w:sz="4" w:space="0" w:color="000000"/>
              <w:left w:val="single" w:sz="4" w:space="0" w:color="000000"/>
              <w:bottom w:val="single" w:sz="4" w:space="0" w:color="000000"/>
              <w:right w:val="single" w:sz="4" w:space="0" w:color="000000"/>
            </w:tcBorders>
          </w:tcPr>
          <w:p>
            <w:pP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709"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3"/>
        <w:ind w:right="0"/>
        <w:jc w:val="left"/>
      </w:pPr>
      <w:r>
        <w:rPr/>
        <w:t>出售商品</w:t>
      </w:r>
      <w:r>
        <w:rPr>
          <w:rFonts w:ascii="Times New Roman" w:hAnsi="Times New Roman" w:cs="Times New Roman" w:eastAsia="Times New Roman" w:hint="default"/>
        </w:rPr>
        <w:t>/</w:t>
      </w:r>
      <w:r>
        <w:rPr/>
        <w:t>提供劳务情况表</w:t>
      </w:r>
    </w:p>
    <w:p>
      <w:pPr>
        <w:pStyle w:val="BodyText"/>
        <w:spacing w:line="240" w:lineRule="auto" w:before="106"/>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396"/>
        <w:gridCol w:w="2262"/>
        <w:gridCol w:w="2261"/>
        <w:gridCol w:w="2651"/>
      </w:tblGrid>
      <w:tr>
        <w:trPr>
          <w:trHeight w:val="403" w:hRule="exact"/>
        </w:trPr>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2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85"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22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76"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6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869"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8"/>
              <w:jc w:val="center"/>
              <w:rPr>
                <w:rFonts w:ascii="宋体" w:hAnsi="宋体" w:cs="宋体" w:eastAsia="宋体" w:hint="default"/>
                <w:sz w:val="18"/>
                <w:szCs w:val="18"/>
              </w:rPr>
            </w:pPr>
            <w:r>
              <w:rPr>
                <w:rFonts w:ascii="宋体" w:hAnsi="宋体" w:cs="宋体" w:eastAsia="宋体" w:hint="default"/>
                <w:spacing w:val="-3"/>
                <w:sz w:val="18"/>
                <w:szCs w:val="18"/>
              </w:rPr>
              <w:t>江门市奥伦德光电有限公司</w:t>
            </w:r>
          </w:p>
        </w:tc>
        <w:tc>
          <w:tcPr>
            <w:tcW w:w="2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面板灯</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2,758.63</w:t>
            </w:r>
          </w:p>
        </w:tc>
        <w:tc>
          <w:tcPr>
            <w:tcW w:w="2651" w:type="dxa"/>
            <w:tcBorders>
              <w:top w:val="single" w:sz="4" w:space="0" w:color="000000"/>
              <w:left w:val="single" w:sz="4" w:space="0" w:color="000000"/>
              <w:bottom w:val="single" w:sz="4" w:space="0" w:color="000000"/>
              <w:right w:val="single" w:sz="4" w:space="0" w:color="000000"/>
            </w:tcBorders>
          </w:tcPr>
          <w:p>
            <w:pPr/>
          </w:p>
        </w:tc>
      </w:tr>
    </w:tbl>
    <w:p>
      <w:pPr>
        <w:pStyle w:val="BodyText"/>
        <w:spacing w:line="352" w:lineRule="auto" w:before="53"/>
        <w:ind w:right="7092"/>
        <w:jc w:val="left"/>
      </w:pPr>
      <w:r>
        <w:rPr>
          <w:spacing w:val="-3"/>
        </w:rPr>
        <w:t>购销商品、提供和接受劳务的关联交易说明</w:t>
      </w:r>
      <w:r>
        <w:rPr>
          <w:spacing w:val="-33"/>
        </w:rPr>
        <w:t> </w:t>
      </w:r>
      <w:r>
        <w:rPr>
          <w:spacing w:val="-33"/>
        </w:rPr>
      </w:r>
      <w:r>
        <w:rPr/>
        <w:t>无。</w:t>
      </w:r>
    </w:p>
    <w:p>
      <w:pPr>
        <w:spacing w:line="240" w:lineRule="auto" w:before="8"/>
        <w:rPr>
          <w:rFonts w:ascii="宋体" w:hAnsi="宋体" w:cs="宋体" w:eastAsia="宋体" w:hint="default"/>
          <w:sz w:val="20"/>
          <w:szCs w:val="20"/>
        </w:rPr>
      </w:pPr>
    </w:p>
    <w:p>
      <w:pPr>
        <w:pStyle w:val="Heading4"/>
        <w:spacing w:line="240" w:lineRule="auto"/>
        <w:ind w:right="0"/>
        <w:jc w:val="left"/>
        <w:rPr>
          <w:b w:val="0"/>
          <w:bCs w:val="0"/>
        </w:rPr>
      </w:pPr>
      <w:bookmarkStart w:name="（2）关联受托管理/承包及委托管理/出包情况" w:id="484"/>
      <w:bookmarkEnd w:id="484"/>
      <w:r>
        <w:rPr>
          <w:b w:val="0"/>
          <w:bCs w:val="0"/>
        </w:rPr>
      </w:r>
      <w:r>
        <w:rPr/>
        <w:t>（</w:t>
      </w:r>
      <w:r>
        <w:rPr>
          <w:rFonts w:ascii="Times New Roman" w:hAnsi="Times New Roman" w:cs="Times New Roman" w:eastAsia="Times New Roman" w:hint="default"/>
        </w:rPr>
        <w:t>2</w:t>
      </w:r>
      <w:r>
        <w:rPr/>
        <w:t>）关联受托管理</w:t>
      </w:r>
      <w:r>
        <w:rPr>
          <w:rFonts w:ascii="Times New Roman" w:hAnsi="Times New Roman" w:cs="Times New Roman" w:eastAsia="Times New Roman" w:hint="default"/>
        </w:rPr>
        <w:t>/</w:t>
      </w:r>
      <w:r>
        <w:rPr/>
        <w:t>承包及委托管理</w:t>
      </w:r>
      <w:r>
        <w:rPr>
          <w:rFonts w:ascii="Times New Roman" w:hAnsi="Times New Roman" w:cs="Times New Roman" w:eastAsia="Times New Roman" w:hint="default"/>
        </w:rPr>
        <w:t>/</w:t>
      </w:r>
      <w:r>
        <w:rPr/>
        <w:t>出包情况</w:t>
      </w:r>
      <w:r>
        <w:rPr>
          <w:b w:val="0"/>
          <w:bCs w:val="0"/>
        </w:rPr>
      </w:r>
    </w:p>
    <w:p>
      <w:pPr>
        <w:spacing w:line="240" w:lineRule="auto" w:before="1"/>
        <w:rPr>
          <w:rFonts w:ascii="宋体" w:hAnsi="宋体" w:cs="宋体" w:eastAsia="宋体" w:hint="default"/>
          <w:b/>
          <w:bCs/>
          <w:sz w:val="27"/>
          <w:szCs w:val="27"/>
        </w:rPr>
      </w:pPr>
    </w:p>
    <w:p>
      <w:pPr>
        <w:pStyle w:val="BodyText"/>
        <w:spacing w:line="240" w:lineRule="auto" w:before="0"/>
        <w:ind w:right="0"/>
        <w:jc w:val="left"/>
      </w:pPr>
      <w:r>
        <w:rPr/>
        <w:t>本公司受托管理</w:t>
      </w:r>
      <w:r>
        <w:rPr>
          <w:rFonts w:ascii="Times New Roman" w:hAnsi="Times New Roman" w:cs="Times New Roman" w:eastAsia="Times New Roman" w:hint="default"/>
        </w:rPr>
        <w:t>/</w:t>
      </w:r>
      <w:r>
        <w:rPr/>
        <w:t>承包情况表：</w:t>
      </w:r>
    </w:p>
    <w:p>
      <w:pPr>
        <w:spacing w:after="0" w:line="240" w:lineRule="auto"/>
        <w:jc w:val="left"/>
        <w:sectPr>
          <w:pgSz w:w="11910" w:h="16840"/>
          <w:pgMar w:header="784" w:footer="1022" w:top="1100" w:bottom="1220" w:left="980" w:right="0"/>
        </w:sectPr>
      </w:pPr>
    </w:p>
    <w:p>
      <w:pPr>
        <w:spacing w:line="240" w:lineRule="auto" w:before="2"/>
        <w:rPr>
          <w:rFonts w:ascii="宋体" w:hAnsi="宋体" w:cs="宋体" w:eastAsia="宋体" w:hint="default"/>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369"/>
        <w:gridCol w:w="1368"/>
        <w:gridCol w:w="1369"/>
        <w:gridCol w:w="1368"/>
        <w:gridCol w:w="1364"/>
        <w:gridCol w:w="1369"/>
        <w:gridCol w:w="1369"/>
      </w:tblGrid>
      <w:tr>
        <w:trPr>
          <w:trHeight w:val="1028"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00" w:lineRule="auto"/>
              <w:ind w:left="499" w:right="108" w:hanging="384"/>
              <w:jc w:val="left"/>
              <w:rPr>
                <w:rFonts w:ascii="宋体" w:hAnsi="宋体" w:cs="宋体" w:eastAsia="宋体" w:hint="default"/>
                <w:sz w:val="18"/>
                <w:szCs w:val="18"/>
              </w:rPr>
            </w:pPr>
            <w:r>
              <w:rPr>
                <w:rFonts w:ascii="宋体" w:hAnsi="宋体" w:cs="宋体" w:eastAsia="宋体" w:hint="default"/>
                <w:spacing w:val="-2"/>
                <w:sz w:val="18"/>
                <w:szCs w:val="18"/>
              </w:rPr>
              <w:t>委托方</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出包方</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名称</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00" w:lineRule="auto"/>
              <w:ind w:left="499" w:right="108" w:hanging="384"/>
              <w:jc w:val="left"/>
              <w:rPr>
                <w:rFonts w:ascii="宋体" w:hAnsi="宋体" w:cs="宋体" w:eastAsia="宋体" w:hint="default"/>
                <w:sz w:val="18"/>
                <w:szCs w:val="18"/>
              </w:rPr>
            </w:pPr>
            <w:r>
              <w:rPr>
                <w:rFonts w:ascii="宋体" w:hAnsi="宋体" w:cs="宋体" w:eastAsia="宋体" w:hint="default"/>
                <w:spacing w:val="-2"/>
                <w:sz w:val="18"/>
                <w:szCs w:val="18"/>
              </w:rPr>
              <w:t>受托方</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承包方</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名称</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00" w:lineRule="auto"/>
              <w:ind w:left="499" w:right="108" w:hanging="384"/>
              <w:jc w:val="left"/>
              <w:rPr>
                <w:rFonts w:ascii="宋体" w:hAnsi="宋体" w:cs="宋体" w:eastAsia="宋体" w:hint="default"/>
                <w:sz w:val="18"/>
                <w:szCs w:val="18"/>
              </w:rPr>
            </w:pPr>
            <w:r>
              <w:rPr>
                <w:rFonts w:ascii="宋体" w:hAnsi="宋体" w:cs="宋体" w:eastAsia="宋体" w:hint="default"/>
                <w:spacing w:val="-2"/>
                <w:sz w:val="18"/>
                <w:szCs w:val="18"/>
              </w:rPr>
              <w:t>受托</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承包资产</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类型</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00" w:lineRule="auto"/>
              <w:ind w:left="590" w:right="108" w:hanging="476"/>
              <w:jc w:val="left"/>
              <w:rPr>
                <w:rFonts w:ascii="宋体" w:hAnsi="宋体" w:cs="宋体" w:eastAsia="宋体" w:hint="default"/>
                <w:sz w:val="18"/>
                <w:szCs w:val="18"/>
              </w:rPr>
            </w:pPr>
            <w:r>
              <w:rPr>
                <w:rFonts w:ascii="宋体" w:hAnsi="宋体" w:cs="宋体" w:eastAsia="宋体" w:hint="default"/>
                <w:spacing w:val="-2"/>
                <w:sz w:val="18"/>
                <w:szCs w:val="18"/>
              </w:rPr>
              <w:t>受托</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承包起始</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日</w:t>
            </w:r>
          </w:p>
        </w:tc>
        <w:tc>
          <w:tcPr>
            <w:tcW w:w="13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00" w:lineRule="auto"/>
              <w:ind w:left="585" w:right="108" w:hanging="476"/>
              <w:jc w:val="left"/>
              <w:rPr>
                <w:rFonts w:ascii="宋体" w:hAnsi="宋体" w:cs="宋体" w:eastAsia="宋体" w:hint="default"/>
                <w:sz w:val="18"/>
                <w:szCs w:val="18"/>
              </w:rPr>
            </w:pPr>
            <w:r>
              <w:rPr>
                <w:rFonts w:ascii="宋体" w:hAnsi="宋体" w:cs="宋体" w:eastAsia="宋体" w:hint="default"/>
                <w:spacing w:val="-2"/>
                <w:sz w:val="18"/>
                <w:szCs w:val="18"/>
              </w:rPr>
              <w:t>受托</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承包终止</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日</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00" w:lineRule="auto"/>
              <w:ind w:left="139" w:right="113" w:hanging="24"/>
              <w:jc w:val="left"/>
              <w:rPr>
                <w:rFonts w:ascii="宋体" w:hAnsi="宋体" w:cs="宋体" w:eastAsia="宋体" w:hint="default"/>
                <w:sz w:val="18"/>
                <w:szCs w:val="18"/>
              </w:rPr>
            </w:pPr>
            <w:r>
              <w:rPr>
                <w:rFonts w:ascii="宋体" w:hAnsi="宋体" w:cs="宋体" w:eastAsia="宋体" w:hint="default"/>
                <w:spacing w:val="-3"/>
                <w:sz w:val="18"/>
                <w:szCs w:val="18"/>
              </w:rPr>
              <w:t>托管收益</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承包</w:t>
            </w:r>
            <w:r>
              <w:rPr>
                <w:rFonts w:ascii="宋体" w:hAnsi="宋体" w:cs="宋体" w:eastAsia="宋体" w:hint="default"/>
                <w:spacing w:val="-72"/>
                <w:sz w:val="18"/>
                <w:szCs w:val="18"/>
              </w:rPr>
              <w:t> </w:t>
            </w:r>
            <w:r>
              <w:rPr>
                <w:rFonts w:ascii="宋体" w:hAnsi="宋体" w:cs="宋体" w:eastAsia="宋体" w:hint="default"/>
                <w:sz w:val="18"/>
                <w:szCs w:val="18"/>
              </w:rPr>
              <w:t>收益定价依据</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2" w:lineRule="auto" w:before="53"/>
              <w:ind w:left="115" w:right="108"/>
              <w:jc w:val="center"/>
              <w:rPr>
                <w:rFonts w:ascii="宋体" w:hAnsi="宋体" w:cs="宋体" w:eastAsia="宋体" w:hint="default"/>
                <w:sz w:val="18"/>
                <w:szCs w:val="18"/>
              </w:rPr>
            </w:pPr>
            <w:r>
              <w:rPr>
                <w:rFonts w:ascii="宋体" w:hAnsi="宋体" w:cs="宋体" w:eastAsia="宋体" w:hint="default"/>
                <w:sz w:val="18"/>
                <w:szCs w:val="18"/>
              </w:rPr>
              <w:t>本期确认的托</w:t>
            </w:r>
            <w:r>
              <w:rPr>
                <w:rFonts w:ascii="宋体" w:hAnsi="宋体" w:cs="宋体" w:eastAsia="宋体" w:hint="default"/>
                <w:w w:val="101"/>
                <w:sz w:val="18"/>
                <w:szCs w:val="18"/>
              </w:rPr>
              <w:t> </w:t>
            </w:r>
            <w:r>
              <w:rPr>
                <w:rFonts w:ascii="宋体" w:hAnsi="宋体" w:cs="宋体" w:eastAsia="宋体" w:hint="default"/>
                <w:spacing w:val="-2"/>
                <w:sz w:val="18"/>
                <w:szCs w:val="18"/>
              </w:rPr>
              <w:t>管收益</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承包收</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益</w:t>
            </w:r>
          </w:p>
        </w:tc>
      </w:tr>
    </w:tbl>
    <w:p>
      <w:pPr>
        <w:spacing w:after="0" w:line="312" w:lineRule="auto"/>
        <w:jc w:val="center"/>
        <w:rPr>
          <w:rFonts w:ascii="宋体" w:hAnsi="宋体" w:cs="宋体" w:eastAsia="宋体" w:hint="default"/>
          <w:sz w:val="18"/>
          <w:szCs w:val="18"/>
        </w:rPr>
        <w:sectPr>
          <w:pgSz w:w="11910" w:h="16840"/>
          <w:pgMar w:header="784" w:footer="1022" w:top="1100" w:bottom="1220" w:left="980" w:right="0"/>
        </w:sectPr>
      </w:pPr>
    </w:p>
    <w:p>
      <w:pPr>
        <w:pStyle w:val="BodyText"/>
        <w:spacing w:line="338" w:lineRule="auto" w:before="53"/>
        <w:ind w:right="239"/>
        <w:jc w:val="left"/>
      </w:pPr>
      <w:r>
        <w:rPr>
          <w:spacing w:val="-3"/>
        </w:rPr>
        <w:t>关联托管</w:t>
      </w:r>
      <w:r>
        <w:rPr>
          <w:rFonts w:ascii="Times New Roman" w:hAnsi="Times New Roman" w:cs="Times New Roman" w:eastAsia="Times New Roman" w:hint="default"/>
          <w:spacing w:val="-3"/>
        </w:rPr>
        <w:t>/</w:t>
      </w:r>
      <w:r>
        <w:rPr>
          <w:spacing w:val="-3"/>
        </w:rPr>
        <w:t>承包情况说明</w:t>
      </w:r>
      <w:r>
        <w:rPr>
          <w:spacing w:val="-56"/>
        </w:rPr>
        <w:t> </w:t>
      </w:r>
      <w:r>
        <w:rPr>
          <w:spacing w:val="-56"/>
        </w:rPr>
      </w:r>
      <w:r>
        <w:rPr/>
        <w:t>无。</w:t>
      </w:r>
    </w:p>
    <w:p>
      <w:pPr>
        <w:pStyle w:val="BodyText"/>
        <w:spacing w:line="240" w:lineRule="auto"/>
        <w:ind w:right="0"/>
        <w:jc w:val="left"/>
      </w:pPr>
      <w:r>
        <w:rPr>
          <w:spacing w:val="-2"/>
        </w:rPr>
        <w:t>本公司委托管理</w:t>
      </w:r>
      <w:r>
        <w:rPr>
          <w:rFonts w:ascii="Times New Roman" w:hAnsi="Times New Roman" w:cs="Times New Roman" w:eastAsia="Times New Roman" w:hint="default"/>
          <w:spacing w:val="-2"/>
        </w:rPr>
        <w:t>/</w:t>
      </w:r>
      <w:r>
        <w:rPr>
          <w:spacing w:val="-2"/>
        </w:rPr>
        <w:t>出包情况表：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2"/>
          <w:szCs w:val="12"/>
        </w:rPr>
      </w:pPr>
    </w:p>
    <w:p>
      <w:pPr>
        <w:pStyle w:val="BodyText"/>
        <w:spacing w:line="240" w:lineRule="auto" w:before="0"/>
        <w:ind w:right="0"/>
        <w:jc w:val="left"/>
      </w:pPr>
      <w:r>
        <w:rPr/>
        <w:t>单位：</w:t>
      </w:r>
      <w:r>
        <w:rPr>
          <w:spacing w:val="5"/>
        </w:rPr>
        <w:t> </w:t>
      </w:r>
      <w:r>
        <w:rPr/>
        <w:t>元</w:t>
      </w:r>
    </w:p>
    <w:p>
      <w:pPr>
        <w:spacing w:after="0" w:line="240" w:lineRule="auto"/>
        <w:jc w:val="left"/>
        <w:sectPr>
          <w:type w:val="continuous"/>
          <w:pgSz w:w="11910" w:h="16840"/>
          <w:pgMar w:top="1100" w:bottom="1220" w:left="980" w:right="0"/>
          <w:cols w:num="2" w:equalWidth="0">
            <w:col w:w="2550" w:space="6281"/>
            <w:col w:w="2099"/>
          </w:cols>
        </w:sectPr>
      </w:pPr>
    </w:p>
    <w:p>
      <w:pPr>
        <w:spacing w:line="240" w:lineRule="auto" w:before="0"/>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369"/>
        <w:gridCol w:w="1368"/>
        <w:gridCol w:w="1369"/>
        <w:gridCol w:w="1368"/>
        <w:gridCol w:w="1364"/>
        <w:gridCol w:w="1369"/>
        <w:gridCol w:w="1369"/>
      </w:tblGrid>
      <w:tr>
        <w:trPr>
          <w:trHeight w:val="715"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499" w:right="108" w:hanging="384"/>
              <w:jc w:val="left"/>
              <w:rPr>
                <w:rFonts w:ascii="宋体" w:hAnsi="宋体" w:cs="宋体" w:eastAsia="宋体" w:hint="default"/>
                <w:sz w:val="18"/>
                <w:szCs w:val="18"/>
              </w:rPr>
            </w:pPr>
            <w:r>
              <w:rPr>
                <w:rFonts w:ascii="宋体" w:hAnsi="宋体" w:cs="宋体" w:eastAsia="宋体" w:hint="default"/>
                <w:spacing w:val="-2"/>
                <w:sz w:val="18"/>
                <w:szCs w:val="18"/>
              </w:rPr>
              <w:t>委托方</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出包方</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名称</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499" w:right="108" w:hanging="384"/>
              <w:jc w:val="left"/>
              <w:rPr>
                <w:rFonts w:ascii="宋体" w:hAnsi="宋体" w:cs="宋体" w:eastAsia="宋体" w:hint="default"/>
                <w:sz w:val="18"/>
                <w:szCs w:val="18"/>
              </w:rPr>
            </w:pPr>
            <w:r>
              <w:rPr>
                <w:rFonts w:ascii="宋体" w:hAnsi="宋体" w:cs="宋体" w:eastAsia="宋体" w:hint="default"/>
                <w:spacing w:val="-2"/>
                <w:sz w:val="18"/>
                <w:szCs w:val="18"/>
              </w:rPr>
              <w:t>受托方</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承包方</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名称</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499" w:right="108" w:hanging="384"/>
              <w:jc w:val="left"/>
              <w:rPr>
                <w:rFonts w:ascii="宋体" w:hAnsi="宋体" w:cs="宋体" w:eastAsia="宋体" w:hint="default"/>
                <w:sz w:val="18"/>
                <w:szCs w:val="18"/>
              </w:rPr>
            </w:pPr>
            <w:r>
              <w:rPr>
                <w:rFonts w:ascii="宋体" w:hAnsi="宋体" w:cs="宋体" w:eastAsia="宋体" w:hint="default"/>
                <w:spacing w:val="-2"/>
                <w:sz w:val="18"/>
                <w:szCs w:val="18"/>
              </w:rPr>
              <w:t>委托</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出包资产</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类型</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590" w:right="108" w:hanging="476"/>
              <w:jc w:val="left"/>
              <w:rPr>
                <w:rFonts w:ascii="宋体" w:hAnsi="宋体" w:cs="宋体" w:eastAsia="宋体" w:hint="default"/>
                <w:sz w:val="18"/>
                <w:szCs w:val="18"/>
              </w:rPr>
            </w:pPr>
            <w:r>
              <w:rPr>
                <w:rFonts w:ascii="宋体" w:hAnsi="宋体" w:cs="宋体" w:eastAsia="宋体" w:hint="default"/>
                <w:spacing w:val="-2"/>
                <w:sz w:val="18"/>
                <w:szCs w:val="18"/>
              </w:rPr>
              <w:t>委托</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出包起始</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日</w:t>
            </w:r>
          </w:p>
        </w:tc>
        <w:tc>
          <w:tcPr>
            <w:tcW w:w="13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585" w:right="108" w:hanging="476"/>
              <w:jc w:val="left"/>
              <w:rPr>
                <w:rFonts w:ascii="宋体" w:hAnsi="宋体" w:cs="宋体" w:eastAsia="宋体" w:hint="default"/>
                <w:sz w:val="18"/>
                <w:szCs w:val="18"/>
              </w:rPr>
            </w:pPr>
            <w:r>
              <w:rPr>
                <w:rFonts w:ascii="宋体" w:hAnsi="宋体" w:cs="宋体" w:eastAsia="宋体" w:hint="default"/>
                <w:spacing w:val="-2"/>
                <w:sz w:val="18"/>
                <w:szCs w:val="18"/>
              </w:rPr>
              <w:t>委托</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出包终止</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日</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322" w:right="108" w:hanging="207"/>
              <w:jc w:val="left"/>
              <w:rPr>
                <w:rFonts w:ascii="宋体" w:hAnsi="宋体" w:cs="宋体" w:eastAsia="宋体" w:hint="default"/>
                <w:sz w:val="18"/>
                <w:szCs w:val="18"/>
              </w:rPr>
            </w:pPr>
            <w:r>
              <w:rPr>
                <w:rFonts w:ascii="宋体" w:hAnsi="宋体" w:cs="宋体" w:eastAsia="宋体" w:hint="default"/>
                <w:spacing w:val="-2"/>
                <w:sz w:val="18"/>
                <w:szCs w:val="18"/>
              </w:rPr>
              <w:t>托管费</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出包费</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定价依据</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206" w:right="132" w:hanging="68"/>
              <w:jc w:val="left"/>
              <w:rPr>
                <w:rFonts w:ascii="宋体" w:hAnsi="宋体" w:cs="宋体" w:eastAsia="宋体" w:hint="default"/>
                <w:sz w:val="18"/>
                <w:szCs w:val="18"/>
              </w:rPr>
            </w:pPr>
            <w:r>
              <w:rPr>
                <w:rFonts w:ascii="宋体" w:hAnsi="宋体" w:cs="宋体" w:eastAsia="宋体" w:hint="default"/>
                <w:spacing w:val="-2"/>
                <w:sz w:val="18"/>
                <w:szCs w:val="18"/>
              </w:rPr>
              <w:t>本期确认的托</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管费</w:t>
            </w:r>
            <w:r>
              <w:rPr>
                <w:rFonts w:ascii="Times New Roman" w:hAnsi="Times New Roman" w:cs="Times New Roman" w:eastAsia="Times New Roman" w:hint="default"/>
                <w:sz w:val="18"/>
                <w:szCs w:val="18"/>
              </w:rPr>
              <w:t>/</w:t>
            </w:r>
            <w:r>
              <w:rPr>
                <w:rFonts w:ascii="宋体" w:hAnsi="宋体" w:cs="宋体" w:eastAsia="宋体" w:hint="default"/>
                <w:sz w:val="18"/>
                <w:szCs w:val="18"/>
              </w:rPr>
              <w:t>出包费</w:t>
            </w:r>
          </w:p>
        </w:tc>
      </w:tr>
    </w:tbl>
    <w:p>
      <w:pPr>
        <w:pStyle w:val="BodyText"/>
        <w:spacing w:line="333" w:lineRule="auto" w:before="53"/>
        <w:ind w:right="8823"/>
        <w:jc w:val="left"/>
      </w:pPr>
      <w:r>
        <w:rPr>
          <w:spacing w:val="-3"/>
        </w:rPr>
        <w:t>关联管理</w:t>
      </w:r>
      <w:r>
        <w:rPr>
          <w:rFonts w:ascii="Times New Roman" w:hAnsi="Times New Roman" w:cs="Times New Roman" w:eastAsia="Times New Roman" w:hint="default"/>
          <w:spacing w:val="-3"/>
        </w:rPr>
        <w:t>/</w:t>
      </w:r>
      <w:r>
        <w:rPr>
          <w:spacing w:val="-3"/>
        </w:rPr>
        <w:t>出包情况说明</w:t>
      </w:r>
      <w:r>
        <w:rPr>
          <w:spacing w:val="-56"/>
        </w:rPr>
        <w:t> </w:t>
      </w:r>
      <w:r>
        <w:rPr>
          <w:spacing w:val="-56"/>
        </w:rPr>
      </w:r>
      <w:r>
        <w:rPr/>
        <w:t>无。</w:t>
      </w:r>
    </w:p>
    <w:p>
      <w:pPr>
        <w:spacing w:line="240" w:lineRule="auto" w:before="9"/>
        <w:rPr>
          <w:rFonts w:ascii="宋体" w:hAnsi="宋体" w:cs="宋体" w:eastAsia="宋体" w:hint="default"/>
          <w:sz w:val="21"/>
          <w:szCs w:val="21"/>
        </w:rPr>
      </w:pPr>
    </w:p>
    <w:p>
      <w:pPr>
        <w:pStyle w:val="Heading4"/>
        <w:spacing w:line="240" w:lineRule="auto"/>
        <w:ind w:right="0"/>
        <w:jc w:val="left"/>
        <w:rPr>
          <w:b w:val="0"/>
          <w:bCs w:val="0"/>
        </w:rPr>
      </w:pPr>
      <w:bookmarkStart w:name="（3）关联租赁情况" w:id="485"/>
      <w:bookmarkEnd w:id="485"/>
      <w:r>
        <w:rPr>
          <w:b w:val="0"/>
          <w:bCs w:val="0"/>
        </w:rPr>
      </w:r>
      <w:r>
        <w:rPr/>
        <w:t>（</w:t>
      </w:r>
      <w:r>
        <w:rPr>
          <w:rFonts w:ascii="Times New Roman" w:hAnsi="Times New Roman" w:cs="Times New Roman" w:eastAsia="Times New Roman" w:hint="default"/>
        </w:rPr>
        <w:t>3</w:t>
      </w:r>
      <w:r>
        <w:rPr/>
        <w:t>）关联租赁情况</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right="0"/>
        <w:jc w:val="left"/>
      </w:pPr>
      <w:r>
        <w:rPr>
          <w:spacing w:val="-3"/>
        </w:rPr>
        <w:t>本公司作为出租方：</w:t>
      </w:r>
    </w:p>
    <w:p>
      <w:pPr>
        <w:pStyle w:val="BodyText"/>
        <w:spacing w:line="240" w:lineRule="auto" w:before="115"/>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391"/>
        <w:gridCol w:w="2391"/>
        <w:gridCol w:w="2396"/>
        <w:gridCol w:w="2391"/>
      </w:tblGrid>
      <w:tr>
        <w:trPr>
          <w:trHeight w:val="404"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744" w:right="0"/>
              <w:jc w:val="left"/>
              <w:rPr>
                <w:rFonts w:ascii="宋体" w:hAnsi="宋体" w:cs="宋体" w:eastAsia="宋体" w:hint="default"/>
                <w:sz w:val="18"/>
                <w:szCs w:val="18"/>
              </w:rPr>
            </w:pPr>
            <w:r>
              <w:rPr>
                <w:rFonts w:ascii="宋体" w:hAnsi="宋体" w:cs="宋体" w:eastAsia="宋体" w:hint="default"/>
                <w:sz w:val="18"/>
                <w:szCs w:val="18"/>
              </w:rPr>
              <w:t>承租方名称</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647" w:right="0"/>
              <w:jc w:val="left"/>
              <w:rPr>
                <w:rFonts w:ascii="宋体" w:hAnsi="宋体" w:cs="宋体" w:eastAsia="宋体" w:hint="default"/>
                <w:sz w:val="18"/>
                <w:szCs w:val="18"/>
              </w:rPr>
            </w:pPr>
            <w:r>
              <w:rPr>
                <w:rFonts w:ascii="宋体" w:hAnsi="宋体" w:cs="宋体" w:eastAsia="宋体" w:hint="default"/>
                <w:sz w:val="18"/>
                <w:szCs w:val="18"/>
              </w:rPr>
              <w:t>租赁资产种类</w:t>
            </w: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383" w:right="0"/>
              <w:jc w:val="left"/>
              <w:rPr>
                <w:rFonts w:ascii="宋体" w:hAnsi="宋体" w:cs="宋体" w:eastAsia="宋体" w:hint="default"/>
                <w:sz w:val="18"/>
                <w:szCs w:val="18"/>
              </w:rPr>
            </w:pPr>
            <w:r>
              <w:rPr>
                <w:rFonts w:ascii="宋体" w:hAnsi="宋体" w:cs="宋体" w:eastAsia="宋体" w:hint="default"/>
                <w:spacing w:val="-3"/>
                <w:sz w:val="18"/>
                <w:szCs w:val="18"/>
              </w:rPr>
              <w:t>本期确认的租赁收入</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384" w:right="0"/>
              <w:jc w:val="left"/>
              <w:rPr>
                <w:rFonts w:ascii="宋体" w:hAnsi="宋体" w:cs="宋体" w:eastAsia="宋体" w:hint="default"/>
                <w:sz w:val="18"/>
                <w:szCs w:val="18"/>
              </w:rPr>
            </w:pPr>
            <w:r>
              <w:rPr>
                <w:rFonts w:ascii="宋体" w:hAnsi="宋体" w:cs="宋体" w:eastAsia="宋体" w:hint="default"/>
                <w:spacing w:val="-3"/>
                <w:sz w:val="18"/>
                <w:szCs w:val="18"/>
              </w:rPr>
              <w:t>上期确认的租赁收入</w:t>
            </w:r>
          </w:p>
        </w:tc>
      </w:tr>
      <w:tr>
        <w:trPr>
          <w:trHeight w:val="715"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105" w:right="109"/>
              <w:jc w:val="left"/>
              <w:rPr>
                <w:rFonts w:ascii="宋体" w:hAnsi="宋体" w:cs="宋体" w:eastAsia="宋体" w:hint="default"/>
                <w:sz w:val="18"/>
                <w:szCs w:val="18"/>
              </w:rPr>
            </w:pPr>
            <w:r>
              <w:rPr>
                <w:rFonts w:ascii="宋体" w:hAnsi="宋体" w:cs="宋体" w:eastAsia="宋体" w:hint="default"/>
                <w:spacing w:val="-3"/>
                <w:sz w:val="18"/>
                <w:szCs w:val="18"/>
              </w:rPr>
              <w:t>深圳市如茵生态环境建设有</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限公司</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办公场地</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473" w:right="0"/>
              <w:jc w:val="left"/>
              <w:rPr>
                <w:rFonts w:ascii="Times New Roman" w:hAnsi="Times New Roman" w:cs="Times New Roman" w:eastAsia="Times New Roman" w:hint="default"/>
                <w:sz w:val="18"/>
                <w:szCs w:val="18"/>
              </w:rPr>
            </w:pPr>
            <w:r>
              <w:rPr>
                <w:rFonts w:ascii="Times New Roman"/>
                <w:sz w:val="18"/>
              </w:rPr>
              <w:t>191,883.80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339" w:right="0"/>
              <w:jc w:val="left"/>
              <w:rPr>
                <w:rFonts w:ascii="Times New Roman" w:hAnsi="Times New Roman" w:cs="Times New Roman" w:eastAsia="Times New Roman" w:hint="default"/>
                <w:sz w:val="18"/>
                <w:szCs w:val="18"/>
              </w:rPr>
            </w:pPr>
            <w:r>
              <w:rPr>
                <w:rFonts w:ascii="Times New Roman"/>
                <w:sz w:val="18"/>
              </w:rPr>
              <w:t>1,151,302.08</w:t>
            </w:r>
          </w:p>
        </w:tc>
      </w:tr>
    </w:tbl>
    <w:p>
      <w:pPr>
        <w:pStyle w:val="BodyText"/>
        <w:spacing w:line="240" w:lineRule="auto" w:before="53"/>
        <w:ind w:right="0"/>
        <w:jc w:val="left"/>
      </w:pPr>
      <w:r>
        <w:rPr>
          <w:spacing w:val="-3"/>
        </w:rPr>
        <w:t>本公司作为承租方：</w:t>
      </w:r>
    </w:p>
    <w:p>
      <w:pPr>
        <w:pStyle w:val="BodyText"/>
        <w:spacing w:line="240" w:lineRule="auto" w:before="119"/>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391"/>
        <w:gridCol w:w="2396"/>
        <w:gridCol w:w="2391"/>
        <w:gridCol w:w="2391"/>
      </w:tblGrid>
      <w:tr>
        <w:trPr>
          <w:trHeight w:val="404"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744" w:right="0"/>
              <w:jc w:val="left"/>
              <w:rPr>
                <w:rFonts w:ascii="宋体" w:hAnsi="宋体" w:cs="宋体" w:eastAsia="宋体" w:hint="default"/>
                <w:sz w:val="18"/>
                <w:szCs w:val="18"/>
              </w:rPr>
            </w:pPr>
            <w:r>
              <w:rPr>
                <w:rFonts w:ascii="宋体" w:hAnsi="宋体" w:cs="宋体" w:eastAsia="宋体" w:hint="default"/>
                <w:sz w:val="18"/>
                <w:szCs w:val="18"/>
              </w:rPr>
              <w:t>出租方名称</w:t>
            </w: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652" w:right="0"/>
              <w:jc w:val="left"/>
              <w:rPr>
                <w:rFonts w:ascii="宋体" w:hAnsi="宋体" w:cs="宋体" w:eastAsia="宋体" w:hint="default"/>
                <w:sz w:val="18"/>
                <w:szCs w:val="18"/>
              </w:rPr>
            </w:pPr>
            <w:r>
              <w:rPr>
                <w:rFonts w:ascii="宋体" w:hAnsi="宋体" w:cs="宋体" w:eastAsia="宋体" w:hint="default"/>
                <w:sz w:val="18"/>
                <w:szCs w:val="18"/>
              </w:rPr>
              <w:t>租赁资产种类</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65" w:right="0"/>
              <w:jc w:val="left"/>
              <w:rPr>
                <w:rFonts w:ascii="宋体" w:hAnsi="宋体" w:cs="宋体" w:eastAsia="宋体" w:hint="default"/>
                <w:sz w:val="18"/>
                <w:szCs w:val="18"/>
              </w:rPr>
            </w:pPr>
            <w:r>
              <w:rPr>
                <w:rFonts w:ascii="宋体" w:hAnsi="宋体" w:cs="宋体" w:eastAsia="宋体" w:hint="default"/>
                <w:sz w:val="18"/>
                <w:szCs w:val="18"/>
              </w:rPr>
              <w:t>本期确认的租赁费</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70" w:right="0"/>
              <w:jc w:val="left"/>
              <w:rPr>
                <w:rFonts w:ascii="宋体" w:hAnsi="宋体" w:cs="宋体" w:eastAsia="宋体" w:hint="default"/>
                <w:sz w:val="18"/>
                <w:szCs w:val="18"/>
              </w:rPr>
            </w:pPr>
            <w:r>
              <w:rPr>
                <w:rFonts w:ascii="宋体" w:hAnsi="宋体" w:cs="宋体" w:eastAsia="宋体" w:hint="default"/>
                <w:sz w:val="18"/>
                <w:szCs w:val="18"/>
              </w:rPr>
              <w:t>上期确认的租赁费</w:t>
            </w:r>
          </w:p>
        </w:tc>
      </w:tr>
      <w:tr>
        <w:trPr>
          <w:trHeight w:val="398"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周维君</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办公场地</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464" w:right="0"/>
              <w:jc w:val="left"/>
              <w:rPr>
                <w:rFonts w:ascii="Times New Roman" w:hAnsi="Times New Roman" w:cs="Times New Roman" w:eastAsia="Times New Roman" w:hint="default"/>
                <w:sz w:val="18"/>
                <w:szCs w:val="18"/>
              </w:rPr>
            </w:pPr>
            <w:r>
              <w:rPr>
                <w:rFonts w:ascii="Times New Roman"/>
                <w:sz w:val="18"/>
              </w:rPr>
              <w:t>743,172.00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469" w:right="0"/>
              <w:jc w:val="left"/>
              <w:rPr>
                <w:rFonts w:ascii="Times New Roman" w:hAnsi="Times New Roman" w:cs="Times New Roman" w:eastAsia="Times New Roman" w:hint="default"/>
                <w:sz w:val="18"/>
                <w:szCs w:val="18"/>
              </w:rPr>
            </w:pPr>
            <w:r>
              <w:rPr>
                <w:rFonts w:ascii="Times New Roman"/>
                <w:sz w:val="18"/>
              </w:rPr>
              <w:t>823,724.00</w:t>
            </w:r>
          </w:p>
        </w:tc>
      </w:tr>
    </w:tbl>
    <w:p>
      <w:pPr>
        <w:pStyle w:val="BodyText"/>
        <w:spacing w:line="240" w:lineRule="auto" w:before="53"/>
        <w:ind w:right="0"/>
        <w:jc w:val="left"/>
      </w:pPr>
      <w:r>
        <w:rPr/>
        <w:t>关联租赁情况说明</w:t>
      </w:r>
    </w:p>
    <w:p>
      <w:pPr>
        <w:pStyle w:val="BodyText"/>
        <w:spacing w:line="319" w:lineRule="auto" w:before="115"/>
        <w:ind w:right="1126" w:firstLine="480"/>
        <w:jc w:val="both"/>
      </w:pPr>
      <w:r>
        <w:rPr>
          <w:rFonts w:ascii="宋体" w:hAnsi="宋体" w:cs="宋体" w:eastAsia="宋体" w:hint="default"/>
          <w:spacing w:val="-1"/>
        </w:rPr>
        <w:t>2017</w:t>
      </w:r>
      <w:r>
        <w:rPr>
          <w:spacing w:val="-1"/>
        </w:rPr>
        <w:t>年</w:t>
      </w:r>
      <w:r>
        <w:rPr>
          <w:rFonts w:ascii="宋体" w:hAnsi="宋体" w:cs="宋体" w:eastAsia="宋体" w:hint="default"/>
          <w:spacing w:val="-1"/>
        </w:rPr>
        <w:t>7</w:t>
      </w:r>
      <w:r>
        <w:rPr>
          <w:spacing w:val="-1"/>
        </w:rPr>
        <w:t>月</w:t>
      </w:r>
      <w:r>
        <w:rPr>
          <w:rFonts w:ascii="宋体" w:hAnsi="宋体" w:cs="宋体" w:eastAsia="宋体" w:hint="default"/>
          <w:spacing w:val="-1"/>
        </w:rPr>
        <w:t>11</w:t>
      </w:r>
      <w:r>
        <w:rPr>
          <w:spacing w:val="-1"/>
        </w:rPr>
        <w:t>日，奥拓电子作为出租人，与深圳市如茵生态环境建设有限公司签订《房屋租赁合同》，将本公司位于</w:t>
      </w:r>
      <w:r>
        <w:rPr>
          <w:w w:val="101"/>
        </w:rPr>
        <w:t> </w:t>
      </w:r>
      <w:r>
        <w:rPr>
          <w:spacing w:val="-4"/>
        </w:rPr>
        <w:t>深圳市南山区南山街道工业村</w:t>
      </w:r>
      <w:r>
        <w:rPr>
          <w:rFonts w:ascii="宋体" w:hAnsi="宋体" w:cs="宋体" w:eastAsia="宋体" w:hint="default"/>
          <w:spacing w:val="-4"/>
        </w:rPr>
        <w:t>T2</w:t>
      </w:r>
      <w:r>
        <w:rPr>
          <w:spacing w:val="-4"/>
        </w:rPr>
        <w:t>栋厂房</w:t>
      </w:r>
      <w:r>
        <w:rPr>
          <w:rFonts w:ascii="宋体" w:hAnsi="宋体" w:cs="宋体" w:eastAsia="宋体" w:hint="default"/>
          <w:spacing w:val="-4"/>
        </w:rPr>
        <w:t>T2A6-B</w:t>
      </w:r>
      <w:r>
        <w:rPr>
          <w:spacing w:val="-4"/>
        </w:rPr>
        <w:t>房屋出租给对方使用。月租金</w:t>
      </w:r>
      <w:r>
        <w:rPr>
          <w:rFonts w:ascii="宋体" w:hAnsi="宋体" w:cs="宋体" w:eastAsia="宋体" w:hint="default"/>
          <w:spacing w:val="-4"/>
        </w:rPr>
        <w:t>100,739.00</w:t>
      </w:r>
      <w:r>
        <w:rPr>
          <w:spacing w:val="-4"/>
        </w:rPr>
        <w:t>元</w:t>
      </w:r>
      <w:r>
        <w:rPr>
          <w:rFonts w:ascii="宋体" w:hAnsi="宋体" w:cs="宋体" w:eastAsia="宋体" w:hint="default"/>
          <w:spacing w:val="-4"/>
        </w:rPr>
        <w:t>/</w:t>
      </w:r>
      <w:r>
        <w:rPr>
          <w:spacing w:val="-4"/>
        </w:rPr>
        <w:t>月（含税价），</w:t>
      </w:r>
      <w:r>
        <w:rPr>
          <w:rFonts w:ascii="宋体" w:hAnsi="宋体" w:cs="宋体" w:eastAsia="宋体" w:hint="default"/>
          <w:spacing w:val="-4"/>
        </w:rPr>
        <w:t>2017</w:t>
      </w:r>
      <w:r>
        <w:rPr>
          <w:spacing w:val="-4"/>
        </w:rPr>
        <w:t>年</w:t>
      </w:r>
      <w:r>
        <w:rPr>
          <w:rFonts w:ascii="宋体" w:hAnsi="宋体" w:cs="宋体" w:eastAsia="宋体" w:hint="default"/>
          <w:spacing w:val="-4"/>
        </w:rPr>
        <w:t>9</w:t>
      </w:r>
      <w:r>
        <w:rPr>
          <w:spacing w:val="-4"/>
        </w:rPr>
        <w:t>月开始计</w:t>
      </w:r>
      <w:r>
        <w:rPr>
          <w:spacing w:val="80"/>
        </w:rPr>
        <w:t> </w:t>
      </w:r>
      <w:r>
        <w:rPr>
          <w:spacing w:val="80"/>
        </w:rPr>
      </w:r>
      <w:r>
        <w:rPr/>
        <w:t>算租金，合同于</w:t>
      </w:r>
      <w:r>
        <w:rPr>
          <w:rFonts w:ascii="宋体" w:hAnsi="宋体" w:cs="宋体" w:eastAsia="宋体" w:hint="default"/>
        </w:rPr>
        <w:t>2020</w:t>
      </w:r>
      <w:r>
        <w:rPr/>
        <w:t>年</w:t>
      </w:r>
      <w:r>
        <w:rPr>
          <w:rFonts w:ascii="宋体" w:hAnsi="宋体" w:cs="宋体" w:eastAsia="宋体" w:hint="default"/>
        </w:rPr>
        <w:t>7</w:t>
      </w:r>
      <w:r>
        <w:rPr/>
        <w:t>月</w:t>
      </w:r>
      <w:r>
        <w:rPr>
          <w:rFonts w:ascii="宋体" w:hAnsi="宋体" w:cs="宋体" w:eastAsia="宋体" w:hint="default"/>
        </w:rPr>
        <w:t>10</w:t>
      </w:r>
      <w:r>
        <w:rPr/>
        <w:t>日到期。</w:t>
      </w:r>
    </w:p>
    <w:p>
      <w:pPr>
        <w:pStyle w:val="BodyText"/>
        <w:spacing w:line="240" w:lineRule="auto" w:before="17"/>
        <w:ind w:left="633" w:right="0"/>
        <w:jc w:val="left"/>
      </w:pPr>
      <w:r>
        <w:rPr>
          <w:rFonts w:ascii="宋体" w:hAnsi="宋体" w:cs="宋体" w:eastAsia="宋体" w:hint="default"/>
        </w:rPr>
        <w:t>2019</w:t>
      </w:r>
      <w:r>
        <w:rPr/>
        <w:t>年</w:t>
      </w:r>
      <w:r>
        <w:rPr>
          <w:rFonts w:ascii="宋体" w:hAnsi="宋体" w:cs="宋体" w:eastAsia="宋体" w:hint="default"/>
        </w:rPr>
        <w:t>2</w:t>
      </w:r>
      <w:r>
        <w:rPr/>
        <w:t>月</w:t>
      </w:r>
      <w:r>
        <w:rPr>
          <w:rFonts w:ascii="宋体" w:hAnsi="宋体" w:cs="宋体" w:eastAsia="宋体" w:hint="default"/>
        </w:rPr>
        <w:t>18</w:t>
      </w:r>
      <w:r>
        <w:rPr/>
        <w:t>日，双方签订《房租合同终止确认书》，同意该合同于</w:t>
      </w:r>
      <w:r>
        <w:rPr>
          <w:rFonts w:ascii="宋体" w:hAnsi="宋体" w:cs="宋体" w:eastAsia="宋体" w:hint="default"/>
        </w:rPr>
        <w:t>2019</w:t>
      </w:r>
      <w:r>
        <w:rPr/>
        <w:t>年</w:t>
      </w:r>
      <w:r>
        <w:rPr>
          <w:rFonts w:ascii="宋体" w:hAnsi="宋体" w:cs="宋体" w:eastAsia="宋体" w:hint="default"/>
        </w:rPr>
        <w:t>2</w:t>
      </w:r>
      <w:r>
        <w:rPr/>
        <w:t>月</w:t>
      </w:r>
      <w:r>
        <w:rPr>
          <w:rFonts w:ascii="宋体" w:hAnsi="宋体" w:cs="宋体" w:eastAsia="宋体" w:hint="default"/>
        </w:rPr>
        <w:t>28</w:t>
      </w:r>
      <w:r>
        <w:rPr/>
        <w:t>日予以解除。</w:t>
      </w:r>
    </w:p>
    <w:p>
      <w:pPr>
        <w:pStyle w:val="BodyText"/>
        <w:spacing w:line="240" w:lineRule="auto" w:before="76"/>
        <w:ind w:left="633" w:right="0"/>
        <w:jc w:val="left"/>
      </w:pPr>
      <w:r>
        <w:rPr>
          <w:rFonts w:ascii="宋体" w:hAnsi="宋体" w:cs="宋体" w:eastAsia="宋体" w:hint="default"/>
        </w:rPr>
        <w:t>2019</w:t>
      </w:r>
      <w:r>
        <w:rPr/>
        <w:t>年</w:t>
      </w:r>
      <w:r>
        <w:rPr>
          <w:rFonts w:ascii="宋体" w:hAnsi="宋体" w:cs="宋体" w:eastAsia="宋体" w:hint="default"/>
        </w:rPr>
        <w:t>1-12</w:t>
      </w:r>
      <w:r>
        <w:rPr/>
        <w:t>月本公司之子公司千百辉作为承租人，承租股东周维君位于皇都广场</w:t>
      </w:r>
      <w:r>
        <w:rPr>
          <w:rFonts w:ascii="宋体" w:hAnsi="宋体" w:cs="宋体" w:eastAsia="宋体" w:hint="default"/>
        </w:rPr>
        <w:t>3</w:t>
      </w:r>
      <w:r>
        <w:rPr/>
        <w:t>号楼的</w:t>
      </w:r>
      <w:r>
        <w:rPr>
          <w:rFonts w:ascii="宋体" w:hAnsi="宋体" w:cs="宋体" w:eastAsia="宋体" w:hint="default"/>
        </w:rPr>
        <w:t>1901</w:t>
      </w:r>
      <w:r>
        <w:rPr/>
        <w:t>室、</w:t>
      </w:r>
      <w:r>
        <w:rPr>
          <w:rFonts w:ascii="宋体" w:hAnsi="宋体" w:cs="宋体" w:eastAsia="宋体" w:hint="default"/>
        </w:rPr>
        <w:t>1902</w:t>
      </w:r>
      <w:r>
        <w:rPr/>
        <w:t>室、</w:t>
      </w:r>
      <w:r>
        <w:rPr>
          <w:rFonts w:ascii="宋体" w:hAnsi="宋体" w:cs="宋体" w:eastAsia="宋体" w:hint="default"/>
        </w:rPr>
        <w:t>1903</w:t>
      </w:r>
      <w:r>
        <w:rPr/>
        <w:t>室、</w:t>
      </w:r>
    </w:p>
    <w:p>
      <w:pPr>
        <w:pStyle w:val="BodyText"/>
        <w:spacing w:line="240" w:lineRule="auto" w:before="76"/>
        <w:ind w:right="0"/>
        <w:jc w:val="left"/>
      </w:pPr>
      <w:r>
        <w:rPr>
          <w:rFonts w:ascii="宋体" w:hAnsi="宋体" w:cs="宋体" w:eastAsia="宋体" w:hint="default"/>
        </w:rPr>
        <w:t>1904</w:t>
      </w:r>
      <w:r>
        <w:rPr/>
        <w:t>室、</w:t>
      </w:r>
      <w:r>
        <w:rPr>
          <w:rFonts w:ascii="宋体" w:hAnsi="宋体" w:cs="宋体" w:eastAsia="宋体" w:hint="default"/>
        </w:rPr>
        <w:t>1905</w:t>
      </w:r>
      <w:r>
        <w:rPr/>
        <w:t>室、</w:t>
      </w:r>
      <w:r>
        <w:rPr>
          <w:rFonts w:ascii="宋体" w:hAnsi="宋体" w:cs="宋体" w:eastAsia="宋体" w:hint="default"/>
        </w:rPr>
        <w:t>1906</w:t>
      </w:r>
      <w:r>
        <w:rPr/>
        <w:t>室、</w:t>
      </w:r>
      <w:r>
        <w:rPr>
          <w:rFonts w:ascii="宋体" w:hAnsi="宋体" w:cs="宋体" w:eastAsia="宋体" w:hint="default"/>
        </w:rPr>
        <w:t>1907</w:t>
      </w:r>
      <w:r>
        <w:rPr/>
        <w:t>室、</w:t>
      </w:r>
      <w:r>
        <w:rPr>
          <w:rFonts w:ascii="宋体" w:hAnsi="宋体" w:cs="宋体" w:eastAsia="宋体" w:hint="default"/>
        </w:rPr>
        <w:t>1908</w:t>
      </w:r>
      <w:r>
        <w:rPr/>
        <w:t>室、</w:t>
      </w:r>
      <w:r>
        <w:rPr>
          <w:rFonts w:ascii="宋体" w:hAnsi="宋体" w:cs="宋体" w:eastAsia="宋体" w:hint="default"/>
        </w:rPr>
        <w:t>1915</w:t>
      </w:r>
      <w:r>
        <w:rPr/>
        <w:t>室、</w:t>
      </w:r>
      <w:r>
        <w:rPr>
          <w:rFonts w:ascii="宋体" w:hAnsi="宋体" w:cs="宋体" w:eastAsia="宋体" w:hint="default"/>
        </w:rPr>
        <w:t>1916</w:t>
      </w:r>
      <w:r>
        <w:rPr/>
        <w:t>室作为办公场地，月租金</w:t>
      </w:r>
      <w:r>
        <w:rPr>
          <w:rFonts w:ascii="宋体" w:hAnsi="宋体" w:cs="宋体" w:eastAsia="宋体" w:hint="default"/>
        </w:rPr>
        <w:t>61,931.00</w:t>
      </w:r>
      <w:r>
        <w:rPr/>
        <w:t>元。</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4"/>
          <w:szCs w:val="14"/>
        </w:rPr>
      </w:pPr>
    </w:p>
    <w:p>
      <w:pPr>
        <w:pStyle w:val="Heading4"/>
        <w:spacing w:line="240" w:lineRule="auto"/>
        <w:ind w:right="0"/>
        <w:jc w:val="left"/>
        <w:rPr>
          <w:b w:val="0"/>
          <w:bCs w:val="0"/>
        </w:rPr>
      </w:pPr>
      <w:bookmarkStart w:name="（4）关联担保情况" w:id="486"/>
      <w:bookmarkEnd w:id="486"/>
      <w:r>
        <w:rPr>
          <w:b w:val="0"/>
          <w:bCs w:val="0"/>
        </w:rPr>
      </w:r>
      <w:r>
        <w:rPr/>
        <w:t>（</w:t>
      </w:r>
      <w:r>
        <w:rPr>
          <w:rFonts w:ascii="Times New Roman" w:hAnsi="Times New Roman" w:cs="Times New Roman" w:eastAsia="Times New Roman" w:hint="default"/>
        </w:rPr>
        <w:t>4</w:t>
      </w:r>
      <w:r>
        <w:rPr/>
        <w:t>）关联担保情况</w:t>
      </w:r>
      <w:r>
        <w:rPr>
          <w:b w:val="0"/>
          <w:bCs w:val="0"/>
        </w:rPr>
      </w:r>
    </w:p>
    <w:p>
      <w:pPr>
        <w:spacing w:line="240" w:lineRule="auto" w:before="4"/>
        <w:rPr>
          <w:rFonts w:ascii="宋体" w:hAnsi="宋体" w:cs="宋体" w:eastAsia="宋体" w:hint="default"/>
          <w:b/>
          <w:bCs/>
          <w:sz w:val="26"/>
          <w:szCs w:val="26"/>
        </w:rPr>
      </w:pPr>
    </w:p>
    <w:p>
      <w:pPr>
        <w:pStyle w:val="BodyText"/>
        <w:spacing w:line="316" w:lineRule="auto" w:before="0"/>
        <w:ind w:right="9020"/>
        <w:jc w:val="left"/>
      </w:pPr>
      <w:r>
        <w:rPr>
          <w:spacing w:val="-2"/>
        </w:rPr>
        <w:t>本公司作为担保方</w:t>
      </w:r>
      <w:r>
        <w:rPr>
          <w:spacing w:val="-70"/>
        </w:rPr>
        <w:t> </w:t>
      </w:r>
      <w:r>
        <w:rPr>
          <w:spacing w:val="-70"/>
        </w:rPr>
      </w:r>
      <w:r>
        <w:rPr/>
        <w:t>单位：</w:t>
      </w:r>
      <w:r>
        <w:rPr>
          <w:spacing w:val="5"/>
        </w:rPr>
        <w:t> </w:t>
      </w:r>
      <w:r>
        <w:rPr/>
        <w:t>元</w:t>
      </w:r>
    </w:p>
    <w:tbl>
      <w:tblPr>
        <w:tblW w:w="0" w:type="auto"/>
        <w:jc w:val="left"/>
        <w:tblInd w:w="148" w:type="dxa"/>
        <w:tblLayout w:type="fixed"/>
        <w:tblCellMar>
          <w:top w:w="0" w:type="dxa"/>
          <w:left w:w="0" w:type="dxa"/>
          <w:bottom w:w="0" w:type="dxa"/>
          <w:right w:w="0" w:type="dxa"/>
        </w:tblCellMar>
        <w:tblLook w:val="01E0"/>
      </w:tblPr>
      <w:tblGrid>
        <w:gridCol w:w="1916"/>
        <w:gridCol w:w="1916"/>
        <w:gridCol w:w="1911"/>
        <w:gridCol w:w="1916"/>
        <w:gridCol w:w="1916"/>
      </w:tblGrid>
      <w:tr>
        <w:trPr>
          <w:trHeight w:val="322"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被担保方</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担保金额</w:t>
            </w:r>
          </w:p>
        </w:tc>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担保起始日</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担保到期日</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担保是否已经履行完毕</w:t>
            </w:r>
          </w:p>
        </w:tc>
      </w:tr>
      <w:tr>
        <w:trPr>
          <w:trHeight w:val="326"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sz w:val="18"/>
                <w:szCs w:val="18"/>
              </w:rPr>
              <w:t>惠州奥拓（注</w:t>
            </w:r>
            <w:r>
              <w:rPr>
                <w:rFonts w:ascii="宋体" w:hAnsi="宋体" w:cs="宋体" w:eastAsia="宋体" w:hint="default"/>
                <w:sz w:val="18"/>
                <w:szCs w:val="18"/>
              </w:rPr>
              <w:t>1</w:t>
            </w:r>
            <w:r>
              <w:rPr>
                <w:rFonts w:ascii="宋体" w:hAnsi="宋体" w:cs="宋体" w:eastAsia="宋体" w:hint="default"/>
                <w:sz w:val="18"/>
                <w:szCs w:val="18"/>
              </w:rPr>
              <w:t>）</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3" w:right="0"/>
              <w:jc w:val="left"/>
              <w:rPr>
                <w:rFonts w:ascii="宋体" w:hAnsi="宋体" w:cs="宋体" w:eastAsia="宋体" w:hint="default"/>
                <w:sz w:val="18"/>
                <w:szCs w:val="18"/>
              </w:rPr>
            </w:pPr>
            <w:r>
              <w:rPr>
                <w:rFonts w:ascii="宋体"/>
                <w:sz w:val="18"/>
              </w:rPr>
              <w:t>20,000,000.00</w:t>
            </w:r>
          </w:p>
        </w:tc>
        <w:tc>
          <w:tcPr>
            <w:tcW w:w="382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3" w:right="0"/>
              <w:jc w:val="left"/>
              <w:rPr>
                <w:rFonts w:ascii="宋体" w:hAnsi="宋体" w:cs="宋体" w:eastAsia="宋体" w:hint="default"/>
                <w:sz w:val="18"/>
                <w:szCs w:val="18"/>
              </w:rPr>
            </w:pPr>
            <w:r>
              <w:rPr>
                <w:rFonts w:ascii="宋体" w:hAnsi="宋体" w:cs="宋体" w:eastAsia="宋体" w:hint="default"/>
                <w:spacing w:val="-3"/>
                <w:sz w:val="18"/>
                <w:szCs w:val="18"/>
              </w:rPr>
              <w:t>保证期间为主债务履行期间届满之日起两年</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322"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千百辉（注</w:t>
            </w:r>
            <w:r>
              <w:rPr>
                <w:rFonts w:ascii="宋体" w:hAnsi="宋体" w:cs="宋体" w:eastAsia="宋体" w:hint="default"/>
                <w:sz w:val="18"/>
                <w:szCs w:val="18"/>
              </w:rPr>
              <w:t>2</w:t>
            </w:r>
            <w:r>
              <w:rPr>
                <w:rFonts w:ascii="宋体" w:hAnsi="宋体" w:cs="宋体" w:eastAsia="宋体" w:hint="default"/>
                <w:sz w:val="18"/>
                <w:szCs w:val="18"/>
              </w:rPr>
              <w:t>）</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sz w:val="18"/>
              </w:rPr>
              <w:t>140,000,000.00</w:t>
            </w:r>
          </w:p>
        </w:tc>
        <w:tc>
          <w:tcPr>
            <w:tcW w:w="382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3"/>
                <w:sz w:val="18"/>
                <w:szCs w:val="18"/>
              </w:rPr>
              <w:t>保证期间为主债务履行期间届满之日起两年</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bl>
    <w:p>
      <w:pPr>
        <w:spacing w:after="0" w:line="240" w:lineRule="auto"/>
        <w:jc w:val="left"/>
        <w:rPr>
          <w:rFonts w:ascii="宋体" w:hAnsi="宋体" w:cs="宋体" w:eastAsia="宋体" w:hint="default"/>
          <w:sz w:val="18"/>
          <w:szCs w:val="18"/>
        </w:rPr>
        <w:sectPr>
          <w:type w:val="continuous"/>
          <w:pgSz w:w="11910" w:h="16840"/>
          <w:pgMar w:top="1100" w:bottom="1220" w:left="980" w:right="0"/>
        </w:sectPr>
      </w:pPr>
    </w:p>
    <w:p>
      <w:pPr>
        <w:spacing w:line="240" w:lineRule="auto" w:before="7"/>
        <w:rPr>
          <w:rFonts w:ascii="宋体" w:hAnsi="宋体" w:cs="宋体" w:eastAsia="宋体" w:hint="default"/>
          <w:sz w:val="25"/>
          <w:szCs w:val="25"/>
        </w:rPr>
      </w:pPr>
    </w:p>
    <w:tbl>
      <w:tblPr>
        <w:tblW w:w="0" w:type="auto"/>
        <w:jc w:val="left"/>
        <w:tblInd w:w="148" w:type="dxa"/>
        <w:tblLayout w:type="fixed"/>
        <w:tblCellMar>
          <w:top w:w="0" w:type="dxa"/>
          <w:left w:w="0" w:type="dxa"/>
          <w:bottom w:w="0" w:type="dxa"/>
          <w:right w:w="0" w:type="dxa"/>
        </w:tblCellMar>
        <w:tblLook w:val="01E0"/>
      </w:tblPr>
      <w:tblGrid>
        <w:gridCol w:w="1916"/>
        <w:gridCol w:w="1916"/>
        <w:gridCol w:w="3827"/>
        <w:gridCol w:w="1916"/>
      </w:tblGrid>
      <w:tr>
        <w:trPr>
          <w:trHeight w:val="634"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惠州奥拓（注</w:t>
            </w:r>
            <w:r>
              <w:rPr>
                <w:rFonts w:ascii="宋体" w:hAnsi="宋体" w:cs="宋体" w:eastAsia="宋体" w:hint="default"/>
                <w:sz w:val="18"/>
                <w:szCs w:val="18"/>
              </w:rPr>
              <w:t>3</w:t>
            </w:r>
            <w:r>
              <w:rPr>
                <w:rFonts w:ascii="宋体" w:hAnsi="宋体" w:cs="宋体" w:eastAsia="宋体" w:hint="default"/>
                <w:sz w:val="18"/>
                <w:szCs w:val="18"/>
              </w:rPr>
              <w:t>）</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3" w:right="0"/>
              <w:jc w:val="left"/>
              <w:rPr>
                <w:rFonts w:ascii="宋体" w:hAnsi="宋体" w:cs="宋体" w:eastAsia="宋体" w:hint="default"/>
                <w:sz w:val="18"/>
                <w:szCs w:val="18"/>
              </w:rPr>
            </w:pPr>
            <w:r>
              <w:rPr>
                <w:rFonts w:ascii="宋体"/>
                <w:sz w:val="18"/>
              </w:rPr>
              <w:t>15,000,000.00</w:t>
            </w:r>
          </w:p>
        </w:tc>
        <w:tc>
          <w:tcPr>
            <w:tcW w:w="382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3" w:right="186"/>
              <w:jc w:val="left"/>
              <w:rPr>
                <w:rFonts w:ascii="宋体" w:hAnsi="宋体" w:cs="宋体" w:eastAsia="宋体" w:hint="default"/>
                <w:sz w:val="18"/>
                <w:szCs w:val="18"/>
              </w:rPr>
            </w:pPr>
            <w:r>
              <w:rPr>
                <w:rFonts w:ascii="宋体" w:hAnsi="宋体" w:cs="宋体" w:eastAsia="宋体" w:hint="default"/>
                <w:spacing w:val="-3"/>
                <w:sz w:val="18"/>
                <w:szCs w:val="18"/>
              </w:rPr>
              <w:t>保证期间为主合同项下债务人债务履行期届满</w:t>
            </w:r>
            <w:r>
              <w:rPr>
                <w:rFonts w:ascii="宋体" w:hAnsi="宋体" w:cs="宋体" w:eastAsia="宋体" w:hint="default"/>
                <w:spacing w:val="-27"/>
                <w:sz w:val="18"/>
                <w:szCs w:val="18"/>
              </w:rPr>
              <w:t> </w:t>
            </w:r>
            <w:r>
              <w:rPr>
                <w:rFonts w:ascii="宋体" w:hAnsi="宋体" w:cs="宋体" w:eastAsia="宋体" w:hint="default"/>
                <w:spacing w:val="-27"/>
                <w:sz w:val="18"/>
                <w:szCs w:val="18"/>
              </w:rPr>
            </w:r>
            <w:r>
              <w:rPr>
                <w:rFonts w:ascii="宋体" w:hAnsi="宋体" w:cs="宋体" w:eastAsia="宋体" w:hint="default"/>
                <w:sz w:val="18"/>
                <w:szCs w:val="18"/>
              </w:rPr>
              <w:t>之日起三年</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634"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千百辉（注</w:t>
            </w:r>
            <w:r>
              <w:rPr>
                <w:rFonts w:ascii="宋体" w:hAnsi="宋体" w:cs="宋体" w:eastAsia="宋体" w:hint="default"/>
                <w:sz w:val="18"/>
                <w:szCs w:val="18"/>
              </w:rPr>
              <w:t>4</w:t>
            </w:r>
            <w:r>
              <w:rPr>
                <w:rFonts w:ascii="宋体" w:hAnsi="宋体" w:cs="宋体" w:eastAsia="宋体" w:hint="default"/>
                <w:sz w:val="18"/>
                <w:szCs w:val="18"/>
              </w:rPr>
              <w:t>）</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3" w:right="0"/>
              <w:jc w:val="left"/>
              <w:rPr>
                <w:rFonts w:ascii="宋体" w:hAnsi="宋体" w:cs="宋体" w:eastAsia="宋体" w:hint="default"/>
                <w:sz w:val="18"/>
                <w:szCs w:val="18"/>
              </w:rPr>
            </w:pPr>
            <w:r>
              <w:rPr>
                <w:rFonts w:ascii="宋体"/>
                <w:sz w:val="18"/>
              </w:rPr>
              <w:t>4,130,130.32</w:t>
            </w:r>
          </w:p>
        </w:tc>
        <w:tc>
          <w:tcPr>
            <w:tcW w:w="382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3" w:right="186"/>
              <w:jc w:val="left"/>
              <w:rPr>
                <w:rFonts w:ascii="宋体" w:hAnsi="宋体" w:cs="宋体" w:eastAsia="宋体" w:hint="default"/>
                <w:sz w:val="18"/>
                <w:szCs w:val="18"/>
              </w:rPr>
            </w:pPr>
            <w:r>
              <w:rPr>
                <w:rFonts w:ascii="宋体" w:hAnsi="宋体" w:cs="宋体" w:eastAsia="宋体" w:hint="default"/>
                <w:spacing w:val="-3"/>
                <w:sz w:val="18"/>
                <w:szCs w:val="18"/>
              </w:rPr>
              <w:t>保证期间自银行出具保函之日起至银行在保函</w:t>
            </w:r>
            <w:r>
              <w:rPr>
                <w:rFonts w:ascii="宋体" w:hAnsi="宋体" w:cs="宋体" w:eastAsia="宋体" w:hint="default"/>
                <w:spacing w:val="-27"/>
                <w:sz w:val="18"/>
                <w:szCs w:val="18"/>
              </w:rPr>
              <w:t> </w:t>
            </w:r>
            <w:r>
              <w:rPr>
                <w:rFonts w:ascii="宋体" w:hAnsi="宋体" w:cs="宋体" w:eastAsia="宋体" w:hint="default"/>
                <w:spacing w:val="-27"/>
                <w:sz w:val="18"/>
                <w:szCs w:val="18"/>
              </w:rPr>
            </w:r>
            <w:r>
              <w:rPr>
                <w:rFonts w:ascii="宋体" w:hAnsi="宋体" w:cs="宋体" w:eastAsia="宋体" w:hint="default"/>
                <w:spacing w:val="-3"/>
                <w:sz w:val="18"/>
                <w:szCs w:val="18"/>
              </w:rPr>
              <w:t>项下责任解除之日止</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322"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千百辉（注</w:t>
            </w:r>
            <w:r>
              <w:rPr>
                <w:rFonts w:ascii="宋体" w:hAnsi="宋体" w:cs="宋体" w:eastAsia="宋体" w:hint="default"/>
                <w:sz w:val="18"/>
                <w:szCs w:val="18"/>
              </w:rPr>
              <w:t>5</w:t>
            </w:r>
            <w:r>
              <w:rPr>
                <w:rFonts w:ascii="宋体" w:hAnsi="宋体" w:cs="宋体" w:eastAsia="宋体" w:hint="default"/>
                <w:sz w:val="18"/>
                <w:szCs w:val="18"/>
              </w:rPr>
              <w:t>）</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sz w:val="18"/>
              </w:rPr>
              <w:t>80,000,000</w:t>
            </w:r>
          </w:p>
        </w:tc>
        <w:tc>
          <w:tcPr>
            <w:tcW w:w="3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3"/>
                <w:sz w:val="18"/>
                <w:szCs w:val="18"/>
              </w:rPr>
              <w:t>保证期间为主债务履行期间届满之日起两年</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322"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千百辉（注</w:t>
            </w:r>
            <w:r>
              <w:rPr>
                <w:rFonts w:ascii="宋体" w:hAnsi="宋体" w:cs="宋体" w:eastAsia="宋体" w:hint="default"/>
                <w:sz w:val="18"/>
                <w:szCs w:val="18"/>
              </w:rPr>
              <w:t>6</w:t>
            </w:r>
            <w:r>
              <w:rPr>
                <w:rFonts w:ascii="宋体" w:hAnsi="宋体" w:cs="宋体" w:eastAsia="宋体" w:hint="default"/>
                <w:sz w:val="18"/>
                <w:szCs w:val="18"/>
              </w:rPr>
              <w:t>）</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sz w:val="18"/>
              </w:rPr>
              <w:t>120,000,000.00</w:t>
            </w:r>
          </w:p>
        </w:tc>
        <w:tc>
          <w:tcPr>
            <w:tcW w:w="3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3"/>
                <w:sz w:val="18"/>
                <w:szCs w:val="18"/>
              </w:rPr>
              <w:t>保证期间为主债务履行期间届满之日起两年</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bl>
    <w:p>
      <w:pPr>
        <w:pStyle w:val="BodyText"/>
        <w:spacing w:line="240" w:lineRule="auto" w:before="10"/>
        <w:ind w:right="0"/>
        <w:jc w:val="left"/>
      </w:pPr>
      <w:r>
        <w:rPr/>
        <w:t>单位：元</w:t>
      </w:r>
    </w:p>
    <w:p>
      <w:pPr>
        <w:spacing w:line="240" w:lineRule="auto" w:before="0"/>
        <w:rPr>
          <w:rFonts w:ascii="宋体" w:hAnsi="宋体" w:cs="宋体" w:eastAsia="宋体" w:hint="default"/>
          <w:sz w:val="5"/>
          <w:szCs w:val="5"/>
        </w:rPr>
      </w:pPr>
    </w:p>
    <w:tbl>
      <w:tblPr>
        <w:tblW w:w="0" w:type="auto"/>
        <w:jc w:val="left"/>
        <w:tblInd w:w="148" w:type="dxa"/>
        <w:tblLayout w:type="fixed"/>
        <w:tblCellMar>
          <w:top w:w="0" w:type="dxa"/>
          <w:left w:w="0" w:type="dxa"/>
          <w:bottom w:w="0" w:type="dxa"/>
          <w:right w:w="0" w:type="dxa"/>
        </w:tblCellMar>
        <w:tblLook w:val="01E0"/>
      </w:tblPr>
      <w:tblGrid>
        <w:gridCol w:w="1916"/>
        <w:gridCol w:w="1916"/>
        <w:gridCol w:w="1911"/>
        <w:gridCol w:w="1916"/>
        <w:gridCol w:w="1916"/>
      </w:tblGrid>
      <w:tr>
        <w:trPr>
          <w:trHeight w:val="322"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担保方</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担保金额</w:t>
            </w:r>
          </w:p>
        </w:tc>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担保起始日</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担保到期日</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担保是否已经履行完毕</w:t>
            </w:r>
          </w:p>
        </w:tc>
      </w:tr>
      <w:tr>
        <w:trPr>
          <w:trHeight w:val="639"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吴涵渠（注</w:t>
            </w:r>
            <w:r>
              <w:rPr>
                <w:rFonts w:ascii="宋体" w:hAnsi="宋体" w:cs="宋体" w:eastAsia="宋体" w:hint="default"/>
                <w:sz w:val="18"/>
                <w:szCs w:val="18"/>
              </w:rPr>
              <w:t>7</w:t>
            </w:r>
            <w:r>
              <w:rPr>
                <w:rFonts w:ascii="宋体" w:hAnsi="宋体" w:cs="宋体" w:eastAsia="宋体" w:hint="default"/>
                <w:sz w:val="18"/>
                <w:szCs w:val="18"/>
              </w:rPr>
              <w:t>）</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3" w:right="0"/>
              <w:jc w:val="left"/>
              <w:rPr>
                <w:rFonts w:ascii="宋体" w:hAnsi="宋体" w:cs="宋体" w:eastAsia="宋体" w:hint="default"/>
                <w:sz w:val="18"/>
                <w:szCs w:val="18"/>
              </w:rPr>
            </w:pPr>
            <w:r>
              <w:rPr>
                <w:rFonts w:ascii="宋体"/>
                <w:sz w:val="18"/>
              </w:rPr>
              <w:t>50,000,000.00</w:t>
            </w:r>
          </w:p>
        </w:tc>
        <w:tc>
          <w:tcPr>
            <w:tcW w:w="3827"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15"/>
              <w:ind w:left="23" w:right="12"/>
              <w:jc w:val="left"/>
              <w:rPr>
                <w:rFonts w:ascii="宋体" w:hAnsi="宋体" w:cs="宋体" w:eastAsia="宋体" w:hint="default"/>
                <w:sz w:val="18"/>
                <w:szCs w:val="18"/>
              </w:rPr>
            </w:pPr>
            <w:r>
              <w:rPr>
                <w:rFonts w:ascii="宋体" w:hAnsi="宋体" w:cs="宋体" w:eastAsia="宋体" w:hint="default"/>
                <w:spacing w:val="-3"/>
                <w:sz w:val="18"/>
                <w:szCs w:val="18"/>
              </w:rPr>
              <w:t>保证期间为主债务发生期间届满之日起两年（中</w:t>
            </w:r>
            <w:r>
              <w:rPr>
                <w:rFonts w:ascii="宋体" w:hAnsi="宋体" w:cs="宋体" w:eastAsia="宋体" w:hint="default"/>
                <w:spacing w:val="-31"/>
                <w:sz w:val="18"/>
                <w:szCs w:val="18"/>
              </w:rPr>
              <w:t> </w:t>
            </w:r>
            <w:r>
              <w:rPr>
                <w:rFonts w:ascii="宋体" w:hAnsi="宋体" w:cs="宋体" w:eastAsia="宋体" w:hint="default"/>
                <w:spacing w:val="-31"/>
                <w:sz w:val="18"/>
                <w:szCs w:val="18"/>
              </w:rPr>
            </w:r>
            <w:r>
              <w:rPr>
                <w:rFonts w:ascii="宋体" w:hAnsi="宋体" w:cs="宋体" w:eastAsia="宋体" w:hint="default"/>
                <w:sz w:val="18"/>
                <w:szCs w:val="18"/>
              </w:rPr>
              <w:t>行）</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946" w:hRule="exact"/>
        </w:trPr>
        <w:tc>
          <w:tcPr>
            <w:tcW w:w="1916" w:type="dxa"/>
            <w:tcBorders>
              <w:top w:val="single" w:sz="4" w:space="0" w:color="000000"/>
              <w:left w:val="single" w:sz="4" w:space="0" w:color="000000"/>
              <w:bottom w:val="single" w:sz="4" w:space="0" w:color="000000"/>
              <w:right w:val="single" w:sz="13" w:space="0" w:color="FFFFFF"/>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24" w:right="-27"/>
              <w:jc w:val="left"/>
              <w:rPr>
                <w:rFonts w:ascii="宋体" w:hAnsi="宋体" w:cs="宋体" w:eastAsia="宋体" w:hint="default"/>
                <w:sz w:val="18"/>
                <w:szCs w:val="18"/>
              </w:rPr>
            </w:pPr>
            <w:r>
              <w:rPr>
                <w:rFonts w:ascii="宋体" w:hAnsi="宋体" w:cs="宋体" w:eastAsia="宋体" w:hint="default"/>
                <w:spacing w:val="-2"/>
                <w:sz w:val="18"/>
                <w:szCs w:val="18"/>
              </w:rPr>
              <w:t>吴涵渠、赵燕泥（注</w:t>
            </w:r>
            <w:r>
              <w:rPr>
                <w:rFonts w:ascii="宋体" w:hAnsi="宋体" w:cs="宋体" w:eastAsia="宋体" w:hint="default"/>
                <w:spacing w:val="-2"/>
                <w:sz w:val="18"/>
                <w:szCs w:val="18"/>
              </w:rPr>
              <w:t>8</w:t>
            </w:r>
            <w:r>
              <w:rPr>
                <w:rFonts w:ascii="宋体" w:hAnsi="宋体" w:cs="宋体" w:eastAsia="宋体" w:hint="default"/>
                <w:spacing w:val="-2"/>
                <w:sz w:val="18"/>
                <w:szCs w:val="18"/>
              </w:rPr>
              <w:t>）</w:t>
            </w:r>
          </w:p>
        </w:tc>
        <w:tc>
          <w:tcPr>
            <w:tcW w:w="1916" w:type="dxa"/>
            <w:tcBorders>
              <w:top w:val="single" w:sz="4" w:space="0" w:color="000000"/>
              <w:left w:val="single" w:sz="13" w:space="0" w:color="FFFFFF"/>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11" w:right="0"/>
              <w:jc w:val="left"/>
              <w:rPr>
                <w:rFonts w:ascii="宋体" w:hAnsi="宋体" w:cs="宋体" w:eastAsia="宋体" w:hint="default"/>
                <w:sz w:val="18"/>
                <w:szCs w:val="18"/>
              </w:rPr>
            </w:pPr>
            <w:r>
              <w:rPr>
                <w:rFonts w:ascii="宋体"/>
                <w:sz w:val="18"/>
              </w:rPr>
              <w:t>50,000,000.00</w:t>
            </w:r>
          </w:p>
        </w:tc>
        <w:tc>
          <w:tcPr>
            <w:tcW w:w="3827"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3" w:right="13"/>
              <w:jc w:val="left"/>
              <w:rPr>
                <w:rFonts w:ascii="宋体" w:hAnsi="宋体" w:cs="宋体" w:eastAsia="宋体" w:hint="default"/>
                <w:sz w:val="18"/>
                <w:szCs w:val="18"/>
              </w:rPr>
            </w:pPr>
            <w:r>
              <w:rPr>
                <w:rFonts w:ascii="宋体" w:hAnsi="宋体" w:cs="宋体" w:eastAsia="宋体" w:hint="default"/>
                <w:spacing w:val="-3"/>
                <w:sz w:val="18"/>
                <w:szCs w:val="18"/>
              </w:rPr>
              <w:t>自本担保书生效之日起至《授信协议》项下每笔</w:t>
            </w:r>
            <w:r>
              <w:rPr>
                <w:rFonts w:ascii="宋体" w:hAnsi="宋体" w:cs="宋体" w:eastAsia="宋体" w:hint="default"/>
                <w:spacing w:val="-32"/>
                <w:sz w:val="18"/>
                <w:szCs w:val="18"/>
              </w:rPr>
              <w:t> </w:t>
            </w:r>
            <w:r>
              <w:rPr>
                <w:rFonts w:ascii="宋体" w:hAnsi="宋体" w:cs="宋体" w:eastAsia="宋体" w:hint="default"/>
                <w:spacing w:val="-32"/>
                <w:sz w:val="18"/>
                <w:szCs w:val="18"/>
              </w:rPr>
            </w:r>
            <w:r>
              <w:rPr>
                <w:rFonts w:ascii="宋体" w:hAnsi="宋体" w:cs="宋体" w:eastAsia="宋体" w:hint="default"/>
                <w:spacing w:val="-3"/>
                <w:sz w:val="18"/>
                <w:szCs w:val="18"/>
              </w:rPr>
              <w:t>贷款或其他融资或贵行受让的应收账款债权的</w:t>
            </w:r>
            <w:r>
              <w:rPr>
                <w:rFonts w:ascii="宋体" w:hAnsi="宋体" w:cs="宋体" w:eastAsia="宋体" w:hint="default"/>
                <w:spacing w:val="-27"/>
                <w:sz w:val="18"/>
                <w:szCs w:val="18"/>
              </w:rPr>
              <w:t> </w:t>
            </w:r>
            <w:r>
              <w:rPr>
                <w:rFonts w:ascii="宋体" w:hAnsi="宋体" w:cs="宋体" w:eastAsia="宋体" w:hint="default"/>
                <w:spacing w:val="-27"/>
                <w:sz w:val="18"/>
                <w:szCs w:val="18"/>
              </w:rPr>
            </w:r>
            <w:r>
              <w:rPr>
                <w:rFonts w:ascii="宋体" w:hAnsi="宋体" w:cs="宋体" w:eastAsia="宋体" w:hint="default"/>
                <w:spacing w:val="-3"/>
                <w:sz w:val="18"/>
                <w:szCs w:val="18"/>
              </w:rPr>
              <w:t>到期日或每笔垫款的垫款日另加三年（招行）</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634"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吴涵渠（注</w:t>
            </w:r>
            <w:r>
              <w:rPr>
                <w:rFonts w:ascii="宋体" w:hAnsi="宋体" w:cs="宋体" w:eastAsia="宋体" w:hint="default"/>
                <w:sz w:val="18"/>
                <w:szCs w:val="18"/>
              </w:rPr>
              <w:t>9</w:t>
            </w:r>
            <w:r>
              <w:rPr>
                <w:rFonts w:ascii="宋体" w:hAnsi="宋体" w:cs="宋体" w:eastAsia="宋体" w:hint="default"/>
                <w:sz w:val="18"/>
                <w:szCs w:val="18"/>
              </w:rPr>
              <w:t>）</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23" w:right="0"/>
              <w:jc w:val="left"/>
              <w:rPr>
                <w:rFonts w:ascii="宋体" w:hAnsi="宋体" w:cs="宋体" w:eastAsia="宋体" w:hint="default"/>
                <w:sz w:val="18"/>
                <w:szCs w:val="18"/>
              </w:rPr>
            </w:pPr>
            <w:r>
              <w:rPr>
                <w:rFonts w:ascii="宋体"/>
                <w:sz w:val="18"/>
              </w:rPr>
              <w:t>120,000,000.00</w:t>
            </w:r>
          </w:p>
        </w:tc>
        <w:tc>
          <w:tcPr>
            <w:tcW w:w="3827" w:type="dxa"/>
            <w:gridSpan w:val="2"/>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3" w:right="13"/>
              <w:jc w:val="left"/>
              <w:rPr>
                <w:rFonts w:ascii="宋体" w:hAnsi="宋体" w:cs="宋体" w:eastAsia="宋体" w:hint="default"/>
                <w:sz w:val="18"/>
                <w:szCs w:val="18"/>
              </w:rPr>
            </w:pPr>
            <w:r>
              <w:rPr>
                <w:rFonts w:ascii="宋体" w:hAnsi="宋体" w:cs="宋体" w:eastAsia="宋体" w:hint="default"/>
                <w:spacing w:val="-3"/>
                <w:sz w:val="18"/>
                <w:szCs w:val="18"/>
              </w:rPr>
              <w:t>保证期间为主债务履行期间届满之日起两年（农</w:t>
            </w:r>
            <w:r>
              <w:rPr>
                <w:rFonts w:ascii="宋体" w:hAnsi="宋体" w:cs="宋体" w:eastAsia="宋体" w:hint="default"/>
                <w:spacing w:val="-32"/>
                <w:sz w:val="18"/>
                <w:szCs w:val="18"/>
              </w:rPr>
              <w:t> </w:t>
            </w:r>
            <w:r>
              <w:rPr>
                <w:rFonts w:ascii="宋体" w:hAnsi="宋体" w:cs="宋体" w:eastAsia="宋体" w:hint="default"/>
                <w:spacing w:val="-32"/>
                <w:sz w:val="18"/>
                <w:szCs w:val="18"/>
              </w:rPr>
            </w:r>
            <w:r>
              <w:rPr>
                <w:rFonts w:ascii="宋体" w:hAnsi="宋体" w:cs="宋体" w:eastAsia="宋体" w:hint="default"/>
                <w:sz w:val="18"/>
                <w:szCs w:val="18"/>
              </w:rPr>
              <w:t>行</w:t>
            </w:r>
            <w:r>
              <w:rPr>
                <w:rFonts w:ascii="宋体" w:hAnsi="宋体" w:cs="宋体" w:eastAsia="宋体" w:hint="default"/>
                <w:spacing w:val="5"/>
                <w:sz w:val="18"/>
                <w:szCs w:val="18"/>
              </w:rPr>
              <w:t> </w:t>
            </w:r>
            <w:r>
              <w:rPr>
                <w:rFonts w:ascii="宋体" w:hAnsi="宋体" w:cs="宋体" w:eastAsia="宋体" w:hint="default"/>
                <w:sz w:val="18"/>
                <w:szCs w:val="18"/>
              </w:rPr>
              <w:t>）</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634"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4" w:right="-34"/>
              <w:jc w:val="left"/>
              <w:rPr>
                <w:rFonts w:ascii="宋体" w:hAnsi="宋体" w:cs="宋体" w:eastAsia="宋体" w:hint="default"/>
                <w:sz w:val="18"/>
                <w:szCs w:val="18"/>
              </w:rPr>
            </w:pPr>
            <w:r>
              <w:rPr>
                <w:rFonts w:ascii="宋体" w:hAnsi="宋体" w:cs="宋体" w:eastAsia="宋体" w:hint="default"/>
                <w:spacing w:val="-8"/>
                <w:sz w:val="18"/>
                <w:szCs w:val="18"/>
              </w:rPr>
              <w:t>吴涵渠、赵燕泥（注</w:t>
            </w:r>
            <w:r>
              <w:rPr>
                <w:rFonts w:ascii="宋体" w:hAnsi="宋体" w:cs="宋体" w:eastAsia="宋体" w:hint="default"/>
                <w:spacing w:val="-8"/>
                <w:sz w:val="18"/>
                <w:szCs w:val="18"/>
              </w:rPr>
              <w:t>10</w:t>
            </w:r>
            <w:r>
              <w:rPr>
                <w:rFonts w:ascii="宋体" w:hAnsi="宋体" w:cs="宋体" w:eastAsia="宋体" w:hint="default"/>
                <w:spacing w:val="-8"/>
                <w:sz w:val="18"/>
                <w:szCs w:val="18"/>
              </w:rPr>
              <w:t>）</w:t>
            </w:r>
            <w:r>
              <w:rPr>
                <w:rFonts w:ascii="宋体" w:hAnsi="宋体" w:cs="宋体" w:eastAsia="宋体" w:hint="default"/>
                <w:sz w:val="18"/>
                <w:szCs w:val="18"/>
              </w:rPr>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3" w:right="0"/>
              <w:jc w:val="left"/>
              <w:rPr>
                <w:rFonts w:ascii="宋体" w:hAnsi="宋体" w:cs="宋体" w:eastAsia="宋体" w:hint="default"/>
                <w:sz w:val="18"/>
                <w:szCs w:val="18"/>
              </w:rPr>
            </w:pPr>
            <w:r>
              <w:rPr>
                <w:rFonts w:ascii="宋体"/>
                <w:sz w:val="18"/>
              </w:rPr>
              <w:t>50,000,000.00</w:t>
            </w:r>
          </w:p>
        </w:tc>
        <w:tc>
          <w:tcPr>
            <w:tcW w:w="3827"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3" w:right="13"/>
              <w:jc w:val="left"/>
              <w:rPr>
                <w:rFonts w:ascii="宋体" w:hAnsi="宋体" w:cs="宋体" w:eastAsia="宋体" w:hint="default"/>
                <w:sz w:val="18"/>
                <w:szCs w:val="18"/>
              </w:rPr>
            </w:pPr>
            <w:r>
              <w:rPr>
                <w:rFonts w:ascii="宋体" w:hAnsi="宋体" w:cs="宋体" w:eastAsia="宋体" w:hint="default"/>
                <w:spacing w:val="-3"/>
                <w:sz w:val="18"/>
                <w:szCs w:val="18"/>
              </w:rPr>
              <w:t>保证期间为主债务发生期间届满之日起两年（中</w:t>
            </w:r>
            <w:r>
              <w:rPr>
                <w:rFonts w:ascii="宋体" w:hAnsi="宋体" w:cs="宋体" w:eastAsia="宋体" w:hint="default"/>
                <w:spacing w:val="-32"/>
                <w:sz w:val="18"/>
                <w:szCs w:val="18"/>
              </w:rPr>
              <w:t> </w:t>
            </w:r>
            <w:r>
              <w:rPr>
                <w:rFonts w:ascii="宋体" w:hAnsi="宋体" w:cs="宋体" w:eastAsia="宋体" w:hint="default"/>
                <w:spacing w:val="-32"/>
                <w:sz w:val="18"/>
                <w:szCs w:val="18"/>
              </w:rPr>
            </w:r>
            <w:r>
              <w:rPr>
                <w:rFonts w:ascii="宋体" w:hAnsi="宋体" w:cs="宋体" w:eastAsia="宋体" w:hint="default"/>
                <w:sz w:val="18"/>
                <w:szCs w:val="18"/>
              </w:rPr>
              <w:t>行）</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634"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4" w:right="-34"/>
              <w:jc w:val="left"/>
              <w:rPr>
                <w:rFonts w:ascii="宋体" w:hAnsi="宋体" w:cs="宋体" w:eastAsia="宋体" w:hint="default"/>
                <w:sz w:val="18"/>
                <w:szCs w:val="18"/>
              </w:rPr>
            </w:pPr>
            <w:r>
              <w:rPr>
                <w:rFonts w:ascii="宋体" w:hAnsi="宋体" w:cs="宋体" w:eastAsia="宋体" w:hint="default"/>
                <w:spacing w:val="-8"/>
                <w:sz w:val="18"/>
                <w:szCs w:val="18"/>
              </w:rPr>
              <w:t>吴涵渠、赵燕泥（注</w:t>
            </w:r>
            <w:r>
              <w:rPr>
                <w:rFonts w:ascii="宋体" w:hAnsi="宋体" w:cs="宋体" w:eastAsia="宋体" w:hint="default"/>
                <w:spacing w:val="-8"/>
                <w:sz w:val="18"/>
                <w:szCs w:val="18"/>
              </w:rPr>
              <w:t>11</w:t>
            </w:r>
            <w:r>
              <w:rPr>
                <w:rFonts w:ascii="宋体" w:hAnsi="宋体" w:cs="宋体" w:eastAsia="宋体" w:hint="default"/>
                <w:spacing w:val="-8"/>
                <w:sz w:val="18"/>
                <w:szCs w:val="18"/>
              </w:rPr>
              <w:t>）</w:t>
            </w:r>
            <w:r>
              <w:rPr>
                <w:rFonts w:ascii="宋体" w:hAnsi="宋体" w:cs="宋体" w:eastAsia="宋体" w:hint="default"/>
                <w:sz w:val="18"/>
                <w:szCs w:val="18"/>
              </w:rPr>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3" w:right="0"/>
              <w:jc w:val="left"/>
              <w:rPr>
                <w:rFonts w:ascii="宋体" w:hAnsi="宋体" w:cs="宋体" w:eastAsia="宋体" w:hint="default"/>
                <w:sz w:val="18"/>
                <w:szCs w:val="18"/>
              </w:rPr>
            </w:pPr>
            <w:r>
              <w:rPr>
                <w:rFonts w:ascii="宋体"/>
                <w:sz w:val="18"/>
              </w:rPr>
              <w:t>120,000,000.00</w:t>
            </w:r>
          </w:p>
        </w:tc>
        <w:tc>
          <w:tcPr>
            <w:tcW w:w="382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3"/>
                <w:sz w:val="18"/>
                <w:szCs w:val="18"/>
              </w:rPr>
              <w:t>保证期间为主债务履行期间届满之日起两年</w:t>
            </w:r>
          </w:p>
          <w:p>
            <w:pPr>
              <w:pStyle w:val="TableParagraph"/>
              <w:spacing w:line="240" w:lineRule="auto" w:before="76"/>
              <w:ind w:left="196" w:right="0"/>
              <w:jc w:val="center"/>
              <w:rPr>
                <w:rFonts w:ascii="宋体" w:hAnsi="宋体" w:cs="宋体" w:eastAsia="宋体" w:hint="default"/>
                <w:sz w:val="18"/>
                <w:szCs w:val="18"/>
              </w:rPr>
            </w:pPr>
            <w:r>
              <w:rPr>
                <w:rFonts w:ascii="宋体" w:hAnsi="宋体" w:cs="宋体" w:eastAsia="宋体" w:hint="default"/>
                <w:spacing w:val="-3"/>
                <w:sz w:val="18"/>
                <w:szCs w:val="18"/>
              </w:rPr>
              <w:t>（招行）</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bl>
    <w:p>
      <w:pPr>
        <w:pStyle w:val="BodyText"/>
        <w:spacing w:line="316" w:lineRule="auto" w:before="11"/>
        <w:ind w:left="513" w:right="1317" w:hanging="360"/>
        <w:jc w:val="left"/>
      </w:pPr>
      <w:r>
        <w:rPr/>
        <w:pict>
          <v:group style="position:absolute;margin-left:152.690002pt;margin-top:-56.278297pt;width:94.15pt;height:16.8pt;mso-position-horizontal-relative:page;mso-position-vertical-relative:paragraph;z-index:-1078744" coordorigin="3054,-1126" coordsize="1883,336">
            <v:group style="position:absolute;left:3066;top:-1114;width:2;height:312" coordorigin="3066,-1114" coordsize="2,312">
              <v:shape style="position:absolute;left:3066;top:-1114;width:2;height:312" coordorigin="3066,-1114" coordsize="0,312" path="m3066,-1114l3066,-802e" filled="false" stroked="true" strokeweight="1.2pt" strokecolor="#ffffff">
                <v:path arrowok="t"/>
              </v:shape>
            </v:group>
            <v:group style="position:absolute;left:3078;top:-1114;width:1859;height:312" coordorigin="3078,-1114" coordsize="1859,312">
              <v:shape style="position:absolute;left:3078;top:-1114;width:1859;height:312" coordorigin="3078,-1114" coordsize="1859,312" path="m3078,-802l4936,-802,4936,-1114,3078,-1114,3078,-802xe" filled="true" fillcolor="#ffffff" stroked="false">
                <v:path arrowok="t"/>
                <v:fill type="solid"/>
              </v:shape>
            </v:group>
            <w10:wrap type="none"/>
          </v:group>
        </w:pict>
      </w:r>
      <w:r>
        <w:rPr/>
        <w:pict>
          <v:group style="position:absolute;margin-left:152.690002pt;margin-top:-24.598295pt;width:94.15pt;height:16.8pt;mso-position-horizontal-relative:page;mso-position-vertical-relative:paragraph;z-index:-1078720" coordorigin="3054,-492" coordsize="1883,336">
            <v:group style="position:absolute;left:3066;top:-480;width:2;height:312" coordorigin="3066,-480" coordsize="2,312">
              <v:shape style="position:absolute;left:3066;top:-480;width:2;height:312" coordorigin="3066,-480" coordsize="0,312" path="m3066,-480l3066,-168e" filled="false" stroked="true" strokeweight="1.2pt" strokecolor="#ffffff">
                <v:path arrowok="t"/>
              </v:shape>
            </v:group>
            <v:group style="position:absolute;left:3078;top:-480;width:1859;height:312" coordorigin="3078,-480" coordsize="1859,312">
              <v:shape style="position:absolute;left:3078;top:-480;width:1859;height:312" coordorigin="3078,-480" coordsize="1859,312" path="m3078,-168l4936,-168,4936,-480,3078,-480,3078,-168xe" filled="true" fillcolor="#ffffff" stroked="false">
                <v:path arrowok="t"/>
                <v:fill type="solid"/>
              </v:shape>
            </v:group>
            <w10:wrap type="none"/>
          </v:group>
        </w:pict>
      </w:r>
      <w:r>
        <w:rPr/>
        <w:t>关联担保情况说明</w:t>
      </w:r>
      <w:r>
        <w:rPr>
          <w:spacing w:val="-86"/>
        </w:rPr>
        <w:t> </w:t>
      </w:r>
      <w:r>
        <w:rPr>
          <w:spacing w:val="-86"/>
        </w:rPr>
      </w:r>
      <w:r>
        <w:rPr>
          <w:spacing w:val="-3"/>
        </w:rPr>
        <w:t>注</w:t>
      </w:r>
      <w:r>
        <w:rPr>
          <w:rFonts w:ascii="宋体" w:hAnsi="宋体" w:cs="宋体" w:eastAsia="宋体" w:hint="default"/>
          <w:spacing w:val="-3"/>
        </w:rPr>
        <w:t>1</w:t>
      </w:r>
      <w:r>
        <w:rPr>
          <w:spacing w:val="-3"/>
        </w:rPr>
        <w:t>：深圳市奥拓电子股份有限公司于</w:t>
      </w:r>
      <w:r>
        <w:rPr>
          <w:rFonts w:ascii="宋体" w:hAnsi="宋体" w:cs="宋体" w:eastAsia="宋体" w:hint="default"/>
          <w:spacing w:val="-3"/>
        </w:rPr>
        <w:t>2018</w:t>
      </w:r>
      <w:r>
        <w:rPr>
          <w:spacing w:val="-3"/>
        </w:rPr>
        <w:t>年</w:t>
      </w:r>
      <w:r>
        <w:rPr>
          <w:rFonts w:ascii="宋体" w:hAnsi="宋体" w:cs="宋体" w:eastAsia="宋体" w:hint="default"/>
          <w:spacing w:val="-3"/>
        </w:rPr>
        <w:t>9</w:t>
      </w:r>
      <w:r>
        <w:rPr>
          <w:spacing w:val="-3"/>
        </w:rPr>
        <w:t>月</w:t>
      </w:r>
      <w:r>
        <w:rPr>
          <w:rFonts w:ascii="宋体" w:hAnsi="宋体" w:cs="宋体" w:eastAsia="宋体" w:hint="default"/>
          <w:spacing w:val="-3"/>
        </w:rPr>
        <w:t>18</w:t>
      </w:r>
      <w:r>
        <w:rPr>
          <w:spacing w:val="-3"/>
        </w:rPr>
        <w:t>日与中国民生银行股份有限公司深圳南山支行签订《最高额保证合</w:t>
      </w:r>
    </w:p>
    <w:p>
      <w:pPr>
        <w:pStyle w:val="BodyText"/>
        <w:spacing w:line="240" w:lineRule="auto" w:before="19"/>
        <w:ind w:right="0"/>
        <w:jc w:val="left"/>
      </w:pPr>
      <w:r>
        <w:rPr>
          <w:spacing w:val="-3"/>
        </w:rPr>
        <w:t>同》，为惠州市奥拓电子科技有限公司与中国民生银行股份有限公司深圳分行签订的编号为公承兑字第高新区综</w:t>
      </w:r>
      <w:r>
        <w:rPr>
          <w:rFonts w:ascii="宋体" w:hAnsi="宋体" w:cs="宋体" w:eastAsia="宋体" w:hint="default"/>
          <w:spacing w:val="-3"/>
        </w:rPr>
        <w:t>18009-2</w:t>
      </w:r>
      <w:r>
        <w:rPr>
          <w:spacing w:val="-3"/>
        </w:rPr>
        <w:t>号</w:t>
      </w:r>
    </w:p>
    <w:p>
      <w:pPr>
        <w:pStyle w:val="BodyText"/>
        <w:spacing w:line="319" w:lineRule="auto" w:before="76"/>
        <w:ind w:left="513" w:right="1120" w:hanging="360"/>
        <w:jc w:val="left"/>
      </w:pPr>
      <w:r>
        <w:rPr>
          <w:spacing w:val="-3"/>
        </w:rPr>
        <w:t>《银行承兑协议》提供连带责任保证，担保金额</w:t>
      </w:r>
      <w:r>
        <w:rPr>
          <w:rFonts w:ascii="宋体" w:hAnsi="宋体" w:cs="宋体" w:eastAsia="宋体" w:hint="default"/>
          <w:spacing w:val="-3"/>
        </w:rPr>
        <w:t>2,000.00</w:t>
      </w:r>
      <w:r>
        <w:rPr>
          <w:spacing w:val="-3"/>
        </w:rPr>
        <w:t>万元。</w:t>
      </w:r>
      <w:r>
        <w:rPr>
          <w:spacing w:val="-4"/>
        </w:rPr>
        <w:t> </w:t>
      </w:r>
      <w:r>
        <w:rPr>
          <w:spacing w:val="-3"/>
        </w:rPr>
        <w:t>截止到</w:t>
      </w:r>
      <w:r>
        <w:rPr>
          <w:rFonts w:ascii="宋体" w:hAnsi="宋体" w:cs="宋体" w:eastAsia="宋体" w:hint="default"/>
          <w:spacing w:val="-3"/>
        </w:rPr>
        <w:t>2019</w:t>
      </w:r>
      <w:r>
        <w:rPr>
          <w:spacing w:val="-3"/>
        </w:rPr>
        <w:t>年</w:t>
      </w:r>
      <w:r>
        <w:rPr>
          <w:rFonts w:ascii="宋体" w:hAnsi="宋体" w:cs="宋体" w:eastAsia="宋体" w:hint="default"/>
          <w:spacing w:val="-3"/>
        </w:rPr>
        <w:t>12</w:t>
      </w:r>
      <w:r>
        <w:rPr>
          <w:spacing w:val="-3"/>
        </w:rPr>
        <w:t>月</w:t>
      </w:r>
      <w:r>
        <w:rPr>
          <w:rFonts w:ascii="宋体" w:hAnsi="宋体" w:cs="宋体" w:eastAsia="宋体" w:hint="default"/>
          <w:spacing w:val="-3"/>
        </w:rPr>
        <w:t>31</w:t>
      </w:r>
      <w:r>
        <w:rPr>
          <w:spacing w:val="-3"/>
        </w:rPr>
        <w:t>日，此担保合同下开具银行承兑汇票</w:t>
      </w:r>
      <w:r>
        <w:rPr>
          <w:rFonts w:ascii="宋体" w:hAnsi="宋体" w:cs="宋体" w:eastAsia="宋体" w:hint="default"/>
          <w:spacing w:val="-3"/>
        </w:rPr>
        <w:t>0</w:t>
      </w:r>
      <w:r>
        <w:rPr>
          <w:spacing w:val="-3"/>
        </w:rPr>
        <w:t>元。</w:t>
      </w:r>
      <w:r>
        <w:rPr>
          <w:spacing w:val="-5"/>
          <w:w w:val="101"/>
        </w:rPr>
        <w:t> </w:t>
      </w:r>
      <w:r>
        <w:rPr>
          <w:spacing w:val="-4"/>
        </w:rPr>
        <w:t>注</w:t>
      </w:r>
      <w:r>
        <w:rPr>
          <w:rFonts w:ascii="宋体" w:hAnsi="宋体" w:cs="宋体" w:eastAsia="宋体" w:hint="default"/>
          <w:spacing w:val="-4"/>
        </w:rPr>
        <w:t>2</w:t>
      </w:r>
      <w:r>
        <w:rPr>
          <w:spacing w:val="-4"/>
        </w:rPr>
        <w:t>：深圳市奥拓电子股份有限公司、子公司千百辉董事沈永健、董事兼总经理周维君于</w:t>
      </w:r>
      <w:r>
        <w:rPr>
          <w:rFonts w:ascii="宋体" w:hAnsi="宋体" w:cs="宋体" w:eastAsia="宋体" w:hint="default"/>
          <w:spacing w:val="-4"/>
        </w:rPr>
        <w:t>2018</w:t>
      </w:r>
      <w:r>
        <w:rPr>
          <w:spacing w:val="-4"/>
        </w:rPr>
        <w:t>年</w:t>
      </w:r>
      <w:r>
        <w:rPr>
          <w:rFonts w:ascii="宋体" w:hAnsi="宋体" w:cs="宋体" w:eastAsia="宋体" w:hint="default"/>
          <w:spacing w:val="-4"/>
        </w:rPr>
        <w:t>6</w:t>
      </w:r>
      <w:r>
        <w:rPr>
          <w:spacing w:val="-4"/>
        </w:rPr>
        <w:t>月与招商银行股份有限</w:t>
      </w:r>
    </w:p>
    <w:p>
      <w:pPr>
        <w:pStyle w:val="BodyText"/>
        <w:spacing w:line="316" w:lineRule="auto" w:before="17"/>
        <w:ind w:right="1132"/>
        <w:jc w:val="both"/>
      </w:pPr>
      <w:r>
        <w:rPr>
          <w:spacing w:val="-2"/>
        </w:rPr>
        <w:t>公司深圳分行签订编号为</w:t>
      </w:r>
      <w:r>
        <w:rPr>
          <w:rFonts w:ascii="宋体" w:hAnsi="宋体" w:cs="宋体" w:eastAsia="宋体" w:hint="default"/>
          <w:spacing w:val="-2"/>
        </w:rPr>
        <w:t>755XY201801615603</w:t>
      </w:r>
      <w:r>
        <w:rPr>
          <w:spacing w:val="-2"/>
        </w:rPr>
        <w:t>、</w:t>
      </w:r>
      <w:r>
        <w:rPr>
          <w:rFonts w:ascii="宋体" w:hAnsi="宋体" w:cs="宋体" w:eastAsia="宋体" w:hint="default"/>
          <w:spacing w:val="-2"/>
        </w:rPr>
        <w:t>755XY201801615604</w:t>
      </w:r>
      <w:r>
        <w:rPr>
          <w:spacing w:val="-2"/>
        </w:rPr>
        <w:t>、</w:t>
      </w:r>
      <w:r>
        <w:rPr>
          <w:rFonts w:ascii="宋体" w:hAnsi="宋体" w:cs="宋体" w:eastAsia="宋体" w:hint="default"/>
          <w:spacing w:val="-2"/>
        </w:rPr>
        <w:t>755XY201801615605</w:t>
      </w:r>
      <w:r>
        <w:rPr>
          <w:spacing w:val="-2"/>
        </w:rPr>
        <w:t>号的《最高额不可撤销担保书》，</w:t>
      </w:r>
      <w:r>
        <w:rPr>
          <w:spacing w:val="66"/>
        </w:rPr>
        <w:t> </w:t>
      </w:r>
      <w:r>
        <w:rPr>
          <w:spacing w:val="66"/>
        </w:rPr>
      </w:r>
      <w:r>
        <w:rPr>
          <w:spacing w:val="-3"/>
        </w:rPr>
        <w:t>为千百辉公司与招商银行股份有限公司深圳分行签订的编号为</w:t>
      </w:r>
      <w:r>
        <w:rPr>
          <w:rFonts w:ascii="宋体" w:hAnsi="宋体" w:cs="宋体" w:eastAsia="宋体" w:hint="default"/>
          <w:spacing w:val="-3"/>
        </w:rPr>
        <w:t>755XY2018016156</w:t>
      </w:r>
      <w:r>
        <w:rPr>
          <w:spacing w:val="-3"/>
        </w:rPr>
        <w:t>号《授信协议》提供连带责任保证，担保金</w:t>
      </w:r>
      <w:r>
        <w:rPr>
          <w:spacing w:val="5"/>
        </w:rPr>
        <w:t> </w:t>
      </w:r>
      <w:r>
        <w:rPr>
          <w:spacing w:val="5"/>
        </w:rPr>
      </w:r>
      <w:r>
        <w:rPr/>
        <w:t>额</w:t>
      </w:r>
      <w:r>
        <w:rPr>
          <w:rFonts w:ascii="宋体" w:hAnsi="宋体" w:cs="宋体" w:eastAsia="宋体" w:hint="default"/>
        </w:rPr>
        <w:t>14,000.00</w:t>
      </w:r>
      <w:r>
        <w:rPr/>
        <w:t>万元。</w:t>
      </w:r>
    </w:p>
    <w:p>
      <w:pPr>
        <w:pStyle w:val="BodyText"/>
        <w:spacing w:line="316" w:lineRule="auto" w:before="19"/>
        <w:ind w:left="513" w:right="0"/>
        <w:jc w:val="left"/>
      </w:pPr>
      <w:r>
        <w:rPr>
          <w:spacing w:val="-3"/>
        </w:rPr>
        <w:t>截止到</w:t>
      </w:r>
      <w:r>
        <w:rPr>
          <w:rFonts w:ascii="宋体" w:hAnsi="宋体" w:cs="宋体" w:eastAsia="宋体" w:hint="default"/>
          <w:spacing w:val="-3"/>
        </w:rPr>
        <w:t>2019</w:t>
      </w:r>
      <w:r>
        <w:rPr>
          <w:spacing w:val="-3"/>
        </w:rPr>
        <w:t>年</w:t>
      </w:r>
      <w:r>
        <w:rPr>
          <w:rFonts w:ascii="宋体" w:hAnsi="宋体" w:cs="宋体" w:eastAsia="宋体" w:hint="default"/>
          <w:spacing w:val="-3"/>
        </w:rPr>
        <w:t>12</w:t>
      </w:r>
      <w:r>
        <w:rPr>
          <w:spacing w:val="-3"/>
        </w:rPr>
        <w:t>月</w:t>
      </w:r>
      <w:r>
        <w:rPr>
          <w:rFonts w:ascii="宋体" w:hAnsi="宋体" w:cs="宋体" w:eastAsia="宋体" w:hint="default"/>
          <w:spacing w:val="-3"/>
        </w:rPr>
        <w:t>31</w:t>
      </w:r>
      <w:r>
        <w:rPr>
          <w:spacing w:val="-3"/>
        </w:rPr>
        <w:t>日，此担保合同下无贷款。</w:t>
      </w:r>
      <w:r>
        <w:rPr>
          <w:spacing w:val="-16"/>
        </w:rPr>
        <w:t> </w:t>
      </w:r>
      <w:r>
        <w:rPr>
          <w:spacing w:val="-16"/>
        </w:rPr>
      </w:r>
      <w:r>
        <w:rPr>
          <w:spacing w:val="-3"/>
        </w:rPr>
        <w:t>注</w:t>
      </w:r>
      <w:r>
        <w:rPr>
          <w:rFonts w:ascii="宋体" w:hAnsi="宋体" w:cs="宋体" w:eastAsia="宋体" w:hint="default"/>
          <w:spacing w:val="-3"/>
        </w:rPr>
        <w:t>3</w:t>
      </w:r>
      <w:r>
        <w:rPr>
          <w:spacing w:val="-3"/>
        </w:rPr>
        <w:t>：深圳市奥拓电子股份有限公司于</w:t>
      </w:r>
      <w:r>
        <w:rPr>
          <w:rFonts w:ascii="宋体" w:hAnsi="宋体" w:cs="宋体" w:eastAsia="宋体" w:hint="default"/>
          <w:spacing w:val="-3"/>
        </w:rPr>
        <w:t>2016</w:t>
      </w:r>
      <w:r>
        <w:rPr>
          <w:spacing w:val="-3"/>
        </w:rPr>
        <w:t>年</w:t>
      </w:r>
      <w:r>
        <w:rPr>
          <w:rFonts w:ascii="宋体" w:hAnsi="宋体" w:cs="宋体" w:eastAsia="宋体" w:hint="default"/>
          <w:spacing w:val="-3"/>
        </w:rPr>
        <w:t>12</w:t>
      </w:r>
      <w:r>
        <w:rPr>
          <w:spacing w:val="-3"/>
        </w:rPr>
        <w:t>月</w:t>
      </w:r>
      <w:r>
        <w:rPr>
          <w:rFonts w:ascii="宋体" w:hAnsi="宋体" w:cs="宋体" w:eastAsia="宋体" w:hint="default"/>
          <w:spacing w:val="-3"/>
        </w:rPr>
        <w:t>28</w:t>
      </w:r>
      <w:r>
        <w:rPr>
          <w:spacing w:val="-3"/>
        </w:rPr>
        <w:t>日，与上海科锐光电发展有限公司深圳分公司签订的《信用担保协</w:t>
      </w:r>
    </w:p>
    <w:p>
      <w:pPr>
        <w:pStyle w:val="BodyText"/>
        <w:spacing w:line="316" w:lineRule="auto" w:before="19"/>
        <w:ind w:right="1128"/>
        <w:jc w:val="both"/>
      </w:pPr>
      <w:r>
        <w:rPr>
          <w:spacing w:val="-5"/>
        </w:rPr>
        <w:t>议》，为惠州市奥拓电子科技有限公司与上海科锐光电发展有限公司深圳分公司所订立的原材料采购合同项下所形成的所有</w:t>
      </w:r>
      <w:r>
        <w:rPr>
          <w:spacing w:val="6"/>
        </w:rPr>
        <w:t> </w:t>
      </w:r>
      <w:r>
        <w:rPr>
          <w:spacing w:val="6"/>
        </w:rPr>
      </w:r>
      <w:r>
        <w:rPr/>
        <w:t>债务提供连带责任保证</w:t>
      </w:r>
      <w:r>
        <w:rPr>
          <w:rFonts w:ascii="宋体" w:hAnsi="宋体" w:cs="宋体" w:eastAsia="宋体" w:hint="default"/>
        </w:rPr>
        <w:t>,</w:t>
      </w:r>
      <w:r>
        <w:rPr/>
        <w:t>担保金额</w:t>
      </w:r>
      <w:r>
        <w:rPr>
          <w:rFonts w:ascii="宋体" w:hAnsi="宋体" w:cs="宋体" w:eastAsia="宋体" w:hint="default"/>
        </w:rPr>
        <w:t>1,500.00</w:t>
      </w:r>
      <w:r>
        <w:rPr/>
        <w:t>万元。</w:t>
      </w:r>
    </w:p>
    <w:p>
      <w:pPr>
        <w:pStyle w:val="BodyText"/>
        <w:spacing w:line="316" w:lineRule="auto" w:before="19"/>
        <w:ind w:left="513" w:right="0"/>
        <w:jc w:val="left"/>
      </w:pPr>
      <w:r>
        <w:rPr>
          <w:spacing w:val="-3"/>
        </w:rPr>
        <w:t>截止到</w:t>
      </w:r>
      <w:r>
        <w:rPr>
          <w:rFonts w:ascii="宋体" w:hAnsi="宋体" w:cs="宋体" w:eastAsia="宋体" w:hint="default"/>
          <w:spacing w:val="-3"/>
        </w:rPr>
        <w:t>2019</w:t>
      </w:r>
      <w:r>
        <w:rPr>
          <w:spacing w:val="-3"/>
        </w:rPr>
        <w:t>年</w:t>
      </w:r>
      <w:r>
        <w:rPr>
          <w:rFonts w:ascii="宋体" w:hAnsi="宋体" w:cs="宋体" w:eastAsia="宋体" w:hint="default"/>
          <w:spacing w:val="-3"/>
        </w:rPr>
        <w:t>12</w:t>
      </w:r>
      <w:r>
        <w:rPr>
          <w:spacing w:val="-3"/>
        </w:rPr>
        <w:t>月</w:t>
      </w:r>
      <w:r>
        <w:rPr>
          <w:rFonts w:ascii="宋体" w:hAnsi="宋体" w:cs="宋体" w:eastAsia="宋体" w:hint="default"/>
          <w:spacing w:val="-3"/>
        </w:rPr>
        <w:t>31</w:t>
      </w:r>
      <w:r>
        <w:rPr>
          <w:spacing w:val="-3"/>
        </w:rPr>
        <w:t>日，此担保协议下有应付账款</w:t>
      </w:r>
      <w:r>
        <w:rPr>
          <w:rFonts w:ascii="宋体" w:hAnsi="宋体" w:cs="宋体" w:eastAsia="宋体" w:hint="default"/>
          <w:spacing w:val="-3"/>
        </w:rPr>
        <w:t>3,091,636.50</w:t>
      </w:r>
      <w:r>
        <w:rPr>
          <w:spacing w:val="-3"/>
        </w:rPr>
        <w:t>元。</w:t>
      </w:r>
      <w:r>
        <w:rPr>
          <w:spacing w:val="21"/>
        </w:rPr>
        <w:t> </w:t>
      </w:r>
      <w:r>
        <w:rPr>
          <w:spacing w:val="-4"/>
        </w:rPr>
        <w:t>注</w:t>
      </w:r>
      <w:r>
        <w:rPr>
          <w:rFonts w:ascii="宋体" w:hAnsi="宋体" w:cs="宋体" w:eastAsia="宋体" w:hint="default"/>
          <w:spacing w:val="-4"/>
        </w:rPr>
        <w:t>4</w:t>
      </w:r>
      <w:r>
        <w:rPr>
          <w:spacing w:val="-4"/>
        </w:rPr>
        <w:t>：奥拓电子于</w:t>
      </w:r>
      <w:r>
        <w:rPr>
          <w:rFonts w:ascii="宋体" w:hAnsi="宋体" w:cs="宋体" w:eastAsia="宋体" w:hint="default"/>
          <w:spacing w:val="-4"/>
        </w:rPr>
        <w:t>2018</w:t>
      </w:r>
      <w:r>
        <w:rPr>
          <w:spacing w:val="-4"/>
        </w:rPr>
        <w:t>年</w:t>
      </w:r>
      <w:r>
        <w:rPr>
          <w:rFonts w:ascii="宋体" w:hAnsi="宋体" w:cs="宋体" w:eastAsia="宋体" w:hint="default"/>
          <w:spacing w:val="-4"/>
        </w:rPr>
        <w:t>7</w:t>
      </w:r>
      <w:r>
        <w:rPr>
          <w:spacing w:val="-4"/>
        </w:rPr>
        <w:t>月与海口市担保投资有限公司、千百辉公司签订《信用反担保合同》，为海口市担保投资有限</w:t>
      </w:r>
    </w:p>
    <w:p>
      <w:pPr>
        <w:pStyle w:val="BodyText"/>
        <w:spacing w:line="319" w:lineRule="auto" w:before="19"/>
        <w:ind w:left="513" w:right="0" w:hanging="360"/>
        <w:jc w:val="left"/>
      </w:pPr>
      <w:r>
        <w:rPr>
          <w:spacing w:val="-6"/>
        </w:rPr>
        <w:t>公司与千百辉公司签订的《委托担保合同》提供反担保，保证期间自银行出具保函之日起至银行在保函项下责任解除之日止。</w:t>
      </w:r>
      <w:r>
        <w:rPr>
          <w:spacing w:val="68"/>
        </w:rPr>
        <w:t> </w:t>
      </w:r>
      <w:r>
        <w:rPr>
          <w:spacing w:val="68"/>
        </w:rPr>
      </w:r>
      <w:r>
        <w:rPr>
          <w:spacing w:val="-3"/>
        </w:rPr>
        <w:t>子公司千百辉董事沈永健、董事兼总经理周维君、海口市担保投资有限公司于</w:t>
      </w:r>
      <w:r>
        <w:rPr>
          <w:rFonts w:ascii="宋体" w:hAnsi="宋体" w:cs="宋体" w:eastAsia="宋体" w:hint="default"/>
          <w:spacing w:val="-3"/>
        </w:rPr>
        <w:t>2018</w:t>
      </w:r>
      <w:r>
        <w:rPr>
          <w:spacing w:val="-3"/>
        </w:rPr>
        <w:t>年</w:t>
      </w:r>
      <w:r>
        <w:rPr>
          <w:rFonts w:ascii="宋体" w:hAnsi="宋体" w:cs="宋体" w:eastAsia="宋体" w:hint="default"/>
          <w:spacing w:val="-3"/>
        </w:rPr>
        <w:t>7</w:t>
      </w:r>
      <w:r>
        <w:rPr>
          <w:spacing w:val="-3"/>
        </w:rPr>
        <w:t>月与交通银行海南省分行签订保</w:t>
      </w:r>
    </w:p>
    <w:p>
      <w:pPr>
        <w:pStyle w:val="BodyText"/>
        <w:spacing w:line="316" w:lineRule="auto" w:before="17"/>
        <w:ind w:right="1131"/>
        <w:jc w:val="both"/>
      </w:pPr>
      <w:r>
        <w:rPr>
          <w:spacing w:val="-3"/>
        </w:rPr>
        <w:t>证合同，为千百辉公司与交通银行海南省分行签订的编号为琼交银（三亚）</w:t>
      </w:r>
      <w:r>
        <w:rPr>
          <w:rFonts w:ascii="宋体" w:hAnsi="宋体" w:cs="宋体" w:eastAsia="宋体" w:hint="default"/>
          <w:spacing w:val="-3"/>
        </w:rPr>
        <w:t>2018</w:t>
      </w:r>
      <w:r>
        <w:rPr>
          <w:spacing w:val="-3"/>
        </w:rPr>
        <w:t>年展业通担保函字第</w:t>
      </w:r>
      <w:r>
        <w:rPr>
          <w:rFonts w:ascii="宋体" w:hAnsi="宋体" w:cs="宋体" w:eastAsia="宋体" w:hint="default"/>
          <w:spacing w:val="-3"/>
        </w:rPr>
        <w:t>98203</w:t>
      </w:r>
      <w:r>
        <w:rPr>
          <w:spacing w:val="-3"/>
        </w:rPr>
        <w:t>号《开立担保函</w:t>
      </w:r>
      <w:r>
        <w:rPr>
          <w:spacing w:val="83"/>
        </w:rPr>
        <w:t> </w:t>
      </w:r>
      <w:r>
        <w:rPr>
          <w:spacing w:val="83"/>
        </w:rPr>
      </w:r>
      <w:r>
        <w:rPr>
          <w:spacing w:val="-3"/>
        </w:rPr>
        <w:t>合同》提供连带责任保证，保证期限至债务履行期限届满之日后两年止。担保金额</w:t>
      </w:r>
      <w:r>
        <w:rPr>
          <w:rFonts w:ascii="宋体" w:hAnsi="宋体" w:cs="宋体" w:eastAsia="宋体" w:hint="default"/>
          <w:spacing w:val="-3"/>
        </w:rPr>
        <w:t>4,130,130.32</w:t>
      </w:r>
      <w:r>
        <w:rPr>
          <w:spacing w:val="-3"/>
        </w:rPr>
        <w:t>元。</w:t>
      </w:r>
      <w:r>
        <w:rPr/>
      </w:r>
    </w:p>
    <w:p>
      <w:pPr>
        <w:pStyle w:val="BodyText"/>
        <w:spacing w:line="316" w:lineRule="auto" w:before="19"/>
        <w:ind w:left="513" w:right="0"/>
        <w:jc w:val="left"/>
      </w:pPr>
      <w:r>
        <w:rPr>
          <w:spacing w:val="-3"/>
        </w:rPr>
        <w:t>截止到</w:t>
      </w:r>
      <w:r>
        <w:rPr>
          <w:rFonts w:ascii="宋体" w:hAnsi="宋体" w:cs="宋体" w:eastAsia="宋体" w:hint="default"/>
          <w:spacing w:val="-3"/>
        </w:rPr>
        <w:t>2019</w:t>
      </w:r>
      <w:r>
        <w:rPr>
          <w:spacing w:val="-3"/>
        </w:rPr>
        <w:t>年</w:t>
      </w:r>
      <w:r>
        <w:rPr>
          <w:rFonts w:ascii="宋体" w:hAnsi="宋体" w:cs="宋体" w:eastAsia="宋体" w:hint="default"/>
          <w:spacing w:val="-3"/>
        </w:rPr>
        <w:t>12</w:t>
      </w:r>
      <w:r>
        <w:rPr>
          <w:spacing w:val="-3"/>
        </w:rPr>
        <w:t>月</w:t>
      </w:r>
      <w:r>
        <w:rPr>
          <w:rFonts w:ascii="宋体" w:hAnsi="宋体" w:cs="宋体" w:eastAsia="宋体" w:hint="default"/>
          <w:spacing w:val="-3"/>
        </w:rPr>
        <w:t>31</w:t>
      </w:r>
      <w:r>
        <w:rPr>
          <w:spacing w:val="-3"/>
        </w:rPr>
        <w:t>日，此担保合同下开立保函已到期失效。</w:t>
      </w:r>
      <w:r>
        <w:rPr>
          <w:spacing w:val="1"/>
        </w:rPr>
        <w:t> </w:t>
      </w:r>
      <w:r>
        <w:rPr>
          <w:spacing w:val="1"/>
        </w:rPr>
      </w:r>
      <w:r>
        <w:rPr>
          <w:spacing w:val="-3"/>
        </w:rPr>
        <w:t>注</w:t>
      </w:r>
      <w:r>
        <w:rPr>
          <w:rFonts w:ascii="宋体" w:hAnsi="宋体" w:cs="宋体" w:eastAsia="宋体" w:hint="default"/>
          <w:spacing w:val="-3"/>
        </w:rPr>
        <w:t>5</w:t>
      </w:r>
      <w:r>
        <w:rPr>
          <w:spacing w:val="-3"/>
        </w:rPr>
        <w:t>：深圳市奥拓电子股份有限公司于</w:t>
      </w:r>
      <w:r>
        <w:rPr>
          <w:rFonts w:ascii="宋体" w:hAnsi="宋体" w:cs="宋体" w:eastAsia="宋体" w:hint="default"/>
          <w:spacing w:val="-3"/>
        </w:rPr>
        <w:t>2019</w:t>
      </w:r>
      <w:r>
        <w:rPr>
          <w:spacing w:val="-3"/>
        </w:rPr>
        <w:t>年</w:t>
      </w:r>
      <w:r>
        <w:rPr>
          <w:rFonts w:ascii="宋体" w:hAnsi="宋体" w:cs="宋体" w:eastAsia="宋体" w:hint="default"/>
          <w:spacing w:val="-3"/>
        </w:rPr>
        <w:t>5</w:t>
      </w:r>
      <w:r>
        <w:rPr>
          <w:spacing w:val="-3"/>
        </w:rPr>
        <w:t>月</w:t>
      </w:r>
      <w:r>
        <w:rPr>
          <w:rFonts w:ascii="宋体" w:hAnsi="宋体" w:cs="宋体" w:eastAsia="宋体" w:hint="default"/>
          <w:spacing w:val="-3"/>
        </w:rPr>
        <w:t>24</w:t>
      </w:r>
      <w:r>
        <w:rPr>
          <w:spacing w:val="-3"/>
        </w:rPr>
        <w:t>日与上海浦东发展银行股份有限公司深圳分行签订编号为</w:t>
      </w:r>
    </w:p>
    <w:p>
      <w:pPr>
        <w:pStyle w:val="BodyText"/>
        <w:spacing w:line="319" w:lineRule="auto" w:before="19"/>
        <w:ind w:right="0"/>
        <w:jc w:val="left"/>
      </w:pPr>
      <w:r>
        <w:rPr>
          <w:rFonts w:ascii="宋体" w:hAnsi="宋体" w:cs="宋体" w:eastAsia="宋体" w:hint="default"/>
          <w:spacing w:val="-3"/>
        </w:rPr>
        <w:t>ZB7918201900000006</w:t>
      </w:r>
      <w:r>
        <w:rPr>
          <w:spacing w:val="-3"/>
        </w:rPr>
        <w:t>号《最高额保证合同》，为千百辉公司与上海浦东发展银行股份有限公司深圳分行签订的编号为</w:t>
      </w:r>
      <w:r>
        <w:rPr>
          <w:spacing w:val="1"/>
        </w:rPr>
        <w:t> </w:t>
      </w:r>
      <w:r>
        <w:rPr>
          <w:spacing w:val="1"/>
        </w:rPr>
      </w:r>
      <w:r>
        <w:rPr>
          <w:rFonts w:ascii="宋体" w:hAnsi="宋体" w:cs="宋体" w:eastAsia="宋体" w:hint="default"/>
        </w:rPr>
        <w:t>BC2019052400000505</w:t>
      </w:r>
      <w:r>
        <w:rPr/>
        <w:t>号《融资额度协议》提供连带责任保证，担保金额</w:t>
      </w:r>
      <w:r>
        <w:rPr>
          <w:rFonts w:ascii="宋体" w:hAnsi="宋体" w:cs="宋体" w:eastAsia="宋体" w:hint="default"/>
        </w:rPr>
        <w:t>8,000.00</w:t>
      </w:r>
      <w:r>
        <w:rPr/>
        <w:t>万元。</w:t>
      </w:r>
    </w:p>
    <w:p>
      <w:pPr>
        <w:pStyle w:val="BodyText"/>
        <w:spacing w:line="316" w:lineRule="auto" w:before="17"/>
        <w:ind w:left="513" w:right="0"/>
        <w:jc w:val="left"/>
      </w:pPr>
      <w:r>
        <w:rPr/>
        <w:t>截止到</w:t>
      </w:r>
      <w:r>
        <w:rPr>
          <w:rFonts w:ascii="宋体" w:hAnsi="宋体" w:cs="宋体" w:eastAsia="宋体" w:hint="default"/>
        </w:rPr>
        <w:t>2019</w:t>
      </w:r>
      <w:r>
        <w:rPr/>
        <w:t>年</w:t>
      </w:r>
      <w:r>
        <w:rPr>
          <w:rFonts w:ascii="宋体" w:hAnsi="宋体" w:cs="宋体" w:eastAsia="宋体" w:hint="default"/>
        </w:rPr>
        <w:t>12</w:t>
      </w:r>
      <w:r>
        <w:rPr/>
        <w:t>月</w:t>
      </w:r>
      <w:r>
        <w:rPr>
          <w:rFonts w:ascii="宋体" w:hAnsi="宋体" w:cs="宋体" w:eastAsia="宋体" w:hint="default"/>
        </w:rPr>
        <w:t>31</w:t>
      </w:r>
      <w:r>
        <w:rPr/>
        <w:t>日此担保合同下借款</w:t>
      </w:r>
      <w:r>
        <w:rPr>
          <w:rFonts w:ascii="宋体" w:hAnsi="宋体" w:cs="宋体" w:eastAsia="宋体" w:hint="default"/>
        </w:rPr>
        <w:t>4,000.00</w:t>
      </w:r>
      <w:r>
        <w:rPr/>
        <w:t>万元。</w:t>
      </w:r>
      <w:r>
        <w:rPr>
          <w:w w:val="101"/>
        </w:rPr>
        <w:t> </w:t>
      </w:r>
      <w:r>
        <w:rPr>
          <w:spacing w:val="-4"/>
        </w:rPr>
        <w:t>注</w:t>
      </w:r>
      <w:r>
        <w:rPr>
          <w:rFonts w:ascii="宋体" w:hAnsi="宋体" w:cs="宋体" w:eastAsia="宋体" w:hint="default"/>
          <w:spacing w:val="-4"/>
        </w:rPr>
        <w:t>6</w:t>
      </w:r>
      <w:r>
        <w:rPr>
          <w:spacing w:val="-4"/>
        </w:rPr>
        <w:t>：深圳市奥拓电子股份有限公司、子公司千百辉董事沈永健、董事兼总经理周维君于</w:t>
      </w:r>
      <w:r>
        <w:rPr>
          <w:rFonts w:ascii="宋体" w:hAnsi="宋体" w:cs="宋体" w:eastAsia="宋体" w:hint="default"/>
          <w:spacing w:val="-4"/>
        </w:rPr>
        <w:t>2019</w:t>
      </w:r>
      <w:r>
        <w:rPr>
          <w:spacing w:val="-4"/>
        </w:rPr>
        <w:t>年</w:t>
      </w:r>
      <w:r>
        <w:rPr>
          <w:rFonts w:ascii="宋体" w:hAnsi="宋体" w:cs="宋体" w:eastAsia="宋体" w:hint="default"/>
          <w:spacing w:val="-4"/>
        </w:rPr>
        <w:t>7</w:t>
      </w:r>
      <w:r>
        <w:rPr>
          <w:spacing w:val="-4"/>
        </w:rPr>
        <w:t>月与招商银行股份有限</w:t>
      </w:r>
    </w:p>
    <w:p>
      <w:pPr>
        <w:spacing w:after="0" w:line="316" w:lineRule="auto"/>
        <w:jc w:val="left"/>
        <w:sectPr>
          <w:pgSz w:w="11910" w:h="16840"/>
          <w:pgMar w:header="784" w:footer="1022" w:top="1100" w:bottom="1220" w:left="980" w:right="0"/>
        </w:sectPr>
      </w:pPr>
    </w:p>
    <w:p>
      <w:pPr>
        <w:spacing w:line="240" w:lineRule="auto" w:before="10"/>
        <w:rPr>
          <w:rFonts w:ascii="宋体" w:hAnsi="宋体" w:cs="宋体" w:eastAsia="宋体" w:hint="default"/>
          <w:sz w:val="22"/>
          <w:szCs w:val="22"/>
        </w:rPr>
      </w:pPr>
    </w:p>
    <w:p>
      <w:pPr>
        <w:pStyle w:val="BodyText"/>
        <w:spacing w:line="316" w:lineRule="auto"/>
        <w:ind w:right="0"/>
        <w:jc w:val="left"/>
      </w:pPr>
      <w:r>
        <w:rPr>
          <w:spacing w:val="-2"/>
        </w:rPr>
        <w:t>公司深圳分行签订编号为</w:t>
      </w:r>
      <w:r>
        <w:rPr>
          <w:rFonts w:ascii="宋体" w:hAnsi="宋体" w:cs="宋体" w:eastAsia="宋体" w:hint="default"/>
          <w:spacing w:val="-2"/>
        </w:rPr>
        <w:t>755XY201901614305</w:t>
      </w:r>
      <w:r>
        <w:rPr>
          <w:spacing w:val="-2"/>
        </w:rPr>
        <w:t>、</w:t>
      </w:r>
      <w:r>
        <w:rPr>
          <w:rFonts w:ascii="宋体" w:hAnsi="宋体" w:cs="宋体" w:eastAsia="宋体" w:hint="default"/>
          <w:spacing w:val="-2"/>
        </w:rPr>
        <w:t>755XY201901614303</w:t>
      </w:r>
      <w:r>
        <w:rPr>
          <w:spacing w:val="-2"/>
        </w:rPr>
        <w:t>、</w:t>
      </w:r>
      <w:r>
        <w:rPr>
          <w:rFonts w:ascii="宋体" w:hAnsi="宋体" w:cs="宋体" w:eastAsia="宋体" w:hint="default"/>
          <w:spacing w:val="-2"/>
        </w:rPr>
        <w:t>755XY201901614302</w:t>
      </w:r>
      <w:r>
        <w:rPr>
          <w:rFonts w:ascii="宋体" w:hAnsi="宋体" w:cs="宋体" w:eastAsia="宋体" w:hint="default"/>
        </w:rPr>
        <w:t> </w:t>
      </w:r>
      <w:r>
        <w:rPr>
          <w:spacing w:val="-3"/>
        </w:rPr>
        <w:t>号的《最高额不可撤销担保书》，</w:t>
      </w:r>
      <w:r>
        <w:rPr>
          <w:spacing w:val="-13"/>
        </w:rPr>
        <w:t> </w:t>
      </w:r>
      <w:r>
        <w:rPr>
          <w:spacing w:val="-13"/>
        </w:rPr>
      </w:r>
      <w:r>
        <w:rPr>
          <w:spacing w:val="-3"/>
        </w:rPr>
        <w:t>为千百辉公司与招商银行股份有限公司深圳分行签订的编号为</w:t>
      </w:r>
      <w:r>
        <w:rPr>
          <w:rFonts w:ascii="宋体" w:hAnsi="宋体" w:cs="宋体" w:eastAsia="宋体" w:hint="default"/>
          <w:spacing w:val="-3"/>
        </w:rPr>
        <w:t>755XY2019016143</w:t>
      </w:r>
      <w:r>
        <w:rPr>
          <w:spacing w:val="-3"/>
        </w:rPr>
        <w:t>号《授信协议》提供连带责任保证，担保金</w:t>
      </w:r>
      <w:r>
        <w:rPr>
          <w:spacing w:val="5"/>
        </w:rPr>
        <w:t> </w:t>
      </w:r>
      <w:r>
        <w:rPr>
          <w:spacing w:val="5"/>
        </w:rPr>
      </w:r>
      <w:r>
        <w:rPr/>
        <w:t>额</w:t>
      </w:r>
      <w:r>
        <w:rPr>
          <w:rFonts w:ascii="宋体" w:hAnsi="宋体" w:cs="宋体" w:eastAsia="宋体" w:hint="default"/>
        </w:rPr>
        <w:t>12,000.00</w:t>
      </w:r>
      <w:r>
        <w:rPr/>
        <w:t>万元。</w:t>
      </w:r>
    </w:p>
    <w:p>
      <w:pPr>
        <w:pStyle w:val="BodyText"/>
        <w:spacing w:line="240" w:lineRule="auto" w:before="19"/>
        <w:ind w:left="513" w:right="0"/>
        <w:jc w:val="left"/>
      </w:pPr>
      <w:r>
        <w:rPr>
          <w:spacing w:val="-3"/>
        </w:rPr>
        <w:t>截止到</w:t>
      </w:r>
      <w:r>
        <w:rPr>
          <w:rFonts w:ascii="宋体" w:hAnsi="宋体" w:cs="宋体" w:eastAsia="宋体" w:hint="default"/>
          <w:spacing w:val="-3"/>
        </w:rPr>
        <w:t>2019</w:t>
      </w:r>
      <w:r>
        <w:rPr>
          <w:spacing w:val="-3"/>
        </w:rPr>
        <w:t>年</w:t>
      </w:r>
      <w:r>
        <w:rPr>
          <w:rFonts w:ascii="宋体" w:hAnsi="宋体" w:cs="宋体" w:eastAsia="宋体" w:hint="default"/>
          <w:spacing w:val="-3"/>
        </w:rPr>
        <w:t>12</w:t>
      </w:r>
      <w:r>
        <w:rPr>
          <w:spacing w:val="-3"/>
        </w:rPr>
        <w:t>月</w:t>
      </w:r>
      <w:r>
        <w:rPr>
          <w:rFonts w:ascii="宋体" w:hAnsi="宋体" w:cs="宋体" w:eastAsia="宋体" w:hint="default"/>
          <w:spacing w:val="-3"/>
        </w:rPr>
        <w:t>31</w:t>
      </w:r>
      <w:r>
        <w:rPr>
          <w:spacing w:val="-3"/>
        </w:rPr>
        <w:t>日，此担保合同下无贷款。</w:t>
      </w:r>
    </w:p>
    <w:p>
      <w:pPr>
        <w:spacing w:line="240" w:lineRule="auto" w:before="0"/>
        <w:rPr>
          <w:rFonts w:ascii="宋体" w:hAnsi="宋体" w:cs="宋体" w:eastAsia="宋体" w:hint="default"/>
          <w:sz w:val="18"/>
          <w:szCs w:val="18"/>
        </w:rPr>
      </w:pPr>
    </w:p>
    <w:p>
      <w:pPr>
        <w:pStyle w:val="BodyText"/>
        <w:spacing w:line="316" w:lineRule="auto" w:before="153"/>
        <w:ind w:right="1126" w:firstLine="360"/>
        <w:jc w:val="both"/>
      </w:pPr>
      <w:r>
        <w:rPr>
          <w:spacing w:val="-3"/>
        </w:rPr>
        <w:t>注</w:t>
      </w:r>
      <w:r>
        <w:rPr>
          <w:rFonts w:ascii="宋体" w:hAnsi="宋体" w:cs="宋体" w:eastAsia="宋体" w:hint="default"/>
          <w:spacing w:val="-3"/>
        </w:rPr>
        <w:t>7</w:t>
      </w:r>
      <w:r>
        <w:rPr>
          <w:spacing w:val="-3"/>
        </w:rPr>
        <w:t>：本公司股东吴涵渠于</w:t>
      </w:r>
      <w:r>
        <w:rPr>
          <w:rFonts w:ascii="宋体" w:hAnsi="宋体" w:cs="宋体" w:eastAsia="宋体" w:hint="default"/>
          <w:spacing w:val="-3"/>
        </w:rPr>
        <w:t>2018</w:t>
      </w:r>
      <w:r>
        <w:rPr>
          <w:spacing w:val="-3"/>
        </w:rPr>
        <w:t>年</w:t>
      </w:r>
      <w:r>
        <w:rPr>
          <w:rFonts w:ascii="宋体" w:hAnsi="宋体" w:cs="宋体" w:eastAsia="宋体" w:hint="default"/>
          <w:spacing w:val="-3"/>
        </w:rPr>
        <w:t>8</w:t>
      </w:r>
      <w:r>
        <w:rPr>
          <w:spacing w:val="-3"/>
        </w:rPr>
        <w:t>月</w:t>
      </w:r>
      <w:r>
        <w:rPr>
          <w:rFonts w:ascii="宋体" w:hAnsi="宋体" w:cs="宋体" w:eastAsia="宋体" w:hint="default"/>
          <w:spacing w:val="-3"/>
        </w:rPr>
        <w:t>8</w:t>
      </w:r>
      <w:r>
        <w:rPr>
          <w:spacing w:val="-3"/>
        </w:rPr>
        <w:t>日与中国银行股份有限公司深圳高新区支行签订了编号为</w:t>
      </w:r>
      <w:r>
        <w:rPr>
          <w:rFonts w:ascii="宋体" w:hAnsi="宋体" w:cs="宋体" w:eastAsia="宋体" w:hint="default"/>
          <w:spacing w:val="-3"/>
        </w:rPr>
        <w:t>2018</w:t>
      </w:r>
      <w:r>
        <w:rPr>
          <w:spacing w:val="-3"/>
        </w:rPr>
        <w:t>圳中银高司保字第</w:t>
      </w:r>
      <w:r>
        <w:rPr>
          <w:w w:val="101"/>
        </w:rPr>
        <w:t> </w:t>
      </w:r>
      <w:r>
        <w:rPr>
          <w:rFonts w:ascii="宋体" w:hAnsi="宋体" w:cs="宋体" w:eastAsia="宋体" w:hint="default"/>
          <w:spacing w:val="-4"/>
        </w:rPr>
        <w:t>0049</w:t>
      </w:r>
      <w:r>
        <w:rPr>
          <w:spacing w:val="-4"/>
        </w:rPr>
        <w:t>号《最高额保证合同》，为本公司与中国银行股份有限公司深圳高新区支行签订的编号为</w:t>
      </w:r>
      <w:r>
        <w:rPr>
          <w:rFonts w:ascii="宋体" w:hAnsi="宋体" w:cs="宋体" w:eastAsia="宋体" w:hint="default"/>
          <w:spacing w:val="-4"/>
        </w:rPr>
        <w:t>2018</w:t>
      </w:r>
      <w:r>
        <w:rPr>
          <w:spacing w:val="-4"/>
        </w:rPr>
        <w:t>圳中银高额协字第</w:t>
      </w:r>
      <w:r>
        <w:rPr>
          <w:rFonts w:ascii="宋体" w:hAnsi="宋体" w:cs="宋体" w:eastAsia="宋体" w:hint="default"/>
          <w:spacing w:val="-4"/>
        </w:rPr>
        <w:t>160044</w:t>
      </w:r>
      <w:r>
        <w:rPr>
          <w:rFonts w:ascii="宋体" w:hAnsi="宋体" w:cs="宋体" w:eastAsia="宋体" w:hint="default"/>
          <w:spacing w:val="67"/>
        </w:rPr>
        <w:t> </w:t>
      </w:r>
      <w:r>
        <w:rPr>
          <w:rFonts w:ascii="宋体" w:hAnsi="宋体" w:cs="宋体" w:eastAsia="宋体" w:hint="default"/>
          <w:spacing w:val="67"/>
        </w:rPr>
      </w:r>
      <w:r>
        <w:rPr>
          <w:spacing w:val="-3"/>
        </w:rPr>
        <w:t>号《授信额度协议》提供连带责任保证，担保金额</w:t>
      </w:r>
      <w:r>
        <w:rPr>
          <w:rFonts w:ascii="宋体" w:hAnsi="宋体" w:cs="宋体" w:eastAsia="宋体" w:hint="default"/>
          <w:spacing w:val="-3"/>
        </w:rPr>
        <w:t>5,000.00</w:t>
      </w:r>
      <w:r>
        <w:rPr>
          <w:spacing w:val="-3"/>
        </w:rPr>
        <w:t>万元。</w:t>
      </w:r>
    </w:p>
    <w:p>
      <w:pPr>
        <w:pStyle w:val="BodyText"/>
        <w:spacing w:line="319" w:lineRule="auto" w:before="19"/>
        <w:ind w:left="513" w:right="0"/>
        <w:jc w:val="left"/>
      </w:pPr>
      <w:r>
        <w:rPr>
          <w:spacing w:val="-3"/>
        </w:rPr>
        <w:t>截止到</w:t>
      </w:r>
      <w:r>
        <w:rPr>
          <w:rFonts w:ascii="宋体" w:hAnsi="宋体" w:cs="宋体" w:eastAsia="宋体" w:hint="default"/>
          <w:spacing w:val="-3"/>
        </w:rPr>
        <w:t>2019</w:t>
      </w:r>
      <w:r>
        <w:rPr>
          <w:spacing w:val="-3"/>
        </w:rPr>
        <w:t>年</w:t>
      </w:r>
      <w:r>
        <w:rPr>
          <w:rFonts w:ascii="宋体" w:hAnsi="宋体" w:cs="宋体" w:eastAsia="宋体" w:hint="default"/>
          <w:spacing w:val="-3"/>
        </w:rPr>
        <w:t>12</w:t>
      </w:r>
      <w:r>
        <w:rPr>
          <w:spacing w:val="-3"/>
        </w:rPr>
        <w:t>月</w:t>
      </w:r>
      <w:r>
        <w:rPr>
          <w:rFonts w:ascii="宋体" w:hAnsi="宋体" w:cs="宋体" w:eastAsia="宋体" w:hint="default"/>
          <w:spacing w:val="-3"/>
        </w:rPr>
        <w:t>31</w:t>
      </w:r>
      <w:r>
        <w:rPr>
          <w:spacing w:val="-3"/>
        </w:rPr>
        <w:t>日，此担保合同下无贷款。</w:t>
      </w:r>
      <w:r>
        <w:rPr>
          <w:spacing w:val="-16"/>
        </w:rPr>
        <w:t> </w:t>
      </w:r>
      <w:r>
        <w:rPr>
          <w:spacing w:val="-16"/>
        </w:rPr>
      </w:r>
      <w:r>
        <w:rPr>
          <w:spacing w:val="-2"/>
        </w:rPr>
        <w:t>注</w:t>
      </w:r>
      <w:r>
        <w:rPr>
          <w:rFonts w:ascii="宋体" w:hAnsi="宋体" w:cs="宋体" w:eastAsia="宋体" w:hint="default"/>
          <w:spacing w:val="-2"/>
        </w:rPr>
        <w:t>8</w:t>
      </w:r>
      <w:r>
        <w:rPr>
          <w:spacing w:val="-2"/>
        </w:rPr>
        <w:t>：本公司股东吴涵渠及其配偶赵燕泥于</w:t>
      </w:r>
      <w:r>
        <w:rPr>
          <w:rFonts w:ascii="宋体" w:hAnsi="宋体" w:cs="宋体" w:eastAsia="宋体" w:hint="default"/>
          <w:spacing w:val="-2"/>
        </w:rPr>
        <w:t>2018</w:t>
      </w:r>
      <w:r>
        <w:rPr>
          <w:spacing w:val="-2"/>
        </w:rPr>
        <w:t>年</w:t>
      </w:r>
      <w:r>
        <w:rPr>
          <w:rFonts w:ascii="宋体" w:hAnsi="宋体" w:cs="宋体" w:eastAsia="宋体" w:hint="default"/>
          <w:spacing w:val="-2"/>
        </w:rPr>
        <w:t>6</w:t>
      </w:r>
      <w:r>
        <w:rPr>
          <w:spacing w:val="-2"/>
        </w:rPr>
        <w:t>月</w:t>
      </w:r>
      <w:r>
        <w:rPr>
          <w:rFonts w:ascii="宋体" w:hAnsi="宋体" w:cs="宋体" w:eastAsia="宋体" w:hint="default"/>
          <w:spacing w:val="-2"/>
        </w:rPr>
        <w:t>7</w:t>
      </w:r>
      <w:r>
        <w:rPr>
          <w:spacing w:val="-2"/>
        </w:rPr>
        <w:t>日分别与招商银行深圳分行签订合同编号为</w:t>
      </w:r>
      <w:r>
        <w:rPr>
          <w:rFonts w:ascii="宋体" w:hAnsi="宋体" w:cs="宋体" w:eastAsia="宋体" w:hint="default"/>
          <w:spacing w:val="-2"/>
        </w:rPr>
        <w:t>755XY201801615601</w:t>
      </w:r>
      <w:r>
        <w:rPr>
          <w:spacing w:val="-2"/>
        </w:rPr>
        <w:t>、</w:t>
      </w:r>
    </w:p>
    <w:p>
      <w:pPr>
        <w:pStyle w:val="BodyText"/>
        <w:spacing w:line="316" w:lineRule="auto" w:before="17"/>
        <w:ind w:right="0"/>
        <w:jc w:val="left"/>
      </w:pPr>
      <w:r>
        <w:rPr>
          <w:rFonts w:ascii="宋体" w:hAnsi="宋体" w:cs="宋体" w:eastAsia="宋体" w:hint="default"/>
          <w:spacing w:val="-4"/>
        </w:rPr>
        <w:t>755XY201801615602</w:t>
      </w:r>
      <w:r>
        <w:rPr>
          <w:spacing w:val="-4"/>
        </w:rPr>
        <w:t>号《最高额不可撤销担保书》，为本公司与招商银行深圳分行签订的编号为</w:t>
      </w:r>
      <w:r>
        <w:rPr>
          <w:rFonts w:ascii="宋体" w:hAnsi="宋体" w:cs="宋体" w:eastAsia="宋体" w:hint="default"/>
          <w:spacing w:val="-4"/>
        </w:rPr>
        <w:t>755XY2018016156</w:t>
      </w:r>
      <w:r>
        <w:rPr>
          <w:spacing w:val="-4"/>
        </w:rPr>
        <w:t>的《授信协</w:t>
      </w:r>
      <w:r>
        <w:rPr>
          <w:spacing w:val="14"/>
        </w:rPr>
        <w:t> </w:t>
      </w:r>
      <w:r>
        <w:rPr>
          <w:spacing w:val="14"/>
        </w:rPr>
      </w:r>
      <w:r>
        <w:rPr/>
        <w:t>议》提供连带责任保证，担保金额</w:t>
      </w:r>
      <w:r>
        <w:rPr>
          <w:rFonts w:ascii="宋体" w:hAnsi="宋体" w:cs="宋体" w:eastAsia="宋体" w:hint="default"/>
        </w:rPr>
        <w:t>5,000.00</w:t>
      </w:r>
      <w:r>
        <w:rPr/>
        <w:t>万元。</w:t>
      </w:r>
    </w:p>
    <w:p>
      <w:pPr>
        <w:pStyle w:val="BodyText"/>
        <w:spacing w:line="316" w:lineRule="auto" w:before="19"/>
        <w:ind w:left="513" w:right="0"/>
        <w:jc w:val="left"/>
        <w:rPr>
          <w:rFonts w:ascii="宋体" w:hAnsi="宋体" w:cs="宋体" w:eastAsia="宋体" w:hint="default"/>
        </w:rPr>
      </w:pPr>
      <w:r>
        <w:rPr>
          <w:spacing w:val="-3"/>
        </w:rPr>
        <w:t>截止到</w:t>
      </w:r>
      <w:r>
        <w:rPr>
          <w:rFonts w:ascii="宋体" w:hAnsi="宋体" w:cs="宋体" w:eastAsia="宋体" w:hint="default"/>
          <w:spacing w:val="-3"/>
        </w:rPr>
        <w:t>2019</w:t>
      </w:r>
      <w:r>
        <w:rPr>
          <w:spacing w:val="-3"/>
        </w:rPr>
        <w:t>年</w:t>
      </w:r>
      <w:r>
        <w:rPr>
          <w:rFonts w:ascii="宋体" w:hAnsi="宋体" w:cs="宋体" w:eastAsia="宋体" w:hint="default"/>
          <w:spacing w:val="-3"/>
        </w:rPr>
        <w:t>12</w:t>
      </w:r>
      <w:r>
        <w:rPr>
          <w:spacing w:val="-3"/>
        </w:rPr>
        <w:t>月</w:t>
      </w:r>
      <w:r>
        <w:rPr>
          <w:rFonts w:ascii="宋体" w:hAnsi="宋体" w:cs="宋体" w:eastAsia="宋体" w:hint="default"/>
          <w:spacing w:val="-3"/>
        </w:rPr>
        <w:t>31</w:t>
      </w:r>
      <w:r>
        <w:rPr>
          <w:spacing w:val="-3"/>
        </w:rPr>
        <w:t>日，此担保合同下无贷款。</w:t>
      </w:r>
      <w:r>
        <w:rPr>
          <w:spacing w:val="-16"/>
        </w:rPr>
        <w:t> </w:t>
      </w:r>
      <w:r>
        <w:rPr>
          <w:spacing w:val="-16"/>
        </w:rPr>
      </w:r>
      <w:r>
        <w:rPr>
          <w:spacing w:val="-2"/>
        </w:rPr>
        <w:t>注</w:t>
      </w:r>
      <w:r>
        <w:rPr>
          <w:rFonts w:ascii="宋体" w:hAnsi="宋体" w:cs="宋体" w:eastAsia="宋体" w:hint="default"/>
          <w:spacing w:val="-2"/>
        </w:rPr>
        <w:t>9</w:t>
      </w:r>
      <w:r>
        <w:rPr>
          <w:spacing w:val="-2"/>
        </w:rPr>
        <w:t>：本公司股东吴涵渠于</w:t>
      </w:r>
      <w:r>
        <w:rPr>
          <w:rFonts w:ascii="宋体" w:hAnsi="宋体" w:cs="宋体" w:eastAsia="宋体" w:hint="default"/>
          <w:spacing w:val="-2"/>
        </w:rPr>
        <w:t>2018</w:t>
      </w:r>
      <w:r>
        <w:rPr>
          <w:spacing w:val="-2"/>
        </w:rPr>
        <w:t>年</w:t>
      </w:r>
      <w:r>
        <w:rPr>
          <w:rFonts w:ascii="宋体" w:hAnsi="宋体" w:cs="宋体" w:eastAsia="宋体" w:hint="default"/>
          <w:spacing w:val="-2"/>
        </w:rPr>
        <w:t>8</w:t>
      </w:r>
      <w:r>
        <w:rPr>
          <w:spacing w:val="-2"/>
        </w:rPr>
        <w:t>月</w:t>
      </w:r>
      <w:r>
        <w:rPr>
          <w:rFonts w:ascii="宋体" w:hAnsi="宋体" w:cs="宋体" w:eastAsia="宋体" w:hint="default"/>
          <w:spacing w:val="-2"/>
        </w:rPr>
        <w:t>15</w:t>
      </w:r>
      <w:r>
        <w:rPr>
          <w:spacing w:val="-2"/>
        </w:rPr>
        <w:t>日与中国农业银行股份有限公司深圳南山支行签订了编号为</w:t>
      </w:r>
      <w:r>
        <w:rPr>
          <w:rFonts w:ascii="宋体" w:hAnsi="宋体" w:cs="宋体" w:eastAsia="宋体" w:hint="default"/>
          <w:spacing w:val="-2"/>
        </w:rPr>
        <w:t>81100520180000915</w:t>
      </w:r>
    </w:p>
    <w:p>
      <w:pPr>
        <w:pStyle w:val="BodyText"/>
        <w:spacing w:line="316" w:lineRule="auto" w:before="19"/>
        <w:ind w:right="0"/>
        <w:jc w:val="left"/>
      </w:pPr>
      <w:r>
        <w:rPr>
          <w:spacing w:val="-3"/>
        </w:rPr>
        <w:t>号《最高额保证合同》，为本公司与中国农业银行股份有限公司深圳南山支行签订的编号为</w:t>
      </w:r>
      <w:r>
        <w:rPr>
          <w:rFonts w:ascii="宋体" w:hAnsi="宋体" w:cs="宋体" w:eastAsia="宋体" w:hint="default"/>
          <w:spacing w:val="-3"/>
        </w:rPr>
        <w:t>81200201800003870</w:t>
      </w:r>
      <w:r>
        <w:rPr>
          <w:spacing w:val="-3"/>
        </w:rPr>
        <w:t>号《最高额</w:t>
      </w:r>
      <w:r>
        <w:rPr>
          <w:spacing w:val="8"/>
        </w:rPr>
        <w:t> </w:t>
      </w:r>
      <w:r>
        <w:rPr>
          <w:spacing w:val="8"/>
        </w:rPr>
      </w:r>
      <w:r>
        <w:rPr>
          <w:spacing w:val="-3"/>
        </w:rPr>
        <w:t>综合授信合同》提供连带责任保证，担保金额</w:t>
      </w:r>
      <w:r>
        <w:rPr>
          <w:rFonts w:ascii="宋体" w:hAnsi="宋体" w:cs="宋体" w:eastAsia="宋体" w:hint="default"/>
          <w:spacing w:val="-3"/>
        </w:rPr>
        <w:t>12,000.00</w:t>
      </w:r>
      <w:r>
        <w:rPr>
          <w:spacing w:val="-3"/>
        </w:rPr>
        <w:t>万元。</w:t>
      </w:r>
    </w:p>
    <w:p>
      <w:pPr>
        <w:pStyle w:val="BodyText"/>
        <w:spacing w:line="316" w:lineRule="auto" w:before="19"/>
        <w:ind w:left="513" w:right="0"/>
        <w:jc w:val="left"/>
        <w:rPr>
          <w:rFonts w:ascii="宋体" w:hAnsi="宋体" w:cs="宋体" w:eastAsia="宋体" w:hint="default"/>
        </w:rPr>
      </w:pPr>
      <w:r>
        <w:rPr/>
        <w:t>截止到</w:t>
      </w:r>
      <w:r>
        <w:rPr>
          <w:rFonts w:ascii="宋体" w:hAnsi="宋体" w:cs="宋体" w:eastAsia="宋体" w:hint="default"/>
        </w:rPr>
        <w:t>2019</w:t>
      </w:r>
      <w:r>
        <w:rPr/>
        <w:t>年</w:t>
      </w:r>
      <w:r>
        <w:rPr>
          <w:rFonts w:ascii="宋体" w:hAnsi="宋体" w:cs="宋体" w:eastAsia="宋体" w:hint="default"/>
        </w:rPr>
        <w:t>12</w:t>
      </w:r>
      <w:r>
        <w:rPr/>
        <w:t>月</w:t>
      </w:r>
      <w:r>
        <w:rPr>
          <w:rFonts w:ascii="宋体" w:hAnsi="宋体" w:cs="宋体" w:eastAsia="宋体" w:hint="default"/>
        </w:rPr>
        <w:t>31</w:t>
      </w:r>
      <w:r>
        <w:rPr/>
        <w:t>日，此担保合同无贷款。</w:t>
      </w:r>
      <w:r>
        <w:rPr>
          <w:w w:val="101"/>
        </w:rPr>
        <w:t> </w:t>
      </w:r>
      <w:r>
        <w:rPr>
          <w:spacing w:val="-4"/>
          <w:w w:val="101"/>
        </w:rPr>
        <w:t>注</w:t>
      </w:r>
      <w:r>
        <w:rPr>
          <w:rFonts w:ascii="宋体" w:hAnsi="宋体" w:cs="宋体" w:eastAsia="宋体" w:hint="default"/>
          <w:spacing w:val="-4"/>
          <w:w w:val="101"/>
        </w:rPr>
        <w:t>10</w:t>
      </w:r>
      <w:r>
        <w:rPr>
          <w:spacing w:val="-4"/>
          <w:w w:val="101"/>
        </w:rPr>
        <w:t>：本公司股东吴涵渠及其配偶赵燕泥于</w:t>
      </w:r>
      <w:r>
        <w:rPr>
          <w:rFonts w:ascii="宋体" w:hAnsi="宋体" w:cs="宋体" w:eastAsia="宋体" w:hint="default"/>
          <w:spacing w:val="-4"/>
          <w:w w:val="101"/>
        </w:rPr>
        <w:t>2019</w:t>
      </w:r>
      <w:r>
        <w:rPr>
          <w:spacing w:val="-4"/>
          <w:w w:val="101"/>
        </w:rPr>
        <w:t>年</w:t>
      </w:r>
      <w:r>
        <w:rPr>
          <w:rFonts w:ascii="宋体" w:hAnsi="宋体" w:cs="宋体" w:eastAsia="宋体" w:hint="default"/>
          <w:spacing w:val="-4"/>
          <w:w w:val="101"/>
        </w:rPr>
        <w:t>10</w:t>
      </w:r>
      <w:r>
        <w:rPr>
          <w:spacing w:val="-4"/>
          <w:w w:val="101"/>
        </w:rPr>
        <w:t>月</w:t>
      </w:r>
      <w:r>
        <w:rPr>
          <w:rFonts w:ascii="宋体" w:hAnsi="宋体" w:cs="宋体" w:eastAsia="宋体" w:hint="default"/>
          <w:spacing w:val="-4"/>
          <w:w w:val="101"/>
        </w:rPr>
        <w:t>19</w:t>
      </w:r>
      <w:r>
        <w:rPr>
          <w:spacing w:val="-4"/>
          <w:w w:val="101"/>
        </w:rPr>
        <w:t>日与中国银行股份有限公司深圳高新区支行签订了编号为</w:t>
      </w:r>
      <w:r>
        <w:rPr>
          <w:rFonts w:ascii="宋体" w:hAnsi="宋体" w:cs="宋体" w:eastAsia="宋体" w:hint="default"/>
          <w:spacing w:val="-4"/>
          <w:w w:val="101"/>
        </w:rPr>
        <w:t>2019</w:t>
      </w:r>
      <w:r>
        <w:rPr>
          <w:rFonts w:ascii="宋体" w:hAnsi="宋体" w:cs="宋体" w:eastAsia="宋体" w:hint="default"/>
          <w:spacing w:val="-4"/>
        </w:rPr>
      </w:r>
    </w:p>
    <w:p>
      <w:pPr>
        <w:pStyle w:val="BodyText"/>
        <w:spacing w:line="319" w:lineRule="auto" w:before="19"/>
        <w:ind w:right="0"/>
        <w:jc w:val="left"/>
      </w:pPr>
      <w:r>
        <w:rPr>
          <w:spacing w:val="-4"/>
        </w:rPr>
        <w:t>圳中银高司保字第</w:t>
      </w:r>
      <w:r>
        <w:rPr>
          <w:rFonts w:ascii="宋体" w:hAnsi="宋体" w:cs="宋体" w:eastAsia="宋体" w:hint="default"/>
          <w:spacing w:val="-4"/>
        </w:rPr>
        <w:t>0025</w:t>
      </w:r>
      <w:r>
        <w:rPr>
          <w:spacing w:val="-4"/>
        </w:rPr>
        <w:t>号《最高额保证合同》，为本公司与中国银行股份有限公司深圳高新区支行签订的编号为</w:t>
      </w:r>
      <w:r>
        <w:rPr>
          <w:rFonts w:ascii="宋体" w:hAnsi="宋体" w:cs="宋体" w:eastAsia="宋体" w:hint="default"/>
          <w:spacing w:val="-4"/>
        </w:rPr>
        <w:t>2019</w:t>
      </w:r>
      <w:r>
        <w:rPr>
          <w:spacing w:val="-4"/>
        </w:rPr>
        <w:t>圳中银</w:t>
      </w:r>
      <w:r>
        <w:rPr>
          <w:spacing w:val="55"/>
        </w:rPr>
        <w:t> </w:t>
      </w:r>
      <w:r>
        <w:rPr>
          <w:spacing w:val="55"/>
        </w:rPr>
      </w:r>
      <w:r>
        <w:rPr>
          <w:spacing w:val="-3"/>
        </w:rPr>
        <w:t>高额协字第</w:t>
      </w:r>
      <w:r>
        <w:rPr>
          <w:rFonts w:ascii="宋体" w:hAnsi="宋体" w:cs="宋体" w:eastAsia="宋体" w:hint="default"/>
          <w:spacing w:val="-3"/>
        </w:rPr>
        <w:t>160026</w:t>
      </w:r>
      <w:r>
        <w:rPr>
          <w:spacing w:val="-3"/>
        </w:rPr>
        <w:t>号《授信额度协议》提供连带责任保证，担保金额</w:t>
      </w:r>
      <w:r>
        <w:rPr>
          <w:rFonts w:ascii="宋体" w:hAnsi="宋体" w:cs="宋体" w:eastAsia="宋体" w:hint="default"/>
          <w:spacing w:val="-3"/>
        </w:rPr>
        <w:t>5,000.00</w:t>
      </w:r>
      <w:r>
        <w:rPr>
          <w:spacing w:val="-3"/>
        </w:rPr>
        <w:t>万元。</w:t>
      </w:r>
    </w:p>
    <w:p>
      <w:pPr>
        <w:pStyle w:val="BodyText"/>
        <w:spacing w:line="316" w:lineRule="auto" w:before="17"/>
        <w:ind w:left="513" w:right="0"/>
        <w:jc w:val="left"/>
      </w:pPr>
      <w:r>
        <w:rPr>
          <w:spacing w:val="-3"/>
        </w:rPr>
        <w:t>截止到</w:t>
      </w:r>
      <w:r>
        <w:rPr>
          <w:rFonts w:ascii="宋体" w:hAnsi="宋体" w:cs="宋体" w:eastAsia="宋体" w:hint="default"/>
          <w:spacing w:val="-3"/>
        </w:rPr>
        <w:t>2019</w:t>
      </w:r>
      <w:r>
        <w:rPr>
          <w:spacing w:val="-3"/>
        </w:rPr>
        <w:t>年</w:t>
      </w:r>
      <w:r>
        <w:rPr>
          <w:rFonts w:ascii="宋体" w:hAnsi="宋体" w:cs="宋体" w:eastAsia="宋体" w:hint="default"/>
          <w:spacing w:val="-3"/>
        </w:rPr>
        <w:t>12</w:t>
      </w:r>
      <w:r>
        <w:rPr>
          <w:spacing w:val="-3"/>
        </w:rPr>
        <w:t>月</w:t>
      </w:r>
      <w:r>
        <w:rPr>
          <w:rFonts w:ascii="宋体" w:hAnsi="宋体" w:cs="宋体" w:eastAsia="宋体" w:hint="default"/>
          <w:spacing w:val="-3"/>
        </w:rPr>
        <w:t>31</w:t>
      </w:r>
      <w:r>
        <w:rPr>
          <w:spacing w:val="-3"/>
        </w:rPr>
        <w:t>日，此担保合同下无贷款。</w:t>
      </w:r>
      <w:r>
        <w:rPr>
          <w:spacing w:val="-16"/>
        </w:rPr>
        <w:t> </w:t>
      </w:r>
      <w:r>
        <w:rPr>
          <w:spacing w:val="-16"/>
        </w:rPr>
      </w:r>
      <w:r>
        <w:rPr>
          <w:spacing w:val="-3"/>
        </w:rPr>
        <w:t>注</w:t>
      </w:r>
      <w:r>
        <w:rPr>
          <w:rFonts w:ascii="宋体" w:hAnsi="宋体" w:cs="宋体" w:eastAsia="宋体" w:hint="default"/>
          <w:spacing w:val="-3"/>
        </w:rPr>
        <w:t>11</w:t>
      </w:r>
      <w:r>
        <w:rPr>
          <w:spacing w:val="-3"/>
        </w:rPr>
        <w:t>：本公司股东吴涵渠及其配偶赵燕泥于</w:t>
      </w:r>
      <w:r>
        <w:rPr>
          <w:rFonts w:ascii="宋体" w:hAnsi="宋体" w:cs="宋体" w:eastAsia="宋体" w:hint="default"/>
          <w:spacing w:val="-3"/>
        </w:rPr>
        <w:t>2019</w:t>
      </w:r>
      <w:r>
        <w:rPr>
          <w:spacing w:val="-3"/>
        </w:rPr>
        <w:t>年</w:t>
      </w:r>
      <w:r>
        <w:rPr>
          <w:rFonts w:ascii="宋体" w:hAnsi="宋体" w:cs="宋体" w:eastAsia="宋体" w:hint="default"/>
          <w:spacing w:val="-3"/>
        </w:rPr>
        <w:t>7</w:t>
      </w:r>
      <w:r>
        <w:rPr>
          <w:spacing w:val="-3"/>
        </w:rPr>
        <w:t>月</w:t>
      </w:r>
      <w:r>
        <w:rPr>
          <w:rFonts w:ascii="宋体" w:hAnsi="宋体" w:cs="宋体" w:eastAsia="宋体" w:hint="default"/>
          <w:spacing w:val="-3"/>
        </w:rPr>
        <w:t>25</w:t>
      </w:r>
      <w:r>
        <w:rPr>
          <w:spacing w:val="-3"/>
        </w:rPr>
        <w:t>日分别与招商银行深圳分行签订合同编号为</w:t>
      </w:r>
    </w:p>
    <w:p>
      <w:pPr>
        <w:pStyle w:val="BodyText"/>
        <w:spacing w:line="240" w:lineRule="auto" w:before="19"/>
        <w:ind w:right="0"/>
        <w:jc w:val="left"/>
      </w:pPr>
      <w:r>
        <w:rPr>
          <w:rFonts w:ascii="宋体" w:hAnsi="宋体" w:cs="宋体" w:eastAsia="宋体" w:hint="default"/>
        </w:rPr>
        <w:t>755XY201901614301</w:t>
      </w:r>
      <w:r>
        <w:rPr/>
        <w:t>、</w:t>
      </w:r>
      <w:r>
        <w:rPr>
          <w:rFonts w:ascii="宋体" w:hAnsi="宋体" w:cs="宋体" w:eastAsia="宋体" w:hint="default"/>
        </w:rPr>
        <w:t>755XY201901614304</w:t>
      </w:r>
      <w:r>
        <w:rPr/>
        <w:t>号《最高额不可撤销担保书》，为本公司与招商银行深圳分行签订的编号为</w:t>
      </w:r>
    </w:p>
    <w:p>
      <w:pPr>
        <w:pStyle w:val="BodyText"/>
        <w:spacing w:line="316" w:lineRule="auto" w:before="76"/>
        <w:ind w:left="513" w:right="1317" w:hanging="360"/>
        <w:jc w:val="left"/>
      </w:pPr>
      <w:r>
        <w:rPr>
          <w:rFonts w:ascii="宋体" w:hAnsi="宋体" w:cs="宋体" w:eastAsia="宋体" w:hint="default"/>
          <w:spacing w:val="-2"/>
        </w:rPr>
        <w:t>755XY2019016143</w:t>
      </w:r>
      <w:r>
        <w:rPr>
          <w:spacing w:val="-2"/>
        </w:rPr>
        <w:t>的《授信协议》提供连带责任保证，担保金额</w:t>
      </w:r>
      <w:r>
        <w:rPr>
          <w:rFonts w:ascii="宋体" w:hAnsi="宋体" w:cs="宋体" w:eastAsia="宋体" w:hint="default"/>
          <w:spacing w:val="-2"/>
        </w:rPr>
        <w:t>12,000.00</w:t>
      </w:r>
      <w:r>
        <w:rPr>
          <w:spacing w:val="-2"/>
        </w:rPr>
        <w:t>万元。</w:t>
      </w:r>
      <w:r>
        <w:rPr>
          <w:spacing w:val="6"/>
        </w:rPr>
        <w:t> </w:t>
      </w:r>
      <w:r>
        <w:rPr>
          <w:spacing w:val="6"/>
        </w:rPr>
      </w:r>
      <w:r>
        <w:rPr>
          <w:spacing w:val="-3"/>
        </w:rPr>
        <w:t>截止到</w:t>
      </w:r>
      <w:r>
        <w:rPr>
          <w:rFonts w:ascii="宋体" w:hAnsi="宋体" w:cs="宋体" w:eastAsia="宋体" w:hint="default"/>
          <w:spacing w:val="-3"/>
        </w:rPr>
        <w:t>2019</w:t>
      </w:r>
      <w:r>
        <w:rPr>
          <w:spacing w:val="-3"/>
        </w:rPr>
        <w:t>年</w:t>
      </w:r>
      <w:r>
        <w:rPr>
          <w:rFonts w:ascii="宋体" w:hAnsi="宋体" w:cs="宋体" w:eastAsia="宋体" w:hint="default"/>
          <w:spacing w:val="-3"/>
        </w:rPr>
        <w:t>12</w:t>
      </w:r>
      <w:r>
        <w:rPr>
          <w:spacing w:val="-3"/>
        </w:rPr>
        <w:t>月</w:t>
      </w:r>
      <w:r>
        <w:rPr>
          <w:rFonts w:ascii="宋体" w:hAnsi="宋体" w:cs="宋体" w:eastAsia="宋体" w:hint="default"/>
          <w:spacing w:val="-3"/>
        </w:rPr>
        <w:t>31</w:t>
      </w:r>
      <w:r>
        <w:rPr>
          <w:spacing w:val="-3"/>
        </w:rPr>
        <w:t>日，此担保合同下无贷款。</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Heading4"/>
        <w:spacing w:line="240" w:lineRule="auto" w:before="137"/>
        <w:ind w:right="0"/>
        <w:jc w:val="left"/>
        <w:rPr>
          <w:b w:val="0"/>
          <w:bCs w:val="0"/>
        </w:rPr>
      </w:pPr>
      <w:bookmarkStart w:name="（5）关联方资金拆借" w:id="487"/>
      <w:bookmarkEnd w:id="487"/>
      <w:r>
        <w:rPr>
          <w:b w:val="0"/>
          <w:bCs w:val="0"/>
        </w:rPr>
      </w:r>
      <w:r>
        <w:rPr/>
        <w:t>（</w:t>
      </w:r>
      <w:r>
        <w:rPr>
          <w:rFonts w:ascii="Times New Roman" w:hAnsi="Times New Roman" w:cs="Times New Roman" w:eastAsia="Times New Roman" w:hint="default"/>
        </w:rPr>
        <w:t>5</w:t>
      </w:r>
      <w:r>
        <w:rPr/>
        <w:t>）关联方资金拆借</w:t>
      </w:r>
      <w:r>
        <w:rPr>
          <w:b w:val="0"/>
          <w:bCs w:val="0"/>
        </w:rPr>
      </w:r>
    </w:p>
    <w:p>
      <w:pPr>
        <w:spacing w:line="240" w:lineRule="auto" w:before="9"/>
        <w:rPr>
          <w:rFonts w:ascii="宋体" w:hAnsi="宋体" w:cs="宋体" w:eastAsia="宋体" w:hint="default"/>
          <w:b/>
          <w:bCs/>
          <w:sz w:val="26"/>
          <w:szCs w:val="26"/>
        </w:rPr>
      </w:pPr>
    </w:p>
    <w:p>
      <w:pPr>
        <w:pStyle w:val="BodyText"/>
        <w:spacing w:line="240" w:lineRule="auto" w:before="0"/>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16"/>
        <w:gridCol w:w="1911"/>
        <w:gridCol w:w="1916"/>
        <w:gridCol w:w="1916"/>
        <w:gridCol w:w="1916"/>
      </w:tblGrid>
      <w:tr>
        <w:trPr>
          <w:trHeight w:val="399"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9"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590" w:right="0"/>
              <w:jc w:val="left"/>
              <w:rPr>
                <w:rFonts w:ascii="宋体" w:hAnsi="宋体" w:cs="宋体" w:eastAsia="宋体" w:hint="default"/>
                <w:sz w:val="18"/>
                <w:szCs w:val="18"/>
              </w:rPr>
            </w:pPr>
            <w:r>
              <w:rPr>
                <w:rFonts w:ascii="宋体" w:hAnsi="宋体" w:cs="宋体" w:eastAsia="宋体" w:hint="default"/>
                <w:sz w:val="18"/>
                <w:szCs w:val="18"/>
              </w:rPr>
              <w:t>拆借金额</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9" w:right="0"/>
              <w:jc w:val="center"/>
              <w:rPr>
                <w:rFonts w:ascii="宋体" w:hAnsi="宋体" w:cs="宋体" w:eastAsia="宋体" w:hint="default"/>
                <w:sz w:val="18"/>
                <w:szCs w:val="18"/>
              </w:rPr>
            </w:pPr>
            <w:r>
              <w:rPr>
                <w:rFonts w:ascii="宋体" w:hAnsi="宋体" w:cs="宋体" w:eastAsia="宋体" w:hint="default"/>
                <w:sz w:val="18"/>
                <w:szCs w:val="18"/>
              </w:rPr>
              <w:t>起始日</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9" w:right="0"/>
              <w:jc w:val="center"/>
              <w:rPr>
                <w:rFonts w:ascii="宋体" w:hAnsi="宋体" w:cs="宋体" w:eastAsia="宋体" w:hint="default"/>
                <w:sz w:val="18"/>
                <w:szCs w:val="18"/>
              </w:rPr>
            </w:pPr>
            <w:r>
              <w:rPr>
                <w:rFonts w:ascii="宋体" w:hAnsi="宋体" w:cs="宋体" w:eastAsia="宋体" w:hint="default"/>
                <w:sz w:val="18"/>
                <w:szCs w:val="18"/>
              </w:rPr>
              <w:t>到期日</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5"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403" w:hRule="exact"/>
        </w:trPr>
        <w:tc>
          <w:tcPr>
            <w:tcW w:w="9575"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拆入</w:t>
            </w:r>
          </w:p>
        </w:tc>
      </w:tr>
      <w:tr>
        <w:trPr>
          <w:trHeight w:val="403" w:hRule="exact"/>
        </w:trPr>
        <w:tc>
          <w:tcPr>
            <w:tcW w:w="9575"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拆出</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6）关联方资产转让、债务重组情况" w:id="488"/>
      <w:bookmarkEnd w:id="488"/>
      <w:r>
        <w:rPr>
          <w:b w:val="0"/>
          <w:bCs w:val="0"/>
        </w:rPr>
      </w:r>
      <w:r>
        <w:rPr/>
        <w:t>（</w:t>
      </w:r>
      <w:r>
        <w:rPr>
          <w:rFonts w:ascii="Times New Roman" w:hAnsi="Times New Roman" w:cs="Times New Roman" w:eastAsia="Times New Roman" w:hint="default"/>
        </w:rPr>
        <w:t>6</w:t>
      </w:r>
      <w:r>
        <w:rPr/>
        <w:t>）关联方资产转让、债务重组情况</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391"/>
        <w:gridCol w:w="2396"/>
        <w:gridCol w:w="2391"/>
        <w:gridCol w:w="2391"/>
      </w:tblGrid>
      <w:tr>
        <w:trPr>
          <w:trHeight w:val="398"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52"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39"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44"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7）关键管理人员报酬" w:id="489"/>
      <w:bookmarkEnd w:id="489"/>
      <w:r>
        <w:rPr>
          <w:b w:val="0"/>
          <w:bCs w:val="0"/>
        </w:rPr>
      </w:r>
      <w:r>
        <w:rPr/>
        <w:t>（</w:t>
      </w:r>
      <w:r>
        <w:rPr>
          <w:rFonts w:ascii="Times New Roman" w:hAnsi="Times New Roman" w:cs="Times New Roman" w:eastAsia="Times New Roman" w:hint="default"/>
        </w:rPr>
        <w:t>7</w:t>
      </w:r>
      <w:r>
        <w:rPr/>
        <w:t>）关键管理人员报酬</w:t>
      </w:r>
      <w:r>
        <w:rPr>
          <w:b w:val="0"/>
          <w:bCs w:val="0"/>
        </w:rPr>
      </w:r>
    </w:p>
    <w:p>
      <w:pPr>
        <w:spacing w:line="240" w:lineRule="auto" w:before="7"/>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after="0" w:line="240" w:lineRule="auto"/>
        <w:jc w:val="center"/>
        <w:rPr>
          <w:rFonts w:ascii="宋体" w:hAnsi="宋体" w:cs="宋体" w:eastAsia="宋体" w:hint="default"/>
          <w:sz w:val="18"/>
          <w:szCs w:val="18"/>
        </w:rPr>
        <w:sectPr>
          <w:pgSz w:w="11910" w:h="16840"/>
          <w:pgMar w:header="784" w:footer="1022" w:top="1100" w:bottom="1220" w:left="980" w:right="0"/>
        </w:sectPr>
      </w:pPr>
    </w:p>
    <w:p>
      <w:pPr>
        <w:spacing w:line="240" w:lineRule="auto" w:before="7"/>
        <w:rPr>
          <w:rFonts w:ascii="宋体" w:hAnsi="宋体" w:cs="宋体" w:eastAsia="宋体" w:hint="default"/>
          <w:sz w:val="25"/>
          <w:szCs w:val="25"/>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总额</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7,080,000.00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6,360,000.00</w:t>
            </w:r>
          </w:p>
        </w:tc>
      </w:tr>
      <w:tr>
        <w:trPr>
          <w:trHeight w:val="398"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其中：（各金额区间人数）</w:t>
            </w:r>
          </w:p>
        </w:tc>
        <w:tc>
          <w:tcPr>
            <w:tcW w:w="3193" w:type="dxa"/>
            <w:tcBorders>
              <w:top w:val="single" w:sz="4" w:space="0" w:color="000000"/>
              <w:left w:val="single" w:sz="4" w:space="0" w:color="000000"/>
              <w:bottom w:val="single" w:sz="4" w:space="0" w:color="000000"/>
              <w:right w:val="single" w:sz="4" w:space="0" w:color="000000"/>
            </w:tcBorders>
          </w:tcPr>
          <w:p>
            <w:pPr/>
          </w:p>
        </w:tc>
        <w:tc>
          <w:tcPr>
            <w:tcW w:w="3193"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万元以上</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5"/>
              <w:jc w:val="right"/>
              <w:rPr>
                <w:rFonts w:ascii="Times New Roman" w:hAnsi="Times New Roman" w:cs="Times New Roman" w:eastAsia="Times New Roman" w:hint="default"/>
                <w:sz w:val="18"/>
                <w:szCs w:val="18"/>
              </w:rPr>
            </w:pPr>
            <w:r>
              <w:rPr>
                <w:rFonts w:ascii="Times New Roman"/>
                <w:sz w:val="18"/>
              </w:rPr>
              <w:t>10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03"/>
              <w:jc w:val="right"/>
              <w:rPr>
                <w:rFonts w:ascii="Times New Roman" w:hAnsi="Times New Roman" w:cs="Times New Roman" w:eastAsia="Times New Roman" w:hint="default"/>
                <w:sz w:val="18"/>
                <w:szCs w:val="18"/>
              </w:rPr>
            </w:pPr>
            <w:r>
              <w:rPr>
                <w:rFonts w:ascii="Times New Roman"/>
                <w:w w:val="101"/>
                <w:sz w:val="18"/>
              </w:rPr>
              <w:t>9</w:t>
            </w:r>
            <w:r>
              <w:rPr>
                <w:rFonts w:ascii="Times New Roman"/>
                <w:sz w:val="18"/>
              </w:rPr>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宋体" w:hAnsi="宋体" w:cs="宋体" w:eastAsia="宋体" w:hint="default"/>
                <w:sz w:val="18"/>
                <w:szCs w:val="18"/>
              </w:rPr>
              <w:t>～</w:t>
            </w:r>
            <w:r>
              <w:rPr>
                <w:rFonts w:ascii="Times New Roman" w:hAnsi="Times New Roman" w:cs="Times New Roman" w:eastAsia="Times New Roman" w:hint="default"/>
                <w:sz w:val="18"/>
                <w:szCs w:val="18"/>
              </w:rPr>
              <w:t>35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万元</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w w:val="101"/>
                <w:sz w:val="18"/>
              </w:rPr>
              <w:t>1</w:t>
            </w:r>
            <w:r>
              <w:rPr>
                <w:rFonts w:ascii="Times New Roman"/>
                <w:sz w:val="18"/>
              </w:rPr>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3"/>
              <w:jc w:val="right"/>
              <w:rPr>
                <w:rFonts w:ascii="Times New Roman" w:hAnsi="Times New Roman" w:cs="Times New Roman" w:eastAsia="Times New Roman" w:hint="default"/>
                <w:sz w:val="18"/>
                <w:szCs w:val="18"/>
              </w:rPr>
            </w:pPr>
            <w:r>
              <w:rPr>
                <w:rFonts w:ascii="Times New Roman"/>
                <w:w w:val="101"/>
                <w:sz w:val="18"/>
              </w:rPr>
              <w:t>1</w:t>
            </w:r>
            <w:r>
              <w:rPr>
                <w:rFonts w:ascii="Times New Roman"/>
                <w:sz w:val="18"/>
              </w:rPr>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w:t>
            </w:r>
            <w:r>
              <w:rPr>
                <w:rFonts w:ascii="宋体" w:hAnsi="宋体" w:cs="宋体" w:eastAsia="宋体" w:hint="default"/>
                <w:sz w:val="18"/>
                <w:szCs w:val="18"/>
              </w:rPr>
              <w:t>～</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万元</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w w:val="101"/>
                <w:sz w:val="18"/>
              </w:rPr>
              <w:t>5</w:t>
            </w:r>
            <w:r>
              <w:rPr>
                <w:rFonts w:ascii="Times New Roman"/>
                <w:sz w:val="18"/>
              </w:rPr>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3"/>
              <w:jc w:val="right"/>
              <w:rPr>
                <w:rFonts w:ascii="Times New Roman" w:hAnsi="Times New Roman" w:cs="Times New Roman" w:eastAsia="Times New Roman" w:hint="default"/>
                <w:sz w:val="18"/>
                <w:szCs w:val="18"/>
              </w:rPr>
            </w:pPr>
            <w:r>
              <w:rPr>
                <w:rFonts w:ascii="Times New Roman"/>
                <w:w w:val="101"/>
                <w:sz w:val="18"/>
              </w:rPr>
              <w:t>1</w:t>
            </w:r>
            <w:r>
              <w:rPr>
                <w:rFonts w:ascii="Times New Roman"/>
                <w:sz w:val="18"/>
              </w:rPr>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万元以下</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w w:val="101"/>
                <w:sz w:val="18"/>
              </w:rPr>
              <w:t>1</w:t>
            </w:r>
            <w:r>
              <w:rPr>
                <w:rFonts w:ascii="Times New Roman"/>
                <w:sz w:val="18"/>
              </w:rPr>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3"/>
              <w:jc w:val="right"/>
              <w:rPr>
                <w:rFonts w:ascii="Times New Roman" w:hAnsi="Times New Roman" w:cs="Times New Roman" w:eastAsia="Times New Roman" w:hint="default"/>
                <w:sz w:val="18"/>
                <w:szCs w:val="18"/>
              </w:rPr>
            </w:pPr>
            <w:r>
              <w:rPr>
                <w:rFonts w:ascii="Times New Roman"/>
                <w:w w:val="101"/>
                <w:sz w:val="18"/>
              </w:rPr>
              <w:t>5</w:t>
            </w:r>
            <w:r>
              <w:rPr>
                <w:rFonts w:ascii="Times New Roman"/>
                <w:sz w:val="18"/>
              </w:rPr>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8）其他关联交易" w:id="490"/>
      <w:bookmarkEnd w:id="490"/>
      <w:r>
        <w:rPr>
          <w:b w:val="0"/>
          <w:bCs w:val="0"/>
        </w:rPr>
      </w:r>
      <w:r>
        <w:rPr/>
        <w:t>（</w:t>
      </w:r>
      <w:r>
        <w:rPr>
          <w:rFonts w:ascii="Times New Roman" w:hAnsi="Times New Roman" w:cs="Times New Roman" w:eastAsia="Times New Roman" w:hint="default"/>
        </w:rPr>
        <w:t>8</w:t>
      </w:r>
      <w:r>
        <w:rPr/>
        <w:t>）其他关联交易</w:t>
      </w:r>
      <w:r>
        <w:rPr>
          <w:b w:val="0"/>
          <w:bCs w:val="0"/>
        </w:rPr>
      </w:r>
    </w:p>
    <w:p>
      <w:pPr>
        <w:spacing w:line="240" w:lineRule="auto" w:before="4"/>
        <w:rPr>
          <w:rFonts w:ascii="宋体" w:hAnsi="宋体" w:cs="宋体" w:eastAsia="宋体" w:hint="default"/>
          <w:b/>
          <w:bCs/>
          <w:sz w:val="26"/>
          <w:szCs w:val="26"/>
        </w:rPr>
      </w:pPr>
    </w:p>
    <w:p>
      <w:pPr>
        <w:pStyle w:val="BodyText"/>
        <w:spacing w:line="240" w:lineRule="auto" w:before="0"/>
        <w:ind w:right="0"/>
        <w:jc w:val="left"/>
      </w:pPr>
      <w:r>
        <w:rPr/>
        <w:t>无。</w:t>
      </w:r>
    </w:p>
    <w:p>
      <w:pPr>
        <w:spacing w:line="240" w:lineRule="auto" w:before="0"/>
        <w:rPr>
          <w:rFonts w:ascii="宋体" w:hAnsi="宋体" w:cs="宋体" w:eastAsia="宋体" w:hint="default"/>
          <w:sz w:val="18"/>
          <w:szCs w:val="18"/>
        </w:rPr>
      </w:pPr>
    </w:p>
    <w:p>
      <w:pPr>
        <w:pStyle w:val="Heading4"/>
        <w:spacing w:line="240" w:lineRule="auto" w:before="118"/>
        <w:ind w:right="0"/>
        <w:jc w:val="left"/>
        <w:rPr>
          <w:b w:val="0"/>
          <w:bCs w:val="0"/>
        </w:rPr>
      </w:pPr>
      <w:bookmarkStart w:name="6、关联方应收应付款项" w:id="491"/>
      <w:bookmarkEnd w:id="491"/>
      <w:r>
        <w:rPr>
          <w:b w:val="0"/>
          <w:bCs w:val="0"/>
        </w:rPr>
      </w:r>
      <w:r>
        <w:rPr>
          <w:rFonts w:ascii="Times New Roman" w:hAnsi="Times New Roman" w:cs="Times New Roman" w:eastAsia="Times New Roman" w:hint="default"/>
        </w:rPr>
        <w:t>6</w:t>
      </w:r>
      <w:r>
        <w:rPr/>
        <w:t>、关联方应收应付款项</w:t>
      </w:r>
      <w:r>
        <w:rPr>
          <w:b w:val="0"/>
          <w:bCs w:val="0"/>
        </w:rPr>
      </w:r>
    </w:p>
    <w:p>
      <w:pPr>
        <w:spacing w:line="240" w:lineRule="auto" w:before="5"/>
        <w:rPr>
          <w:rFonts w:ascii="宋体" w:hAnsi="宋体" w:cs="宋体" w:eastAsia="宋体" w:hint="default"/>
          <w:b/>
          <w:bCs/>
          <w:sz w:val="24"/>
          <w:szCs w:val="24"/>
        </w:rPr>
      </w:pPr>
    </w:p>
    <w:p>
      <w:pPr>
        <w:pStyle w:val="Heading4"/>
        <w:spacing w:line="240" w:lineRule="auto"/>
        <w:ind w:right="0"/>
        <w:jc w:val="left"/>
        <w:rPr>
          <w:b w:val="0"/>
          <w:bCs w:val="0"/>
        </w:rPr>
      </w:pPr>
      <w:bookmarkStart w:name="（1）应收项目" w:id="492"/>
      <w:bookmarkEnd w:id="492"/>
      <w:r>
        <w:rPr>
          <w:b w:val="0"/>
          <w:bCs w:val="0"/>
        </w:rPr>
      </w:r>
      <w:r>
        <w:rPr/>
        <w:t>（</w:t>
      </w:r>
      <w:r>
        <w:rPr>
          <w:rFonts w:ascii="Times New Roman" w:hAnsi="Times New Roman" w:cs="Times New Roman" w:eastAsia="Times New Roman" w:hint="default"/>
        </w:rPr>
        <w:t>1</w:t>
      </w:r>
      <w:r>
        <w:rPr/>
        <w:t>）应收项目</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594"/>
        <w:gridCol w:w="1599"/>
        <w:gridCol w:w="1595"/>
        <w:gridCol w:w="1594"/>
        <w:gridCol w:w="1594"/>
        <w:gridCol w:w="1594"/>
      </w:tblGrid>
      <w:tr>
        <w:trPr>
          <w:trHeight w:val="403" w:hRule="exact"/>
        </w:trPr>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159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523"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318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4" w:hRule="exact"/>
        </w:trPr>
        <w:tc>
          <w:tcPr>
            <w:tcW w:w="1594" w:type="dxa"/>
            <w:vMerge/>
            <w:tcBorders>
              <w:left w:val="single" w:sz="4" w:space="0" w:color="000000"/>
              <w:bottom w:val="single" w:sz="4" w:space="0" w:color="000000"/>
              <w:right w:val="single" w:sz="4" w:space="0" w:color="000000"/>
            </w:tcBorders>
            <w:shd w:val="clear" w:color="auto" w:fill="D2D2D2"/>
          </w:tcPr>
          <w:p>
            <w:pPr/>
          </w:p>
        </w:tc>
        <w:tc>
          <w:tcPr>
            <w:tcW w:w="1599" w:type="dxa"/>
            <w:vMerge/>
            <w:tcBorders>
              <w:left w:val="single" w:sz="4" w:space="0" w:color="000000"/>
              <w:bottom w:val="single" w:sz="4" w:space="0" w:color="000000"/>
              <w:right w:val="single" w:sz="4" w:space="0" w:color="000000"/>
            </w:tcBorders>
            <w:shd w:val="clear" w:color="auto" w:fill="D2D2D2"/>
          </w:tcPr>
          <w:p>
            <w:pP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2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2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2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32" w:right="0"/>
              <w:jc w:val="left"/>
              <w:rPr>
                <w:rFonts w:ascii="宋体" w:hAnsi="宋体" w:cs="宋体" w:eastAsia="宋体" w:hint="default"/>
                <w:sz w:val="18"/>
                <w:szCs w:val="18"/>
              </w:rPr>
            </w:pPr>
            <w:r>
              <w:rPr>
                <w:rFonts w:ascii="宋体" w:hAnsi="宋体" w:cs="宋体" w:eastAsia="宋体" w:hint="default"/>
                <w:sz w:val="18"/>
                <w:szCs w:val="18"/>
              </w:rPr>
              <w:t>坏账准备</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2）应付项目" w:id="493"/>
      <w:bookmarkEnd w:id="493"/>
      <w:r>
        <w:rPr>
          <w:b w:val="0"/>
          <w:bCs w:val="0"/>
        </w:rPr>
      </w:r>
      <w:r>
        <w:rPr/>
        <w:t>（</w:t>
      </w:r>
      <w:r>
        <w:rPr>
          <w:rFonts w:ascii="Times New Roman" w:hAnsi="Times New Roman" w:cs="Times New Roman" w:eastAsia="Times New Roman" w:hint="default"/>
        </w:rPr>
        <w:t>2</w:t>
      </w:r>
      <w:r>
        <w:rPr/>
        <w:t>）应付项目</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391"/>
        <w:gridCol w:w="2396"/>
        <w:gridCol w:w="2391"/>
        <w:gridCol w:w="2391"/>
      </w:tblGrid>
      <w:tr>
        <w:trPr>
          <w:trHeight w:val="404"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z w:val="18"/>
                <w:szCs w:val="18"/>
              </w:rPr>
              <w:t>项目名称</w:t>
            </w: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9"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647"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652"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715"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321" w:lineRule="auto" w:before="53"/>
              <w:ind w:left="105" w:right="113"/>
              <w:jc w:val="left"/>
              <w:rPr>
                <w:rFonts w:ascii="宋体" w:hAnsi="宋体" w:cs="宋体" w:eastAsia="宋体" w:hint="default"/>
                <w:sz w:val="18"/>
                <w:szCs w:val="18"/>
              </w:rPr>
            </w:pPr>
            <w:r>
              <w:rPr>
                <w:rFonts w:ascii="宋体" w:hAnsi="宋体" w:cs="宋体" w:eastAsia="宋体" w:hint="default"/>
                <w:spacing w:val="-3"/>
                <w:sz w:val="18"/>
                <w:szCs w:val="18"/>
              </w:rPr>
              <w:t>深圳市奥伦德科技股份有限</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公司</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2"/>
                <w:sz w:val="18"/>
              </w:rPr>
              <w:t>7,511.15</w:t>
            </w:r>
          </w:p>
        </w:tc>
        <w:tc>
          <w:tcPr>
            <w:tcW w:w="2391"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其他应付：</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105" w:right="113"/>
              <w:jc w:val="left"/>
              <w:rPr>
                <w:rFonts w:ascii="宋体" w:hAnsi="宋体" w:cs="宋体" w:eastAsia="宋体" w:hint="default"/>
                <w:sz w:val="18"/>
                <w:szCs w:val="18"/>
              </w:rPr>
            </w:pPr>
            <w:r>
              <w:rPr>
                <w:rFonts w:ascii="宋体" w:hAnsi="宋体" w:cs="宋体" w:eastAsia="宋体" w:hint="default"/>
                <w:spacing w:val="-3"/>
                <w:sz w:val="18"/>
                <w:szCs w:val="18"/>
              </w:rPr>
              <w:t>深圳市如茵生态环境建设有</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限公司</w:t>
            </w:r>
          </w:p>
        </w:tc>
        <w:tc>
          <w:tcPr>
            <w:tcW w:w="2391"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469" w:right="0"/>
              <w:jc w:val="left"/>
              <w:rPr>
                <w:rFonts w:ascii="Times New Roman" w:hAnsi="Times New Roman" w:cs="Times New Roman" w:eastAsia="Times New Roman" w:hint="default"/>
                <w:sz w:val="18"/>
                <w:szCs w:val="18"/>
              </w:rPr>
            </w:pPr>
            <w:r>
              <w:rPr>
                <w:rFonts w:ascii="Times New Roman"/>
                <w:sz w:val="18"/>
              </w:rPr>
              <w:t>201,478.00</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7、关联方承诺" w:id="494"/>
      <w:bookmarkEnd w:id="494"/>
      <w:r>
        <w:rPr>
          <w:b w:val="0"/>
          <w:bCs w:val="0"/>
        </w:rPr>
      </w:r>
      <w:r>
        <w:rPr>
          <w:rFonts w:ascii="Times New Roman" w:hAnsi="Times New Roman" w:cs="Times New Roman" w:eastAsia="Times New Roman" w:hint="default"/>
        </w:rPr>
        <w:t>7</w:t>
      </w:r>
      <w:r>
        <w:rPr/>
        <w:t>、关联方承诺</w:t>
      </w:r>
      <w:r>
        <w:rPr>
          <w:b w:val="0"/>
          <w:bCs w:val="0"/>
        </w:rPr>
      </w:r>
    </w:p>
    <w:p>
      <w:pPr>
        <w:spacing w:line="240" w:lineRule="auto" w:before="4"/>
        <w:rPr>
          <w:rFonts w:ascii="宋体" w:hAnsi="宋体" w:cs="宋体" w:eastAsia="宋体" w:hint="default"/>
          <w:b/>
          <w:bCs/>
          <w:sz w:val="26"/>
          <w:szCs w:val="26"/>
        </w:rPr>
      </w:pPr>
    </w:p>
    <w:p>
      <w:pPr>
        <w:pStyle w:val="BodyText"/>
        <w:spacing w:line="240" w:lineRule="auto" w:before="0"/>
        <w:ind w:right="0"/>
        <w:jc w:val="left"/>
      </w:pPr>
      <w:r>
        <w:rPr/>
        <w:t>无。</w:t>
      </w:r>
    </w:p>
    <w:p>
      <w:pPr>
        <w:spacing w:line="240" w:lineRule="auto" w:before="0"/>
        <w:rPr>
          <w:rFonts w:ascii="宋体" w:hAnsi="宋体" w:cs="宋体" w:eastAsia="宋体" w:hint="default"/>
          <w:sz w:val="18"/>
          <w:szCs w:val="18"/>
        </w:rPr>
      </w:pPr>
    </w:p>
    <w:p>
      <w:pPr>
        <w:pStyle w:val="Heading4"/>
        <w:spacing w:line="240" w:lineRule="auto" w:before="118"/>
        <w:ind w:right="0"/>
        <w:jc w:val="left"/>
        <w:rPr>
          <w:b w:val="0"/>
          <w:bCs w:val="0"/>
        </w:rPr>
      </w:pPr>
      <w:bookmarkStart w:name="8、其他" w:id="495"/>
      <w:bookmarkEnd w:id="495"/>
      <w:r>
        <w:rPr>
          <w:b w:val="0"/>
          <w:bCs w:val="0"/>
        </w:rPr>
      </w:r>
      <w:r>
        <w:rPr>
          <w:rFonts w:ascii="Times New Roman" w:hAnsi="Times New Roman" w:cs="Times New Roman" w:eastAsia="Times New Roman" w:hint="default"/>
        </w:rPr>
        <w:t>8</w:t>
      </w:r>
      <w:r>
        <w:rPr/>
        <w:t>、其他</w:t>
      </w:r>
      <w:r>
        <w:rPr>
          <w:b w:val="0"/>
          <w:bCs w:val="0"/>
        </w:rPr>
      </w:r>
    </w:p>
    <w:p>
      <w:pPr>
        <w:spacing w:line="240" w:lineRule="auto" w:before="4"/>
        <w:rPr>
          <w:rFonts w:ascii="宋体" w:hAnsi="宋体" w:cs="宋体" w:eastAsia="宋体" w:hint="default"/>
          <w:b/>
          <w:bCs/>
          <w:sz w:val="26"/>
          <w:szCs w:val="26"/>
        </w:rPr>
      </w:pPr>
    </w:p>
    <w:p>
      <w:pPr>
        <w:pStyle w:val="BodyText"/>
        <w:spacing w:line="240" w:lineRule="auto" w:before="0"/>
        <w:ind w:right="0"/>
        <w:jc w:val="left"/>
      </w:pPr>
      <w:r>
        <w:rPr/>
        <w:t>无。</w:t>
      </w:r>
    </w:p>
    <w:p>
      <w:pPr>
        <w:spacing w:line="240" w:lineRule="auto" w:before="9"/>
        <w:rPr>
          <w:rFonts w:ascii="宋体" w:hAnsi="宋体" w:cs="宋体" w:eastAsia="宋体" w:hint="default"/>
          <w:sz w:val="24"/>
          <w:szCs w:val="24"/>
        </w:rPr>
      </w:pPr>
    </w:p>
    <w:p>
      <w:pPr>
        <w:pStyle w:val="Heading2"/>
        <w:spacing w:line="240" w:lineRule="auto"/>
        <w:ind w:right="0"/>
        <w:jc w:val="left"/>
        <w:rPr>
          <w:b w:val="0"/>
          <w:bCs w:val="0"/>
        </w:rPr>
      </w:pPr>
      <w:bookmarkStart w:name="十三、股份支付" w:id="496"/>
      <w:bookmarkEnd w:id="496"/>
      <w:r>
        <w:rPr>
          <w:b w:val="0"/>
          <w:bCs w:val="0"/>
        </w:rPr>
      </w:r>
      <w:r>
        <w:rPr/>
        <w:t>十三、股份支付</w:t>
      </w:r>
      <w:r>
        <w:rPr>
          <w:b w:val="0"/>
          <w:bCs w:val="0"/>
        </w:rPr>
      </w:r>
    </w:p>
    <w:p>
      <w:pPr>
        <w:spacing w:line="240" w:lineRule="auto" w:before="4"/>
        <w:rPr>
          <w:rFonts w:ascii="宋体" w:hAnsi="宋体" w:cs="宋体" w:eastAsia="宋体" w:hint="default"/>
          <w:b/>
          <w:bCs/>
          <w:sz w:val="25"/>
          <w:szCs w:val="25"/>
        </w:rPr>
      </w:pPr>
    </w:p>
    <w:p>
      <w:pPr>
        <w:pStyle w:val="Heading4"/>
        <w:spacing w:line="240" w:lineRule="auto"/>
        <w:ind w:right="0"/>
        <w:jc w:val="left"/>
        <w:rPr>
          <w:b w:val="0"/>
          <w:bCs w:val="0"/>
        </w:rPr>
      </w:pPr>
      <w:bookmarkStart w:name="1、股份支付总体情况" w:id="497"/>
      <w:bookmarkEnd w:id="497"/>
      <w:r>
        <w:rPr>
          <w:b w:val="0"/>
          <w:bCs w:val="0"/>
        </w:rPr>
      </w:r>
      <w:r>
        <w:rPr>
          <w:rFonts w:ascii="Times New Roman" w:hAnsi="Times New Roman" w:cs="Times New Roman" w:eastAsia="Times New Roman" w:hint="default"/>
        </w:rPr>
        <w:t>1</w:t>
      </w:r>
      <w:r>
        <w:rPr/>
        <w:t>、股份支付总体情况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before="0"/>
        <w:ind w:right="0"/>
        <w:jc w:val="left"/>
      </w:pPr>
      <w:r>
        <w:rPr/>
        <w:t>√ </w:t>
      </w:r>
      <w:r>
        <w:rPr>
          <w:spacing w:val="-3"/>
        </w:rPr>
        <w:t>适用 </w:t>
      </w:r>
      <w:r>
        <w:rPr/>
        <w:t>□</w:t>
      </w:r>
      <w:r>
        <w:rPr>
          <w:spacing w:val="13"/>
        </w:rPr>
        <w:t> </w:t>
      </w:r>
      <w:r>
        <w:rPr/>
        <w:t>不适用</w:t>
      </w:r>
    </w:p>
    <w:p>
      <w:pPr>
        <w:spacing w:after="0" w:line="240" w:lineRule="auto"/>
        <w:jc w:val="left"/>
        <w:sectPr>
          <w:pgSz w:w="11910" w:h="16840"/>
          <w:pgMar w:header="784" w:footer="1022" w:top="1100" w:bottom="1220" w:left="980" w:right="0"/>
        </w:sectPr>
      </w:pPr>
    </w:p>
    <w:p>
      <w:pPr>
        <w:spacing w:line="240" w:lineRule="auto" w:before="2"/>
        <w:rPr>
          <w:rFonts w:ascii="宋体" w:hAnsi="宋体" w:cs="宋体" w:eastAsia="宋体" w:hint="default"/>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5455"/>
        <w:gridCol w:w="4115"/>
      </w:tblGrid>
      <w:tr>
        <w:trPr>
          <w:trHeight w:val="403"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公司本期授予的各项权益工具总额</w:t>
            </w:r>
          </w:p>
        </w:tc>
        <w:tc>
          <w:tcPr>
            <w:tcW w:w="4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1,000,000.00</w:t>
            </w:r>
          </w:p>
        </w:tc>
      </w:tr>
      <w:tr>
        <w:trPr>
          <w:trHeight w:val="404"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公司本期行权的各项权益工具总额</w:t>
            </w:r>
          </w:p>
        </w:tc>
        <w:tc>
          <w:tcPr>
            <w:tcW w:w="4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2,138,850.00</w:t>
            </w:r>
          </w:p>
        </w:tc>
      </w:tr>
      <w:tr>
        <w:trPr>
          <w:trHeight w:val="403"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公司本期失效的各项权益工具总额</w:t>
            </w:r>
          </w:p>
        </w:tc>
        <w:tc>
          <w:tcPr>
            <w:tcW w:w="4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3,047,525.00</w:t>
            </w:r>
          </w:p>
        </w:tc>
      </w:tr>
      <w:tr>
        <w:trPr>
          <w:trHeight w:val="1647"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pacing w:val="-3"/>
                <w:sz w:val="18"/>
                <w:szCs w:val="18"/>
              </w:rPr>
              <w:t>公司期末发行在外的股票期权行权价格的范围和合同剩余期限</w:t>
            </w:r>
          </w:p>
        </w:tc>
        <w:tc>
          <w:tcPr>
            <w:tcW w:w="4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公司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2"/>
                <w:sz w:val="18"/>
                <w:szCs w:val="18"/>
              </w:rPr>
              <w:t> </w:t>
            </w:r>
            <w:r>
              <w:rPr>
                <w:rFonts w:ascii="宋体" w:hAnsi="宋体" w:cs="宋体" w:eastAsia="宋体" w:hint="default"/>
                <w:spacing w:val="-3"/>
                <w:sz w:val="18"/>
                <w:szCs w:val="18"/>
              </w:rPr>
              <w:t>年股票期权激励计划发行在外的首次授予</w:t>
            </w:r>
          </w:p>
          <w:p>
            <w:pPr>
              <w:pStyle w:val="TableParagraph"/>
              <w:spacing w:line="240" w:lineRule="auto" w:before="58"/>
              <w:ind w:left="23" w:right="0"/>
              <w:jc w:val="left"/>
              <w:rPr>
                <w:rFonts w:ascii="宋体" w:hAnsi="宋体" w:cs="宋体" w:eastAsia="宋体" w:hint="default"/>
                <w:sz w:val="18"/>
                <w:szCs w:val="18"/>
              </w:rPr>
            </w:pPr>
            <w:r>
              <w:rPr>
                <w:rFonts w:ascii="宋体" w:hAnsi="宋体" w:cs="宋体" w:eastAsia="宋体" w:hint="default"/>
                <w:sz w:val="18"/>
                <w:szCs w:val="18"/>
              </w:rPr>
              <w:t>的股票期权行权价格为 </w:t>
            </w:r>
            <w:r>
              <w:rPr>
                <w:rFonts w:ascii="Times New Roman" w:hAnsi="Times New Roman" w:cs="Times New Roman" w:eastAsia="Times New Roman" w:hint="default"/>
                <w:sz w:val="18"/>
                <w:szCs w:val="18"/>
              </w:rPr>
              <w:t>7.47</w:t>
            </w:r>
            <w:r>
              <w:rPr>
                <w:rFonts w:ascii="Times New Roman" w:hAnsi="Times New Roman" w:cs="Times New Roman" w:eastAsia="Times New Roman" w:hint="default"/>
                <w:spacing w:val="-10"/>
                <w:sz w:val="18"/>
                <w:szCs w:val="18"/>
              </w:rPr>
              <w:t> </w:t>
            </w:r>
            <w:r>
              <w:rPr>
                <w:rFonts w:ascii="宋体" w:hAnsi="宋体" w:cs="宋体" w:eastAsia="宋体" w:hint="default"/>
                <w:spacing w:val="-3"/>
                <w:sz w:val="18"/>
                <w:szCs w:val="18"/>
              </w:rPr>
              <w:t>元</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股，合同剩余期限为</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2"/>
                <w:sz w:val="18"/>
                <w:szCs w:val="18"/>
              </w:rPr>
              <w:t> </w:t>
            </w:r>
            <w:r>
              <w:rPr>
                <w:rFonts w:ascii="宋体" w:hAnsi="宋体" w:cs="宋体" w:eastAsia="宋体" w:hint="default"/>
                <w:spacing w:val="-10"/>
                <w:sz w:val="18"/>
                <w:szCs w:val="18"/>
              </w:rPr>
              <w:t>日；预留后于的股</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票期权行权价格为 </w:t>
            </w:r>
            <w:r>
              <w:rPr>
                <w:rFonts w:ascii="Times New Roman" w:hAnsi="Times New Roman" w:cs="Times New Roman" w:eastAsia="Times New Roman" w:hint="default"/>
                <w:sz w:val="18"/>
                <w:szCs w:val="18"/>
              </w:rPr>
              <w:t>7.53 </w:t>
            </w:r>
            <w:r>
              <w:rPr>
                <w:rFonts w:ascii="宋体" w:hAnsi="宋体" w:cs="宋体" w:eastAsia="宋体" w:hint="default"/>
                <w:spacing w:val="-7"/>
                <w:sz w:val="18"/>
                <w:szCs w:val="18"/>
              </w:rPr>
              <w:t>元</w:t>
            </w:r>
            <w:r>
              <w:rPr>
                <w:rFonts w:ascii="Times New Roman" w:hAnsi="Times New Roman" w:cs="Times New Roman" w:eastAsia="Times New Roman" w:hint="default"/>
                <w:spacing w:val="-7"/>
                <w:sz w:val="18"/>
                <w:szCs w:val="18"/>
              </w:rPr>
              <w:t>/</w:t>
            </w:r>
            <w:r>
              <w:rPr>
                <w:rFonts w:ascii="宋体" w:hAnsi="宋体" w:cs="宋体" w:eastAsia="宋体" w:hint="default"/>
                <w:spacing w:val="-7"/>
                <w:sz w:val="18"/>
                <w:szCs w:val="18"/>
              </w:rPr>
              <w:t>股，合同剩余期间为</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2018</w:t>
            </w:r>
          </w:p>
          <w:p>
            <w:pPr>
              <w:pStyle w:val="TableParagraph"/>
              <w:spacing w:line="240" w:lineRule="auto" w:before="68"/>
              <w:ind w:left="23"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日</w:t>
            </w:r>
            <w:r>
              <w:rPr>
                <w:rFonts w:ascii="Times New Roman" w:hAnsi="Times New Roman" w:cs="Times New Roman" w:eastAsia="Times New Roman" w:hint="default"/>
                <w:sz w:val="18"/>
                <w:szCs w:val="18"/>
              </w:rPr>
              <w:t>-2021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 </w:t>
            </w:r>
            <w:r>
              <w:rPr>
                <w:rFonts w:ascii="宋体" w:hAnsi="宋体" w:cs="宋体" w:eastAsia="宋体" w:hint="default"/>
                <w:spacing w:val="-5"/>
                <w:sz w:val="18"/>
                <w:szCs w:val="18"/>
              </w:rPr>
              <w:t>日。</w:t>
            </w:r>
            <w:r>
              <w:rPr>
                <w:rFonts w:ascii="宋体" w:hAnsi="宋体" w:cs="宋体" w:eastAsia="宋体" w:hint="default"/>
                <w:sz w:val="18"/>
                <w:szCs w:val="18"/>
              </w:rPr>
            </w:r>
          </w:p>
        </w:tc>
      </w:tr>
      <w:tr>
        <w:trPr>
          <w:trHeight w:val="4619"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pacing w:val="-3"/>
                <w:sz w:val="18"/>
                <w:szCs w:val="18"/>
              </w:rPr>
              <w:t>公司期末发行在外的其他权益工具行权价格的范围和合同剩余期限</w:t>
            </w:r>
          </w:p>
        </w:tc>
        <w:tc>
          <w:tcPr>
            <w:tcW w:w="4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pacing w:val="-3"/>
                <w:sz w:val="18"/>
                <w:szCs w:val="18"/>
              </w:rPr>
              <w:t>公司期末发行在外的 </w:t>
            </w:r>
            <w:r>
              <w:rPr>
                <w:rFonts w:ascii="Arial" w:hAnsi="Arial" w:cs="Arial" w:eastAsia="Arial" w:hint="default"/>
                <w:sz w:val="18"/>
                <w:szCs w:val="18"/>
              </w:rPr>
              <w:t>2016 </w:t>
            </w:r>
            <w:r>
              <w:rPr>
                <w:rFonts w:ascii="Arial" w:hAnsi="Arial" w:cs="Arial" w:eastAsia="Arial" w:hint="default"/>
                <w:spacing w:val="30"/>
                <w:sz w:val="18"/>
                <w:szCs w:val="18"/>
              </w:rPr>
              <w:t> </w:t>
            </w:r>
            <w:r>
              <w:rPr>
                <w:rFonts w:ascii="宋体" w:hAnsi="宋体" w:cs="宋体" w:eastAsia="宋体" w:hint="default"/>
                <w:spacing w:val="-3"/>
                <w:sz w:val="18"/>
                <w:szCs w:val="18"/>
              </w:rPr>
              <w:t>年暂缓授予的限制性股</w:t>
            </w:r>
          </w:p>
          <w:p>
            <w:pPr>
              <w:pStyle w:val="TableParagraph"/>
              <w:spacing w:line="240" w:lineRule="auto" w:before="155"/>
              <w:ind w:left="23" w:right="0"/>
              <w:jc w:val="left"/>
              <w:rPr>
                <w:rFonts w:ascii="Arial" w:hAnsi="Arial" w:cs="Arial" w:eastAsia="Arial" w:hint="default"/>
                <w:sz w:val="18"/>
                <w:szCs w:val="18"/>
              </w:rPr>
            </w:pPr>
            <w:r>
              <w:rPr>
                <w:rFonts w:ascii="宋体" w:hAnsi="宋体" w:cs="宋体" w:eastAsia="宋体" w:hint="default"/>
                <w:spacing w:val="-3"/>
                <w:sz w:val="18"/>
                <w:szCs w:val="18"/>
              </w:rPr>
              <w:t>票的授予价格为 </w:t>
            </w:r>
            <w:r>
              <w:rPr>
                <w:rFonts w:ascii="Arial" w:hAnsi="Arial" w:cs="Arial" w:eastAsia="Arial" w:hint="default"/>
                <w:sz w:val="18"/>
                <w:szCs w:val="18"/>
              </w:rPr>
              <w:t>5.17 </w:t>
            </w:r>
            <w:r>
              <w:rPr>
                <w:rFonts w:ascii="宋体" w:hAnsi="宋体" w:cs="宋体" w:eastAsia="宋体" w:hint="default"/>
                <w:spacing w:val="-3"/>
                <w:sz w:val="18"/>
                <w:szCs w:val="18"/>
              </w:rPr>
              <w:t>元</w:t>
            </w:r>
            <w:r>
              <w:rPr>
                <w:rFonts w:ascii="Arial" w:hAnsi="Arial" w:cs="Arial" w:eastAsia="Arial" w:hint="default"/>
                <w:spacing w:val="-3"/>
                <w:sz w:val="18"/>
                <w:szCs w:val="18"/>
              </w:rPr>
              <w:t>/</w:t>
            </w:r>
            <w:r>
              <w:rPr>
                <w:rFonts w:ascii="宋体" w:hAnsi="宋体" w:cs="宋体" w:eastAsia="宋体" w:hint="default"/>
                <w:spacing w:val="-3"/>
                <w:sz w:val="18"/>
                <w:szCs w:val="18"/>
              </w:rPr>
              <w:t>股，授予日为 </w:t>
            </w:r>
            <w:r>
              <w:rPr>
                <w:rFonts w:ascii="Arial" w:hAnsi="Arial" w:cs="Arial" w:eastAsia="Arial" w:hint="default"/>
                <w:sz w:val="18"/>
                <w:szCs w:val="18"/>
              </w:rPr>
              <w:t>2016 </w:t>
            </w:r>
            <w:r>
              <w:rPr>
                <w:rFonts w:ascii="宋体" w:hAnsi="宋体" w:cs="宋体" w:eastAsia="宋体" w:hint="default"/>
                <w:sz w:val="18"/>
                <w:szCs w:val="18"/>
              </w:rPr>
              <w:t>年</w:t>
            </w:r>
            <w:r>
              <w:rPr>
                <w:rFonts w:ascii="宋体" w:hAnsi="宋体" w:cs="宋体" w:eastAsia="宋体" w:hint="default"/>
                <w:spacing w:val="-36"/>
                <w:sz w:val="18"/>
                <w:szCs w:val="18"/>
              </w:rPr>
              <w:t> </w:t>
            </w:r>
            <w:r>
              <w:rPr>
                <w:rFonts w:ascii="Arial" w:hAnsi="Arial" w:cs="Arial" w:eastAsia="Arial" w:hint="default"/>
                <w:spacing w:val="-6"/>
                <w:sz w:val="18"/>
                <w:szCs w:val="18"/>
              </w:rPr>
              <w:t>12</w:t>
            </w:r>
            <w:r>
              <w:rPr>
                <w:rFonts w:ascii="Arial" w:hAnsi="Arial" w:cs="Arial" w:eastAsia="Arial" w:hint="default"/>
                <w:sz w:val="18"/>
                <w:szCs w:val="18"/>
              </w:rPr>
            </w:r>
          </w:p>
          <w:p>
            <w:pPr>
              <w:pStyle w:val="TableParagraph"/>
              <w:spacing w:line="240" w:lineRule="auto" w:before="150"/>
              <w:ind w:left="23" w:right="0"/>
              <w:jc w:val="left"/>
              <w:rPr>
                <w:rFonts w:ascii="宋体" w:hAnsi="宋体" w:cs="宋体" w:eastAsia="宋体" w:hint="default"/>
                <w:sz w:val="18"/>
                <w:szCs w:val="18"/>
              </w:rPr>
            </w:pPr>
            <w:r>
              <w:rPr>
                <w:rFonts w:ascii="宋体" w:hAnsi="宋体" w:cs="宋体" w:eastAsia="宋体" w:hint="default"/>
                <w:sz w:val="18"/>
                <w:szCs w:val="18"/>
              </w:rPr>
              <w:t>月 </w:t>
            </w:r>
            <w:r>
              <w:rPr>
                <w:rFonts w:ascii="Arial" w:hAnsi="Arial" w:cs="Arial" w:eastAsia="Arial" w:hint="default"/>
                <w:sz w:val="18"/>
                <w:szCs w:val="18"/>
              </w:rPr>
              <w:t>30 </w:t>
            </w:r>
            <w:r>
              <w:rPr>
                <w:rFonts w:ascii="宋体" w:hAnsi="宋体" w:cs="宋体" w:eastAsia="宋体" w:hint="default"/>
                <w:spacing w:val="-7"/>
                <w:sz w:val="18"/>
                <w:szCs w:val="18"/>
              </w:rPr>
              <w:t>日，合同剩余期限为自次授权日起满 </w:t>
            </w:r>
            <w:r>
              <w:rPr>
                <w:rFonts w:ascii="Arial" w:hAnsi="Arial" w:cs="Arial" w:eastAsia="Arial" w:hint="default"/>
                <w:sz w:val="18"/>
                <w:szCs w:val="18"/>
              </w:rPr>
              <w:t>12</w:t>
            </w:r>
            <w:r>
              <w:rPr>
                <w:rFonts w:ascii="Arial" w:hAnsi="Arial" w:cs="Arial" w:eastAsia="Arial" w:hint="default"/>
                <w:spacing w:val="2"/>
                <w:sz w:val="18"/>
                <w:szCs w:val="18"/>
              </w:rPr>
              <w:t> </w:t>
            </w:r>
            <w:r>
              <w:rPr>
                <w:rFonts w:ascii="宋体" w:hAnsi="宋体" w:cs="宋体" w:eastAsia="宋体" w:hint="default"/>
                <w:spacing w:val="-5"/>
                <w:sz w:val="18"/>
                <w:szCs w:val="18"/>
              </w:rPr>
              <w:t>个月</w:t>
            </w:r>
            <w:r>
              <w:rPr>
                <w:rFonts w:ascii="宋体" w:hAnsi="宋体" w:cs="宋体" w:eastAsia="宋体" w:hint="default"/>
                <w:sz w:val="18"/>
                <w:szCs w:val="18"/>
              </w:rPr>
            </w:r>
          </w:p>
          <w:p>
            <w:pPr>
              <w:pStyle w:val="TableParagraph"/>
              <w:spacing w:line="240" w:lineRule="auto" w:before="155"/>
              <w:ind w:left="23" w:right="0"/>
              <w:jc w:val="left"/>
              <w:rPr>
                <w:rFonts w:ascii="宋体" w:hAnsi="宋体" w:cs="宋体" w:eastAsia="宋体" w:hint="default"/>
                <w:sz w:val="18"/>
                <w:szCs w:val="18"/>
              </w:rPr>
            </w:pPr>
            <w:r>
              <w:rPr>
                <w:rFonts w:ascii="宋体" w:hAnsi="宋体" w:cs="宋体" w:eastAsia="宋体" w:hint="default"/>
                <w:sz w:val="18"/>
                <w:szCs w:val="18"/>
              </w:rPr>
              <w:t>后，激励对象应在未来 </w:t>
            </w:r>
            <w:r>
              <w:rPr>
                <w:rFonts w:ascii="Arial" w:hAnsi="Arial" w:cs="Arial" w:eastAsia="Arial" w:hint="default"/>
                <w:sz w:val="18"/>
                <w:szCs w:val="18"/>
              </w:rPr>
              <w:t>36</w:t>
            </w:r>
            <w:r>
              <w:rPr>
                <w:rFonts w:ascii="Arial" w:hAnsi="Arial" w:cs="Arial" w:eastAsia="Arial" w:hint="default"/>
                <w:spacing w:val="-21"/>
                <w:sz w:val="18"/>
                <w:szCs w:val="18"/>
              </w:rPr>
              <w:t> </w:t>
            </w:r>
            <w:r>
              <w:rPr>
                <w:rFonts w:ascii="宋体" w:hAnsi="宋体" w:cs="宋体" w:eastAsia="宋体" w:hint="default"/>
                <w:spacing w:val="-3"/>
                <w:sz w:val="18"/>
                <w:szCs w:val="18"/>
              </w:rPr>
              <w:t>个月内分三期解锁。</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pacing w:val="-3"/>
                <w:sz w:val="18"/>
                <w:szCs w:val="18"/>
              </w:rPr>
              <w:t>公司期末发行在外的 </w:t>
            </w:r>
            <w:r>
              <w:rPr>
                <w:rFonts w:ascii="Arial" w:hAnsi="Arial" w:cs="Arial" w:eastAsia="Arial" w:hint="default"/>
                <w:sz w:val="18"/>
                <w:szCs w:val="18"/>
              </w:rPr>
              <w:t>2018</w:t>
            </w:r>
            <w:r>
              <w:rPr>
                <w:rFonts w:ascii="Arial" w:hAnsi="Arial" w:cs="Arial" w:eastAsia="Arial" w:hint="default"/>
                <w:spacing w:val="-20"/>
                <w:sz w:val="18"/>
                <w:szCs w:val="18"/>
              </w:rPr>
              <w:t> </w:t>
            </w:r>
            <w:r>
              <w:rPr>
                <w:rFonts w:ascii="宋体" w:hAnsi="宋体" w:cs="宋体" w:eastAsia="宋体" w:hint="default"/>
                <w:spacing w:val="-3"/>
                <w:sz w:val="18"/>
                <w:szCs w:val="18"/>
              </w:rPr>
              <w:t>年限制性股票的首次授予</w:t>
            </w:r>
          </w:p>
          <w:p>
            <w:pPr>
              <w:pStyle w:val="TableParagraph"/>
              <w:spacing w:line="240" w:lineRule="auto" w:before="63"/>
              <w:ind w:left="23" w:right="-1"/>
              <w:jc w:val="left"/>
              <w:rPr>
                <w:rFonts w:ascii="宋体" w:hAnsi="宋体" w:cs="宋体" w:eastAsia="宋体" w:hint="default"/>
                <w:sz w:val="18"/>
                <w:szCs w:val="18"/>
              </w:rPr>
            </w:pPr>
            <w:r>
              <w:rPr>
                <w:rFonts w:ascii="宋体" w:hAnsi="宋体" w:cs="宋体" w:eastAsia="宋体" w:hint="default"/>
                <w:sz w:val="18"/>
                <w:szCs w:val="18"/>
              </w:rPr>
              <w:t>价格为</w:t>
            </w:r>
            <w:r>
              <w:rPr>
                <w:rFonts w:ascii="宋体" w:hAnsi="宋体" w:cs="宋体" w:eastAsia="宋体" w:hint="default"/>
                <w:spacing w:val="-42"/>
                <w:sz w:val="18"/>
                <w:szCs w:val="18"/>
              </w:rPr>
              <w:t> </w:t>
            </w:r>
            <w:r>
              <w:rPr>
                <w:rFonts w:ascii="Arial" w:hAnsi="Arial" w:cs="Arial" w:eastAsia="Arial" w:hint="default"/>
                <w:sz w:val="18"/>
                <w:szCs w:val="18"/>
              </w:rPr>
              <w:t>2.70</w:t>
            </w:r>
            <w:r>
              <w:rPr>
                <w:rFonts w:ascii="Arial" w:hAnsi="Arial" w:cs="Arial" w:eastAsia="Arial" w:hint="default"/>
                <w:spacing w:val="-3"/>
                <w:sz w:val="18"/>
                <w:szCs w:val="18"/>
              </w:rPr>
              <w:t> </w:t>
            </w:r>
            <w:r>
              <w:rPr>
                <w:rFonts w:ascii="宋体" w:hAnsi="宋体" w:cs="宋体" w:eastAsia="宋体" w:hint="default"/>
                <w:spacing w:val="-3"/>
                <w:sz w:val="18"/>
                <w:szCs w:val="18"/>
              </w:rPr>
              <w:t>元</w:t>
            </w:r>
            <w:r>
              <w:rPr>
                <w:rFonts w:ascii="Arial" w:hAnsi="Arial" w:cs="Arial" w:eastAsia="Arial" w:hint="default"/>
                <w:spacing w:val="-3"/>
                <w:sz w:val="18"/>
                <w:szCs w:val="18"/>
              </w:rPr>
              <w:t>/</w:t>
            </w:r>
            <w:r>
              <w:rPr>
                <w:rFonts w:ascii="宋体" w:hAnsi="宋体" w:cs="宋体" w:eastAsia="宋体" w:hint="default"/>
                <w:spacing w:val="-3"/>
                <w:sz w:val="18"/>
                <w:szCs w:val="18"/>
              </w:rPr>
              <w:t>股，授予日为</w:t>
            </w:r>
            <w:r>
              <w:rPr>
                <w:rFonts w:ascii="宋体" w:hAnsi="宋体" w:cs="宋体" w:eastAsia="宋体" w:hint="default"/>
                <w:spacing w:val="-42"/>
                <w:sz w:val="18"/>
                <w:szCs w:val="18"/>
              </w:rPr>
              <w:t> </w:t>
            </w:r>
            <w:r>
              <w:rPr>
                <w:rFonts w:ascii="Arial" w:hAnsi="Arial" w:cs="Arial" w:eastAsia="Arial" w:hint="default"/>
                <w:sz w:val="18"/>
                <w:szCs w:val="18"/>
              </w:rPr>
              <w:t>2018</w:t>
            </w:r>
            <w:r>
              <w:rPr>
                <w:rFonts w:ascii="Arial" w:hAnsi="Arial" w:cs="Arial" w:eastAsia="Arial"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Arial" w:hAnsi="Arial" w:cs="Arial" w:eastAsia="Arial" w:hint="default"/>
                <w:sz w:val="18"/>
                <w:szCs w:val="18"/>
              </w:rPr>
              <w:t>10</w:t>
            </w:r>
            <w:r>
              <w:rPr>
                <w:rFonts w:ascii="Arial" w:hAnsi="Arial" w:cs="Arial" w:eastAsia="Arial"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Arial" w:hAnsi="Arial" w:cs="Arial" w:eastAsia="Arial" w:hint="default"/>
                <w:sz w:val="18"/>
                <w:szCs w:val="18"/>
              </w:rPr>
              <w:t>31</w:t>
            </w:r>
            <w:r>
              <w:rPr>
                <w:rFonts w:ascii="Arial" w:hAnsi="Arial" w:cs="Arial" w:eastAsia="Arial" w:hint="default"/>
                <w:spacing w:val="-3"/>
                <w:sz w:val="18"/>
                <w:szCs w:val="18"/>
              </w:rPr>
              <w:t> </w:t>
            </w:r>
            <w:r>
              <w:rPr>
                <w:rFonts w:ascii="宋体" w:hAnsi="宋体" w:cs="宋体" w:eastAsia="宋体" w:hint="default"/>
                <w:spacing w:val="-5"/>
                <w:sz w:val="18"/>
                <w:szCs w:val="18"/>
              </w:rPr>
              <w:t>日。</w:t>
            </w:r>
            <w:r>
              <w:rPr>
                <w:rFonts w:ascii="宋体" w:hAnsi="宋体" w:cs="宋体" w:eastAsia="宋体" w:hint="default"/>
                <w:sz w:val="18"/>
                <w:szCs w:val="18"/>
              </w:rPr>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pacing w:val="-3"/>
                <w:sz w:val="18"/>
                <w:szCs w:val="18"/>
              </w:rPr>
              <w:t>合同剩余期限为自次授权日起满  </w:t>
            </w:r>
            <w:r>
              <w:rPr>
                <w:rFonts w:ascii="Arial" w:hAnsi="Arial" w:cs="Arial" w:eastAsia="Arial" w:hint="default"/>
                <w:sz w:val="18"/>
                <w:szCs w:val="18"/>
              </w:rPr>
              <w:t>12</w:t>
            </w:r>
            <w:r>
              <w:rPr>
                <w:rFonts w:ascii="Arial" w:hAnsi="Arial" w:cs="Arial" w:eastAsia="Arial" w:hint="default"/>
                <w:spacing w:val="-27"/>
                <w:sz w:val="18"/>
                <w:szCs w:val="18"/>
              </w:rPr>
              <w:t> </w:t>
            </w:r>
            <w:r>
              <w:rPr>
                <w:rFonts w:ascii="宋体" w:hAnsi="宋体" w:cs="宋体" w:eastAsia="宋体" w:hint="default"/>
                <w:spacing w:val="-11"/>
                <w:sz w:val="18"/>
                <w:szCs w:val="18"/>
              </w:rPr>
              <w:t>个月后，激励对</w:t>
            </w:r>
          </w:p>
          <w:p>
            <w:pPr>
              <w:pStyle w:val="TableParagraph"/>
              <w:spacing w:line="240" w:lineRule="auto" w:before="68"/>
              <w:ind w:left="23" w:right="0"/>
              <w:jc w:val="left"/>
              <w:rPr>
                <w:rFonts w:ascii="宋体" w:hAnsi="宋体" w:cs="宋体" w:eastAsia="宋体" w:hint="default"/>
                <w:sz w:val="18"/>
                <w:szCs w:val="18"/>
              </w:rPr>
            </w:pPr>
            <w:r>
              <w:rPr>
                <w:rFonts w:ascii="宋体" w:hAnsi="宋体" w:cs="宋体" w:eastAsia="宋体" w:hint="default"/>
                <w:sz w:val="18"/>
                <w:szCs w:val="18"/>
              </w:rPr>
              <w:t>象应在未来 </w:t>
            </w:r>
            <w:r>
              <w:rPr>
                <w:rFonts w:ascii="Arial" w:hAnsi="Arial" w:cs="Arial" w:eastAsia="Arial" w:hint="default"/>
                <w:sz w:val="18"/>
                <w:szCs w:val="18"/>
              </w:rPr>
              <w:t>36</w:t>
            </w:r>
            <w:r>
              <w:rPr>
                <w:rFonts w:ascii="Arial" w:hAnsi="Arial" w:cs="Arial" w:eastAsia="Arial" w:hint="default"/>
                <w:spacing w:val="-23"/>
                <w:sz w:val="18"/>
                <w:szCs w:val="18"/>
              </w:rPr>
              <w:t> </w:t>
            </w:r>
            <w:r>
              <w:rPr>
                <w:rFonts w:ascii="宋体" w:hAnsi="宋体" w:cs="宋体" w:eastAsia="宋体" w:hint="default"/>
                <w:spacing w:val="-3"/>
                <w:sz w:val="18"/>
                <w:szCs w:val="18"/>
              </w:rPr>
              <w:t>个月内分三期解锁。</w:t>
            </w:r>
          </w:p>
          <w:p>
            <w:pPr>
              <w:pStyle w:val="TableParagraph"/>
              <w:spacing w:line="240" w:lineRule="auto" w:before="102"/>
              <w:ind w:left="23" w:right="0"/>
              <w:jc w:val="left"/>
              <w:rPr>
                <w:rFonts w:ascii="宋体" w:hAnsi="宋体" w:cs="宋体" w:eastAsia="宋体" w:hint="default"/>
                <w:sz w:val="18"/>
                <w:szCs w:val="18"/>
              </w:rPr>
            </w:pPr>
            <w:r>
              <w:rPr>
                <w:rFonts w:ascii="宋体" w:hAnsi="宋体" w:cs="宋体" w:eastAsia="宋体" w:hint="default"/>
                <w:spacing w:val="-3"/>
                <w:sz w:val="18"/>
                <w:szCs w:val="18"/>
              </w:rPr>
              <w:t>公司期末发行在外的 </w:t>
            </w:r>
            <w:r>
              <w:rPr>
                <w:rFonts w:ascii="Arial" w:hAnsi="Arial" w:cs="Arial" w:eastAsia="Arial" w:hint="default"/>
                <w:sz w:val="18"/>
                <w:szCs w:val="18"/>
              </w:rPr>
              <w:t>2018</w:t>
            </w:r>
            <w:r>
              <w:rPr>
                <w:rFonts w:ascii="Arial" w:hAnsi="Arial" w:cs="Arial" w:eastAsia="Arial" w:hint="default"/>
                <w:spacing w:val="-20"/>
                <w:sz w:val="18"/>
                <w:szCs w:val="18"/>
              </w:rPr>
              <w:t> </w:t>
            </w:r>
            <w:r>
              <w:rPr>
                <w:rFonts w:ascii="宋体" w:hAnsi="宋体" w:cs="宋体" w:eastAsia="宋体" w:hint="default"/>
                <w:spacing w:val="-3"/>
                <w:sz w:val="18"/>
                <w:szCs w:val="18"/>
              </w:rPr>
              <w:t>年限制性股票的预留授予</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价格为</w:t>
            </w:r>
            <w:r>
              <w:rPr>
                <w:rFonts w:ascii="宋体" w:hAnsi="宋体" w:cs="宋体" w:eastAsia="宋体" w:hint="default"/>
                <w:spacing w:val="-42"/>
                <w:sz w:val="18"/>
                <w:szCs w:val="18"/>
              </w:rPr>
              <w:t> </w:t>
            </w:r>
            <w:r>
              <w:rPr>
                <w:rFonts w:ascii="Arial" w:hAnsi="Arial" w:cs="Arial" w:eastAsia="Arial" w:hint="default"/>
                <w:sz w:val="18"/>
                <w:szCs w:val="18"/>
              </w:rPr>
              <w:t>2.94</w:t>
            </w:r>
            <w:r>
              <w:rPr>
                <w:rFonts w:ascii="Arial" w:hAnsi="Arial" w:cs="Arial" w:eastAsia="Arial" w:hint="default"/>
                <w:spacing w:val="-3"/>
                <w:sz w:val="18"/>
                <w:szCs w:val="18"/>
              </w:rPr>
              <w:t> </w:t>
            </w:r>
            <w:r>
              <w:rPr>
                <w:rFonts w:ascii="宋体" w:hAnsi="宋体" w:cs="宋体" w:eastAsia="宋体" w:hint="default"/>
                <w:spacing w:val="-3"/>
                <w:sz w:val="18"/>
                <w:szCs w:val="18"/>
              </w:rPr>
              <w:t>元</w:t>
            </w:r>
            <w:r>
              <w:rPr>
                <w:rFonts w:ascii="Arial" w:hAnsi="Arial" w:cs="Arial" w:eastAsia="Arial" w:hint="default"/>
                <w:spacing w:val="-3"/>
                <w:sz w:val="18"/>
                <w:szCs w:val="18"/>
              </w:rPr>
              <w:t>/</w:t>
            </w:r>
            <w:r>
              <w:rPr>
                <w:rFonts w:ascii="宋体" w:hAnsi="宋体" w:cs="宋体" w:eastAsia="宋体" w:hint="default"/>
                <w:spacing w:val="-3"/>
                <w:sz w:val="18"/>
                <w:szCs w:val="18"/>
              </w:rPr>
              <w:t>股，授予日为</w:t>
            </w:r>
            <w:r>
              <w:rPr>
                <w:rFonts w:ascii="宋体" w:hAnsi="宋体" w:cs="宋体" w:eastAsia="宋体" w:hint="default"/>
                <w:spacing w:val="-42"/>
                <w:sz w:val="18"/>
                <w:szCs w:val="18"/>
              </w:rPr>
              <w:t> </w:t>
            </w:r>
            <w:r>
              <w:rPr>
                <w:rFonts w:ascii="Arial" w:hAnsi="Arial" w:cs="Arial" w:eastAsia="Arial" w:hint="default"/>
                <w:sz w:val="18"/>
                <w:szCs w:val="18"/>
              </w:rPr>
              <w:t>2019</w:t>
            </w:r>
            <w:r>
              <w:rPr>
                <w:rFonts w:ascii="Arial" w:hAnsi="Arial" w:cs="Arial" w:eastAsia="Arial"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Arial" w:hAnsi="Arial" w:cs="Arial" w:eastAsia="Arial" w:hint="default"/>
                <w:sz w:val="18"/>
                <w:szCs w:val="18"/>
              </w:rPr>
              <w:t>6</w:t>
            </w:r>
            <w:r>
              <w:rPr>
                <w:rFonts w:ascii="Arial" w:hAnsi="Arial" w:cs="Arial" w:eastAsia="Arial"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Arial" w:hAnsi="Arial" w:cs="Arial" w:eastAsia="Arial" w:hint="default"/>
                <w:sz w:val="18"/>
                <w:szCs w:val="18"/>
              </w:rPr>
              <w:t>6</w:t>
            </w:r>
            <w:r>
              <w:rPr>
                <w:rFonts w:ascii="Arial" w:hAnsi="Arial" w:cs="Arial" w:eastAsia="Arial" w:hint="default"/>
                <w:spacing w:val="-3"/>
                <w:sz w:val="18"/>
                <w:szCs w:val="18"/>
              </w:rPr>
              <w:t> </w:t>
            </w:r>
            <w:r>
              <w:rPr>
                <w:rFonts w:ascii="宋体" w:hAnsi="宋体" w:cs="宋体" w:eastAsia="宋体" w:hint="default"/>
                <w:spacing w:val="-5"/>
                <w:sz w:val="18"/>
                <w:szCs w:val="18"/>
              </w:rPr>
              <w:t>日。合</w:t>
            </w:r>
            <w:r>
              <w:rPr>
                <w:rFonts w:ascii="宋体" w:hAnsi="宋体" w:cs="宋体" w:eastAsia="宋体" w:hint="default"/>
                <w:sz w:val="18"/>
                <w:szCs w:val="18"/>
              </w:rPr>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同剩余期限为自次授权日起满 </w:t>
            </w:r>
            <w:r>
              <w:rPr>
                <w:rFonts w:ascii="Arial" w:hAnsi="Arial" w:cs="Arial" w:eastAsia="Arial" w:hint="default"/>
                <w:sz w:val="18"/>
                <w:szCs w:val="18"/>
              </w:rPr>
              <w:t>12</w:t>
            </w:r>
            <w:r>
              <w:rPr>
                <w:rFonts w:ascii="Arial" w:hAnsi="Arial" w:cs="Arial" w:eastAsia="Arial" w:hint="default"/>
                <w:spacing w:val="-31"/>
                <w:sz w:val="18"/>
                <w:szCs w:val="18"/>
              </w:rPr>
              <w:t> </w:t>
            </w:r>
            <w:r>
              <w:rPr>
                <w:rFonts w:ascii="宋体" w:hAnsi="宋体" w:cs="宋体" w:eastAsia="宋体" w:hint="default"/>
                <w:spacing w:val="-4"/>
                <w:sz w:val="18"/>
                <w:szCs w:val="18"/>
              </w:rPr>
              <w:t>个月后，激励对象</w:t>
            </w:r>
          </w:p>
          <w:p>
            <w:pPr>
              <w:pStyle w:val="TableParagraph"/>
              <w:spacing w:line="240" w:lineRule="auto" w:before="68"/>
              <w:ind w:left="23" w:right="0"/>
              <w:jc w:val="left"/>
              <w:rPr>
                <w:rFonts w:ascii="宋体" w:hAnsi="宋体" w:cs="宋体" w:eastAsia="宋体" w:hint="default"/>
                <w:sz w:val="18"/>
                <w:szCs w:val="18"/>
              </w:rPr>
            </w:pPr>
            <w:r>
              <w:rPr>
                <w:rFonts w:ascii="宋体" w:hAnsi="宋体" w:cs="宋体" w:eastAsia="宋体" w:hint="default"/>
                <w:sz w:val="18"/>
                <w:szCs w:val="18"/>
              </w:rPr>
              <w:t>应在未来 </w:t>
            </w:r>
            <w:r>
              <w:rPr>
                <w:rFonts w:ascii="Arial" w:hAnsi="Arial" w:cs="Arial" w:eastAsia="Arial" w:hint="default"/>
                <w:sz w:val="18"/>
                <w:szCs w:val="18"/>
              </w:rPr>
              <w:t>36</w:t>
            </w:r>
            <w:r>
              <w:rPr>
                <w:rFonts w:ascii="Arial" w:hAnsi="Arial" w:cs="Arial" w:eastAsia="Arial" w:hint="default"/>
                <w:spacing w:val="-21"/>
                <w:sz w:val="18"/>
                <w:szCs w:val="18"/>
              </w:rPr>
              <w:t> </w:t>
            </w:r>
            <w:r>
              <w:rPr>
                <w:rFonts w:ascii="宋体" w:hAnsi="宋体" w:cs="宋体" w:eastAsia="宋体" w:hint="default"/>
                <w:spacing w:val="-3"/>
                <w:sz w:val="18"/>
                <w:szCs w:val="18"/>
              </w:rPr>
              <w:t>个月内分三期解锁。</w:t>
            </w:r>
          </w:p>
        </w:tc>
      </w:tr>
    </w:tbl>
    <w:p>
      <w:pPr>
        <w:spacing w:line="240" w:lineRule="auto" w:before="9"/>
        <w:rPr>
          <w:rFonts w:ascii="宋体" w:hAnsi="宋体" w:cs="宋体" w:eastAsia="宋体" w:hint="default"/>
          <w:sz w:val="27"/>
          <w:szCs w:val="27"/>
        </w:rPr>
      </w:pPr>
    </w:p>
    <w:p>
      <w:pPr>
        <w:pStyle w:val="BodyText"/>
        <w:spacing w:line="352" w:lineRule="auto"/>
        <w:ind w:right="10031"/>
        <w:jc w:val="left"/>
      </w:pPr>
      <w:r>
        <w:rPr/>
        <w:t>其他说明</w:t>
      </w:r>
      <w:r>
        <w:rPr>
          <w:spacing w:val="-86"/>
        </w:rPr>
        <w:t> </w:t>
      </w:r>
      <w:r>
        <w:rPr>
          <w:spacing w:val="-86"/>
        </w:rPr>
      </w:r>
      <w:r>
        <w:rPr/>
        <w:t>无。</w:t>
      </w:r>
    </w:p>
    <w:p>
      <w:pPr>
        <w:spacing w:line="240" w:lineRule="auto" w:before="7"/>
        <w:rPr>
          <w:rFonts w:ascii="宋体" w:hAnsi="宋体" w:cs="宋体" w:eastAsia="宋体" w:hint="default"/>
          <w:sz w:val="20"/>
          <w:szCs w:val="20"/>
        </w:rPr>
      </w:pPr>
    </w:p>
    <w:p>
      <w:pPr>
        <w:pStyle w:val="Heading4"/>
        <w:spacing w:line="240" w:lineRule="auto"/>
        <w:ind w:right="0"/>
        <w:jc w:val="left"/>
        <w:rPr>
          <w:b w:val="0"/>
          <w:bCs w:val="0"/>
        </w:rPr>
      </w:pPr>
      <w:bookmarkStart w:name="2、以权益结算的股份支付情况" w:id="498"/>
      <w:bookmarkEnd w:id="498"/>
      <w:r>
        <w:rPr>
          <w:b w:val="0"/>
          <w:bCs w:val="0"/>
        </w:rPr>
      </w:r>
      <w:r>
        <w:rPr>
          <w:rFonts w:ascii="Times New Roman" w:hAnsi="Times New Roman" w:cs="Times New Roman" w:eastAsia="Times New Roman" w:hint="default"/>
        </w:rPr>
        <w:t>2</w:t>
      </w:r>
      <w:r>
        <w:rPr/>
        <w:t>、以权益结算的股份支付情况</w:t>
      </w:r>
      <w:r>
        <w:rPr>
          <w:b w:val="0"/>
          <w:bCs w:val="0"/>
        </w:rPr>
      </w:r>
    </w:p>
    <w:p>
      <w:pPr>
        <w:spacing w:line="240" w:lineRule="auto" w:before="7"/>
        <w:rPr>
          <w:rFonts w:ascii="宋体" w:hAnsi="宋体" w:cs="宋体" w:eastAsia="宋体" w:hint="default"/>
          <w:b/>
          <w:bCs/>
          <w:sz w:val="23"/>
          <w:szCs w:val="23"/>
        </w:rPr>
      </w:pPr>
    </w:p>
    <w:p>
      <w:pPr>
        <w:pStyle w:val="BodyText"/>
        <w:spacing w:line="240" w:lineRule="auto"/>
        <w:ind w:right="0"/>
        <w:jc w:val="left"/>
      </w:pPr>
      <w:r>
        <w:rPr/>
        <w:t>√ </w:t>
      </w:r>
      <w:r>
        <w:rPr>
          <w:spacing w:val="-3"/>
        </w:rPr>
        <w:t>适用 </w:t>
      </w:r>
      <w:r>
        <w:rPr/>
        <w:t>□</w:t>
      </w:r>
      <w:r>
        <w:rPr>
          <w:spacing w:val="13"/>
        </w:rPr>
        <w:t> </w:t>
      </w:r>
      <w:r>
        <w:rPr/>
        <w:t>不适用</w:t>
      </w:r>
    </w:p>
    <w:p>
      <w:pPr>
        <w:pStyle w:val="BodyText"/>
        <w:spacing w:line="240" w:lineRule="auto" w:before="115"/>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4984"/>
        <w:gridCol w:w="4585"/>
      </w:tblGrid>
      <w:tr>
        <w:trPr>
          <w:trHeight w:val="403"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pacing w:val="-3"/>
                <w:sz w:val="18"/>
                <w:szCs w:val="18"/>
              </w:rPr>
              <w:t>授予日权益工具公允价值的确定方法</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z w:val="18"/>
                <w:szCs w:val="18"/>
              </w:rPr>
              <w:t>市价</w:t>
            </w:r>
            <w:r>
              <w:rPr>
                <w:rFonts w:ascii="Times New Roman" w:hAnsi="Times New Roman" w:cs="Times New Roman" w:eastAsia="Times New Roman" w:hint="default"/>
                <w:sz w:val="18"/>
                <w:szCs w:val="18"/>
              </w:rPr>
              <w:t>-</w:t>
            </w:r>
            <w:r>
              <w:rPr>
                <w:rFonts w:ascii="宋体" w:hAnsi="宋体" w:cs="宋体" w:eastAsia="宋体" w:hint="default"/>
                <w:sz w:val="18"/>
                <w:szCs w:val="18"/>
              </w:rPr>
              <w:t>授予价</w:t>
            </w:r>
          </w:p>
        </w:tc>
      </w:tr>
      <w:tr>
        <w:trPr>
          <w:trHeight w:val="404"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pacing w:val="-3"/>
                <w:sz w:val="18"/>
                <w:szCs w:val="18"/>
              </w:rPr>
              <w:t>本期估计与上期估计有重大差异的原因</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3"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以权益结算的股份支付计入资本公积的累计金额</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29,635,680.00</w:t>
            </w:r>
          </w:p>
        </w:tc>
      </w:tr>
      <w:tr>
        <w:trPr>
          <w:trHeight w:val="403"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本期以权益结算的股份支付确认的费用总额</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2,268,433.34</w:t>
            </w:r>
          </w:p>
        </w:tc>
      </w:tr>
    </w:tbl>
    <w:p>
      <w:pPr>
        <w:pStyle w:val="BodyText"/>
        <w:spacing w:line="352" w:lineRule="auto" w:before="53"/>
        <w:ind w:right="10031"/>
        <w:jc w:val="left"/>
      </w:pPr>
      <w:r>
        <w:rPr/>
        <w:t>其他说明</w:t>
      </w:r>
      <w:r>
        <w:rPr>
          <w:spacing w:val="-86"/>
        </w:rPr>
        <w:t> </w:t>
      </w:r>
      <w:r>
        <w:rPr>
          <w:spacing w:val="-86"/>
        </w:rPr>
      </w:r>
      <w:r>
        <w:rPr/>
        <w:t>无。</w:t>
      </w:r>
    </w:p>
    <w:p>
      <w:pPr>
        <w:spacing w:after="0" w:line="352" w:lineRule="auto"/>
        <w:jc w:val="left"/>
        <w:sectPr>
          <w:pgSz w:w="11910" w:h="16840"/>
          <w:pgMar w:header="784" w:footer="1022" w:top="1100" w:bottom="1220" w:left="980" w:right="0"/>
        </w:sectPr>
      </w:pPr>
    </w:p>
    <w:p>
      <w:pPr>
        <w:spacing w:line="240" w:lineRule="auto" w:before="13"/>
        <w:rPr>
          <w:rFonts w:ascii="宋体" w:hAnsi="宋体" w:cs="宋体" w:eastAsia="宋体" w:hint="default"/>
          <w:sz w:val="21"/>
          <w:szCs w:val="21"/>
        </w:rPr>
      </w:pPr>
    </w:p>
    <w:p>
      <w:pPr>
        <w:pStyle w:val="Heading4"/>
        <w:spacing w:line="240" w:lineRule="auto" w:before="36"/>
        <w:ind w:right="0"/>
        <w:jc w:val="left"/>
        <w:rPr>
          <w:b w:val="0"/>
          <w:bCs w:val="0"/>
        </w:rPr>
      </w:pPr>
      <w:bookmarkStart w:name="3、以现金结算的股份支付情况" w:id="499"/>
      <w:bookmarkEnd w:id="499"/>
      <w:r>
        <w:rPr>
          <w:b w:val="0"/>
          <w:bCs w:val="0"/>
        </w:rPr>
      </w:r>
      <w:r>
        <w:rPr>
          <w:rFonts w:ascii="Times New Roman" w:hAnsi="Times New Roman" w:cs="Times New Roman" w:eastAsia="Times New Roman" w:hint="default"/>
        </w:rPr>
        <w:t>3</w:t>
      </w:r>
      <w:r>
        <w:rPr/>
        <w:t>、以现金结算的股份支付情况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before="0"/>
        <w:ind w:right="0"/>
        <w:jc w:val="left"/>
      </w:pPr>
      <w:r>
        <w:rPr/>
        <w:t>□ </w:t>
      </w:r>
      <w:r>
        <w:rPr>
          <w:spacing w:val="-3"/>
        </w:rPr>
        <w:t>适用 </w:t>
      </w:r>
      <w:r>
        <w:rPr/>
        <w:t>√</w:t>
      </w:r>
      <w:r>
        <w:rPr>
          <w:spacing w:val="13"/>
        </w:rPr>
        <w:t> </w:t>
      </w:r>
      <w:r>
        <w:rPr/>
        <w:t>不适用</w:t>
      </w:r>
    </w:p>
    <w:p>
      <w:pPr>
        <w:spacing w:line="240" w:lineRule="auto" w:before="4"/>
        <w:rPr>
          <w:rFonts w:ascii="宋体" w:hAnsi="宋体" w:cs="宋体" w:eastAsia="宋体" w:hint="default"/>
          <w:sz w:val="26"/>
          <w:szCs w:val="26"/>
        </w:rPr>
      </w:pPr>
    </w:p>
    <w:p>
      <w:pPr>
        <w:pStyle w:val="Heading4"/>
        <w:spacing w:line="240" w:lineRule="auto"/>
        <w:ind w:right="0"/>
        <w:jc w:val="left"/>
        <w:rPr>
          <w:b w:val="0"/>
          <w:bCs w:val="0"/>
        </w:rPr>
      </w:pPr>
      <w:bookmarkStart w:name="4、股份支付的修改、终止情况" w:id="500"/>
      <w:bookmarkEnd w:id="500"/>
      <w:r>
        <w:rPr>
          <w:b w:val="0"/>
          <w:bCs w:val="0"/>
        </w:rPr>
      </w:r>
      <w:r>
        <w:rPr>
          <w:rFonts w:ascii="Times New Roman" w:hAnsi="Times New Roman" w:cs="Times New Roman" w:eastAsia="Times New Roman" w:hint="default"/>
        </w:rPr>
        <w:t>4</w:t>
      </w:r>
      <w:r>
        <w:rPr/>
        <w:t>、股份支付的修改、终止情况</w:t>
      </w:r>
      <w:r>
        <w:rPr>
          <w:b w:val="0"/>
          <w:bCs w:val="0"/>
        </w:rPr>
      </w:r>
    </w:p>
    <w:p>
      <w:pPr>
        <w:spacing w:line="240" w:lineRule="auto" w:before="9"/>
        <w:rPr>
          <w:rFonts w:ascii="宋体" w:hAnsi="宋体" w:cs="宋体" w:eastAsia="宋体" w:hint="default"/>
          <w:b/>
          <w:bCs/>
          <w:sz w:val="26"/>
          <w:szCs w:val="26"/>
        </w:rPr>
      </w:pPr>
    </w:p>
    <w:p>
      <w:pPr>
        <w:pStyle w:val="BodyText"/>
        <w:spacing w:line="319" w:lineRule="auto" w:before="0"/>
        <w:ind w:right="0" w:firstLine="360"/>
        <w:jc w:val="left"/>
      </w:pPr>
      <w:r>
        <w:rPr>
          <w:rFonts w:ascii="宋体" w:hAnsi="宋体" w:cs="宋体" w:eastAsia="宋体" w:hint="default"/>
          <w:spacing w:val="-4"/>
        </w:rPr>
        <w:t>1</w:t>
      </w:r>
      <w:r>
        <w:rPr>
          <w:spacing w:val="-4"/>
        </w:rPr>
        <w:t>、</w:t>
      </w:r>
      <w:r>
        <w:rPr>
          <w:rFonts w:ascii="宋体" w:hAnsi="宋体" w:cs="宋体" w:eastAsia="宋体" w:hint="default"/>
          <w:spacing w:val="-4"/>
        </w:rPr>
        <w:t>2019</w:t>
      </w:r>
      <w:r>
        <w:rPr>
          <w:spacing w:val="-4"/>
        </w:rPr>
        <w:t>年</w:t>
      </w:r>
      <w:r>
        <w:rPr>
          <w:rFonts w:ascii="宋体" w:hAnsi="宋体" w:cs="宋体" w:eastAsia="宋体" w:hint="default"/>
          <w:spacing w:val="-4"/>
        </w:rPr>
        <w:t>3</w:t>
      </w:r>
      <w:r>
        <w:rPr>
          <w:spacing w:val="-4"/>
        </w:rPr>
        <w:t>月</w:t>
      </w:r>
      <w:r>
        <w:rPr>
          <w:rFonts w:ascii="宋体" w:hAnsi="宋体" w:cs="宋体" w:eastAsia="宋体" w:hint="default"/>
          <w:spacing w:val="-4"/>
        </w:rPr>
        <w:t>19</w:t>
      </w:r>
      <w:r>
        <w:rPr>
          <w:spacing w:val="-4"/>
        </w:rPr>
        <w:t>日，公司召开第四届董事会第二次会议和第四届监事会第二次会议，审议通过了《关于回购注销部分限</w:t>
      </w:r>
      <w:r>
        <w:rPr>
          <w:w w:val="101"/>
        </w:rPr>
        <w:t> </w:t>
      </w:r>
      <w:r>
        <w:rPr>
          <w:spacing w:val="-3"/>
        </w:rPr>
        <w:t>制性股票的议案》，根据本激励计划的相关规定及公司</w:t>
      </w:r>
      <w:r>
        <w:rPr>
          <w:rFonts w:ascii="宋体" w:hAnsi="宋体" w:cs="宋体" w:eastAsia="宋体" w:hint="default"/>
          <w:spacing w:val="-3"/>
        </w:rPr>
        <w:t>2016</w:t>
      </w:r>
      <w:r>
        <w:rPr>
          <w:spacing w:val="-3"/>
        </w:rPr>
        <w:t>年第二次临时股东大会对董事会的授权，公司董事会同意对</w:t>
      </w:r>
      <w:r>
        <w:rPr>
          <w:rFonts w:ascii="宋体" w:hAnsi="宋体" w:cs="宋体" w:eastAsia="宋体" w:hint="default"/>
          <w:spacing w:val="-3"/>
        </w:rPr>
        <w:t>11</w:t>
      </w:r>
      <w:r>
        <w:rPr>
          <w:rFonts w:ascii="宋体" w:hAnsi="宋体" w:cs="宋体" w:eastAsia="宋体" w:hint="default"/>
          <w:spacing w:val="75"/>
        </w:rPr>
        <w:t> </w:t>
      </w:r>
      <w:r>
        <w:rPr>
          <w:spacing w:val="-3"/>
        </w:rPr>
        <w:t>名离职的激励对象持有的已获授但尚未解除限售的</w:t>
      </w:r>
      <w:r>
        <w:rPr>
          <w:rFonts w:ascii="宋体" w:hAnsi="宋体" w:cs="宋体" w:eastAsia="宋体" w:hint="default"/>
          <w:spacing w:val="-3"/>
        </w:rPr>
        <w:t>8.775</w:t>
      </w:r>
      <w:r>
        <w:rPr>
          <w:spacing w:val="-3"/>
        </w:rPr>
        <w:t>万股（除权后）限制性股票进行回购注销处理。监事会对本次回购</w:t>
      </w:r>
      <w:r>
        <w:rPr>
          <w:spacing w:val="76"/>
        </w:rPr>
        <w:t> </w:t>
      </w:r>
      <w:r>
        <w:rPr>
          <w:spacing w:val="76"/>
        </w:rPr>
      </w:r>
      <w:r>
        <w:rPr>
          <w:spacing w:val="-3"/>
        </w:rPr>
        <w:t>注销部分限制性股票相关事项进行了核实并发表核查意见，公司独立董事、律师对该事项发表了意见。</w:t>
      </w:r>
    </w:p>
    <w:p>
      <w:pPr>
        <w:pStyle w:val="BodyText"/>
        <w:spacing w:line="319" w:lineRule="auto" w:before="17"/>
        <w:ind w:right="1124" w:firstLine="360"/>
        <w:jc w:val="both"/>
      </w:pPr>
      <w:r>
        <w:rPr>
          <w:rFonts w:ascii="宋体" w:hAnsi="宋体" w:cs="宋体" w:eastAsia="宋体" w:hint="default"/>
          <w:spacing w:val="-3"/>
        </w:rPr>
        <w:t>2</w:t>
      </w:r>
      <w:r>
        <w:rPr>
          <w:spacing w:val="-3"/>
        </w:rPr>
        <w:t>、</w:t>
      </w:r>
      <w:r>
        <w:rPr>
          <w:rFonts w:ascii="宋体" w:hAnsi="宋体" w:cs="宋体" w:eastAsia="宋体" w:hint="default"/>
          <w:spacing w:val="-3"/>
        </w:rPr>
        <w:t>2019</w:t>
      </w:r>
      <w:r>
        <w:rPr>
          <w:spacing w:val="-3"/>
        </w:rPr>
        <w:t>年</w:t>
      </w:r>
      <w:r>
        <w:rPr>
          <w:rFonts w:ascii="宋体" w:hAnsi="宋体" w:cs="宋体" w:eastAsia="宋体" w:hint="default"/>
          <w:spacing w:val="-3"/>
        </w:rPr>
        <w:t>8</w:t>
      </w:r>
      <w:r>
        <w:rPr>
          <w:spacing w:val="-3"/>
        </w:rPr>
        <w:t>月</w:t>
      </w:r>
      <w:r>
        <w:rPr>
          <w:rFonts w:ascii="宋体" w:hAnsi="宋体" w:cs="宋体" w:eastAsia="宋体" w:hint="default"/>
          <w:spacing w:val="-3"/>
        </w:rPr>
        <w:t>8</w:t>
      </w:r>
      <w:r>
        <w:rPr>
          <w:spacing w:val="-3"/>
        </w:rPr>
        <w:t>日，公司召开第四届董事会第七次会议和第四届监事会第七次会议，审议通过了《关于回购注销部分限</w:t>
      </w:r>
      <w:r>
        <w:rPr>
          <w:w w:val="101"/>
        </w:rPr>
        <w:t> </w:t>
      </w:r>
      <w:r>
        <w:rPr>
          <w:spacing w:val="-3"/>
        </w:rPr>
        <w:t>制性股票的议案》，由于黄永忠先生于</w:t>
      </w:r>
      <w:r>
        <w:rPr>
          <w:rFonts w:ascii="宋体" w:hAnsi="宋体" w:cs="宋体" w:eastAsia="宋体" w:hint="default"/>
          <w:spacing w:val="-3"/>
        </w:rPr>
        <w:t>2019</w:t>
      </w:r>
      <w:r>
        <w:rPr>
          <w:spacing w:val="-3"/>
        </w:rPr>
        <w:t>年</w:t>
      </w:r>
      <w:r>
        <w:rPr>
          <w:rFonts w:ascii="宋体" w:hAnsi="宋体" w:cs="宋体" w:eastAsia="宋体" w:hint="default"/>
          <w:spacing w:val="-3"/>
        </w:rPr>
        <w:t>1</w:t>
      </w:r>
      <w:r>
        <w:rPr>
          <w:spacing w:val="-3"/>
        </w:rPr>
        <w:t>月</w:t>
      </w:r>
      <w:r>
        <w:rPr>
          <w:rFonts w:ascii="宋体" w:hAnsi="宋体" w:cs="宋体" w:eastAsia="宋体" w:hint="default"/>
          <w:spacing w:val="-3"/>
        </w:rPr>
        <w:t>23</w:t>
      </w:r>
      <w:r>
        <w:rPr>
          <w:spacing w:val="-3"/>
        </w:rPr>
        <w:t>日被选举为公司监事，根据《上市公司股权激励管理办法》等法律法规</w:t>
      </w:r>
      <w:r>
        <w:rPr>
          <w:spacing w:val="80"/>
        </w:rPr>
        <w:t> </w:t>
      </w:r>
      <w:r>
        <w:rPr>
          <w:spacing w:val="80"/>
        </w:rPr>
      </w:r>
      <w:r>
        <w:rPr>
          <w:spacing w:val="-3"/>
        </w:rPr>
        <w:t>的规定，黄永忠先生已获授的第三个解锁期的限制性股票</w:t>
      </w:r>
      <w:r>
        <w:rPr>
          <w:rFonts w:ascii="宋体" w:hAnsi="宋体" w:cs="宋体" w:eastAsia="宋体" w:hint="default"/>
          <w:spacing w:val="-3"/>
        </w:rPr>
        <w:t>9</w:t>
      </w:r>
      <w:r>
        <w:rPr>
          <w:spacing w:val="-3"/>
        </w:rPr>
        <w:t>万股需公司回购注销。根据本激励计划的相关规定及公司</w:t>
      </w:r>
      <w:r>
        <w:rPr>
          <w:rFonts w:ascii="宋体" w:hAnsi="宋体" w:cs="宋体" w:eastAsia="宋体" w:hint="default"/>
          <w:spacing w:val="-3"/>
        </w:rPr>
        <w:t>2016</w:t>
      </w:r>
      <w:r>
        <w:rPr>
          <w:spacing w:val="-3"/>
        </w:rPr>
        <w:t>年</w:t>
      </w:r>
      <w:r>
        <w:rPr>
          <w:spacing w:val="76"/>
        </w:rPr>
        <w:t> </w:t>
      </w:r>
      <w:r>
        <w:rPr>
          <w:spacing w:val="-3"/>
        </w:rPr>
        <w:t>第二次临时股东大会对董事会的授权，公司董事会同意对黄永忠先生持有的已获授但尚未解除限售的</w:t>
      </w:r>
      <w:r>
        <w:rPr>
          <w:rFonts w:ascii="宋体" w:hAnsi="宋体" w:cs="宋体" w:eastAsia="宋体" w:hint="default"/>
          <w:spacing w:val="-3"/>
        </w:rPr>
        <w:t>9</w:t>
      </w:r>
      <w:r>
        <w:rPr>
          <w:spacing w:val="-3"/>
        </w:rPr>
        <w:t>万股（除权后）限制</w:t>
      </w:r>
      <w:r>
        <w:rPr>
          <w:spacing w:val="71"/>
        </w:rPr>
        <w:t> </w:t>
      </w:r>
      <w:r>
        <w:rPr>
          <w:spacing w:val="71"/>
        </w:rPr>
      </w:r>
      <w:r>
        <w:rPr>
          <w:spacing w:val="-4"/>
        </w:rPr>
        <w:t>性股票进行回购注销处理。监事会对本次回购注销部分限制性股票相关事项进行了核实并发表核查意见，公司独立董事、律</w:t>
      </w:r>
      <w:r>
        <w:rPr>
          <w:spacing w:val="43"/>
        </w:rPr>
        <w:t> </w:t>
      </w:r>
      <w:r>
        <w:rPr>
          <w:spacing w:val="43"/>
        </w:rPr>
      </w:r>
      <w:r>
        <w:rPr>
          <w:spacing w:val="-3"/>
        </w:rPr>
        <w:t>师对该事项发表了意见。</w:t>
      </w:r>
    </w:p>
    <w:p>
      <w:pPr>
        <w:spacing w:line="240" w:lineRule="auto" w:before="6"/>
        <w:rPr>
          <w:rFonts w:ascii="宋体" w:hAnsi="宋体" w:cs="宋体" w:eastAsia="宋体" w:hint="default"/>
          <w:sz w:val="22"/>
          <w:szCs w:val="22"/>
        </w:rPr>
      </w:pPr>
    </w:p>
    <w:p>
      <w:pPr>
        <w:pStyle w:val="Heading4"/>
        <w:spacing w:line="240" w:lineRule="auto"/>
        <w:ind w:right="0"/>
        <w:jc w:val="left"/>
        <w:rPr>
          <w:b w:val="0"/>
          <w:bCs w:val="0"/>
        </w:rPr>
      </w:pPr>
      <w:bookmarkStart w:name="5、其他" w:id="501"/>
      <w:bookmarkEnd w:id="501"/>
      <w:r>
        <w:rPr>
          <w:b w:val="0"/>
          <w:bCs w:val="0"/>
        </w:rPr>
      </w:r>
      <w:r>
        <w:rPr>
          <w:rFonts w:ascii="Times New Roman" w:hAnsi="Times New Roman" w:cs="Times New Roman" w:eastAsia="Times New Roman" w:hint="default"/>
        </w:rPr>
        <w:t>5</w:t>
      </w:r>
      <w:r>
        <w:rPr/>
        <w:t>、其他</w:t>
      </w:r>
      <w:r>
        <w:rPr>
          <w:b w:val="0"/>
          <w:bCs w:val="0"/>
        </w:rPr>
      </w:r>
    </w:p>
    <w:p>
      <w:pPr>
        <w:spacing w:line="240" w:lineRule="auto" w:before="4"/>
        <w:rPr>
          <w:rFonts w:ascii="宋体" w:hAnsi="宋体" w:cs="宋体" w:eastAsia="宋体" w:hint="default"/>
          <w:b/>
          <w:bCs/>
          <w:sz w:val="26"/>
          <w:szCs w:val="26"/>
        </w:rPr>
      </w:pPr>
    </w:p>
    <w:p>
      <w:pPr>
        <w:pStyle w:val="BodyText"/>
        <w:spacing w:line="240" w:lineRule="auto" w:before="0"/>
        <w:ind w:right="0"/>
        <w:jc w:val="left"/>
      </w:pPr>
      <w:r>
        <w:rPr/>
        <w:t>无。</w:t>
      </w:r>
    </w:p>
    <w:p>
      <w:pPr>
        <w:spacing w:line="240" w:lineRule="auto" w:before="10"/>
        <w:rPr>
          <w:rFonts w:ascii="宋体" w:hAnsi="宋体" w:cs="宋体" w:eastAsia="宋体" w:hint="default"/>
          <w:sz w:val="24"/>
          <w:szCs w:val="24"/>
        </w:rPr>
      </w:pPr>
    </w:p>
    <w:p>
      <w:pPr>
        <w:pStyle w:val="Heading2"/>
        <w:spacing w:line="240" w:lineRule="auto"/>
        <w:ind w:right="0"/>
        <w:jc w:val="left"/>
        <w:rPr>
          <w:b w:val="0"/>
          <w:bCs w:val="0"/>
        </w:rPr>
      </w:pPr>
      <w:bookmarkStart w:name="十四、承诺及或有事项" w:id="502"/>
      <w:bookmarkEnd w:id="502"/>
      <w:r>
        <w:rPr>
          <w:b w:val="0"/>
          <w:bCs w:val="0"/>
        </w:rPr>
      </w:r>
      <w:r>
        <w:rPr/>
        <w:t>十四、承诺及或有事项</w:t>
      </w:r>
      <w:r>
        <w:rPr>
          <w:b w:val="0"/>
          <w:bCs w:val="0"/>
        </w:rPr>
      </w:r>
    </w:p>
    <w:p>
      <w:pPr>
        <w:spacing w:line="240" w:lineRule="auto" w:before="3"/>
        <w:rPr>
          <w:rFonts w:ascii="宋体" w:hAnsi="宋体" w:cs="宋体" w:eastAsia="宋体" w:hint="default"/>
          <w:b/>
          <w:bCs/>
          <w:sz w:val="25"/>
          <w:szCs w:val="25"/>
        </w:rPr>
      </w:pPr>
    </w:p>
    <w:p>
      <w:pPr>
        <w:pStyle w:val="Heading4"/>
        <w:spacing w:line="240" w:lineRule="auto"/>
        <w:ind w:right="0"/>
        <w:jc w:val="left"/>
        <w:rPr>
          <w:b w:val="0"/>
          <w:bCs w:val="0"/>
        </w:rPr>
      </w:pPr>
      <w:bookmarkStart w:name="1、重要承诺事项" w:id="503"/>
      <w:bookmarkEnd w:id="503"/>
      <w:r>
        <w:rPr>
          <w:b w:val="0"/>
          <w:bCs w:val="0"/>
        </w:rPr>
      </w:r>
      <w:r>
        <w:rPr>
          <w:rFonts w:ascii="Times New Roman" w:hAnsi="Times New Roman" w:cs="Times New Roman" w:eastAsia="Times New Roman" w:hint="default"/>
        </w:rPr>
        <w:t>1</w:t>
      </w:r>
      <w:r>
        <w:rPr/>
        <w:t>、重要承诺事项</w:t>
      </w:r>
      <w:r>
        <w:rPr>
          <w:b w:val="0"/>
          <w:bCs w:val="0"/>
        </w:rPr>
      </w:r>
    </w:p>
    <w:p>
      <w:pPr>
        <w:spacing w:line="240" w:lineRule="auto" w:before="9"/>
        <w:rPr>
          <w:rFonts w:ascii="宋体" w:hAnsi="宋体" w:cs="宋体" w:eastAsia="宋体" w:hint="default"/>
          <w:b/>
          <w:bCs/>
          <w:sz w:val="26"/>
          <w:szCs w:val="26"/>
        </w:rPr>
      </w:pPr>
    </w:p>
    <w:p>
      <w:pPr>
        <w:pStyle w:val="BodyText"/>
        <w:spacing w:line="357" w:lineRule="auto" w:before="0"/>
        <w:ind w:left="633" w:right="7667" w:hanging="480"/>
        <w:jc w:val="left"/>
      </w:pPr>
      <w:r>
        <w:rPr>
          <w:spacing w:val="-3"/>
        </w:rPr>
        <w:t>资产负债表日存在的重要承诺</w:t>
      </w:r>
      <w:r>
        <w:rPr>
          <w:spacing w:val="-50"/>
        </w:rPr>
        <w:t> </w:t>
      </w:r>
      <w:r>
        <w:rPr>
          <w:spacing w:val="-50"/>
        </w:rPr>
      </w:r>
      <w:r>
        <w:rPr/>
        <w:t>经营租赁承诺</w:t>
      </w:r>
    </w:p>
    <w:p>
      <w:pPr>
        <w:pStyle w:val="BodyText"/>
        <w:spacing w:line="224" w:lineRule="exact" w:before="0"/>
        <w:ind w:left="633" w:right="0"/>
        <w:jc w:val="left"/>
      </w:pPr>
      <w:r>
        <w:rPr>
          <w:spacing w:val="-3"/>
        </w:rPr>
        <w:t>至资产负债表日止，本公司对外签订的不可撤销的经营租赁合约情况如下：</w:t>
      </w:r>
    </w:p>
    <w:p>
      <w:pPr>
        <w:spacing w:line="240" w:lineRule="auto" w:before="0"/>
        <w:rPr>
          <w:rFonts w:ascii="宋体" w:hAnsi="宋体" w:cs="宋体" w:eastAsia="宋体" w:hint="default"/>
          <w:sz w:val="5"/>
          <w:szCs w:val="5"/>
        </w:rPr>
      </w:pPr>
    </w:p>
    <w:tbl>
      <w:tblPr>
        <w:tblW w:w="0" w:type="auto"/>
        <w:jc w:val="left"/>
        <w:tblInd w:w="131" w:type="dxa"/>
        <w:tblLayout w:type="fixed"/>
        <w:tblCellMar>
          <w:top w:w="0" w:type="dxa"/>
          <w:left w:w="0" w:type="dxa"/>
          <w:bottom w:w="0" w:type="dxa"/>
          <w:right w:w="0" w:type="dxa"/>
        </w:tblCellMar>
        <w:tblLook w:val="01E0"/>
      </w:tblPr>
      <w:tblGrid>
        <w:gridCol w:w="4286"/>
        <w:gridCol w:w="2698"/>
        <w:gridCol w:w="2701"/>
      </w:tblGrid>
      <w:tr>
        <w:trPr>
          <w:trHeight w:val="346" w:hRule="exact"/>
        </w:trPr>
        <w:tc>
          <w:tcPr>
            <w:tcW w:w="4286"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20"/>
              <w:ind w:left="23"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6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9" w:right="0"/>
              <w:jc w:val="center"/>
              <w:rPr>
                <w:rFonts w:ascii="宋体" w:hAnsi="宋体" w:cs="宋体" w:eastAsia="宋体" w:hint="default"/>
                <w:sz w:val="18"/>
                <w:szCs w:val="18"/>
              </w:rPr>
            </w:pPr>
            <w:r>
              <w:rPr>
                <w:rFonts w:ascii="宋体" w:hAnsi="宋体" w:cs="宋体" w:eastAsia="宋体" w:hint="default"/>
                <w:sz w:val="18"/>
                <w:szCs w:val="18"/>
              </w:rPr>
              <w:t>年末余额</w:t>
            </w:r>
          </w:p>
        </w:tc>
        <w:tc>
          <w:tcPr>
            <w:tcW w:w="2701"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346" w:hRule="exact"/>
        </w:trPr>
        <w:tc>
          <w:tcPr>
            <w:tcW w:w="4286"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20"/>
              <w:ind w:left="23" w:right="0"/>
              <w:jc w:val="left"/>
              <w:rPr>
                <w:rFonts w:ascii="宋体" w:hAnsi="宋体" w:cs="宋体" w:eastAsia="宋体" w:hint="default"/>
                <w:sz w:val="18"/>
                <w:szCs w:val="18"/>
              </w:rPr>
            </w:pPr>
            <w:r>
              <w:rPr>
                <w:rFonts w:ascii="宋体" w:hAnsi="宋体" w:cs="宋体" w:eastAsia="宋体" w:hint="default"/>
                <w:spacing w:val="-3"/>
                <w:sz w:val="18"/>
                <w:szCs w:val="18"/>
              </w:rPr>
              <w:t>不可撤销经营租赁的最低租赁付款额：</w:t>
            </w:r>
          </w:p>
        </w:tc>
        <w:tc>
          <w:tcPr>
            <w:tcW w:w="2698" w:type="dxa"/>
            <w:tcBorders>
              <w:top w:val="single" w:sz="6" w:space="0" w:color="000000"/>
              <w:left w:val="single" w:sz="6" w:space="0" w:color="000000"/>
              <w:bottom w:val="single" w:sz="6" w:space="0" w:color="000000"/>
              <w:right w:val="single" w:sz="6" w:space="0" w:color="000000"/>
            </w:tcBorders>
          </w:tcPr>
          <w:p>
            <w:pPr/>
          </w:p>
        </w:tc>
        <w:tc>
          <w:tcPr>
            <w:tcW w:w="2701" w:type="dxa"/>
            <w:tcBorders>
              <w:top w:val="single" w:sz="6" w:space="0" w:color="000000"/>
              <w:left w:val="single" w:sz="6" w:space="0" w:color="000000"/>
              <w:bottom w:val="single" w:sz="6" w:space="0" w:color="000000"/>
              <w:right w:val="nil" w:sz="6" w:space="0" w:color="auto"/>
            </w:tcBorders>
          </w:tcPr>
          <w:p>
            <w:pPr/>
          </w:p>
        </w:tc>
      </w:tr>
      <w:tr>
        <w:trPr>
          <w:trHeight w:val="351" w:hRule="exact"/>
        </w:trPr>
        <w:tc>
          <w:tcPr>
            <w:tcW w:w="4286"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20"/>
              <w:ind w:left="23" w:right="0"/>
              <w:jc w:val="left"/>
              <w:rPr>
                <w:rFonts w:ascii="宋体" w:hAnsi="宋体" w:cs="宋体" w:eastAsia="宋体" w:hint="default"/>
                <w:sz w:val="18"/>
                <w:szCs w:val="18"/>
              </w:rPr>
            </w:pPr>
            <w:r>
              <w:rPr>
                <w:rFonts w:ascii="宋体" w:hAnsi="宋体" w:cs="宋体" w:eastAsia="宋体" w:hint="default"/>
                <w:sz w:val="18"/>
                <w:szCs w:val="18"/>
              </w:rPr>
              <w:t>资产负债表日后第</w:t>
            </w:r>
            <w:r>
              <w:rPr>
                <w:rFonts w:ascii="宋体" w:hAnsi="宋体" w:cs="宋体" w:eastAsia="宋体" w:hint="default"/>
                <w:sz w:val="18"/>
                <w:szCs w:val="18"/>
              </w:rPr>
              <w:t>1</w:t>
            </w:r>
            <w:r>
              <w:rPr>
                <w:rFonts w:ascii="宋体" w:hAnsi="宋体" w:cs="宋体" w:eastAsia="宋体" w:hint="default"/>
                <w:sz w:val="18"/>
                <w:szCs w:val="18"/>
              </w:rPr>
              <w:t>年</w:t>
            </w:r>
          </w:p>
        </w:tc>
        <w:tc>
          <w:tcPr>
            <w:tcW w:w="26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0"/>
              <w:jc w:val="right"/>
              <w:rPr>
                <w:rFonts w:ascii="宋体" w:hAnsi="宋体" w:cs="宋体" w:eastAsia="宋体" w:hint="default"/>
                <w:sz w:val="18"/>
                <w:szCs w:val="18"/>
              </w:rPr>
            </w:pPr>
            <w:r>
              <w:rPr>
                <w:rFonts w:ascii="宋体"/>
                <w:spacing w:val="-1"/>
                <w:sz w:val="18"/>
              </w:rPr>
              <w:t>3,828,422.40</w:t>
            </w:r>
          </w:p>
        </w:tc>
        <w:tc>
          <w:tcPr>
            <w:tcW w:w="2701"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20"/>
              <w:ind w:right="3"/>
              <w:jc w:val="right"/>
              <w:rPr>
                <w:rFonts w:ascii="宋体" w:hAnsi="宋体" w:cs="宋体" w:eastAsia="宋体" w:hint="default"/>
                <w:sz w:val="18"/>
                <w:szCs w:val="18"/>
              </w:rPr>
            </w:pPr>
            <w:r>
              <w:rPr>
                <w:rFonts w:ascii="宋体"/>
                <w:spacing w:val="-1"/>
                <w:sz w:val="18"/>
              </w:rPr>
              <w:t>3,828,422.40</w:t>
            </w:r>
          </w:p>
        </w:tc>
      </w:tr>
      <w:tr>
        <w:trPr>
          <w:trHeight w:val="346" w:hRule="exact"/>
        </w:trPr>
        <w:tc>
          <w:tcPr>
            <w:tcW w:w="4286"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20"/>
              <w:ind w:left="23" w:right="0"/>
              <w:jc w:val="left"/>
              <w:rPr>
                <w:rFonts w:ascii="宋体" w:hAnsi="宋体" w:cs="宋体" w:eastAsia="宋体" w:hint="default"/>
                <w:sz w:val="18"/>
                <w:szCs w:val="18"/>
              </w:rPr>
            </w:pPr>
            <w:r>
              <w:rPr>
                <w:rFonts w:ascii="宋体" w:hAnsi="宋体" w:cs="宋体" w:eastAsia="宋体" w:hint="default"/>
                <w:sz w:val="18"/>
                <w:szCs w:val="18"/>
              </w:rPr>
              <w:t>资产负债表日后第</w:t>
            </w:r>
            <w:r>
              <w:rPr>
                <w:rFonts w:ascii="宋体" w:hAnsi="宋体" w:cs="宋体" w:eastAsia="宋体" w:hint="default"/>
                <w:sz w:val="18"/>
                <w:szCs w:val="18"/>
              </w:rPr>
              <w:t>2</w:t>
            </w:r>
            <w:r>
              <w:rPr>
                <w:rFonts w:ascii="宋体" w:hAnsi="宋体" w:cs="宋体" w:eastAsia="宋体" w:hint="default"/>
                <w:sz w:val="18"/>
                <w:szCs w:val="18"/>
              </w:rPr>
              <w:t>年</w:t>
            </w:r>
          </w:p>
        </w:tc>
        <w:tc>
          <w:tcPr>
            <w:tcW w:w="26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0"/>
              <w:jc w:val="right"/>
              <w:rPr>
                <w:rFonts w:ascii="宋体" w:hAnsi="宋体" w:cs="宋体" w:eastAsia="宋体" w:hint="default"/>
                <w:sz w:val="18"/>
                <w:szCs w:val="18"/>
              </w:rPr>
            </w:pPr>
            <w:r>
              <w:rPr>
                <w:rFonts w:ascii="宋体"/>
                <w:spacing w:val="-1"/>
                <w:sz w:val="18"/>
              </w:rPr>
              <w:t>3,828,422.40</w:t>
            </w:r>
          </w:p>
        </w:tc>
        <w:tc>
          <w:tcPr>
            <w:tcW w:w="2701"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20"/>
              <w:ind w:right="3"/>
              <w:jc w:val="right"/>
              <w:rPr>
                <w:rFonts w:ascii="宋体" w:hAnsi="宋体" w:cs="宋体" w:eastAsia="宋体" w:hint="default"/>
                <w:sz w:val="18"/>
                <w:szCs w:val="18"/>
              </w:rPr>
            </w:pPr>
            <w:r>
              <w:rPr>
                <w:rFonts w:ascii="宋体"/>
                <w:spacing w:val="-1"/>
                <w:sz w:val="18"/>
              </w:rPr>
              <w:t>3,828,422.40</w:t>
            </w:r>
          </w:p>
        </w:tc>
      </w:tr>
      <w:tr>
        <w:trPr>
          <w:trHeight w:val="346" w:hRule="exact"/>
        </w:trPr>
        <w:tc>
          <w:tcPr>
            <w:tcW w:w="4286"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20"/>
              <w:ind w:left="23" w:right="0"/>
              <w:jc w:val="left"/>
              <w:rPr>
                <w:rFonts w:ascii="宋体" w:hAnsi="宋体" w:cs="宋体" w:eastAsia="宋体" w:hint="default"/>
                <w:sz w:val="18"/>
                <w:szCs w:val="18"/>
              </w:rPr>
            </w:pPr>
            <w:r>
              <w:rPr>
                <w:rFonts w:ascii="宋体" w:hAnsi="宋体" w:cs="宋体" w:eastAsia="宋体" w:hint="default"/>
                <w:sz w:val="18"/>
                <w:szCs w:val="18"/>
              </w:rPr>
              <w:t>资产负债表日后第</w:t>
            </w:r>
            <w:r>
              <w:rPr>
                <w:rFonts w:ascii="宋体" w:hAnsi="宋体" w:cs="宋体" w:eastAsia="宋体" w:hint="default"/>
                <w:sz w:val="18"/>
                <w:szCs w:val="18"/>
              </w:rPr>
              <w:t>3</w:t>
            </w:r>
            <w:r>
              <w:rPr>
                <w:rFonts w:ascii="宋体" w:hAnsi="宋体" w:cs="宋体" w:eastAsia="宋体" w:hint="default"/>
                <w:sz w:val="18"/>
                <w:szCs w:val="18"/>
              </w:rPr>
              <w:t>年</w:t>
            </w:r>
          </w:p>
        </w:tc>
        <w:tc>
          <w:tcPr>
            <w:tcW w:w="2698" w:type="dxa"/>
            <w:tcBorders>
              <w:top w:val="single" w:sz="6" w:space="0" w:color="000000"/>
              <w:left w:val="single" w:sz="6" w:space="0" w:color="000000"/>
              <w:bottom w:val="single" w:sz="6" w:space="0" w:color="000000"/>
              <w:right w:val="single" w:sz="6" w:space="0" w:color="000000"/>
            </w:tcBorders>
          </w:tcPr>
          <w:p>
            <w:pPr/>
          </w:p>
        </w:tc>
        <w:tc>
          <w:tcPr>
            <w:tcW w:w="2701"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20"/>
              <w:ind w:right="3"/>
              <w:jc w:val="right"/>
              <w:rPr>
                <w:rFonts w:ascii="宋体" w:hAnsi="宋体" w:cs="宋体" w:eastAsia="宋体" w:hint="default"/>
                <w:sz w:val="18"/>
                <w:szCs w:val="18"/>
              </w:rPr>
            </w:pPr>
            <w:r>
              <w:rPr>
                <w:rFonts w:ascii="宋体"/>
                <w:spacing w:val="-1"/>
                <w:sz w:val="18"/>
              </w:rPr>
              <w:t>3,828,422.40</w:t>
            </w:r>
          </w:p>
        </w:tc>
      </w:tr>
      <w:tr>
        <w:trPr>
          <w:trHeight w:val="350" w:hRule="exact"/>
        </w:trPr>
        <w:tc>
          <w:tcPr>
            <w:tcW w:w="4286"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20"/>
              <w:ind w:left="23"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6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0"/>
              <w:jc w:val="right"/>
              <w:rPr>
                <w:rFonts w:ascii="宋体" w:hAnsi="宋体" w:cs="宋体" w:eastAsia="宋体" w:hint="default"/>
                <w:sz w:val="18"/>
                <w:szCs w:val="18"/>
              </w:rPr>
            </w:pPr>
            <w:r>
              <w:rPr>
                <w:rFonts w:ascii="宋体"/>
                <w:spacing w:val="-1"/>
                <w:sz w:val="18"/>
              </w:rPr>
              <w:t>7,656,844.80</w:t>
            </w:r>
          </w:p>
        </w:tc>
        <w:tc>
          <w:tcPr>
            <w:tcW w:w="2701"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20"/>
              <w:ind w:right="3"/>
              <w:jc w:val="right"/>
              <w:rPr>
                <w:rFonts w:ascii="宋体" w:hAnsi="宋体" w:cs="宋体" w:eastAsia="宋体" w:hint="default"/>
                <w:sz w:val="18"/>
                <w:szCs w:val="18"/>
              </w:rPr>
            </w:pPr>
            <w:r>
              <w:rPr>
                <w:rFonts w:ascii="宋体"/>
                <w:spacing w:val="-1"/>
                <w:sz w:val="18"/>
              </w:rPr>
              <w:t>11,485,267.20</w:t>
            </w:r>
          </w:p>
        </w:tc>
      </w:tr>
    </w:tbl>
    <w:p>
      <w:pPr>
        <w:pStyle w:val="BodyText"/>
        <w:spacing w:line="319" w:lineRule="auto" w:before="10"/>
        <w:ind w:right="1122" w:firstLine="480"/>
        <w:jc w:val="both"/>
      </w:pPr>
      <w:r>
        <w:rPr>
          <w:spacing w:val="-3"/>
        </w:rPr>
        <w:t>公司与深圳软件园管理中心（以下简称“出租方”）签订了《深圳市房屋租赁合同书》，出租方将其位于南山区学府</w:t>
      </w:r>
      <w:r>
        <w:rPr>
          <w:w w:val="101"/>
        </w:rPr>
        <w:t> </w:t>
      </w:r>
      <w:r>
        <w:rPr>
          <w:spacing w:val="-2"/>
        </w:rPr>
        <w:t>路</w:t>
      </w:r>
      <w:r>
        <w:rPr>
          <w:rFonts w:ascii="宋体" w:hAnsi="宋体" w:cs="宋体" w:eastAsia="宋体" w:hint="default"/>
          <w:spacing w:val="-2"/>
        </w:rPr>
        <w:t>63</w:t>
      </w:r>
      <w:r>
        <w:rPr>
          <w:spacing w:val="-2"/>
        </w:rPr>
        <w:t>号高新区联合总部大厦</w:t>
      </w:r>
      <w:r>
        <w:rPr>
          <w:rFonts w:ascii="宋体" w:hAnsi="宋体" w:cs="宋体" w:eastAsia="宋体" w:hint="default"/>
          <w:spacing w:val="-2"/>
        </w:rPr>
        <w:t>9</w:t>
      </w:r>
      <w:r>
        <w:rPr>
          <w:spacing w:val="-2"/>
        </w:rPr>
        <w:t>楼、</w:t>
      </w:r>
      <w:r>
        <w:rPr>
          <w:rFonts w:ascii="宋体" w:hAnsi="宋体" w:cs="宋体" w:eastAsia="宋体" w:hint="default"/>
          <w:spacing w:val="-2"/>
        </w:rPr>
        <w:t>10</w:t>
      </w:r>
      <w:r>
        <w:rPr>
          <w:spacing w:val="-2"/>
        </w:rPr>
        <w:t>楼出租给公司使用，租赁房屋建筑面积共计</w:t>
      </w:r>
      <w:r>
        <w:rPr>
          <w:rFonts w:ascii="宋体" w:hAnsi="宋体" w:cs="宋体" w:eastAsia="宋体" w:hint="default"/>
          <w:spacing w:val="-2"/>
        </w:rPr>
        <w:t>3,987.94</w:t>
      </w:r>
      <w:r>
        <w:rPr>
          <w:spacing w:val="-2"/>
        </w:rPr>
        <w:t>平方米，每平方米月租金</w:t>
      </w:r>
      <w:r>
        <w:rPr>
          <w:rFonts w:ascii="宋体" w:hAnsi="宋体" w:cs="宋体" w:eastAsia="宋体" w:hint="default"/>
          <w:spacing w:val="-2"/>
        </w:rPr>
        <w:t>80</w:t>
      </w:r>
      <w:r>
        <w:rPr>
          <w:spacing w:val="-2"/>
        </w:rPr>
        <w:t>元，每</w:t>
      </w:r>
      <w:r>
        <w:rPr>
          <w:spacing w:val="39"/>
        </w:rPr>
        <w:t> </w:t>
      </w:r>
      <w:r>
        <w:rPr>
          <w:spacing w:val="39"/>
        </w:rPr>
      </w:r>
      <w:r>
        <w:rPr/>
        <w:t>月合计租金</w:t>
      </w:r>
      <w:r>
        <w:rPr>
          <w:rFonts w:ascii="宋体" w:hAnsi="宋体" w:cs="宋体" w:eastAsia="宋体" w:hint="default"/>
        </w:rPr>
        <w:t>319,035.20</w:t>
      </w:r>
      <w:r>
        <w:rPr/>
        <w:t>元，租赁期限自</w:t>
      </w:r>
      <w:r>
        <w:rPr>
          <w:rFonts w:ascii="宋体" w:hAnsi="宋体" w:cs="宋体" w:eastAsia="宋体" w:hint="default"/>
        </w:rPr>
        <w:t>2017</w:t>
      </w:r>
      <w:r>
        <w:rPr/>
        <w:t>年</w:t>
      </w:r>
      <w:r>
        <w:rPr>
          <w:rFonts w:ascii="宋体" w:hAnsi="宋体" w:cs="宋体" w:eastAsia="宋体" w:hint="default"/>
        </w:rPr>
        <w:t>1</w:t>
      </w:r>
      <w:r>
        <w:rPr/>
        <w:t>月</w:t>
      </w:r>
      <w:r>
        <w:rPr>
          <w:rFonts w:ascii="宋体" w:hAnsi="宋体" w:cs="宋体" w:eastAsia="宋体" w:hint="default"/>
        </w:rPr>
        <w:t>1</w:t>
      </w:r>
      <w:r>
        <w:rPr/>
        <w:t>日至</w:t>
      </w:r>
      <w:r>
        <w:rPr>
          <w:rFonts w:ascii="宋体" w:hAnsi="宋体" w:cs="宋体" w:eastAsia="宋体" w:hint="default"/>
        </w:rPr>
        <w:t>2021</w:t>
      </w:r>
      <w:r>
        <w:rPr/>
        <w:t>年</w:t>
      </w:r>
      <w:r>
        <w:rPr>
          <w:rFonts w:ascii="宋体" w:hAnsi="宋体" w:cs="宋体" w:eastAsia="宋体" w:hint="default"/>
        </w:rPr>
        <w:t>12</w:t>
      </w:r>
      <w:r>
        <w:rPr/>
        <w:t>月</w:t>
      </w:r>
      <w:r>
        <w:rPr>
          <w:rFonts w:ascii="宋体" w:hAnsi="宋体" w:cs="宋体" w:eastAsia="宋体" w:hint="default"/>
        </w:rPr>
        <w:t>31</w:t>
      </w:r>
      <w:r>
        <w:rPr/>
        <w:t>日。</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Heading4"/>
        <w:spacing w:line="240" w:lineRule="auto" w:before="135"/>
        <w:ind w:right="0"/>
        <w:jc w:val="left"/>
        <w:rPr>
          <w:b w:val="0"/>
          <w:bCs w:val="0"/>
        </w:rPr>
      </w:pPr>
      <w:bookmarkStart w:name="2、或有事项" w:id="504"/>
      <w:bookmarkEnd w:id="504"/>
      <w:r>
        <w:rPr>
          <w:b w:val="0"/>
          <w:bCs w:val="0"/>
        </w:rPr>
      </w:r>
      <w:r>
        <w:rPr>
          <w:rFonts w:ascii="Times New Roman" w:hAnsi="Times New Roman" w:cs="Times New Roman" w:eastAsia="Times New Roman" w:hint="default"/>
        </w:rPr>
        <w:t>2</w:t>
      </w:r>
      <w:r>
        <w:rPr/>
        <w:t>、或有事项</w:t>
      </w:r>
      <w:r>
        <w:rPr>
          <w:b w:val="0"/>
          <w:bCs w:val="0"/>
        </w:rPr>
      </w:r>
    </w:p>
    <w:p>
      <w:pPr>
        <w:spacing w:line="240" w:lineRule="auto" w:before="5"/>
        <w:rPr>
          <w:rFonts w:ascii="宋体" w:hAnsi="宋体" w:cs="宋体" w:eastAsia="宋体" w:hint="default"/>
          <w:b/>
          <w:bCs/>
          <w:sz w:val="24"/>
          <w:szCs w:val="24"/>
        </w:rPr>
      </w:pPr>
    </w:p>
    <w:p>
      <w:pPr>
        <w:pStyle w:val="Heading4"/>
        <w:spacing w:line="240" w:lineRule="auto"/>
        <w:ind w:right="0"/>
        <w:jc w:val="left"/>
        <w:rPr>
          <w:b w:val="0"/>
          <w:bCs w:val="0"/>
        </w:rPr>
      </w:pPr>
      <w:bookmarkStart w:name="（1）资产负债表日存在的重要或有事项" w:id="505"/>
      <w:bookmarkEnd w:id="505"/>
      <w:r>
        <w:rPr>
          <w:b w:val="0"/>
          <w:bCs w:val="0"/>
        </w:rPr>
      </w:r>
      <w:r>
        <w:rPr/>
        <w:t>（</w:t>
      </w:r>
      <w:r>
        <w:rPr>
          <w:rFonts w:ascii="Times New Roman" w:hAnsi="Times New Roman" w:cs="Times New Roman" w:eastAsia="Times New Roman" w:hint="default"/>
        </w:rPr>
        <w:t>1</w:t>
      </w:r>
      <w:r>
        <w:rPr/>
        <w:t>）资产负债表日存在的重要或有事项</w:t>
      </w:r>
      <w:r>
        <w:rPr>
          <w:b w:val="0"/>
          <w:bCs w:val="0"/>
        </w:rPr>
      </w:r>
    </w:p>
    <w:p>
      <w:pPr>
        <w:spacing w:line="240" w:lineRule="auto" w:before="9"/>
        <w:rPr>
          <w:rFonts w:ascii="宋体" w:hAnsi="宋体" w:cs="宋体" w:eastAsia="宋体" w:hint="default"/>
          <w:b/>
          <w:bCs/>
          <w:sz w:val="26"/>
          <w:szCs w:val="26"/>
        </w:rPr>
      </w:pPr>
    </w:p>
    <w:p>
      <w:pPr>
        <w:pStyle w:val="BodyText"/>
        <w:spacing w:line="240" w:lineRule="auto" w:before="0"/>
        <w:ind w:left="633" w:right="0"/>
        <w:jc w:val="left"/>
      </w:pPr>
      <w:r>
        <w:rPr/>
        <w:t>（</w:t>
      </w:r>
      <w:r>
        <w:rPr>
          <w:rFonts w:ascii="宋体" w:hAnsi="宋体" w:cs="宋体" w:eastAsia="宋体" w:hint="default"/>
        </w:rPr>
        <w:t>1</w:t>
      </w:r>
      <w:r>
        <w:rPr/>
        <w:t>）未决诉讼情况</w:t>
      </w:r>
    </w:p>
    <w:p>
      <w:pPr>
        <w:spacing w:after="0" w:line="240" w:lineRule="auto"/>
        <w:jc w:val="left"/>
        <w:sectPr>
          <w:pgSz w:w="11910" w:h="16840"/>
          <w:pgMar w:header="784" w:footer="1022" w:top="1100" w:bottom="1220" w:left="980" w:right="0"/>
        </w:sectPr>
      </w:pPr>
    </w:p>
    <w:p>
      <w:pPr>
        <w:spacing w:line="240" w:lineRule="auto" w:before="10"/>
        <w:rPr>
          <w:rFonts w:ascii="宋体" w:hAnsi="宋体" w:cs="宋体" w:eastAsia="宋体" w:hint="default"/>
          <w:sz w:val="22"/>
          <w:szCs w:val="22"/>
        </w:rPr>
      </w:pPr>
    </w:p>
    <w:p>
      <w:pPr>
        <w:pStyle w:val="BodyText"/>
        <w:spacing w:line="319" w:lineRule="auto"/>
        <w:ind w:right="1038" w:firstLine="480"/>
        <w:jc w:val="left"/>
      </w:pPr>
      <w:r>
        <w:rPr>
          <w:rFonts w:ascii="宋体" w:hAnsi="宋体" w:cs="宋体" w:eastAsia="宋体" w:hint="default"/>
        </w:rPr>
        <w:t>2018</w:t>
      </w:r>
      <w:r>
        <w:rPr/>
        <w:t>年</w:t>
      </w:r>
      <w:r>
        <w:rPr>
          <w:rFonts w:ascii="宋体" w:hAnsi="宋体" w:cs="宋体" w:eastAsia="宋体" w:hint="default"/>
        </w:rPr>
        <w:t>3</w:t>
      </w:r>
      <w:r>
        <w:rPr/>
        <w:t>月，美国公司</w:t>
      </w:r>
      <w:r>
        <w:rPr>
          <w:rFonts w:ascii="宋体" w:hAnsi="宋体" w:cs="宋体" w:eastAsia="宋体" w:hint="default"/>
        </w:rPr>
        <w:t>Ultravision Technologies, LLC</w:t>
      </w:r>
      <w:r>
        <w:rPr/>
        <w:t>（以下简称“</w:t>
      </w:r>
      <w:r>
        <w:rPr>
          <w:rFonts w:ascii="宋体" w:hAnsi="宋体" w:cs="宋体" w:eastAsia="宋体" w:hint="default"/>
        </w:rPr>
        <w:t>Ultravision</w:t>
      </w:r>
      <w:r>
        <w:rPr/>
        <w:t>”）依据《美国 </w:t>
      </w:r>
      <w:r>
        <w:rPr>
          <w:rFonts w:ascii="宋体" w:hAnsi="宋体" w:cs="宋体" w:eastAsia="宋体" w:hint="default"/>
        </w:rPr>
        <w:t>1930</w:t>
      </w:r>
      <w:r>
        <w:rPr>
          <w:rFonts w:ascii="宋体" w:hAnsi="宋体" w:cs="宋体" w:eastAsia="宋体" w:hint="default"/>
          <w:spacing w:val="55"/>
        </w:rPr>
        <w:t> </w:t>
      </w:r>
      <w:r>
        <w:rPr/>
        <w:t>年关税法》</w:t>
      </w:r>
      <w:r>
        <w:rPr>
          <w:w w:val="101"/>
        </w:rPr>
        <w:t> </w:t>
      </w:r>
      <w:r>
        <w:rPr/>
        <w:t>第</w:t>
      </w:r>
      <w:r>
        <w:rPr>
          <w:rFonts w:ascii="宋体" w:hAnsi="宋体" w:cs="宋体" w:eastAsia="宋体" w:hint="default"/>
        </w:rPr>
        <w:t>337</w:t>
      </w:r>
      <w:r>
        <w:rPr/>
        <w:t>节规定向美国际贸易委员会（</w:t>
      </w:r>
      <w:r>
        <w:rPr>
          <w:rFonts w:ascii="宋体" w:hAnsi="宋体" w:cs="宋体" w:eastAsia="宋体" w:hint="default"/>
        </w:rPr>
        <w:t>UNITED STATES INTERNATIONAL TRADE</w:t>
      </w:r>
      <w:r>
        <w:rPr>
          <w:rFonts w:ascii="宋体" w:hAnsi="宋体" w:cs="宋体" w:eastAsia="宋体" w:hint="default"/>
          <w:spacing w:val="-7"/>
        </w:rPr>
        <w:t> </w:t>
      </w:r>
      <w:r>
        <w:rPr>
          <w:rFonts w:ascii="宋体" w:hAnsi="宋体" w:cs="宋体" w:eastAsia="宋体" w:hint="default"/>
        </w:rPr>
        <w:t>COMMISSION</w:t>
      </w:r>
      <w:r>
        <w:rPr/>
        <w:t>，以下简称“</w:t>
      </w:r>
      <w:r>
        <w:rPr>
          <w:rFonts w:ascii="宋体" w:hAnsi="宋体" w:cs="宋体" w:eastAsia="宋体" w:hint="default"/>
        </w:rPr>
        <w:t>ITC</w:t>
      </w:r>
      <w:r>
        <w:rPr/>
        <w:t>”）提出调查申请，</w:t>
      </w:r>
      <w:r>
        <w:rPr>
          <w:w w:val="101"/>
        </w:rPr>
        <w:t> </w:t>
      </w:r>
      <w:r>
        <w:rPr>
          <w:spacing w:val="-6"/>
        </w:rPr>
        <w:t>同时在德州东区联邦法院提起专利诉讼，指控包括发行人在内的</w:t>
      </w:r>
      <w:r>
        <w:rPr>
          <w:rFonts w:ascii="宋体" w:hAnsi="宋体" w:cs="宋体" w:eastAsia="宋体" w:hint="default"/>
          <w:spacing w:val="-6"/>
        </w:rPr>
        <w:t>11</w:t>
      </w:r>
      <w:r>
        <w:rPr>
          <w:spacing w:val="-6"/>
        </w:rPr>
        <w:t>家国内</w:t>
      </w:r>
      <w:r>
        <w:rPr>
          <w:rFonts w:ascii="宋体" w:hAnsi="宋体" w:cs="宋体" w:eastAsia="宋体" w:hint="default"/>
          <w:spacing w:val="-6"/>
        </w:rPr>
        <w:t>LED</w:t>
      </w:r>
      <w:r>
        <w:rPr>
          <w:spacing w:val="-6"/>
        </w:rPr>
        <w:t>显示行业主要企业、比利时</w:t>
      </w:r>
      <w:r>
        <w:rPr>
          <w:rFonts w:ascii="宋体" w:hAnsi="宋体" w:cs="宋体" w:eastAsia="宋体" w:hint="default"/>
          <w:spacing w:val="-6"/>
        </w:rPr>
        <w:t>Barco</w:t>
      </w:r>
      <w:r>
        <w:rPr>
          <w:spacing w:val="-6"/>
        </w:rPr>
        <w:t>公司、日本</w:t>
      </w:r>
      <w:r>
        <w:rPr>
          <w:rFonts w:ascii="宋体" w:hAnsi="宋体" w:cs="宋体" w:eastAsia="宋体" w:hint="default"/>
          <w:spacing w:val="-6"/>
        </w:rPr>
        <w:t>NEC</w:t>
      </w:r>
      <w:r>
        <w:rPr>
          <w:rFonts w:ascii="宋体" w:hAnsi="宋体" w:cs="宋体" w:eastAsia="宋体" w:hint="default"/>
          <w:spacing w:val="11"/>
        </w:rPr>
        <w:t> </w:t>
      </w:r>
      <w:r>
        <w:rPr>
          <w:rFonts w:ascii="宋体" w:hAnsi="宋体" w:cs="宋体" w:eastAsia="宋体" w:hint="default"/>
          <w:spacing w:val="11"/>
        </w:rPr>
      </w:r>
      <w:r>
        <w:rPr>
          <w:spacing w:val="-3"/>
        </w:rPr>
        <w:t>和松下等众多同行企业对美出口、在美销售的特定模块化</w:t>
      </w:r>
      <w:r>
        <w:rPr>
          <w:rFonts w:ascii="宋体" w:hAnsi="宋体" w:cs="宋体" w:eastAsia="宋体" w:hint="default"/>
          <w:spacing w:val="-3"/>
        </w:rPr>
        <w:t>LED</w:t>
      </w:r>
      <w:r>
        <w:rPr>
          <w:spacing w:val="-3"/>
        </w:rPr>
        <w:t>显示面板及其组件（</w:t>
      </w:r>
      <w:r>
        <w:rPr>
          <w:rFonts w:ascii="宋体" w:hAnsi="宋体" w:cs="宋体" w:eastAsia="宋体" w:hint="default"/>
          <w:spacing w:val="-3"/>
        </w:rPr>
        <w:t>CERTAIN</w:t>
      </w:r>
      <w:r>
        <w:rPr>
          <w:rFonts w:ascii="宋体" w:hAnsi="宋体" w:cs="宋体" w:eastAsia="宋体" w:hint="default"/>
          <w:spacing w:val="-20"/>
        </w:rPr>
        <w:t> </w:t>
      </w:r>
      <w:r>
        <w:rPr>
          <w:rFonts w:ascii="宋体" w:hAnsi="宋体" w:cs="宋体" w:eastAsia="宋体" w:hint="default"/>
        </w:rPr>
        <w:t>MODULAR</w:t>
      </w:r>
      <w:r>
        <w:rPr>
          <w:rFonts w:ascii="宋体" w:hAnsi="宋体" w:cs="宋体" w:eastAsia="宋体" w:hint="default"/>
          <w:spacing w:val="-13"/>
        </w:rPr>
        <w:t> </w:t>
      </w:r>
      <w:r>
        <w:rPr>
          <w:rFonts w:ascii="宋体" w:hAnsi="宋体" w:cs="宋体" w:eastAsia="宋体" w:hint="default"/>
        </w:rPr>
        <w:t>LED</w:t>
      </w:r>
      <w:r>
        <w:rPr>
          <w:rFonts w:ascii="宋体" w:hAnsi="宋体" w:cs="宋体" w:eastAsia="宋体" w:hint="default"/>
          <w:spacing w:val="-13"/>
        </w:rPr>
        <w:t> </w:t>
      </w:r>
      <w:r>
        <w:rPr>
          <w:rFonts w:ascii="宋体" w:hAnsi="宋体" w:cs="宋体" w:eastAsia="宋体" w:hint="default"/>
        </w:rPr>
        <w:t>DISPLAY</w:t>
      </w:r>
      <w:r>
        <w:rPr>
          <w:rFonts w:ascii="宋体" w:hAnsi="宋体" w:cs="宋体" w:eastAsia="宋体" w:hint="default"/>
          <w:spacing w:val="-20"/>
        </w:rPr>
        <w:t> </w:t>
      </w:r>
      <w:r>
        <w:rPr>
          <w:rFonts w:ascii="宋体" w:hAnsi="宋体" w:cs="宋体" w:eastAsia="宋体" w:hint="default"/>
        </w:rPr>
        <w:t>PANELS</w:t>
      </w:r>
      <w:r>
        <w:rPr>
          <w:rFonts w:ascii="宋体" w:hAnsi="宋体" w:cs="宋体" w:eastAsia="宋体" w:hint="default"/>
          <w:spacing w:val="-13"/>
        </w:rPr>
        <w:t> </w:t>
      </w:r>
      <w:r>
        <w:rPr>
          <w:rFonts w:ascii="宋体" w:hAnsi="宋体" w:cs="宋体" w:eastAsia="宋体" w:hint="default"/>
        </w:rPr>
        <w:t>AND</w:t>
      </w:r>
      <w:r>
        <w:rPr>
          <w:rFonts w:ascii="宋体" w:hAnsi="宋体" w:cs="宋体" w:eastAsia="宋体" w:hint="default"/>
          <w:spacing w:val="-56"/>
        </w:rPr>
        <w:t> </w:t>
      </w:r>
      <w:r>
        <w:rPr>
          <w:rFonts w:ascii="宋体" w:hAnsi="宋体" w:cs="宋体" w:eastAsia="宋体" w:hint="default"/>
          <w:spacing w:val="-56"/>
        </w:rPr>
      </w:r>
      <w:r>
        <w:rPr>
          <w:rFonts w:ascii="宋体" w:hAnsi="宋体" w:cs="宋体" w:eastAsia="宋体" w:hint="default"/>
        </w:rPr>
        <w:t>COMPONENTS </w:t>
      </w:r>
      <w:r>
        <w:rPr>
          <w:rFonts w:ascii="宋体" w:hAnsi="宋体" w:cs="宋体" w:eastAsia="宋体" w:hint="default"/>
          <w:spacing w:val="8"/>
        </w:rPr>
        <w:t> </w:t>
      </w:r>
      <w:r>
        <w:rPr>
          <w:rFonts w:ascii="宋体" w:hAnsi="宋体" w:cs="宋体" w:eastAsia="宋体" w:hint="default"/>
          <w:spacing w:val="-3"/>
        </w:rPr>
        <w:t>THEREOF</w:t>
      </w:r>
      <w:r>
        <w:rPr>
          <w:spacing w:val="-3"/>
        </w:rPr>
        <w:t>）侵犯其专利权，请求</w:t>
      </w:r>
      <w:r>
        <w:rPr>
          <w:rFonts w:ascii="宋体" w:hAnsi="宋体" w:cs="宋体" w:eastAsia="宋体" w:hint="default"/>
          <w:spacing w:val="-3"/>
        </w:rPr>
        <w:t>ITC</w:t>
      </w:r>
      <w:r>
        <w:rPr>
          <w:spacing w:val="-3"/>
        </w:rPr>
        <w:t>发布普遍排除令和禁止令。</w:t>
      </w:r>
    </w:p>
    <w:p>
      <w:pPr>
        <w:pStyle w:val="BodyText"/>
        <w:spacing w:line="316" w:lineRule="auto" w:before="17"/>
        <w:ind w:right="0" w:firstLine="480"/>
        <w:jc w:val="left"/>
      </w:pPr>
      <w:r>
        <w:rPr>
          <w:rFonts w:ascii="宋体" w:hAnsi="宋体" w:cs="宋体" w:eastAsia="宋体" w:hint="default"/>
          <w:spacing w:val="-3"/>
        </w:rPr>
        <w:t>2019</w:t>
      </w:r>
      <w:r>
        <w:rPr>
          <w:spacing w:val="-3"/>
        </w:rPr>
        <w:t>年</w:t>
      </w:r>
      <w:r>
        <w:rPr>
          <w:rFonts w:ascii="宋体" w:hAnsi="宋体" w:cs="宋体" w:eastAsia="宋体" w:hint="default"/>
          <w:spacing w:val="-3"/>
        </w:rPr>
        <w:t>2</w:t>
      </w:r>
      <w:r>
        <w:rPr>
          <w:spacing w:val="-3"/>
        </w:rPr>
        <w:t>月，</w:t>
      </w:r>
      <w:r>
        <w:rPr>
          <w:rFonts w:ascii="宋体" w:hAnsi="宋体" w:cs="宋体" w:eastAsia="宋体" w:hint="default"/>
          <w:spacing w:val="-3"/>
        </w:rPr>
        <w:t>Ultravision</w:t>
      </w:r>
      <w:r>
        <w:rPr>
          <w:spacing w:val="-3"/>
        </w:rPr>
        <w:t>向</w:t>
      </w:r>
      <w:r>
        <w:rPr>
          <w:rFonts w:ascii="宋体" w:hAnsi="宋体" w:cs="宋体" w:eastAsia="宋体" w:hint="default"/>
          <w:spacing w:val="-3"/>
        </w:rPr>
        <w:t>ITC</w:t>
      </w:r>
      <w:r>
        <w:rPr>
          <w:spacing w:val="-3"/>
        </w:rPr>
        <w:t>申请撤回</w:t>
      </w:r>
      <w:r>
        <w:rPr>
          <w:rFonts w:ascii="宋体" w:hAnsi="宋体" w:cs="宋体" w:eastAsia="宋体" w:hint="default"/>
          <w:spacing w:val="-3"/>
        </w:rPr>
        <w:t>337</w:t>
      </w:r>
      <w:r>
        <w:rPr>
          <w:spacing w:val="-3"/>
        </w:rPr>
        <w:t>调查。</w:t>
      </w:r>
      <w:r>
        <w:rPr>
          <w:rFonts w:ascii="宋体" w:hAnsi="宋体" w:cs="宋体" w:eastAsia="宋体" w:hint="default"/>
          <w:spacing w:val="-3"/>
        </w:rPr>
        <w:t>2019</w:t>
      </w:r>
      <w:r>
        <w:rPr>
          <w:spacing w:val="-3"/>
        </w:rPr>
        <w:t>年</w:t>
      </w:r>
      <w:r>
        <w:rPr>
          <w:rFonts w:ascii="宋体" w:hAnsi="宋体" w:cs="宋体" w:eastAsia="宋体" w:hint="default"/>
          <w:spacing w:val="-3"/>
        </w:rPr>
        <w:t>2</w:t>
      </w:r>
      <w:r>
        <w:rPr>
          <w:spacing w:val="-3"/>
        </w:rPr>
        <w:t>月</w:t>
      </w:r>
      <w:r>
        <w:rPr>
          <w:rFonts w:ascii="宋体" w:hAnsi="宋体" w:cs="宋体" w:eastAsia="宋体" w:hint="default"/>
          <w:spacing w:val="-3"/>
        </w:rPr>
        <w:t>21</w:t>
      </w:r>
      <w:r>
        <w:rPr>
          <w:spacing w:val="-3"/>
        </w:rPr>
        <w:t>日，</w:t>
      </w:r>
      <w:r>
        <w:rPr>
          <w:rFonts w:ascii="宋体" w:hAnsi="宋体" w:cs="宋体" w:eastAsia="宋体" w:hint="default"/>
          <w:spacing w:val="-3"/>
        </w:rPr>
        <w:t>ITC</w:t>
      </w:r>
      <w:r>
        <w:rPr>
          <w:spacing w:val="-3"/>
        </w:rPr>
        <w:t>发布公告称基于申请方提出的撤回申请，整体</w:t>
      </w:r>
      <w:r>
        <w:rPr>
          <w:w w:val="101"/>
        </w:rPr>
        <w:t> </w:t>
      </w:r>
      <w:r>
        <w:rPr/>
        <w:t>终止本案调查（</w:t>
      </w:r>
      <w:r>
        <w:rPr>
          <w:rFonts w:ascii="宋体" w:hAnsi="宋体" w:cs="宋体" w:eastAsia="宋体" w:hint="default"/>
        </w:rPr>
        <w:t>TERMINATING THE INVESTIGATION </w:t>
      </w:r>
      <w:r>
        <w:rPr>
          <w:rFonts w:ascii="宋体" w:hAnsi="宋体" w:cs="宋体" w:eastAsia="宋体" w:hint="default"/>
          <w:spacing w:val="-3"/>
        </w:rPr>
        <w:t>IN </w:t>
      </w:r>
      <w:r>
        <w:rPr>
          <w:rFonts w:ascii="宋体" w:hAnsi="宋体" w:cs="宋体" w:eastAsia="宋体" w:hint="default"/>
        </w:rPr>
        <w:t>ITS</w:t>
      </w:r>
      <w:r>
        <w:rPr>
          <w:rFonts w:ascii="宋体" w:hAnsi="宋体" w:cs="宋体" w:eastAsia="宋体" w:hint="default"/>
          <w:spacing w:val="8"/>
        </w:rPr>
        <w:t> </w:t>
      </w:r>
      <w:r>
        <w:rPr>
          <w:rFonts w:ascii="宋体" w:hAnsi="宋体" w:cs="宋体" w:eastAsia="宋体" w:hint="default"/>
        </w:rPr>
        <w:t>ENTIRETY</w:t>
      </w:r>
      <w:r>
        <w:rPr/>
        <w:t>）。</w:t>
      </w:r>
    </w:p>
    <w:p>
      <w:pPr>
        <w:pStyle w:val="BodyText"/>
        <w:spacing w:line="240" w:lineRule="auto" w:before="19"/>
        <w:ind w:left="633" w:right="0"/>
        <w:jc w:val="left"/>
      </w:pPr>
      <w:r>
        <w:rPr>
          <w:rFonts w:ascii="宋体" w:hAnsi="宋体" w:cs="宋体" w:eastAsia="宋体" w:hint="default"/>
        </w:rPr>
        <w:t>2019</w:t>
      </w:r>
      <w:r>
        <w:rPr/>
        <w:t>年</w:t>
      </w:r>
      <w:r>
        <w:rPr>
          <w:rFonts w:ascii="宋体" w:hAnsi="宋体" w:cs="宋体" w:eastAsia="宋体" w:hint="default"/>
        </w:rPr>
        <w:t>4</w:t>
      </w:r>
      <w:r>
        <w:rPr/>
        <w:t>月，公司从代理律师处获知</w:t>
      </w:r>
      <w:r>
        <w:rPr>
          <w:rFonts w:ascii="宋体" w:hAnsi="宋体" w:cs="宋体" w:eastAsia="宋体" w:hint="default"/>
        </w:rPr>
        <w:t>Ultravision</w:t>
      </w:r>
      <w:r>
        <w:rPr/>
        <w:t>重启了在德州东区联邦法院的诉讼。</w:t>
      </w:r>
    </w:p>
    <w:p>
      <w:pPr>
        <w:pStyle w:val="BodyText"/>
        <w:spacing w:line="319" w:lineRule="auto" w:before="76"/>
        <w:ind w:right="1122" w:firstLine="480"/>
        <w:jc w:val="both"/>
      </w:pPr>
      <w:r>
        <w:rPr>
          <w:rFonts w:ascii="宋体" w:hAnsi="宋体" w:cs="宋体" w:eastAsia="宋体" w:hint="default"/>
          <w:spacing w:val="-3"/>
        </w:rPr>
        <w:t>2019</w:t>
      </w:r>
      <w:r>
        <w:rPr>
          <w:spacing w:val="-3"/>
        </w:rPr>
        <w:t>年</w:t>
      </w:r>
      <w:r>
        <w:rPr>
          <w:rFonts w:ascii="宋体" w:hAnsi="宋体" w:cs="宋体" w:eastAsia="宋体" w:hint="default"/>
          <w:spacing w:val="-3"/>
        </w:rPr>
        <w:t>11</w:t>
      </w:r>
      <w:r>
        <w:rPr>
          <w:spacing w:val="-3"/>
        </w:rPr>
        <w:t>月，公司收到该诉讼的传票、诉状等法律文书，</w:t>
      </w:r>
      <w:r>
        <w:rPr>
          <w:rFonts w:ascii="宋体" w:hAnsi="宋体" w:cs="宋体" w:eastAsia="宋体" w:hint="default"/>
          <w:spacing w:val="-3"/>
        </w:rPr>
        <w:t>Ultravision</w:t>
      </w:r>
      <w:r>
        <w:rPr>
          <w:spacing w:val="-3"/>
        </w:rPr>
        <w:t>诉称发行人制造、使用和在美国销售的</w:t>
      </w:r>
      <w:r>
        <w:rPr>
          <w:rFonts w:ascii="宋体" w:hAnsi="宋体" w:cs="宋体" w:eastAsia="宋体" w:hint="default"/>
          <w:spacing w:val="-3"/>
        </w:rPr>
        <w:t>LED</w:t>
      </w:r>
      <w:r>
        <w:rPr>
          <w:spacing w:val="-3"/>
        </w:rPr>
        <w:t>显示</w:t>
      </w:r>
      <w:r>
        <w:rPr>
          <w:w w:val="101"/>
        </w:rPr>
        <w:t> </w:t>
      </w:r>
      <w:r>
        <w:rPr>
          <w:spacing w:val="-4"/>
        </w:rPr>
        <w:t>产品侵犯原告专利权，请求判决：（</w:t>
      </w:r>
      <w:r>
        <w:rPr>
          <w:rFonts w:ascii="宋体" w:hAnsi="宋体" w:cs="宋体" w:eastAsia="宋体" w:hint="default"/>
          <w:spacing w:val="-4"/>
        </w:rPr>
        <w:t>1</w:t>
      </w:r>
      <w:r>
        <w:rPr>
          <w:spacing w:val="-4"/>
        </w:rPr>
        <w:t>）认定发行人对本诉讼中的每个专利存在专利侵权；（</w:t>
      </w:r>
      <w:r>
        <w:rPr>
          <w:rFonts w:ascii="宋体" w:hAnsi="宋体" w:cs="宋体" w:eastAsia="宋体" w:hint="default"/>
          <w:spacing w:val="-4"/>
        </w:rPr>
        <w:t>2</w:t>
      </w:r>
      <w:r>
        <w:rPr>
          <w:spacing w:val="-4"/>
        </w:rPr>
        <w:t>）禁止发行人及相关共同利益</w:t>
      </w:r>
      <w:r>
        <w:rPr>
          <w:spacing w:val="40"/>
        </w:rPr>
        <w:t> </w:t>
      </w:r>
      <w:r>
        <w:rPr>
          <w:spacing w:val="40"/>
        </w:rPr>
      </w:r>
      <w:r>
        <w:rPr>
          <w:spacing w:val="-4"/>
        </w:rPr>
        <w:t>关系人，制造、销售、要约销售、进口、使用侵权产品；（</w:t>
      </w:r>
      <w:r>
        <w:rPr>
          <w:rFonts w:ascii="宋体" w:hAnsi="宋体" w:cs="宋体" w:eastAsia="宋体" w:hint="default"/>
          <w:spacing w:val="-4"/>
        </w:rPr>
        <w:t>3</w:t>
      </w:r>
      <w:r>
        <w:rPr>
          <w:spacing w:val="-4"/>
        </w:rPr>
        <w:t>）赔偿原告损失、合理律师费和其他费用；（</w:t>
      </w:r>
      <w:r>
        <w:rPr>
          <w:rFonts w:ascii="宋体" w:hAnsi="宋体" w:cs="宋体" w:eastAsia="宋体" w:hint="default"/>
          <w:spacing w:val="-4"/>
        </w:rPr>
        <w:t>4</w:t>
      </w:r>
      <w:r>
        <w:rPr>
          <w:spacing w:val="-4"/>
        </w:rPr>
        <w:t>）法院认为公正</w:t>
      </w:r>
      <w:r>
        <w:rPr>
          <w:spacing w:val="45"/>
        </w:rPr>
        <w:t> </w:t>
      </w:r>
      <w:r>
        <w:rPr>
          <w:spacing w:val="45"/>
        </w:rPr>
      </w:r>
      <w:r>
        <w:rPr/>
        <w:t>适当的其他救济。</w:t>
      </w:r>
    </w:p>
    <w:p>
      <w:pPr>
        <w:pStyle w:val="BodyText"/>
        <w:spacing w:line="240" w:lineRule="auto" w:before="17"/>
        <w:ind w:left="633" w:right="0"/>
        <w:jc w:val="left"/>
      </w:pPr>
      <w:r>
        <w:rPr>
          <w:spacing w:val="-3"/>
        </w:rPr>
        <w:t>截至</w:t>
      </w:r>
      <w:r>
        <w:rPr>
          <w:rFonts w:ascii="宋体" w:hAnsi="宋体" w:cs="宋体" w:eastAsia="宋体" w:hint="default"/>
          <w:spacing w:val="-3"/>
        </w:rPr>
        <w:t>2019</w:t>
      </w:r>
      <w:r>
        <w:rPr>
          <w:spacing w:val="-3"/>
        </w:rPr>
        <w:t>年</w:t>
      </w:r>
      <w:r>
        <w:rPr>
          <w:rFonts w:ascii="宋体" w:hAnsi="宋体" w:cs="宋体" w:eastAsia="宋体" w:hint="default"/>
          <w:spacing w:val="-3"/>
        </w:rPr>
        <w:t>12</w:t>
      </w:r>
      <w:r>
        <w:rPr>
          <w:spacing w:val="-3"/>
        </w:rPr>
        <w:t>月</w:t>
      </w:r>
      <w:r>
        <w:rPr>
          <w:rFonts w:ascii="宋体" w:hAnsi="宋体" w:cs="宋体" w:eastAsia="宋体" w:hint="default"/>
          <w:spacing w:val="-3"/>
        </w:rPr>
        <w:t>31</w:t>
      </w:r>
      <w:r>
        <w:rPr>
          <w:spacing w:val="-3"/>
        </w:rPr>
        <w:t>日，公司正在采取法律手段维护公司合法权益。</w:t>
      </w:r>
    </w:p>
    <w:p>
      <w:pPr>
        <w:pStyle w:val="BodyText"/>
        <w:spacing w:line="240" w:lineRule="auto" w:before="76"/>
        <w:ind w:left="633" w:right="0"/>
        <w:jc w:val="left"/>
      </w:pPr>
      <w:r>
        <w:rPr>
          <w:spacing w:val="-3"/>
        </w:rPr>
        <w:t>（</w:t>
      </w:r>
      <w:r>
        <w:rPr>
          <w:rFonts w:ascii="宋体" w:hAnsi="宋体" w:cs="宋体" w:eastAsia="宋体" w:hint="default"/>
          <w:spacing w:val="-3"/>
        </w:rPr>
        <w:t>2</w:t>
      </w:r>
      <w:r>
        <w:rPr>
          <w:spacing w:val="-3"/>
        </w:rPr>
        <w:t>）截至</w:t>
      </w:r>
      <w:r>
        <w:rPr>
          <w:rFonts w:ascii="宋体" w:hAnsi="宋体" w:cs="宋体" w:eastAsia="宋体" w:hint="default"/>
          <w:spacing w:val="-3"/>
        </w:rPr>
        <w:t>2019</w:t>
      </w:r>
      <w:r>
        <w:rPr>
          <w:spacing w:val="-3"/>
        </w:rPr>
        <w:t>年</w:t>
      </w:r>
      <w:r>
        <w:rPr>
          <w:rFonts w:ascii="宋体" w:hAnsi="宋体" w:cs="宋体" w:eastAsia="宋体" w:hint="default"/>
          <w:spacing w:val="-3"/>
        </w:rPr>
        <w:t>12</w:t>
      </w:r>
      <w:r>
        <w:rPr>
          <w:spacing w:val="-3"/>
        </w:rPr>
        <w:t>月</w:t>
      </w:r>
      <w:r>
        <w:rPr>
          <w:rFonts w:ascii="宋体" w:hAnsi="宋体" w:cs="宋体" w:eastAsia="宋体" w:hint="default"/>
          <w:spacing w:val="-3"/>
        </w:rPr>
        <w:t>31</w:t>
      </w:r>
      <w:r>
        <w:rPr>
          <w:spacing w:val="-3"/>
        </w:rPr>
        <w:t>日，公司其他未决诉讼或仲裁事项详见本附注十四、“其他重要事项”。</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4"/>
          <w:szCs w:val="14"/>
        </w:rPr>
      </w:pPr>
    </w:p>
    <w:p>
      <w:pPr>
        <w:pStyle w:val="Heading4"/>
        <w:spacing w:line="240" w:lineRule="auto"/>
        <w:ind w:right="0"/>
        <w:jc w:val="left"/>
        <w:rPr>
          <w:b w:val="0"/>
          <w:bCs w:val="0"/>
        </w:rPr>
      </w:pPr>
      <w:bookmarkStart w:name="（2）公司没有需要披露的重要或有事项，也应予以说明" w:id="506"/>
      <w:bookmarkEnd w:id="506"/>
      <w:r>
        <w:rPr>
          <w:b w:val="0"/>
          <w:bCs w:val="0"/>
        </w:rPr>
      </w:r>
      <w:r>
        <w:rPr/>
        <w:t>（</w:t>
      </w:r>
      <w:r>
        <w:rPr>
          <w:rFonts w:ascii="Times New Roman" w:hAnsi="Times New Roman" w:cs="Times New Roman" w:eastAsia="Times New Roman" w:hint="default"/>
        </w:rPr>
        <w:t>2</w:t>
      </w:r>
      <w:r>
        <w:rPr/>
        <w:t>）公司没有需要披露的重要或有事项，也应予以说明</w:t>
      </w:r>
      <w:r>
        <w:rPr>
          <w:b w:val="0"/>
          <w:bCs w:val="0"/>
        </w:rPr>
      </w:r>
    </w:p>
    <w:p>
      <w:pPr>
        <w:spacing w:line="240" w:lineRule="auto" w:before="9"/>
        <w:rPr>
          <w:rFonts w:ascii="宋体" w:hAnsi="宋体" w:cs="宋体" w:eastAsia="宋体" w:hint="default"/>
          <w:b/>
          <w:bCs/>
          <w:sz w:val="26"/>
          <w:szCs w:val="26"/>
        </w:rPr>
      </w:pPr>
    </w:p>
    <w:p>
      <w:pPr>
        <w:pStyle w:val="BodyText"/>
        <w:spacing w:line="240" w:lineRule="auto" w:before="0"/>
        <w:ind w:right="0"/>
        <w:jc w:val="left"/>
      </w:pPr>
      <w:r>
        <w:rPr>
          <w:spacing w:val="-3"/>
        </w:rPr>
        <w:t>公司不存在需要披露的重要或有事项。</w:t>
      </w:r>
    </w:p>
    <w:p>
      <w:pPr>
        <w:spacing w:line="240" w:lineRule="auto" w:before="9"/>
        <w:rPr>
          <w:rFonts w:ascii="宋体" w:hAnsi="宋体" w:cs="宋体" w:eastAsia="宋体" w:hint="default"/>
          <w:sz w:val="26"/>
          <w:szCs w:val="26"/>
        </w:rPr>
      </w:pPr>
    </w:p>
    <w:p>
      <w:pPr>
        <w:pStyle w:val="Heading4"/>
        <w:spacing w:line="240" w:lineRule="auto"/>
        <w:ind w:right="0"/>
        <w:jc w:val="left"/>
        <w:rPr>
          <w:b w:val="0"/>
          <w:bCs w:val="0"/>
        </w:rPr>
      </w:pPr>
      <w:bookmarkStart w:name="3、其他" w:id="507"/>
      <w:bookmarkEnd w:id="507"/>
      <w:r>
        <w:rPr>
          <w:b w:val="0"/>
          <w:bCs w:val="0"/>
        </w:rPr>
      </w:r>
      <w:r>
        <w:rPr>
          <w:rFonts w:ascii="Times New Roman" w:hAnsi="Times New Roman" w:cs="Times New Roman" w:eastAsia="Times New Roman" w:hint="default"/>
        </w:rPr>
        <w:t>3</w:t>
      </w:r>
      <w:r>
        <w:rPr/>
        <w:t>、其他</w:t>
      </w:r>
      <w:r>
        <w:rPr>
          <w:b w:val="0"/>
          <w:bCs w:val="0"/>
        </w:rPr>
      </w:r>
    </w:p>
    <w:p>
      <w:pPr>
        <w:spacing w:line="240" w:lineRule="auto" w:before="9"/>
        <w:rPr>
          <w:rFonts w:ascii="宋体" w:hAnsi="宋体" w:cs="宋体" w:eastAsia="宋体" w:hint="default"/>
          <w:b/>
          <w:bCs/>
          <w:sz w:val="26"/>
          <w:szCs w:val="26"/>
        </w:rPr>
      </w:pPr>
    </w:p>
    <w:p>
      <w:pPr>
        <w:pStyle w:val="BodyText"/>
        <w:spacing w:line="240" w:lineRule="auto" w:before="0"/>
        <w:ind w:right="0"/>
        <w:jc w:val="left"/>
      </w:pPr>
      <w:r>
        <w:rPr/>
        <w:t>无。</w:t>
      </w:r>
    </w:p>
    <w:p>
      <w:pPr>
        <w:spacing w:line="240" w:lineRule="auto" w:before="9"/>
        <w:rPr>
          <w:rFonts w:ascii="宋体" w:hAnsi="宋体" w:cs="宋体" w:eastAsia="宋体" w:hint="default"/>
          <w:sz w:val="24"/>
          <w:szCs w:val="24"/>
        </w:rPr>
      </w:pPr>
    </w:p>
    <w:p>
      <w:pPr>
        <w:pStyle w:val="Heading2"/>
        <w:spacing w:line="240" w:lineRule="auto"/>
        <w:ind w:right="0"/>
        <w:jc w:val="left"/>
        <w:rPr>
          <w:b w:val="0"/>
          <w:bCs w:val="0"/>
        </w:rPr>
      </w:pPr>
      <w:bookmarkStart w:name="十五、资产负债表日后事项" w:id="508"/>
      <w:bookmarkEnd w:id="508"/>
      <w:r>
        <w:rPr>
          <w:b w:val="0"/>
          <w:bCs w:val="0"/>
        </w:rPr>
      </w:r>
      <w:r>
        <w:rPr/>
        <w:t>十五、资产负债表日后事项</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0"/>
        <w:jc w:val="left"/>
        <w:rPr>
          <w:b w:val="0"/>
          <w:bCs w:val="0"/>
        </w:rPr>
      </w:pPr>
      <w:bookmarkStart w:name="1、重要的非调整事项" w:id="509"/>
      <w:bookmarkEnd w:id="509"/>
      <w:r>
        <w:rPr>
          <w:b w:val="0"/>
          <w:bCs w:val="0"/>
        </w:rPr>
      </w:r>
      <w:r>
        <w:rPr>
          <w:rFonts w:ascii="Times New Roman" w:hAnsi="Times New Roman" w:cs="Times New Roman" w:eastAsia="Times New Roman" w:hint="default"/>
        </w:rPr>
        <w:t>1</w:t>
      </w:r>
      <w:r>
        <w:rPr/>
        <w:t>、重要的非调整事项</w:t>
      </w:r>
      <w:r>
        <w:rPr>
          <w:b w:val="0"/>
          <w:bCs w:val="0"/>
        </w:rPr>
      </w:r>
    </w:p>
    <w:p>
      <w:pPr>
        <w:spacing w:line="240" w:lineRule="auto" w:before="1"/>
        <w:rPr>
          <w:rFonts w:ascii="宋体" w:hAnsi="宋体" w:cs="宋体" w:eastAsia="宋体" w:hint="default"/>
          <w:b/>
          <w:bCs/>
          <w:sz w:val="27"/>
          <w:szCs w:val="27"/>
        </w:rPr>
      </w:pPr>
    </w:p>
    <w:p>
      <w:pPr>
        <w:pStyle w:val="BodyText"/>
        <w:spacing w:line="240" w:lineRule="auto" w:before="0"/>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492"/>
        <w:gridCol w:w="2300"/>
        <w:gridCol w:w="2387"/>
        <w:gridCol w:w="2391"/>
      </w:tblGrid>
      <w:tr>
        <w:trPr>
          <w:trHeight w:val="716" w:hRule="exact"/>
        </w:trPr>
        <w:tc>
          <w:tcPr>
            <w:tcW w:w="24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内容</w:t>
            </w:r>
          </w:p>
        </w:tc>
        <w:tc>
          <w:tcPr>
            <w:tcW w:w="23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1008" w:right="104" w:hanging="903"/>
              <w:jc w:val="left"/>
              <w:rPr>
                <w:rFonts w:ascii="宋体" w:hAnsi="宋体" w:cs="宋体" w:eastAsia="宋体" w:hint="default"/>
                <w:sz w:val="18"/>
                <w:szCs w:val="18"/>
              </w:rPr>
            </w:pPr>
            <w:r>
              <w:rPr>
                <w:rFonts w:ascii="宋体" w:hAnsi="宋体" w:cs="宋体" w:eastAsia="宋体" w:hint="default"/>
                <w:spacing w:val="-3"/>
                <w:sz w:val="18"/>
                <w:szCs w:val="18"/>
              </w:rPr>
              <w:t>对财务状况和经营成果的影</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响数</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92" w:right="0"/>
              <w:jc w:val="left"/>
              <w:rPr>
                <w:rFonts w:ascii="宋体" w:hAnsi="宋体" w:cs="宋体" w:eastAsia="宋体" w:hint="default"/>
                <w:sz w:val="18"/>
                <w:szCs w:val="18"/>
              </w:rPr>
            </w:pPr>
            <w:r>
              <w:rPr>
                <w:rFonts w:ascii="宋体" w:hAnsi="宋体" w:cs="宋体" w:eastAsia="宋体" w:hint="default"/>
                <w:sz w:val="18"/>
                <w:szCs w:val="18"/>
              </w:rPr>
              <w:t>无法估计影响数的原因</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2、利润分配情况" w:id="510"/>
      <w:bookmarkEnd w:id="510"/>
      <w:r>
        <w:rPr>
          <w:b w:val="0"/>
          <w:bCs w:val="0"/>
        </w:rPr>
      </w:r>
      <w:r>
        <w:rPr>
          <w:rFonts w:ascii="Times New Roman" w:hAnsi="Times New Roman" w:cs="Times New Roman" w:eastAsia="Times New Roman" w:hint="default"/>
        </w:rPr>
        <w:t>2</w:t>
      </w:r>
      <w:r>
        <w:rPr/>
        <w:t>、利润分配情况</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4984"/>
        <w:gridCol w:w="4585"/>
      </w:tblGrid>
      <w:tr>
        <w:trPr>
          <w:trHeight w:val="404"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pacing w:val="-3"/>
                <w:sz w:val="18"/>
                <w:szCs w:val="18"/>
              </w:rPr>
              <w:t>拟分配的利润或股利</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49,037,578.56</w:t>
            </w:r>
          </w:p>
        </w:tc>
      </w:tr>
      <w:tr>
        <w:trPr>
          <w:trHeight w:val="403"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经审议批准宣告发放的利润或股利</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z w:val="18"/>
              </w:rPr>
              <w:t>0.00</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3、销售退回" w:id="511"/>
      <w:bookmarkEnd w:id="511"/>
      <w:r>
        <w:rPr>
          <w:b w:val="0"/>
          <w:bCs w:val="0"/>
        </w:rPr>
      </w:r>
      <w:r>
        <w:rPr>
          <w:rFonts w:ascii="Times New Roman" w:hAnsi="Times New Roman" w:cs="Times New Roman" w:eastAsia="Times New Roman" w:hint="default"/>
        </w:rPr>
        <w:t>3</w:t>
      </w:r>
      <w:r>
        <w:rPr/>
        <w:t>、销售退回</w:t>
      </w:r>
      <w:r>
        <w:rPr>
          <w:b w:val="0"/>
          <w:bCs w:val="0"/>
        </w:rPr>
      </w:r>
    </w:p>
    <w:p>
      <w:pPr>
        <w:spacing w:line="240" w:lineRule="auto" w:before="5"/>
        <w:rPr>
          <w:rFonts w:ascii="宋体" w:hAnsi="宋体" w:cs="宋体" w:eastAsia="宋体" w:hint="default"/>
          <w:b/>
          <w:bCs/>
          <w:sz w:val="26"/>
          <w:szCs w:val="26"/>
        </w:rPr>
      </w:pPr>
    </w:p>
    <w:p>
      <w:pPr>
        <w:pStyle w:val="BodyText"/>
        <w:spacing w:line="240" w:lineRule="auto" w:before="0"/>
        <w:ind w:right="0"/>
        <w:jc w:val="left"/>
      </w:pPr>
      <w:r>
        <w:rPr/>
        <w:t>无。</w:t>
      </w:r>
    </w:p>
    <w:p>
      <w:pPr>
        <w:spacing w:after="0" w:line="240" w:lineRule="auto"/>
        <w:jc w:val="left"/>
        <w:sectPr>
          <w:pgSz w:w="11910" w:h="16840"/>
          <w:pgMar w:header="784" w:footer="1022" w:top="1100" w:bottom="1220" w:left="980" w:right="0"/>
        </w:sectPr>
      </w:pPr>
    </w:p>
    <w:p>
      <w:pPr>
        <w:spacing w:line="240" w:lineRule="auto" w:before="13"/>
        <w:rPr>
          <w:rFonts w:ascii="宋体" w:hAnsi="宋体" w:cs="宋体" w:eastAsia="宋体" w:hint="default"/>
          <w:sz w:val="21"/>
          <w:szCs w:val="21"/>
        </w:rPr>
      </w:pPr>
    </w:p>
    <w:p>
      <w:pPr>
        <w:pStyle w:val="Heading4"/>
        <w:spacing w:line="240" w:lineRule="auto" w:before="36"/>
        <w:ind w:right="0"/>
        <w:jc w:val="left"/>
        <w:rPr>
          <w:b w:val="0"/>
          <w:bCs w:val="0"/>
        </w:rPr>
      </w:pPr>
      <w:bookmarkStart w:name="4、其他资产负债表日后事项说明" w:id="512"/>
      <w:bookmarkEnd w:id="512"/>
      <w:r>
        <w:rPr>
          <w:b w:val="0"/>
          <w:bCs w:val="0"/>
        </w:rPr>
      </w:r>
      <w:r>
        <w:rPr>
          <w:rFonts w:ascii="Times New Roman" w:hAnsi="Times New Roman" w:cs="Times New Roman" w:eastAsia="Times New Roman" w:hint="default"/>
        </w:rPr>
        <w:t>4</w:t>
      </w:r>
      <w:r>
        <w:rPr/>
        <w:t>、其他资产负债表日后事项说明</w:t>
      </w:r>
      <w:r>
        <w:rPr>
          <w:b w:val="0"/>
          <w:bCs w:val="0"/>
        </w:rPr>
      </w:r>
    </w:p>
    <w:p>
      <w:pPr>
        <w:spacing w:line="240" w:lineRule="auto" w:before="4"/>
        <w:rPr>
          <w:rFonts w:ascii="宋体" w:hAnsi="宋体" w:cs="宋体" w:eastAsia="宋体" w:hint="default"/>
          <w:b/>
          <w:bCs/>
          <w:sz w:val="26"/>
          <w:szCs w:val="26"/>
        </w:rPr>
      </w:pPr>
    </w:p>
    <w:p>
      <w:pPr>
        <w:pStyle w:val="BodyText"/>
        <w:spacing w:line="240" w:lineRule="auto" w:before="0"/>
        <w:ind w:right="0"/>
        <w:jc w:val="left"/>
      </w:pPr>
      <w:r>
        <w:rPr/>
        <w:t>无。</w:t>
      </w:r>
    </w:p>
    <w:p>
      <w:pPr>
        <w:spacing w:line="240" w:lineRule="auto" w:before="10"/>
        <w:rPr>
          <w:rFonts w:ascii="宋体" w:hAnsi="宋体" w:cs="宋体" w:eastAsia="宋体" w:hint="default"/>
          <w:sz w:val="24"/>
          <w:szCs w:val="24"/>
        </w:rPr>
      </w:pPr>
    </w:p>
    <w:p>
      <w:pPr>
        <w:pStyle w:val="Heading2"/>
        <w:spacing w:line="240" w:lineRule="auto"/>
        <w:ind w:right="0"/>
        <w:jc w:val="left"/>
        <w:rPr>
          <w:b w:val="0"/>
          <w:bCs w:val="0"/>
        </w:rPr>
      </w:pPr>
      <w:bookmarkStart w:name="十六、其他重要事项" w:id="513"/>
      <w:bookmarkEnd w:id="513"/>
      <w:r>
        <w:rPr>
          <w:b w:val="0"/>
          <w:bCs w:val="0"/>
        </w:rPr>
      </w:r>
      <w:r>
        <w:rPr/>
        <w:t>十六、其他重要事项</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0"/>
        <w:jc w:val="left"/>
        <w:rPr>
          <w:b w:val="0"/>
          <w:bCs w:val="0"/>
        </w:rPr>
      </w:pPr>
      <w:bookmarkStart w:name="1、前期会计差错更正" w:id="514"/>
      <w:bookmarkEnd w:id="514"/>
      <w:r>
        <w:rPr>
          <w:b w:val="0"/>
          <w:bCs w:val="0"/>
        </w:rPr>
      </w:r>
      <w:r>
        <w:rPr>
          <w:rFonts w:ascii="Times New Roman" w:hAnsi="Times New Roman" w:cs="Times New Roman" w:eastAsia="Times New Roman" w:hint="default"/>
        </w:rPr>
        <w:t>1</w:t>
      </w:r>
      <w:r>
        <w:rPr/>
        <w:t>、前期会计差错更正</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0"/>
        <w:jc w:val="left"/>
        <w:rPr>
          <w:b w:val="0"/>
          <w:bCs w:val="0"/>
        </w:rPr>
      </w:pPr>
      <w:bookmarkStart w:name="（1）追溯重述法" w:id="515"/>
      <w:bookmarkEnd w:id="515"/>
      <w:r>
        <w:rPr>
          <w:b w:val="0"/>
          <w:bCs w:val="0"/>
        </w:rPr>
      </w:r>
      <w:r>
        <w:rPr/>
        <w:t>（</w:t>
      </w:r>
      <w:r>
        <w:rPr>
          <w:rFonts w:ascii="Times New Roman" w:hAnsi="Times New Roman" w:cs="Times New Roman" w:eastAsia="Times New Roman" w:hint="default"/>
        </w:rPr>
        <w:t>1</w:t>
      </w:r>
      <w:r>
        <w:rPr/>
        <w:t>）追溯重述法</w:t>
      </w:r>
      <w:r>
        <w:rPr>
          <w:b w:val="0"/>
          <w:bCs w:val="0"/>
        </w:rPr>
      </w:r>
    </w:p>
    <w:p>
      <w:pPr>
        <w:spacing w:line="240" w:lineRule="auto" w:before="7"/>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492"/>
        <w:gridCol w:w="2300"/>
        <w:gridCol w:w="2387"/>
        <w:gridCol w:w="2391"/>
      </w:tblGrid>
      <w:tr>
        <w:trPr>
          <w:trHeight w:val="715" w:hRule="exact"/>
        </w:trPr>
        <w:tc>
          <w:tcPr>
            <w:tcW w:w="24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pacing w:val="-3"/>
                <w:sz w:val="18"/>
                <w:szCs w:val="18"/>
              </w:rPr>
              <w:t>会计差错更正的内容</w:t>
            </w:r>
          </w:p>
        </w:tc>
        <w:tc>
          <w:tcPr>
            <w:tcW w:w="2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处理程序</w:t>
            </w:r>
          </w:p>
        </w:tc>
        <w:tc>
          <w:tcPr>
            <w:tcW w:w="23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825" w:right="104" w:hanging="720"/>
              <w:jc w:val="left"/>
              <w:rPr>
                <w:rFonts w:ascii="宋体" w:hAnsi="宋体" w:cs="宋体" w:eastAsia="宋体" w:hint="default"/>
                <w:sz w:val="18"/>
                <w:szCs w:val="18"/>
              </w:rPr>
            </w:pPr>
            <w:r>
              <w:rPr>
                <w:rFonts w:ascii="宋体" w:hAnsi="宋体" w:cs="宋体" w:eastAsia="宋体" w:hint="default"/>
                <w:spacing w:val="-3"/>
                <w:sz w:val="18"/>
                <w:szCs w:val="18"/>
              </w:rPr>
              <w:t>受影响的各个比较期间报表</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项目名称</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44" w:right="0"/>
              <w:jc w:val="left"/>
              <w:rPr>
                <w:rFonts w:ascii="宋体" w:hAnsi="宋体" w:cs="宋体" w:eastAsia="宋体" w:hint="default"/>
                <w:sz w:val="18"/>
                <w:szCs w:val="18"/>
              </w:rPr>
            </w:pPr>
            <w:r>
              <w:rPr>
                <w:rFonts w:ascii="宋体" w:hAnsi="宋体" w:cs="宋体" w:eastAsia="宋体" w:hint="default"/>
                <w:sz w:val="18"/>
                <w:szCs w:val="18"/>
              </w:rPr>
              <w:t>累积影响数</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2）未来适用法" w:id="516"/>
      <w:bookmarkEnd w:id="516"/>
      <w:r>
        <w:rPr>
          <w:b w:val="0"/>
          <w:bCs w:val="0"/>
        </w:rPr>
      </w:r>
      <w:r>
        <w:rPr/>
        <w:t>（</w:t>
      </w:r>
      <w:r>
        <w:rPr>
          <w:rFonts w:ascii="Times New Roman" w:hAnsi="Times New Roman" w:cs="Times New Roman" w:eastAsia="Times New Roman" w:hint="default"/>
        </w:rPr>
        <w:t>2</w:t>
      </w:r>
      <w:r>
        <w:rPr/>
        <w:t>）未来适用法</w:t>
      </w:r>
      <w:r>
        <w:rPr>
          <w:b w:val="0"/>
          <w:bCs w:val="0"/>
        </w:rPr>
      </w:r>
    </w:p>
    <w:p>
      <w:pPr>
        <w:spacing w:line="240" w:lineRule="auto" w:before="7"/>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3328"/>
        <w:gridCol w:w="3058"/>
        <w:gridCol w:w="3188"/>
      </w:tblGrid>
      <w:tr>
        <w:trPr>
          <w:trHeight w:val="403"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850" w:right="0"/>
              <w:jc w:val="left"/>
              <w:rPr>
                <w:rFonts w:ascii="宋体" w:hAnsi="宋体" w:cs="宋体" w:eastAsia="宋体" w:hint="default"/>
                <w:sz w:val="18"/>
                <w:szCs w:val="18"/>
              </w:rPr>
            </w:pPr>
            <w:r>
              <w:rPr>
                <w:rFonts w:ascii="宋体" w:hAnsi="宋体" w:cs="宋体" w:eastAsia="宋体" w:hint="default"/>
                <w:spacing w:val="-3"/>
                <w:sz w:val="18"/>
                <w:szCs w:val="18"/>
              </w:rPr>
              <w:t>会计差错更正的内容</w:t>
            </w:r>
          </w:p>
        </w:tc>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批准程序</w:t>
            </w:r>
          </w:p>
        </w:tc>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91" w:right="0"/>
              <w:jc w:val="left"/>
              <w:rPr>
                <w:rFonts w:ascii="宋体" w:hAnsi="宋体" w:cs="宋体" w:eastAsia="宋体" w:hint="default"/>
                <w:sz w:val="18"/>
                <w:szCs w:val="18"/>
              </w:rPr>
            </w:pPr>
            <w:r>
              <w:rPr>
                <w:rFonts w:ascii="宋体" w:hAnsi="宋体" w:cs="宋体" w:eastAsia="宋体" w:hint="default"/>
                <w:sz w:val="18"/>
                <w:szCs w:val="18"/>
              </w:rPr>
              <w:t>采用未来适用法的原因</w:t>
            </w:r>
          </w:p>
        </w:tc>
      </w:tr>
    </w:tbl>
    <w:p>
      <w:pPr>
        <w:spacing w:line="240" w:lineRule="auto" w:before="3"/>
        <w:rPr>
          <w:rFonts w:ascii="宋体" w:hAnsi="宋体" w:cs="宋体" w:eastAsia="宋体" w:hint="default"/>
          <w:b/>
          <w:bCs/>
          <w:sz w:val="19"/>
          <w:szCs w:val="19"/>
        </w:rPr>
      </w:pPr>
    </w:p>
    <w:p>
      <w:pPr>
        <w:pStyle w:val="Heading4"/>
        <w:spacing w:line="240" w:lineRule="auto" w:before="36"/>
        <w:ind w:right="0"/>
        <w:jc w:val="left"/>
        <w:rPr>
          <w:b w:val="0"/>
          <w:bCs w:val="0"/>
        </w:rPr>
      </w:pPr>
      <w:bookmarkStart w:name="2、债务重组" w:id="517"/>
      <w:bookmarkEnd w:id="517"/>
      <w:r>
        <w:rPr>
          <w:b w:val="0"/>
          <w:bCs w:val="0"/>
        </w:rPr>
      </w:r>
      <w:r>
        <w:rPr>
          <w:rFonts w:ascii="Times New Roman" w:hAnsi="Times New Roman" w:cs="Times New Roman" w:eastAsia="Times New Roman" w:hint="default"/>
        </w:rPr>
        <w:t>2</w:t>
      </w:r>
      <w:r>
        <w:rPr/>
        <w:t>、债务重组</w:t>
      </w:r>
      <w:r>
        <w:rPr>
          <w:b w:val="0"/>
          <w:bCs w:val="0"/>
        </w:rPr>
      </w:r>
    </w:p>
    <w:p>
      <w:pPr>
        <w:spacing w:line="240" w:lineRule="auto" w:before="5"/>
        <w:rPr>
          <w:rFonts w:ascii="宋体" w:hAnsi="宋体" w:cs="宋体" w:eastAsia="宋体" w:hint="default"/>
          <w:b/>
          <w:bCs/>
          <w:sz w:val="26"/>
          <w:szCs w:val="26"/>
        </w:rPr>
      </w:pPr>
    </w:p>
    <w:p>
      <w:pPr>
        <w:pStyle w:val="BodyText"/>
        <w:spacing w:line="240" w:lineRule="auto" w:before="0"/>
        <w:ind w:right="0"/>
        <w:jc w:val="left"/>
      </w:pPr>
      <w:r>
        <w:rPr/>
        <w:t>无。</w:t>
      </w:r>
    </w:p>
    <w:p>
      <w:pPr>
        <w:spacing w:line="240" w:lineRule="auto" w:before="0"/>
        <w:rPr>
          <w:rFonts w:ascii="宋体" w:hAnsi="宋体" w:cs="宋体" w:eastAsia="宋体" w:hint="default"/>
          <w:sz w:val="18"/>
          <w:szCs w:val="18"/>
        </w:rPr>
      </w:pPr>
    </w:p>
    <w:p>
      <w:pPr>
        <w:pStyle w:val="Heading4"/>
        <w:spacing w:line="240" w:lineRule="auto" w:before="118"/>
        <w:ind w:right="0"/>
        <w:jc w:val="left"/>
        <w:rPr>
          <w:b w:val="0"/>
          <w:bCs w:val="0"/>
        </w:rPr>
      </w:pPr>
      <w:bookmarkStart w:name="3、资产置换" w:id="518"/>
      <w:bookmarkEnd w:id="518"/>
      <w:r>
        <w:rPr>
          <w:b w:val="0"/>
          <w:bCs w:val="0"/>
        </w:rPr>
      </w:r>
      <w:r>
        <w:rPr>
          <w:rFonts w:ascii="Times New Roman" w:hAnsi="Times New Roman" w:cs="Times New Roman" w:eastAsia="Times New Roman" w:hint="default"/>
        </w:rPr>
        <w:t>3</w:t>
      </w:r>
      <w:r>
        <w:rPr/>
        <w:t>、资产置换</w:t>
      </w:r>
      <w:r>
        <w:rPr>
          <w:b w:val="0"/>
          <w:bCs w:val="0"/>
        </w:rPr>
      </w:r>
    </w:p>
    <w:p>
      <w:pPr>
        <w:spacing w:line="240" w:lineRule="auto" w:before="5"/>
        <w:rPr>
          <w:rFonts w:ascii="宋体" w:hAnsi="宋体" w:cs="宋体" w:eastAsia="宋体" w:hint="default"/>
          <w:b/>
          <w:bCs/>
          <w:sz w:val="24"/>
          <w:szCs w:val="24"/>
        </w:rPr>
      </w:pPr>
    </w:p>
    <w:p>
      <w:pPr>
        <w:pStyle w:val="Heading4"/>
        <w:spacing w:line="240" w:lineRule="auto"/>
        <w:ind w:right="0"/>
        <w:jc w:val="left"/>
        <w:rPr>
          <w:b w:val="0"/>
          <w:bCs w:val="0"/>
        </w:rPr>
      </w:pPr>
      <w:bookmarkStart w:name="（1）非货币性资产交换" w:id="519"/>
      <w:bookmarkEnd w:id="519"/>
      <w:r>
        <w:rPr>
          <w:b w:val="0"/>
          <w:bCs w:val="0"/>
        </w:rPr>
      </w:r>
      <w:r>
        <w:rPr/>
        <w:t>（</w:t>
      </w:r>
      <w:r>
        <w:rPr>
          <w:rFonts w:ascii="Times New Roman" w:hAnsi="Times New Roman" w:cs="Times New Roman" w:eastAsia="Times New Roman" w:hint="default"/>
        </w:rPr>
        <w:t>1</w:t>
      </w:r>
      <w:r>
        <w:rPr/>
        <w:t>）非货币性资产交换</w:t>
      </w:r>
      <w:r>
        <w:rPr>
          <w:b w:val="0"/>
          <w:bCs w:val="0"/>
        </w:rPr>
      </w:r>
    </w:p>
    <w:p>
      <w:pPr>
        <w:spacing w:line="240" w:lineRule="auto" w:before="9"/>
        <w:rPr>
          <w:rFonts w:ascii="宋体" w:hAnsi="宋体" w:cs="宋体" w:eastAsia="宋体" w:hint="default"/>
          <w:b/>
          <w:bCs/>
          <w:sz w:val="26"/>
          <w:szCs w:val="26"/>
        </w:rPr>
      </w:pPr>
    </w:p>
    <w:p>
      <w:pPr>
        <w:pStyle w:val="BodyText"/>
        <w:spacing w:line="240" w:lineRule="auto" w:before="0"/>
        <w:ind w:right="0"/>
        <w:jc w:val="left"/>
      </w:pPr>
      <w:r>
        <w:rPr/>
        <w:t>无。</w:t>
      </w:r>
    </w:p>
    <w:p>
      <w:pPr>
        <w:spacing w:line="240" w:lineRule="auto" w:before="0"/>
        <w:rPr>
          <w:rFonts w:ascii="宋体" w:hAnsi="宋体" w:cs="宋体" w:eastAsia="宋体" w:hint="default"/>
          <w:sz w:val="18"/>
          <w:szCs w:val="18"/>
        </w:rPr>
      </w:pPr>
    </w:p>
    <w:p>
      <w:pPr>
        <w:pStyle w:val="Heading4"/>
        <w:spacing w:line="240" w:lineRule="auto" w:before="118"/>
        <w:ind w:right="0"/>
        <w:jc w:val="left"/>
        <w:rPr>
          <w:b w:val="0"/>
          <w:bCs w:val="0"/>
        </w:rPr>
      </w:pPr>
      <w:bookmarkStart w:name="（2）其他资产置换" w:id="520"/>
      <w:bookmarkEnd w:id="520"/>
      <w:r>
        <w:rPr>
          <w:b w:val="0"/>
          <w:bCs w:val="0"/>
        </w:rPr>
      </w:r>
      <w:r>
        <w:rPr/>
        <w:t>（</w:t>
      </w:r>
      <w:r>
        <w:rPr>
          <w:rFonts w:ascii="Times New Roman" w:hAnsi="Times New Roman" w:cs="Times New Roman" w:eastAsia="Times New Roman" w:hint="default"/>
        </w:rPr>
        <w:t>2</w:t>
      </w:r>
      <w:r>
        <w:rPr/>
        <w:t>）其他资产置换</w:t>
      </w:r>
      <w:r>
        <w:rPr>
          <w:b w:val="0"/>
          <w:bCs w:val="0"/>
        </w:rPr>
      </w:r>
    </w:p>
    <w:p>
      <w:pPr>
        <w:spacing w:line="240" w:lineRule="auto" w:before="5"/>
        <w:rPr>
          <w:rFonts w:ascii="宋体" w:hAnsi="宋体" w:cs="宋体" w:eastAsia="宋体" w:hint="default"/>
          <w:b/>
          <w:bCs/>
          <w:sz w:val="26"/>
          <w:szCs w:val="26"/>
        </w:rPr>
      </w:pPr>
    </w:p>
    <w:p>
      <w:pPr>
        <w:pStyle w:val="BodyText"/>
        <w:spacing w:line="240" w:lineRule="auto" w:before="0"/>
        <w:ind w:right="0"/>
        <w:jc w:val="left"/>
      </w:pPr>
      <w:r>
        <w:rPr/>
        <w:t>无。</w:t>
      </w:r>
    </w:p>
    <w:p>
      <w:pPr>
        <w:spacing w:line="240" w:lineRule="auto" w:before="0"/>
        <w:rPr>
          <w:rFonts w:ascii="宋体" w:hAnsi="宋体" w:cs="宋体" w:eastAsia="宋体" w:hint="default"/>
          <w:sz w:val="18"/>
          <w:szCs w:val="18"/>
        </w:rPr>
      </w:pPr>
    </w:p>
    <w:p>
      <w:pPr>
        <w:pStyle w:val="Heading4"/>
        <w:spacing w:line="240" w:lineRule="auto" w:before="118"/>
        <w:ind w:right="0"/>
        <w:jc w:val="left"/>
        <w:rPr>
          <w:b w:val="0"/>
          <w:bCs w:val="0"/>
        </w:rPr>
      </w:pPr>
      <w:bookmarkStart w:name="4、年金计划" w:id="521"/>
      <w:bookmarkEnd w:id="521"/>
      <w:r>
        <w:rPr>
          <w:b w:val="0"/>
          <w:bCs w:val="0"/>
        </w:rPr>
      </w:r>
      <w:r>
        <w:rPr>
          <w:rFonts w:ascii="Times New Roman" w:hAnsi="Times New Roman" w:cs="Times New Roman" w:eastAsia="Times New Roman" w:hint="default"/>
        </w:rPr>
        <w:t>4</w:t>
      </w:r>
      <w:r>
        <w:rPr/>
        <w:t>、年金计划</w:t>
      </w:r>
      <w:r>
        <w:rPr>
          <w:b w:val="0"/>
          <w:bCs w:val="0"/>
        </w:rPr>
      </w:r>
    </w:p>
    <w:p>
      <w:pPr>
        <w:spacing w:line="240" w:lineRule="auto" w:before="9"/>
        <w:rPr>
          <w:rFonts w:ascii="宋体" w:hAnsi="宋体" w:cs="宋体" w:eastAsia="宋体" w:hint="default"/>
          <w:b/>
          <w:bCs/>
          <w:sz w:val="26"/>
          <w:szCs w:val="26"/>
        </w:rPr>
      </w:pPr>
    </w:p>
    <w:p>
      <w:pPr>
        <w:pStyle w:val="BodyText"/>
        <w:spacing w:line="240" w:lineRule="auto" w:before="0"/>
        <w:ind w:right="0"/>
        <w:jc w:val="left"/>
      </w:pPr>
      <w:r>
        <w:rPr/>
        <w:t>无。</w:t>
      </w:r>
    </w:p>
    <w:p>
      <w:pPr>
        <w:spacing w:line="240" w:lineRule="auto" w:before="0"/>
        <w:rPr>
          <w:rFonts w:ascii="宋体" w:hAnsi="宋体" w:cs="宋体" w:eastAsia="宋体" w:hint="default"/>
          <w:sz w:val="18"/>
          <w:szCs w:val="18"/>
        </w:rPr>
      </w:pPr>
    </w:p>
    <w:p>
      <w:pPr>
        <w:pStyle w:val="Heading4"/>
        <w:spacing w:line="240" w:lineRule="auto" w:before="118"/>
        <w:ind w:right="0"/>
        <w:jc w:val="left"/>
        <w:rPr>
          <w:b w:val="0"/>
          <w:bCs w:val="0"/>
        </w:rPr>
      </w:pPr>
      <w:bookmarkStart w:name="5、终止经营" w:id="522"/>
      <w:bookmarkEnd w:id="522"/>
      <w:r>
        <w:rPr>
          <w:b w:val="0"/>
          <w:bCs w:val="0"/>
        </w:rPr>
      </w:r>
      <w:r>
        <w:rPr>
          <w:rFonts w:ascii="Times New Roman" w:hAnsi="Times New Roman" w:cs="Times New Roman" w:eastAsia="Times New Roman" w:hint="default"/>
        </w:rPr>
        <w:t>5</w:t>
      </w:r>
      <w:r>
        <w:rPr/>
        <w:t>、终止经营</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369"/>
        <w:gridCol w:w="1368"/>
        <w:gridCol w:w="1369"/>
        <w:gridCol w:w="1368"/>
        <w:gridCol w:w="1364"/>
        <w:gridCol w:w="1369"/>
        <w:gridCol w:w="1369"/>
      </w:tblGrid>
      <w:tr>
        <w:trPr>
          <w:trHeight w:val="1028"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4"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4" w:right="0"/>
              <w:jc w:val="center"/>
              <w:rPr>
                <w:rFonts w:ascii="宋体" w:hAnsi="宋体" w:cs="宋体" w:eastAsia="宋体" w:hint="default"/>
                <w:sz w:val="18"/>
                <w:szCs w:val="18"/>
              </w:rPr>
            </w:pPr>
            <w:r>
              <w:rPr>
                <w:rFonts w:ascii="宋体" w:hAnsi="宋体" w:cs="宋体" w:eastAsia="宋体" w:hint="default"/>
                <w:sz w:val="18"/>
                <w:szCs w:val="18"/>
              </w:rPr>
              <w:t>费用</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321"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13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225"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413"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39" w:right="132"/>
              <w:jc w:val="center"/>
              <w:rPr>
                <w:rFonts w:ascii="宋体" w:hAnsi="宋体" w:cs="宋体" w:eastAsia="宋体" w:hint="default"/>
                <w:sz w:val="18"/>
                <w:szCs w:val="18"/>
              </w:rPr>
            </w:pPr>
            <w:r>
              <w:rPr>
                <w:rFonts w:ascii="宋体" w:hAnsi="宋体" w:cs="宋体" w:eastAsia="宋体" w:hint="default"/>
                <w:spacing w:val="-2"/>
                <w:sz w:val="18"/>
                <w:szCs w:val="18"/>
              </w:rPr>
              <w:t>归属于母公司</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2"/>
                <w:sz w:val="18"/>
                <w:szCs w:val="18"/>
              </w:rPr>
              <w:t>所有者的终止</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经营利润</w:t>
            </w:r>
          </w:p>
        </w:tc>
      </w:tr>
    </w:tbl>
    <w:p>
      <w:pPr>
        <w:pStyle w:val="BodyText"/>
        <w:spacing w:line="357" w:lineRule="auto" w:before="53"/>
        <w:ind w:right="10031"/>
        <w:jc w:val="left"/>
      </w:pPr>
      <w:r>
        <w:rPr/>
        <w:t>其他说明</w:t>
      </w:r>
      <w:r>
        <w:rPr>
          <w:spacing w:val="-86"/>
        </w:rPr>
        <w:t> </w:t>
      </w:r>
      <w:r>
        <w:rPr>
          <w:spacing w:val="-86"/>
        </w:rPr>
      </w:r>
      <w:r>
        <w:rPr/>
        <w:t>无。</w:t>
      </w:r>
    </w:p>
    <w:p>
      <w:pPr>
        <w:spacing w:after="0" w:line="357" w:lineRule="auto"/>
        <w:jc w:val="left"/>
        <w:sectPr>
          <w:pgSz w:w="11910" w:h="16840"/>
          <w:pgMar w:header="784" w:footer="1022" w:top="1100" w:bottom="1220" w:left="980" w:right="0"/>
        </w:sectPr>
      </w:pPr>
    </w:p>
    <w:p>
      <w:pPr>
        <w:spacing w:line="240" w:lineRule="auto" w:before="13"/>
        <w:rPr>
          <w:rFonts w:ascii="宋体" w:hAnsi="宋体" w:cs="宋体" w:eastAsia="宋体" w:hint="default"/>
          <w:sz w:val="21"/>
          <w:szCs w:val="21"/>
        </w:rPr>
      </w:pPr>
    </w:p>
    <w:p>
      <w:pPr>
        <w:pStyle w:val="Heading4"/>
        <w:spacing w:line="240" w:lineRule="auto" w:before="36"/>
        <w:ind w:right="0"/>
        <w:jc w:val="left"/>
        <w:rPr>
          <w:b w:val="0"/>
          <w:bCs w:val="0"/>
        </w:rPr>
      </w:pPr>
      <w:bookmarkStart w:name="6、分部信息" w:id="523"/>
      <w:bookmarkEnd w:id="523"/>
      <w:r>
        <w:rPr>
          <w:b w:val="0"/>
          <w:bCs w:val="0"/>
        </w:rPr>
      </w:r>
      <w:r>
        <w:rPr>
          <w:rFonts w:ascii="Times New Roman" w:hAnsi="Times New Roman" w:cs="Times New Roman" w:eastAsia="Times New Roman" w:hint="default"/>
        </w:rPr>
        <w:t>6</w:t>
      </w:r>
      <w:r>
        <w:rPr/>
        <w:t>、分部信息</w:t>
      </w:r>
      <w:r>
        <w:rPr>
          <w:b w:val="0"/>
          <w:bCs w:val="0"/>
        </w:rPr>
      </w:r>
    </w:p>
    <w:p>
      <w:pPr>
        <w:spacing w:line="240" w:lineRule="auto" w:before="5"/>
        <w:rPr>
          <w:rFonts w:ascii="宋体" w:hAnsi="宋体" w:cs="宋体" w:eastAsia="宋体" w:hint="default"/>
          <w:b/>
          <w:bCs/>
          <w:sz w:val="24"/>
          <w:szCs w:val="24"/>
        </w:rPr>
      </w:pPr>
    </w:p>
    <w:p>
      <w:pPr>
        <w:pStyle w:val="Heading4"/>
        <w:spacing w:line="240" w:lineRule="auto"/>
        <w:ind w:right="0"/>
        <w:jc w:val="left"/>
        <w:rPr>
          <w:b w:val="0"/>
          <w:bCs w:val="0"/>
        </w:rPr>
      </w:pPr>
      <w:bookmarkStart w:name="（1）报告分部的确定依据与会计政策" w:id="524"/>
      <w:bookmarkEnd w:id="524"/>
      <w:r>
        <w:rPr>
          <w:b w:val="0"/>
          <w:bCs w:val="0"/>
        </w:rPr>
      </w:r>
      <w:r>
        <w:rPr/>
        <w:t>（</w:t>
      </w:r>
      <w:r>
        <w:rPr>
          <w:rFonts w:ascii="Times New Roman" w:hAnsi="Times New Roman" w:cs="Times New Roman" w:eastAsia="Times New Roman" w:hint="default"/>
        </w:rPr>
        <w:t>1</w:t>
      </w:r>
      <w:r>
        <w:rPr/>
        <w:t>）报告分部的确定依据与会计政策</w:t>
      </w:r>
      <w:r>
        <w:rPr>
          <w:b w:val="0"/>
          <w:bCs w:val="0"/>
        </w:rPr>
      </w:r>
    </w:p>
    <w:p>
      <w:pPr>
        <w:spacing w:line="240" w:lineRule="auto" w:before="10"/>
        <w:rPr>
          <w:rFonts w:ascii="宋体" w:hAnsi="宋体" w:cs="宋体" w:eastAsia="宋体" w:hint="default"/>
          <w:b/>
          <w:bCs/>
          <w:sz w:val="26"/>
          <w:szCs w:val="26"/>
        </w:rPr>
      </w:pPr>
    </w:p>
    <w:p>
      <w:pPr>
        <w:pStyle w:val="BodyText"/>
        <w:spacing w:line="240" w:lineRule="auto" w:before="0"/>
        <w:ind w:right="0"/>
        <w:jc w:val="left"/>
      </w:pPr>
      <w:r>
        <w:rPr/>
        <w:t>无。</w:t>
      </w:r>
    </w:p>
    <w:p>
      <w:pPr>
        <w:spacing w:line="240" w:lineRule="auto" w:before="0"/>
        <w:rPr>
          <w:rFonts w:ascii="宋体" w:hAnsi="宋体" w:cs="宋体" w:eastAsia="宋体" w:hint="default"/>
          <w:sz w:val="18"/>
          <w:szCs w:val="18"/>
        </w:rPr>
      </w:pPr>
    </w:p>
    <w:p>
      <w:pPr>
        <w:pStyle w:val="Heading4"/>
        <w:spacing w:line="240" w:lineRule="auto" w:before="118"/>
        <w:ind w:right="0"/>
        <w:jc w:val="left"/>
        <w:rPr>
          <w:b w:val="0"/>
          <w:bCs w:val="0"/>
        </w:rPr>
      </w:pPr>
      <w:bookmarkStart w:name="（2）报告分部的财务信息" w:id="525"/>
      <w:bookmarkEnd w:id="525"/>
      <w:r>
        <w:rPr>
          <w:b w:val="0"/>
          <w:bCs w:val="0"/>
        </w:rPr>
      </w:r>
      <w:r>
        <w:rPr/>
        <w:t>（</w:t>
      </w:r>
      <w:r>
        <w:rPr>
          <w:rFonts w:ascii="Times New Roman" w:hAnsi="Times New Roman" w:cs="Times New Roman" w:eastAsia="Times New Roman" w:hint="default"/>
        </w:rPr>
        <w:t>2</w:t>
      </w:r>
      <w:r>
        <w:rPr/>
        <w:t>）报告分部的财务信息</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391"/>
        <w:gridCol w:w="2396"/>
        <w:gridCol w:w="2391"/>
        <w:gridCol w:w="2391"/>
      </w:tblGrid>
      <w:tr>
        <w:trPr>
          <w:trHeight w:val="403"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39" w:right="0"/>
              <w:jc w:val="left"/>
              <w:rPr>
                <w:rFonts w:ascii="宋体" w:hAnsi="宋体" w:cs="宋体" w:eastAsia="宋体" w:hint="default"/>
                <w:sz w:val="18"/>
                <w:szCs w:val="18"/>
              </w:rPr>
            </w:pPr>
            <w:r>
              <w:rPr>
                <w:rFonts w:ascii="宋体" w:hAnsi="宋体" w:cs="宋体" w:eastAsia="宋体" w:hint="default"/>
                <w:sz w:val="18"/>
                <w:szCs w:val="18"/>
              </w:rPr>
              <w:t>分部间抵销</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合计</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3）公司无报告分部的，或者不能披露各报告分部的资产总额和负债总额的，应说明原因" w:id="526"/>
      <w:bookmarkEnd w:id="526"/>
      <w:r>
        <w:rPr>
          <w:b w:val="0"/>
          <w:bCs w:val="0"/>
        </w:rPr>
      </w:r>
      <w:r>
        <w:rPr/>
        <w:t>（</w:t>
      </w:r>
      <w:r>
        <w:rPr>
          <w:rFonts w:ascii="Times New Roman" w:hAnsi="Times New Roman" w:cs="Times New Roman" w:eastAsia="Times New Roman" w:hint="default"/>
        </w:rPr>
        <w:t>3</w:t>
      </w:r>
      <w:r>
        <w:rPr/>
        <w:t>）公司无报告分部的，或者不能披露各报告分部的资产总额和负债总额的，应说明原因</w:t>
      </w:r>
      <w:r>
        <w:rPr>
          <w:b w:val="0"/>
          <w:bCs w:val="0"/>
        </w:rPr>
      </w:r>
    </w:p>
    <w:p>
      <w:pPr>
        <w:spacing w:line="240" w:lineRule="auto" w:before="4"/>
        <w:rPr>
          <w:rFonts w:ascii="宋体" w:hAnsi="宋体" w:cs="宋体" w:eastAsia="宋体" w:hint="default"/>
          <w:b/>
          <w:bCs/>
          <w:sz w:val="26"/>
          <w:szCs w:val="26"/>
        </w:rPr>
      </w:pPr>
    </w:p>
    <w:p>
      <w:pPr>
        <w:pStyle w:val="BodyText"/>
        <w:spacing w:line="240" w:lineRule="auto" w:before="0"/>
        <w:ind w:right="0"/>
        <w:jc w:val="left"/>
      </w:pPr>
      <w:r>
        <w:rPr/>
        <w:t>无。</w:t>
      </w:r>
    </w:p>
    <w:p>
      <w:pPr>
        <w:spacing w:line="240" w:lineRule="auto" w:before="0"/>
        <w:rPr>
          <w:rFonts w:ascii="宋体" w:hAnsi="宋体" w:cs="宋体" w:eastAsia="宋体" w:hint="default"/>
          <w:sz w:val="18"/>
          <w:szCs w:val="18"/>
        </w:rPr>
      </w:pPr>
    </w:p>
    <w:p>
      <w:pPr>
        <w:pStyle w:val="Heading4"/>
        <w:spacing w:line="240" w:lineRule="auto" w:before="118"/>
        <w:ind w:right="0"/>
        <w:jc w:val="left"/>
        <w:rPr>
          <w:b w:val="0"/>
          <w:bCs w:val="0"/>
        </w:rPr>
      </w:pPr>
      <w:bookmarkStart w:name="（4）其他说明" w:id="527"/>
      <w:bookmarkEnd w:id="527"/>
      <w:r>
        <w:rPr>
          <w:b w:val="0"/>
          <w:bCs w:val="0"/>
        </w:rPr>
      </w:r>
      <w:r>
        <w:rPr/>
        <w:t>（</w:t>
      </w:r>
      <w:r>
        <w:rPr>
          <w:rFonts w:ascii="Times New Roman" w:hAnsi="Times New Roman" w:cs="Times New Roman" w:eastAsia="Times New Roman" w:hint="default"/>
        </w:rPr>
        <w:t>4</w:t>
      </w:r>
      <w:r>
        <w:rPr/>
        <w:t>）其他说明</w:t>
      </w:r>
      <w:r>
        <w:rPr>
          <w:b w:val="0"/>
          <w:bCs w:val="0"/>
        </w:rPr>
      </w:r>
    </w:p>
    <w:p>
      <w:pPr>
        <w:spacing w:line="240" w:lineRule="auto" w:before="9"/>
        <w:rPr>
          <w:rFonts w:ascii="宋体" w:hAnsi="宋体" w:cs="宋体" w:eastAsia="宋体" w:hint="default"/>
          <w:b/>
          <w:bCs/>
          <w:sz w:val="26"/>
          <w:szCs w:val="26"/>
        </w:rPr>
      </w:pPr>
    </w:p>
    <w:p>
      <w:pPr>
        <w:pStyle w:val="BodyText"/>
        <w:spacing w:line="240" w:lineRule="auto" w:before="0"/>
        <w:ind w:right="0"/>
        <w:jc w:val="left"/>
      </w:pPr>
      <w:r>
        <w:rPr/>
        <w:t>无。</w:t>
      </w:r>
    </w:p>
    <w:p>
      <w:pPr>
        <w:spacing w:line="240" w:lineRule="auto" w:before="0"/>
        <w:rPr>
          <w:rFonts w:ascii="宋体" w:hAnsi="宋体" w:cs="宋体" w:eastAsia="宋体" w:hint="default"/>
          <w:sz w:val="18"/>
          <w:szCs w:val="18"/>
        </w:rPr>
      </w:pPr>
    </w:p>
    <w:p>
      <w:pPr>
        <w:pStyle w:val="Heading4"/>
        <w:spacing w:line="240" w:lineRule="auto" w:before="118"/>
        <w:ind w:right="0"/>
        <w:jc w:val="left"/>
        <w:rPr>
          <w:b w:val="0"/>
          <w:bCs w:val="0"/>
        </w:rPr>
      </w:pPr>
      <w:bookmarkStart w:name="7、其他对投资者决策有影响的重要交易和事项" w:id="528"/>
      <w:bookmarkEnd w:id="528"/>
      <w:r>
        <w:rPr>
          <w:b w:val="0"/>
          <w:bCs w:val="0"/>
        </w:rPr>
      </w:r>
      <w:r>
        <w:rPr>
          <w:rFonts w:ascii="Times New Roman" w:hAnsi="Times New Roman" w:cs="Times New Roman" w:eastAsia="Times New Roman" w:hint="default"/>
        </w:rPr>
        <w:t>7</w:t>
      </w:r>
      <w:r>
        <w:rPr/>
        <w:t>、其他对投资者决策有影响的重要交易和事项</w:t>
      </w:r>
      <w:r>
        <w:rPr>
          <w:b w:val="0"/>
          <w:bCs w:val="0"/>
        </w:rPr>
      </w:r>
    </w:p>
    <w:p>
      <w:pPr>
        <w:spacing w:line="240" w:lineRule="auto" w:before="4"/>
        <w:rPr>
          <w:rFonts w:ascii="宋体" w:hAnsi="宋体" w:cs="宋体" w:eastAsia="宋体" w:hint="default"/>
          <w:b/>
          <w:bCs/>
          <w:sz w:val="26"/>
          <w:szCs w:val="26"/>
        </w:rPr>
      </w:pPr>
    </w:p>
    <w:p>
      <w:pPr>
        <w:pStyle w:val="BodyText"/>
        <w:spacing w:line="240" w:lineRule="auto" w:before="0"/>
        <w:ind w:right="0"/>
        <w:jc w:val="left"/>
      </w:pPr>
      <w:r>
        <w:rPr/>
        <w:t>无。</w:t>
      </w:r>
    </w:p>
    <w:p>
      <w:pPr>
        <w:spacing w:line="240" w:lineRule="auto" w:before="0"/>
        <w:rPr>
          <w:rFonts w:ascii="宋体" w:hAnsi="宋体" w:cs="宋体" w:eastAsia="宋体" w:hint="default"/>
          <w:sz w:val="18"/>
          <w:szCs w:val="18"/>
        </w:rPr>
      </w:pPr>
    </w:p>
    <w:p>
      <w:pPr>
        <w:pStyle w:val="Heading4"/>
        <w:spacing w:line="240" w:lineRule="auto" w:before="118"/>
        <w:ind w:right="0"/>
        <w:jc w:val="left"/>
        <w:rPr>
          <w:b w:val="0"/>
          <w:bCs w:val="0"/>
        </w:rPr>
      </w:pPr>
      <w:bookmarkStart w:name="8、其他" w:id="529"/>
      <w:bookmarkEnd w:id="529"/>
      <w:r>
        <w:rPr>
          <w:b w:val="0"/>
          <w:bCs w:val="0"/>
        </w:rPr>
      </w:r>
      <w:r>
        <w:rPr>
          <w:rFonts w:ascii="Times New Roman" w:hAnsi="Times New Roman" w:cs="Times New Roman" w:eastAsia="Times New Roman" w:hint="default"/>
        </w:rPr>
        <w:t>8</w:t>
      </w:r>
      <w:r>
        <w:rPr/>
        <w:t>、其他</w:t>
      </w:r>
      <w:r>
        <w:rPr>
          <w:b w:val="0"/>
          <w:bCs w:val="0"/>
        </w:rPr>
      </w:r>
    </w:p>
    <w:p>
      <w:pPr>
        <w:spacing w:line="240" w:lineRule="auto" w:before="5"/>
        <w:rPr>
          <w:rFonts w:ascii="宋体" w:hAnsi="宋体" w:cs="宋体" w:eastAsia="宋体" w:hint="default"/>
          <w:b/>
          <w:bCs/>
          <w:sz w:val="26"/>
          <w:szCs w:val="26"/>
        </w:rPr>
      </w:pPr>
    </w:p>
    <w:p>
      <w:pPr>
        <w:spacing w:line="316" w:lineRule="auto" w:before="0"/>
        <w:ind w:left="633" w:right="4900" w:firstLine="0"/>
        <w:jc w:val="left"/>
        <w:rPr>
          <w:rFonts w:ascii="宋体" w:hAnsi="宋体" w:cs="宋体" w:eastAsia="宋体" w:hint="default"/>
          <w:sz w:val="18"/>
          <w:szCs w:val="18"/>
        </w:rPr>
      </w:pPr>
      <w:r>
        <w:rPr>
          <w:rFonts w:ascii="宋体" w:hAnsi="宋体" w:cs="宋体" w:eastAsia="宋体" w:hint="default"/>
          <w:b/>
          <w:bCs/>
          <w:sz w:val="18"/>
          <w:szCs w:val="18"/>
        </w:rPr>
        <w:t>1</w:t>
      </w:r>
      <w:r>
        <w:rPr>
          <w:rFonts w:ascii="宋体" w:hAnsi="宋体" w:cs="宋体" w:eastAsia="宋体" w:hint="default"/>
          <w:b/>
          <w:bCs/>
          <w:sz w:val="18"/>
          <w:szCs w:val="18"/>
        </w:rPr>
        <w:t>、大股东股票质押情况</w:t>
      </w:r>
      <w:r>
        <w:rPr>
          <w:rFonts w:ascii="宋体" w:hAnsi="宋体" w:cs="宋体" w:eastAsia="宋体" w:hint="default"/>
          <w:b/>
          <w:bCs/>
          <w:spacing w:val="-89"/>
          <w:sz w:val="18"/>
          <w:szCs w:val="18"/>
        </w:rPr>
        <w:t> </w:t>
      </w:r>
      <w:r>
        <w:rPr>
          <w:rFonts w:ascii="宋体" w:hAnsi="宋体" w:cs="宋体" w:eastAsia="宋体" w:hint="default"/>
          <w:b/>
          <w:bCs/>
          <w:spacing w:val="-89"/>
          <w:sz w:val="18"/>
          <w:szCs w:val="18"/>
        </w:rPr>
      </w:r>
      <w:r>
        <w:rPr>
          <w:rFonts w:ascii="宋体" w:hAnsi="宋体" w:cs="宋体" w:eastAsia="宋体" w:hint="default"/>
          <w:spacing w:val="-3"/>
          <w:sz w:val="18"/>
          <w:szCs w:val="18"/>
        </w:rPr>
        <w:t>截至</w:t>
      </w:r>
      <w:r>
        <w:rPr>
          <w:rFonts w:ascii="宋体" w:hAnsi="宋体" w:cs="宋体" w:eastAsia="宋体" w:hint="default"/>
          <w:spacing w:val="-3"/>
          <w:sz w:val="18"/>
          <w:szCs w:val="18"/>
        </w:rPr>
        <w:t>2019</w:t>
      </w:r>
      <w:r>
        <w:rPr>
          <w:rFonts w:ascii="宋体" w:hAnsi="宋体" w:cs="宋体" w:eastAsia="宋体" w:hint="default"/>
          <w:spacing w:val="-3"/>
          <w:sz w:val="18"/>
          <w:szCs w:val="18"/>
        </w:rPr>
        <w:t>年</w:t>
      </w:r>
      <w:r>
        <w:rPr>
          <w:rFonts w:ascii="宋体" w:hAnsi="宋体" w:cs="宋体" w:eastAsia="宋体" w:hint="default"/>
          <w:spacing w:val="-3"/>
          <w:sz w:val="18"/>
          <w:szCs w:val="18"/>
        </w:rPr>
        <w:t>12</w:t>
      </w:r>
      <w:r>
        <w:rPr>
          <w:rFonts w:ascii="宋体" w:hAnsi="宋体" w:cs="宋体" w:eastAsia="宋体" w:hint="default"/>
          <w:spacing w:val="-3"/>
          <w:sz w:val="18"/>
          <w:szCs w:val="18"/>
        </w:rPr>
        <w:t>月</w:t>
      </w:r>
      <w:r>
        <w:rPr>
          <w:rFonts w:ascii="宋体" w:hAnsi="宋体" w:cs="宋体" w:eastAsia="宋体" w:hint="default"/>
          <w:spacing w:val="-3"/>
          <w:sz w:val="18"/>
          <w:szCs w:val="18"/>
        </w:rPr>
        <w:t>31</w:t>
      </w:r>
      <w:r>
        <w:rPr>
          <w:rFonts w:ascii="宋体" w:hAnsi="宋体" w:cs="宋体" w:eastAsia="宋体" w:hint="default"/>
          <w:spacing w:val="-3"/>
          <w:sz w:val="18"/>
          <w:szCs w:val="18"/>
        </w:rPr>
        <w:t>日，本公司的第一大股东吴涵渠股票质押情况：</w:t>
      </w:r>
    </w:p>
    <w:tbl>
      <w:tblPr>
        <w:tblW w:w="0" w:type="auto"/>
        <w:jc w:val="left"/>
        <w:tblInd w:w="124" w:type="dxa"/>
        <w:tblLayout w:type="fixed"/>
        <w:tblCellMar>
          <w:top w:w="0" w:type="dxa"/>
          <w:left w:w="0" w:type="dxa"/>
          <w:bottom w:w="0" w:type="dxa"/>
          <w:right w:w="0" w:type="dxa"/>
        </w:tblCellMar>
        <w:tblLook w:val="01E0"/>
      </w:tblPr>
      <w:tblGrid>
        <w:gridCol w:w="3224"/>
        <w:gridCol w:w="3217"/>
        <w:gridCol w:w="3215"/>
      </w:tblGrid>
      <w:tr>
        <w:trPr>
          <w:trHeight w:val="353" w:hRule="exact"/>
        </w:trPr>
        <w:tc>
          <w:tcPr>
            <w:tcW w:w="3224" w:type="dxa"/>
            <w:tcBorders>
              <w:top w:val="single" w:sz="12" w:space="0" w:color="000000"/>
              <w:left w:val="nil" w:sz="6" w:space="0" w:color="auto"/>
              <w:bottom w:val="single" w:sz="6" w:space="0" w:color="000000"/>
              <w:right w:val="single" w:sz="6" w:space="0" w:color="000000"/>
            </w:tcBorders>
          </w:tcPr>
          <w:p>
            <w:pPr>
              <w:pStyle w:val="TableParagraph"/>
              <w:spacing w:line="240" w:lineRule="auto" w:before="20"/>
              <w:ind w:left="24"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321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20"/>
              <w:ind w:left="883" w:right="0"/>
              <w:jc w:val="left"/>
              <w:rPr>
                <w:rFonts w:ascii="宋体" w:hAnsi="宋体" w:cs="宋体" w:eastAsia="宋体" w:hint="default"/>
                <w:sz w:val="18"/>
                <w:szCs w:val="18"/>
              </w:rPr>
            </w:pPr>
            <w:r>
              <w:rPr>
                <w:rFonts w:ascii="宋体" w:hAnsi="宋体" w:cs="宋体" w:eastAsia="宋体" w:hint="default"/>
                <w:sz w:val="18"/>
                <w:szCs w:val="18"/>
              </w:rPr>
              <w:t>报告期末持股数量</w:t>
            </w:r>
          </w:p>
        </w:tc>
        <w:tc>
          <w:tcPr>
            <w:tcW w:w="3215" w:type="dxa"/>
            <w:tcBorders>
              <w:top w:val="single" w:sz="12" w:space="0" w:color="000000"/>
              <w:left w:val="single" w:sz="6" w:space="0" w:color="000000"/>
              <w:bottom w:val="single" w:sz="6" w:space="0" w:color="000000"/>
              <w:right w:val="nil" w:sz="6" w:space="0" w:color="auto"/>
            </w:tcBorders>
          </w:tcPr>
          <w:p>
            <w:pPr>
              <w:pStyle w:val="TableParagraph"/>
              <w:spacing w:line="240" w:lineRule="auto" w:before="20"/>
              <w:ind w:right="2"/>
              <w:jc w:val="center"/>
              <w:rPr>
                <w:rFonts w:ascii="宋体" w:hAnsi="宋体" w:cs="宋体" w:eastAsia="宋体" w:hint="default"/>
                <w:sz w:val="18"/>
                <w:szCs w:val="18"/>
              </w:rPr>
            </w:pPr>
            <w:r>
              <w:rPr>
                <w:rFonts w:ascii="宋体" w:hAnsi="宋体" w:cs="宋体" w:eastAsia="宋体" w:hint="default"/>
                <w:sz w:val="18"/>
                <w:szCs w:val="18"/>
              </w:rPr>
              <w:t>质押情况</w:t>
            </w:r>
          </w:p>
        </w:tc>
      </w:tr>
      <w:tr>
        <w:trPr>
          <w:trHeight w:val="358" w:hRule="exact"/>
        </w:trPr>
        <w:tc>
          <w:tcPr>
            <w:tcW w:w="3224" w:type="dxa"/>
            <w:tcBorders>
              <w:top w:val="single" w:sz="6" w:space="0" w:color="000000"/>
              <w:left w:val="nil" w:sz="6" w:space="0" w:color="auto"/>
              <w:bottom w:val="single" w:sz="12" w:space="0" w:color="000000"/>
              <w:right w:val="single" w:sz="6" w:space="0" w:color="000000"/>
            </w:tcBorders>
          </w:tcPr>
          <w:p>
            <w:pPr>
              <w:pStyle w:val="TableParagraph"/>
              <w:spacing w:line="240" w:lineRule="auto" w:before="25"/>
              <w:ind w:left="23" w:right="0"/>
              <w:jc w:val="left"/>
              <w:rPr>
                <w:rFonts w:ascii="宋体" w:hAnsi="宋体" w:cs="宋体" w:eastAsia="宋体" w:hint="default"/>
                <w:sz w:val="18"/>
                <w:szCs w:val="18"/>
              </w:rPr>
            </w:pPr>
            <w:r>
              <w:rPr>
                <w:rFonts w:ascii="宋体" w:hAnsi="宋体" w:cs="宋体" w:eastAsia="宋体" w:hint="default"/>
                <w:sz w:val="18"/>
                <w:szCs w:val="18"/>
              </w:rPr>
              <w:t>吴涵渠</w:t>
            </w:r>
          </w:p>
        </w:tc>
        <w:tc>
          <w:tcPr>
            <w:tcW w:w="321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5"/>
              <w:ind w:right="-5"/>
              <w:jc w:val="right"/>
              <w:rPr>
                <w:rFonts w:ascii="宋体" w:hAnsi="宋体" w:cs="宋体" w:eastAsia="宋体" w:hint="default"/>
                <w:sz w:val="18"/>
                <w:szCs w:val="18"/>
              </w:rPr>
            </w:pPr>
            <w:r>
              <w:rPr>
                <w:rFonts w:ascii="宋体"/>
                <w:spacing w:val="-1"/>
                <w:sz w:val="18"/>
              </w:rPr>
              <w:t>171,156,663</w:t>
            </w:r>
          </w:p>
        </w:tc>
        <w:tc>
          <w:tcPr>
            <w:tcW w:w="3215" w:type="dxa"/>
            <w:tcBorders>
              <w:top w:val="single" w:sz="6" w:space="0" w:color="000000"/>
              <w:left w:val="single" w:sz="6" w:space="0" w:color="000000"/>
              <w:bottom w:val="single" w:sz="12" w:space="0" w:color="000000"/>
              <w:right w:val="nil" w:sz="6" w:space="0" w:color="auto"/>
            </w:tcBorders>
          </w:tcPr>
          <w:p>
            <w:pPr>
              <w:pStyle w:val="TableParagraph"/>
              <w:spacing w:line="240" w:lineRule="auto" w:before="25"/>
              <w:ind w:right="3"/>
              <w:jc w:val="right"/>
              <w:rPr>
                <w:rFonts w:ascii="宋体" w:hAnsi="宋体" w:cs="宋体" w:eastAsia="宋体" w:hint="default"/>
                <w:sz w:val="18"/>
                <w:szCs w:val="18"/>
              </w:rPr>
            </w:pPr>
            <w:r>
              <w:rPr>
                <w:rFonts w:ascii="宋体"/>
                <w:spacing w:val="-1"/>
                <w:sz w:val="18"/>
              </w:rPr>
              <w:t>18,886,000</w:t>
            </w:r>
          </w:p>
        </w:tc>
      </w:tr>
    </w:tbl>
    <w:p>
      <w:pPr>
        <w:spacing w:line="240" w:lineRule="auto" w:before="10"/>
        <w:rPr>
          <w:rFonts w:ascii="宋体" w:hAnsi="宋体" w:cs="宋体" w:eastAsia="宋体" w:hint="default"/>
          <w:sz w:val="21"/>
          <w:szCs w:val="21"/>
        </w:rPr>
      </w:pPr>
    </w:p>
    <w:p>
      <w:pPr>
        <w:pStyle w:val="Heading6"/>
        <w:spacing w:line="240" w:lineRule="auto" w:before="46"/>
        <w:ind w:left="633" w:right="0"/>
        <w:jc w:val="left"/>
        <w:rPr>
          <w:b w:val="0"/>
          <w:bCs w:val="0"/>
        </w:rPr>
      </w:pPr>
      <w:r>
        <w:rPr>
          <w:rFonts w:ascii="宋体" w:hAnsi="宋体" w:cs="宋体" w:eastAsia="宋体" w:hint="default"/>
        </w:rPr>
        <w:t>2</w:t>
      </w:r>
      <w:r>
        <w:rPr/>
        <w:t>、子公司千百辉与广州奥迪通用照明有限公司往来款事项</w:t>
      </w:r>
      <w:r>
        <w:rPr>
          <w:b w:val="0"/>
          <w:bCs w:val="0"/>
        </w:rPr>
      </w:r>
    </w:p>
    <w:p>
      <w:pPr>
        <w:pStyle w:val="BodyText"/>
        <w:spacing w:line="319" w:lineRule="auto" w:before="76"/>
        <w:ind w:right="1122" w:firstLine="480"/>
        <w:jc w:val="both"/>
      </w:pPr>
      <w:r>
        <w:rPr>
          <w:rFonts w:ascii="宋体" w:hAnsi="宋体" w:cs="宋体" w:eastAsia="宋体" w:hint="default"/>
          <w:spacing w:val="-3"/>
        </w:rPr>
        <w:t>2015</w:t>
      </w:r>
      <w:r>
        <w:rPr>
          <w:spacing w:val="-3"/>
        </w:rPr>
        <w:t>年</w:t>
      </w:r>
      <w:r>
        <w:rPr>
          <w:rFonts w:ascii="宋体" w:hAnsi="宋体" w:cs="宋体" w:eastAsia="宋体" w:hint="default"/>
          <w:spacing w:val="-3"/>
        </w:rPr>
        <w:t>12</w:t>
      </w:r>
      <w:r>
        <w:rPr>
          <w:spacing w:val="-3"/>
        </w:rPr>
        <w:t>月</w:t>
      </w:r>
      <w:r>
        <w:rPr>
          <w:rFonts w:ascii="宋体" w:hAnsi="宋体" w:cs="宋体" w:eastAsia="宋体" w:hint="default"/>
          <w:spacing w:val="-3"/>
        </w:rPr>
        <w:t>25</w:t>
      </w:r>
      <w:r>
        <w:rPr>
          <w:spacing w:val="-3"/>
        </w:rPr>
        <w:t>日，子公司千百辉与广州奥迪通用照明有限公司（下称“奥迪公司”）签订《借款合同》，约定公司向</w:t>
      </w:r>
      <w:r>
        <w:rPr>
          <w:w w:val="101"/>
        </w:rPr>
        <w:t> </w:t>
      </w:r>
      <w:r>
        <w:rPr>
          <w:spacing w:val="-4"/>
        </w:rPr>
        <w:t>奥迪公司出借人民币</w:t>
      </w:r>
      <w:r>
        <w:rPr>
          <w:rFonts w:ascii="宋体" w:hAnsi="宋体" w:cs="宋体" w:eastAsia="宋体" w:hint="default"/>
          <w:spacing w:val="-4"/>
        </w:rPr>
        <w:t>250</w:t>
      </w:r>
      <w:r>
        <w:rPr>
          <w:spacing w:val="-4"/>
        </w:rPr>
        <w:t>万元，借款期限由</w:t>
      </w:r>
      <w:r>
        <w:rPr>
          <w:rFonts w:ascii="宋体" w:hAnsi="宋体" w:cs="宋体" w:eastAsia="宋体" w:hint="default"/>
          <w:spacing w:val="-4"/>
        </w:rPr>
        <w:t>2016</w:t>
      </w:r>
      <w:r>
        <w:rPr>
          <w:spacing w:val="-4"/>
        </w:rPr>
        <w:t>年</w:t>
      </w:r>
      <w:r>
        <w:rPr>
          <w:rFonts w:ascii="宋体" w:hAnsi="宋体" w:cs="宋体" w:eastAsia="宋体" w:hint="default"/>
          <w:spacing w:val="-4"/>
        </w:rPr>
        <w:t>1</w:t>
      </w:r>
      <w:r>
        <w:rPr>
          <w:spacing w:val="-4"/>
        </w:rPr>
        <w:t>月</w:t>
      </w:r>
      <w:r>
        <w:rPr>
          <w:rFonts w:ascii="宋体" w:hAnsi="宋体" w:cs="宋体" w:eastAsia="宋体" w:hint="default"/>
          <w:spacing w:val="-4"/>
        </w:rPr>
        <w:t>4</w:t>
      </w:r>
      <w:r>
        <w:rPr>
          <w:spacing w:val="-4"/>
        </w:rPr>
        <w:t>日至</w:t>
      </w:r>
      <w:r>
        <w:rPr>
          <w:rFonts w:ascii="宋体" w:hAnsi="宋体" w:cs="宋体" w:eastAsia="宋体" w:hint="default"/>
          <w:spacing w:val="-4"/>
        </w:rPr>
        <w:t>2016</w:t>
      </w:r>
      <w:r>
        <w:rPr>
          <w:spacing w:val="-4"/>
        </w:rPr>
        <w:t>年</w:t>
      </w:r>
      <w:r>
        <w:rPr>
          <w:rFonts w:ascii="宋体" w:hAnsi="宋体" w:cs="宋体" w:eastAsia="宋体" w:hint="default"/>
          <w:spacing w:val="-4"/>
        </w:rPr>
        <w:t>6</w:t>
      </w:r>
      <w:r>
        <w:rPr>
          <w:spacing w:val="-4"/>
        </w:rPr>
        <w:t>月</w:t>
      </w:r>
      <w:r>
        <w:rPr>
          <w:rFonts w:ascii="宋体" w:hAnsi="宋体" w:cs="宋体" w:eastAsia="宋体" w:hint="default"/>
          <w:spacing w:val="-4"/>
        </w:rPr>
        <w:t>30</w:t>
      </w:r>
      <w:r>
        <w:rPr>
          <w:spacing w:val="-4"/>
        </w:rPr>
        <w:t>日，全期借款利息人民币</w:t>
      </w:r>
      <w:r>
        <w:rPr>
          <w:rFonts w:ascii="宋体" w:hAnsi="宋体" w:cs="宋体" w:eastAsia="宋体" w:hint="default"/>
          <w:spacing w:val="-4"/>
        </w:rPr>
        <w:t>25</w:t>
      </w:r>
      <w:r>
        <w:rPr>
          <w:spacing w:val="-4"/>
        </w:rPr>
        <w:t>万元；借款到期后未能偿</w:t>
      </w:r>
      <w:r>
        <w:rPr>
          <w:spacing w:val="79"/>
        </w:rPr>
        <w:t> </w:t>
      </w:r>
      <w:r>
        <w:rPr>
          <w:spacing w:val="79"/>
        </w:rPr>
      </w:r>
      <w:r>
        <w:rPr>
          <w:spacing w:val="-3"/>
        </w:rPr>
        <w:t>还的本金按每月</w:t>
      </w:r>
      <w:r>
        <w:rPr>
          <w:rFonts w:ascii="宋体" w:hAnsi="宋体" w:cs="宋体" w:eastAsia="宋体" w:hint="default"/>
          <w:spacing w:val="-3"/>
        </w:rPr>
        <w:t>2%</w:t>
      </w:r>
      <w:r>
        <w:rPr>
          <w:spacing w:val="-3"/>
        </w:rPr>
        <w:t>计收利息。</w:t>
      </w:r>
      <w:r>
        <w:rPr>
          <w:rFonts w:ascii="宋体" w:hAnsi="宋体" w:cs="宋体" w:eastAsia="宋体" w:hint="default"/>
          <w:spacing w:val="-3"/>
        </w:rPr>
        <w:t>2016</w:t>
      </w:r>
      <w:r>
        <w:rPr>
          <w:spacing w:val="-3"/>
        </w:rPr>
        <w:t>年</w:t>
      </w:r>
      <w:r>
        <w:rPr>
          <w:rFonts w:ascii="宋体" w:hAnsi="宋体" w:cs="宋体" w:eastAsia="宋体" w:hint="default"/>
          <w:spacing w:val="-3"/>
        </w:rPr>
        <w:t>1</w:t>
      </w:r>
      <w:r>
        <w:rPr>
          <w:spacing w:val="-3"/>
        </w:rPr>
        <w:t>月</w:t>
      </w:r>
      <w:r>
        <w:rPr>
          <w:rFonts w:ascii="宋体" w:hAnsi="宋体" w:cs="宋体" w:eastAsia="宋体" w:hint="default"/>
          <w:spacing w:val="-3"/>
        </w:rPr>
        <w:t>4</w:t>
      </w:r>
      <w:r>
        <w:rPr>
          <w:spacing w:val="-3"/>
        </w:rPr>
        <w:t>日，公司按照约定将人民币</w:t>
      </w:r>
      <w:r>
        <w:rPr>
          <w:rFonts w:ascii="宋体" w:hAnsi="宋体" w:cs="宋体" w:eastAsia="宋体" w:hint="default"/>
          <w:spacing w:val="-3"/>
        </w:rPr>
        <w:t>250</w:t>
      </w:r>
      <w:r>
        <w:rPr>
          <w:spacing w:val="-3"/>
        </w:rPr>
        <w:t>万元借款转到奥迪公司账上。借款到期后奥迪公司</w:t>
      </w:r>
      <w:r>
        <w:rPr>
          <w:spacing w:val="3"/>
        </w:rPr>
        <w:t> </w:t>
      </w:r>
      <w:r>
        <w:rPr>
          <w:spacing w:val="3"/>
        </w:rPr>
      </w:r>
      <w:r>
        <w:rPr>
          <w:spacing w:val="-4"/>
        </w:rPr>
        <w:t>未按约定返还借款，公司于</w:t>
      </w:r>
      <w:r>
        <w:rPr>
          <w:rFonts w:ascii="宋体" w:hAnsi="宋体" w:cs="宋体" w:eastAsia="宋体" w:hint="default"/>
          <w:spacing w:val="-4"/>
        </w:rPr>
        <w:t>2016</w:t>
      </w:r>
      <w:r>
        <w:rPr>
          <w:spacing w:val="-4"/>
        </w:rPr>
        <w:t>年</w:t>
      </w:r>
      <w:r>
        <w:rPr>
          <w:rFonts w:ascii="宋体" w:hAnsi="宋体" w:cs="宋体" w:eastAsia="宋体" w:hint="default"/>
          <w:spacing w:val="-4"/>
        </w:rPr>
        <w:t>8</w:t>
      </w:r>
      <w:r>
        <w:rPr>
          <w:spacing w:val="-4"/>
        </w:rPr>
        <w:t>月</w:t>
      </w:r>
      <w:r>
        <w:rPr>
          <w:rFonts w:ascii="宋体" w:hAnsi="宋体" w:cs="宋体" w:eastAsia="宋体" w:hint="default"/>
          <w:spacing w:val="-4"/>
        </w:rPr>
        <w:t>16</w:t>
      </w:r>
      <w:r>
        <w:rPr>
          <w:spacing w:val="-4"/>
        </w:rPr>
        <w:t>日向奥迪公司发出催款函，要求其返还本金及利息共</w:t>
      </w:r>
      <w:r>
        <w:rPr>
          <w:rFonts w:ascii="宋体" w:hAnsi="宋体" w:cs="宋体" w:eastAsia="宋体" w:hint="default"/>
          <w:spacing w:val="-4"/>
        </w:rPr>
        <w:t>275</w:t>
      </w:r>
      <w:r>
        <w:rPr>
          <w:spacing w:val="-4"/>
        </w:rPr>
        <w:t>万元以及逾期利息。奥迪公</w:t>
      </w:r>
      <w:r>
        <w:rPr>
          <w:spacing w:val="61"/>
        </w:rPr>
        <w:t> </w:t>
      </w:r>
      <w:r>
        <w:rPr>
          <w:spacing w:val="61"/>
        </w:rPr>
      </w:r>
      <w:r>
        <w:rPr>
          <w:spacing w:val="-3"/>
        </w:rPr>
        <w:t>司收到催款函后仍一直没有履行还款义务。</w:t>
      </w:r>
    </w:p>
    <w:p>
      <w:pPr>
        <w:pStyle w:val="BodyText"/>
        <w:spacing w:line="316" w:lineRule="auto" w:before="17"/>
        <w:ind w:right="1122" w:firstLine="480"/>
        <w:jc w:val="both"/>
      </w:pPr>
      <w:r>
        <w:rPr>
          <w:spacing w:val="-3"/>
        </w:rPr>
        <w:t>公司已委托广东公诚律师事务所王卫刚律师向华南国际经济贸易委员会申请仲裁，仲裁委员会已受理该案件，并定于</w:t>
      </w:r>
      <w:r>
        <w:rPr>
          <w:w w:val="101"/>
        </w:rPr>
        <w:t> </w:t>
      </w:r>
      <w:r>
        <w:rPr>
          <w:rFonts w:ascii="宋体" w:hAnsi="宋体" w:cs="宋体" w:eastAsia="宋体" w:hint="default"/>
          <w:spacing w:val="-4"/>
        </w:rPr>
        <w:t>2017</w:t>
      </w:r>
      <w:r>
        <w:rPr>
          <w:spacing w:val="-4"/>
        </w:rPr>
        <w:t>年</w:t>
      </w:r>
      <w:r>
        <w:rPr>
          <w:rFonts w:ascii="宋体" w:hAnsi="宋体" w:cs="宋体" w:eastAsia="宋体" w:hint="default"/>
          <w:spacing w:val="-4"/>
        </w:rPr>
        <w:t>4</w:t>
      </w:r>
      <w:r>
        <w:rPr>
          <w:spacing w:val="-4"/>
        </w:rPr>
        <w:t>月开庭审理。</w:t>
      </w:r>
      <w:r>
        <w:rPr>
          <w:rFonts w:ascii="宋体" w:hAnsi="宋体" w:cs="宋体" w:eastAsia="宋体" w:hint="default"/>
          <w:spacing w:val="-4"/>
        </w:rPr>
        <w:t>2017</w:t>
      </w:r>
      <w:r>
        <w:rPr>
          <w:spacing w:val="-4"/>
        </w:rPr>
        <w:t>年</w:t>
      </w:r>
      <w:r>
        <w:rPr>
          <w:rFonts w:ascii="宋体" w:hAnsi="宋体" w:cs="宋体" w:eastAsia="宋体" w:hint="default"/>
          <w:spacing w:val="-4"/>
        </w:rPr>
        <w:t>8</w:t>
      </w:r>
      <w:r>
        <w:rPr>
          <w:spacing w:val="-4"/>
        </w:rPr>
        <w:t>月</w:t>
      </w:r>
      <w:r>
        <w:rPr>
          <w:rFonts w:ascii="宋体" w:hAnsi="宋体" w:cs="宋体" w:eastAsia="宋体" w:hint="default"/>
          <w:spacing w:val="-4"/>
        </w:rPr>
        <w:t>24</w:t>
      </w:r>
      <w:r>
        <w:rPr>
          <w:spacing w:val="-4"/>
        </w:rPr>
        <w:t>日，华南国际经济贸易委员会作出终局裁决（文号：华南国仲深裁</w:t>
      </w:r>
      <w:r>
        <w:rPr>
          <w:rFonts w:ascii="宋体" w:hAnsi="宋体" w:cs="宋体" w:eastAsia="宋体" w:hint="default"/>
          <w:spacing w:val="-4"/>
        </w:rPr>
        <w:t>[2017]D392</w:t>
      </w:r>
      <w:r>
        <w:rPr>
          <w:spacing w:val="-4"/>
        </w:rPr>
        <w:t>）：奥迪公</w:t>
      </w:r>
      <w:r>
        <w:rPr>
          <w:spacing w:val="-1"/>
        </w:rPr>
        <w:t> </w:t>
      </w:r>
      <w:r>
        <w:rPr>
          <w:spacing w:val="-1"/>
        </w:rPr>
        <w:t>司偿还千百辉公司借款本金人民币</w:t>
      </w:r>
      <w:r>
        <w:rPr>
          <w:rFonts w:ascii="宋体" w:hAnsi="宋体" w:cs="宋体" w:eastAsia="宋体" w:hint="default"/>
          <w:spacing w:val="-1"/>
        </w:rPr>
        <w:t>250</w:t>
      </w:r>
      <w:r>
        <w:rPr>
          <w:spacing w:val="-1"/>
        </w:rPr>
        <w:t>万元及利息人民币</w:t>
      </w:r>
      <w:r>
        <w:rPr>
          <w:rFonts w:ascii="宋体" w:hAnsi="宋体" w:cs="宋体" w:eastAsia="宋体" w:hint="default"/>
          <w:spacing w:val="-1"/>
        </w:rPr>
        <w:t>25</w:t>
      </w:r>
      <w:r>
        <w:rPr>
          <w:spacing w:val="-1"/>
        </w:rPr>
        <w:t>万元，偿还自</w:t>
      </w:r>
      <w:r>
        <w:rPr>
          <w:rFonts w:ascii="宋体" w:hAnsi="宋体" w:cs="宋体" w:eastAsia="宋体" w:hint="default"/>
          <w:spacing w:val="-1"/>
        </w:rPr>
        <w:t>2016</w:t>
      </w:r>
      <w:r>
        <w:rPr>
          <w:spacing w:val="-1"/>
        </w:rPr>
        <w:t>年</w:t>
      </w:r>
      <w:r>
        <w:rPr>
          <w:rFonts w:ascii="宋体" w:hAnsi="宋体" w:cs="宋体" w:eastAsia="宋体" w:hint="default"/>
          <w:spacing w:val="-1"/>
        </w:rPr>
        <w:t>7</w:t>
      </w:r>
      <w:r>
        <w:rPr>
          <w:spacing w:val="-1"/>
        </w:rPr>
        <w:t>月</w:t>
      </w:r>
      <w:r>
        <w:rPr>
          <w:rFonts w:ascii="宋体" w:hAnsi="宋体" w:cs="宋体" w:eastAsia="宋体" w:hint="default"/>
          <w:spacing w:val="-1"/>
        </w:rPr>
        <w:t>1</w:t>
      </w:r>
      <w:r>
        <w:rPr>
          <w:spacing w:val="-1"/>
        </w:rPr>
        <w:t>日起以人民币</w:t>
      </w:r>
      <w:r>
        <w:rPr>
          <w:rFonts w:ascii="宋体" w:hAnsi="宋体" w:cs="宋体" w:eastAsia="宋体" w:hint="default"/>
          <w:spacing w:val="-1"/>
        </w:rPr>
        <w:t>250</w:t>
      </w:r>
      <w:r>
        <w:rPr>
          <w:spacing w:val="-1"/>
        </w:rPr>
        <w:t>万元为基数按年利率</w:t>
      </w:r>
      <w:r>
        <w:rPr>
          <w:spacing w:val="71"/>
        </w:rPr>
        <w:t> </w:t>
      </w:r>
      <w:r>
        <w:rPr>
          <w:spacing w:val="71"/>
        </w:rPr>
      </w:r>
      <w:r>
        <w:rPr>
          <w:rFonts w:ascii="宋体" w:hAnsi="宋体" w:cs="宋体" w:eastAsia="宋体" w:hint="default"/>
          <w:spacing w:val="-1"/>
        </w:rPr>
        <w:t>24%</w:t>
      </w:r>
      <w:r>
        <w:rPr>
          <w:spacing w:val="-1"/>
        </w:rPr>
        <w:t>计至借款全部还清之日止的逾期利息和违约金。</w:t>
      </w:r>
      <w:r>
        <w:rPr>
          <w:rFonts w:ascii="宋体" w:hAnsi="宋体" w:cs="宋体" w:eastAsia="宋体" w:hint="default"/>
          <w:spacing w:val="-1"/>
        </w:rPr>
        <w:t>2018</w:t>
      </w:r>
      <w:r>
        <w:rPr>
          <w:spacing w:val="-1"/>
        </w:rPr>
        <w:t>年</w:t>
      </w:r>
      <w:r>
        <w:rPr>
          <w:rFonts w:ascii="宋体" w:hAnsi="宋体" w:cs="宋体" w:eastAsia="宋体" w:hint="default"/>
          <w:spacing w:val="-1"/>
        </w:rPr>
        <w:t>4</w:t>
      </w:r>
      <w:r>
        <w:rPr>
          <w:spacing w:val="-1"/>
        </w:rPr>
        <w:t>月</w:t>
      </w:r>
      <w:r>
        <w:rPr>
          <w:rFonts w:ascii="宋体" w:hAnsi="宋体" w:cs="宋体" w:eastAsia="宋体" w:hint="default"/>
          <w:spacing w:val="-1"/>
        </w:rPr>
        <w:t>16</w:t>
      </w:r>
      <w:r>
        <w:rPr>
          <w:spacing w:val="-1"/>
        </w:rPr>
        <w:t>日广州市白云区人民法院作出执行裁定书（</w:t>
      </w:r>
      <w:r>
        <w:rPr>
          <w:rFonts w:ascii="宋体" w:hAnsi="宋体" w:cs="宋体" w:eastAsia="宋体" w:hint="default"/>
          <w:spacing w:val="-1"/>
        </w:rPr>
        <w:t>2017</w:t>
      </w:r>
      <w:r>
        <w:rPr>
          <w:spacing w:val="-1"/>
        </w:rPr>
        <w:t>）粤</w:t>
      </w:r>
      <w:r>
        <w:rPr>
          <w:rFonts w:ascii="宋体" w:hAnsi="宋体" w:cs="宋体" w:eastAsia="宋体" w:hint="default"/>
          <w:spacing w:val="-1"/>
        </w:rPr>
        <w:t>0111</w:t>
      </w:r>
      <w:r>
        <w:rPr>
          <w:rFonts w:ascii="宋体" w:hAnsi="宋体" w:cs="宋体" w:eastAsia="宋体" w:hint="default"/>
          <w:spacing w:val="69"/>
        </w:rPr>
        <w:t> </w:t>
      </w:r>
      <w:r>
        <w:rPr>
          <w:rFonts w:ascii="宋体" w:hAnsi="宋体" w:cs="宋体" w:eastAsia="宋体" w:hint="default"/>
          <w:spacing w:val="69"/>
        </w:rPr>
      </w:r>
      <w:r>
        <w:rPr>
          <w:spacing w:val="-3"/>
        </w:rPr>
        <w:t>执</w:t>
      </w:r>
      <w:r>
        <w:rPr>
          <w:rFonts w:ascii="宋体" w:hAnsi="宋体" w:cs="宋体" w:eastAsia="宋体" w:hint="default"/>
          <w:spacing w:val="-3"/>
        </w:rPr>
        <w:t>9129</w:t>
      </w:r>
      <w:r>
        <w:rPr>
          <w:spacing w:val="-3"/>
        </w:rPr>
        <w:t>号，裁定千百辉公司发现奥迪公司有可供执行财产的，可以再次申请执行。截止报告日，公司尚未收到以上款项。</w:t>
      </w:r>
    </w:p>
    <w:p>
      <w:pPr>
        <w:spacing w:after="0" w:line="316" w:lineRule="auto"/>
        <w:jc w:val="both"/>
        <w:sectPr>
          <w:pgSz w:w="11910" w:h="16840"/>
          <w:pgMar w:header="784" w:footer="1022" w:top="1100" w:bottom="1220" w:left="980" w:right="0"/>
        </w:sectPr>
      </w:pPr>
    </w:p>
    <w:p>
      <w:pPr>
        <w:spacing w:line="240" w:lineRule="auto" w:before="6"/>
        <w:rPr>
          <w:rFonts w:ascii="宋体" w:hAnsi="宋体" w:cs="宋体" w:eastAsia="宋体" w:hint="default"/>
          <w:sz w:val="20"/>
          <w:szCs w:val="20"/>
        </w:rPr>
      </w:pPr>
    </w:p>
    <w:p>
      <w:pPr>
        <w:pStyle w:val="Heading2"/>
        <w:spacing w:line="240" w:lineRule="auto" w:before="26"/>
        <w:ind w:right="0"/>
        <w:jc w:val="left"/>
        <w:rPr>
          <w:b w:val="0"/>
          <w:bCs w:val="0"/>
        </w:rPr>
      </w:pPr>
      <w:bookmarkStart w:name="十七、母公司财务报表主要项目注释" w:id="530"/>
      <w:bookmarkEnd w:id="530"/>
      <w:r>
        <w:rPr>
          <w:b w:val="0"/>
          <w:bCs w:val="0"/>
        </w:rPr>
      </w:r>
      <w:r>
        <w:rPr/>
        <w:t>十七、母公司财务报表主要项目注释</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0"/>
        <w:jc w:val="left"/>
        <w:rPr>
          <w:b w:val="0"/>
          <w:bCs w:val="0"/>
        </w:rPr>
      </w:pPr>
      <w:bookmarkStart w:name="1、应收账款" w:id="531"/>
      <w:bookmarkEnd w:id="531"/>
      <w:r>
        <w:rPr>
          <w:b w:val="0"/>
          <w:bCs w:val="0"/>
        </w:rPr>
      </w:r>
      <w:r>
        <w:rPr>
          <w:rFonts w:ascii="Times New Roman" w:hAnsi="Times New Roman" w:cs="Times New Roman" w:eastAsia="Times New Roman" w:hint="default"/>
        </w:rPr>
        <w:t>1</w:t>
      </w:r>
      <w:r>
        <w:rPr/>
        <w:t>、应收账款</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0"/>
        <w:jc w:val="left"/>
        <w:rPr>
          <w:b w:val="0"/>
          <w:bCs w:val="0"/>
        </w:rPr>
      </w:pPr>
      <w:bookmarkStart w:name="（1）应收账款分类披露" w:id="532"/>
      <w:bookmarkEnd w:id="532"/>
      <w:r>
        <w:rPr>
          <w:b w:val="0"/>
          <w:bCs w:val="0"/>
        </w:rPr>
      </w:r>
      <w:r>
        <w:rPr/>
        <w:t>（</w:t>
      </w:r>
      <w:r>
        <w:rPr>
          <w:rFonts w:ascii="Times New Roman" w:hAnsi="Times New Roman" w:cs="Times New Roman" w:eastAsia="Times New Roman" w:hint="default"/>
        </w:rPr>
        <w:t>1</w:t>
      </w:r>
      <w:r>
        <w:rPr/>
        <w:t>）应收账款分类披露</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637"/>
        <w:gridCol w:w="764"/>
        <w:gridCol w:w="758"/>
        <w:gridCol w:w="764"/>
        <w:gridCol w:w="764"/>
        <w:gridCol w:w="787"/>
        <w:gridCol w:w="778"/>
        <w:gridCol w:w="797"/>
        <w:gridCol w:w="797"/>
        <w:gridCol w:w="792"/>
        <w:gridCol w:w="931"/>
      </w:tblGrid>
      <w:tr>
        <w:trPr>
          <w:trHeight w:val="394" w:hRule="exact"/>
        </w:trPr>
        <w:tc>
          <w:tcPr>
            <w:tcW w:w="163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0"/>
              <w:ind w:left="4"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3837"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6"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8" w:hRule="exact"/>
        </w:trPr>
        <w:tc>
          <w:tcPr>
            <w:tcW w:w="1637" w:type="dxa"/>
            <w:vMerge/>
            <w:tcBorders>
              <w:left w:val="single" w:sz="4" w:space="0" w:color="000000"/>
              <w:right w:val="single" w:sz="4" w:space="0" w:color="000000"/>
            </w:tcBorders>
            <w:shd w:val="clear" w:color="auto" w:fill="D2D2D2"/>
          </w:tcPr>
          <w:p>
            <w:pPr/>
          </w:p>
        </w:tc>
        <w:tc>
          <w:tcPr>
            <w:tcW w:w="152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9"/>
              <w:ind w:left="39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9"/>
              <w:ind w:left="39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8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9"/>
                <w:szCs w:val="19"/>
              </w:rPr>
            </w:pPr>
          </w:p>
          <w:p>
            <w:pPr>
              <w:pStyle w:val="TableParagraph"/>
              <w:spacing w:line="321" w:lineRule="auto"/>
              <w:ind w:left="302" w:right="113" w:hanging="183"/>
              <w:jc w:val="left"/>
              <w:rPr>
                <w:rFonts w:ascii="宋体" w:hAnsi="宋体" w:cs="宋体" w:eastAsia="宋体" w:hint="default"/>
                <w:sz w:val="18"/>
                <w:szCs w:val="18"/>
              </w:rPr>
            </w:pPr>
            <w:r>
              <w:rPr>
                <w:rFonts w:ascii="宋体" w:hAnsi="宋体" w:cs="宋体" w:eastAsia="宋体" w:hint="default"/>
                <w:sz w:val="18"/>
                <w:szCs w:val="18"/>
              </w:rPr>
              <w:t>账面价</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值</w:t>
            </w:r>
          </w:p>
        </w:tc>
        <w:tc>
          <w:tcPr>
            <w:tcW w:w="157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9"/>
              <w:ind w:left="42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9"/>
              <w:ind w:left="43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9"/>
                <w:szCs w:val="19"/>
              </w:rPr>
            </w:pPr>
          </w:p>
          <w:p>
            <w:pPr>
              <w:pStyle w:val="TableParagraph"/>
              <w:spacing w:line="321" w:lineRule="auto"/>
              <w:ind w:left="374" w:right="185" w:hanging="183"/>
              <w:jc w:val="left"/>
              <w:rPr>
                <w:rFonts w:ascii="宋体" w:hAnsi="宋体" w:cs="宋体" w:eastAsia="宋体" w:hint="default"/>
                <w:sz w:val="18"/>
                <w:szCs w:val="18"/>
              </w:rPr>
            </w:pPr>
            <w:r>
              <w:rPr>
                <w:rFonts w:ascii="宋体" w:hAnsi="宋体" w:cs="宋体" w:eastAsia="宋体" w:hint="default"/>
                <w:sz w:val="18"/>
                <w:szCs w:val="18"/>
              </w:rPr>
              <w:t>账面价</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值</w:t>
            </w:r>
          </w:p>
        </w:tc>
      </w:tr>
      <w:tr>
        <w:trPr>
          <w:trHeight w:val="720" w:hRule="exact"/>
        </w:trPr>
        <w:tc>
          <w:tcPr>
            <w:tcW w:w="1637" w:type="dxa"/>
            <w:vMerge/>
            <w:tcBorders>
              <w:left w:val="single" w:sz="4" w:space="0" w:color="000000"/>
              <w:bottom w:val="single" w:sz="4" w:space="0" w:color="000000"/>
              <w:right w:val="single" w:sz="4" w:space="0" w:color="000000"/>
            </w:tcBorders>
            <w:shd w:val="clear" w:color="auto" w:fill="D2D2D2"/>
          </w:tcPr>
          <w:p>
            <w:pPr/>
          </w:p>
        </w:tc>
        <w:tc>
          <w:tcPr>
            <w:tcW w:w="7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9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92"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97"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287" w:right="99" w:hanging="178"/>
              <w:jc w:val="left"/>
              <w:rPr>
                <w:rFonts w:ascii="宋体" w:hAnsi="宋体" w:cs="宋体" w:eastAsia="宋体" w:hint="default"/>
                <w:sz w:val="18"/>
                <w:szCs w:val="18"/>
              </w:rPr>
            </w:pPr>
            <w:r>
              <w:rPr>
                <w:rFonts w:ascii="宋体" w:hAnsi="宋体" w:cs="宋体" w:eastAsia="宋体" w:hint="default"/>
                <w:sz w:val="18"/>
                <w:szCs w:val="18"/>
              </w:rPr>
              <w:t>计提比</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例</w:t>
            </w:r>
          </w:p>
        </w:tc>
        <w:tc>
          <w:tcPr>
            <w:tcW w:w="787" w:type="dxa"/>
            <w:vMerge/>
            <w:tcBorders>
              <w:left w:val="single" w:sz="4" w:space="0" w:color="000000"/>
              <w:bottom w:val="single" w:sz="4" w:space="0" w:color="000000"/>
              <w:right w:val="single" w:sz="4" w:space="0" w:color="000000"/>
            </w:tcBorders>
            <w:shd w:val="clear" w:color="auto" w:fill="D2D2D2"/>
          </w:tcPr>
          <w:p>
            <w:pPr/>
          </w:p>
        </w:tc>
        <w:tc>
          <w:tcPr>
            <w:tcW w:w="7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20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比例</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21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302" w:right="113" w:hanging="178"/>
              <w:jc w:val="left"/>
              <w:rPr>
                <w:rFonts w:ascii="宋体" w:hAnsi="宋体" w:cs="宋体" w:eastAsia="宋体" w:hint="default"/>
                <w:sz w:val="18"/>
                <w:szCs w:val="18"/>
              </w:rPr>
            </w:pPr>
            <w:r>
              <w:rPr>
                <w:rFonts w:ascii="宋体" w:hAnsi="宋体" w:cs="宋体" w:eastAsia="宋体" w:hint="default"/>
                <w:sz w:val="18"/>
                <w:szCs w:val="18"/>
              </w:rPr>
              <w:t>计提比</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例</w:t>
            </w:r>
          </w:p>
        </w:tc>
        <w:tc>
          <w:tcPr>
            <w:tcW w:w="931" w:type="dxa"/>
            <w:vMerge/>
            <w:tcBorders>
              <w:left w:val="single" w:sz="4" w:space="0" w:color="000000"/>
              <w:bottom w:val="single" w:sz="4" w:space="0" w:color="000000"/>
              <w:right w:val="single" w:sz="4" w:space="0" w:color="000000"/>
            </w:tcBorders>
            <w:shd w:val="clear" w:color="auto" w:fill="D2D2D2"/>
          </w:tcPr>
          <w:p>
            <w:pPr/>
          </w:p>
        </w:tc>
      </w:tr>
      <w:tr>
        <w:trPr>
          <w:trHeight w:val="398" w:hRule="exact"/>
        </w:trPr>
        <w:tc>
          <w:tcPr>
            <w:tcW w:w="1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76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5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8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7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93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1023" w:hRule="exact"/>
        </w:trPr>
        <w:tc>
          <w:tcPr>
            <w:tcW w:w="1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21" w:lineRule="auto"/>
              <w:ind w:left="105" w:right="257"/>
              <w:jc w:val="left"/>
              <w:rPr>
                <w:rFonts w:ascii="宋体" w:hAnsi="宋体" w:cs="宋体" w:eastAsia="宋体" w:hint="default"/>
                <w:sz w:val="18"/>
                <w:szCs w:val="18"/>
              </w:rPr>
            </w:pPr>
            <w:r>
              <w:rPr>
                <w:rFonts w:ascii="宋体" w:hAnsi="宋体" w:cs="宋体" w:eastAsia="宋体" w:hint="default"/>
                <w:spacing w:val="-3"/>
                <w:sz w:val="18"/>
                <w:szCs w:val="18"/>
              </w:rPr>
              <w:t>按组合计提坏账</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3"/>
                <w:sz w:val="18"/>
                <w:szCs w:val="18"/>
              </w:rPr>
              <w:t>准备的应收账款</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292,28</w:t>
            </w:r>
          </w:p>
          <w:p>
            <w:pPr>
              <w:pStyle w:val="TableParagraph"/>
              <w:spacing w:line="240" w:lineRule="auto" w:before="101"/>
              <w:ind w:right="99"/>
              <w:jc w:val="right"/>
              <w:rPr>
                <w:rFonts w:ascii="Times New Roman" w:hAnsi="Times New Roman" w:cs="Times New Roman" w:eastAsia="Times New Roman" w:hint="default"/>
                <w:sz w:val="18"/>
                <w:szCs w:val="18"/>
              </w:rPr>
            </w:pPr>
            <w:r>
              <w:rPr>
                <w:rFonts w:ascii="Times New Roman"/>
                <w:spacing w:val="-1"/>
                <w:sz w:val="18"/>
              </w:rPr>
              <w:t>4,953.5</w:t>
            </w:r>
          </w:p>
          <w:p>
            <w:pPr>
              <w:pStyle w:val="TableParagraph"/>
              <w:spacing w:line="240" w:lineRule="auto" w:before="110"/>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153"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10"/>
              <w:ind w:left="499" w:right="0"/>
              <w:jc w:val="lef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115" w:right="0"/>
              <w:jc w:val="left"/>
              <w:rPr>
                <w:rFonts w:ascii="Times New Roman" w:hAnsi="Times New Roman" w:cs="Times New Roman" w:eastAsia="Times New Roman" w:hint="default"/>
                <w:sz w:val="18"/>
                <w:szCs w:val="18"/>
              </w:rPr>
            </w:pPr>
            <w:r>
              <w:rPr>
                <w:rFonts w:ascii="Times New Roman"/>
                <w:sz w:val="18"/>
              </w:rPr>
              <w:t>15,267,</w:t>
            </w:r>
          </w:p>
          <w:p>
            <w:pPr>
              <w:pStyle w:val="TableParagraph"/>
              <w:spacing w:line="240" w:lineRule="auto" w:before="110"/>
              <w:ind w:left="158" w:right="0"/>
              <w:jc w:val="left"/>
              <w:rPr>
                <w:rFonts w:ascii="Times New Roman" w:hAnsi="Times New Roman" w:cs="Times New Roman" w:eastAsia="Times New Roman" w:hint="default"/>
                <w:sz w:val="18"/>
                <w:szCs w:val="18"/>
              </w:rPr>
            </w:pPr>
            <w:r>
              <w:rPr>
                <w:rFonts w:ascii="Times New Roman"/>
                <w:sz w:val="18"/>
              </w:rPr>
              <w:t>800.39</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5.22%</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3"/>
              <w:jc w:val="right"/>
              <w:rPr>
                <w:rFonts w:ascii="Times New Roman" w:hAnsi="Times New Roman" w:cs="Times New Roman" w:eastAsia="Times New Roman" w:hint="default"/>
                <w:sz w:val="18"/>
                <w:szCs w:val="18"/>
              </w:rPr>
            </w:pPr>
            <w:r>
              <w:rPr>
                <w:rFonts w:ascii="Times New Roman"/>
                <w:spacing w:val="-1"/>
                <w:sz w:val="18"/>
              </w:rPr>
              <w:t>277,01</w:t>
            </w:r>
          </w:p>
          <w:p>
            <w:pPr>
              <w:pStyle w:val="TableParagraph"/>
              <w:spacing w:line="240" w:lineRule="auto" w:before="101"/>
              <w:ind w:right="89"/>
              <w:jc w:val="right"/>
              <w:rPr>
                <w:rFonts w:ascii="Times New Roman" w:hAnsi="Times New Roman" w:cs="Times New Roman" w:eastAsia="Times New Roman" w:hint="default"/>
                <w:sz w:val="18"/>
                <w:szCs w:val="18"/>
              </w:rPr>
            </w:pPr>
            <w:r>
              <w:rPr>
                <w:rFonts w:ascii="Times New Roman"/>
                <w:spacing w:val="-1"/>
                <w:sz w:val="18"/>
              </w:rPr>
              <w:t>7,153.1</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1</w:t>
            </w:r>
            <w:r>
              <w:rPr>
                <w:rFonts w:ascii="Times New Roman"/>
                <w:sz w:val="18"/>
              </w:rPr>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239,78</w:t>
            </w:r>
          </w:p>
          <w:p>
            <w:pPr>
              <w:pStyle w:val="TableParagraph"/>
              <w:spacing w:line="240" w:lineRule="auto" w:before="101"/>
              <w:ind w:right="94"/>
              <w:jc w:val="right"/>
              <w:rPr>
                <w:rFonts w:ascii="Times New Roman" w:hAnsi="Times New Roman" w:cs="Times New Roman" w:eastAsia="Times New Roman" w:hint="default"/>
                <w:sz w:val="18"/>
                <w:szCs w:val="18"/>
              </w:rPr>
            </w:pPr>
            <w:r>
              <w:rPr>
                <w:rFonts w:ascii="Times New Roman"/>
                <w:spacing w:val="-1"/>
                <w:sz w:val="18"/>
              </w:rPr>
              <w:t>0,186.2</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9</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3"/>
              <w:jc w:val="right"/>
              <w:rPr>
                <w:rFonts w:ascii="Times New Roman" w:hAnsi="Times New Roman" w:cs="Times New Roman" w:eastAsia="Times New Roman" w:hint="default"/>
                <w:sz w:val="18"/>
                <w:szCs w:val="18"/>
              </w:rPr>
            </w:pPr>
            <w:r>
              <w:rPr>
                <w:rFonts w:ascii="Times New Roman"/>
                <w:spacing w:val="-1"/>
                <w:sz w:val="18"/>
              </w:rPr>
              <w:t>100.00</w:t>
            </w:r>
          </w:p>
          <w:p>
            <w:pPr>
              <w:pStyle w:val="TableParagraph"/>
              <w:spacing w:line="240" w:lineRule="auto" w:before="110"/>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149" w:right="0"/>
              <w:jc w:val="left"/>
              <w:rPr>
                <w:rFonts w:ascii="Times New Roman" w:hAnsi="Times New Roman" w:cs="Times New Roman" w:eastAsia="Times New Roman" w:hint="default"/>
                <w:sz w:val="18"/>
                <w:szCs w:val="18"/>
              </w:rPr>
            </w:pPr>
            <w:r>
              <w:rPr>
                <w:rFonts w:ascii="Times New Roman"/>
                <w:sz w:val="18"/>
              </w:rPr>
              <w:t>15,368,</w:t>
            </w:r>
          </w:p>
          <w:p>
            <w:pPr>
              <w:pStyle w:val="TableParagraph"/>
              <w:spacing w:line="240" w:lineRule="auto" w:before="110"/>
              <w:ind w:left="192" w:right="0"/>
              <w:jc w:val="left"/>
              <w:rPr>
                <w:rFonts w:ascii="Times New Roman" w:hAnsi="Times New Roman" w:cs="Times New Roman" w:eastAsia="Times New Roman" w:hint="default"/>
                <w:sz w:val="18"/>
                <w:szCs w:val="18"/>
              </w:rPr>
            </w:pPr>
            <w:r>
              <w:rPr>
                <w:rFonts w:ascii="Times New Roman"/>
                <w:sz w:val="18"/>
              </w:rPr>
              <w:t>827.25</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6.41%</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105" w:right="0"/>
              <w:jc w:val="left"/>
              <w:rPr>
                <w:rFonts w:ascii="Times New Roman" w:hAnsi="Times New Roman" w:cs="Times New Roman" w:eastAsia="Times New Roman" w:hint="default"/>
                <w:sz w:val="18"/>
                <w:szCs w:val="18"/>
              </w:rPr>
            </w:pPr>
            <w:r>
              <w:rPr>
                <w:rFonts w:ascii="Times New Roman"/>
                <w:sz w:val="18"/>
              </w:rPr>
              <w:t>224,411,3</w:t>
            </w:r>
          </w:p>
          <w:p>
            <w:pPr>
              <w:pStyle w:val="TableParagraph"/>
              <w:spacing w:line="240" w:lineRule="auto" w:before="110"/>
              <w:ind w:left="417" w:right="0"/>
              <w:jc w:val="left"/>
              <w:rPr>
                <w:rFonts w:ascii="Times New Roman" w:hAnsi="Times New Roman" w:cs="Times New Roman" w:eastAsia="Times New Roman" w:hint="default"/>
                <w:sz w:val="18"/>
                <w:szCs w:val="18"/>
              </w:rPr>
            </w:pPr>
            <w:r>
              <w:rPr>
                <w:rFonts w:ascii="Times New Roman"/>
                <w:sz w:val="18"/>
              </w:rPr>
              <w:t>59.04</w:t>
            </w:r>
          </w:p>
        </w:tc>
      </w:tr>
      <w:tr>
        <w:trPr>
          <w:trHeight w:val="403" w:hRule="exact"/>
        </w:trPr>
        <w:tc>
          <w:tcPr>
            <w:tcW w:w="1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76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5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8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7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93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1028" w:hRule="exact"/>
        </w:trPr>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宋体" w:hAnsi="宋体" w:cs="宋体" w:eastAsia="宋体" w:hint="default"/>
                <w:spacing w:val="-3"/>
                <w:sz w:val="18"/>
                <w:szCs w:val="18"/>
              </w:rPr>
              <w:t>其中：账龄组合</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164,96</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pacing w:val="-1"/>
                <w:sz w:val="18"/>
              </w:rPr>
              <w:t>1,686.5</w:t>
            </w:r>
          </w:p>
          <w:p>
            <w:pPr>
              <w:pStyle w:val="TableParagraph"/>
              <w:spacing w:line="240" w:lineRule="auto" w:before="110"/>
              <w:ind w:right="103"/>
              <w:jc w:val="right"/>
              <w:rPr>
                <w:rFonts w:ascii="Times New Roman" w:hAnsi="Times New Roman" w:cs="Times New Roman" w:eastAsia="Times New Roman" w:hint="default"/>
                <w:sz w:val="18"/>
                <w:szCs w:val="18"/>
              </w:rPr>
            </w:pPr>
            <w:r>
              <w:rPr>
                <w:rFonts w:ascii="Times New Roman"/>
                <w:w w:val="101"/>
                <w:sz w:val="18"/>
              </w:rPr>
              <w:t>7</w:t>
            </w:r>
            <w:r>
              <w:rPr>
                <w:rFonts w:ascii="Times New Roman"/>
                <w:sz w:val="18"/>
              </w:rPr>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244" w:right="0"/>
              <w:jc w:val="left"/>
              <w:rPr>
                <w:rFonts w:ascii="Times New Roman" w:hAnsi="Times New Roman" w:cs="Times New Roman" w:eastAsia="Times New Roman" w:hint="default"/>
                <w:sz w:val="18"/>
                <w:szCs w:val="18"/>
              </w:rPr>
            </w:pPr>
            <w:r>
              <w:rPr>
                <w:rFonts w:ascii="Times New Roman"/>
                <w:sz w:val="18"/>
              </w:rPr>
              <w:t>56.44</w:t>
            </w:r>
          </w:p>
          <w:p>
            <w:pPr>
              <w:pStyle w:val="TableParagraph"/>
              <w:spacing w:line="240" w:lineRule="auto" w:before="105"/>
              <w:ind w:left="499" w:right="0"/>
              <w:jc w:val="lef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15" w:right="0"/>
              <w:jc w:val="left"/>
              <w:rPr>
                <w:rFonts w:ascii="Times New Roman" w:hAnsi="Times New Roman" w:cs="Times New Roman" w:eastAsia="Times New Roman" w:hint="default"/>
                <w:sz w:val="18"/>
                <w:szCs w:val="18"/>
              </w:rPr>
            </w:pPr>
            <w:r>
              <w:rPr>
                <w:rFonts w:ascii="Times New Roman"/>
                <w:sz w:val="18"/>
              </w:rPr>
              <w:t>15,267,</w:t>
            </w:r>
          </w:p>
          <w:p>
            <w:pPr>
              <w:pStyle w:val="TableParagraph"/>
              <w:spacing w:line="240" w:lineRule="auto" w:before="105"/>
              <w:ind w:left="158" w:right="0"/>
              <w:jc w:val="left"/>
              <w:rPr>
                <w:rFonts w:ascii="Times New Roman" w:hAnsi="Times New Roman" w:cs="Times New Roman" w:eastAsia="Times New Roman" w:hint="default"/>
                <w:sz w:val="18"/>
                <w:szCs w:val="18"/>
              </w:rPr>
            </w:pPr>
            <w:r>
              <w:rPr>
                <w:rFonts w:ascii="Times New Roman"/>
                <w:sz w:val="18"/>
              </w:rPr>
              <w:t>800.39</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9.26%</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3"/>
              <w:jc w:val="right"/>
              <w:rPr>
                <w:rFonts w:ascii="Times New Roman" w:hAnsi="Times New Roman" w:cs="Times New Roman" w:eastAsia="Times New Roman" w:hint="default"/>
                <w:sz w:val="18"/>
                <w:szCs w:val="18"/>
              </w:rPr>
            </w:pPr>
            <w:r>
              <w:rPr>
                <w:rFonts w:ascii="Times New Roman"/>
                <w:spacing w:val="-1"/>
                <w:sz w:val="18"/>
              </w:rPr>
              <w:t>149,69</w:t>
            </w:r>
          </w:p>
          <w:p>
            <w:pPr>
              <w:pStyle w:val="TableParagraph"/>
              <w:spacing w:line="240" w:lineRule="auto" w:before="105"/>
              <w:ind w:right="94"/>
              <w:jc w:val="right"/>
              <w:rPr>
                <w:rFonts w:ascii="Times New Roman" w:hAnsi="Times New Roman" w:cs="Times New Roman" w:eastAsia="Times New Roman" w:hint="default"/>
                <w:sz w:val="18"/>
                <w:szCs w:val="18"/>
              </w:rPr>
            </w:pPr>
            <w:r>
              <w:rPr>
                <w:rFonts w:ascii="Times New Roman"/>
                <w:spacing w:val="-1"/>
                <w:sz w:val="18"/>
              </w:rPr>
              <w:t>3,886.1</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8</w:t>
            </w:r>
            <w:r>
              <w:rPr>
                <w:rFonts w:ascii="Times New Roman"/>
                <w:sz w:val="18"/>
              </w:rPr>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153,05</w:t>
            </w:r>
          </w:p>
          <w:p>
            <w:pPr>
              <w:pStyle w:val="TableParagraph"/>
              <w:spacing w:line="240" w:lineRule="auto" w:before="105"/>
              <w:ind w:right="94"/>
              <w:jc w:val="right"/>
              <w:rPr>
                <w:rFonts w:ascii="Times New Roman" w:hAnsi="Times New Roman" w:cs="Times New Roman" w:eastAsia="Times New Roman" w:hint="default"/>
                <w:sz w:val="18"/>
                <w:szCs w:val="18"/>
              </w:rPr>
            </w:pPr>
            <w:r>
              <w:rPr>
                <w:rFonts w:ascii="Times New Roman"/>
                <w:spacing w:val="-3"/>
                <w:sz w:val="18"/>
              </w:rPr>
              <w:t>0,111.0</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1</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31" w:right="0"/>
              <w:jc w:val="center"/>
              <w:rPr>
                <w:rFonts w:ascii="Times New Roman" w:hAnsi="Times New Roman" w:cs="Times New Roman" w:eastAsia="Times New Roman" w:hint="default"/>
                <w:sz w:val="18"/>
                <w:szCs w:val="18"/>
              </w:rPr>
            </w:pPr>
            <w:r>
              <w:rPr>
                <w:rFonts w:ascii="Times New Roman"/>
                <w:sz w:val="18"/>
              </w:rPr>
              <w:t>63.83%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49" w:right="0"/>
              <w:jc w:val="left"/>
              <w:rPr>
                <w:rFonts w:ascii="Times New Roman" w:hAnsi="Times New Roman" w:cs="Times New Roman" w:eastAsia="Times New Roman" w:hint="default"/>
                <w:sz w:val="18"/>
                <w:szCs w:val="18"/>
              </w:rPr>
            </w:pPr>
            <w:r>
              <w:rPr>
                <w:rFonts w:ascii="Times New Roman"/>
                <w:sz w:val="18"/>
              </w:rPr>
              <w:t>15,368,</w:t>
            </w:r>
          </w:p>
          <w:p>
            <w:pPr>
              <w:pStyle w:val="TableParagraph"/>
              <w:spacing w:line="240" w:lineRule="auto" w:before="105"/>
              <w:ind w:left="192" w:right="0"/>
              <w:jc w:val="left"/>
              <w:rPr>
                <w:rFonts w:ascii="Times New Roman" w:hAnsi="Times New Roman" w:cs="Times New Roman" w:eastAsia="Times New Roman" w:hint="default"/>
                <w:sz w:val="18"/>
                <w:szCs w:val="18"/>
              </w:rPr>
            </w:pPr>
            <w:r>
              <w:rPr>
                <w:rFonts w:ascii="Times New Roman"/>
                <w:sz w:val="18"/>
              </w:rPr>
              <w:t>827.25</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10.04%</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93" w:right="0"/>
              <w:jc w:val="center"/>
              <w:rPr>
                <w:rFonts w:ascii="Times New Roman" w:hAnsi="Times New Roman" w:cs="Times New Roman" w:eastAsia="Times New Roman" w:hint="default"/>
                <w:sz w:val="18"/>
                <w:szCs w:val="18"/>
              </w:rPr>
            </w:pPr>
            <w:r>
              <w:rPr>
                <w:rFonts w:ascii="Times New Roman"/>
                <w:sz w:val="18"/>
              </w:rPr>
              <w:t>137,681,</w:t>
            </w:r>
          </w:p>
          <w:p>
            <w:pPr>
              <w:pStyle w:val="TableParagraph"/>
              <w:spacing w:line="240" w:lineRule="auto" w:before="105"/>
              <w:ind w:left="230" w:right="0"/>
              <w:jc w:val="center"/>
              <w:rPr>
                <w:rFonts w:ascii="Times New Roman" w:hAnsi="Times New Roman" w:cs="Times New Roman" w:eastAsia="Times New Roman" w:hint="default"/>
                <w:sz w:val="18"/>
                <w:szCs w:val="18"/>
              </w:rPr>
            </w:pPr>
            <w:r>
              <w:rPr>
                <w:rFonts w:ascii="Times New Roman"/>
                <w:sz w:val="18"/>
              </w:rPr>
              <w:t>283.76</w:t>
            </w:r>
          </w:p>
        </w:tc>
      </w:tr>
      <w:tr>
        <w:trPr>
          <w:trHeight w:val="1027" w:hRule="exact"/>
        </w:trPr>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08" w:right="0"/>
              <w:jc w:val="left"/>
              <w:rPr>
                <w:rFonts w:ascii="宋体" w:hAnsi="宋体" w:cs="宋体" w:eastAsia="宋体" w:hint="default"/>
                <w:sz w:val="18"/>
                <w:szCs w:val="18"/>
              </w:rPr>
            </w:pPr>
            <w:r>
              <w:rPr>
                <w:rFonts w:ascii="宋体" w:hAnsi="宋体" w:cs="宋体" w:eastAsia="宋体" w:hint="default"/>
                <w:spacing w:val="-5"/>
                <w:sz w:val="18"/>
                <w:szCs w:val="18"/>
              </w:rPr>
              <w:t>关联</w:t>
            </w:r>
            <w:r>
              <w:rPr>
                <w:rFonts w:ascii="宋体" w:hAnsi="宋体" w:cs="宋体" w:eastAsia="宋体" w:hint="default"/>
                <w:sz w:val="18"/>
                <w:szCs w:val="18"/>
              </w:rPr>
            </w:r>
          </w:p>
          <w:p>
            <w:pPr>
              <w:pStyle w:val="TableParagraph"/>
              <w:spacing w:line="240" w:lineRule="auto" w:before="81"/>
              <w:ind w:left="105" w:right="0"/>
              <w:jc w:val="left"/>
              <w:rPr>
                <w:rFonts w:ascii="宋体" w:hAnsi="宋体" w:cs="宋体" w:eastAsia="宋体" w:hint="default"/>
                <w:sz w:val="18"/>
                <w:szCs w:val="18"/>
              </w:rPr>
            </w:pPr>
            <w:r>
              <w:rPr>
                <w:rFonts w:ascii="宋体" w:hAnsi="宋体" w:cs="宋体" w:eastAsia="宋体" w:hint="default"/>
                <w:sz w:val="18"/>
                <w:szCs w:val="18"/>
              </w:rPr>
              <w:t>方组合</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pacing w:val="-1"/>
                <w:sz w:val="18"/>
              </w:rPr>
              <w:t>127,32</w:t>
            </w:r>
          </w:p>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3,266.9</w:t>
            </w:r>
          </w:p>
          <w:p>
            <w:pPr>
              <w:pStyle w:val="TableParagraph"/>
              <w:spacing w:line="240" w:lineRule="auto" w:before="110"/>
              <w:ind w:right="103"/>
              <w:jc w:val="right"/>
              <w:rPr>
                <w:rFonts w:ascii="Times New Roman" w:hAnsi="Times New Roman" w:cs="Times New Roman" w:eastAsia="Times New Roman" w:hint="default"/>
                <w:sz w:val="18"/>
                <w:szCs w:val="18"/>
              </w:rPr>
            </w:pPr>
            <w:r>
              <w:rPr>
                <w:rFonts w:ascii="Times New Roman"/>
                <w:w w:val="101"/>
                <w:sz w:val="18"/>
              </w:rPr>
              <w:t>3</w:t>
            </w:r>
            <w:r>
              <w:rPr>
                <w:rFonts w:ascii="Times New Roman"/>
                <w:sz w:val="18"/>
              </w:rPr>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44" w:right="0"/>
              <w:jc w:val="left"/>
              <w:rPr>
                <w:rFonts w:ascii="Times New Roman" w:hAnsi="Times New Roman" w:cs="Times New Roman" w:eastAsia="Times New Roman" w:hint="default"/>
                <w:sz w:val="18"/>
                <w:szCs w:val="18"/>
              </w:rPr>
            </w:pPr>
            <w:r>
              <w:rPr>
                <w:rFonts w:ascii="Times New Roman"/>
                <w:sz w:val="18"/>
              </w:rPr>
              <w:t>43.56</w:t>
            </w:r>
          </w:p>
          <w:p>
            <w:pPr>
              <w:pStyle w:val="TableParagraph"/>
              <w:spacing w:line="240" w:lineRule="auto" w:before="110"/>
              <w:ind w:left="499" w:right="0"/>
              <w:jc w:val="lef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764" w:type="dxa"/>
            <w:tcBorders>
              <w:top w:val="single" w:sz="4" w:space="0" w:color="000000"/>
              <w:left w:val="single" w:sz="4" w:space="0" w:color="000000"/>
              <w:bottom w:val="single" w:sz="4" w:space="0" w:color="000000"/>
              <w:right w:val="single" w:sz="4" w:space="0" w:color="000000"/>
            </w:tcBorders>
          </w:tcPr>
          <w:p>
            <w:pPr/>
          </w:p>
        </w:tc>
        <w:tc>
          <w:tcPr>
            <w:tcW w:w="764" w:type="dxa"/>
            <w:tcBorders>
              <w:top w:val="single" w:sz="4" w:space="0" w:color="000000"/>
              <w:left w:val="single" w:sz="4" w:space="0" w:color="000000"/>
              <w:bottom w:val="single" w:sz="4" w:space="0" w:color="000000"/>
              <w:right w:val="single" w:sz="4" w:space="0" w:color="000000"/>
            </w:tcBorders>
          </w:tcPr>
          <w:p>
            <w:pP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3"/>
              <w:jc w:val="right"/>
              <w:rPr>
                <w:rFonts w:ascii="Times New Roman" w:hAnsi="Times New Roman" w:cs="Times New Roman" w:eastAsia="Times New Roman" w:hint="default"/>
                <w:sz w:val="18"/>
                <w:szCs w:val="18"/>
              </w:rPr>
            </w:pPr>
            <w:r>
              <w:rPr>
                <w:rFonts w:ascii="Times New Roman"/>
                <w:spacing w:val="-1"/>
                <w:sz w:val="18"/>
              </w:rPr>
              <w:t>127,32</w:t>
            </w:r>
          </w:p>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3,266.9</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3</w:t>
            </w:r>
            <w:r>
              <w:rPr>
                <w:rFonts w:ascii="Times New Roman"/>
                <w:sz w:val="18"/>
              </w:rPr>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29" w:right="0"/>
              <w:jc w:val="left"/>
              <w:rPr>
                <w:rFonts w:ascii="Times New Roman" w:hAnsi="Times New Roman" w:cs="Times New Roman" w:eastAsia="Times New Roman" w:hint="default"/>
                <w:sz w:val="18"/>
                <w:szCs w:val="18"/>
              </w:rPr>
            </w:pPr>
            <w:r>
              <w:rPr>
                <w:rFonts w:ascii="Times New Roman"/>
                <w:sz w:val="18"/>
              </w:rPr>
              <w:t>86,730,</w:t>
            </w:r>
          </w:p>
          <w:p>
            <w:pPr>
              <w:pStyle w:val="TableParagraph"/>
              <w:spacing w:line="240" w:lineRule="auto" w:before="110"/>
              <w:ind w:left="172" w:right="0"/>
              <w:jc w:val="left"/>
              <w:rPr>
                <w:rFonts w:ascii="Times New Roman" w:hAnsi="Times New Roman" w:cs="Times New Roman" w:eastAsia="Times New Roman" w:hint="default"/>
                <w:sz w:val="18"/>
                <w:szCs w:val="18"/>
              </w:rPr>
            </w:pPr>
            <w:r>
              <w:rPr>
                <w:rFonts w:ascii="Times New Roman"/>
                <w:sz w:val="18"/>
              </w:rPr>
              <w:t>075.28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31" w:right="0"/>
              <w:jc w:val="center"/>
              <w:rPr>
                <w:rFonts w:ascii="Times New Roman" w:hAnsi="Times New Roman" w:cs="Times New Roman" w:eastAsia="Times New Roman" w:hint="default"/>
                <w:sz w:val="18"/>
                <w:szCs w:val="18"/>
              </w:rPr>
            </w:pPr>
            <w:r>
              <w:rPr>
                <w:rFonts w:ascii="Times New Roman"/>
                <w:sz w:val="18"/>
              </w:rPr>
              <w:t>36.17%</w:t>
            </w:r>
          </w:p>
        </w:tc>
        <w:tc>
          <w:tcPr>
            <w:tcW w:w="797" w:type="dxa"/>
            <w:tcBorders>
              <w:top w:val="single" w:sz="4" w:space="0" w:color="000000"/>
              <w:left w:val="single" w:sz="4" w:space="0" w:color="000000"/>
              <w:bottom w:val="single" w:sz="4" w:space="0" w:color="000000"/>
              <w:right w:val="single" w:sz="4" w:space="0" w:color="000000"/>
            </w:tcBorders>
          </w:tcPr>
          <w:p>
            <w:pPr/>
          </w:p>
        </w:tc>
        <w:tc>
          <w:tcPr>
            <w:tcW w:w="792"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91" w:right="0"/>
              <w:jc w:val="left"/>
              <w:rPr>
                <w:rFonts w:ascii="Times New Roman" w:hAnsi="Times New Roman" w:cs="Times New Roman" w:eastAsia="Times New Roman" w:hint="default"/>
                <w:sz w:val="18"/>
                <w:szCs w:val="18"/>
              </w:rPr>
            </w:pPr>
            <w:r>
              <w:rPr>
                <w:rFonts w:ascii="Times New Roman"/>
                <w:sz w:val="18"/>
              </w:rPr>
              <w:t>86,730,0</w:t>
            </w:r>
          </w:p>
          <w:p>
            <w:pPr>
              <w:pStyle w:val="TableParagraph"/>
              <w:spacing w:line="240" w:lineRule="auto" w:before="110"/>
              <w:ind w:left="417" w:right="0"/>
              <w:jc w:val="left"/>
              <w:rPr>
                <w:rFonts w:ascii="Times New Roman" w:hAnsi="Times New Roman" w:cs="Times New Roman" w:eastAsia="Times New Roman" w:hint="default"/>
                <w:sz w:val="18"/>
                <w:szCs w:val="18"/>
              </w:rPr>
            </w:pPr>
            <w:r>
              <w:rPr>
                <w:rFonts w:ascii="Times New Roman"/>
                <w:sz w:val="18"/>
              </w:rPr>
              <w:t>75.28</w:t>
            </w:r>
          </w:p>
        </w:tc>
      </w:tr>
      <w:tr>
        <w:trPr>
          <w:trHeight w:val="1023" w:hRule="exact"/>
        </w:trPr>
        <w:tc>
          <w:tcPr>
            <w:tcW w:w="1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292,28</w:t>
            </w:r>
          </w:p>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4,953.5</w:t>
            </w:r>
          </w:p>
          <w:p>
            <w:pPr>
              <w:pStyle w:val="TableParagraph"/>
              <w:spacing w:line="240" w:lineRule="auto" w:before="110"/>
              <w:ind w:right="103"/>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53"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10"/>
              <w:ind w:left="499" w:right="0"/>
              <w:jc w:val="lef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15" w:right="0"/>
              <w:jc w:val="left"/>
              <w:rPr>
                <w:rFonts w:ascii="Times New Roman" w:hAnsi="Times New Roman" w:cs="Times New Roman" w:eastAsia="Times New Roman" w:hint="default"/>
                <w:sz w:val="18"/>
                <w:szCs w:val="18"/>
              </w:rPr>
            </w:pPr>
            <w:r>
              <w:rPr>
                <w:rFonts w:ascii="Times New Roman"/>
                <w:sz w:val="18"/>
              </w:rPr>
              <w:t>15,267,</w:t>
            </w:r>
          </w:p>
          <w:p>
            <w:pPr>
              <w:pStyle w:val="TableParagraph"/>
              <w:spacing w:line="240" w:lineRule="auto" w:before="110"/>
              <w:ind w:left="158" w:right="0"/>
              <w:jc w:val="left"/>
              <w:rPr>
                <w:rFonts w:ascii="Times New Roman" w:hAnsi="Times New Roman" w:cs="Times New Roman" w:eastAsia="Times New Roman" w:hint="default"/>
                <w:sz w:val="18"/>
                <w:szCs w:val="18"/>
              </w:rPr>
            </w:pPr>
            <w:r>
              <w:rPr>
                <w:rFonts w:ascii="Times New Roman"/>
                <w:sz w:val="18"/>
              </w:rPr>
              <w:t>800.39</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5.22%</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3"/>
              <w:jc w:val="right"/>
              <w:rPr>
                <w:rFonts w:ascii="Times New Roman" w:hAnsi="Times New Roman" w:cs="Times New Roman" w:eastAsia="Times New Roman" w:hint="default"/>
                <w:sz w:val="18"/>
                <w:szCs w:val="18"/>
              </w:rPr>
            </w:pPr>
            <w:r>
              <w:rPr>
                <w:rFonts w:ascii="Times New Roman"/>
                <w:spacing w:val="-1"/>
                <w:sz w:val="18"/>
              </w:rPr>
              <w:t>277,01</w:t>
            </w:r>
          </w:p>
          <w:p>
            <w:pPr>
              <w:pStyle w:val="TableParagraph"/>
              <w:spacing w:line="240" w:lineRule="auto" w:before="100"/>
              <w:ind w:right="89"/>
              <w:jc w:val="right"/>
              <w:rPr>
                <w:rFonts w:ascii="Times New Roman" w:hAnsi="Times New Roman" w:cs="Times New Roman" w:eastAsia="Times New Roman" w:hint="default"/>
                <w:sz w:val="18"/>
                <w:szCs w:val="18"/>
              </w:rPr>
            </w:pPr>
            <w:r>
              <w:rPr>
                <w:rFonts w:ascii="Times New Roman"/>
                <w:spacing w:val="-1"/>
                <w:sz w:val="18"/>
              </w:rPr>
              <w:t>7,153.1</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1</w:t>
            </w:r>
            <w:r>
              <w:rPr>
                <w:rFonts w:ascii="Times New Roman"/>
                <w:sz w:val="18"/>
              </w:rPr>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239,78</w:t>
            </w:r>
          </w:p>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0,186.2</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9</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3"/>
              <w:jc w:val="right"/>
              <w:rPr>
                <w:rFonts w:ascii="Times New Roman" w:hAnsi="Times New Roman" w:cs="Times New Roman" w:eastAsia="Times New Roman" w:hint="default"/>
                <w:sz w:val="18"/>
                <w:szCs w:val="18"/>
              </w:rPr>
            </w:pPr>
            <w:r>
              <w:rPr>
                <w:rFonts w:ascii="Times New Roman"/>
                <w:spacing w:val="-1"/>
                <w:sz w:val="18"/>
              </w:rPr>
              <w:t>100.00</w:t>
            </w:r>
          </w:p>
          <w:p>
            <w:pPr>
              <w:pStyle w:val="TableParagraph"/>
              <w:spacing w:line="240" w:lineRule="auto" w:before="110"/>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49" w:right="0"/>
              <w:jc w:val="left"/>
              <w:rPr>
                <w:rFonts w:ascii="Times New Roman" w:hAnsi="Times New Roman" w:cs="Times New Roman" w:eastAsia="Times New Roman" w:hint="default"/>
                <w:sz w:val="18"/>
                <w:szCs w:val="18"/>
              </w:rPr>
            </w:pPr>
            <w:r>
              <w:rPr>
                <w:rFonts w:ascii="Times New Roman"/>
                <w:sz w:val="18"/>
              </w:rPr>
              <w:t>15,368,</w:t>
            </w:r>
          </w:p>
          <w:p>
            <w:pPr>
              <w:pStyle w:val="TableParagraph"/>
              <w:spacing w:line="240" w:lineRule="auto" w:before="110"/>
              <w:ind w:left="192" w:right="0"/>
              <w:jc w:val="left"/>
              <w:rPr>
                <w:rFonts w:ascii="Times New Roman" w:hAnsi="Times New Roman" w:cs="Times New Roman" w:eastAsia="Times New Roman" w:hint="default"/>
                <w:sz w:val="18"/>
                <w:szCs w:val="18"/>
              </w:rPr>
            </w:pPr>
            <w:r>
              <w:rPr>
                <w:rFonts w:ascii="Times New Roman"/>
                <w:sz w:val="18"/>
              </w:rPr>
              <w:t>827.25</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6.41%</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05" w:right="0"/>
              <w:jc w:val="left"/>
              <w:rPr>
                <w:rFonts w:ascii="Times New Roman" w:hAnsi="Times New Roman" w:cs="Times New Roman" w:eastAsia="Times New Roman" w:hint="default"/>
                <w:sz w:val="18"/>
                <w:szCs w:val="18"/>
              </w:rPr>
            </w:pPr>
            <w:r>
              <w:rPr>
                <w:rFonts w:ascii="Times New Roman"/>
                <w:sz w:val="18"/>
              </w:rPr>
              <w:t>224,411,3</w:t>
            </w:r>
          </w:p>
          <w:p>
            <w:pPr>
              <w:pStyle w:val="TableParagraph"/>
              <w:spacing w:line="240" w:lineRule="auto" w:before="110"/>
              <w:ind w:left="417" w:right="0"/>
              <w:jc w:val="left"/>
              <w:rPr>
                <w:rFonts w:ascii="Times New Roman" w:hAnsi="Times New Roman" w:cs="Times New Roman" w:eastAsia="Times New Roman" w:hint="default"/>
                <w:sz w:val="18"/>
                <w:szCs w:val="18"/>
              </w:rPr>
            </w:pPr>
            <w:r>
              <w:rPr>
                <w:rFonts w:ascii="Times New Roman"/>
                <w:sz w:val="18"/>
              </w:rPr>
              <w:t>59.04</w:t>
            </w:r>
          </w:p>
        </w:tc>
      </w:tr>
    </w:tbl>
    <w:p>
      <w:pPr>
        <w:pStyle w:val="BodyText"/>
        <w:spacing w:line="240" w:lineRule="auto" w:before="53"/>
        <w:ind w:right="0"/>
        <w:jc w:val="left"/>
      </w:pPr>
      <w:r>
        <w:rPr/>
        <w:t>按单项计提坏账准备：</w:t>
      </w:r>
    </w:p>
    <w:p>
      <w:pPr>
        <w:pStyle w:val="BodyText"/>
        <w:spacing w:line="240" w:lineRule="auto" w:before="119"/>
        <w:ind w:left="0" w:right="1122"/>
        <w:jc w:val="right"/>
      </w:pPr>
      <w:r>
        <w:rPr/>
        <w:t>单位：</w:t>
      </w:r>
      <w:r>
        <w:rPr>
          <w:spacing w:val="5"/>
        </w:rPr>
        <w:t> </w:t>
      </w:r>
      <w:r>
        <w:rPr/>
        <w:t>元</w:t>
      </w:r>
    </w:p>
    <w:p>
      <w:pPr>
        <w:spacing w:line="240" w:lineRule="auto" w:before="10"/>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16"/>
        <w:gridCol w:w="1916"/>
        <w:gridCol w:w="1911"/>
        <w:gridCol w:w="1916"/>
        <w:gridCol w:w="1916"/>
      </w:tblGrid>
      <w:tr>
        <w:trPr>
          <w:trHeight w:val="401" w:hRule="exact"/>
        </w:trPr>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765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3" w:hRule="exact"/>
        </w:trPr>
        <w:tc>
          <w:tcPr>
            <w:tcW w:w="1916" w:type="dxa"/>
            <w:vMerge/>
            <w:tcBorders>
              <w:left w:val="single" w:sz="4" w:space="0" w:color="000000"/>
              <w:bottom w:val="single" w:sz="4" w:space="0" w:color="000000"/>
              <w:right w:val="single" w:sz="4" w:space="0" w:color="000000"/>
            </w:tcBorders>
            <w:shd w:val="clear" w:color="auto" w:fill="D2D2D2"/>
          </w:tcPr>
          <w:p>
            <w:pP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0"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0"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5"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5" w:right="0"/>
              <w:jc w:val="left"/>
              <w:rPr>
                <w:rFonts w:ascii="宋体" w:hAnsi="宋体" w:cs="宋体" w:eastAsia="宋体" w:hint="default"/>
                <w:sz w:val="18"/>
                <w:szCs w:val="18"/>
              </w:rPr>
            </w:pPr>
            <w:r>
              <w:rPr>
                <w:rFonts w:ascii="宋体" w:hAnsi="宋体" w:cs="宋体" w:eastAsia="宋体" w:hint="default"/>
                <w:sz w:val="18"/>
                <w:szCs w:val="18"/>
              </w:rPr>
              <w:t>计提理由</w:t>
            </w:r>
          </w:p>
        </w:tc>
      </w:tr>
    </w:tbl>
    <w:p>
      <w:pPr>
        <w:pStyle w:val="BodyText"/>
        <w:spacing w:line="240" w:lineRule="auto" w:before="53"/>
        <w:ind w:right="0"/>
        <w:jc w:val="left"/>
      </w:pPr>
      <w:r>
        <w:rPr/>
        <w:t>按组合计提坏账准备：</w:t>
      </w:r>
    </w:p>
    <w:p>
      <w:pPr>
        <w:pStyle w:val="BodyText"/>
        <w:spacing w:line="240" w:lineRule="auto" w:before="119"/>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391"/>
        <w:gridCol w:w="2396"/>
        <w:gridCol w:w="2391"/>
        <w:gridCol w:w="2391"/>
      </w:tblGrid>
      <w:tr>
        <w:trPr>
          <w:trHeight w:val="404" w:hRule="exact"/>
        </w:trPr>
        <w:tc>
          <w:tcPr>
            <w:tcW w:w="23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7178"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3" w:hRule="exact"/>
        </w:trPr>
        <w:tc>
          <w:tcPr>
            <w:tcW w:w="2391" w:type="dxa"/>
            <w:vMerge/>
            <w:tcBorders>
              <w:left w:val="single" w:sz="4" w:space="0" w:color="000000"/>
              <w:bottom w:val="single" w:sz="4" w:space="0" w:color="000000"/>
              <w:right w:val="single" w:sz="4" w:space="0" w:color="000000"/>
            </w:tcBorders>
            <w:shd w:val="clear" w:color="auto" w:fill="D2D2D2"/>
          </w:tcPr>
          <w:p>
            <w:pP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3"/>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710"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105" w:right="109"/>
              <w:jc w:val="left"/>
              <w:rPr>
                <w:rFonts w:ascii="宋体" w:hAnsi="宋体" w:cs="宋体" w:eastAsia="宋体" w:hint="default"/>
                <w:sz w:val="18"/>
                <w:szCs w:val="18"/>
              </w:rPr>
            </w:pPr>
            <w:r>
              <w:rPr>
                <w:rFonts w:ascii="宋体" w:hAnsi="宋体" w:cs="宋体" w:eastAsia="宋体" w:hint="default"/>
                <w:spacing w:val="-3"/>
                <w:sz w:val="18"/>
                <w:szCs w:val="18"/>
              </w:rPr>
              <w:t>按信用风险特征组合计提坏</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账准备的应收账款</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292,284,953.50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15,267,800.39</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1"/>
                <w:sz w:val="18"/>
              </w:rPr>
              <w:t>5.22%</w:t>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292,284,953.50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15,267,800.39</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bl>
    <w:p>
      <w:pPr>
        <w:pStyle w:val="BodyText"/>
        <w:spacing w:line="360" w:lineRule="auto" w:before="54"/>
        <w:ind w:right="8631"/>
        <w:jc w:val="left"/>
      </w:pPr>
      <w:r>
        <w:rPr>
          <w:spacing w:val="-3"/>
        </w:rPr>
        <w:t>确定该组合依据的说明：</w:t>
      </w:r>
      <w:r>
        <w:rPr>
          <w:spacing w:val="-56"/>
        </w:rPr>
        <w:t> </w:t>
      </w:r>
      <w:r>
        <w:rPr>
          <w:spacing w:val="-56"/>
        </w:rPr>
      </w:r>
      <w:r>
        <w:rPr/>
        <w:t>无。</w:t>
      </w:r>
      <w:r>
        <w:rPr>
          <w:spacing w:val="-86"/>
        </w:rPr>
        <w:t> </w:t>
      </w:r>
      <w:r>
        <w:rPr/>
        <w:t>按组合计提坏账准备：</w:t>
      </w:r>
    </w:p>
    <w:p>
      <w:pPr>
        <w:spacing w:after="0" w:line="360" w:lineRule="auto"/>
        <w:jc w:val="left"/>
        <w:sectPr>
          <w:pgSz w:w="11910" w:h="16840"/>
          <w:pgMar w:header="784" w:footer="1022" w:top="1100" w:bottom="1220" w:left="980" w:right="0"/>
        </w:sectPr>
      </w:pPr>
    </w:p>
    <w:p>
      <w:pPr>
        <w:spacing w:line="240" w:lineRule="auto" w:before="2"/>
        <w:rPr>
          <w:rFonts w:ascii="宋体" w:hAnsi="宋体" w:cs="宋体" w:eastAsia="宋体" w:hint="default"/>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391"/>
        <w:gridCol w:w="2396"/>
        <w:gridCol w:w="2391"/>
        <w:gridCol w:w="2393"/>
      </w:tblGrid>
      <w:tr>
        <w:trPr>
          <w:trHeight w:val="403" w:hRule="exact"/>
        </w:trPr>
        <w:tc>
          <w:tcPr>
            <w:tcW w:w="23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7181"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4" w:hRule="exact"/>
        </w:trPr>
        <w:tc>
          <w:tcPr>
            <w:tcW w:w="2391" w:type="dxa"/>
            <w:vMerge/>
            <w:tcBorders>
              <w:left w:val="single" w:sz="4" w:space="0" w:color="000000"/>
              <w:bottom w:val="single" w:sz="4" w:space="0" w:color="000000"/>
              <w:right w:val="single" w:sz="4" w:space="0" w:color="000000"/>
            </w:tcBorders>
            <w:shd w:val="clear" w:color="auto" w:fill="D2D2D2"/>
          </w:tcPr>
          <w:p>
            <w:pP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3"/>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 w:right="0"/>
              <w:jc w:val="center"/>
              <w:rPr>
                <w:rFonts w:ascii="宋体" w:hAnsi="宋体" w:cs="宋体" w:eastAsia="宋体" w:hint="default"/>
                <w:sz w:val="18"/>
                <w:szCs w:val="18"/>
              </w:rPr>
            </w:pPr>
            <w:r>
              <w:rPr>
                <w:rFonts w:ascii="宋体" w:hAnsi="宋体" w:cs="宋体" w:eastAsia="宋体" w:hint="default"/>
                <w:sz w:val="18"/>
                <w:szCs w:val="18"/>
              </w:rPr>
              <w:t>计提比例</w:t>
            </w:r>
          </w:p>
        </w:tc>
      </w:tr>
    </w:tbl>
    <w:p>
      <w:pPr>
        <w:spacing w:after="0" w:line="240" w:lineRule="auto"/>
        <w:jc w:val="center"/>
        <w:rPr>
          <w:rFonts w:ascii="宋体" w:hAnsi="宋体" w:cs="宋体" w:eastAsia="宋体" w:hint="default"/>
          <w:sz w:val="18"/>
          <w:szCs w:val="18"/>
        </w:rPr>
        <w:sectPr>
          <w:pgSz w:w="11910" w:h="16840"/>
          <w:pgMar w:header="784" w:footer="1022" w:top="1100" w:bottom="1220" w:left="980" w:right="0"/>
        </w:sectPr>
      </w:pPr>
    </w:p>
    <w:p>
      <w:pPr>
        <w:pStyle w:val="BodyText"/>
        <w:spacing w:line="360" w:lineRule="auto" w:before="53"/>
        <w:ind w:right="0"/>
        <w:jc w:val="left"/>
      </w:pPr>
      <w:r>
        <w:rPr>
          <w:spacing w:val="-3"/>
        </w:rPr>
        <w:t>确定该组合依据的说明：</w:t>
      </w:r>
      <w:r>
        <w:rPr>
          <w:spacing w:val="-56"/>
        </w:rPr>
        <w:t> </w:t>
      </w:r>
      <w:r>
        <w:rPr>
          <w:spacing w:val="-56"/>
        </w:rPr>
      </w:r>
      <w:r>
        <w:rPr/>
        <w:t>无。</w:t>
      </w:r>
      <w:r>
        <w:rPr>
          <w:spacing w:val="-86"/>
        </w:rPr>
        <w:t> </w:t>
      </w:r>
      <w:r>
        <w:rPr/>
        <w:t>按组合计提坏账准备：</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2"/>
          <w:szCs w:val="12"/>
        </w:rPr>
      </w:pPr>
    </w:p>
    <w:p>
      <w:pPr>
        <w:pStyle w:val="BodyText"/>
        <w:spacing w:line="240" w:lineRule="auto" w:before="0"/>
        <w:ind w:right="0"/>
        <w:jc w:val="left"/>
      </w:pPr>
      <w:r>
        <w:rPr/>
        <w:t>单位：</w:t>
      </w:r>
      <w:r>
        <w:rPr>
          <w:spacing w:val="5"/>
        </w:rPr>
        <w:t> </w:t>
      </w:r>
      <w:r>
        <w:rPr/>
        <w:t>元</w:t>
      </w:r>
    </w:p>
    <w:p>
      <w:pPr>
        <w:spacing w:after="0" w:line="240" w:lineRule="auto"/>
        <w:jc w:val="left"/>
        <w:sectPr>
          <w:type w:val="continuous"/>
          <w:pgSz w:w="11910" w:h="16840"/>
          <w:pgMar w:top="1100" w:bottom="1220" w:left="980" w:right="0"/>
          <w:cols w:num="2" w:equalWidth="0">
            <w:col w:w="2136" w:space="6694"/>
            <w:col w:w="2100"/>
          </w:cols>
        </w:sectPr>
      </w:pP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391"/>
        <w:gridCol w:w="2396"/>
        <w:gridCol w:w="2391"/>
        <w:gridCol w:w="2393"/>
      </w:tblGrid>
      <w:tr>
        <w:trPr>
          <w:trHeight w:val="399" w:hRule="exact"/>
        </w:trPr>
        <w:tc>
          <w:tcPr>
            <w:tcW w:w="23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7181"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6"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3" w:hRule="exact"/>
        </w:trPr>
        <w:tc>
          <w:tcPr>
            <w:tcW w:w="2391" w:type="dxa"/>
            <w:vMerge/>
            <w:tcBorders>
              <w:left w:val="single" w:sz="4" w:space="0" w:color="000000"/>
              <w:bottom w:val="single" w:sz="4" w:space="0" w:color="000000"/>
              <w:right w:val="single" w:sz="4" w:space="0" w:color="000000"/>
            </w:tcBorders>
            <w:shd w:val="clear" w:color="auto" w:fill="D2D2D2"/>
          </w:tcPr>
          <w:p>
            <w:pP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3"/>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 w:right="0"/>
              <w:jc w:val="center"/>
              <w:rPr>
                <w:rFonts w:ascii="宋体" w:hAnsi="宋体" w:cs="宋体" w:eastAsia="宋体" w:hint="default"/>
                <w:sz w:val="18"/>
                <w:szCs w:val="18"/>
              </w:rPr>
            </w:pPr>
            <w:r>
              <w:rPr>
                <w:rFonts w:ascii="宋体" w:hAnsi="宋体" w:cs="宋体" w:eastAsia="宋体" w:hint="default"/>
                <w:sz w:val="18"/>
                <w:szCs w:val="18"/>
              </w:rPr>
              <w:t>计提比例</w:t>
            </w:r>
          </w:p>
        </w:tc>
      </w:tr>
    </w:tbl>
    <w:p>
      <w:pPr>
        <w:pStyle w:val="BodyText"/>
        <w:spacing w:line="362" w:lineRule="auto" w:before="53"/>
        <w:ind w:right="0"/>
        <w:jc w:val="left"/>
      </w:pPr>
      <w:r>
        <w:rPr>
          <w:spacing w:val="-3"/>
        </w:rPr>
        <w:t>确定该组合依据的说明：</w:t>
      </w:r>
      <w:r>
        <w:rPr>
          <w:spacing w:val="-56"/>
        </w:rPr>
        <w:t> </w:t>
      </w:r>
      <w:r>
        <w:rPr>
          <w:spacing w:val="-56"/>
        </w:rPr>
      </w:r>
      <w:r>
        <w:rPr>
          <w:spacing w:val="-3"/>
        </w:rPr>
        <w:t>如是按照预期信用损失一般模型计提应收账款坏账准备，请参照其他应收款的披露方式披露坏账准备的相关信息：</w:t>
      </w:r>
    </w:p>
    <w:p>
      <w:pPr>
        <w:pStyle w:val="BodyText"/>
        <w:spacing w:line="357" w:lineRule="auto" w:before="23"/>
        <w:ind w:right="9217"/>
        <w:jc w:val="left"/>
      </w:pPr>
      <w:r>
        <w:rPr/>
        <w:t>□ </w:t>
      </w:r>
      <w:r>
        <w:rPr>
          <w:spacing w:val="-3"/>
        </w:rPr>
        <w:t>适用 </w:t>
      </w:r>
      <w:r>
        <w:rPr/>
        <w:t>√</w:t>
      </w:r>
      <w:r>
        <w:rPr>
          <w:spacing w:val="13"/>
        </w:rPr>
        <w:t> </w:t>
      </w:r>
      <w:r>
        <w:rPr/>
        <w:t>不适用</w:t>
      </w:r>
      <w:r>
        <w:rPr>
          <w:w w:val="101"/>
        </w:rPr>
        <w:t> </w:t>
      </w:r>
      <w:r>
        <w:rPr/>
        <w:t>按账龄披露</w:t>
      </w:r>
    </w:p>
    <w:p>
      <w:pPr>
        <w:pStyle w:val="BodyText"/>
        <w:spacing w:line="240" w:lineRule="auto" w:before="31"/>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4788"/>
        <w:gridCol w:w="4782"/>
      </w:tblGrid>
      <w:tr>
        <w:trPr>
          <w:trHeight w:val="398"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47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账面余额</w:t>
            </w:r>
          </w:p>
        </w:tc>
      </w:tr>
      <w:tr>
        <w:trPr>
          <w:trHeight w:val="408"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年以内（含</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pacing w:val="-5"/>
                <w:sz w:val="18"/>
                <w:szCs w:val="18"/>
              </w:rPr>
              <w:t>年）</w:t>
            </w:r>
            <w:r>
              <w:rPr>
                <w:rFonts w:ascii="宋体" w:hAnsi="宋体" w:cs="宋体" w:eastAsia="宋体" w:hint="default"/>
                <w:sz w:val="18"/>
                <w:szCs w:val="18"/>
              </w:rPr>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239,742,448.17</w:t>
            </w:r>
          </w:p>
        </w:tc>
      </w:tr>
      <w:tr>
        <w:trPr>
          <w:trHeight w:val="399"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年</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33,305,086.13</w:t>
            </w:r>
          </w:p>
        </w:tc>
      </w:tr>
      <w:tr>
        <w:trPr>
          <w:trHeight w:val="403"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年</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11,627,107.08</w:t>
            </w:r>
          </w:p>
        </w:tc>
      </w:tr>
      <w:tr>
        <w:trPr>
          <w:trHeight w:val="403"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年以上</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7,610,312.12</w:t>
            </w:r>
          </w:p>
        </w:tc>
      </w:tr>
      <w:tr>
        <w:trPr>
          <w:trHeight w:val="403"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8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年</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3,021,041.74</w:t>
            </w:r>
          </w:p>
        </w:tc>
      </w:tr>
      <w:tr>
        <w:trPr>
          <w:trHeight w:val="399"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28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年</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2,591,261.81</w:t>
            </w:r>
          </w:p>
        </w:tc>
      </w:tr>
      <w:tr>
        <w:trPr>
          <w:trHeight w:val="403"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8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1,998,008.57</w:t>
            </w:r>
          </w:p>
        </w:tc>
      </w:tr>
      <w:tr>
        <w:trPr>
          <w:trHeight w:val="403"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292,284,953.50</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2）本期计提、收回或转回的坏账准备情况" w:id="533"/>
      <w:bookmarkEnd w:id="533"/>
      <w:r>
        <w:rPr>
          <w:b w:val="0"/>
          <w:bCs w:val="0"/>
        </w:rPr>
      </w:r>
      <w:r>
        <w:rPr/>
        <w:t>（</w:t>
      </w:r>
      <w:r>
        <w:rPr>
          <w:rFonts w:ascii="Times New Roman" w:hAnsi="Times New Roman" w:cs="Times New Roman" w:eastAsia="Times New Roman" w:hint="default"/>
        </w:rPr>
        <w:t>2</w:t>
      </w:r>
      <w:r>
        <w:rPr/>
        <w:t>）本期计提、收回或转回的坏账准备情况</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right="0"/>
        <w:jc w:val="left"/>
      </w:pPr>
      <w:r>
        <w:rPr>
          <w:spacing w:val="-3"/>
        </w:rPr>
        <w:t>本期计提坏账准备情况：</w:t>
      </w:r>
    </w:p>
    <w:p>
      <w:pPr>
        <w:pStyle w:val="BodyText"/>
        <w:spacing w:line="240" w:lineRule="auto" w:before="119"/>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369"/>
        <w:gridCol w:w="1368"/>
        <w:gridCol w:w="1369"/>
        <w:gridCol w:w="1368"/>
        <w:gridCol w:w="1364"/>
        <w:gridCol w:w="1369"/>
        <w:gridCol w:w="1369"/>
      </w:tblGrid>
      <w:tr>
        <w:trPr>
          <w:trHeight w:val="403" w:hRule="exact"/>
        </w:trPr>
        <w:tc>
          <w:tcPr>
            <w:tcW w:w="136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321"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546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本期变动金额</w:t>
            </w:r>
          </w:p>
        </w:tc>
        <w:tc>
          <w:tcPr>
            <w:tcW w:w="136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32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99" w:hRule="exact"/>
        </w:trPr>
        <w:tc>
          <w:tcPr>
            <w:tcW w:w="1369"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计提</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30" w:right="0"/>
              <w:jc w:val="left"/>
              <w:rPr>
                <w:rFonts w:ascii="宋体" w:hAnsi="宋体" w:cs="宋体" w:eastAsia="宋体" w:hint="default"/>
                <w:sz w:val="18"/>
                <w:szCs w:val="18"/>
              </w:rPr>
            </w:pPr>
            <w:r>
              <w:rPr>
                <w:rFonts w:ascii="宋体" w:hAnsi="宋体" w:cs="宋体" w:eastAsia="宋体" w:hint="default"/>
                <w:sz w:val="18"/>
                <w:szCs w:val="18"/>
              </w:rPr>
              <w:t>收回或转回</w:t>
            </w:r>
          </w:p>
        </w:tc>
        <w:tc>
          <w:tcPr>
            <w:tcW w:w="13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94" w:right="0"/>
              <w:jc w:val="left"/>
              <w:rPr>
                <w:rFonts w:ascii="宋体" w:hAnsi="宋体" w:cs="宋体" w:eastAsia="宋体" w:hint="default"/>
                <w:sz w:val="18"/>
                <w:szCs w:val="18"/>
              </w:rPr>
            </w:pPr>
            <w:r>
              <w:rPr>
                <w:rFonts w:ascii="宋体" w:hAnsi="宋体" w:cs="宋体" w:eastAsia="宋体" w:hint="default"/>
                <w:sz w:val="18"/>
                <w:szCs w:val="18"/>
              </w:rPr>
              <w:t>核销</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369"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526"/>
              <w:jc w:val="right"/>
              <w:rPr>
                <w:rFonts w:ascii="宋体" w:hAnsi="宋体" w:cs="宋体" w:eastAsia="宋体" w:hint="default"/>
                <w:sz w:val="18"/>
                <w:szCs w:val="18"/>
              </w:rPr>
            </w:pPr>
            <w:r>
              <w:rPr>
                <w:rFonts w:ascii="宋体" w:hAnsi="宋体" w:cs="宋体" w:eastAsia="宋体" w:hint="default"/>
                <w:spacing w:val="-2"/>
                <w:sz w:val="18"/>
                <w:szCs w:val="18"/>
              </w:rPr>
              <w:t>账龄组合</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15,368,827.25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-101,026.86</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533" w:right="0"/>
              <w:jc w:val="left"/>
              <w:rPr>
                <w:rFonts w:ascii="Times New Roman" w:hAnsi="Times New Roman" w:cs="Times New Roman" w:eastAsia="Times New Roman" w:hint="default"/>
                <w:sz w:val="18"/>
                <w:szCs w:val="18"/>
              </w:rPr>
            </w:pPr>
            <w:r>
              <w:rPr>
                <w:rFonts w:ascii="Times New Roman"/>
                <w:sz w:val="18"/>
              </w:rPr>
              <w:t>76,181.52</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15,267,800.39</w:t>
            </w: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492"/>
              <w:jc w:val="righ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15,368,827.25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-101,026.86</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533" w:right="0"/>
              <w:jc w:val="left"/>
              <w:rPr>
                <w:rFonts w:ascii="Times New Roman" w:hAnsi="Times New Roman" w:cs="Times New Roman" w:eastAsia="Times New Roman" w:hint="default"/>
                <w:sz w:val="18"/>
                <w:szCs w:val="18"/>
              </w:rPr>
            </w:pPr>
            <w:r>
              <w:rPr>
                <w:rFonts w:ascii="Times New Roman"/>
                <w:sz w:val="18"/>
              </w:rPr>
              <w:t>76,181.52</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15,267,800.39</w:t>
            </w:r>
          </w:p>
        </w:tc>
      </w:tr>
    </w:tbl>
    <w:p>
      <w:pPr>
        <w:pStyle w:val="BodyText"/>
        <w:spacing w:line="240" w:lineRule="auto" w:before="53"/>
        <w:ind w:right="0"/>
        <w:jc w:val="left"/>
      </w:pPr>
      <w:r>
        <w:rPr>
          <w:spacing w:val="-3"/>
        </w:rPr>
        <w:t>其中本期坏账准备收回或转回金额重要的：</w:t>
      </w:r>
    </w:p>
    <w:p>
      <w:pPr>
        <w:pStyle w:val="BodyText"/>
        <w:spacing w:line="240" w:lineRule="auto" w:before="119"/>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371"/>
        <w:gridCol w:w="3102"/>
        <w:gridCol w:w="3097"/>
      </w:tblGrid>
      <w:tr>
        <w:trPr>
          <w:trHeight w:val="404" w:hRule="exact"/>
        </w:trPr>
        <w:tc>
          <w:tcPr>
            <w:tcW w:w="33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1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911" w:right="0"/>
              <w:jc w:val="left"/>
              <w:rPr>
                <w:rFonts w:ascii="宋体" w:hAnsi="宋体" w:cs="宋体" w:eastAsia="宋体" w:hint="default"/>
                <w:sz w:val="18"/>
                <w:szCs w:val="18"/>
              </w:rPr>
            </w:pPr>
            <w:r>
              <w:rPr>
                <w:rFonts w:ascii="宋体" w:hAnsi="宋体" w:cs="宋体" w:eastAsia="宋体" w:hint="default"/>
                <w:spacing w:val="-3"/>
                <w:sz w:val="18"/>
                <w:szCs w:val="18"/>
              </w:rPr>
              <w:t>收回或转回金额</w:t>
            </w:r>
          </w:p>
        </w:tc>
        <w:tc>
          <w:tcPr>
            <w:tcW w:w="30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sz w:val="18"/>
                <w:szCs w:val="18"/>
              </w:rPr>
              <w:t>收回方式</w:t>
            </w:r>
          </w:p>
        </w:tc>
      </w:tr>
    </w:tbl>
    <w:p>
      <w:pPr>
        <w:spacing w:after="0" w:line="240" w:lineRule="auto"/>
        <w:jc w:val="center"/>
        <w:rPr>
          <w:rFonts w:ascii="宋体" w:hAnsi="宋体" w:cs="宋体" w:eastAsia="宋体" w:hint="default"/>
          <w:sz w:val="18"/>
          <w:szCs w:val="18"/>
        </w:rPr>
        <w:sectPr>
          <w:type w:val="continuous"/>
          <w:pgSz w:w="11910" w:h="16840"/>
          <w:pgMar w:top="1100" w:bottom="1220" w:left="980" w:right="0"/>
        </w:sectPr>
      </w:pPr>
    </w:p>
    <w:p>
      <w:pPr>
        <w:spacing w:line="240" w:lineRule="auto" w:before="13"/>
        <w:rPr>
          <w:rFonts w:ascii="宋体" w:hAnsi="宋体" w:cs="宋体" w:eastAsia="宋体" w:hint="default"/>
          <w:sz w:val="21"/>
          <w:szCs w:val="21"/>
        </w:rPr>
      </w:pPr>
    </w:p>
    <w:p>
      <w:pPr>
        <w:pStyle w:val="Heading4"/>
        <w:spacing w:line="240" w:lineRule="auto" w:before="36"/>
        <w:ind w:right="0"/>
        <w:jc w:val="left"/>
        <w:rPr>
          <w:b w:val="0"/>
          <w:bCs w:val="0"/>
        </w:rPr>
      </w:pPr>
      <w:bookmarkStart w:name="（3）本期实际核销的应收账款情况" w:id="534"/>
      <w:bookmarkEnd w:id="534"/>
      <w:r>
        <w:rPr>
          <w:b w:val="0"/>
          <w:bCs w:val="0"/>
        </w:rPr>
      </w:r>
      <w:r>
        <w:rPr/>
        <w:t>（</w:t>
      </w:r>
      <w:r>
        <w:rPr>
          <w:rFonts w:ascii="Times New Roman" w:hAnsi="Times New Roman" w:cs="Times New Roman" w:eastAsia="Times New Roman" w:hint="default"/>
        </w:rPr>
        <w:t>3</w:t>
      </w:r>
      <w:r>
        <w:rPr/>
        <w:t>）本期实际核销的应收账款情况</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4984"/>
        <w:gridCol w:w="4585"/>
      </w:tblGrid>
      <w:tr>
        <w:trPr>
          <w:trHeight w:val="404"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5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9" w:right="0"/>
              <w:jc w:val="center"/>
              <w:rPr>
                <w:rFonts w:ascii="宋体" w:hAnsi="宋体" w:cs="宋体" w:eastAsia="宋体" w:hint="default"/>
                <w:sz w:val="18"/>
                <w:szCs w:val="18"/>
              </w:rPr>
            </w:pPr>
            <w:r>
              <w:rPr>
                <w:rFonts w:ascii="宋体" w:hAnsi="宋体" w:cs="宋体" w:eastAsia="宋体" w:hint="default"/>
                <w:sz w:val="18"/>
                <w:szCs w:val="18"/>
              </w:rPr>
              <w:t>核销金额</w:t>
            </w:r>
          </w:p>
        </w:tc>
      </w:tr>
      <w:tr>
        <w:trPr>
          <w:trHeight w:val="403" w:hRule="exact"/>
        </w:trPr>
        <w:tc>
          <w:tcPr>
            <w:tcW w:w="4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76,181.52</w:t>
            </w:r>
          </w:p>
        </w:tc>
      </w:tr>
    </w:tbl>
    <w:p>
      <w:pPr>
        <w:pStyle w:val="BodyText"/>
        <w:spacing w:line="240" w:lineRule="auto" w:before="53"/>
        <w:ind w:right="0"/>
        <w:jc w:val="left"/>
      </w:pPr>
      <w:r>
        <w:rPr>
          <w:spacing w:val="-3"/>
        </w:rPr>
        <w:t>其中重要的应收账款核销情况：</w:t>
      </w:r>
    </w:p>
    <w:p>
      <w:pPr>
        <w:pStyle w:val="BodyText"/>
        <w:spacing w:line="240" w:lineRule="auto" w:before="115"/>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685"/>
        <w:gridCol w:w="1551"/>
        <w:gridCol w:w="1551"/>
        <w:gridCol w:w="1556"/>
        <w:gridCol w:w="1613"/>
        <w:gridCol w:w="1618"/>
      </w:tblGrid>
      <w:tr>
        <w:trPr>
          <w:trHeight w:val="713" w:hRule="exact"/>
        </w:trPr>
        <w:tc>
          <w:tcPr>
            <w:tcW w:w="16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80"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0" w:right="0"/>
              <w:jc w:val="left"/>
              <w:rPr>
                <w:rFonts w:ascii="宋体" w:hAnsi="宋体" w:cs="宋体" w:eastAsia="宋体" w:hint="default"/>
                <w:sz w:val="18"/>
                <w:szCs w:val="18"/>
              </w:rPr>
            </w:pPr>
            <w:r>
              <w:rPr>
                <w:rFonts w:ascii="宋体" w:hAnsi="宋体" w:cs="宋体" w:eastAsia="宋体" w:hint="default"/>
                <w:sz w:val="18"/>
                <w:szCs w:val="18"/>
              </w:rPr>
              <w:t>应收账款性质</w:t>
            </w:r>
          </w:p>
        </w:tc>
        <w:tc>
          <w:tcPr>
            <w:tcW w:w="15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13"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5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12"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16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8" w:right="0"/>
              <w:jc w:val="left"/>
              <w:rPr>
                <w:rFonts w:ascii="宋体" w:hAnsi="宋体" w:cs="宋体" w:eastAsia="宋体" w:hint="default"/>
                <w:sz w:val="18"/>
                <w:szCs w:val="18"/>
              </w:rPr>
            </w:pPr>
            <w:r>
              <w:rPr>
                <w:rFonts w:ascii="宋体" w:hAnsi="宋体" w:cs="宋体" w:eastAsia="宋体" w:hint="default"/>
                <w:spacing w:val="-3"/>
                <w:sz w:val="18"/>
                <w:szCs w:val="18"/>
              </w:rPr>
              <w:t>履行的核销程序</w:t>
            </w:r>
          </w:p>
        </w:tc>
        <w:tc>
          <w:tcPr>
            <w:tcW w:w="16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4"/>
              <w:ind w:left="442" w:right="171" w:hanging="270"/>
              <w:jc w:val="left"/>
              <w:rPr>
                <w:rFonts w:ascii="宋体" w:hAnsi="宋体" w:cs="宋体" w:eastAsia="宋体" w:hint="default"/>
                <w:sz w:val="18"/>
                <w:szCs w:val="18"/>
              </w:rPr>
            </w:pPr>
            <w:r>
              <w:rPr>
                <w:rFonts w:ascii="宋体" w:hAnsi="宋体" w:cs="宋体" w:eastAsia="宋体" w:hint="default"/>
                <w:spacing w:val="-3"/>
                <w:sz w:val="18"/>
                <w:szCs w:val="18"/>
              </w:rPr>
              <w:t>款项是否由关联</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交易产生</w:t>
            </w:r>
          </w:p>
        </w:tc>
      </w:tr>
    </w:tbl>
    <w:p>
      <w:pPr>
        <w:pStyle w:val="BodyText"/>
        <w:spacing w:line="240" w:lineRule="auto" w:before="56"/>
        <w:ind w:right="0"/>
        <w:jc w:val="left"/>
      </w:pPr>
      <w:r>
        <w:rPr>
          <w:spacing w:val="-3"/>
        </w:rPr>
        <w:t>应收账款核销说明：</w:t>
      </w:r>
    </w:p>
    <w:p>
      <w:pPr>
        <w:spacing w:line="240" w:lineRule="auto" w:before="4"/>
        <w:rPr>
          <w:rFonts w:ascii="宋体" w:hAnsi="宋体" w:cs="宋体" w:eastAsia="宋体" w:hint="default"/>
          <w:sz w:val="26"/>
          <w:szCs w:val="26"/>
        </w:rPr>
      </w:pPr>
    </w:p>
    <w:p>
      <w:pPr>
        <w:pStyle w:val="Heading4"/>
        <w:spacing w:line="240" w:lineRule="auto"/>
        <w:ind w:right="0"/>
        <w:jc w:val="left"/>
        <w:rPr>
          <w:b w:val="0"/>
          <w:bCs w:val="0"/>
        </w:rPr>
      </w:pPr>
      <w:bookmarkStart w:name="（4）按欠款方归集的期末余额前五名的应收账款情况" w:id="535"/>
      <w:bookmarkEnd w:id="535"/>
      <w:r>
        <w:rPr>
          <w:b w:val="0"/>
          <w:bCs w:val="0"/>
        </w:rPr>
      </w:r>
      <w:r>
        <w:rPr/>
        <w:t>（</w:t>
      </w:r>
      <w:r>
        <w:rPr>
          <w:rFonts w:ascii="Times New Roman" w:hAnsi="Times New Roman" w:cs="Times New Roman" w:eastAsia="Times New Roman" w:hint="default"/>
        </w:rPr>
        <w:t>4</w:t>
      </w:r>
      <w:r>
        <w:rPr/>
        <w:t>）按欠款方归集的期末余额前五名的应收账款情况</w:t>
      </w:r>
      <w:r>
        <w:rPr>
          <w:b w:val="0"/>
          <w:bCs w:val="0"/>
        </w:rPr>
      </w:r>
    </w:p>
    <w:p>
      <w:pPr>
        <w:spacing w:line="240" w:lineRule="auto" w:before="7"/>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10"/>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391"/>
        <w:gridCol w:w="2396"/>
        <w:gridCol w:w="2391"/>
        <w:gridCol w:w="2391"/>
      </w:tblGrid>
      <w:tr>
        <w:trPr>
          <w:trHeight w:val="713"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470" w:right="0"/>
              <w:jc w:val="left"/>
              <w:rPr>
                <w:rFonts w:ascii="宋体" w:hAnsi="宋体" w:cs="宋体" w:eastAsia="宋体" w:hint="default"/>
                <w:sz w:val="18"/>
                <w:szCs w:val="18"/>
              </w:rPr>
            </w:pPr>
            <w:r>
              <w:rPr>
                <w:rFonts w:ascii="宋体" w:hAnsi="宋体" w:cs="宋体" w:eastAsia="宋体" w:hint="default"/>
                <w:sz w:val="18"/>
                <w:szCs w:val="18"/>
              </w:rPr>
              <w:t>应收账款期末余额</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6"/>
              <w:ind w:left="916" w:right="109" w:hanging="812"/>
              <w:jc w:val="left"/>
              <w:rPr>
                <w:rFonts w:ascii="宋体" w:hAnsi="宋体" w:cs="宋体" w:eastAsia="宋体" w:hint="default"/>
                <w:sz w:val="18"/>
                <w:szCs w:val="18"/>
              </w:rPr>
            </w:pPr>
            <w:r>
              <w:rPr>
                <w:rFonts w:ascii="宋体" w:hAnsi="宋体" w:cs="宋体" w:eastAsia="宋体" w:hint="default"/>
                <w:spacing w:val="-3"/>
                <w:sz w:val="18"/>
                <w:szCs w:val="18"/>
              </w:rPr>
              <w:t>占应收账款期末余额合计数</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的比例</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470" w:right="0"/>
              <w:jc w:val="left"/>
              <w:rPr>
                <w:rFonts w:ascii="宋体" w:hAnsi="宋体" w:cs="宋体" w:eastAsia="宋体" w:hint="default"/>
                <w:sz w:val="18"/>
                <w:szCs w:val="18"/>
              </w:rPr>
            </w:pPr>
            <w:r>
              <w:rPr>
                <w:rFonts w:ascii="宋体" w:hAnsi="宋体" w:cs="宋体" w:eastAsia="宋体" w:hint="default"/>
                <w:sz w:val="18"/>
                <w:szCs w:val="18"/>
              </w:rPr>
              <w:t>坏账准备期末余额</w:t>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65,987,456.97</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22.57%</w:t>
            </w:r>
          </w:p>
        </w:tc>
        <w:tc>
          <w:tcPr>
            <w:tcW w:w="2391"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23,397,961.70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8.01%</w:t>
            </w:r>
          </w:p>
        </w:tc>
        <w:tc>
          <w:tcPr>
            <w:tcW w:w="2391"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22,301,388.17</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7.63%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1,410,401.32</w:t>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21,902,386.95</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pacing w:val="-1"/>
                <w:sz w:val="18"/>
              </w:rPr>
              <w:t>7.49%</w:t>
            </w:r>
          </w:p>
        </w:tc>
        <w:tc>
          <w:tcPr>
            <w:tcW w:w="239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21,238,995.23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7.27%</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1,061,949.76</w:t>
            </w:r>
          </w:p>
        </w:tc>
      </w:tr>
      <w:tr>
        <w:trPr>
          <w:trHeight w:val="404"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154,828,189.02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52.97%</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5）因金融资产转移而终止确认的应收账款" w:id="536"/>
      <w:bookmarkEnd w:id="536"/>
      <w:r>
        <w:rPr>
          <w:b w:val="0"/>
          <w:bCs w:val="0"/>
        </w:rPr>
      </w:r>
      <w:r>
        <w:rPr/>
        <w:t>（</w:t>
      </w:r>
      <w:r>
        <w:rPr>
          <w:rFonts w:ascii="Times New Roman" w:hAnsi="Times New Roman" w:cs="Times New Roman" w:eastAsia="Times New Roman" w:hint="default"/>
        </w:rPr>
        <w:t>5</w:t>
      </w:r>
      <w:r>
        <w:rPr/>
        <w:t>）因金融资产转移而终止确认的应收账款</w:t>
      </w:r>
      <w:r>
        <w:rPr>
          <w:b w:val="0"/>
          <w:bCs w:val="0"/>
        </w:rPr>
      </w:r>
    </w:p>
    <w:p>
      <w:pPr>
        <w:spacing w:line="240" w:lineRule="auto" w:before="4"/>
        <w:rPr>
          <w:rFonts w:ascii="宋体" w:hAnsi="宋体" w:cs="宋体" w:eastAsia="宋体" w:hint="default"/>
          <w:b/>
          <w:bCs/>
          <w:sz w:val="26"/>
          <w:szCs w:val="26"/>
        </w:rPr>
      </w:pPr>
    </w:p>
    <w:p>
      <w:pPr>
        <w:pStyle w:val="BodyText"/>
        <w:spacing w:line="240" w:lineRule="auto" w:before="0"/>
        <w:ind w:right="0"/>
        <w:jc w:val="left"/>
      </w:pPr>
      <w:r>
        <w:rPr/>
        <w:t>无。</w:t>
      </w:r>
    </w:p>
    <w:p>
      <w:pPr>
        <w:spacing w:line="240" w:lineRule="auto" w:before="0"/>
        <w:rPr>
          <w:rFonts w:ascii="宋体" w:hAnsi="宋体" w:cs="宋体" w:eastAsia="宋体" w:hint="default"/>
          <w:sz w:val="18"/>
          <w:szCs w:val="18"/>
        </w:rPr>
      </w:pPr>
    </w:p>
    <w:p>
      <w:pPr>
        <w:pStyle w:val="Heading4"/>
        <w:spacing w:line="240" w:lineRule="auto" w:before="118"/>
        <w:ind w:right="0"/>
        <w:jc w:val="left"/>
        <w:rPr>
          <w:b w:val="0"/>
          <w:bCs w:val="0"/>
        </w:rPr>
      </w:pPr>
      <w:bookmarkStart w:name="（6）转移应收账款且继续涉入形成的资产、负债金额" w:id="537"/>
      <w:bookmarkEnd w:id="537"/>
      <w:r>
        <w:rPr>
          <w:b w:val="0"/>
          <w:bCs w:val="0"/>
        </w:rPr>
      </w:r>
      <w:r>
        <w:rPr/>
        <w:t>（</w:t>
      </w:r>
      <w:r>
        <w:rPr>
          <w:rFonts w:ascii="Times New Roman" w:hAnsi="Times New Roman" w:cs="Times New Roman" w:eastAsia="Times New Roman" w:hint="default"/>
        </w:rPr>
        <w:t>6</w:t>
      </w:r>
      <w:r>
        <w:rPr/>
        <w:t>）转移应收账款且继续涉入形成的资产、负债金额</w:t>
      </w:r>
      <w:r>
        <w:rPr>
          <w:b w:val="0"/>
          <w:bCs w:val="0"/>
        </w:rPr>
      </w:r>
    </w:p>
    <w:p>
      <w:pPr>
        <w:spacing w:line="240" w:lineRule="auto" w:before="4"/>
        <w:rPr>
          <w:rFonts w:ascii="宋体" w:hAnsi="宋体" w:cs="宋体" w:eastAsia="宋体" w:hint="default"/>
          <w:b/>
          <w:bCs/>
          <w:sz w:val="26"/>
          <w:szCs w:val="26"/>
        </w:rPr>
      </w:pPr>
    </w:p>
    <w:p>
      <w:pPr>
        <w:pStyle w:val="BodyText"/>
        <w:spacing w:line="360" w:lineRule="auto" w:before="0"/>
        <w:ind w:right="9861"/>
        <w:jc w:val="left"/>
      </w:pPr>
      <w:r>
        <w:rPr/>
        <w:t>无。</w:t>
      </w:r>
      <w:r>
        <w:rPr>
          <w:spacing w:val="-86"/>
        </w:rPr>
        <w:t> </w:t>
      </w:r>
      <w:r>
        <w:rPr>
          <w:spacing w:val="-2"/>
        </w:rPr>
        <w:t>其他说明：</w:t>
      </w:r>
      <w:r>
        <w:rPr>
          <w:spacing w:val="-78"/>
        </w:rPr>
        <w:t> </w:t>
      </w:r>
      <w:r>
        <w:rPr>
          <w:spacing w:val="-78"/>
        </w:rPr>
      </w:r>
      <w:r>
        <w:rPr/>
        <w:t>无。</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bookmarkStart w:name="2、其他应收款" w:id="538"/>
      <w:bookmarkEnd w:id="538"/>
      <w:r>
        <w:rPr>
          <w:b w:val="0"/>
          <w:bCs w:val="0"/>
        </w:rPr>
      </w:r>
      <w:r>
        <w:rPr>
          <w:rFonts w:ascii="Times New Roman" w:hAnsi="Times New Roman" w:cs="Times New Roman" w:eastAsia="Times New Roman" w:hint="default"/>
        </w:rPr>
        <w:t>2</w:t>
      </w:r>
      <w:r>
        <w:rPr/>
        <w:t>、其他应收款</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398"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980,705.25</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240,370.43</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1,000,000.00</w:t>
            </w:r>
          </w:p>
        </w:tc>
        <w:tc>
          <w:tcPr>
            <w:tcW w:w="3193"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84" w:footer="1022" w:top="1100" w:bottom="1220" w:left="980" w:right="0"/>
        </w:sectPr>
      </w:pPr>
    </w:p>
    <w:p>
      <w:pPr>
        <w:spacing w:line="240" w:lineRule="auto" w:before="7"/>
        <w:rPr>
          <w:rFonts w:ascii="宋体" w:hAnsi="宋体" w:cs="宋体" w:eastAsia="宋体" w:hint="default"/>
          <w:sz w:val="25"/>
          <w:szCs w:val="25"/>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91,134,482.27</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110,317,068.75</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93,115,187.52</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110,557,439.18</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1）应收利息" w:id="539"/>
      <w:bookmarkEnd w:id="539"/>
      <w:r>
        <w:rPr>
          <w:b w:val="0"/>
          <w:bCs w:val="0"/>
        </w:rPr>
      </w:r>
      <w:r>
        <w:rPr/>
        <w:t>（</w:t>
      </w:r>
      <w:r>
        <w:rPr>
          <w:rFonts w:ascii="Times New Roman" w:hAnsi="Times New Roman" w:cs="Times New Roman" w:eastAsia="Times New Roman" w:hint="default"/>
        </w:rPr>
        <w:t>1</w:t>
      </w:r>
      <w:r>
        <w:rPr/>
        <w:t>）应收利息</w:t>
      </w:r>
      <w:r>
        <w:rPr>
          <w:b w:val="0"/>
          <w:bCs w:val="0"/>
        </w:rPr>
      </w:r>
    </w:p>
    <w:p>
      <w:pPr>
        <w:spacing w:line="240" w:lineRule="auto" w:before="5"/>
        <w:rPr>
          <w:rFonts w:ascii="宋体" w:hAnsi="宋体" w:cs="宋体" w:eastAsia="宋体" w:hint="default"/>
          <w:b/>
          <w:bCs/>
          <w:sz w:val="24"/>
          <w:szCs w:val="24"/>
        </w:rPr>
      </w:pPr>
    </w:p>
    <w:p>
      <w:pPr>
        <w:pStyle w:val="Heading4"/>
        <w:spacing w:line="240" w:lineRule="auto"/>
        <w:ind w:right="0"/>
        <w:jc w:val="left"/>
        <w:rPr>
          <w:b w:val="0"/>
          <w:bCs w:val="0"/>
        </w:rPr>
      </w:pPr>
      <w:bookmarkStart w:name="1）应收利息分类" w:id="540"/>
      <w:bookmarkEnd w:id="540"/>
      <w:r>
        <w:rPr>
          <w:b w:val="0"/>
          <w:bCs w:val="0"/>
        </w:rPr>
      </w:r>
      <w:r>
        <w:rPr>
          <w:rFonts w:ascii="Times New Roman" w:hAnsi="Times New Roman" w:cs="Times New Roman" w:eastAsia="Times New Roman" w:hint="default"/>
        </w:rPr>
        <w:t>1</w:t>
      </w:r>
      <w:r>
        <w:rPr/>
        <w:t>）应收利息分类</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93"/>
        <w:gridCol w:w="3189"/>
        <w:gridCol w:w="3193"/>
      </w:tblGrid>
      <w:tr>
        <w:trPr>
          <w:trHeight w:val="404" w:hRule="exact"/>
        </w:trPr>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98" w:hRule="exact"/>
        </w:trPr>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定期存款</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980,705.25</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pacing w:val="-1"/>
                <w:sz w:val="18"/>
              </w:rPr>
              <w:t>240,370.43</w:t>
            </w:r>
          </w:p>
        </w:tc>
      </w:tr>
      <w:tr>
        <w:trPr>
          <w:trHeight w:val="403" w:hRule="exact"/>
        </w:trPr>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980,705.25</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8"/>
              <w:jc w:val="right"/>
              <w:rPr>
                <w:rFonts w:ascii="Times New Roman" w:hAnsi="Times New Roman" w:cs="Times New Roman" w:eastAsia="Times New Roman" w:hint="default"/>
                <w:sz w:val="18"/>
                <w:szCs w:val="18"/>
              </w:rPr>
            </w:pPr>
            <w:r>
              <w:rPr>
                <w:rFonts w:ascii="Times New Roman"/>
                <w:spacing w:val="-1"/>
                <w:sz w:val="18"/>
              </w:rPr>
              <w:t>240,370.43</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2）重要逾期利息" w:id="541"/>
      <w:bookmarkEnd w:id="541"/>
      <w:r>
        <w:rPr>
          <w:b w:val="0"/>
          <w:bCs w:val="0"/>
        </w:rPr>
      </w:r>
      <w:r>
        <w:rPr>
          <w:rFonts w:ascii="Times New Roman" w:hAnsi="Times New Roman" w:cs="Times New Roman" w:eastAsia="Times New Roman" w:hint="default"/>
        </w:rPr>
        <w:t>2</w:t>
      </w:r>
      <w:r>
        <w:rPr/>
        <w:t>）重要逾期利息</w:t>
      </w:r>
      <w:r>
        <w:rPr>
          <w:b w:val="0"/>
          <w:bCs w:val="0"/>
        </w:rPr>
      </w:r>
    </w:p>
    <w:p>
      <w:pPr>
        <w:spacing w:line="240" w:lineRule="auto" w:before="12"/>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1916"/>
        <w:gridCol w:w="1916"/>
        <w:gridCol w:w="1911"/>
        <w:gridCol w:w="1916"/>
        <w:gridCol w:w="1916"/>
      </w:tblGrid>
      <w:tr>
        <w:trPr>
          <w:trHeight w:val="710"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595" w:right="0"/>
              <w:jc w:val="left"/>
              <w:rPr>
                <w:rFonts w:ascii="宋体" w:hAnsi="宋体" w:cs="宋体" w:eastAsia="宋体" w:hint="default"/>
                <w:sz w:val="18"/>
                <w:szCs w:val="18"/>
              </w:rPr>
            </w:pPr>
            <w:r>
              <w:rPr>
                <w:rFonts w:ascii="宋体" w:hAnsi="宋体" w:cs="宋体" w:eastAsia="宋体" w:hint="default"/>
                <w:sz w:val="18"/>
                <w:szCs w:val="18"/>
              </w:rPr>
              <w:t>借款单位</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590"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590" w:right="0"/>
              <w:jc w:val="left"/>
              <w:rPr>
                <w:rFonts w:ascii="宋体" w:hAnsi="宋体" w:cs="宋体" w:eastAsia="宋体" w:hint="default"/>
                <w:sz w:val="18"/>
                <w:szCs w:val="18"/>
              </w:rPr>
            </w:pPr>
            <w:r>
              <w:rPr>
                <w:rFonts w:ascii="宋体" w:hAnsi="宋体" w:cs="宋体" w:eastAsia="宋体" w:hint="default"/>
                <w:sz w:val="18"/>
                <w:szCs w:val="18"/>
              </w:rPr>
              <w:t>逾期时间</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595" w:right="0"/>
              <w:jc w:val="left"/>
              <w:rPr>
                <w:rFonts w:ascii="宋体" w:hAnsi="宋体" w:cs="宋体" w:eastAsia="宋体" w:hint="default"/>
                <w:sz w:val="18"/>
                <w:szCs w:val="18"/>
              </w:rPr>
            </w:pPr>
            <w:r>
              <w:rPr>
                <w:rFonts w:ascii="宋体" w:hAnsi="宋体" w:cs="宋体" w:eastAsia="宋体" w:hint="default"/>
                <w:sz w:val="18"/>
                <w:szCs w:val="18"/>
              </w:rPr>
              <w:t>逾期原因</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686" w:right="137" w:hanging="543"/>
              <w:jc w:val="left"/>
              <w:rPr>
                <w:rFonts w:ascii="宋体" w:hAnsi="宋体" w:cs="宋体" w:eastAsia="宋体" w:hint="default"/>
                <w:sz w:val="18"/>
                <w:szCs w:val="18"/>
              </w:rPr>
            </w:pPr>
            <w:r>
              <w:rPr>
                <w:rFonts w:ascii="宋体" w:hAnsi="宋体" w:cs="宋体" w:eastAsia="宋体" w:hint="default"/>
                <w:spacing w:val="-3"/>
                <w:sz w:val="18"/>
                <w:szCs w:val="18"/>
              </w:rPr>
              <w:t>是否发生减值及其判</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断依据</w:t>
            </w:r>
          </w:p>
        </w:tc>
      </w:tr>
    </w:tbl>
    <w:p>
      <w:pPr>
        <w:pStyle w:val="BodyText"/>
        <w:spacing w:line="357" w:lineRule="auto" w:before="53"/>
        <w:ind w:right="9861"/>
        <w:jc w:val="left"/>
      </w:pPr>
      <w:r>
        <w:rPr>
          <w:spacing w:val="-2"/>
        </w:rPr>
        <w:t>其他说明：</w:t>
      </w:r>
      <w:r>
        <w:rPr>
          <w:spacing w:val="-78"/>
        </w:rPr>
        <w:t> </w:t>
      </w:r>
      <w:r>
        <w:rPr>
          <w:spacing w:val="-78"/>
        </w:rPr>
      </w:r>
      <w:r>
        <w:rPr/>
        <w:t>无。</w:t>
      </w:r>
    </w:p>
    <w:p>
      <w:pPr>
        <w:spacing w:line="240" w:lineRule="auto" w:before="3"/>
        <w:rPr>
          <w:rFonts w:ascii="宋体" w:hAnsi="宋体" w:cs="宋体" w:eastAsia="宋体" w:hint="default"/>
          <w:sz w:val="20"/>
          <w:szCs w:val="20"/>
        </w:rPr>
      </w:pPr>
    </w:p>
    <w:p>
      <w:pPr>
        <w:pStyle w:val="Heading4"/>
        <w:spacing w:line="240" w:lineRule="auto"/>
        <w:ind w:right="0"/>
        <w:jc w:val="left"/>
        <w:rPr>
          <w:b w:val="0"/>
          <w:bCs w:val="0"/>
        </w:rPr>
      </w:pPr>
      <w:bookmarkStart w:name="3）坏账准备计提情况" w:id="542"/>
      <w:bookmarkEnd w:id="542"/>
      <w:r>
        <w:rPr>
          <w:b w:val="0"/>
          <w:bCs w:val="0"/>
        </w:rPr>
      </w:r>
      <w:r>
        <w:rPr>
          <w:rFonts w:ascii="Times New Roman" w:hAnsi="Times New Roman" w:cs="Times New Roman" w:eastAsia="Times New Roman" w:hint="default"/>
        </w:rPr>
        <w:t>3</w:t>
      </w:r>
      <w:r>
        <w:rPr/>
        <w:t>）坏账准备计提情况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before="0"/>
        <w:ind w:right="0"/>
        <w:jc w:val="left"/>
      </w:pPr>
      <w:r>
        <w:rPr/>
        <w:t>□ </w:t>
      </w:r>
      <w:r>
        <w:rPr>
          <w:spacing w:val="-3"/>
        </w:rPr>
        <w:t>适用 </w:t>
      </w:r>
      <w:r>
        <w:rPr/>
        <w:t>√</w:t>
      </w:r>
      <w:r>
        <w:rPr>
          <w:spacing w:val="13"/>
        </w:rPr>
        <w:t> </w:t>
      </w:r>
      <w:r>
        <w:rPr/>
        <w:t>不适用</w:t>
      </w:r>
    </w:p>
    <w:p>
      <w:pPr>
        <w:spacing w:line="240" w:lineRule="auto" w:before="9"/>
        <w:rPr>
          <w:rFonts w:ascii="宋体" w:hAnsi="宋体" w:cs="宋体" w:eastAsia="宋体" w:hint="default"/>
          <w:sz w:val="26"/>
          <w:szCs w:val="26"/>
        </w:rPr>
      </w:pPr>
    </w:p>
    <w:p>
      <w:pPr>
        <w:pStyle w:val="Heading4"/>
        <w:spacing w:line="240" w:lineRule="auto"/>
        <w:ind w:right="0"/>
        <w:jc w:val="left"/>
        <w:rPr>
          <w:b w:val="0"/>
          <w:bCs w:val="0"/>
        </w:rPr>
      </w:pPr>
      <w:bookmarkStart w:name="（2）应收股利" w:id="543"/>
      <w:bookmarkEnd w:id="543"/>
      <w:r>
        <w:rPr>
          <w:b w:val="0"/>
          <w:bCs w:val="0"/>
        </w:rPr>
      </w:r>
      <w:r>
        <w:rPr/>
        <w:t>（</w:t>
      </w:r>
      <w:r>
        <w:rPr>
          <w:rFonts w:ascii="Times New Roman" w:hAnsi="Times New Roman" w:cs="Times New Roman" w:eastAsia="Times New Roman" w:hint="default"/>
        </w:rPr>
        <w:t>2</w:t>
      </w:r>
      <w:r>
        <w:rPr/>
        <w:t>）应收股利</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0"/>
        <w:jc w:val="left"/>
        <w:rPr>
          <w:b w:val="0"/>
          <w:bCs w:val="0"/>
        </w:rPr>
      </w:pPr>
      <w:bookmarkStart w:name="1）应收股利分类" w:id="544"/>
      <w:bookmarkEnd w:id="544"/>
      <w:r>
        <w:rPr>
          <w:b w:val="0"/>
          <w:bCs w:val="0"/>
        </w:rPr>
      </w:r>
      <w:r>
        <w:rPr>
          <w:rFonts w:ascii="Times New Roman" w:hAnsi="Times New Roman" w:cs="Times New Roman" w:eastAsia="Times New Roman" w:hint="default"/>
        </w:rPr>
        <w:t>1</w:t>
      </w:r>
      <w:r>
        <w:rPr/>
        <w:t>）应收股利分类</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93"/>
        <w:gridCol w:w="3189"/>
        <w:gridCol w:w="3193"/>
      </w:tblGrid>
      <w:tr>
        <w:trPr>
          <w:trHeight w:val="399" w:hRule="exact"/>
        </w:trPr>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81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项目</w:t>
            </w:r>
            <w:r>
              <w:rPr>
                <w:rFonts w:ascii="Times New Roman" w:hAnsi="Times New Roman" w:cs="Times New Roman" w:eastAsia="Times New Roman" w:hint="default"/>
                <w:sz w:val="18"/>
                <w:szCs w:val="18"/>
              </w:rPr>
              <w:t>(</w:t>
            </w:r>
            <w:r>
              <w:rPr>
                <w:rFonts w:ascii="宋体" w:hAnsi="宋体" w:cs="宋体" w:eastAsia="宋体" w:hint="default"/>
                <w:sz w:val="18"/>
                <w:szCs w:val="18"/>
              </w:rPr>
              <w:t>或被投资单位</w:t>
            </w:r>
            <w:r>
              <w:rPr>
                <w:rFonts w:ascii="Times New Roman" w:hAnsi="Times New Roman" w:cs="Times New Roman" w:eastAsia="Times New Roman" w:hint="default"/>
                <w:sz w:val="18"/>
                <w:szCs w:val="18"/>
              </w:rPr>
              <w:t>)</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715" w:hRule="exact"/>
        </w:trPr>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8"/>
              <w:ind w:left="105" w:right="190"/>
              <w:jc w:val="left"/>
              <w:rPr>
                <w:rFonts w:ascii="宋体" w:hAnsi="宋体" w:cs="宋体" w:eastAsia="宋体" w:hint="default"/>
                <w:sz w:val="18"/>
                <w:szCs w:val="18"/>
              </w:rPr>
            </w:pPr>
            <w:r>
              <w:rPr>
                <w:rFonts w:ascii="宋体" w:hAnsi="宋体" w:cs="宋体" w:eastAsia="宋体" w:hint="default"/>
                <w:spacing w:val="-3"/>
                <w:sz w:val="18"/>
                <w:szCs w:val="18"/>
              </w:rPr>
              <w:t>深圳市鹏鼎创盈金融信息服务股份有</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z w:val="18"/>
                <w:szCs w:val="18"/>
              </w:rPr>
              <w:t>限公司</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1,000,000.00</w:t>
            </w:r>
          </w:p>
        </w:tc>
        <w:tc>
          <w:tcPr>
            <w:tcW w:w="319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1,000,000.00</w:t>
            </w:r>
          </w:p>
        </w:tc>
        <w:tc>
          <w:tcPr>
            <w:tcW w:w="3193"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2）重要的账龄超过1年的应收股利" w:id="545"/>
      <w:bookmarkEnd w:id="545"/>
      <w:r>
        <w:rPr>
          <w:b w:val="0"/>
          <w:bCs w:val="0"/>
        </w:rPr>
      </w:r>
      <w:r>
        <w:rPr>
          <w:rFonts w:ascii="Times New Roman" w:hAnsi="Times New Roman" w:cs="Times New Roman" w:eastAsia="Times New Roman" w:hint="default"/>
        </w:rPr>
        <w:t>2</w:t>
      </w:r>
      <w:r>
        <w:rPr/>
        <w:t>）重要的账龄超过</w:t>
      </w:r>
      <w:r>
        <w:rPr>
          <w:spacing w:val="-50"/>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年的应收股利</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16"/>
        <w:gridCol w:w="1916"/>
        <w:gridCol w:w="1911"/>
        <w:gridCol w:w="1916"/>
        <w:gridCol w:w="1916"/>
      </w:tblGrid>
      <w:tr>
        <w:trPr>
          <w:trHeight w:val="711"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7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项目</w:t>
            </w:r>
            <w:r>
              <w:rPr>
                <w:rFonts w:ascii="Times New Roman" w:hAnsi="Times New Roman" w:cs="Times New Roman" w:eastAsia="Times New Roman" w:hint="default"/>
                <w:sz w:val="18"/>
                <w:szCs w:val="18"/>
              </w:rPr>
              <w:t>(</w:t>
            </w:r>
            <w:r>
              <w:rPr>
                <w:rFonts w:ascii="宋体" w:hAnsi="宋体" w:cs="宋体" w:eastAsia="宋体" w:hint="default"/>
                <w:sz w:val="18"/>
                <w:szCs w:val="18"/>
              </w:rPr>
              <w:t>或被投资单位</w:t>
            </w:r>
            <w:r>
              <w:rPr>
                <w:rFonts w:ascii="Times New Roman" w:hAnsi="Times New Roman" w:cs="Times New Roman" w:eastAsia="Times New Roman" w:hint="default"/>
                <w:sz w:val="18"/>
                <w:szCs w:val="18"/>
              </w:rPr>
              <w:t>)</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0"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13" w:right="0"/>
              <w:jc w:val="left"/>
              <w:rPr>
                <w:rFonts w:ascii="宋体" w:hAnsi="宋体" w:cs="宋体" w:eastAsia="宋体" w:hint="default"/>
                <w:sz w:val="18"/>
                <w:szCs w:val="18"/>
              </w:rPr>
            </w:pPr>
            <w:r>
              <w:rPr>
                <w:rFonts w:ascii="宋体" w:hAnsi="宋体" w:cs="宋体" w:eastAsia="宋体" w:hint="default"/>
                <w:sz w:val="18"/>
                <w:szCs w:val="18"/>
              </w:rPr>
              <w:t>未收回的原因</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686" w:right="137" w:hanging="543"/>
              <w:jc w:val="left"/>
              <w:rPr>
                <w:rFonts w:ascii="宋体" w:hAnsi="宋体" w:cs="宋体" w:eastAsia="宋体" w:hint="default"/>
                <w:sz w:val="18"/>
                <w:szCs w:val="18"/>
              </w:rPr>
            </w:pPr>
            <w:r>
              <w:rPr>
                <w:rFonts w:ascii="宋体" w:hAnsi="宋体" w:cs="宋体" w:eastAsia="宋体" w:hint="default"/>
                <w:spacing w:val="-3"/>
                <w:sz w:val="18"/>
                <w:szCs w:val="18"/>
              </w:rPr>
              <w:t>是否发生减值及其判</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断依据</w:t>
            </w:r>
          </w:p>
        </w:tc>
      </w:tr>
    </w:tbl>
    <w:p>
      <w:pPr>
        <w:spacing w:after="0" w:line="316" w:lineRule="auto"/>
        <w:jc w:val="left"/>
        <w:rPr>
          <w:rFonts w:ascii="宋体" w:hAnsi="宋体" w:cs="宋体" w:eastAsia="宋体" w:hint="default"/>
          <w:sz w:val="18"/>
          <w:szCs w:val="18"/>
        </w:rPr>
        <w:sectPr>
          <w:pgSz w:w="11910" w:h="16840"/>
          <w:pgMar w:header="784" w:footer="1022" w:top="1100" w:bottom="1220" w:left="980" w:right="0"/>
        </w:sectPr>
      </w:pPr>
    </w:p>
    <w:p>
      <w:pPr>
        <w:spacing w:line="240" w:lineRule="auto" w:before="13"/>
        <w:rPr>
          <w:rFonts w:ascii="宋体" w:hAnsi="宋体" w:cs="宋体" w:eastAsia="宋体" w:hint="default"/>
          <w:sz w:val="21"/>
          <w:szCs w:val="21"/>
        </w:rPr>
      </w:pPr>
    </w:p>
    <w:p>
      <w:pPr>
        <w:pStyle w:val="Heading4"/>
        <w:spacing w:line="240" w:lineRule="auto" w:before="36"/>
        <w:ind w:right="0"/>
        <w:jc w:val="left"/>
        <w:rPr>
          <w:b w:val="0"/>
          <w:bCs w:val="0"/>
        </w:rPr>
      </w:pPr>
      <w:bookmarkStart w:name="3）坏账准备计提情况" w:id="546"/>
      <w:bookmarkEnd w:id="546"/>
      <w:r>
        <w:rPr>
          <w:b w:val="0"/>
          <w:bCs w:val="0"/>
        </w:rPr>
      </w:r>
      <w:r>
        <w:rPr>
          <w:rFonts w:ascii="Times New Roman" w:hAnsi="Times New Roman" w:cs="Times New Roman" w:eastAsia="Times New Roman" w:hint="default"/>
        </w:rPr>
        <w:t>3</w:t>
      </w:r>
      <w:r>
        <w:rPr/>
        <w:t>）坏账准备计提情况</w:t>
      </w:r>
      <w:r>
        <w:rPr>
          <w:b w:val="0"/>
          <w:bCs w:val="0"/>
        </w:rPr>
      </w:r>
    </w:p>
    <w:p>
      <w:pPr>
        <w:spacing w:line="240" w:lineRule="auto" w:before="9"/>
        <w:rPr>
          <w:rFonts w:ascii="宋体" w:hAnsi="宋体" w:cs="宋体" w:eastAsia="宋体" w:hint="default"/>
          <w:b/>
          <w:bCs/>
          <w:sz w:val="26"/>
          <w:szCs w:val="26"/>
        </w:rPr>
      </w:pPr>
    </w:p>
    <w:p>
      <w:pPr>
        <w:pStyle w:val="BodyText"/>
        <w:spacing w:line="357" w:lineRule="auto" w:before="0"/>
        <w:ind w:right="9217"/>
        <w:jc w:val="left"/>
      </w:pPr>
      <w:r>
        <w:rPr/>
        <w:t>□ </w:t>
      </w:r>
      <w:r>
        <w:rPr>
          <w:spacing w:val="-3"/>
        </w:rPr>
        <w:t>适用 </w:t>
      </w:r>
      <w:r>
        <w:rPr/>
        <w:t>√</w:t>
      </w:r>
      <w:r>
        <w:rPr>
          <w:spacing w:val="13"/>
        </w:rPr>
        <w:t> </w:t>
      </w:r>
      <w:r>
        <w:rPr/>
        <w:t>不适用</w:t>
      </w:r>
      <w:r>
        <w:rPr>
          <w:w w:val="101"/>
        </w:rPr>
        <w:t> </w:t>
      </w:r>
      <w:r>
        <w:rPr/>
        <w:t>其他说明：</w:t>
      </w:r>
    </w:p>
    <w:p>
      <w:pPr>
        <w:pStyle w:val="BodyText"/>
        <w:spacing w:line="240" w:lineRule="auto" w:before="22"/>
        <w:ind w:right="0"/>
        <w:jc w:val="left"/>
      </w:pPr>
      <w:r>
        <w:rPr/>
        <w:t>无。</w:t>
      </w:r>
    </w:p>
    <w:p>
      <w:pPr>
        <w:spacing w:line="240" w:lineRule="auto" w:before="0"/>
        <w:rPr>
          <w:rFonts w:ascii="宋体" w:hAnsi="宋体" w:cs="宋体" w:eastAsia="宋体" w:hint="default"/>
          <w:sz w:val="18"/>
          <w:szCs w:val="18"/>
        </w:rPr>
      </w:pPr>
    </w:p>
    <w:p>
      <w:pPr>
        <w:pStyle w:val="Heading4"/>
        <w:spacing w:line="240" w:lineRule="auto" w:before="118"/>
        <w:ind w:right="0"/>
        <w:jc w:val="left"/>
        <w:rPr>
          <w:b w:val="0"/>
          <w:bCs w:val="0"/>
        </w:rPr>
      </w:pPr>
      <w:bookmarkStart w:name="（3）其他应收款" w:id="547"/>
      <w:bookmarkEnd w:id="547"/>
      <w:r>
        <w:rPr>
          <w:b w:val="0"/>
          <w:bCs w:val="0"/>
        </w:rPr>
      </w:r>
      <w:r>
        <w:rPr/>
        <w:t>（</w:t>
      </w:r>
      <w:r>
        <w:rPr>
          <w:rFonts w:ascii="Times New Roman" w:hAnsi="Times New Roman" w:cs="Times New Roman" w:eastAsia="Times New Roman" w:hint="default"/>
        </w:rPr>
        <w:t>3</w:t>
      </w:r>
      <w:r>
        <w:rPr/>
        <w:t>）其他应收款</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0"/>
        <w:jc w:val="left"/>
        <w:rPr>
          <w:b w:val="0"/>
          <w:bCs w:val="0"/>
        </w:rPr>
      </w:pPr>
      <w:bookmarkStart w:name="1）其他应收款按款项性质分类情况" w:id="548"/>
      <w:bookmarkEnd w:id="548"/>
      <w:r>
        <w:rPr>
          <w:b w:val="0"/>
          <w:bCs w:val="0"/>
        </w:rPr>
      </w:r>
      <w:r>
        <w:rPr>
          <w:rFonts w:ascii="Times New Roman" w:hAnsi="Times New Roman" w:cs="Times New Roman" w:eastAsia="Times New Roman" w:hint="default"/>
        </w:rPr>
        <w:t>1</w:t>
      </w:r>
      <w:r>
        <w:rPr/>
        <w:t>）其他应收款按款项性质分类情况</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1"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46"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398"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押金</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4,148,895.30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pacing w:val="-2"/>
                <w:sz w:val="18"/>
              </w:rPr>
              <w:t>2,805,114.06</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2,498,230.33</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2,669,156.72</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内部往来</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85,208,522.83</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105,299,976.29</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442,547.67</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pacing w:val="-2"/>
                <w:sz w:val="18"/>
              </w:rPr>
              <w:t>441,304.11</w:t>
            </w:r>
          </w:p>
        </w:tc>
      </w:tr>
      <w:tr>
        <w:trPr>
          <w:trHeight w:val="398"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92,298,196.13</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2"/>
                <w:sz w:val="18"/>
              </w:rPr>
              <w:t>111,215,551.18</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2）坏账准备计提情况" w:id="549"/>
      <w:bookmarkEnd w:id="549"/>
      <w:r>
        <w:rPr>
          <w:b w:val="0"/>
          <w:bCs w:val="0"/>
        </w:rPr>
      </w:r>
      <w:r>
        <w:rPr>
          <w:rFonts w:ascii="Times New Roman" w:hAnsi="Times New Roman" w:cs="Times New Roman" w:eastAsia="Times New Roman" w:hint="default"/>
        </w:rPr>
        <w:t>2</w:t>
      </w:r>
      <w:r>
        <w:rPr/>
        <w:t>）坏账准备计提情况</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16"/>
        <w:gridCol w:w="1652"/>
        <w:gridCol w:w="2098"/>
        <w:gridCol w:w="2103"/>
        <w:gridCol w:w="1800"/>
      </w:tblGrid>
      <w:tr>
        <w:trPr>
          <w:trHeight w:val="403" w:hRule="exact"/>
        </w:trPr>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595"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1" w:right="0"/>
              <w:jc w:val="left"/>
              <w:rPr>
                <w:rFonts w:ascii="宋体" w:hAnsi="宋体" w:cs="宋体" w:eastAsia="宋体" w:hint="default"/>
                <w:sz w:val="18"/>
                <w:szCs w:val="18"/>
              </w:rPr>
            </w:pPr>
            <w:r>
              <w:rPr>
                <w:rFonts w:ascii="宋体" w:hAnsi="宋体" w:cs="宋体" w:eastAsia="宋体" w:hint="default"/>
                <w:sz w:val="18"/>
                <w:szCs w:val="18"/>
              </w:rPr>
              <w:t>第一阶段</w:t>
            </w:r>
          </w:p>
        </w:tc>
        <w:tc>
          <w:tcPr>
            <w:tcW w:w="20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第二阶段</w:t>
            </w:r>
          </w:p>
        </w:tc>
        <w:tc>
          <w:tcPr>
            <w:tcW w:w="21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第三阶段</w:t>
            </w:r>
          </w:p>
        </w:tc>
        <w:tc>
          <w:tcPr>
            <w:tcW w:w="180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711" w:hRule="exact"/>
        </w:trPr>
        <w:tc>
          <w:tcPr>
            <w:tcW w:w="1916" w:type="dxa"/>
            <w:vMerge/>
            <w:tcBorders>
              <w:left w:val="single" w:sz="4" w:space="0" w:color="000000"/>
              <w:bottom w:val="single" w:sz="4" w:space="0" w:color="000000"/>
              <w:right w:val="single" w:sz="4" w:space="0" w:color="000000"/>
            </w:tcBorders>
            <w:shd w:val="clear" w:color="auto" w:fill="D2D2D2"/>
          </w:tcPr>
          <w:p>
            <w:pPr/>
          </w:p>
        </w:tc>
        <w:tc>
          <w:tcPr>
            <w:tcW w:w="1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4"/>
              <w:ind w:left="461" w:right="137" w:hanging="312"/>
              <w:jc w:val="left"/>
              <w:rPr>
                <w:rFonts w:ascii="宋体" w:hAnsi="宋体" w:cs="宋体" w:eastAsia="宋体" w:hint="default"/>
                <w:sz w:val="18"/>
                <w:szCs w:val="18"/>
              </w:rPr>
            </w:pPr>
            <w:r>
              <w:rPr>
                <w:rFonts w:ascii="宋体" w:hAnsi="宋体" w:cs="宋体" w:eastAsia="宋体" w:hint="default"/>
                <w:sz w:val="18"/>
                <w:szCs w:val="18"/>
              </w:rPr>
              <w:t>未来</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6"/>
                <w:sz w:val="18"/>
                <w:szCs w:val="18"/>
              </w:rPr>
              <w:t> </w:t>
            </w:r>
            <w:r>
              <w:rPr>
                <w:rFonts w:ascii="宋体" w:hAnsi="宋体" w:cs="宋体" w:eastAsia="宋体" w:hint="default"/>
                <w:spacing w:val="-3"/>
                <w:sz w:val="18"/>
                <w:szCs w:val="18"/>
              </w:rPr>
              <w:t>个月预期</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信用损失</w:t>
            </w:r>
          </w:p>
        </w:tc>
        <w:tc>
          <w:tcPr>
            <w:tcW w:w="20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4"/>
              <w:ind w:left="263" w:right="137" w:hanging="120"/>
              <w:jc w:val="left"/>
              <w:rPr>
                <w:rFonts w:ascii="Times New Roman" w:hAnsi="Times New Roman" w:cs="Times New Roman" w:eastAsia="Times New Roman" w:hint="default"/>
                <w:sz w:val="18"/>
                <w:szCs w:val="18"/>
              </w:rPr>
            </w:pPr>
            <w:r>
              <w:rPr>
                <w:rFonts w:ascii="宋体" w:hAnsi="宋体" w:cs="宋体" w:eastAsia="宋体" w:hint="default"/>
                <w:spacing w:val="-2"/>
                <w:sz w:val="18"/>
                <w:szCs w:val="18"/>
              </w:rPr>
              <w:t>整个存续期预期信用损</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失</w:t>
            </w:r>
            <w:r>
              <w:rPr>
                <w:rFonts w:ascii="Times New Roman" w:hAnsi="Times New Roman" w:cs="Times New Roman" w:eastAsia="Times New Roman" w:hint="default"/>
                <w:sz w:val="18"/>
                <w:szCs w:val="18"/>
              </w:rPr>
              <w:t>(</w:t>
            </w:r>
            <w:r>
              <w:rPr>
                <w:rFonts w:ascii="宋体" w:hAnsi="宋体" w:cs="宋体" w:eastAsia="宋体" w:hint="default"/>
                <w:sz w:val="18"/>
                <w:szCs w:val="18"/>
              </w:rPr>
              <w:t>未发生信用减值</w:t>
            </w:r>
            <w:r>
              <w:rPr>
                <w:rFonts w:ascii="Times New Roman" w:hAnsi="Times New Roman" w:cs="Times New Roman" w:eastAsia="Times New Roman" w:hint="default"/>
                <w:sz w:val="18"/>
                <w:szCs w:val="18"/>
              </w:rPr>
              <w:t>)</w:t>
            </w:r>
          </w:p>
        </w:tc>
        <w:tc>
          <w:tcPr>
            <w:tcW w:w="21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4"/>
              <w:ind w:left="264" w:right="142" w:hanging="120"/>
              <w:jc w:val="left"/>
              <w:rPr>
                <w:rFonts w:ascii="Times New Roman" w:hAnsi="Times New Roman" w:cs="Times New Roman" w:eastAsia="Times New Roman" w:hint="default"/>
                <w:sz w:val="18"/>
                <w:szCs w:val="18"/>
              </w:rPr>
            </w:pPr>
            <w:r>
              <w:rPr>
                <w:rFonts w:ascii="宋体" w:hAnsi="宋体" w:cs="宋体" w:eastAsia="宋体" w:hint="default"/>
                <w:spacing w:val="-2"/>
                <w:sz w:val="18"/>
                <w:szCs w:val="18"/>
              </w:rPr>
              <w:t>整个存续期预期信用损</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失</w:t>
            </w:r>
            <w:r>
              <w:rPr>
                <w:rFonts w:ascii="Times New Roman" w:hAnsi="Times New Roman" w:cs="Times New Roman" w:eastAsia="Times New Roman" w:hint="default"/>
                <w:sz w:val="18"/>
                <w:szCs w:val="18"/>
              </w:rPr>
              <w:t>(</w:t>
            </w:r>
            <w:r>
              <w:rPr>
                <w:rFonts w:ascii="宋体" w:hAnsi="宋体" w:cs="宋体" w:eastAsia="宋体" w:hint="default"/>
                <w:sz w:val="18"/>
                <w:szCs w:val="18"/>
              </w:rPr>
              <w:t>已发生信用减值</w:t>
            </w:r>
            <w:r>
              <w:rPr>
                <w:rFonts w:ascii="Times New Roman" w:hAnsi="Times New Roman" w:cs="Times New Roman" w:eastAsia="Times New Roman" w:hint="default"/>
                <w:sz w:val="18"/>
                <w:szCs w:val="18"/>
              </w:rPr>
              <w:t>)</w:t>
            </w:r>
          </w:p>
        </w:tc>
        <w:tc>
          <w:tcPr>
            <w:tcW w:w="1800"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日余额</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898,482.43</w:t>
            </w:r>
          </w:p>
        </w:tc>
        <w:tc>
          <w:tcPr>
            <w:tcW w:w="2098" w:type="dxa"/>
            <w:tcBorders>
              <w:top w:val="single" w:sz="4" w:space="0" w:color="000000"/>
              <w:left w:val="single" w:sz="4" w:space="0" w:color="000000"/>
              <w:bottom w:val="single" w:sz="4" w:space="0" w:color="000000"/>
              <w:right w:val="single" w:sz="4" w:space="0" w:color="000000"/>
            </w:tcBorders>
          </w:tcPr>
          <w:p>
            <w:pPr/>
          </w:p>
        </w:tc>
        <w:tc>
          <w:tcPr>
            <w:tcW w:w="2103"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898,482.43</w:t>
            </w:r>
          </w:p>
        </w:tc>
      </w:tr>
      <w:tr>
        <w:trPr>
          <w:trHeight w:val="715"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4" w:lineRule="auto" w:before="53"/>
              <w:ind w:left="105" w:right="127"/>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日余额</w:t>
            </w:r>
            <w:r>
              <w:rPr>
                <w:rFonts w:ascii="宋体" w:hAnsi="宋体" w:cs="宋体" w:eastAsia="宋体" w:hint="default"/>
                <w:w w:val="101"/>
                <w:sz w:val="18"/>
                <w:szCs w:val="18"/>
              </w:rPr>
              <w:t> </w:t>
            </w:r>
            <w:r>
              <w:rPr>
                <w:rFonts w:ascii="宋体" w:hAnsi="宋体" w:cs="宋体" w:eastAsia="宋体" w:hint="default"/>
                <w:sz w:val="18"/>
                <w:szCs w:val="18"/>
              </w:rPr>
              <w:t>在本期</w:t>
            </w:r>
          </w:p>
        </w:tc>
        <w:tc>
          <w:tcPr>
            <w:tcW w:w="1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w:t>
            </w:r>
          </w:p>
        </w:tc>
        <w:tc>
          <w:tcPr>
            <w:tcW w:w="20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w:t>
            </w:r>
          </w:p>
        </w:tc>
        <w:tc>
          <w:tcPr>
            <w:tcW w:w="21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1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w:t>
            </w:r>
          </w:p>
        </w:tc>
      </w:tr>
      <w:tr>
        <w:trPr>
          <w:trHeight w:val="404"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本期计提</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265,231.43</w:t>
            </w:r>
          </w:p>
        </w:tc>
        <w:tc>
          <w:tcPr>
            <w:tcW w:w="2098" w:type="dxa"/>
            <w:tcBorders>
              <w:top w:val="single" w:sz="4" w:space="0" w:color="000000"/>
              <w:left w:val="single" w:sz="4" w:space="0" w:color="000000"/>
              <w:bottom w:val="single" w:sz="4" w:space="0" w:color="000000"/>
              <w:right w:val="single" w:sz="4" w:space="0" w:color="000000"/>
            </w:tcBorders>
          </w:tcPr>
          <w:p>
            <w:pPr/>
          </w:p>
        </w:tc>
        <w:tc>
          <w:tcPr>
            <w:tcW w:w="2103"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265,231.43</w:t>
            </w:r>
          </w:p>
        </w:tc>
      </w:tr>
      <w:tr>
        <w:trPr>
          <w:trHeight w:val="715"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105" w:right="127"/>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日余</w:t>
            </w:r>
            <w:r>
              <w:rPr>
                <w:rFonts w:ascii="宋体" w:hAnsi="宋体" w:cs="宋体" w:eastAsia="宋体" w:hint="default"/>
                <w:w w:val="101"/>
                <w:sz w:val="18"/>
                <w:szCs w:val="18"/>
              </w:rPr>
              <w:t> </w:t>
            </w:r>
            <w:r>
              <w:rPr>
                <w:rFonts w:ascii="宋体" w:hAnsi="宋体" w:cs="宋体" w:eastAsia="宋体" w:hint="default"/>
                <w:sz w:val="18"/>
                <w:szCs w:val="18"/>
              </w:rPr>
              <w:t>额</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1,163,713.86</w:t>
            </w:r>
          </w:p>
        </w:tc>
        <w:tc>
          <w:tcPr>
            <w:tcW w:w="2098" w:type="dxa"/>
            <w:tcBorders>
              <w:top w:val="single" w:sz="4" w:space="0" w:color="000000"/>
              <w:left w:val="single" w:sz="4" w:space="0" w:color="000000"/>
              <w:bottom w:val="single" w:sz="4" w:space="0" w:color="000000"/>
              <w:right w:val="single" w:sz="4" w:space="0" w:color="000000"/>
            </w:tcBorders>
          </w:tcPr>
          <w:p>
            <w:pPr/>
          </w:p>
        </w:tc>
        <w:tc>
          <w:tcPr>
            <w:tcW w:w="2103"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1,163,713.86</w:t>
            </w:r>
          </w:p>
        </w:tc>
      </w:tr>
    </w:tbl>
    <w:p>
      <w:pPr>
        <w:spacing w:after="0" w:line="240" w:lineRule="auto"/>
        <w:jc w:val="right"/>
        <w:rPr>
          <w:rFonts w:ascii="Times New Roman" w:hAnsi="Times New Roman" w:cs="Times New Roman" w:eastAsia="Times New Roman" w:hint="default"/>
          <w:sz w:val="18"/>
          <w:szCs w:val="18"/>
        </w:rPr>
        <w:sectPr>
          <w:pgSz w:w="11910" w:h="16840"/>
          <w:pgMar w:header="784" w:footer="1022" w:top="1100" w:bottom="1220" w:left="980" w:right="0"/>
        </w:sectPr>
      </w:pPr>
    </w:p>
    <w:p>
      <w:pPr>
        <w:pStyle w:val="BodyText"/>
        <w:spacing w:line="240" w:lineRule="auto" w:before="53"/>
        <w:ind w:right="0"/>
        <w:jc w:val="left"/>
      </w:pPr>
      <w:r>
        <w:rPr>
          <w:spacing w:val="-3"/>
        </w:rPr>
        <w:t>损失准备本期变动金额重大的账面余额变动情况</w:t>
      </w:r>
    </w:p>
    <w:p>
      <w:pPr>
        <w:pStyle w:val="BodyText"/>
        <w:spacing w:line="362" w:lineRule="auto" w:before="115"/>
        <w:ind w:right="2229"/>
        <w:jc w:val="left"/>
      </w:pPr>
      <w:r>
        <w:rPr/>
        <w:t>□ </w:t>
      </w:r>
      <w:r>
        <w:rPr>
          <w:spacing w:val="-3"/>
        </w:rPr>
        <w:t>适用 </w:t>
      </w:r>
      <w:r>
        <w:rPr/>
        <w:t>√</w:t>
      </w:r>
      <w:r>
        <w:rPr>
          <w:spacing w:val="13"/>
        </w:rPr>
        <w:t> </w:t>
      </w:r>
      <w:r>
        <w:rPr/>
        <w:t>不适用</w:t>
      </w:r>
      <w:r>
        <w:rPr>
          <w:w w:val="101"/>
        </w:rPr>
        <w:t> </w:t>
      </w:r>
      <w:r>
        <w:rPr/>
        <w:t>按账龄披露</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2"/>
          <w:szCs w:val="12"/>
        </w:rPr>
      </w:pPr>
    </w:p>
    <w:p>
      <w:pPr>
        <w:pStyle w:val="BodyText"/>
        <w:spacing w:line="240" w:lineRule="auto" w:before="0"/>
        <w:ind w:right="0"/>
        <w:jc w:val="left"/>
      </w:pPr>
      <w:r>
        <w:rPr/>
        <w:t>单位：</w:t>
      </w:r>
      <w:r>
        <w:rPr>
          <w:spacing w:val="5"/>
        </w:rPr>
        <w:t> </w:t>
      </w:r>
      <w:r>
        <w:rPr/>
        <w:t>元</w:t>
      </w:r>
    </w:p>
    <w:p>
      <w:pPr>
        <w:spacing w:after="0" w:line="240" w:lineRule="auto"/>
        <w:jc w:val="left"/>
        <w:sectPr>
          <w:type w:val="continuous"/>
          <w:pgSz w:w="11910" w:h="16840"/>
          <w:pgMar w:top="1100" w:bottom="1220" w:left="980" w:right="0"/>
          <w:cols w:num="2" w:equalWidth="0">
            <w:col w:w="3937" w:space="4894"/>
            <w:col w:w="2099"/>
          </w:cols>
        </w:sectPr>
      </w:pP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4788"/>
        <w:gridCol w:w="4782"/>
      </w:tblGrid>
      <w:tr>
        <w:trPr>
          <w:trHeight w:val="398"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47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账面余额</w:t>
            </w:r>
          </w:p>
        </w:tc>
      </w:tr>
      <w:tr>
        <w:trPr>
          <w:trHeight w:val="408"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年以内（含</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pacing w:val="-5"/>
                <w:sz w:val="18"/>
                <w:szCs w:val="18"/>
              </w:rPr>
              <w:t>年）</w:t>
            </w:r>
            <w:r>
              <w:rPr>
                <w:rFonts w:ascii="宋体" w:hAnsi="宋体" w:cs="宋体" w:eastAsia="宋体" w:hint="default"/>
                <w:sz w:val="18"/>
                <w:szCs w:val="18"/>
              </w:rPr>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89,562,412.23</w:t>
            </w:r>
          </w:p>
        </w:tc>
      </w:tr>
      <w:tr>
        <w:trPr>
          <w:trHeight w:val="401"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年</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541,903.86</w:t>
            </w:r>
          </w:p>
        </w:tc>
      </w:tr>
      <w:tr>
        <w:trPr>
          <w:trHeight w:val="401"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年</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94"/>
              <w:jc w:val="right"/>
              <w:rPr>
                <w:rFonts w:ascii="Times New Roman" w:hAnsi="Times New Roman" w:cs="Times New Roman" w:eastAsia="Times New Roman" w:hint="default"/>
                <w:sz w:val="18"/>
                <w:szCs w:val="18"/>
              </w:rPr>
            </w:pPr>
            <w:r>
              <w:rPr>
                <w:rFonts w:ascii="Times New Roman"/>
                <w:spacing w:val="-1"/>
                <w:sz w:val="18"/>
              </w:rPr>
              <w:t>1,180,145.04</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100" w:bottom="1220" w:left="980" w:right="0"/>
        </w:sectPr>
      </w:pPr>
    </w:p>
    <w:p>
      <w:pPr>
        <w:spacing w:line="240" w:lineRule="auto" w:before="7"/>
        <w:rPr>
          <w:rFonts w:ascii="宋体" w:hAnsi="宋体" w:cs="宋体" w:eastAsia="宋体" w:hint="default"/>
          <w:sz w:val="25"/>
          <w:szCs w:val="25"/>
        </w:rPr>
      </w:pPr>
    </w:p>
    <w:tbl>
      <w:tblPr>
        <w:tblW w:w="0" w:type="auto"/>
        <w:jc w:val="left"/>
        <w:tblInd w:w="148" w:type="dxa"/>
        <w:tblLayout w:type="fixed"/>
        <w:tblCellMar>
          <w:top w:w="0" w:type="dxa"/>
          <w:left w:w="0" w:type="dxa"/>
          <w:bottom w:w="0" w:type="dxa"/>
          <w:right w:w="0" w:type="dxa"/>
        </w:tblCellMar>
        <w:tblLook w:val="01E0"/>
      </w:tblPr>
      <w:tblGrid>
        <w:gridCol w:w="4788"/>
        <w:gridCol w:w="4782"/>
      </w:tblGrid>
      <w:tr>
        <w:trPr>
          <w:trHeight w:val="403"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年以上</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1,013,735.00</w:t>
            </w:r>
          </w:p>
        </w:tc>
      </w:tr>
      <w:tr>
        <w:trPr>
          <w:trHeight w:val="401"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年</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196,925.00</w:t>
            </w:r>
          </w:p>
        </w:tc>
      </w:tr>
      <w:tr>
        <w:trPr>
          <w:trHeight w:val="401"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年</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94"/>
              <w:jc w:val="right"/>
              <w:rPr>
                <w:rFonts w:ascii="Times New Roman" w:hAnsi="Times New Roman" w:cs="Times New Roman" w:eastAsia="Times New Roman" w:hint="default"/>
                <w:sz w:val="18"/>
                <w:szCs w:val="18"/>
              </w:rPr>
            </w:pPr>
            <w:r>
              <w:rPr>
                <w:rFonts w:ascii="Times New Roman"/>
                <w:spacing w:val="-1"/>
                <w:sz w:val="18"/>
              </w:rPr>
              <w:t>507,185.00</w:t>
            </w:r>
          </w:p>
        </w:tc>
      </w:tr>
      <w:tr>
        <w:trPr>
          <w:trHeight w:val="403"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年以上</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309,625.00</w:t>
            </w:r>
          </w:p>
        </w:tc>
      </w:tr>
      <w:tr>
        <w:trPr>
          <w:trHeight w:val="403" w:hRule="exact"/>
        </w:trPr>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92,298,196.13</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3）本期计提、收回或转回的坏账准备情况" w:id="550"/>
      <w:bookmarkEnd w:id="550"/>
      <w:r>
        <w:rPr>
          <w:b w:val="0"/>
          <w:bCs w:val="0"/>
        </w:rPr>
      </w:r>
      <w:r>
        <w:rPr>
          <w:rFonts w:ascii="Times New Roman" w:hAnsi="Times New Roman" w:cs="Times New Roman" w:eastAsia="Times New Roman" w:hint="default"/>
        </w:rPr>
        <w:t>3</w:t>
      </w:r>
      <w:r>
        <w:rPr/>
        <w:t>）本期计提、收回或转回的坏账准备情况</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right="0"/>
        <w:jc w:val="left"/>
      </w:pPr>
      <w:r>
        <w:rPr>
          <w:spacing w:val="-3"/>
        </w:rPr>
        <w:t>本期计提坏账准备情况：</w:t>
      </w:r>
    </w:p>
    <w:p>
      <w:pPr>
        <w:pStyle w:val="BodyText"/>
        <w:spacing w:line="240" w:lineRule="auto" w:before="115"/>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580"/>
        <w:gridCol w:w="1085"/>
        <w:gridCol w:w="1335"/>
        <w:gridCol w:w="1330"/>
        <w:gridCol w:w="1090"/>
        <w:gridCol w:w="1575"/>
        <w:gridCol w:w="1580"/>
      </w:tblGrid>
      <w:tr>
        <w:trPr>
          <w:trHeight w:val="403" w:hRule="exact"/>
        </w:trPr>
        <w:tc>
          <w:tcPr>
            <w:tcW w:w="158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08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77"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5330"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本期变动金额</w:t>
            </w:r>
          </w:p>
        </w:tc>
        <w:tc>
          <w:tcPr>
            <w:tcW w:w="158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22"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98" w:hRule="exact"/>
        </w:trPr>
        <w:tc>
          <w:tcPr>
            <w:tcW w:w="1580" w:type="dxa"/>
            <w:vMerge/>
            <w:tcBorders>
              <w:left w:val="single" w:sz="4" w:space="0" w:color="000000"/>
              <w:bottom w:val="single" w:sz="4" w:space="0" w:color="000000"/>
              <w:right w:val="single" w:sz="4" w:space="0" w:color="000000"/>
            </w:tcBorders>
            <w:shd w:val="clear" w:color="auto" w:fill="D2D2D2"/>
          </w:tcPr>
          <w:p>
            <w:pPr/>
          </w:p>
        </w:tc>
        <w:tc>
          <w:tcPr>
            <w:tcW w:w="1085" w:type="dxa"/>
            <w:vMerge/>
            <w:tcBorders>
              <w:left w:val="single" w:sz="4" w:space="0" w:color="000000"/>
              <w:bottom w:val="single" w:sz="4" w:space="0" w:color="000000"/>
              <w:right w:val="single" w:sz="4" w:space="0" w:color="000000"/>
            </w:tcBorders>
            <w:shd w:val="clear" w:color="auto" w:fill="D2D2D2"/>
          </w:tcPr>
          <w:p>
            <w:pPr/>
          </w:p>
        </w:tc>
        <w:tc>
          <w:tcPr>
            <w:tcW w:w="13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8" w:right="0"/>
              <w:jc w:val="center"/>
              <w:rPr>
                <w:rFonts w:ascii="宋体" w:hAnsi="宋体" w:cs="宋体" w:eastAsia="宋体" w:hint="default"/>
                <w:sz w:val="18"/>
                <w:szCs w:val="18"/>
              </w:rPr>
            </w:pPr>
            <w:r>
              <w:rPr>
                <w:rFonts w:ascii="宋体" w:hAnsi="宋体" w:cs="宋体" w:eastAsia="宋体" w:hint="default"/>
                <w:sz w:val="18"/>
                <w:szCs w:val="18"/>
              </w:rPr>
              <w:t>计提</w:t>
            </w:r>
          </w:p>
        </w:tc>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11" w:right="0"/>
              <w:jc w:val="left"/>
              <w:rPr>
                <w:rFonts w:ascii="宋体" w:hAnsi="宋体" w:cs="宋体" w:eastAsia="宋体" w:hint="default"/>
                <w:sz w:val="18"/>
                <w:szCs w:val="18"/>
              </w:rPr>
            </w:pPr>
            <w:r>
              <w:rPr>
                <w:rFonts w:ascii="宋体" w:hAnsi="宋体" w:cs="宋体" w:eastAsia="宋体" w:hint="default"/>
                <w:sz w:val="18"/>
                <w:szCs w:val="18"/>
              </w:rPr>
              <w:t>收回或转回</w:t>
            </w:r>
          </w:p>
        </w:tc>
        <w:tc>
          <w:tcPr>
            <w:tcW w:w="10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60" w:right="0"/>
              <w:jc w:val="left"/>
              <w:rPr>
                <w:rFonts w:ascii="宋体" w:hAnsi="宋体" w:cs="宋体" w:eastAsia="宋体" w:hint="default"/>
                <w:sz w:val="18"/>
                <w:szCs w:val="18"/>
              </w:rPr>
            </w:pPr>
            <w:r>
              <w:rPr>
                <w:rFonts w:ascii="宋体" w:hAnsi="宋体" w:cs="宋体" w:eastAsia="宋体" w:hint="default"/>
                <w:sz w:val="18"/>
                <w:szCs w:val="18"/>
              </w:rPr>
              <w:t>核销</w:t>
            </w:r>
          </w:p>
        </w:tc>
        <w:tc>
          <w:tcPr>
            <w:tcW w:w="15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580" w:type="dxa"/>
            <w:vMerge/>
            <w:tcBorders>
              <w:left w:val="single" w:sz="4" w:space="0" w:color="000000"/>
              <w:bottom w:val="single" w:sz="4" w:space="0" w:color="000000"/>
              <w:right w:val="single" w:sz="4" w:space="0" w:color="000000"/>
            </w:tcBorders>
            <w:shd w:val="clear" w:color="auto" w:fill="D2D2D2"/>
          </w:tcPr>
          <w:p>
            <w:pPr/>
          </w:p>
        </w:tc>
      </w:tr>
      <w:tr>
        <w:trPr>
          <w:trHeight w:val="404" w:hRule="exact"/>
        </w:trPr>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账龄组合</w:t>
            </w: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898,482.43</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265,231.43</w:t>
            </w:r>
          </w:p>
        </w:tc>
        <w:tc>
          <w:tcPr>
            <w:tcW w:w="1330"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1575" w:type="dxa"/>
            <w:tcBorders>
              <w:top w:val="single" w:sz="4" w:space="0" w:color="000000"/>
              <w:left w:val="single" w:sz="4" w:space="0" w:color="000000"/>
              <w:bottom w:val="single" w:sz="4" w:space="0" w:color="000000"/>
              <w:right w:val="single" w:sz="4" w:space="0" w:color="000000"/>
            </w:tcBorders>
          </w:tcPr>
          <w:p>
            <w:pP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1,163,713.86</w:t>
            </w:r>
          </w:p>
        </w:tc>
      </w:tr>
      <w:tr>
        <w:trPr>
          <w:trHeight w:val="403" w:hRule="exact"/>
        </w:trPr>
        <w:tc>
          <w:tcPr>
            <w:tcW w:w="1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898,482.43</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265,231.43</w:t>
            </w:r>
          </w:p>
        </w:tc>
        <w:tc>
          <w:tcPr>
            <w:tcW w:w="1330"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1575" w:type="dxa"/>
            <w:tcBorders>
              <w:top w:val="single" w:sz="4" w:space="0" w:color="000000"/>
              <w:left w:val="single" w:sz="4" w:space="0" w:color="000000"/>
              <w:bottom w:val="single" w:sz="4" w:space="0" w:color="000000"/>
              <w:right w:val="single" w:sz="4" w:space="0" w:color="000000"/>
            </w:tcBorders>
          </w:tcPr>
          <w:p>
            <w:pP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1,163,713.86</w:t>
            </w:r>
          </w:p>
        </w:tc>
      </w:tr>
    </w:tbl>
    <w:p>
      <w:pPr>
        <w:spacing w:after="0" w:line="240" w:lineRule="auto"/>
        <w:jc w:val="right"/>
        <w:rPr>
          <w:rFonts w:ascii="Times New Roman" w:hAnsi="Times New Roman" w:cs="Times New Roman" w:eastAsia="Times New Roman" w:hint="default"/>
          <w:sz w:val="18"/>
          <w:szCs w:val="18"/>
        </w:rPr>
        <w:sectPr>
          <w:pgSz w:w="11910" w:h="16840"/>
          <w:pgMar w:header="784" w:footer="1022" w:top="1100" w:bottom="1220" w:left="980" w:right="0"/>
        </w:sectPr>
      </w:pPr>
    </w:p>
    <w:p>
      <w:pPr>
        <w:pStyle w:val="BodyText"/>
        <w:spacing w:line="240" w:lineRule="auto" w:before="10"/>
        <w:ind w:right="-20"/>
        <w:jc w:val="left"/>
      </w:pPr>
      <w:r>
        <w:rPr>
          <w:spacing w:val="-3"/>
        </w:rPr>
        <w:t>本期计提坏账准备金额</w:t>
      </w:r>
      <w:r>
        <w:rPr>
          <w:rFonts w:ascii="宋体" w:hAnsi="宋体" w:cs="宋体" w:eastAsia="宋体" w:hint="default"/>
          <w:spacing w:val="-3"/>
        </w:rPr>
        <w:t>265,231.43</w:t>
      </w:r>
      <w:r>
        <w:rPr>
          <w:spacing w:val="-3"/>
        </w:rPr>
        <w:t>元。</w:t>
      </w:r>
      <w:r>
        <w:rPr/>
      </w:r>
    </w:p>
    <w:p>
      <w:pPr>
        <w:pStyle w:val="Heading3"/>
        <w:spacing w:line="240" w:lineRule="auto"/>
        <w:ind w:right="-20"/>
        <w:jc w:val="left"/>
      </w:pPr>
      <w:r>
        <w:rPr/>
        <w:t>其中本期坏账准备转回或收回金额重要的：</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5"/>
          <w:szCs w:val="15"/>
        </w:rPr>
      </w:pPr>
    </w:p>
    <w:p>
      <w:pPr>
        <w:pStyle w:val="BodyText"/>
        <w:spacing w:line="240" w:lineRule="auto" w:before="0"/>
        <w:ind w:right="0"/>
        <w:jc w:val="left"/>
      </w:pPr>
      <w:r>
        <w:rPr/>
        <w:t>单位：</w:t>
      </w:r>
      <w:r>
        <w:rPr>
          <w:spacing w:val="5"/>
        </w:rPr>
        <w:t> </w:t>
      </w:r>
      <w:r>
        <w:rPr/>
        <w:t>元</w:t>
      </w:r>
    </w:p>
    <w:p>
      <w:pPr>
        <w:spacing w:after="0" w:line="240" w:lineRule="auto"/>
        <w:jc w:val="left"/>
        <w:sectPr>
          <w:type w:val="continuous"/>
          <w:pgSz w:w="11910" w:h="16840"/>
          <w:pgMar w:top="1100" w:bottom="1220" w:left="980" w:right="0"/>
          <w:cols w:num="2" w:equalWidth="0">
            <w:col w:w="4714" w:space="4117"/>
            <w:col w:w="2099"/>
          </w:cols>
        </w:sectPr>
      </w:pP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3"/>
        <w:gridCol w:w="3193"/>
      </w:tblGrid>
      <w:tr>
        <w:trPr>
          <w:trHeight w:val="398"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65" w:right="0"/>
              <w:jc w:val="left"/>
              <w:rPr>
                <w:rFonts w:ascii="宋体" w:hAnsi="宋体" w:cs="宋体" w:eastAsia="宋体" w:hint="default"/>
                <w:sz w:val="18"/>
                <w:szCs w:val="18"/>
              </w:rPr>
            </w:pPr>
            <w:r>
              <w:rPr>
                <w:rFonts w:ascii="宋体" w:hAnsi="宋体" w:cs="宋体" w:eastAsia="宋体" w:hint="default"/>
                <w:spacing w:val="-3"/>
                <w:sz w:val="18"/>
                <w:szCs w:val="18"/>
              </w:rPr>
              <w:t>转回或收回金额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收回方式</w:t>
            </w:r>
          </w:p>
        </w:tc>
      </w:tr>
    </w:tbl>
    <w:p>
      <w:pPr>
        <w:pStyle w:val="BodyText"/>
        <w:spacing w:line="240" w:lineRule="auto" w:before="10"/>
        <w:ind w:right="0"/>
        <w:jc w:val="left"/>
      </w:pPr>
      <w:r>
        <w:rPr/>
        <w:t>无。</w:t>
      </w:r>
    </w:p>
    <w:p>
      <w:pPr>
        <w:spacing w:line="240" w:lineRule="auto" w:before="0"/>
        <w:rPr>
          <w:rFonts w:ascii="宋体" w:hAnsi="宋体" w:cs="宋体" w:eastAsia="宋体" w:hint="default"/>
          <w:sz w:val="18"/>
          <w:szCs w:val="18"/>
        </w:rPr>
      </w:pPr>
    </w:p>
    <w:p>
      <w:pPr>
        <w:pStyle w:val="Heading4"/>
        <w:spacing w:line="240" w:lineRule="auto" w:before="118"/>
        <w:ind w:right="0"/>
        <w:jc w:val="left"/>
        <w:rPr>
          <w:b w:val="0"/>
          <w:bCs w:val="0"/>
        </w:rPr>
      </w:pPr>
      <w:bookmarkStart w:name="4）本期实际核销的其他应收款情况" w:id="551"/>
      <w:bookmarkEnd w:id="551"/>
      <w:r>
        <w:rPr>
          <w:b w:val="0"/>
          <w:bCs w:val="0"/>
        </w:rPr>
      </w:r>
      <w:r>
        <w:rPr>
          <w:rFonts w:ascii="Times New Roman" w:hAnsi="Times New Roman" w:cs="Times New Roman" w:eastAsia="Times New Roman" w:hint="default"/>
        </w:rPr>
        <w:t>4</w:t>
      </w:r>
      <w:r>
        <w:rPr/>
        <w:t>）本期实际核销的其他应收款情况</w:t>
      </w:r>
      <w:r>
        <w:rPr>
          <w:b w:val="0"/>
          <w:bCs w:val="0"/>
        </w:rPr>
      </w:r>
    </w:p>
    <w:p>
      <w:pPr>
        <w:spacing w:line="240" w:lineRule="auto" w:before="7"/>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4783"/>
        <w:gridCol w:w="4787"/>
      </w:tblGrid>
      <w:tr>
        <w:trPr>
          <w:trHeight w:val="403"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7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核销金额</w:t>
            </w:r>
          </w:p>
        </w:tc>
      </w:tr>
    </w:tbl>
    <w:p>
      <w:pPr>
        <w:pStyle w:val="BodyText"/>
        <w:spacing w:line="240" w:lineRule="auto" w:before="53"/>
        <w:ind w:right="0"/>
        <w:jc w:val="left"/>
      </w:pPr>
      <w:r>
        <w:rPr>
          <w:spacing w:val="-3"/>
        </w:rPr>
        <w:t>其中重要的其他应收款核销情况：</w:t>
      </w:r>
    </w:p>
    <w:p>
      <w:pPr>
        <w:pStyle w:val="BodyText"/>
        <w:spacing w:line="240" w:lineRule="auto" w:before="115"/>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685"/>
        <w:gridCol w:w="1551"/>
        <w:gridCol w:w="1551"/>
        <w:gridCol w:w="1556"/>
        <w:gridCol w:w="1613"/>
        <w:gridCol w:w="1618"/>
      </w:tblGrid>
      <w:tr>
        <w:trPr>
          <w:trHeight w:val="716" w:hRule="exact"/>
        </w:trPr>
        <w:tc>
          <w:tcPr>
            <w:tcW w:w="16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80"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43" w:right="0"/>
              <w:jc w:val="left"/>
              <w:rPr>
                <w:rFonts w:ascii="宋体" w:hAnsi="宋体" w:cs="宋体" w:eastAsia="宋体" w:hint="default"/>
                <w:sz w:val="18"/>
                <w:szCs w:val="18"/>
              </w:rPr>
            </w:pPr>
            <w:r>
              <w:rPr>
                <w:rFonts w:ascii="宋体" w:hAnsi="宋体" w:cs="宋体" w:eastAsia="宋体" w:hint="default"/>
                <w:spacing w:val="-3"/>
                <w:sz w:val="18"/>
                <w:szCs w:val="18"/>
              </w:rPr>
              <w:t>其他应收款性质</w:t>
            </w:r>
          </w:p>
        </w:tc>
        <w:tc>
          <w:tcPr>
            <w:tcW w:w="15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13"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5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12"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16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68" w:right="0"/>
              <w:jc w:val="left"/>
              <w:rPr>
                <w:rFonts w:ascii="宋体" w:hAnsi="宋体" w:cs="宋体" w:eastAsia="宋体" w:hint="default"/>
                <w:sz w:val="18"/>
                <w:szCs w:val="18"/>
              </w:rPr>
            </w:pPr>
            <w:r>
              <w:rPr>
                <w:rFonts w:ascii="宋体" w:hAnsi="宋体" w:cs="宋体" w:eastAsia="宋体" w:hint="default"/>
                <w:spacing w:val="-3"/>
                <w:sz w:val="18"/>
                <w:szCs w:val="18"/>
              </w:rPr>
              <w:t>履行的核销程序</w:t>
            </w:r>
          </w:p>
        </w:tc>
        <w:tc>
          <w:tcPr>
            <w:tcW w:w="16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4"/>
              <w:ind w:left="442" w:right="171" w:hanging="270"/>
              <w:jc w:val="left"/>
              <w:rPr>
                <w:rFonts w:ascii="宋体" w:hAnsi="宋体" w:cs="宋体" w:eastAsia="宋体" w:hint="default"/>
                <w:sz w:val="18"/>
                <w:szCs w:val="18"/>
              </w:rPr>
            </w:pPr>
            <w:r>
              <w:rPr>
                <w:rFonts w:ascii="宋体" w:hAnsi="宋体" w:cs="宋体" w:eastAsia="宋体" w:hint="default"/>
                <w:spacing w:val="-3"/>
                <w:sz w:val="18"/>
                <w:szCs w:val="18"/>
              </w:rPr>
              <w:t>款项是否由关联</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交易产生</w:t>
            </w:r>
          </w:p>
        </w:tc>
      </w:tr>
    </w:tbl>
    <w:p>
      <w:pPr>
        <w:pStyle w:val="BodyText"/>
        <w:spacing w:line="352" w:lineRule="auto" w:before="53"/>
        <w:ind w:right="8823"/>
        <w:jc w:val="left"/>
      </w:pPr>
      <w:r>
        <w:rPr>
          <w:spacing w:val="-2"/>
        </w:rPr>
        <w:t>其他应收款核销说明：</w:t>
      </w:r>
      <w:r>
        <w:rPr>
          <w:spacing w:val="-66"/>
        </w:rPr>
        <w:t> </w:t>
      </w:r>
      <w:r>
        <w:rPr>
          <w:spacing w:val="-66"/>
        </w:rPr>
      </w:r>
      <w:r>
        <w:rPr/>
        <w:t>无。</w:t>
      </w:r>
    </w:p>
    <w:p>
      <w:pPr>
        <w:spacing w:line="240" w:lineRule="auto" w:before="7"/>
        <w:rPr>
          <w:rFonts w:ascii="宋体" w:hAnsi="宋体" w:cs="宋体" w:eastAsia="宋体" w:hint="default"/>
          <w:sz w:val="20"/>
          <w:szCs w:val="20"/>
        </w:rPr>
      </w:pPr>
    </w:p>
    <w:p>
      <w:pPr>
        <w:pStyle w:val="Heading4"/>
        <w:spacing w:line="240" w:lineRule="auto"/>
        <w:ind w:right="0"/>
        <w:jc w:val="left"/>
        <w:rPr>
          <w:b w:val="0"/>
          <w:bCs w:val="0"/>
        </w:rPr>
      </w:pPr>
      <w:bookmarkStart w:name="5）按欠款方归集的期末余额前五名的其他应收款情况" w:id="552"/>
      <w:bookmarkEnd w:id="552"/>
      <w:r>
        <w:rPr>
          <w:b w:val="0"/>
          <w:bCs w:val="0"/>
        </w:rPr>
      </w:r>
      <w:r>
        <w:rPr>
          <w:rFonts w:ascii="Times New Roman" w:hAnsi="Times New Roman" w:cs="Times New Roman" w:eastAsia="Times New Roman" w:hint="default"/>
        </w:rPr>
        <w:t>5</w:t>
      </w:r>
      <w:r>
        <w:rPr/>
        <w:t>）按欠款方归集的期末余额前五名的其他应收款情况</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685"/>
        <w:gridCol w:w="1551"/>
        <w:gridCol w:w="1551"/>
        <w:gridCol w:w="1556"/>
        <w:gridCol w:w="1613"/>
        <w:gridCol w:w="1618"/>
      </w:tblGrid>
      <w:tr>
        <w:trPr>
          <w:trHeight w:val="1028" w:hRule="exact"/>
        </w:trPr>
        <w:tc>
          <w:tcPr>
            <w:tcW w:w="16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480"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321" w:right="0"/>
              <w:jc w:val="left"/>
              <w:rPr>
                <w:rFonts w:ascii="宋体" w:hAnsi="宋体" w:cs="宋体" w:eastAsia="宋体" w:hint="default"/>
                <w:sz w:val="18"/>
                <w:szCs w:val="18"/>
              </w:rPr>
            </w:pPr>
            <w:r>
              <w:rPr>
                <w:rFonts w:ascii="宋体" w:hAnsi="宋体" w:cs="宋体" w:eastAsia="宋体" w:hint="default"/>
                <w:sz w:val="18"/>
                <w:szCs w:val="18"/>
              </w:rPr>
              <w:t>款项的性质</w:t>
            </w:r>
          </w:p>
        </w:tc>
        <w:tc>
          <w:tcPr>
            <w:tcW w:w="15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413"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6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168" w:right="171"/>
              <w:jc w:val="center"/>
              <w:rPr>
                <w:rFonts w:ascii="宋体" w:hAnsi="宋体" w:cs="宋体" w:eastAsia="宋体" w:hint="default"/>
                <w:sz w:val="18"/>
                <w:szCs w:val="18"/>
              </w:rPr>
            </w:pPr>
            <w:r>
              <w:rPr>
                <w:rFonts w:ascii="宋体" w:hAnsi="宋体" w:cs="宋体" w:eastAsia="宋体" w:hint="default"/>
                <w:spacing w:val="-3"/>
                <w:sz w:val="18"/>
                <w:szCs w:val="18"/>
              </w:rPr>
              <w:t>占其他应收款期</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3"/>
                <w:sz w:val="18"/>
                <w:szCs w:val="18"/>
              </w:rPr>
              <w:t>末余额合计数的</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比例</w:t>
            </w:r>
          </w:p>
        </w:tc>
        <w:tc>
          <w:tcPr>
            <w:tcW w:w="16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21" w:lineRule="auto"/>
              <w:ind w:left="715" w:right="171" w:hanging="543"/>
              <w:jc w:val="left"/>
              <w:rPr>
                <w:rFonts w:ascii="宋体" w:hAnsi="宋体" w:cs="宋体" w:eastAsia="宋体" w:hint="default"/>
                <w:sz w:val="18"/>
                <w:szCs w:val="18"/>
              </w:rPr>
            </w:pPr>
            <w:r>
              <w:rPr>
                <w:rFonts w:ascii="宋体" w:hAnsi="宋体" w:cs="宋体" w:eastAsia="宋体" w:hint="default"/>
                <w:spacing w:val="-3"/>
                <w:sz w:val="18"/>
                <w:szCs w:val="18"/>
              </w:rPr>
              <w:t>坏账准备期末余</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额</w:t>
            </w:r>
          </w:p>
        </w:tc>
      </w:tr>
      <w:tr>
        <w:trPr>
          <w:trHeight w:val="710" w:hRule="exact"/>
        </w:trPr>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105" w:right="123"/>
              <w:jc w:val="left"/>
              <w:rPr>
                <w:rFonts w:ascii="宋体" w:hAnsi="宋体" w:cs="宋体" w:eastAsia="宋体" w:hint="default"/>
                <w:sz w:val="18"/>
                <w:szCs w:val="18"/>
              </w:rPr>
            </w:pPr>
            <w:r>
              <w:rPr>
                <w:rFonts w:ascii="宋体" w:hAnsi="宋体" w:cs="宋体" w:eastAsia="宋体" w:hint="default"/>
                <w:spacing w:val="-2"/>
                <w:sz w:val="18"/>
                <w:szCs w:val="18"/>
              </w:rPr>
              <w:t>惠州市奥拓电子科</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技有限公司</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往来</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403" w:right="0"/>
              <w:jc w:val="left"/>
              <w:rPr>
                <w:rFonts w:ascii="Times New Roman" w:hAnsi="Times New Roman" w:cs="Times New Roman" w:eastAsia="Times New Roman" w:hint="default"/>
                <w:sz w:val="18"/>
                <w:szCs w:val="18"/>
              </w:rPr>
            </w:pPr>
            <w:r>
              <w:rPr>
                <w:rFonts w:ascii="Times New Roman"/>
                <w:sz w:val="18"/>
              </w:rPr>
              <w:t>64,999,457.19</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年以内</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941" w:right="0"/>
              <w:jc w:val="left"/>
              <w:rPr>
                <w:rFonts w:ascii="Times New Roman" w:hAnsi="Times New Roman" w:cs="Times New Roman" w:eastAsia="Times New Roman" w:hint="default"/>
                <w:sz w:val="18"/>
                <w:szCs w:val="18"/>
              </w:rPr>
            </w:pPr>
            <w:r>
              <w:rPr>
                <w:rFonts w:ascii="Times New Roman"/>
                <w:sz w:val="18"/>
              </w:rPr>
              <w:t>70.42%</w:t>
            </w:r>
          </w:p>
        </w:tc>
        <w:tc>
          <w:tcPr>
            <w:tcW w:w="1618"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100" w:bottom="1220" w:left="980" w:right="0"/>
        </w:sectPr>
      </w:pPr>
    </w:p>
    <w:p>
      <w:pPr>
        <w:spacing w:line="240" w:lineRule="auto" w:before="7"/>
        <w:rPr>
          <w:rFonts w:ascii="宋体" w:hAnsi="宋体" w:cs="宋体" w:eastAsia="宋体" w:hint="default"/>
          <w:sz w:val="25"/>
          <w:szCs w:val="25"/>
        </w:rPr>
      </w:pPr>
    </w:p>
    <w:tbl>
      <w:tblPr>
        <w:tblW w:w="0" w:type="auto"/>
        <w:jc w:val="left"/>
        <w:tblInd w:w="148" w:type="dxa"/>
        <w:tblLayout w:type="fixed"/>
        <w:tblCellMar>
          <w:top w:w="0" w:type="dxa"/>
          <w:left w:w="0" w:type="dxa"/>
          <w:bottom w:w="0" w:type="dxa"/>
          <w:right w:w="0" w:type="dxa"/>
        </w:tblCellMar>
        <w:tblLook w:val="01E0"/>
      </w:tblPr>
      <w:tblGrid>
        <w:gridCol w:w="1685"/>
        <w:gridCol w:w="1551"/>
        <w:gridCol w:w="1551"/>
        <w:gridCol w:w="1556"/>
        <w:gridCol w:w="1613"/>
        <w:gridCol w:w="1618"/>
      </w:tblGrid>
      <w:tr>
        <w:trPr>
          <w:trHeight w:val="715" w:hRule="exact"/>
        </w:trPr>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105" w:right="123"/>
              <w:jc w:val="left"/>
              <w:rPr>
                <w:rFonts w:ascii="宋体" w:hAnsi="宋体" w:cs="宋体" w:eastAsia="宋体" w:hint="default"/>
                <w:sz w:val="18"/>
                <w:szCs w:val="18"/>
              </w:rPr>
            </w:pPr>
            <w:r>
              <w:rPr>
                <w:rFonts w:ascii="宋体" w:hAnsi="宋体" w:cs="宋体" w:eastAsia="宋体" w:hint="default"/>
                <w:spacing w:val="-2"/>
                <w:sz w:val="18"/>
                <w:szCs w:val="18"/>
              </w:rPr>
              <w:t>深圳市千百辉照明</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工程有限公司</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往来</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20,092,665.64</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年以内</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21.77%</w:t>
            </w:r>
          </w:p>
        </w:tc>
        <w:tc>
          <w:tcPr>
            <w:tcW w:w="1618" w:type="dxa"/>
            <w:tcBorders>
              <w:top w:val="single" w:sz="4" w:space="0" w:color="000000"/>
              <w:left w:val="single" w:sz="4" w:space="0" w:color="000000"/>
              <w:bottom w:val="single" w:sz="4" w:space="0" w:color="000000"/>
              <w:right w:val="single" w:sz="4" w:space="0" w:color="000000"/>
            </w:tcBorders>
          </w:tcPr>
          <w:p>
            <w:pPr/>
          </w:p>
        </w:tc>
      </w:tr>
      <w:tr>
        <w:trPr>
          <w:trHeight w:val="711" w:hRule="exact"/>
        </w:trPr>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3"/>
              <w:ind w:left="105" w:right="123"/>
              <w:jc w:val="left"/>
              <w:rPr>
                <w:rFonts w:ascii="宋体" w:hAnsi="宋体" w:cs="宋体" w:eastAsia="宋体" w:hint="default"/>
                <w:sz w:val="18"/>
                <w:szCs w:val="18"/>
              </w:rPr>
            </w:pPr>
            <w:r>
              <w:rPr>
                <w:rFonts w:ascii="宋体" w:hAnsi="宋体" w:cs="宋体" w:eastAsia="宋体" w:hint="default"/>
                <w:spacing w:val="-2"/>
                <w:sz w:val="18"/>
                <w:szCs w:val="18"/>
              </w:rPr>
              <w:t>深圳国立商事认证</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中心</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押金</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3,407,050.00</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3.69%</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177,378.10</w:t>
            </w:r>
          </w:p>
        </w:tc>
      </w:tr>
      <w:tr>
        <w:trPr>
          <w:trHeight w:val="715" w:hRule="exact"/>
        </w:trPr>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8"/>
              <w:ind w:left="105" w:right="123"/>
              <w:jc w:val="left"/>
              <w:rPr>
                <w:rFonts w:ascii="宋体" w:hAnsi="宋体" w:cs="宋体" w:eastAsia="宋体" w:hint="default"/>
                <w:sz w:val="18"/>
                <w:szCs w:val="18"/>
              </w:rPr>
            </w:pPr>
            <w:r>
              <w:rPr>
                <w:rFonts w:ascii="宋体" w:hAnsi="宋体" w:cs="宋体" w:eastAsia="宋体" w:hint="default"/>
                <w:spacing w:val="-2"/>
                <w:sz w:val="18"/>
                <w:szCs w:val="18"/>
              </w:rPr>
              <w:t>深圳软件园管理中</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心</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押金</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638,070.40</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0.69%</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127,614.08</w:t>
            </w:r>
          </w:p>
        </w:tc>
      </w:tr>
      <w:tr>
        <w:trPr>
          <w:trHeight w:val="1028" w:hRule="exact"/>
        </w:trPr>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321" w:lineRule="auto" w:before="53"/>
              <w:ind w:left="105" w:right="123"/>
              <w:jc w:val="both"/>
              <w:rPr>
                <w:rFonts w:ascii="宋体" w:hAnsi="宋体" w:cs="宋体" w:eastAsia="宋体" w:hint="default"/>
                <w:sz w:val="18"/>
                <w:szCs w:val="18"/>
              </w:rPr>
            </w:pPr>
            <w:r>
              <w:rPr>
                <w:rFonts w:ascii="宋体" w:hAnsi="宋体" w:cs="宋体" w:eastAsia="宋体" w:hint="default"/>
                <w:spacing w:val="-2"/>
                <w:sz w:val="18"/>
                <w:szCs w:val="18"/>
              </w:rPr>
              <w:t>中国建设银行股份</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pacing w:val="-2"/>
                <w:sz w:val="18"/>
                <w:szCs w:val="18"/>
              </w:rPr>
              <w:t>有限公司海南省分</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行</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331,036.88</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0.36%</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57,144.84</w:t>
            </w:r>
          </w:p>
        </w:tc>
      </w:tr>
      <w:tr>
        <w:trPr>
          <w:trHeight w:val="403" w:hRule="exact"/>
        </w:trPr>
        <w:tc>
          <w:tcPr>
            <w:tcW w:w="16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2"/>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2"/>
                <w:sz w:val="18"/>
              </w:rPr>
              <w:t>89,468,280.11</w:t>
            </w:r>
          </w:p>
        </w:tc>
        <w:tc>
          <w:tcPr>
            <w:tcW w:w="15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8"/>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pacing w:val="-1"/>
                <w:sz w:val="18"/>
              </w:rPr>
              <w:t>96.93%</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pacing w:val="-1"/>
                <w:sz w:val="18"/>
              </w:rPr>
              <w:t>362,137.02</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6）涉及政府补助的应收款项" w:id="553"/>
      <w:bookmarkEnd w:id="553"/>
      <w:r>
        <w:rPr>
          <w:b w:val="0"/>
          <w:bCs w:val="0"/>
        </w:rPr>
      </w:r>
      <w:r>
        <w:rPr>
          <w:rFonts w:ascii="Times New Roman" w:hAnsi="Times New Roman" w:cs="Times New Roman" w:eastAsia="Times New Roman" w:hint="default"/>
        </w:rPr>
        <w:t>6</w:t>
      </w:r>
      <w:r>
        <w:rPr/>
        <w:t>）涉及政府补助的应收款项</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10"/>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027"/>
        <w:gridCol w:w="1868"/>
        <w:gridCol w:w="1868"/>
        <w:gridCol w:w="1868"/>
        <w:gridCol w:w="1945"/>
      </w:tblGrid>
      <w:tr>
        <w:trPr>
          <w:trHeight w:val="713" w:hRule="exact"/>
        </w:trPr>
        <w:tc>
          <w:tcPr>
            <w:tcW w:w="20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648"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8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211" w:right="0"/>
              <w:jc w:val="left"/>
              <w:rPr>
                <w:rFonts w:ascii="宋体" w:hAnsi="宋体" w:cs="宋体" w:eastAsia="宋体" w:hint="default"/>
                <w:sz w:val="18"/>
                <w:szCs w:val="18"/>
              </w:rPr>
            </w:pPr>
            <w:r>
              <w:rPr>
                <w:rFonts w:ascii="宋体" w:hAnsi="宋体" w:cs="宋体" w:eastAsia="宋体" w:hint="default"/>
                <w:sz w:val="18"/>
                <w:szCs w:val="18"/>
              </w:rPr>
              <w:t>政府补助项目名称</w:t>
            </w:r>
          </w:p>
        </w:tc>
        <w:tc>
          <w:tcPr>
            <w:tcW w:w="18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566"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8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566" w:right="0"/>
              <w:jc w:val="left"/>
              <w:rPr>
                <w:rFonts w:ascii="宋体" w:hAnsi="宋体" w:cs="宋体" w:eastAsia="宋体" w:hint="default"/>
                <w:sz w:val="18"/>
                <w:szCs w:val="18"/>
              </w:rPr>
            </w:pPr>
            <w:r>
              <w:rPr>
                <w:rFonts w:ascii="宋体" w:hAnsi="宋体" w:cs="宋体" w:eastAsia="宋体" w:hint="default"/>
                <w:sz w:val="18"/>
                <w:szCs w:val="18"/>
              </w:rPr>
              <w:t>期末账龄</w:t>
            </w:r>
          </w:p>
        </w:tc>
        <w:tc>
          <w:tcPr>
            <w:tcW w:w="1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6"/>
              <w:ind w:left="696" w:right="99" w:hanging="596"/>
              <w:jc w:val="left"/>
              <w:rPr>
                <w:rFonts w:ascii="宋体" w:hAnsi="宋体" w:cs="宋体" w:eastAsia="宋体" w:hint="default"/>
                <w:sz w:val="18"/>
                <w:szCs w:val="18"/>
              </w:rPr>
            </w:pPr>
            <w:r>
              <w:rPr>
                <w:rFonts w:ascii="宋体" w:hAnsi="宋体" w:cs="宋体" w:eastAsia="宋体" w:hint="default"/>
                <w:spacing w:val="-10"/>
                <w:w w:val="101"/>
                <w:sz w:val="18"/>
                <w:szCs w:val="18"/>
              </w:rPr>
              <w:t>预计收取的时间、金额</w:t>
            </w:r>
            <w:r>
              <w:rPr>
                <w:rFonts w:ascii="宋体" w:hAnsi="宋体" w:cs="宋体" w:eastAsia="宋体" w:hint="default"/>
                <w:spacing w:val="-84"/>
                <w:w w:val="101"/>
                <w:sz w:val="18"/>
                <w:szCs w:val="18"/>
              </w:rPr>
              <w:t> </w:t>
            </w:r>
            <w:r>
              <w:rPr>
                <w:rFonts w:ascii="宋体" w:hAnsi="宋体" w:cs="宋体" w:eastAsia="宋体" w:hint="default"/>
                <w:spacing w:val="-84"/>
                <w:w w:val="101"/>
                <w:sz w:val="18"/>
                <w:szCs w:val="18"/>
              </w:rPr>
            </w:r>
            <w:r>
              <w:rPr>
                <w:rFonts w:ascii="宋体" w:hAnsi="宋体" w:cs="宋体" w:eastAsia="宋体" w:hint="default"/>
                <w:sz w:val="18"/>
                <w:szCs w:val="18"/>
              </w:rPr>
              <w:t>及依据</w:t>
            </w:r>
          </w:p>
        </w:tc>
      </w:tr>
    </w:tbl>
    <w:p>
      <w:pPr>
        <w:pStyle w:val="BodyText"/>
        <w:spacing w:line="240" w:lineRule="auto" w:before="10"/>
        <w:ind w:right="0"/>
        <w:jc w:val="left"/>
      </w:pPr>
      <w:r>
        <w:rPr/>
        <w:t>无。</w:t>
      </w:r>
    </w:p>
    <w:p>
      <w:pPr>
        <w:spacing w:line="240" w:lineRule="auto" w:before="0"/>
        <w:rPr>
          <w:rFonts w:ascii="宋体" w:hAnsi="宋体" w:cs="宋体" w:eastAsia="宋体" w:hint="default"/>
          <w:sz w:val="18"/>
          <w:szCs w:val="18"/>
        </w:rPr>
      </w:pPr>
    </w:p>
    <w:p>
      <w:pPr>
        <w:pStyle w:val="Heading4"/>
        <w:spacing w:line="240" w:lineRule="auto" w:before="118"/>
        <w:ind w:right="0"/>
        <w:jc w:val="left"/>
        <w:rPr>
          <w:b w:val="0"/>
          <w:bCs w:val="0"/>
        </w:rPr>
      </w:pPr>
      <w:bookmarkStart w:name="7）因金融资产转移而终止确认的其他应收款" w:id="554"/>
      <w:bookmarkEnd w:id="554"/>
      <w:r>
        <w:rPr>
          <w:b w:val="0"/>
          <w:bCs w:val="0"/>
        </w:rPr>
      </w:r>
      <w:r>
        <w:rPr>
          <w:rFonts w:ascii="Times New Roman" w:hAnsi="Times New Roman" w:cs="Times New Roman" w:eastAsia="Times New Roman" w:hint="default"/>
        </w:rPr>
        <w:t>7</w:t>
      </w:r>
      <w:r>
        <w:rPr/>
        <w:t>）因金融资产转移而终止确认的其他应收款</w:t>
      </w:r>
      <w:r>
        <w:rPr>
          <w:b w:val="0"/>
          <w:bCs w:val="0"/>
        </w:rPr>
      </w:r>
    </w:p>
    <w:p>
      <w:pPr>
        <w:spacing w:line="240" w:lineRule="auto" w:before="9"/>
        <w:rPr>
          <w:rFonts w:ascii="宋体" w:hAnsi="宋体" w:cs="宋体" w:eastAsia="宋体" w:hint="default"/>
          <w:b/>
          <w:bCs/>
          <w:sz w:val="26"/>
          <w:szCs w:val="26"/>
        </w:rPr>
      </w:pPr>
    </w:p>
    <w:p>
      <w:pPr>
        <w:pStyle w:val="BodyText"/>
        <w:spacing w:line="240" w:lineRule="auto" w:before="0"/>
        <w:ind w:right="0"/>
        <w:jc w:val="left"/>
      </w:pPr>
      <w:r>
        <w:rPr/>
        <w:t>无。</w:t>
      </w:r>
    </w:p>
    <w:p>
      <w:pPr>
        <w:spacing w:line="240" w:lineRule="auto" w:before="0"/>
        <w:rPr>
          <w:rFonts w:ascii="宋体" w:hAnsi="宋体" w:cs="宋体" w:eastAsia="宋体" w:hint="default"/>
          <w:sz w:val="18"/>
          <w:szCs w:val="18"/>
        </w:rPr>
      </w:pPr>
    </w:p>
    <w:p>
      <w:pPr>
        <w:pStyle w:val="Heading4"/>
        <w:spacing w:line="240" w:lineRule="auto" w:before="118"/>
        <w:ind w:right="0"/>
        <w:jc w:val="left"/>
        <w:rPr>
          <w:b w:val="0"/>
          <w:bCs w:val="0"/>
        </w:rPr>
      </w:pPr>
      <w:bookmarkStart w:name="8）转移其他应收款且继续涉入形成的资产、负债金额" w:id="555"/>
      <w:bookmarkEnd w:id="555"/>
      <w:r>
        <w:rPr>
          <w:b w:val="0"/>
          <w:bCs w:val="0"/>
        </w:rPr>
      </w:r>
      <w:r>
        <w:rPr>
          <w:rFonts w:ascii="Times New Roman" w:hAnsi="Times New Roman" w:cs="Times New Roman" w:eastAsia="Times New Roman" w:hint="default"/>
        </w:rPr>
        <w:t>8</w:t>
      </w:r>
      <w:r>
        <w:rPr/>
        <w:t>）转移其他应收款且继续涉入形成的资产、负债金额</w:t>
      </w:r>
      <w:r>
        <w:rPr>
          <w:b w:val="0"/>
          <w:bCs w:val="0"/>
        </w:rPr>
      </w:r>
    </w:p>
    <w:p>
      <w:pPr>
        <w:spacing w:line="240" w:lineRule="auto" w:before="5"/>
        <w:rPr>
          <w:rFonts w:ascii="宋体" w:hAnsi="宋体" w:cs="宋体" w:eastAsia="宋体" w:hint="default"/>
          <w:b/>
          <w:bCs/>
          <w:sz w:val="26"/>
          <w:szCs w:val="26"/>
        </w:rPr>
      </w:pPr>
    </w:p>
    <w:p>
      <w:pPr>
        <w:pStyle w:val="BodyText"/>
        <w:spacing w:line="357" w:lineRule="auto" w:before="0"/>
        <w:ind w:right="9861"/>
        <w:jc w:val="left"/>
      </w:pPr>
      <w:r>
        <w:rPr/>
        <w:t>无。</w:t>
      </w:r>
      <w:r>
        <w:rPr>
          <w:spacing w:val="-86"/>
        </w:rPr>
        <w:t> </w:t>
      </w:r>
      <w:r>
        <w:rPr>
          <w:spacing w:val="-2"/>
        </w:rPr>
        <w:t>其他说明：</w:t>
      </w:r>
      <w:r>
        <w:rPr>
          <w:spacing w:val="-78"/>
        </w:rPr>
        <w:t> </w:t>
      </w:r>
      <w:r>
        <w:rPr>
          <w:spacing w:val="-78"/>
        </w:rPr>
      </w:r>
      <w:r>
        <w:rPr/>
        <w:t>无。</w:t>
      </w:r>
    </w:p>
    <w:p>
      <w:pPr>
        <w:spacing w:line="240" w:lineRule="auto" w:before="4"/>
        <w:rPr>
          <w:rFonts w:ascii="宋体" w:hAnsi="宋体" w:cs="宋体" w:eastAsia="宋体" w:hint="default"/>
          <w:sz w:val="20"/>
          <w:szCs w:val="20"/>
        </w:rPr>
      </w:pPr>
    </w:p>
    <w:p>
      <w:pPr>
        <w:pStyle w:val="Heading4"/>
        <w:spacing w:line="240" w:lineRule="auto"/>
        <w:ind w:right="0"/>
        <w:jc w:val="left"/>
        <w:rPr>
          <w:b w:val="0"/>
          <w:bCs w:val="0"/>
        </w:rPr>
      </w:pPr>
      <w:bookmarkStart w:name="3、长期股权投资" w:id="556"/>
      <w:bookmarkEnd w:id="556"/>
      <w:r>
        <w:rPr>
          <w:b w:val="0"/>
          <w:bCs w:val="0"/>
        </w:rPr>
      </w:r>
      <w:r>
        <w:rPr>
          <w:rFonts w:ascii="Times New Roman" w:hAnsi="Times New Roman" w:cs="Times New Roman" w:eastAsia="Times New Roman" w:hint="default"/>
        </w:rPr>
        <w:t>3</w:t>
      </w:r>
      <w:r>
        <w:rPr/>
        <w:t>、长期股权投资</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369"/>
        <w:gridCol w:w="1368"/>
        <w:gridCol w:w="1369"/>
        <w:gridCol w:w="1368"/>
        <w:gridCol w:w="1364"/>
        <w:gridCol w:w="1369"/>
        <w:gridCol w:w="1369"/>
      </w:tblGrid>
      <w:tr>
        <w:trPr>
          <w:trHeight w:val="403" w:hRule="exact"/>
        </w:trPr>
        <w:tc>
          <w:tcPr>
            <w:tcW w:w="136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105"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1"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1369"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21"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13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22"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 w:right="0"/>
              <w:jc w:val="center"/>
              <w:rPr>
                <w:rFonts w:ascii="宋体" w:hAnsi="宋体" w:cs="宋体" w:eastAsia="宋体" w:hint="default"/>
                <w:sz w:val="18"/>
                <w:szCs w:val="18"/>
              </w:rPr>
            </w:pPr>
            <w:r>
              <w:rPr>
                <w:rFonts w:ascii="宋体" w:hAnsi="宋体" w:cs="宋体" w:eastAsia="宋体" w:hint="default"/>
                <w:sz w:val="18"/>
                <w:szCs w:val="18"/>
              </w:rPr>
              <w:t>账面价值</w:t>
            </w:r>
          </w:p>
        </w:tc>
      </w:tr>
      <w:tr>
        <w:trPr>
          <w:trHeight w:val="399"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对子公司投资</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37" w:right="0"/>
              <w:jc w:val="center"/>
              <w:rPr>
                <w:rFonts w:ascii="Times New Roman" w:hAnsi="Times New Roman" w:cs="Times New Roman" w:eastAsia="Times New Roman" w:hint="default"/>
                <w:sz w:val="18"/>
                <w:szCs w:val="18"/>
              </w:rPr>
            </w:pPr>
            <w:r>
              <w:rPr>
                <w:rFonts w:ascii="Times New Roman"/>
                <w:sz w:val="18"/>
              </w:rPr>
              <w:t>690,613,083.32</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37" w:right="0"/>
              <w:jc w:val="center"/>
              <w:rPr>
                <w:rFonts w:ascii="Times New Roman" w:hAnsi="Times New Roman" w:cs="Times New Roman" w:eastAsia="Times New Roman" w:hint="default"/>
                <w:sz w:val="18"/>
                <w:szCs w:val="18"/>
              </w:rPr>
            </w:pPr>
            <w:r>
              <w:rPr>
                <w:rFonts w:ascii="Times New Roman"/>
                <w:sz w:val="18"/>
              </w:rPr>
              <w:t>690,613,083.32</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32" w:right="0"/>
              <w:jc w:val="center"/>
              <w:rPr>
                <w:rFonts w:ascii="Times New Roman" w:hAnsi="Times New Roman" w:cs="Times New Roman" w:eastAsia="Times New Roman" w:hint="default"/>
                <w:sz w:val="18"/>
                <w:szCs w:val="18"/>
              </w:rPr>
            </w:pPr>
            <w:r>
              <w:rPr>
                <w:rFonts w:ascii="Times New Roman"/>
                <w:sz w:val="18"/>
              </w:rPr>
              <w:t>677,635,343.32</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38" w:right="0"/>
              <w:jc w:val="center"/>
              <w:rPr>
                <w:rFonts w:ascii="Times New Roman" w:hAnsi="Times New Roman" w:cs="Times New Roman" w:eastAsia="Times New Roman" w:hint="default"/>
                <w:sz w:val="18"/>
                <w:szCs w:val="18"/>
              </w:rPr>
            </w:pPr>
            <w:r>
              <w:rPr>
                <w:rFonts w:ascii="Times New Roman"/>
                <w:sz w:val="18"/>
              </w:rPr>
              <w:t>677,635,343.32</w:t>
            </w: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37" w:right="0"/>
              <w:jc w:val="center"/>
              <w:rPr>
                <w:rFonts w:ascii="Times New Roman" w:hAnsi="Times New Roman" w:cs="Times New Roman" w:eastAsia="Times New Roman" w:hint="default"/>
                <w:sz w:val="18"/>
                <w:szCs w:val="18"/>
              </w:rPr>
            </w:pPr>
            <w:r>
              <w:rPr>
                <w:rFonts w:ascii="Times New Roman"/>
                <w:sz w:val="18"/>
              </w:rPr>
              <w:t>690,613,083.32</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37" w:right="0"/>
              <w:jc w:val="center"/>
              <w:rPr>
                <w:rFonts w:ascii="Times New Roman" w:hAnsi="Times New Roman" w:cs="Times New Roman" w:eastAsia="Times New Roman" w:hint="default"/>
                <w:sz w:val="18"/>
                <w:szCs w:val="18"/>
              </w:rPr>
            </w:pPr>
            <w:r>
              <w:rPr>
                <w:rFonts w:ascii="Times New Roman"/>
                <w:sz w:val="18"/>
              </w:rPr>
              <w:t>690,613,083.32</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33" w:right="0"/>
              <w:jc w:val="center"/>
              <w:rPr>
                <w:rFonts w:ascii="Times New Roman" w:hAnsi="Times New Roman" w:cs="Times New Roman" w:eastAsia="Times New Roman" w:hint="default"/>
                <w:sz w:val="18"/>
                <w:szCs w:val="18"/>
              </w:rPr>
            </w:pPr>
            <w:r>
              <w:rPr>
                <w:rFonts w:ascii="Times New Roman"/>
                <w:sz w:val="18"/>
              </w:rPr>
              <w:t>677,635,343.32</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38" w:right="0"/>
              <w:jc w:val="center"/>
              <w:rPr>
                <w:rFonts w:ascii="Times New Roman" w:hAnsi="Times New Roman" w:cs="Times New Roman" w:eastAsia="Times New Roman" w:hint="default"/>
                <w:sz w:val="18"/>
                <w:szCs w:val="18"/>
              </w:rPr>
            </w:pPr>
            <w:r>
              <w:rPr>
                <w:rFonts w:ascii="Times New Roman"/>
                <w:sz w:val="18"/>
              </w:rPr>
              <w:t>677,635,343.32</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1）对子公司投资" w:id="557"/>
      <w:bookmarkEnd w:id="557"/>
      <w:r>
        <w:rPr>
          <w:b w:val="0"/>
          <w:bCs w:val="0"/>
        </w:rPr>
      </w:r>
      <w:r>
        <w:rPr/>
        <w:t>（</w:t>
      </w:r>
      <w:r>
        <w:rPr>
          <w:rFonts w:ascii="Times New Roman" w:hAnsi="Times New Roman" w:cs="Times New Roman" w:eastAsia="Times New Roman" w:hint="default"/>
        </w:rPr>
        <w:t>1</w:t>
      </w:r>
      <w:r>
        <w:rPr/>
        <w:t>）对子公司投资</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268"/>
        <w:gridCol w:w="1167"/>
        <w:gridCol w:w="4711"/>
        <w:gridCol w:w="1215"/>
        <w:gridCol w:w="1215"/>
      </w:tblGrid>
      <w:tr>
        <w:trPr>
          <w:trHeight w:val="403" w:hRule="exact"/>
        </w:trPr>
        <w:tc>
          <w:tcPr>
            <w:tcW w:w="1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82" w:right="0"/>
              <w:jc w:val="left"/>
              <w:rPr>
                <w:rFonts w:ascii="宋体" w:hAnsi="宋体" w:cs="宋体" w:eastAsia="宋体" w:hint="default"/>
                <w:sz w:val="18"/>
                <w:szCs w:val="18"/>
              </w:rPr>
            </w:pPr>
            <w:r>
              <w:rPr>
                <w:rFonts w:ascii="宋体" w:hAnsi="宋体" w:cs="宋体" w:eastAsia="宋体" w:hint="default"/>
                <w:sz w:val="18"/>
                <w:szCs w:val="18"/>
              </w:rPr>
              <w:t>被投资单位</w:t>
            </w:r>
          </w:p>
        </w:tc>
        <w:tc>
          <w:tcPr>
            <w:tcW w:w="1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3"/>
              <w:ind w:left="220"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47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3"/>
              <w:ind w:left="124"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账</w:t>
            </w:r>
          </w:p>
        </w:tc>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3"/>
              <w:ind w:left="153" w:right="0"/>
              <w:jc w:val="left"/>
              <w:rPr>
                <w:rFonts w:ascii="宋体" w:hAnsi="宋体" w:cs="宋体" w:eastAsia="宋体" w:hint="default"/>
                <w:sz w:val="18"/>
                <w:szCs w:val="18"/>
              </w:rPr>
            </w:pPr>
            <w:r>
              <w:rPr>
                <w:rFonts w:ascii="宋体" w:hAnsi="宋体" w:cs="宋体" w:eastAsia="宋体" w:hint="default"/>
                <w:sz w:val="18"/>
                <w:szCs w:val="18"/>
              </w:rPr>
              <w:t>减值准备期</w:t>
            </w:r>
          </w:p>
        </w:tc>
      </w:tr>
    </w:tbl>
    <w:p>
      <w:pPr>
        <w:spacing w:after="0" w:line="240" w:lineRule="auto"/>
        <w:jc w:val="left"/>
        <w:rPr>
          <w:rFonts w:ascii="宋体" w:hAnsi="宋体" w:cs="宋体" w:eastAsia="宋体" w:hint="default"/>
          <w:sz w:val="18"/>
          <w:szCs w:val="18"/>
        </w:rPr>
        <w:sectPr>
          <w:pgSz w:w="11910" w:h="16840"/>
          <w:pgMar w:header="784" w:footer="1022" w:top="1100" w:bottom="1220" w:left="980" w:right="0"/>
        </w:sectPr>
      </w:pPr>
    </w:p>
    <w:p>
      <w:pPr>
        <w:spacing w:line="240" w:lineRule="auto" w:before="7"/>
        <w:rPr>
          <w:rFonts w:ascii="宋体" w:hAnsi="宋体" w:cs="宋体" w:eastAsia="宋体" w:hint="default"/>
          <w:sz w:val="25"/>
          <w:szCs w:val="25"/>
        </w:rPr>
      </w:pPr>
    </w:p>
    <w:tbl>
      <w:tblPr>
        <w:tblW w:w="0" w:type="auto"/>
        <w:jc w:val="left"/>
        <w:tblInd w:w="148" w:type="dxa"/>
        <w:tblLayout w:type="fixed"/>
        <w:tblCellMar>
          <w:top w:w="0" w:type="dxa"/>
          <w:left w:w="0" w:type="dxa"/>
          <w:bottom w:w="0" w:type="dxa"/>
          <w:right w:w="0" w:type="dxa"/>
        </w:tblCellMar>
        <w:tblLook w:val="01E0"/>
      </w:tblPr>
      <w:tblGrid>
        <w:gridCol w:w="1268"/>
        <w:gridCol w:w="1167"/>
        <w:gridCol w:w="1167"/>
        <w:gridCol w:w="1167"/>
        <w:gridCol w:w="1167"/>
        <w:gridCol w:w="1210"/>
        <w:gridCol w:w="1215"/>
        <w:gridCol w:w="1215"/>
      </w:tblGrid>
      <w:tr>
        <w:trPr>
          <w:trHeight w:val="715" w:hRule="exact"/>
        </w:trPr>
        <w:tc>
          <w:tcPr>
            <w:tcW w:w="126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right="153"/>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账面价值</w:t>
            </w:r>
            <w:r>
              <w:rPr>
                <w:rFonts w:ascii="Times New Roman" w:hAnsi="Times New Roman" w:cs="Times New Roman" w:eastAsia="Times New Roman" w:hint="default"/>
                <w:spacing w:val="-2"/>
                <w:sz w:val="18"/>
                <w:szCs w:val="18"/>
              </w:rPr>
              <w:t>)</w:t>
            </w:r>
          </w:p>
        </w:tc>
        <w:tc>
          <w:tcPr>
            <w:tcW w:w="1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220" w:right="0"/>
              <w:jc w:val="left"/>
              <w:rPr>
                <w:rFonts w:ascii="宋体" w:hAnsi="宋体" w:cs="宋体" w:eastAsia="宋体" w:hint="default"/>
                <w:sz w:val="18"/>
                <w:szCs w:val="18"/>
              </w:rPr>
            </w:pPr>
            <w:r>
              <w:rPr>
                <w:rFonts w:ascii="宋体" w:hAnsi="宋体" w:cs="宋体" w:eastAsia="宋体" w:hint="default"/>
                <w:sz w:val="18"/>
                <w:szCs w:val="18"/>
              </w:rPr>
              <w:t>追加投资</w:t>
            </w:r>
          </w:p>
        </w:tc>
        <w:tc>
          <w:tcPr>
            <w:tcW w:w="1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减少投资</w:t>
            </w:r>
          </w:p>
        </w:tc>
        <w:tc>
          <w:tcPr>
            <w:tcW w:w="1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484" w:right="127" w:hanging="360"/>
              <w:jc w:val="left"/>
              <w:rPr>
                <w:rFonts w:ascii="宋体" w:hAnsi="宋体" w:cs="宋体" w:eastAsia="宋体" w:hint="default"/>
                <w:sz w:val="18"/>
                <w:szCs w:val="18"/>
              </w:rPr>
            </w:pPr>
            <w:r>
              <w:rPr>
                <w:rFonts w:ascii="宋体" w:hAnsi="宋体" w:cs="宋体" w:eastAsia="宋体" w:hint="default"/>
                <w:spacing w:val="-2"/>
                <w:sz w:val="18"/>
                <w:szCs w:val="18"/>
              </w:rPr>
              <w:t>计提减值准</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备</w:t>
            </w:r>
          </w:p>
        </w:tc>
        <w:tc>
          <w:tcPr>
            <w:tcW w:w="12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面价值</w:t>
            </w:r>
            <w:r>
              <w:rPr>
                <w:rFonts w:ascii="Times New Roman" w:hAnsi="Times New Roman" w:cs="Times New Roman" w:eastAsia="Times New Roman" w:hint="default"/>
                <w:sz w:val="18"/>
                <w:szCs w:val="18"/>
              </w:rPr>
              <w:t>)</w:t>
            </w: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335" w:right="0"/>
              <w:jc w:val="left"/>
              <w:rPr>
                <w:rFonts w:ascii="宋体" w:hAnsi="宋体" w:cs="宋体" w:eastAsia="宋体" w:hint="default"/>
                <w:sz w:val="18"/>
                <w:szCs w:val="18"/>
              </w:rPr>
            </w:pPr>
            <w:r>
              <w:rPr>
                <w:rFonts w:ascii="宋体" w:hAnsi="宋体" w:cs="宋体" w:eastAsia="宋体" w:hint="default"/>
                <w:sz w:val="18"/>
                <w:szCs w:val="18"/>
              </w:rPr>
              <w:t>末余额</w:t>
            </w:r>
          </w:p>
        </w:tc>
      </w:tr>
      <w:tr>
        <w:trPr>
          <w:trHeight w:val="711" w:hRule="exact"/>
        </w:trPr>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奥拓光电</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24,183,600.0</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3,000,000.00</w:t>
            </w:r>
          </w:p>
        </w:tc>
        <w:tc>
          <w:tcPr>
            <w:tcW w:w="1167" w:type="dxa"/>
            <w:tcBorders>
              <w:top w:val="single" w:sz="4" w:space="0" w:color="000000"/>
              <w:left w:val="single" w:sz="4" w:space="0" w:color="000000"/>
              <w:bottom w:val="single" w:sz="4" w:space="0" w:color="000000"/>
              <w:right w:val="single" w:sz="4" w:space="0" w:color="000000"/>
            </w:tcBorders>
          </w:tcPr>
          <w:p>
            <w:pPr/>
          </w:p>
        </w:tc>
        <w:tc>
          <w:tcPr>
            <w:tcW w:w="1167"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27,183,600.0</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21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z w:val="18"/>
                <w:szCs w:val="18"/>
              </w:rPr>
              <w:t>奥拓软件</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1,000,000.00</w:t>
            </w:r>
          </w:p>
        </w:tc>
        <w:tc>
          <w:tcPr>
            <w:tcW w:w="1167" w:type="dxa"/>
            <w:tcBorders>
              <w:top w:val="single" w:sz="4" w:space="0" w:color="000000"/>
              <w:left w:val="single" w:sz="4" w:space="0" w:color="000000"/>
              <w:bottom w:val="single" w:sz="4" w:space="0" w:color="000000"/>
              <w:right w:val="single" w:sz="4" w:space="0" w:color="000000"/>
            </w:tcBorders>
          </w:tcPr>
          <w:p>
            <w:pP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3" w:right="0"/>
              <w:jc w:val="center"/>
              <w:rPr>
                <w:rFonts w:ascii="Times New Roman" w:hAnsi="Times New Roman" w:cs="Times New Roman" w:eastAsia="Times New Roman" w:hint="default"/>
                <w:sz w:val="18"/>
                <w:szCs w:val="18"/>
              </w:rPr>
            </w:pPr>
            <w:r>
              <w:rPr>
                <w:rFonts w:ascii="Times New Roman"/>
                <w:sz w:val="18"/>
              </w:rPr>
              <w:t>1,000,000.00</w:t>
            </w:r>
          </w:p>
        </w:tc>
        <w:tc>
          <w:tcPr>
            <w:tcW w:w="1167"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南京奥拓</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96,706,280.0</w:t>
            </w:r>
          </w:p>
          <w:p>
            <w:pPr>
              <w:pStyle w:val="TableParagraph"/>
              <w:spacing w:line="240" w:lineRule="auto" w:before="110"/>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713,026.67</w:t>
            </w:r>
          </w:p>
        </w:tc>
        <w:tc>
          <w:tcPr>
            <w:tcW w:w="1167" w:type="dxa"/>
            <w:tcBorders>
              <w:top w:val="single" w:sz="4" w:space="0" w:color="000000"/>
              <w:left w:val="single" w:sz="4" w:space="0" w:color="000000"/>
              <w:bottom w:val="single" w:sz="4" w:space="0" w:color="000000"/>
              <w:right w:val="single" w:sz="4" w:space="0" w:color="000000"/>
            </w:tcBorders>
          </w:tcPr>
          <w:p>
            <w:pPr/>
          </w:p>
        </w:tc>
        <w:tc>
          <w:tcPr>
            <w:tcW w:w="1167"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97,419,306.6</w:t>
            </w:r>
          </w:p>
          <w:p>
            <w:pPr>
              <w:pStyle w:val="TableParagraph"/>
              <w:spacing w:line="240" w:lineRule="auto" w:before="110"/>
              <w:ind w:right="99"/>
              <w:jc w:val="right"/>
              <w:rPr>
                <w:rFonts w:ascii="Times New Roman" w:hAnsi="Times New Roman" w:cs="Times New Roman" w:eastAsia="Times New Roman" w:hint="default"/>
                <w:sz w:val="18"/>
                <w:szCs w:val="18"/>
              </w:rPr>
            </w:pPr>
            <w:r>
              <w:rPr>
                <w:rFonts w:ascii="Times New Roman"/>
                <w:w w:val="101"/>
                <w:sz w:val="18"/>
              </w:rPr>
              <w:t>7</w:t>
            </w:r>
            <w:r>
              <w:rPr>
                <w:rFonts w:ascii="Times New Roman"/>
                <w:sz w:val="18"/>
              </w:rPr>
            </w:r>
          </w:p>
        </w:tc>
        <w:tc>
          <w:tcPr>
            <w:tcW w:w="1215"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惠州奥拓</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6"/>
              <w:jc w:val="right"/>
              <w:rPr>
                <w:rFonts w:ascii="Times New Roman" w:hAnsi="Times New Roman" w:cs="Times New Roman" w:eastAsia="Times New Roman" w:hint="default"/>
                <w:sz w:val="18"/>
                <w:szCs w:val="18"/>
              </w:rPr>
            </w:pPr>
            <w:r>
              <w:rPr>
                <w:rFonts w:ascii="Times New Roman"/>
                <w:spacing w:val="-1"/>
                <w:sz w:val="18"/>
              </w:rPr>
              <w:t>131,855,706.</w:t>
            </w:r>
          </w:p>
          <w:p>
            <w:pPr>
              <w:pStyle w:val="TableParagraph"/>
              <w:spacing w:line="240" w:lineRule="auto" w:before="105"/>
              <w:ind w:right="95"/>
              <w:jc w:val="right"/>
              <w:rPr>
                <w:rFonts w:ascii="Times New Roman" w:hAnsi="Times New Roman" w:cs="Times New Roman" w:eastAsia="Times New Roman" w:hint="default"/>
                <w:sz w:val="18"/>
                <w:szCs w:val="18"/>
              </w:rPr>
            </w:pPr>
            <w:r>
              <w:rPr>
                <w:rFonts w:ascii="Times New Roman"/>
                <w:sz w:val="18"/>
              </w:rPr>
              <w:t>66</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138,780.00</w:t>
            </w:r>
          </w:p>
        </w:tc>
        <w:tc>
          <w:tcPr>
            <w:tcW w:w="1167" w:type="dxa"/>
            <w:tcBorders>
              <w:top w:val="single" w:sz="4" w:space="0" w:color="000000"/>
              <w:left w:val="single" w:sz="4" w:space="0" w:color="000000"/>
              <w:bottom w:val="single" w:sz="4" w:space="0" w:color="000000"/>
              <w:right w:val="single" w:sz="4" w:space="0" w:color="000000"/>
            </w:tcBorders>
          </w:tcPr>
          <w:p>
            <w:pPr/>
          </w:p>
        </w:tc>
        <w:tc>
          <w:tcPr>
            <w:tcW w:w="1167"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6"/>
              <w:jc w:val="right"/>
              <w:rPr>
                <w:rFonts w:ascii="Times New Roman" w:hAnsi="Times New Roman" w:cs="Times New Roman" w:eastAsia="Times New Roman" w:hint="default"/>
                <w:sz w:val="18"/>
                <w:szCs w:val="18"/>
              </w:rPr>
            </w:pPr>
            <w:r>
              <w:rPr>
                <w:rFonts w:ascii="Times New Roman"/>
                <w:spacing w:val="-1"/>
                <w:sz w:val="18"/>
              </w:rPr>
              <w:t>131,994,486.</w:t>
            </w:r>
          </w:p>
          <w:p>
            <w:pPr>
              <w:pStyle w:val="TableParagraph"/>
              <w:spacing w:line="240" w:lineRule="auto" w:before="105"/>
              <w:ind w:right="94"/>
              <w:jc w:val="right"/>
              <w:rPr>
                <w:rFonts w:ascii="Times New Roman" w:hAnsi="Times New Roman" w:cs="Times New Roman" w:eastAsia="Times New Roman" w:hint="default"/>
                <w:sz w:val="18"/>
                <w:szCs w:val="18"/>
              </w:rPr>
            </w:pPr>
            <w:r>
              <w:rPr>
                <w:rFonts w:ascii="Times New Roman"/>
                <w:sz w:val="18"/>
              </w:rPr>
              <w:t>66</w:t>
            </w:r>
          </w:p>
        </w:tc>
        <w:tc>
          <w:tcPr>
            <w:tcW w:w="1215" w:type="dxa"/>
            <w:tcBorders>
              <w:top w:val="single" w:sz="4" w:space="0" w:color="000000"/>
              <w:left w:val="single" w:sz="4" w:space="0" w:color="000000"/>
              <w:bottom w:val="single" w:sz="4" w:space="0" w:color="000000"/>
              <w:right w:val="single" w:sz="4" w:space="0" w:color="000000"/>
            </w:tcBorders>
          </w:tcPr>
          <w:p>
            <w:pPr/>
          </w:p>
        </w:tc>
      </w:tr>
      <w:tr>
        <w:trPr>
          <w:trHeight w:val="710" w:hRule="exact"/>
        </w:trPr>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香港奥拓</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32,991,790.0</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67" w:type="dxa"/>
            <w:tcBorders>
              <w:top w:val="single" w:sz="4" w:space="0" w:color="000000"/>
              <w:left w:val="single" w:sz="4" w:space="0" w:color="000000"/>
              <w:bottom w:val="single" w:sz="4" w:space="0" w:color="000000"/>
              <w:right w:val="single" w:sz="4" w:space="0" w:color="000000"/>
            </w:tcBorders>
          </w:tcPr>
          <w:p>
            <w:pPr/>
          </w:p>
        </w:tc>
        <w:tc>
          <w:tcPr>
            <w:tcW w:w="1167" w:type="dxa"/>
            <w:tcBorders>
              <w:top w:val="single" w:sz="4" w:space="0" w:color="000000"/>
              <w:left w:val="single" w:sz="4" w:space="0" w:color="000000"/>
              <w:bottom w:val="single" w:sz="4" w:space="0" w:color="000000"/>
              <w:right w:val="single" w:sz="4" w:space="0" w:color="000000"/>
            </w:tcBorders>
          </w:tcPr>
          <w:p>
            <w:pPr/>
          </w:p>
        </w:tc>
        <w:tc>
          <w:tcPr>
            <w:tcW w:w="1167"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32,991,790.0</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215"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北京奥拓</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10,000,000.0</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3,700.00</w:t>
            </w:r>
          </w:p>
        </w:tc>
        <w:tc>
          <w:tcPr>
            <w:tcW w:w="1167" w:type="dxa"/>
            <w:tcBorders>
              <w:top w:val="single" w:sz="4" w:space="0" w:color="000000"/>
              <w:left w:val="single" w:sz="4" w:space="0" w:color="000000"/>
              <w:bottom w:val="single" w:sz="4" w:space="0" w:color="000000"/>
              <w:right w:val="single" w:sz="4" w:space="0" w:color="000000"/>
            </w:tcBorders>
          </w:tcPr>
          <w:p>
            <w:pPr/>
          </w:p>
        </w:tc>
        <w:tc>
          <w:tcPr>
            <w:tcW w:w="1167"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10,003,700.0</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215"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千百辉</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6"/>
              <w:jc w:val="right"/>
              <w:rPr>
                <w:rFonts w:ascii="Times New Roman" w:hAnsi="Times New Roman" w:cs="Times New Roman" w:eastAsia="Times New Roman" w:hint="default"/>
                <w:sz w:val="18"/>
                <w:szCs w:val="18"/>
              </w:rPr>
            </w:pPr>
            <w:r>
              <w:rPr>
                <w:rFonts w:ascii="Times New Roman"/>
                <w:spacing w:val="-1"/>
                <w:sz w:val="18"/>
              </w:rPr>
              <w:t>361,887,966.</w:t>
            </w:r>
          </w:p>
          <w:p>
            <w:pPr>
              <w:pStyle w:val="TableParagraph"/>
              <w:spacing w:line="240" w:lineRule="auto" w:before="110"/>
              <w:ind w:right="95"/>
              <w:jc w:val="right"/>
              <w:rPr>
                <w:rFonts w:ascii="Times New Roman" w:hAnsi="Times New Roman" w:cs="Times New Roman" w:eastAsia="Times New Roman" w:hint="default"/>
                <w:sz w:val="18"/>
                <w:szCs w:val="18"/>
              </w:rPr>
            </w:pPr>
            <w:r>
              <w:rPr>
                <w:rFonts w:ascii="Times New Roman"/>
                <w:sz w:val="18"/>
              </w:rPr>
              <w:t>66</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1,222,233.33</w:t>
            </w:r>
          </w:p>
        </w:tc>
        <w:tc>
          <w:tcPr>
            <w:tcW w:w="1167" w:type="dxa"/>
            <w:tcBorders>
              <w:top w:val="single" w:sz="4" w:space="0" w:color="000000"/>
              <w:left w:val="single" w:sz="4" w:space="0" w:color="000000"/>
              <w:bottom w:val="single" w:sz="4" w:space="0" w:color="000000"/>
              <w:right w:val="single" w:sz="4" w:space="0" w:color="000000"/>
            </w:tcBorders>
          </w:tcPr>
          <w:p>
            <w:pPr/>
          </w:p>
        </w:tc>
        <w:tc>
          <w:tcPr>
            <w:tcW w:w="1167"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6"/>
              <w:jc w:val="right"/>
              <w:rPr>
                <w:rFonts w:ascii="Times New Roman" w:hAnsi="Times New Roman" w:cs="Times New Roman" w:eastAsia="Times New Roman" w:hint="default"/>
                <w:sz w:val="18"/>
                <w:szCs w:val="18"/>
              </w:rPr>
            </w:pPr>
            <w:r>
              <w:rPr>
                <w:rFonts w:ascii="Times New Roman"/>
                <w:spacing w:val="-2"/>
                <w:sz w:val="18"/>
              </w:rPr>
              <w:t>363,110,199.</w:t>
            </w:r>
          </w:p>
          <w:p>
            <w:pPr>
              <w:pStyle w:val="TableParagraph"/>
              <w:spacing w:line="240" w:lineRule="auto" w:before="110"/>
              <w:ind w:right="94"/>
              <w:jc w:val="right"/>
              <w:rPr>
                <w:rFonts w:ascii="Times New Roman" w:hAnsi="Times New Roman" w:cs="Times New Roman" w:eastAsia="Times New Roman" w:hint="default"/>
                <w:sz w:val="18"/>
                <w:szCs w:val="18"/>
              </w:rPr>
            </w:pPr>
            <w:r>
              <w:rPr>
                <w:rFonts w:ascii="Times New Roman"/>
                <w:sz w:val="18"/>
              </w:rPr>
              <w:t>99</w:t>
            </w:r>
          </w:p>
        </w:tc>
        <w:tc>
          <w:tcPr>
            <w:tcW w:w="121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奥拓体育</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4,000,000.00</w:t>
            </w:r>
          </w:p>
        </w:tc>
        <w:tc>
          <w:tcPr>
            <w:tcW w:w="1167" w:type="dxa"/>
            <w:tcBorders>
              <w:top w:val="single" w:sz="4" w:space="0" w:color="000000"/>
              <w:left w:val="single" w:sz="4" w:space="0" w:color="000000"/>
              <w:bottom w:val="single" w:sz="4" w:space="0" w:color="000000"/>
              <w:right w:val="single" w:sz="4" w:space="0" w:color="000000"/>
            </w:tcBorders>
          </w:tcPr>
          <w:p>
            <w:pPr/>
          </w:p>
        </w:tc>
        <w:tc>
          <w:tcPr>
            <w:tcW w:w="1167" w:type="dxa"/>
            <w:tcBorders>
              <w:top w:val="single" w:sz="4" w:space="0" w:color="000000"/>
              <w:left w:val="single" w:sz="4" w:space="0" w:color="000000"/>
              <w:bottom w:val="single" w:sz="4" w:space="0" w:color="000000"/>
              <w:right w:val="single" w:sz="4" w:space="0" w:color="000000"/>
            </w:tcBorders>
          </w:tcPr>
          <w:p>
            <w:pPr/>
          </w:p>
        </w:tc>
        <w:tc>
          <w:tcPr>
            <w:tcW w:w="1167"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61" w:right="0"/>
              <w:jc w:val="center"/>
              <w:rPr>
                <w:rFonts w:ascii="Times New Roman" w:hAnsi="Times New Roman" w:cs="Times New Roman" w:eastAsia="Times New Roman" w:hint="default"/>
                <w:sz w:val="18"/>
                <w:szCs w:val="18"/>
              </w:rPr>
            </w:pPr>
            <w:r>
              <w:rPr>
                <w:rFonts w:ascii="Times New Roman"/>
                <w:sz w:val="18"/>
              </w:rPr>
              <w:t>4,000,000.00</w:t>
            </w:r>
          </w:p>
        </w:tc>
        <w:tc>
          <w:tcPr>
            <w:tcW w:w="1215" w:type="dxa"/>
            <w:tcBorders>
              <w:top w:val="single" w:sz="4" w:space="0" w:color="000000"/>
              <w:left w:val="single" w:sz="4" w:space="0" w:color="000000"/>
              <w:bottom w:val="single" w:sz="4" w:space="0" w:color="000000"/>
              <w:right w:val="single" w:sz="4" w:space="0" w:color="000000"/>
            </w:tcBorders>
          </w:tcPr>
          <w:p>
            <w:pPr/>
          </w:p>
        </w:tc>
      </w:tr>
      <w:tr>
        <w:trPr>
          <w:trHeight w:val="711" w:hRule="exact"/>
        </w:trPr>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奥拓立翔</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10,000,000.0</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5,000,000.00</w:t>
            </w:r>
          </w:p>
        </w:tc>
        <w:tc>
          <w:tcPr>
            <w:tcW w:w="1167" w:type="dxa"/>
            <w:tcBorders>
              <w:top w:val="single" w:sz="4" w:space="0" w:color="000000"/>
              <w:left w:val="single" w:sz="4" w:space="0" w:color="000000"/>
              <w:bottom w:val="single" w:sz="4" w:space="0" w:color="000000"/>
              <w:right w:val="single" w:sz="4" w:space="0" w:color="000000"/>
            </w:tcBorders>
          </w:tcPr>
          <w:p>
            <w:pPr/>
          </w:p>
        </w:tc>
        <w:tc>
          <w:tcPr>
            <w:tcW w:w="1167"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15,000,000.0</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21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z w:val="18"/>
                <w:szCs w:val="18"/>
              </w:rPr>
              <w:t>前海奥拓</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5,010,000.00</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pacing w:val="-1"/>
                <w:sz w:val="18"/>
              </w:rPr>
              <w:t>1,000,000.00</w:t>
            </w:r>
          </w:p>
        </w:tc>
        <w:tc>
          <w:tcPr>
            <w:tcW w:w="1167" w:type="dxa"/>
            <w:tcBorders>
              <w:top w:val="single" w:sz="4" w:space="0" w:color="000000"/>
              <w:left w:val="single" w:sz="4" w:space="0" w:color="000000"/>
              <w:bottom w:val="single" w:sz="4" w:space="0" w:color="000000"/>
              <w:right w:val="single" w:sz="4" w:space="0" w:color="000000"/>
            </w:tcBorders>
          </w:tcPr>
          <w:p>
            <w:pPr/>
          </w:p>
        </w:tc>
        <w:tc>
          <w:tcPr>
            <w:tcW w:w="1167"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61" w:right="0"/>
              <w:jc w:val="center"/>
              <w:rPr>
                <w:rFonts w:ascii="Times New Roman" w:hAnsi="Times New Roman" w:cs="Times New Roman" w:eastAsia="Times New Roman" w:hint="default"/>
                <w:sz w:val="18"/>
                <w:szCs w:val="18"/>
              </w:rPr>
            </w:pPr>
            <w:r>
              <w:rPr>
                <w:rFonts w:ascii="Times New Roman"/>
                <w:sz w:val="18"/>
              </w:rPr>
              <w:t>6,010,000.00</w:t>
            </w:r>
          </w:p>
        </w:tc>
        <w:tc>
          <w:tcPr>
            <w:tcW w:w="121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武汉奥拓</w:t>
            </w:r>
          </w:p>
        </w:tc>
        <w:tc>
          <w:tcPr>
            <w:tcW w:w="1167" w:type="dxa"/>
            <w:tcBorders>
              <w:top w:val="single" w:sz="4" w:space="0" w:color="000000"/>
              <w:left w:val="single" w:sz="4" w:space="0" w:color="000000"/>
              <w:bottom w:val="single" w:sz="4" w:space="0" w:color="000000"/>
              <w:right w:val="single" w:sz="4" w:space="0" w:color="000000"/>
            </w:tcBorders>
          </w:tcPr>
          <w:p>
            <w:pP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2,900,000.00</w:t>
            </w:r>
          </w:p>
        </w:tc>
        <w:tc>
          <w:tcPr>
            <w:tcW w:w="1167" w:type="dxa"/>
            <w:tcBorders>
              <w:top w:val="single" w:sz="4" w:space="0" w:color="000000"/>
              <w:left w:val="single" w:sz="4" w:space="0" w:color="000000"/>
              <w:bottom w:val="single" w:sz="4" w:space="0" w:color="000000"/>
              <w:right w:val="single" w:sz="4" w:space="0" w:color="000000"/>
            </w:tcBorders>
          </w:tcPr>
          <w:p>
            <w:pPr/>
          </w:p>
        </w:tc>
        <w:tc>
          <w:tcPr>
            <w:tcW w:w="1167"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61" w:right="0"/>
              <w:jc w:val="center"/>
              <w:rPr>
                <w:rFonts w:ascii="Times New Roman" w:hAnsi="Times New Roman" w:cs="Times New Roman" w:eastAsia="Times New Roman" w:hint="default"/>
                <w:sz w:val="18"/>
                <w:szCs w:val="18"/>
              </w:rPr>
            </w:pPr>
            <w:r>
              <w:rPr>
                <w:rFonts w:ascii="Times New Roman"/>
                <w:sz w:val="18"/>
              </w:rPr>
              <w:t>2,900,000.00</w:t>
            </w:r>
          </w:p>
        </w:tc>
        <w:tc>
          <w:tcPr>
            <w:tcW w:w="1215"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6"/>
              <w:jc w:val="right"/>
              <w:rPr>
                <w:rFonts w:ascii="Times New Roman" w:hAnsi="Times New Roman" w:cs="Times New Roman" w:eastAsia="Times New Roman" w:hint="default"/>
                <w:sz w:val="18"/>
                <w:szCs w:val="18"/>
              </w:rPr>
            </w:pPr>
            <w:r>
              <w:rPr>
                <w:rFonts w:ascii="Times New Roman"/>
                <w:spacing w:val="-1"/>
                <w:sz w:val="18"/>
              </w:rPr>
              <w:t>677,635,343.</w:t>
            </w:r>
          </w:p>
          <w:p>
            <w:pPr>
              <w:pStyle w:val="TableParagraph"/>
              <w:spacing w:line="240" w:lineRule="auto" w:before="105"/>
              <w:ind w:right="95"/>
              <w:jc w:val="right"/>
              <w:rPr>
                <w:rFonts w:ascii="Times New Roman" w:hAnsi="Times New Roman" w:cs="Times New Roman" w:eastAsia="Times New Roman" w:hint="default"/>
                <w:sz w:val="18"/>
                <w:szCs w:val="18"/>
              </w:rPr>
            </w:pPr>
            <w:r>
              <w:rPr>
                <w:rFonts w:ascii="Times New Roman"/>
                <w:sz w:val="18"/>
              </w:rPr>
              <w:t>32</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13,977,740.0</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3" w:right="0"/>
              <w:jc w:val="center"/>
              <w:rPr>
                <w:rFonts w:ascii="Times New Roman" w:hAnsi="Times New Roman" w:cs="Times New Roman" w:eastAsia="Times New Roman" w:hint="default"/>
                <w:sz w:val="18"/>
                <w:szCs w:val="18"/>
              </w:rPr>
            </w:pPr>
            <w:r>
              <w:rPr>
                <w:rFonts w:ascii="Times New Roman"/>
                <w:sz w:val="18"/>
              </w:rPr>
              <w:t>1,000,000.00</w:t>
            </w:r>
          </w:p>
        </w:tc>
        <w:tc>
          <w:tcPr>
            <w:tcW w:w="1167"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6"/>
              <w:jc w:val="right"/>
              <w:rPr>
                <w:rFonts w:ascii="Times New Roman" w:hAnsi="Times New Roman" w:cs="Times New Roman" w:eastAsia="Times New Roman" w:hint="default"/>
                <w:sz w:val="18"/>
                <w:szCs w:val="18"/>
              </w:rPr>
            </w:pPr>
            <w:r>
              <w:rPr>
                <w:rFonts w:ascii="Times New Roman"/>
                <w:spacing w:val="-1"/>
                <w:sz w:val="18"/>
              </w:rPr>
              <w:t>690,613,083.</w:t>
            </w:r>
          </w:p>
          <w:p>
            <w:pPr>
              <w:pStyle w:val="TableParagraph"/>
              <w:spacing w:line="240" w:lineRule="auto" w:before="105"/>
              <w:ind w:right="94"/>
              <w:jc w:val="right"/>
              <w:rPr>
                <w:rFonts w:ascii="Times New Roman" w:hAnsi="Times New Roman" w:cs="Times New Roman" w:eastAsia="Times New Roman" w:hint="default"/>
                <w:sz w:val="18"/>
                <w:szCs w:val="18"/>
              </w:rPr>
            </w:pPr>
            <w:r>
              <w:rPr>
                <w:rFonts w:ascii="Times New Roman"/>
                <w:sz w:val="18"/>
              </w:rPr>
              <w:t>32</w:t>
            </w:r>
          </w:p>
        </w:tc>
        <w:tc>
          <w:tcPr>
            <w:tcW w:w="1215"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2）对联营、合营企业投资" w:id="558"/>
      <w:bookmarkEnd w:id="558"/>
      <w:r>
        <w:rPr>
          <w:b w:val="0"/>
          <w:bCs w:val="0"/>
        </w:rPr>
      </w:r>
      <w:r>
        <w:rPr/>
        <w:t>（</w:t>
      </w:r>
      <w:r>
        <w:rPr>
          <w:rFonts w:ascii="Times New Roman" w:hAnsi="Times New Roman" w:cs="Times New Roman" w:eastAsia="Times New Roman" w:hint="default"/>
        </w:rPr>
        <w:t>2</w:t>
      </w:r>
      <w:r>
        <w:rPr/>
        <w:t>）对联营、合营企业投资</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10"/>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797"/>
        <w:gridCol w:w="797"/>
        <w:gridCol w:w="797"/>
        <w:gridCol w:w="797"/>
        <w:gridCol w:w="797"/>
        <w:gridCol w:w="802"/>
        <w:gridCol w:w="797"/>
        <w:gridCol w:w="797"/>
        <w:gridCol w:w="797"/>
        <w:gridCol w:w="802"/>
        <w:gridCol w:w="797"/>
        <w:gridCol w:w="797"/>
      </w:tblGrid>
      <w:tr>
        <w:trPr>
          <w:trHeight w:val="401" w:hRule="exact"/>
        </w:trPr>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5"/>
                <w:szCs w:val="25"/>
              </w:rPr>
            </w:pPr>
          </w:p>
          <w:p>
            <w:pPr>
              <w:pStyle w:val="TableParagraph"/>
              <w:spacing w:line="321" w:lineRule="auto"/>
              <w:ind w:left="307" w:right="118" w:hanging="183"/>
              <w:jc w:val="left"/>
              <w:rPr>
                <w:rFonts w:ascii="宋体" w:hAnsi="宋体" w:cs="宋体" w:eastAsia="宋体" w:hint="default"/>
                <w:sz w:val="18"/>
                <w:szCs w:val="18"/>
              </w:rPr>
            </w:pPr>
            <w:r>
              <w:rPr>
                <w:rFonts w:ascii="宋体" w:hAnsi="宋体" w:cs="宋体" w:eastAsia="宋体" w:hint="default"/>
                <w:sz w:val="18"/>
                <w:szCs w:val="18"/>
              </w:rPr>
              <w:t>投资单</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位</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9"/>
                <w:szCs w:val="19"/>
              </w:rPr>
            </w:pPr>
          </w:p>
          <w:p>
            <w:pPr>
              <w:pStyle w:val="TableParagraph"/>
              <w:spacing w:line="314" w:lineRule="auto"/>
              <w:ind w:left="124" w:right="117"/>
              <w:jc w:val="center"/>
              <w:rPr>
                <w:rFonts w:ascii="Times New Roman" w:hAnsi="Times New Roman" w:cs="Times New Roman" w:eastAsia="Times New Roman" w:hint="default"/>
                <w:sz w:val="18"/>
                <w:szCs w:val="18"/>
              </w:rPr>
            </w:pPr>
            <w:r>
              <w:rPr>
                <w:rFonts w:ascii="宋体" w:hAnsi="宋体" w:cs="宋体" w:eastAsia="宋体" w:hint="default"/>
                <w:spacing w:val="-2"/>
                <w:sz w:val="18"/>
                <w:szCs w:val="18"/>
              </w:rPr>
              <w:t>期初余</w:t>
            </w:r>
            <w:r>
              <w:rPr>
                <w:rFonts w:ascii="宋体" w:hAnsi="宋体" w:cs="宋体" w:eastAsia="宋体" w:hint="default"/>
                <w:w w:val="101"/>
                <w:sz w:val="18"/>
                <w:szCs w:val="18"/>
              </w:rPr>
              <w:t> </w:t>
            </w:r>
            <w:r>
              <w:rPr>
                <w:rFonts w:ascii="宋体" w:hAnsi="宋体" w:cs="宋体" w:eastAsia="宋体" w:hint="default"/>
                <w:sz w:val="18"/>
                <w:szCs w:val="18"/>
              </w:rPr>
              <w:t>额</w:t>
            </w:r>
            <w:r>
              <w:rPr>
                <w:rFonts w:ascii="Times New Roman" w:hAnsi="Times New Roman" w:cs="Times New Roman" w:eastAsia="Times New Roman" w:hint="default"/>
                <w:sz w:val="18"/>
                <w:szCs w:val="18"/>
              </w:rPr>
              <w:t>(</w:t>
            </w:r>
            <w:r>
              <w:rPr>
                <w:rFonts w:ascii="宋体" w:hAnsi="宋体" w:cs="宋体" w:eastAsia="宋体" w:hint="default"/>
                <w:sz w:val="18"/>
                <w:szCs w:val="18"/>
              </w:rPr>
              <w:t>账</w:t>
            </w:r>
            <w:r>
              <w:rPr>
                <w:rFonts w:ascii="宋体" w:hAnsi="宋体" w:cs="宋体" w:eastAsia="宋体" w:hint="default"/>
                <w:w w:val="101"/>
                <w:sz w:val="18"/>
                <w:szCs w:val="18"/>
              </w:rPr>
              <w:t> </w:t>
            </w:r>
            <w:r>
              <w:rPr>
                <w:rFonts w:ascii="宋体" w:hAnsi="宋体" w:cs="宋体" w:eastAsia="宋体" w:hint="default"/>
                <w:sz w:val="18"/>
                <w:szCs w:val="18"/>
              </w:rPr>
              <w:t>面价</w:t>
            </w:r>
            <w:r>
              <w:rPr>
                <w:rFonts w:ascii="宋体" w:hAnsi="宋体" w:cs="宋体" w:eastAsia="宋体" w:hint="default"/>
                <w:w w:val="101"/>
                <w:sz w:val="18"/>
                <w:szCs w:val="18"/>
              </w:rPr>
              <w:t> </w:t>
            </w:r>
            <w:r>
              <w:rPr>
                <w:rFonts w:ascii="宋体" w:hAnsi="宋体" w:cs="宋体" w:eastAsia="宋体" w:hint="default"/>
                <w:sz w:val="18"/>
                <w:szCs w:val="18"/>
              </w:rPr>
              <w:t>值</w:t>
            </w:r>
            <w:r>
              <w:rPr>
                <w:rFonts w:ascii="Times New Roman" w:hAnsi="Times New Roman" w:cs="Times New Roman" w:eastAsia="Times New Roman" w:hint="default"/>
                <w:sz w:val="18"/>
                <w:szCs w:val="18"/>
              </w:rPr>
              <w:t>)</w:t>
            </w:r>
          </w:p>
        </w:tc>
        <w:tc>
          <w:tcPr>
            <w:tcW w:w="6386"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9" w:right="0"/>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9"/>
                <w:szCs w:val="19"/>
              </w:rPr>
            </w:pPr>
          </w:p>
          <w:p>
            <w:pPr>
              <w:pStyle w:val="TableParagraph"/>
              <w:spacing w:line="314" w:lineRule="auto"/>
              <w:ind w:left="119" w:right="123"/>
              <w:jc w:val="center"/>
              <w:rPr>
                <w:rFonts w:ascii="Times New Roman" w:hAnsi="Times New Roman" w:cs="Times New Roman" w:eastAsia="Times New Roman" w:hint="default"/>
                <w:sz w:val="18"/>
                <w:szCs w:val="18"/>
              </w:rPr>
            </w:pPr>
            <w:r>
              <w:rPr>
                <w:rFonts w:ascii="宋体" w:hAnsi="宋体" w:cs="宋体" w:eastAsia="宋体" w:hint="default"/>
                <w:spacing w:val="-2"/>
                <w:sz w:val="18"/>
                <w:szCs w:val="18"/>
              </w:rPr>
              <w:t>期末余</w:t>
            </w:r>
            <w:r>
              <w:rPr>
                <w:rFonts w:ascii="宋体" w:hAnsi="宋体" w:cs="宋体" w:eastAsia="宋体" w:hint="default"/>
                <w:w w:val="101"/>
                <w:sz w:val="18"/>
                <w:szCs w:val="18"/>
              </w:rPr>
              <w:t> </w:t>
            </w:r>
            <w:r>
              <w:rPr>
                <w:rFonts w:ascii="宋体" w:hAnsi="宋体" w:cs="宋体" w:eastAsia="宋体" w:hint="default"/>
                <w:sz w:val="18"/>
                <w:szCs w:val="18"/>
              </w:rPr>
              <w:t>额</w:t>
            </w:r>
            <w:r>
              <w:rPr>
                <w:rFonts w:ascii="Times New Roman" w:hAnsi="Times New Roman" w:cs="Times New Roman" w:eastAsia="Times New Roman" w:hint="default"/>
                <w:sz w:val="18"/>
                <w:szCs w:val="18"/>
              </w:rPr>
              <w:t>(</w:t>
            </w:r>
            <w:r>
              <w:rPr>
                <w:rFonts w:ascii="宋体" w:hAnsi="宋体" w:cs="宋体" w:eastAsia="宋体" w:hint="default"/>
                <w:sz w:val="18"/>
                <w:szCs w:val="18"/>
              </w:rPr>
              <w:t>账</w:t>
            </w:r>
            <w:r>
              <w:rPr>
                <w:rFonts w:ascii="宋体" w:hAnsi="宋体" w:cs="宋体" w:eastAsia="宋体" w:hint="default"/>
                <w:w w:val="101"/>
                <w:sz w:val="18"/>
                <w:szCs w:val="18"/>
              </w:rPr>
              <w:t> </w:t>
            </w:r>
            <w:r>
              <w:rPr>
                <w:rFonts w:ascii="宋体" w:hAnsi="宋体" w:cs="宋体" w:eastAsia="宋体" w:hint="default"/>
                <w:sz w:val="18"/>
                <w:szCs w:val="18"/>
              </w:rPr>
              <w:t>面价</w:t>
            </w:r>
            <w:r>
              <w:rPr>
                <w:rFonts w:ascii="宋体" w:hAnsi="宋体" w:cs="宋体" w:eastAsia="宋体" w:hint="default"/>
                <w:w w:val="101"/>
                <w:sz w:val="18"/>
                <w:szCs w:val="18"/>
              </w:rPr>
              <w:t> </w:t>
            </w:r>
            <w:r>
              <w:rPr>
                <w:rFonts w:ascii="宋体" w:hAnsi="宋体" w:cs="宋体" w:eastAsia="宋体" w:hint="default"/>
                <w:sz w:val="18"/>
                <w:szCs w:val="18"/>
              </w:rPr>
              <w:t>值</w:t>
            </w:r>
            <w:r>
              <w:rPr>
                <w:rFonts w:ascii="Times New Roman" w:hAnsi="Times New Roman" w:cs="Times New Roman" w:eastAsia="Times New Roman" w:hint="default"/>
                <w:sz w:val="18"/>
                <w:szCs w:val="18"/>
              </w:rPr>
              <w:t>)</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3"/>
                <w:szCs w:val="13"/>
              </w:rPr>
            </w:pPr>
          </w:p>
          <w:p>
            <w:pPr>
              <w:pStyle w:val="TableParagraph"/>
              <w:spacing w:line="316" w:lineRule="auto"/>
              <w:ind w:left="124" w:right="117"/>
              <w:jc w:val="both"/>
              <w:rPr>
                <w:rFonts w:ascii="宋体" w:hAnsi="宋体" w:cs="宋体" w:eastAsia="宋体" w:hint="default"/>
                <w:sz w:val="18"/>
                <w:szCs w:val="18"/>
              </w:rPr>
            </w:pPr>
            <w:r>
              <w:rPr>
                <w:rFonts w:ascii="宋体" w:hAnsi="宋体" w:cs="宋体" w:eastAsia="宋体" w:hint="default"/>
                <w:sz w:val="18"/>
                <w:szCs w:val="18"/>
              </w:rPr>
              <w:t>减值准</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备期末</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余额</w:t>
            </w:r>
          </w:p>
        </w:tc>
      </w:tr>
      <w:tr>
        <w:trPr>
          <w:trHeight w:val="1339" w:hRule="exact"/>
        </w:trPr>
        <w:tc>
          <w:tcPr>
            <w:tcW w:w="797"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21" w:lineRule="auto" w:before="130"/>
              <w:ind w:left="307" w:right="118" w:hanging="183"/>
              <w:jc w:val="left"/>
              <w:rPr>
                <w:rFonts w:ascii="宋体" w:hAnsi="宋体" w:cs="宋体" w:eastAsia="宋体" w:hint="default"/>
                <w:sz w:val="18"/>
                <w:szCs w:val="18"/>
              </w:rPr>
            </w:pPr>
            <w:r>
              <w:rPr>
                <w:rFonts w:ascii="宋体" w:hAnsi="宋体" w:cs="宋体" w:eastAsia="宋体" w:hint="default"/>
                <w:sz w:val="18"/>
                <w:szCs w:val="18"/>
              </w:rPr>
              <w:t>追加投</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资</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21" w:lineRule="auto" w:before="130"/>
              <w:ind w:left="307" w:right="117" w:hanging="183"/>
              <w:jc w:val="left"/>
              <w:rPr>
                <w:rFonts w:ascii="宋体" w:hAnsi="宋体" w:cs="宋体" w:eastAsia="宋体" w:hint="default"/>
                <w:sz w:val="18"/>
                <w:szCs w:val="18"/>
              </w:rPr>
            </w:pPr>
            <w:r>
              <w:rPr>
                <w:rFonts w:ascii="宋体" w:hAnsi="宋体" w:cs="宋体" w:eastAsia="宋体" w:hint="default"/>
                <w:sz w:val="18"/>
                <w:szCs w:val="18"/>
              </w:rPr>
              <w:t>减少投</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资</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125" w:right="117"/>
              <w:jc w:val="both"/>
              <w:rPr>
                <w:rFonts w:ascii="宋体" w:hAnsi="宋体" w:cs="宋体" w:eastAsia="宋体" w:hint="default"/>
                <w:sz w:val="18"/>
                <w:szCs w:val="18"/>
              </w:rPr>
            </w:pPr>
            <w:r>
              <w:rPr>
                <w:rFonts w:ascii="宋体" w:hAnsi="宋体" w:cs="宋体" w:eastAsia="宋体" w:hint="default"/>
                <w:sz w:val="18"/>
                <w:szCs w:val="18"/>
              </w:rPr>
              <w:t>权益法</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下确认</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的投资</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损益</w:t>
            </w:r>
          </w:p>
        </w:tc>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16" w:lineRule="auto"/>
              <w:ind w:left="124" w:right="123"/>
              <w:jc w:val="both"/>
              <w:rPr>
                <w:rFonts w:ascii="宋体" w:hAnsi="宋体" w:cs="宋体" w:eastAsia="宋体" w:hint="default"/>
                <w:sz w:val="18"/>
                <w:szCs w:val="18"/>
              </w:rPr>
            </w:pPr>
            <w:r>
              <w:rPr>
                <w:rFonts w:ascii="宋体" w:hAnsi="宋体" w:cs="宋体" w:eastAsia="宋体" w:hint="default"/>
                <w:sz w:val="18"/>
                <w:szCs w:val="18"/>
              </w:rPr>
              <w:t>其他综</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合收益</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调整</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21" w:lineRule="auto" w:before="130"/>
              <w:ind w:left="119" w:right="122"/>
              <w:jc w:val="left"/>
              <w:rPr>
                <w:rFonts w:ascii="宋体" w:hAnsi="宋体" w:cs="宋体" w:eastAsia="宋体" w:hint="default"/>
                <w:sz w:val="18"/>
                <w:szCs w:val="18"/>
              </w:rPr>
            </w:pPr>
            <w:r>
              <w:rPr>
                <w:rFonts w:ascii="宋体" w:hAnsi="宋体" w:cs="宋体" w:eastAsia="宋体" w:hint="default"/>
                <w:sz w:val="18"/>
                <w:szCs w:val="18"/>
              </w:rPr>
              <w:t>其他权</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益变动</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124" w:right="118"/>
              <w:jc w:val="both"/>
              <w:rPr>
                <w:rFonts w:ascii="宋体" w:hAnsi="宋体" w:cs="宋体" w:eastAsia="宋体" w:hint="default"/>
                <w:sz w:val="18"/>
                <w:szCs w:val="18"/>
              </w:rPr>
            </w:pPr>
            <w:r>
              <w:rPr>
                <w:rFonts w:ascii="宋体" w:hAnsi="宋体" w:cs="宋体" w:eastAsia="宋体" w:hint="default"/>
                <w:sz w:val="18"/>
                <w:szCs w:val="18"/>
              </w:rPr>
              <w:t>宣告发</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放现金</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股利或</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利润</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21" w:lineRule="auto" w:before="130"/>
              <w:ind w:left="124" w:right="118"/>
              <w:jc w:val="left"/>
              <w:rPr>
                <w:rFonts w:ascii="宋体" w:hAnsi="宋体" w:cs="宋体" w:eastAsia="宋体" w:hint="default"/>
                <w:sz w:val="18"/>
                <w:szCs w:val="18"/>
              </w:rPr>
            </w:pPr>
            <w:r>
              <w:rPr>
                <w:rFonts w:ascii="宋体" w:hAnsi="宋体" w:cs="宋体" w:eastAsia="宋体" w:hint="default"/>
                <w:sz w:val="18"/>
                <w:szCs w:val="18"/>
              </w:rPr>
              <w:t>计提减</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值准备</w:t>
            </w:r>
          </w:p>
        </w:tc>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216"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7"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r>
      <w:tr>
        <w:trPr>
          <w:trHeight w:val="404" w:hRule="exact"/>
        </w:trPr>
        <w:tc>
          <w:tcPr>
            <w:tcW w:w="9575"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一、合营企业</w:t>
            </w:r>
          </w:p>
        </w:tc>
      </w:tr>
      <w:tr>
        <w:trPr>
          <w:trHeight w:val="401" w:hRule="exact"/>
        </w:trPr>
        <w:tc>
          <w:tcPr>
            <w:tcW w:w="9575"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二、联营企业</w:t>
            </w:r>
          </w:p>
        </w:tc>
      </w:tr>
    </w:tbl>
    <w:p>
      <w:pPr>
        <w:spacing w:line="240" w:lineRule="auto" w:before="5"/>
        <w:rPr>
          <w:rFonts w:ascii="宋体" w:hAnsi="宋体" w:cs="宋体" w:eastAsia="宋体" w:hint="default"/>
          <w:sz w:val="19"/>
          <w:szCs w:val="19"/>
        </w:rPr>
      </w:pPr>
    </w:p>
    <w:p>
      <w:pPr>
        <w:pStyle w:val="Heading4"/>
        <w:spacing w:line="240" w:lineRule="auto" w:before="36"/>
        <w:ind w:right="0"/>
        <w:jc w:val="left"/>
        <w:rPr>
          <w:b w:val="0"/>
          <w:bCs w:val="0"/>
        </w:rPr>
      </w:pPr>
      <w:bookmarkStart w:name="（3）其他说明" w:id="559"/>
      <w:bookmarkEnd w:id="559"/>
      <w:r>
        <w:rPr>
          <w:b w:val="0"/>
          <w:bCs w:val="0"/>
        </w:rPr>
      </w:r>
      <w:r>
        <w:rPr/>
        <w:t>（</w:t>
      </w:r>
      <w:r>
        <w:rPr>
          <w:rFonts w:ascii="Times New Roman" w:hAnsi="Times New Roman" w:cs="Times New Roman" w:eastAsia="Times New Roman" w:hint="default"/>
        </w:rPr>
        <w:t>3</w:t>
      </w:r>
      <w:r>
        <w:rPr/>
        <w:t>）其他说明</w:t>
      </w:r>
      <w:r>
        <w:rPr>
          <w:b w:val="0"/>
          <w:bCs w:val="0"/>
        </w:rPr>
      </w:r>
    </w:p>
    <w:p>
      <w:pPr>
        <w:spacing w:line="240" w:lineRule="auto" w:before="5"/>
        <w:rPr>
          <w:rFonts w:ascii="宋体" w:hAnsi="宋体" w:cs="宋体" w:eastAsia="宋体" w:hint="default"/>
          <w:b/>
          <w:bCs/>
          <w:sz w:val="26"/>
          <w:szCs w:val="26"/>
        </w:rPr>
      </w:pPr>
    </w:p>
    <w:p>
      <w:pPr>
        <w:pStyle w:val="BodyText"/>
        <w:spacing w:line="240" w:lineRule="auto" w:before="0"/>
        <w:ind w:right="0"/>
        <w:jc w:val="left"/>
      </w:pPr>
      <w:r>
        <w:rPr/>
        <w:t>无。</w:t>
      </w:r>
    </w:p>
    <w:p>
      <w:pPr>
        <w:spacing w:after="0" w:line="240" w:lineRule="auto"/>
        <w:jc w:val="left"/>
        <w:sectPr>
          <w:pgSz w:w="11910" w:h="16840"/>
          <w:pgMar w:header="784" w:footer="1022" w:top="1100" w:bottom="1220" w:left="980" w:right="0"/>
        </w:sectPr>
      </w:pPr>
    </w:p>
    <w:p>
      <w:pPr>
        <w:spacing w:line="240" w:lineRule="auto" w:before="13"/>
        <w:rPr>
          <w:rFonts w:ascii="宋体" w:hAnsi="宋体" w:cs="宋体" w:eastAsia="宋体" w:hint="default"/>
          <w:sz w:val="21"/>
          <w:szCs w:val="21"/>
        </w:rPr>
      </w:pPr>
    </w:p>
    <w:p>
      <w:pPr>
        <w:pStyle w:val="Heading4"/>
        <w:spacing w:line="240" w:lineRule="auto" w:before="36"/>
        <w:ind w:right="0"/>
        <w:jc w:val="left"/>
        <w:rPr>
          <w:b w:val="0"/>
          <w:bCs w:val="0"/>
        </w:rPr>
      </w:pPr>
      <w:bookmarkStart w:name="4、营业收入和营业成本" w:id="560"/>
      <w:bookmarkEnd w:id="560"/>
      <w:r>
        <w:rPr>
          <w:b w:val="0"/>
          <w:bCs w:val="0"/>
        </w:rPr>
      </w:r>
      <w:r>
        <w:rPr>
          <w:rFonts w:ascii="Times New Roman" w:hAnsi="Times New Roman" w:cs="Times New Roman" w:eastAsia="Times New Roman" w:hint="default"/>
        </w:rPr>
        <w:t>4</w:t>
      </w:r>
      <w:r>
        <w:rPr/>
        <w:t>、营业收入和营业成本</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93"/>
        <w:gridCol w:w="1839"/>
        <w:gridCol w:w="1916"/>
        <w:gridCol w:w="1911"/>
        <w:gridCol w:w="1916"/>
      </w:tblGrid>
      <w:tr>
        <w:trPr>
          <w:trHeight w:val="404" w:hRule="exact"/>
        </w:trPr>
        <w:tc>
          <w:tcPr>
            <w:tcW w:w="199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75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2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2"/>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1993" w:type="dxa"/>
            <w:vMerge/>
            <w:tcBorders>
              <w:left w:val="single" w:sz="4" w:space="0" w:color="000000"/>
              <w:bottom w:val="single" w:sz="4" w:space="0" w:color="000000"/>
              <w:right w:val="single" w:sz="4" w:space="0" w:color="000000"/>
            </w:tcBorders>
            <w:shd w:val="clear" w:color="auto" w:fill="D2D2D2"/>
          </w:tcPr>
          <w:p>
            <w:pPr/>
          </w:p>
        </w:tc>
        <w:tc>
          <w:tcPr>
            <w:tcW w:w="18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成本</w:t>
            </w:r>
          </w:p>
        </w:tc>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398" w:hRule="exact"/>
        </w:trPr>
        <w:tc>
          <w:tcPr>
            <w:tcW w:w="19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8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683,823,964.97</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472,756,123.86</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476,158,204.61</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375,618,820.21</w:t>
            </w:r>
          </w:p>
        </w:tc>
      </w:tr>
      <w:tr>
        <w:trPr>
          <w:trHeight w:val="403" w:hRule="exact"/>
        </w:trPr>
        <w:tc>
          <w:tcPr>
            <w:tcW w:w="19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8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7,007,505.55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6,259,606.89</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10,966,871.00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9,698,408.06</w:t>
            </w:r>
          </w:p>
        </w:tc>
      </w:tr>
      <w:tr>
        <w:trPr>
          <w:trHeight w:val="404" w:hRule="exact"/>
        </w:trPr>
        <w:tc>
          <w:tcPr>
            <w:tcW w:w="19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690,831,470.52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479,015,730.75</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487,125,075.61</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385,317,228.27</w:t>
            </w:r>
          </w:p>
        </w:tc>
      </w:tr>
    </w:tbl>
    <w:p>
      <w:pPr>
        <w:pStyle w:val="BodyText"/>
        <w:spacing w:line="240" w:lineRule="auto" w:before="53"/>
        <w:ind w:right="0"/>
        <w:jc w:val="left"/>
      </w:pPr>
      <w:r>
        <w:rPr/>
        <w:t>是否已执行新收入准则</w:t>
      </w:r>
    </w:p>
    <w:p>
      <w:pPr>
        <w:pStyle w:val="BodyText"/>
        <w:spacing w:line="355" w:lineRule="auto" w:before="119"/>
        <w:ind w:right="9666"/>
        <w:jc w:val="left"/>
      </w:pPr>
      <w:r>
        <w:rPr/>
        <w:t>□ 是 √ 否</w:t>
      </w:r>
      <w:r>
        <w:rPr>
          <w:spacing w:val="-88"/>
        </w:rPr>
        <w:t> </w:t>
      </w:r>
      <w:r>
        <w:rPr>
          <w:spacing w:val="-88"/>
        </w:rPr>
      </w:r>
      <w:r>
        <w:rPr/>
        <w:t>其他说明：</w:t>
      </w:r>
      <w:r>
        <w:rPr>
          <w:w w:val="101"/>
        </w:rPr>
        <w:t> </w:t>
      </w:r>
      <w:r>
        <w:rPr/>
        <w:t>无。</w:t>
      </w:r>
    </w:p>
    <w:p>
      <w:pPr>
        <w:spacing w:line="240" w:lineRule="auto" w:before="6"/>
        <w:rPr>
          <w:rFonts w:ascii="宋体" w:hAnsi="宋体" w:cs="宋体" w:eastAsia="宋体" w:hint="default"/>
          <w:sz w:val="20"/>
          <w:szCs w:val="20"/>
        </w:rPr>
      </w:pPr>
    </w:p>
    <w:p>
      <w:pPr>
        <w:pStyle w:val="Heading4"/>
        <w:spacing w:line="240" w:lineRule="auto"/>
        <w:ind w:right="0"/>
        <w:jc w:val="left"/>
        <w:rPr>
          <w:b w:val="0"/>
          <w:bCs w:val="0"/>
        </w:rPr>
      </w:pPr>
      <w:bookmarkStart w:name="5、投资收益" w:id="561"/>
      <w:bookmarkEnd w:id="561"/>
      <w:r>
        <w:rPr>
          <w:b w:val="0"/>
          <w:bCs w:val="0"/>
        </w:rPr>
      </w:r>
      <w:r>
        <w:rPr>
          <w:rFonts w:ascii="Times New Roman" w:hAnsi="Times New Roman" w:cs="Times New Roman" w:eastAsia="Times New Roman" w:hint="default"/>
        </w:rPr>
        <w:t>5</w:t>
      </w:r>
      <w:r>
        <w:rPr/>
        <w:t>、投资收益</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left="0" w:right="1122"/>
        <w:jc w:val="right"/>
      </w:pPr>
      <w:r>
        <w:rPr/>
        <w:t>单位：</w:t>
      </w:r>
      <w:r>
        <w:rPr>
          <w:spacing w:val="5"/>
        </w:rPr>
        <w:t> </w:t>
      </w:r>
      <w:r>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328"/>
        <w:gridCol w:w="3058"/>
        <w:gridCol w:w="3188"/>
      </w:tblGrid>
      <w:tr>
        <w:trPr>
          <w:trHeight w:val="403"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3"/>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99"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pacing w:val="-3"/>
                <w:sz w:val="18"/>
                <w:szCs w:val="18"/>
              </w:rPr>
              <w:t>成本法核算的长期股权投资收益</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69,047,575.18</w:t>
            </w:r>
          </w:p>
        </w:tc>
        <w:tc>
          <w:tcPr>
            <w:tcW w:w="318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交易性金融资产在持有期间的投资收益</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1,986,403.22</w:t>
            </w:r>
          </w:p>
        </w:tc>
        <w:tc>
          <w:tcPr>
            <w:tcW w:w="318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3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其他流动资产在持有期间的投资收益</w:t>
            </w:r>
          </w:p>
        </w:tc>
        <w:tc>
          <w:tcPr>
            <w:tcW w:w="3058" w:type="dxa"/>
            <w:tcBorders>
              <w:top w:val="single" w:sz="4" w:space="0" w:color="000000"/>
              <w:left w:val="single" w:sz="4" w:space="0" w:color="000000"/>
              <w:bottom w:val="single" w:sz="4" w:space="0" w:color="000000"/>
              <w:right w:val="single" w:sz="4" w:space="0" w:color="000000"/>
            </w:tcBorders>
          </w:tcPr>
          <w:p>
            <w:pP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480,678.54</w:t>
            </w:r>
          </w:p>
        </w:tc>
      </w:tr>
      <w:tr>
        <w:trPr>
          <w:trHeight w:val="403" w:hRule="exact"/>
        </w:trPr>
        <w:tc>
          <w:tcPr>
            <w:tcW w:w="33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其他非流动金融资产分配股利</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1,000,000.00</w:t>
            </w:r>
          </w:p>
        </w:tc>
        <w:tc>
          <w:tcPr>
            <w:tcW w:w="3188" w:type="dxa"/>
            <w:tcBorders>
              <w:top w:val="single" w:sz="4" w:space="0" w:color="000000"/>
              <w:left w:val="single" w:sz="4" w:space="0" w:color="000000"/>
              <w:bottom w:val="single" w:sz="4" w:space="0" w:color="000000"/>
              <w:right w:val="single" w:sz="4" w:space="0" w:color="000000"/>
            </w:tcBorders>
          </w:tcPr>
          <w:p>
            <w:pPr/>
          </w:p>
        </w:tc>
      </w:tr>
      <w:tr>
        <w:trPr>
          <w:trHeight w:val="399"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72,033,978.40</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4"/>
              <w:jc w:val="right"/>
              <w:rPr>
                <w:rFonts w:ascii="Times New Roman" w:hAnsi="Times New Roman" w:cs="Times New Roman" w:eastAsia="Times New Roman" w:hint="default"/>
                <w:sz w:val="18"/>
                <w:szCs w:val="18"/>
              </w:rPr>
            </w:pPr>
            <w:r>
              <w:rPr>
                <w:rFonts w:ascii="Times New Roman"/>
                <w:spacing w:val="-1"/>
                <w:sz w:val="18"/>
              </w:rPr>
              <w:t>480,678.54</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6、其他" w:id="562"/>
      <w:bookmarkEnd w:id="562"/>
      <w:r>
        <w:rPr>
          <w:b w:val="0"/>
          <w:bCs w:val="0"/>
        </w:rPr>
      </w:r>
      <w:r>
        <w:rPr>
          <w:rFonts w:ascii="Times New Roman" w:hAnsi="Times New Roman" w:cs="Times New Roman" w:eastAsia="Times New Roman" w:hint="default"/>
        </w:rPr>
        <w:t>6</w:t>
      </w:r>
      <w:r>
        <w:rPr/>
        <w:t>、其他</w:t>
      </w:r>
      <w:r>
        <w:rPr>
          <w:b w:val="0"/>
          <w:bCs w:val="0"/>
        </w:rPr>
      </w:r>
    </w:p>
    <w:p>
      <w:pPr>
        <w:spacing w:line="240" w:lineRule="auto" w:before="9"/>
        <w:rPr>
          <w:rFonts w:ascii="宋体" w:hAnsi="宋体" w:cs="宋体" w:eastAsia="宋体" w:hint="default"/>
          <w:b/>
          <w:bCs/>
          <w:sz w:val="26"/>
          <w:szCs w:val="26"/>
        </w:rPr>
      </w:pPr>
    </w:p>
    <w:p>
      <w:pPr>
        <w:pStyle w:val="BodyText"/>
        <w:spacing w:line="240" w:lineRule="auto" w:before="0"/>
        <w:ind w:right="0"/>
        <w:jc w:val="left"/>
      </w:pPr>
      <w:r>
        <w:rPr/>
        <w:t>无。</w:t>
      </w:r>
    </w:p>
    <w:p>
      <w:pPr>
        <w:spacing w:line="240" w:lineRule="auto" w:before="10"/>
        <w:rPr>
          <w:rFonts w:ascii="宋体" w:hAnsi="宋体" w:cs="宋体" w:eastAsia="宋体" w:hint="default"/>
          <w:sz w:val="24"/>
          <w:szCs w:val="24"/>
        </w:rPr>
      </w:pPr>
    </w:p>
    <w:p>
      <w:pPr>
        <w:pStyle w:val="Heading2"/>
        <w:spacing w:line="240" w:lineRule="auto"/>
        <w:ind w:right="0"/>
        <w:jc w:val="left"/>
        <w:rPr>
          <w:b w:val="0"/>
          <w:bCs w:val="0"/>
        </w:rPr>
      </w:pPr>
      <w:bookmarkStart w:name="十八、补充资料" w:id="563"/>
      <w:bookmarkEnd w:id="563"/>
      <w:r>
        <w:rPr>
          <w:b w:val="0"/>
          <w:bCs w:val="0"/>
        </w:rPr>
      </w:r>
      <w:r>
        <w:rPr/>
        <w:t>十八、补充资料</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0"/>
        <w:jc w:val="left"/>
        <w:rPr>
          <w:b w:val="0"/>
          <w:bCs w:val="0"/>
        </w:rPr>
      </w:pPr>
      <w:bookmarkStart w:name="1、当期非经常性损益明细表" w:id="564"/>
      <w:bookmarkEnd w:id="564"/>
      <w:r>
        <w:rPr>
          <w:b w:val="0"/>
          <w:bCs w:val="0"/>
        </w:rPr>
      </w:r>
      <w:r>
        <w:rPr>
          <w:rFonts w:ascii="Times New Roman" w:hAnsi="Times New Roman" w:cs="Times New Roman" w:eastAsia="Times New Roman" w:hint="default"/>
        </w:rPr>
        <w:t>1</w:t>
      </w:r>
      <w:r>
        <w:rPr/>
        <w:t>、当期非经常性损益明细表</w:t>
      </w:r>
      <w:r>
        <w:rPr>
          <w:b w:val="0"/>
          <w:bCs w:val="0"/>
        </w:rPr>
      </w:r>
    </w:p>
    <w:p>
      <w:pPr>
        <w:spacing w:line="240" w:lineRule="auto" w:before="6"/>
        <w:rPr>
          <w:rFonts w:ascii="宋体" w:hAnsi="宋体" w:cs="宋体" w:eastAsia="宋体" w:hint="default"/>
          <w:b/>
          <w:bCs/>
          <w:sz w:val="23"/>
          <w:szCs w:val="23"/>
        </w:rPr>
      </w:pPr>
    </w:p>
    <w:p>
      <w:pPr>
        <w:pStyle w:val="BodyText"/>
        <w:spacing w:line="240" w:lineRule="auto"/>
        <w:ind w:right="0"/>
        <w:jc w:val="left"/>
      </w:pPr>
      <w:r>
        <w:rPr/>
        <w:t>√ </w:t>
      </w:r>
      <w:r>
        <w:rPr>
          <w:spacing w:val="-3"/>
        </w:rPr>
        <w:t>适用 </w:t>
      </w:r>
      <w:r>
        <w:rPr/>
        <w:t>□</w:t>
      </w:r>
      <w:r>
        <w:rPr>
          <w:spacing w:val="13"/>
        </w:rPr>
        <w:t> </w:t>
      </w:r>
      <w:r>
        <w:rPr/>
        <w:t>不适用</w:t>
      </w:r>
    </w:p>
    <w:p>
      <w:pPr>
        <w:pStyle w:val="BodyText"/>
        <w:spacing w:line="240" w:lineRule="auto" w:before="115"/>
        <w:ind w:left="0" w:right="1122"/>
        <w:jc w:val="right"/>
      </w:pPr>
      <w:r>
        <w:rPr/>
        <w:t>单位：</w:t>
      </w:r>
      <w:r>
        <w:rPr>
          <w:spacing w:val="5"/>
        </w:rPr>
        <w:t> </w:t>
      </w:r>
      <w:r>
        <w:rPr/>
        <w:t>元</w:t>
      </w:r>
    </w:p>
    <w:p>
      <w:pPr>
        <w:spacing w:line="240" w:lineRule="auto" w:before="10"/>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328"/>
        <w:gridCol w:w="3058"/>
        <w:gridCol w:w="3188"/>
      </w:tblGrid>
      <w:tr>
        <w:trPr>
          <w:trHeight w:val="401"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right="2"/>
              <w:jc w:val="center"/>
              <w:rPr>
                <w:rFonts w:ascii="宋体" w:hAnsi="宋体" w:cs="宋体" w:eastAsia="宋体" w:hint="default"/>
                <w:sz w:val="18"/>
                <w:szCs w:val="18"/>
              </w:rPr>
            </w:pPr>
            <w:r>
              <w:rPr>
                <w:rFonts w:ascii="宋体" w:hAnsi="宋体" w:cs="宋体" w:eastAsia="宋体" w:hint="default"/>
                <w:sz w:val="18"/>
                <w:szCs w:val="18"/>
              </w:rPr>
              <w:t>金额</w:t>
            </w:r>
          </w:p>
        </w:tc>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9"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403"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非流动资产处置损益</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-715,817.78</w:t>
            </w:r>
          </w:p>
        </w:tc>
        <w:tc>
          <w:tcPr>
            <w:tcW w:w="3188" w:type="dxa"/>
            <w:tcBorders>
              <w:top w:val="single" w:sz="4" w:space="0" w:color="000000"/>
              <w:left w:val="single" w:sz="4" w:space="0" w:color="000000"/>
              <w:bottom w:val="single" w:sz="4" w:space="0" w:color="000000"/>
              <w:right w:val="single" w:sz="4" w:space="0" w:color="000000"/>
            </w:tcBorders>
          </w:tcPr>
          <w:p>
            <w:pPr/>
          </w:p>
        </w:tc>
      </w:tr>
      <w:tr>
        <w:trPr>
          <w:trHeight w:val="1028"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105" w:right="147"/>
              <w:jc w:val="both"/>
              <w:rPr>
                <w:rFonts w:ascii="宋体" w:hAnsi="宋体" w:cs="宋体" w:eastAsia="宋体" w:hint="default"/>
                <w:sz w:val="18"/>
                <w:szCs w:val="18"/>
              </w:rPr>
            </w:pPr>
            <w:r>
              <w:rPr>
                <w:rFonts w:ascii="宋体" w:hAnsi="宋体" w:cs="宋体" w:eastAsia="宋体" w:hint="default"/>
                <w:spacing w:val="-3"/>
                <w:sz w:val="18"/>
                <w:szCs w:val="18"/>
              </w:rPr>
              <w:t>计入当期损益的政府补助（与企业业务</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密切相关，按照国家统一标准定额或定</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量享受的政府补助除外）</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15,290,905.64</w:t>
            </w:r>
          </w:p>
        </w:tc>
        <w:tc>
          <w:tcPr>
            <w:tcW w:w="318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委托他人投资或管理资产的损益</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4,640,839.78</w:t>
            </w:r>
          </w:p>
        </w:tc>
        <w:tc>
          <w:tcPr>
            <w:tcW w:w="318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84" w:footer="1022" w:top="1100" w:bottom="1220" w:left="980" w:right="0"/>
        </w:sectPr>
      </w:pPr>
    </w:p>
    <w:p>
      <w:pPr>
        <w:spacing w:line="240" w:lineRule="auto" w:before="7"/>
        <w:rPr>
          <w:rFonts w:ascii="宋体" w:hAnsi="宋体" w:cs="宋体" w:eastAsia="宋体" w:hint="default"/>
          <w:sz w:val="25"/>
          <w:szCs w:val="25"/>
        </w:rPr>
      </w:pPr>
    </w:p>
    <w:tbl>
      <w:tblPr>
        <w:tblW w:w="0" w:type="auto"/>
        <w:jc w:val="left"/>
        <w:tblInd w:w="148" w:type="dxa"/>
        <w:tblLayout w:type="fixed"/>
        <w:tblCellMar>
          <w:top w:w="0" w:type="dxa"/>
          <w:left w:w="0" w:type="dxa"/>
          <w:bottom w:w="0" w:type="dxa"/>
          <w:right w:w="0" w:type="dxa"/>
        </w:tblCellMar>
        <w:tblLook w:val="01E0"/>
      </w:tblPr>
      <w:tblGrid>
        <w:gridCol w:w="3328"/>
        <w:gridCol w:w="3058"/>
        <w:gridCol w:w="3188"/>
      </w:tblGrid>
      <w:tr>
        <w:trPr>
          <w:trHeight w:val="715"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05" w:right="147"/>
              <w:jc w:val="left"/>
              <w:rPr>
                <w:rFonts w:ascii="宋体" w:hAnsi="宋体" w:cs="宋体" w:eastAsia="宋体" w:hint="default"/>
                <w:sz w:val="18"/>
                <w:szCs w:val="18"/>
              </w:rPr>
            </w:pPr>
            <w:r>
              <w:rPr>
                <w:rFonts w:ascii="宋体" w:hAnsi="宋体" w:cs="宋体" w:eastAsia="宋体" w:hint="default"/>
                <w:spacing w:val="-3"/>
                <w:sz w:val="18"/>
                <w:szCs w:val="18"/>
              </w:rPr>
              <w:t>除上述各项之外的其他营业外收入和支</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z w:val="18"/>
                <w:szCs w:val="18"/>
              </w:rPr>
              <w:t>出</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-1,931,823.25</w:t>
            </w:r>
          </w:p>
        </w:tc>
        <w:tc>
          <w:tcPr>
            <w:tcW w:w="3188" w:type="dxa"/>
            <w:tcBorders>
              <w:top w:val="single" w:sz="4" w:space="0" w:color="000000"/>
              <w:left w:val="single" w:sz="4" w:space="0" w:color="000000"/>
              <w:bottom w:val="single" w:sz="4" w:space="0" w:color="000000"/>
              <w:right w:val="single" w:sz="4" w:space="0" w:color="000000"/>
            </w:tcBorders>
          </w:tcPr>
          <w:p>
            <w:pPr/>
          </w:p>
        </w:tc>
      </w:tr>
      <w:tr>
        <w:trPr>
          <w:trHeight w:val="399"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pacing w:val="-3"/>
                <w:sz w:val="18"/>
                <w:szCs w:val="18"/>
              </w:rPr>
              <w:t>其他符合非经常性损益定义的损益项目</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364,050.00</w:t>
            </w:r>
          </w:p>
        </w:tc>
        <w:tc>
          <w:tcPr>
            <w:tcW w:w="318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05"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8"/>
              <w:jc w:val="right"/>
              <w:rPr>
                <w:rFonts w:ascii="Times New Roman" w:hAnsi="Times New Roman" w:cs="Times New Roman" w:eastAsia="Times New Roman" w:hint="default"/>
                <w:sz w:val="18"/>
                <w:szCs w:val="18"/>
              </w:rPr>
            </w:pPr>
            <w:r>
              <w:rPr>
                <w:rFonts w:ascii="Times New Roman"/>
                <w:spacing w:val="-1"/>
                <w:sz w:val="18"/>
              </w:rPr>
              <w:t>2,703,024.31</w:t>
            </w:r>
          </w:p>
        </w:tc>
        <w:tc>
          <w:tcPr>
            <w:tcW w:w="318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spacing w:val="-3"/>
                <w:sz w:val="18"/>
                <w:szCs w:val="18"/>
              </w:rPr>
              <w:t>少数股东权益影响额</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293,550.39</w:t>
            </w:r>
          </w:p>
        </w:tc>
        <w:tc>
          <w:tcPr>
            <w:tcW w:w="318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14,651,579.69</w:t>
            </w:r>
          </w:p>
        </w:tc>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pacing w:val="-4"/>
                <w:sz w:val="18"/>
              </w:rPr>
              <w:t>--</w:t>
            </w:r>
            <w:r>
              <w:rPr>
                <w:rFonts w:ascii="Times New Roman"/>
                <w:sz w:val="18"/>
              </w:rPr>
            </w:r>
          </w:p>
        </w:tc>
      </w:tr>
    </w:tbl>
    <w:p>
      <w:pPr>
        <w:pStyle w:val="BodyText"/>
        <w:spacing w:line="240" w:lineRule="auto" w:before="53"/>
        <w:ind w:right="0"/>
        <w:jc w:val="left"/>
      </w:pPr>
      <w:r>
        <w:rPr>
          <w:w w:val="101"/>
        </w:rPr>
        <w:t>对</w:t>
      </w:r>
      <w:r>
        <w:rPr>
          <w:spacing w:val="-5"/>
          <w:w w:val="101"/>
        </w:rPr>
        <w:t>公</w:t>
      </w:r>
      <w:r>
        <w:rPr>
          <w:w w:val="101"/>
        </w:rPr>
        <w:t>司</w:t>
      </w:r>
      <w:r>
        <w:rPr>
          <w:spacing w:val="-5"/>
          <w:w w:val="101"/>
        </w:rPr>
        <w:t>根</w:t>
      </w:r>
      <w:r>
        <w:rPr>
          <w:spacing w:val="-68"/>
          <w:w w:val="101"/>
        </w:rPr>
        <w:t>据</w:t>
      </w:r>
      <w:r>
        <w:rPr>
          <w:w w:val="101"/>
        </w:rPr>
        <w:t>《</w:t>
      </w:r>
      <w:r>
        <w:rPr>
          <w:spacing w:val="-5"/>
          <w:w w:val="101"/>
        </w:rPr>
        <w:t>公</w:t>
      </w:r>
      <w:r>
        <w:rPr>
          <w:w w:val="101"/>
        </w:rPr>
        <w:t>开</w:t>
      </w:r>
      <w:r>
        <w:rPr>
          <w:spacing w:val="-5"/>
          <w:w w:val="101"/>
        </w:rPr>
        <w:t>发</w:t>
      </w:r>
      <w:r>
        <w:rPr>
          <w:w w:val="101"/>
        </w:rPr>
        <w:t>行</w:t>
      </w:r>
      <w:r>
        <w:rPr>
          <w:spacing w:val="-5"/>
          <w:w w:val="101"/>
        </w:rPr>
        <w:t>证</w:t>
      </w:r>
      <w:r>
        <w:rPr>
          <w:w w:val="101"/>
        </w:rPr>
        <w:t>券</w:t>
      </w:r>
      <w:r>
        <w:rPr>
          <w:spacing w:val="-5"/>
          <w:w w:val="101"/>
        </w:rPr>
        <w:t>的</w:t>
      </w:r>
      <w:r>
        <w:rPr>
          <w:w w:val="101"/>
        </w:rPr>
        <w:t>公</w:t>
      </w:r>
      <w:r>
        <w:rPr>
          <w:spacing w:val="-5"/>
          <w:w w:val="101"/>
        </w:rPr>
        <w:t>司</w:t>
      </w:r>
      <w:r>
        <w:rPr>
          <w:w w:val="101"/>
        </w:rPr>
        <w:t>信</w:t>
      </w:r>
      <w:r>
        <w:rPr>
          <w:spacing w:val="-5"/>
          <w:w w:val="101"/>
        </w:rPr>
        <w:t>息</w:t>
      </w:r>
      <w:r>
        <w:rPr>
          <w:w w:val="101"/>
        </w:rPr>
        <w:t>披</w:t>
      </w:r>
      <w:r>
        <w:rPr>
          <w:spacing w:val="-5"/>
          <w:w w:val="101"/>
        </w:rPr>
        <w:t>露</w:t>
      </w:r>
      <w:r>
        <w:rPr>
          <w:w w:val="101"/>
        </w:rPr>
        <w:t>解</w:t>
      </w:r>
      <w:r>
        <w:rPr>
          <w:spacing w:val="-5"/>
          <w:w w:val="101"/>
        </w:rPr>
        <w:t>释</w:t>
      </w:r>
      <w:r>
        <w:rPr>
          <w:w w:val="101"/>
        </w:rPr>
        <w:t>性</w:t>
      </w:r>
      <w:r>
        <w:rPr>
          <w:spacing w:val="-5"/>
          <w:w w:val="101"/>
        </w:rPr>
        <w:t>公</w:t>
      </w:r>
      <w:r>
        <w:rPr>
          <w:w w:val="101"/>
        </w:rPr>
        <w:t>告第</w:t>
      </w:r>
      <w:r>
        <w:rPr>
          <w:spacing w:val="-46"/>
        </w:rPr>
        <w:t> </w:t>
      </w:r>
      <w:r>
        <w:rPr>
          <w:rFonts w:ascii="Times New Roman" w:hAnsi="Times New Roman" w:cs="Times New Roman" w:eastAsia="Times New Roman" w:hint="default"/>
          <w:w w:val="101"/>
        </w:rPr>
        <w:t>1</w:t>
      </w:r>
      <w:r>
        <w:rPr>
          <w:rFonts w:ascii="Times New Roman" w:hAnsi="Times New Roman" w:cs="Times New Roman" w:eastAsia="Times New Roman" w:hint="default"/>
          <w:spacing w:val="-2"/>
        </w:rPr>
        <w:t> </w:t>
      </w:r>
      <w:r>
        <w:rPr>
          <w:spacing w:val="-5"/>
          <w:w w:val="101"/>
        </w:rPr>
        <w:t>号</w:t>
      </w:r>
      <w:r>
        <w:rPr>
          <w:w w:val="101"/>
        </w:rPr>
        <w:t>—</w:t>
      </w:r>
      <w:r>
        <w:rPr>
          <w:spacing w:val="-5"/>
          <w:w w:val="101"/>
        </w:rPr>
        <w:t>—</w:t>
      </w:r>
      <w:r>
        <w:rPr>
          <w:w w:val="101"/>
        </w:rPr>
        <w:t>非</w:t>
      </w:r>
      <w:r>
        <w:rPr>
          <w:spacing w:val="-5"/>
          <w:w w:val="101"/>
        </w:rPr>
        <w:t>经</w:t>
      </w:r>
      <w:r>
        <w:rPr>
          <w:w w:val="101"/>
        </w:rPr>
        <w:t>常</w:t>
      </w:r>
      <w:r>
        <w:rPr>
          <w:spacing w:val="-5"/>
          <w:w w:val="101"/>
        </w:rPr>
        <w:t>性</w:t>
      </w:r>
      <w:r>
        <w:rPr>
          <w:w w:val="101"/>
        </w:rPr>
        <w:t>损益</w:t>
      </w:r>
      <w:r>
        <w:rPr>
          <w:spacing w:val="-73"/>
          <w:w w:val="101"/>
        </w:rPr>
        <w:t>》</w:t>
      </w:r>
      <w:r>
        <w:rPr>
          <w:w w:val="101"/>
        </w:rPr>
        <w:t>定</w:t>
      </w:r>
      <w:r>
        <w:rPr>
          <w:spacing w:val="-5"/>
          <w:w w:val="101"/>
        </w:rPr>
        <w:t>义</w:t>
      </w:r>
      <w:r>
        <w:rPr>
          <w:w w:val="101"/>
        </w:rPr>
        <w:t>界</w:t>
      </w:r>
      <w:r>
        <w:rPr>
          <w:spacing w:val="-5"/>
          <w:w w:val="101"/>
        </w:rPr>
        <w:t>定</w:t>
      </w:r>
      <w:r>
        <w:rPr>
          <w:w w:val="101"/>
        </w:rPr>
        <w:t>的</w:t>
      </w:r>
      <w:r>
        <w:rPr>
          <w:spacing w:val="-5"/>
          <w:w w:val="101"/>
        </w:rPr>
        <w:t>非</w:t>
      </w:r>
      <w:r>
        <w:rPr>
          <w:w w:val="101"/>
        </w:rPr>
        <w:t>经</w:t>
      </w:r>
      <w:r>
        <w:rPr>
          <w:spacing w:val="-5"/>
          <w:w w:val="101"/>
        </w:rPr>
        <w:t>常</w:t>
      </w:r>
      <w:r>
        <w:rPr>
          <w:w w:val="101"/>
        </w:rPr>
        <w:t>性</w:t>
      </w:r>
      <w:r>
        <w:rPr>
          <w:spacing w:val="-5"/>
          <w:w w:val="101"/>
        </w:rPr>
        <w:t>损</w:t>
      </w:r>
      <w:r>
        <w:rPr>
          <w:w w:val="101"/>
        </w:rPr>
        <w:t>益</w:t>
      </w:r>
      <w:r>
        <w:rPr>
          <w:spacing w:val="-5"/>
          <w:w w:val="101"/>
        </w:rPr>
        <w:t>项</w:t>
      </w:r>
      <w:r>
        <w:rPr>
          <w:w w:val="101"/>
        </w:rPr>
        <w:t>目</w:t>
      </w:r>
      <w:r>
        <w:rPr>
          <w:spacing w:val="-68"/>
          <w:w w:val="101"/>
        </w:rPr>
        <w:t>，</w:t>
      </w:r>
      <w:r>
        <w:rPr>
          <w:spacing w:val="-5"/>
          <w:w w:val="101"/>
        </w:rPr>
        <w:t>以</w:t>
      </w:r>
      <w:r>
        <w:rPr>
          <w:w w:val="101"/>
        </w:rPr>
        <w:t>及</w:t>
      </w:r>
      <w:r>
        <w:rPr>
          <w:spacing w:val="-73"/>
          <w:w w:val="101"/>
        </w:rPr>
        <w:t>把</w:t>
      </w:r>
      <w:r>
        <w:rPr>
          <w:w w:val="101"/>
        </w:rPr>
        <w:t>《公</w:t>
      </w:r>
      <w:r>
        <w:rPr/>
      </w:r>
    </w:p>
    <w:p>
      <w:pPr>
        <w:pStyle w:val="BodyText"/>
        <w:spacing w:line="304" w:lineRule="auto" w:before="58"/>
        <w:ind w:right="1120"/>
        <w:jc w:val="left"/>
      </w:pPr>
      <w:r>
        <w:rPr>
          <w:spacing w:val="-3"/>
        </w:rPr>
        <w:t>开发行证券的公司信息披露解释性公告第 </w:t>
      </w:r>
      <w:r>
        <w:rPr>
          <w:rFonts w:ascii="Times New Roman" w:hAnsi="Times New Roman" w:cs="Times New Roman" w:eastAsia="Times New Roman" w:hint="default"/>
        </w:rPr>
        <w:t>1 </w:t>
      </w:r>
      <w:r>
        <w:rPr>
          <w:spacing w:val="-5"/>
        </w:rPr>
        <w:t>号——非经常性损益》中列举的非经常性损益项目界定为经常性损益的项目，应</w:t>
      </w:r>
      <w:r>
        <w:rPr>
          <w:spacing w:val="-35"/>
        </w:rPr>
        <w:t> </w:t>
      </w:r>
      <w:r>
        <w:rPr>
          <w:spacing w:val="-35"/>
        </w:rPr>
      </w:r>
      <w:r>
        <w:rPr/>
        <w:t>说明原因。</w:t>
      </w:r>
    </w:p>
    <w:p>
      <w:pPr>
        <w:pStyle w:val="BodyText"/>
        <w:spacing w:line="240" w:lineRule="auto" w:before="66"/>
        <w:ind w:right="0"/>
        <w:jc w:val="left"/>
      </w:pPr>
      <w:r>
        <w:rPr/>
        <w:t>□ </w:t>
      </w:r>
      <w:r>
        <w:rPr>
          <w:spacing w:val="-3"/>
        </w:rPr>
        <w:t>适用 </w:t>
      </w:r>
      <w:r>
        <w:rPr/>
        <w:t>√</w:t>
      </w:r>
      <w:r>
        <w:rPr>
          <w:spacing w:val="13"/>
        </w:rPr>
        <w:t> </w:t>
      </w:r>
      <w:r>
        <w:rPr/>
        <w:t>不适用</w:t>
      </w:r>
    </w:p>
    <w:p>
      <w:pPr>
        <w:spacing w:line="240" w:lineRule="auto" w:before="8"/>
        <w:rPr>
          <w:rFonts w:ascii="宋体" w:hAnsi="宋体" w:cs="宋体" w:eastAsia="宋体" w:hint="default"/>
          <w:sz w:val="26"/>
          <w:szCs w:val="26"/>
        </w:rPr>
      </w:pPr>
    </w:p>
    <w:p>
      <w:pPr>
        <w:pStyle w:val="Heading4"/>
        <w:spacing w:line="240" w:lineRule="auto"/>
        <w:ind w:right="0"/>
        <w:jc w:val="left"/>
        <w:rPr>
          <w:b w:val="0"/>
          <w:bCs w:val="0"/>
        </w:rPr>
      </w:pPr>
      <w:bookmarkStart w:name="2、净资产收益率及每股收益" w:id="565"/>
      <w:bookmarkEnd w:id="565"/>
      <w:r>
        <w:rPr>
          <w:b w:val="0"/>
          <w:bCs w:val="0"/>
        </w:rPr>
      </w:r>
      <w:r>
        <w:rPr>
          <w:rFonts w:ascii="Times New Roman" w:hAnsi="Times New Roman" w:cs="Times New Roman" w:eastAsia="Times New Roman" w:hint="default"/>
        </w:rPr>
        <w:t>2</w:t>
      </w:r>
      <w:r>
        <w:rPr/>
        <w:t>、净资产收益率及每股收益</w:t>
      </w:r>
      <w:r>
        <w:rPr>
          <w:b w:val="0"/>
          <w:bCs w:val="0"/>
        </w:rPr>
      </w:r>
    </w:p>
    <w:p>
      <w:pPr>
        <w:spacing w:line="240" w:lineRule="auto" w:before="12"/>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2665"/>
        <w:gridCol w:w="3078"/>
        <w:gridCol w:w="1916"/>
        <w:gridCol w:w="1911"/>
      </w:tblGrid>
      <w:tr>
        <w:trPr>
          <w:trHeight w:val="403" w:hRule="exact"/>
        </w:trPr>
        <w:tc>
          <w:tcPr>
            <w:tcW w:w="2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b/>
                <w:bCs/>
                <w:sz w:val="19"/>
                <w:szCs w:val="19"/>
              </w:rPr>
            </w:pPr>
          </w:p>
          <w:p>
            <w:pPr>
              <w:pStyle w:val="TableParagraph"/>
              <w:spacing w:line="240" w:lineRule="auto"/>
              <w:ind w:left="878" w:right="0"/>
              <w:jc w:val="left"/>
              <w:rPr>
                <w:rFonts w:ascii="宋体" w:hAnsi="宋体" w:cs="宋体" w:eastAsia="宋体" w:hint="default"/>
                <w:sz w:val="18"/>
                <w:szCs w:val="18"/>
              </w:rPr>
            </w:pPr>
            <w:r>
              <w:rPr>
                <w:rFonts w:ascii="宋体" w:hAnsi="宋体" w:cs="宋体" w:eastAsia="宋体" w:hint="default"/>
                <w:sz w:val="18"/>
                <w:szCs w:val="18"/>
              </w:rPr>
              <w:t>报告期利润</w:t>
            </w:r>
          </w:p>
        </w:tc>
        <w:tc>
          <w:tcPr>
            <w:tcW w:w="307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b/>
                <w:bCs/>
                <w:sz w:val="19"/>
                <w:szCs w:val="19"/>
              </w:rPr>
            </w:pPr>
          </w:p>
          <w:p>
            <w:pPr>
              <w:pStyle w:val="TableParagraph"/>
              <w:spacing w:line="240" w:lineRule="auto"/>
              <w:ind w:left="634"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382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 w:right="0"/>
              <w:jc w:val="center"/>
              <w:rPr>
                <w:rFonts w:ascii="宋体" w:hAnsi="宋体" w:cs="宋体" w:eastAsia="宋体" w:hint="default"/>
                <w:sz w:val="18"/>
                <w:szCs w:val="18"/>
              </w:rPr>
            </w:pPr>
            <w:r>
              <w:rPr>
                <w:rFonts w:ascii="宋体" w:hAnsi="宋体" w:cs="宋体" w:eastAsia="宋体" w:hint="default"/>
                <w:sz w:val="18"/>
                <w:szCs w:val="18"/>
              </w:rPr>
              <w:t>每股收益</w:t>
            </w:r>
          </w:p>
        </w:tc>
      </w:tr>
      <w:tr>
        <w:trPr>
          <w:trHeight w:val="398" w:hRule="exact"/>
        </w:trPr>
        <w:tc>
          <w:tcPr>
            <w:tcW w:w="2665" w:type="dxa"/>
            <w:vMerge/>
            <w:tcBorders>
              <w:left w:val="single" w:sz="4" w:space="0" w:color="000000"/>
              <w:bottom w:val="single" w:sz="4" w:space="0" w:color="000000"/>
              <w:right w:val="single" w:sz="4" w:space="0" w:color="000000"/>
            </w:tcBorders>
            <w:shd w:val="clear" w:color="auto" w:fill="D2D2D2"/>
          </w:tcPr>
          <w:p>
            <w:pPr/>
          </w:p>
        </w:tc>
        <w:tc>
          <w:tcPr>
            <w:tcW w:w="3078" w:type="dxa"/>
            <w:vMerge/>
            <w:tcBorders>
              <w:left w:val="single" w:sz="4" w:space="0" w:color="000000"/>
              <w:bottom w:val="single" w:sz="4" w:space="0" w:color="000000"/>
              <w:right w:val="single" w:sz="4" w:space="0" w:color="000000"/>
            </w:tcBorders>
            <w:shd w:val="clear" w:color="auto" w:fill="D2D2D2"/>
          </w:tcPr>
          <w:p>
            <w:pP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12"/>
              <w:jc w:val="right"/>
              <w:rPr>
                <w:rFonts w:ascii="宋体" w:hAnsi="宋体" w:cs="宋体" w:eastAsia="宋体" w:hint="default"/>
                <w:sz w:val="18"/>
                <w:szCs w:val="18"/>
              </w:rPr>
            </w:pPr>
            <w:r>
              <w:rPr>
                <w:rFonts w:ascii="宋体" w:hAnsi="宋体" w:cs="宋体" w:eastAsia="宋体" w:hint="default"/>
                <w:spacing w:val="-9"/>
                <w:sz w:val="18"/>
                <w:szCs w:val="18"/>
              </w:rPr>
              <w:t>基本每股收益（元</w:t>
            </w:r>
            <w:r>
              <w:rPr>
                <w:rFonts w:ascii="Times New Roman" w:hAnsi="Times New Roman" w:cs="Times New Roman" w:eastAsia="Times New Roman" w:hint="default"/>
                <w:spacing w:val="-9"/>
                <w:sz w:val="18"/>
                <w:szCs w:val="18"/>
              </w:rPr>
              <w:t>/</w:t>
            </w:r>
            <w:r>
              <w:rPr>
                <w:rFonts w:ascii="宋体" w:hAnsi="宋体" w:cs="宋体" w:eastAsia="宋体" w:hint="default"/>
                <w:spacing w:val="-9"/>
                <w:sz w:val="18"/>
                <w:szCs w:val="18"/>
              </w:rPr>
              <w:t>股）</w:t>
            </w:r>
            <w:r>
              <w:rPr>
                <w:rFonts w:ascii="宋体" w:hAnsi="宋体" w:cs="宋体" w:eastAsia="宋体" w:hint="default"/>
                <w:sz w:val="18"/>
                <w:szCs w:val="18"/>
              </w:rPr>
            </w:r>
          </w:p>
        </w:tc>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7"/>
              <w:jc w:val="right"/>
              <w:rPr>
                <w:rFonts w:ascii="宋体" w:hAnsi="宋体" w:cs="宋体" w:eastAsia="宋体" w:hint="default"/>
                <w:sz w:val="18"/>
                <w:szCs w:val="18"/>
              </w:rPr>
            </w:pPr>
            <w:r>
              <w:rPr>
                <w:rFonts w:ascii="宋体" w:hAnsi="宋体" w:cs="宋体" w:eastAsia="宋体" w:hint="default"/>
                <w:spacing w:val="-9"/>
                <w:sz w:val="18"/>
                <w:szCs w:val="18"/>
              </w:rPr>
              <w:t>稀释每股收益（元</w:t>
            </w:r>
            <w:r>
              <w:rPr>
                <w:rFonts w:ascii="Times New Roman" w:hAnsi="Times New Roman" w:cs="Times New Roman" w:eastAsia="Times New Roman" w:hint="default"/>
                <w:spacing w:val="-9"/>
                <w:sz w:val="18"/>
                <w:szCs w:val="18"/>
              </w:rPr>
              <w:t>/</w:t>
            </w:r>
            <w:r>
              <w:rPr>
                <w:rFonts w:ascii="宋体" w:hAnsi="宋体" w:cs="宋体" w:eastAsia="宋体" w:hint="default"/>
                <w:spacing w:val="-9"/>
                <w:sz w:val="18"/>
                <w:szCs w:val="18"/>
              </w:rPr>
              <w:t>股）</w:t>
            </w:r>
            <w:r>
              <w:rPr>
                <w:rFonts w:ascii="宋体" w:hAnsi="宋体" w:cs="宋体" w:eastAsia="宋体" w:hint="default"/>
                <w:sz w:val="18"/>
                <w:szCs w:val="18"/>
              </w:rPr>
            </w:r>
          </w:p>
        </w:tc>
      </w:tr>
      <w:tr>
        <w:trPr>
          <w:trHeight w:val="715" w:hRule="exact"/>
        </w:trPr>
        <w:tc>
          <w:tcPr>
            <w:tcW w:w="26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05" w:right="204"/>
              <w:jc w:val="left"/>
              <w:rPr>
                <w:rFonts w:ascii="宋体" w:hAnsi="宋体" w:cs="宋体" w:eastAsia="宋体" w:hint="default"/>
                <w:sz w:val="18"/>
                <w:szCs w:val="18"/>
              </w:rPr>
            </w:pPr>
            <w:r>
              <w:rPr>
                <w:rFonts w:ascii="宋体" w:hAnsi="宋体" w:cs="宋体" w:eastAsia="宋体" w:hint="default"/>
                <w:spacing w:val="-3"/>
                <w:sz w:val="18"/>
                <w:szCs w:val="18"/>
              </w:rPr>
              <w:t>归属于公司普通股股东的净利</w:t>
            </w:r>
            <w:r>
              <w:rPr>
                <w:rFonts w:ascii="宋体" w:hAnsi="宋体" w:cs="宋体" w:eastAsia="宋体" w:hint="default"/>
                <w:spacing w:val="-50"/>
                <w:sz w:val="18"/>
                <w:szCs w:val="18"/>
              </w:rPr>
              <w:t> </w:t>
            </w:r>
            <w:r>
              <w:rPr>
                <w:rFonts w:ascii="宋体" w:hAnsi="宋体" w:cs="宋体" w:eastAsia="宋体" w:hint="default"/>
                <w:spacing w:val="-50"/>
                <w:sz w:val="18"/>
                <w:szCs w:val="18"/>
              </w:rPr>
            </w:r>
            <w:r>
              <w:rPr>
                <w:rFonts w:ascii="宋体" w:hAnsi="宋体" w:cs="宋体" w:eastAsia="宋体" w:hint="default"/>
                <w:sz w:val="18"/>
                <w:szCs w:val="18"/>
              </w:rPr>
              <w:t>润</w:t>
            </w:r>
          </w:p>
        </w:tc>
        <w:tc>
          <w:tcPr>
            <w:tcW w:w="3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1"/>
                <w:sz w:val="18"/>
              </w:rPr>
              <w:t>13.88%</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z w:val="18"/>
              </w:rPr>
              <w:t>0.30</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right="89"/>
              <w:jc w:val="right"/>
              <w:rPr>
                <w:rFonts w:ascii="Times New Roman" w:hAnsi="Times New Roman" w:cs="Times New Roman" w:eastAsia="Times New Roman" w:hint="default"/>
                <w:sz w:val="18"/>
                <w:szCs w:val="18"/>
              </w:rPr>
            </w:pPr>
            <w:r>
              <w:rPr>
                <w:rFonts w:ascii="Times New Roman"/>
                <w:sz w:val="18"/>
              </w:rPr>
              <w:t>0.30</w:t>
            </w:r>
          </w:p>
        </w:tc>
      </w:tr>
      <w:tr>
        <w:trPr>
          <w:trHeight w:val="716" w:hRule="exact"/>
        </w:trPr>
        <w:tc>
          <w:tcPr>
            <w:tcW w:w="26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4"/>
              <w:ind w:left="105" w:right="204"/>
              <w:jc w:val="left"/>
              <w:rPr>
                <w:rFonts w:ascii="宋体" w:hAnsi="宋体" w:cs="宋体" w:eastAsia="宋体" w:hint="default"/>
                <w:sz w:val="18"/>
                <w:szCs w:val="18"/>
              </w:rPr>
            </w:pPr>
            <w:r>
              <w:rPr>
                <w:rFonts w:ascii="宋体" w:hAnsi="宋体" w:cs="宋体" w:eastAsia="宋体" w:hint="default"/>
                <w:spacing w:val="-3"/>
                <w:sz w:val="18"/>
                <w:szCs w:val="18"/>
              </w:rPr>
              <w:t>扣除非经常性损益后归属于公</w:t>
            </w:r>
            <w:r>
              <w:rPr>
                <w:rFonts w:ascii="宋体" w:hAnsi="宋体" w:cs="宋体" w:eastAsia="宋体" w:hint="default"/>
                <w:spacing w:val="-50"/>
                <w:sz w:val="18"/>
                <w:szCs w:val="18"/>
              </w:rPr>
              <w:t> </w:t>
            </w:r>
            <w:r>
              <w:rPr>
                <w:rFonts w:ascii="宋体" w:hAnsi="宋体" w:cs="宋体" w:eastAsia="宋体" w:hint="default"/>
                <w:spacing w:val="-50"/>
                <w:sz w:val="18"/>
                <w:szCs w:val="18"/>
              </w:rPr>
            </w:r>
            <w:r>
              <w:rPr>
                <w:rFonts w:ascii="宋体" w:hAnsi="宋体" w:cs="宋体" w:eastAsia="宋体" w:hint="default"/>
                <w:sz w:val="18"/>
                <w:szCs w:val="18"/>
              </w:rPr>
              <w:t>司普通股股东的净利润</w:t>
            </w:r>
          </w:p>
        </w:tc>
        <w:tc>
          <w:tcPr>
            <w:tcW w:w="3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1"/>
                <w:sz w:val="18"/>
              </w:rPr>
              <w:t>12.76%</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z w:val="18"/>
              </w:rPr>
              <w:t>0.28</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right="89"/>
              <w:jc w:val="right"/>
              <w:rPr>
                <w:rFonts w:ascii="Times New Roman" w:hAnsi="Times New Roman" w:cs="Times New Roman" w:eastAsia="Times New Roman" w:hint="default"/>
                <w:sz w:val="18"/>
                <w:szCs w:val="18"/>
              </w:rPr>
            </w:pPr>
            <w:r>
              <w:rPr>
                <w:rFonts w:ascii="Times New Roman"/>
                <w:sz w:val="18"/>
              </w:rPr>
              <w:t>0.28</w:t>
            </w:r>
          </w:p>
        </w:tc>
      </w:tr>
    </w:tbl>
    <w:p>
      <w:pPr>
        <w:spacing w:line="240" w:lineRule="auto" w:before="3"/>
        <w:rPr>
          <w:rFonts w:ascii="宋体" w:hAnsi="宋体" w:cs="宋体" w:eastAsia="宋体" w:hint="default"/>
          <w:b/>
          <w:bCs/>
          <w:sz w:val="19"/>
          <w:szCs w:val="19"/>
        </w:rPr>
      </w:pPr>
    </w:p>
    <w:p>
      <w:pPr>
        <w:pStyle w:val="Heading4"/>
        <w:spacing w:line="240" w:lineRule="auto" w:before="36"/>
        <w:ind w:right="0"/>
        <w:jc w:val="left"/>
        <w:rPr>
          <w:b w:val="0"/>
          <w:bCs w:val="0"/>
        </w:rPr>
      </w:pPr>
      <w:bookmarkStart w:name="3、境内外会计准则下会计数据差异" w:id="566"/>
      <w:bookmarkEnd w:id="566"/>
      <w:r>
        <w:rPr>
          <w:b w:val="0"/>
          <w:bCs w:val="0"/>
        </w:rPr>
      </w:r>
      <w:r>
        <w:rPr>
          <w:rFonts w:ascii="Times New Roman" w:hAnsi="Times New Roman" w:cs="Times New Roman" w:eastAsia="Times New Roman" w:hint="default"/>
        </w:rPr>
        <w:t>3</w:t>
      </w:r>
      <w:r>
        <w:rPr/>
        <w:t>、境内外会计准则下会计数据差异</w:t>
      </w:r>
      <w:r>
        <w:rPr>
          <w:b w:val="0"/>
          <w:bCs w:val="0"/>
        </w:rPr>
      </w:r>
    </w:p>
    <w:p>
      <w:pPr>
        <w:spacing w:line="240" w:lineRule="auto" w:before="5"/>
        <w:rPr>
          <w:rFonts w:ascii="宋体" w:hAnsi="宋体" w:cs="宋体" w:eastAsia="宋体" w:hint="default"/>
          <w:b/>
          <w:bCs/>
          <w:sz w:val="24"/>
          <w:szCs w:val="24"/>
        </w:rPr>
      </w:pPr>
    </w:p>
    <w:p>
      <w:pPr>
        <w:pStyle w:val="Heading4"/>
        <w:spacing w:line="240" w:lineRule="auto"/>
        <w:ind w:right="0"/>
        <w:jc w:val="left"/>
        <w:rPr>
          <w:b w:val="0"/>
          <w:bCs w:val="0"/>
        </w:rPr>
      </w:pPr>
      <w:bookmarkStart w:name="（1）同时按照国际会计准则与按中国会计准则披露的财务报告中净利润和净资产差异情况" w:id="567"/>
      <w:bookmarkEnd w:id="567"/>
      <w:r>
        <w:rPr>
          <w:b w:val="0"/>
          <w:bCs w:val="0"/>
        </w:rPr>
      </w:r>
      <w:r>
        <w:rPr/>
        <w:t>（</w:t>
      </w:r>
      <w:r>
        <w:rPr>
          <w:rFonts w:ascii="Times New Roman" w:hAnsi="Times New Roman" w:cs="Times New Roman" w:eastAsia="Times New Roman" w:hint="default"/>
        </w:rPr>
        <w:t>1</w:t>
      </w:r>
      <w:r>
        <w:rPr/>
        <w:t>）同时按照国际会计准则与按中国会计准则披露的财务报告中净利润和净资产差异情况</w:t>
      </w:r>
      <w:r>
        <w:rPr>
          <w:b w:val="0"/>
          <w:bCs w:val="0"/>
        </w:rPr>
      </w:r>
    </w:p>
    <w:p>
      <w:pPr>
        <w:spacing w:line="240" w:lineRule="auto" w:before="1"/>
        <w:rPr>
          <w:rFonts w:ascii="宋体" w:hAnsi="宋体" w:cs="宋体" w:eastAsia="宋体" w:hint="default"/>
          <w:b/>
          <w:bCs/>
          <w:sz w:val="27"/>
          <w:szCs w:val="27"/>
        </w:rPr>
      </w:pPr>
    </w:p>
    <w:p>
      <w:pPr>
        <w:pStyle w:val="BodyText"/>
        <w:spacing w:line="240" w:lineRule="auto" w:before="0"/>
        <w:ind w:right="0"/>
        <w:jc w:val="left"/>
      </w:pPr>
      <w:r>
        <w:rPr/>
        <w:t>□ </w:t>
      </w:r>
      <w:r>
        <w:rPr>
          <w:spacing w:val="-3"/>
        </w:rPr>
        <w:t>适用 </w:t>
      </w:r>
      <w:r>
        <w:rPr/>
        <w:t>√</w:t>
      </w:r>
      <w:r>
        <w:rPr>
          <w:spacing w:val="13"/>
        </w:rPr>
        <w:t> </w:t>
      </w:r>
      <w:r>
        <w:rPr/>
        <w:t>不适用</w:t>
      </w:r>
    </w:p>
    <w:p>
      <w:pPr>
        <w:spacing w:line="240" w:lineRule="auto" w:before="4"/>
        <w:rPr>
          <w:rFonts w:ascii="宋体" w:hAnsi="宋体" w:cs="宋体" w:eastAsia="宋体" w:hint="default"/>
          <w:sz w:val="26"/>
          <w:szCs w:val="26"/>
        </w:rPr>
      </w:pPr>
    </w:p>
    <w:p>
      <w:pPr>
        <w:pStyle w:val="Heading4"/>
        <w:spacing w:line="240" w:lineRule="auto"/>
        <w:ind w:right="0"/>
        <w:jc w:val="left"/>
        <w:rPr>
          <w:b w:val="0"/>
          <w:bCs w:val="0"/>
        </w:rPr>
      </w:pPr>
      <w:bookmarkStart w:name="（2）同时按照境外会计准则与按中国会计准则披露的财务报告中净利润和净资产差异情况" w:id="568"/>
      <w:bookmarkEnd w:id="568"/>
      <w:r>
        <w:rPr>
          <w:b w:val="0"/>
          <w:bCs w:val="0"/>
        </w:rPr>
      </w:r>
      <w:r>
        <w:rPr/>
        <w:t>（</w:t>
      </w:r>
      <w:r>
        <w:rPr>
          <w:rFonts w:ascii="Times New Roman" w:hAnsi="Times New Roman" w:cs="Times New Roman" w:eastAsia="Times New Roman" w:hint="default"/>
        </w:rPr>
        <w:t>2</w:t>
      </w:r>
      <w:r>
        <w:rPr/>
        <w:t>）同时按照境外会计准则与按中国会计准则披露的财务报告中净利润和净资产差异情况</w:t>
      </w:r>
      <w:r>
        <w:rPr>
          <w:b w:val="0"/>
          <w:bCs w:val="0"/>
        </w:rPr>
      </w:r>
    </w:p>
    <w:p>
      <w:pPr>
        <w:spacing w:line="240" w:lineRule="auto" w:before="1"/>
        <w:rPr>
          <w:rFonts w:ascii="宋体" w:hAnsi="宋体" w:cs="宋体" w:eastAsia="宋体" w:hint="default"/>
          <w:b/>
          <w:bCs/>
          <w:sz w:val="27"/>
          <w:szCs w:val="27"/>
        </w:rPr>
      </w:pPr>
    </w:p>
    <w:p>
      <w:pPr>
        <w:pStyle w:val="BodyText"/>
        <w:spacing w:line="240" w:lineRule="auto" w:before="0"/>
        <w:ind w:right="0"/>
        <w:jc w:val="left"/>
      </w:pPr>
      <w:r>
        <w:rPr/>
        <w:t>□ </w:t>
      </w:r>
      <w:r>
        <w:rPr>
          <w:spacing w:val="-3"/>
        </w:rPr>
        <w:t>适用 </w:t>
      </w:r>
      <w:r>
        <w:rPr/>
        <w:t>√</w:t>
      </w:r>
      <w:r>
        <w:rPr>
          <w:spacing w:val="13"/>
        </w:rPr>
        <w:t> </w:t>
      </w:r>
      <w:r>
        <w:rPr/>
        <w:t>不适用</w:t>
      </w:r>
    </w:p>
    <w:p>
      <w:pPr>
        <w:spacing w:line="240" w:lineRule="auto" w:before="8"/>
        <w:rPr>
          <w:rFonts w:ascii="宋体" w:hAnsi="宋体" w:cs="宋体" w:eastAsia="宋体" w:hint="default"/>
          <w:sz w:val="26"/>
          <w:szCs w:val="26"/>
        </w:rPr>
      </w:pPr>
    </w:p>
    <w:p>
      <w:pPr>
        <w:pStyle w:val="Heading4"/>
        <w:spacing w:line="256" w:lineRule="auto"/>
        <w:ind w:right="0"/>
        <w:jc w:val="left"/>
        <w:rPr>
          <w:b w:val="0"/>
          <w:bCs w:val="0"/>
        </w:rPr>
      </w:pPr>
      <w:bookmarkStart w:name="（3）境内外会计准则下会计数据差异原因说明，对已经境外审计机构审计的数据进行差异" w:id="569"/>
      <w:bookmarkEnd w:id="569"/>
      <w:r>
        <w:rPr>
          <w:b w:val="0"/>
          <w:bCs w:val="0"/>
        </w:rPr>
      </w:r>
      <w:r>
        <w:rPr/>
        <w:t>（</w:t>
      </w:r>
      <w:r>
        <w:rPr>
          <w:rFonts w:ascii="Times New Roman" w:hAnsi="Times New Roman" w:cs="Times New Roman" w:eastAsia="Times New Roman" w:hint="default"/>
        </w:rPr>
        <w:t>3</w:t>
      </w:r>
      <w:r>
        <w:rPr/>
        <w:t>）境内外会计准则下会计数据差异原因说明，对已经境外审计机构审计的数据进行差异调节的，应注</w:t>
      </w:r>
      <w:r>
        <w:rPr>
          <w:spacing w:val="-66"/>
        </w:rPr>
        <w:t> </w:t>
      </w:r>
      <w:r>
        <w:rPr>
          <w:spacing w:val="-66"/>
        </w:rPr>
      </w:r>
      <w:r>
        <w:rPr/>
        <w:t>明该境外机构的名称</w:t>
      </w:r>
      <w:r>
        <w:rPr>
          <w:b w:val="0"/>
          <w:bCs w:val="0"/>
        </w:rPr>
      </w:r>
    </w:p>
    <w:p>
      <w:pPr>
        <w:spacing w:line="240" w:lineRule="auto" w:before="10"/>
        <w:rPr>
          <w:rFonts w:ascii="宋体" w:hAnsi="宋体" w:cs="宋体" w:eastAsia="宋体" w:hint="default"/>
          <w:b/>
          <w:bCs/>
          <w:sz w:val="26"/>
          <w:szCs w:val="26"/>
        </w:rPr>
      </w:pPr>
    </w:p>
    <w:p>
      <w:pPr>
        <w:pStyle w:val="BodyText"/>
        <w:spacing w:line="240" w:lineRule="auto" w:before="0"/>
        <w:ind w:right="0"/>
        <w:jc w:val="left"/>
      </w:pPr>
      <w:r>
        <w:rPr/>
        <w:t>无。</w:t>
      </w:r>
    </w:p>
    <w:p>
      <w:pPr>
        <w:spacing w:line="240" w:lineRule="auto" w:before="0"/>
        <w:rPr>
          <w:rFonts w:ascii="宋体" w:hAnsi="宋体" w:cs="宋体" w:eastAsia="宋体" w:hint="default"/>
          <w:sz w:val="18"/>
          <w:szCs w:val="18"/>
        </w:rPr>
      </w:pPr>
    </w:p>
    <w:p>
      <w:pPr>
        <w:pStyle w:val="Heading4"/>
        <w:spacing w:line="240" w:lineRule="auto" w:before="118"/>
        <w:ind w:right="0"/>
        <w:jc w:val="left"/>
        <w:rPr>
          <w:b w:val="0"/>
          <w:bCs w:val="0"/>
        </w:rPr>
      </w:pPr>
      <w:bookmarkStart w:name="4、其他" w:id="570"/>
      <w:bookmarkEnd w:id="570"/>
      <w:r>
        <w:rPr>
          <w:b w:val="0"/>
          <w:bCs w:val="0"/>
        </w:rPr>
      </w:r>
      <w:r>
        <w:rPr>
          <w:rFonts w:ascii="Times New Roman" w:hAnsi="Times New Roman" w:cs="Times New Roman" w:eastAsia="Times New Roman" w:hint="default"/>
        </w:rPr>
        <w:t>4</w:t>
      </w:r>
      <w:r>
        <w:rPr/>
        <w:t>、其他</w:t>
      </w:r>
      <w:r>
        <w:rPr>
          <w:b w:val="0"/>
          <w:bCs w:val="0"/>
        </w:rPr>
      </w:r>
    </w:p>
    <w:p>
      <w:pPr>
        <w:spacing w:line="240" w:lineRule="auto" w:before="4"/>
        <w:rPr>
          <w:rFonts w:ascii="宋体" w:hAnsi="宋体" w:cs="宋体" w:eastAsia="宋体" w:hint="default"/>
          <w:b/>
          <w:bCs/>
          <w:sz w:val="26"/>
          <w:szCs w:val="26"/>
        </w:rPr>
      </w:pPr>
    </w:p>
    <w:p>
      <w:pPr>
        <w:pStyle w:val="BodyText"/>
        <w:spacing w:line="240" w:lineRule="auto" w:before="0"/>
        <w:ind w:right="0"/>
        <w:jc w:val="left"/>
      </w:pPr>
      <w:r>
        <w:rPr/>
        <w:t>无。</w:t>
      </w:r>
    </w:p>
    <w:p>
      <w:pPr>
        <w:spacing w:after="0" w:line="240" w:lineRule="auto"/>
        <w:jc w:val="left"/>
        <w:sectPr>
          <w:pgSz w:w="11910" w:h="16840"/>
          <w:pgMar w:header="784" w:footer="1022" w:top="1100" w:bottom="122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0"/>
          <w:szCs w:val="20"/>
        </w:rPr>
      </w:pPr>
    </w:p>
    <w:p>
      <w:pPr>
        <w:pStyle w:val="Heading1"/>
        <w:spacing w:line="240" w:lineRule="auto"/>
        <w:ind w:left="3283" w:right="0"/>
        <w:jc w:val="left"/>
        <w:rPr>
          <w:b w:val="0"/>
          <w:bCs w:val="0"/>
        </w:rPr>
      </w:pPr>
      <w:bookmarkStart w:name="第十三节 备查文件目录" w:id="571"/>
      <w:bookmarkEnd w:id="571"/>
      <w:r>
        <w:rPr>
          <w:b w:val="0"/>
          <w:bCs w:val="0"/>
        </w:rPr>
      </w:r>
      <w:bookmarkStart w:name="_bookmark12" w:id="572"/>
      <w:bookmarkEnd w:id="572"/>
      <w:r>
        <w:rPr>
          <w:b w:val="0"/>
          <w:bCs w:val="0"/>
        </w:rPr>
      </w:r>
      <w:r>
        <w:rPr/>
        <w:t>第十三节</w:t>
      </w:r>
      <w:r>
        <w:rPr>
          <w:spacing w:val="1"/>
        </w:rPr>
        <w:t> </w:t>
      </w:r>
      <w:r>
        <w:rPr/>
        <w:t>备查文件目录</w:t>
      </w:r>
      <w:r>
        <w:rPr>
          <w:b w:val="0"/>
          <w:bCs w:val="0"/>
        </w:rPr>
      </w:r>
    </w:p>
    <w:p>
      <w:pPr>
        <w:spacing w:line="240" w:lineRule="auto" w:before="7"/>
        <w:rPr>
          <w:rFonts w:ascii="宋体" w:hAnsi="宋体" w:cs="宋体" w:eastAsia="宋体" w:hint="default"/>
          <w:b/>
          <w:bCs/>
          <w:sz w:val="42"/>
          <w:szCs w:val="42"/>
        </w:rPr>
      </w:pPr>
    </w:p>
    <w:p>
      <w:pPr>
        <w:pStyle w:val="BodyText"/>
        <w:spacing w:line="352" w:lineRule="auto" w:before="0"/>
        <w:ind w:right="0"/>
        <w:jc w:val="left"/>
      </w:pPr>
      <w:r>
        <w:rPr>
          <w:spacing w:val="-3"/>
        </w:rPr>
        <w:t>一、载有董事长签名的</w:t>
      </w:r>
      <w:r>
        <w:rPr>
          <w:rFonts w:ascii="Times New Roman" w:hAnsi="Times New Roman" w:cs="Times New Roman" w:eastAsia="Times New Roman" w:hint="default"/>
          <w:spacing w:val="-3"/>
        </w:rPr>
        <w:t>2019</w:t>
      </w:r>
      <w:r>
        <w:rPr>
          <w:spacing w:val="-3"/>
        </w:rPr>
        <w:t>年年度报告原件。</w:t>
      </w:r>
      <w:r>
        <w:rPr>
          <w:spacing w:val="-21"/>
        </w:rPr>
        <w:t> </w:t>
      </w:r>
      <w:r>
        <w:rPr>
          <w:spacing w:val="-21"/>
        </w:rPr>
      </w:r>
      <w:r>
        <w:rPr>
          <w:spacing w:val="-3"/>
        </w:rPr>
        <w:t>二、载有公司负责人、主管会计工作负责人、会计机构负责人（会计主管人员）签名并盖章的财务报表。</w:t>
      </w:r>
      <w:r>
        <w:rPr>
          <w:spacing w:val="43"/>
        </w:rPr>
        <w:t> </w:t>
      </w:r>
      <w:r>
        <w:rPr>
          <w:spacing w:val="43"/>
        </w:rPr>
      </w:r>
      <w:r>
        <w:rPr>
          <w:spacing w:val="-3"/>
        </w:rPr>
        <w:t>三、载有会计师事务所盖章、注册会计师签名并盖章的审计报告原件。</w:t>
      </w:r>
      <w:r>
        <w:rPr>
          <w:spacing w:val="2"/>
        </w:rPr>
        <w:t> </w:t>
      </w:r>
      <w:r>
        <w:rPr>
          <w:spacing w:val="2"/>
        </w:rPr>
      </w:r>
      <w:r>
        <w:rPr>
          <w:spacing w:val="-3"/>
        </w:rPr>
        <w:t>四、报告期内在中国证监会指定信息披露载体上公开披露过的所有公司文件正本及公告的原稿。</w:t>
      </w:r>
      <w:r>
        <w:rPr>
          <w:spacing w:val="31"/>
        </w:rPr>
        <w:t> </w:t>
      </w:r>
      <w:r>
        <w:rPr>
          <w:spacing w:val="31"/>
        </w:rPr>
      </w:r>
      <w:r>
        <w:rPr>
          <w:spacing w:val="-3"/>
        </w:rPr>
        <w:t>五、以上备查文件的备置地点：公司董事会办公室、深圳证券交易所。</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0"/>
          <w:szCs w:val="20"/>
        </w:rPr>
      </w:pPr>
    </w:p>
    <w:p>
      <w:pPr>
        <w:pStyle w:val="BodyText"/>
        <w:spacing w:line="240" w:lineRule="auto" w:before="0"/>
        <w:ind w:left="0" w:right="1122"/>
        <w:jc w:val="right"/>
      </w:pPr>
      <w:r>
        <w:rPr>
          <w:spacing w:val="-3"/>
        </w:rPr>
        <w:t>深圳市奥拓电子股份有限公司</w:t>
      </w:r>
    </w:p>
    <w:p>
      <w:pPr>
        <w:pStyle w:val="BodyText"/>
        <w:spacing w:line="357" w:lineRule="auto" w:before="120"/>
        <w:ind w:left="7817" w:right="1122" w:firstLine="720"/>
        <w:jc w:val="right"/>
      </w:pPr>
      <w:r>
        <w:rPr>
          <w:spacing w:val="-3"/>
        </w:rPr>
        <w:t>董事长：吴涵渠</w:t>
      </w:r>
      <w:r>
        <w:rPr>
          <w:w w:val="101"/>
        </w:rPr>
        <w:t> </w:t>
      </w:r>
      <w:r>
        <w:rPr>
          <w:spacing w:val="-3"/>
        </w:rPr>
        <w:t>二〇二〇年四月二十四日</w:t>
      </w:r>
    </w:p>
    <w:sectPr>
      <w:pgSz w:w="11910" w:h="16840"/>
      <w:pgMar w:header="784" w:footer="1022" w:top="1100" w:bottom="1220" w:left="98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宋体">
    <w:altName w:val="宋体"/>
    <w:charset w:val="86"/>
    <w:family w:val="auto"/>
    <w:pitch w:val="variable"/>
  </w:font>
  <w:font w:name="Wingdings">
    <w:altName w:val="Wingdings"/>
    <w:charset w:val="2"/>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574707pt;margin-top:806.72052pt;width:59.493346pt;height:26.794713pt;mso-position-horizontal-relative:page;mso-position-vertical-relative:page;z-index:-1079200" type="#_x0000_t75" stroked="false">
          <v:imagedata r:id="rId1" o:title=""/>
        </v:shape>
      </w:pict>
    </w:r>
    <w:r>
      <w:rPr/>
      <w:pict>
        <v:shape style="position:absolute;margin-left:55.664001pt;margin-top:793.501343pt;width:6.6pt;height:11.15pt;mso-position-horizontal-relative:page;mso-position-vertical-relative:page;z-index:-1079176" type="#_x0000_t202" filled="false" stroked="false">
          <v:textbox inset="0,0,0,0">
            <w:txbxContent>
              <w:p>
                <w:pPr>
                  <w:pStyle w:val="BodyText"/>
                  <w:spacing w:line="206" w:lineRule="exact" w:before="0"/>
                  <w:ind w:left="20" w:right="0"/>
                  <w:jc w:val="left"/>
                  <w:rPr>
                    <w:rFonts w:ascii="Times New Roman" w:hAnsi="Times New Roman" w:cs="Times New Roman" w:eastAsia="Times New Roman" w:hint="default"/>
                  </w:rPr>
                </w:pPr>
                <w:r>
                  <w:rPr>
                    <w:rFonts w:ascii="Times New Roman"/>
                    <w:w w:val="101"/>
                  </w:rPr>
                  <w:t>1</w:t>
                </w:r>
                <w:r>
                  <w:rPr>
                    <w:rFonts w:ascii="Times New Roman"/>
                  </w:rPr>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574707pt;margin-top:806.72052pt;width:59.493346pt;height:26.794713pt;mso-position-horizontal-relative:page;mso-position-vertical-relative:page;z-index:-1079152" type="#_x0000_t75" stroked="false">
          <v:imagedata r:id="rId1" o:title=""/>
        </v:shape>
      </w:pict>
    </w:r>
    <w:r>
      <w:rPr/>
      <w:pict>
        <v:shape style="position:absolute;margin-left:54.664001pt;margin-top:779.797363pt;width:13.15pt;height:11.15pt;mso-position-horizontal-relative:page;mso-position-vertical-relative:page;z-index:-1079128" type="#_x0000_t202" filled="false" stroked="false">
          <v:textbox inset="0,0,0,0">
            <w:txbxContent>
              <w:p>
                <w:pPr>
                  <w:pStyle w:val="BodyText"/>
                  <w:spacing w:line="206" w:lineRule="exact" w:before="0"/>
                  <w:ind w:left="40" w:right="0"/>
                  <w:jc w:val="left"/>
                  <w:rPr>
                    <w:rFonts w:ascii="Times New Roman" w:hAnsi="Times New Roman" w:cs="Times New Roman" w:eastAsia="Times New Roman" w:hint="default"/>
                  </w:rPr>
                </w:pPr>
                <w:r>
                  <w:rPr>
                    <w:rFonts w:ascii="Times New Roman"/>
                    <w:w w:val="101"/>
                  </w:rPr>
                </w:r>
                <w:r>
                  <w:rPr/>
                  <w:fldChar w:fldCharType="begin"/>
                </w:r>
                <w:r>
                  <w:rPr>
                    <w:rFonts w:ascii="Times New Roman"/>
                  </w:rPr>
                  <w:instrText> PAGE </w:instrText>
                </w:r>
                <w:r>
                  <w:rPr/>
                  <w:fldChar w:fldCharType="separate"/>
                </w:r>
                <w:r>
                  <w:rPr/>
                  <w:t>10</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574707pt;margin-top:806.72052pt;width:59.493346pt;height:26.794713pt;mso-position-horizontal-relative:page;mso-position-vertical-relative:page;z-index:-1079104" type="#_x0000_t75" stroked="false">
          <v:imagedata r:id="rId1" o:title=""/>
        </v:shape>
      </w:pict>
    </w:r>
    <w:r>
      <w:rPr/>
      <w:pict>
        <v:shape style="position:absolute;margin-left:55.664001pt;margin-top:779.797363pt;width:15.7pt;height:11.15pt;mso-position-horizontal-relative:page;mso-position-vertical-relative:page;z-index:-1079080" type="#_x0000_t202" filled="false" stroked="false">
          <v:textbox inset="0,0,0,0">
            <w:txbxContent>
              <w:p>
                <w:pPr>
                  <w:pStyle w:val="BodyText"/>
                  <w:spacing w:line="206" w:lineRule="exact" w:before="0"/>
                  <w:ind w:left="20" w:right="0"/>
                  <w:jc w:val="left"/>
                  <w:rPr>
                    <w:rFonts w:ascii="Times New Roman" w:hAnsi="Times New Roman" w:cs="Times New Roman" w:eastAsia="Times New Roman" w:hint="default"/>
                  </w:rPr>
                </w:pPr>
                <w:r>
                  <w:rPr>
                    <w:rFonts w:ascii="Times New Roman"/>
                  </w:rPr>
                  <w:t>100</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574707pt;margin-top:806.72052pt;width:59.493346pt;height:26.794713pt;mso-position-horizontal-relative:page;mso-position-vertical-relative:page;z-index:-1079056" type="#_x0000_t75" stroked="false">
          <v:imagedata r:id="rId1" o:title=""/>
        </v:shape>
      </w:pict>
    </w:r>
    <w:r>
      <w:rPr/>
      <w:pict>
        <v:shape style="position:absolute;margin-left:54.664001pt;margin-top:779.797363pt;width:17.7pt;height:11.15pt;mso-position-horizontal-relative:page;mso-position-vertical-relative:page;z-index:-1079032" type="#_x0000_t202" filled="false" stroked="false">
          <v:textbox inset="0,0,0,0">
            <w:txbxContent>
              <w:p>
                <w:pPr>
                  <w:pStyle w:val="BodyText"/>
                  <w:spacing w:line="206" w:lineRule="exact" w:before="0"/>
                  <w:ind w:left="40" w:right="0"/>
                  <w:jc w:val="left"/>
                  <w:rPr>
                    <w:rFonts w:ascii="Times New Roman" w:hAnsi="Times New Roman" w:cs="Times New Roman" w:eastAsia="Times New Roman" w:hint="default"/>
                  </w:rPr>
                </w:pPr>
                <w:r>
                  <w:rPr>
                    <w:rFonts w:ascii="Times New Roman"/>
                    <w:w w:val="101"/>
                  </w:rPr>
                </w:r>
                <w:r>
                  <w:rPr/>
                  <w:fldChar w:fldCharType="begin"/>
                </w:r>
                <w:r>
                  <w:rPr>
                    <w:rFonts w:ascii="Times New Roman"/>
                  </w:rPr>
                  <w:instrText> PAGE </w:instrText>
                </w:r>
                <w:r>
                  <w:rPr/>
                  <w:fldChar w:fldCharType="separate"/>
                </w:r>
                <w:r>
                  <w:rPr/>
                  <w:t>101</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574707pt;margin-top:806.72052pt;width:59.493346pt;height:26.794713pt;mso-position-horizontal-relative:page;mso-position-vertical-relative:page;z-index:-1079008" type="#_x0000_t75" stroked="false">
          <v:imagedata r:id="rId1" o:title=""/>
        </v:shape>
      </w:pict>
    </w:r>
    <w:r>
      <w:rPr/>
      <w:pict>
        <v:shape style="position:absolute;margin-left:55.664001pt;margin-top:779.797363pt;width:15.7pt;height:11.15pt;mso-position-horizontal-relative:page;mso-position-vertical-relative:page;z-index:-1078984" type="#_x0000_t202" filled="false" stroked="false">
          <v:textbox inset="0,0,0,0">
            <w:txbxContent>
              <w:p>
                <w:pPr>
                  <w:pStyle w:val="BodyText"/>
                  <w:spacing w:line="206" w:lineRule="exact" w:before="0"/>
                  <w:ind w:left="20" w:right="0"/>
                  <w:jc w:val="left"/>
                  <w:rPr>
                    <w:rFonts w:ascii="Times New Roman" w:hAnsi="Times New Roman" w:cs="Times New Roman" w:eastAsia="Times New Roman" w:hint="default"/>
                  </w:rPr>
                </w:pPr>
                <w:r>
                  <w:rPr>
                    <w:rFonts w:ascii="Times New Roman"/>
                  </w:rPr>
                  <w:t>200</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574707pt;margin-top:806.72052pt;width:59.493346pt;height:26.794713pt;mso-position-horizontal-relative:page;mso-position-vertical-relative:page;z-index:-1078960" type="#_x0000_t75" stroked="false">
          <v:imagedata r:id="rId1" o:title=""/>
        </v:shape>
      </w:pict>
    </w:r>
    <w:r>
      <w:rPr/>
      <w:pict>
        <v:shape style="position:absolute;margin-left:54.664001pt;margin-top:779.797363pt;width:17.7pt;height:11.15pt;mso-position-horizontal-relative:page;mso-position-vertical-relative:page;z-index:-1078936" type="#_x0000_t202" filled="false" stroked="false">
          <v:textbox inset="0,0,0,0">
            <w:txbxContent>
              <w:p>
                <w:pPr>
                  <w:pStyle w:val="BodyText"/>
                  <w:spacing w:line="206" w:lineRule="exact" w:before="0"/>
                  <w:ind w:left="40" w:right="0"/>
                  <w:jc w:val="left"/>
                  <w:rPr>
                    <w:rFonts w:ascii="Times New Roman" w:hAnsi="Times New Roman" w:cs="Times New Roman" w:eastAsia="Times New Roman" w:hint="default"/>
                  </w:rPr>
                </w:pPr>
                <w:r>
                  <w:rPr>
                    <w:rFonts w:ascii="Times New Roman"/>
                    <w:w w:val="101"/>
                  </w:rPr>
                </w:r>
                <w:r>
                  <w:rPr/>
                  <w:fldChar w:fldCharType="begin"/>
                </w:r>
                <w:r>
                  <w:rPr>
                    <w:rFonts w:ascii="Times New Roman"/>
                  </w:rPr>
                  <w:instrText> PAGE </w:instrText>
                </w:r>
                <w:r>
                  <w:rPr/>
                  <w:fldChar w:fldCharType="separate"/>
                </w:r>
                <w:r>
                  <w:rPr/>
                  <w:t>201</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335.119995pt;margin-top:38.222485pt;width:204.9pt;height:11.65pt;mso-position-horizontal-relative:page;mso-position-vertical-relative:page;z-index:-1079224" type="#_x0000_t202" filled="false" stroked="false">
          <v:textbox inset="0,0,0,0">
            <w:txbxContent>
              <w:p>
                <w:pPr>
                  <w:pStyle w:val="BodyText"/>
                  <w:spacing w:line="216" w:lineRule="exact" w:before="0"/>
                  <w:ind w:left="20" w:right="0"/>
                  <w:jc w:val="left"/>
                </w:pPr>
                <w:r>
                  <w:rPr/>
                  <w:t>深圳市奥拓电子股份有限公司 </w:t>
                </w:r>
                <w:r>
                  <w:rPr>
                    <w:rFonts w:ascii="Times New Roman" w:hAnsi="Times New Roman" w:cs="Times New Roman" w:eastAsia="Times New Roman" w:hint="default"/>
                  </w:rPr>
                  <w:t>2019</w:t>
                </w:r>
                <w:r>
                  <w:rPr>
                    <w:rFonts w:ascii="Times New Roman" w:hAnsi="Times New Roman" w:cs="Times New Roman" w:eastAsia="Times New Roman" w:hint="default"/>
                    <w:spacing w:val="-21"/>
                  </w:rPr>
                  <w:t> </w:t>
                </w:r>
                <w:r>
                  <w:rPr>
                    <w:spacing w:val="-3"/>
                  </w:rPr>
                  <w:t>年年度报告全文</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176"/>
      <w:ind w:left="153"/>
    </w:pPr>
    <w:rPr>
      <w:rFonts w:ascii="宋体" w:hAnsi="宋体" w:eastAsia="宋体"/>
      <w:b/>
      <w:bCs/>
      <w:sz w:val="24"/>
      <w:szCs w:val="24"/>
    </w:rPr>
  </w:style>
  <w:style w:styleId="BodyText" w:type="paragraph">
    <w:name w:val="Body Text"/>
    <w:basedOn w:val="Normal"/>
    <w:uiPriority w:val="1"/>
    <w:qFormat/>
    <w:pPr>
      <w:spacing w:before="46"/>
      <w:ind w:left="153"/>
    </w:pPr>
    <w:rPr>
      <w:rFonts w:ascii="宋体" w:hAnsi="宋体" w:eastAsia="宋体"/>
      <w:sz w:val="18"/>
      <w:szCs w:val="18"/>
    </w:rPr>
  </w:style>
  <w:style w:styleId="Heading1" w:type="paragraph">
    <w:name w:val="Heading 1"/>
    <w:basedOn w:val="Normal"/>
    <w:uiPriority w:val="1"/>
    <w:qFormat/>
    <w:pPr>
      <w:spacing w:before="2"/>
      <w:ind w:left="137"/>
      <w:outlineLvl w:val="1"/>
    </w:pPr>
    <w:rPr>
      <w:rFonts w:ascii="宋体" w:hAnsi="宋体" w:eastAsia="宋体"/>
      <w:b/>
      <w:bCs/>
      <w:sz w:val="32"/>
      <w:szCs w:val="32"/>
    </w:rPr>
  </w:style>
  <w:style w:styleId="Heading2" w:type="paragraph">
    <w:name w:val="Heading 2"/>
    <w:basedOn w:val="Normal"/>
    <w:uiPriority w:val="1"/>
    <w:qFormat/>
    <w:pPr>
      <w:ind w:left="153"/>
      <w:outlineLvl w:val="2"/>
    </w:pPr>
    <w:rPr>
      <w:rFonts w:ascii="宋体" w:hAnsi="宋体" w:eastAsia="宋体"/>
      <w:b/>
      <w:bCs/>
      <w:sz w:val="24"/>
      <w:szCs w:val="24"/>
    </w:rPr>
  </w:style>
  <w:style w:styleId="Heading3" w:type="paragraph">
    <w:name w:val="Heading 3"/>
    <w:basedOn w:val="Normal"/>
    <w:uiPriority w:val="1"/>
    <w:qFormat/>
    <w:pPr>
      <w:spacing w:before="25"/>
      <w:ind w:left="153"/>
      <w:outlineLvl w:val="3"/>
    </w:pPr>
    <w:rPr>
      <w:rFonts w:ascii="宋体" w:hAnsi="宋体" w:eastAsia="宋体"/>
      <w:sz w:val="24"/>
      <w:szCs w:val="24"/>
    </w:rPr>
  </w:style>
  <w:style w:styleId="Heading4" w:type="paragraph">
    <w:name w:val="Heading 4"/>
    <w:basedOn w:val="Normal"/>
    <w:uiPriority w:val="1"/>
    <w:qFormat/>
    <w:pPr>
      <w:ind w:left="153"/>
      <w:outlineLvl w:val="4"/>
    </w:pPr>
    <w:rPr>
      <w:rFonts w:ascii="宋体" w:hAnsi="宋体" w:eastAsia="宋体"/>
      <w:b/>
      <w:bCs/>
      <w:sz w:val="21"/>
      <w:szCs w:val="21"/>
    </w:rPr>
  </w:style>
  <w:style w:styleId="Heading5" w:type="paragraph">
    <w:name w:val="Heading 5"/>
    <w:basedOn w:val="Normal"/>
    <w:uiPriority w:val="1"/>
    <w:qFormat/>
    <w:pPr>
      <w:ind w:left="153" w:firstLine="403"/>
      <w:outlineLvl w:val="5"/>
    </w:pPr>
    <w:rPr>
      <w:rFonts w:ascii="宋体" w:hAnsi="宋体" w:eastAsia="宋体"/>
      <w:sz w:val="20"/>
      <w:szCs w:val="20"/>
    </w:rPr>
  </w:style>
  <w:style w:styleId="Heading6" w:type="paragraph">
    <w:name w:val="Heading 6"/>
    <w:basedOn w:val="Normal"/>
    <w:uiPriority w:val="1"/>
    <w:qFormat/>
    <w:pPr>
      <w:ind w:left="153"/>
      <w:outlineLvl w:val="6"/>
    </w:pPr>
    <w:rPr>
      <w:rFonts w:ascii="宋体" w:hAnsi="宋体" w:eastAsia="宋体"/>
      <w:b/>
      <w:bCs/>
      <w:sz w:val="18"/>
      <w:szCs w:val="18"/>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footer" Target="footer2.xml"/><Relationship Id="rId9" Type="http://schemas.openxmlformats.org/officeDocument/2006/relationships/hyperlink" Target="http://www.aoto.com/" TargetMode="External"/><Relationship Id="rId10" Type="http://schemas.openxmlformats.org/officeDocument/2006/relationships/hyperlink" Target="mailto:szaoto@aoto.com" TargetMode="External"/><Relationship Id="rId11" Type="http://schemas.openxmlformats.org/officeDocument/2006/relationships/hyperlink" Target="mailto:kongdj@aoto.com" TargetMode="External"/><Relationship Id="rId12" Type="http://schemas.openxmlformats.org/officeDocument/2006/relationships/hyperlink" Target="http://www.cninfo.com.cn/" TargetMode="External"/><Relationship Id="rId13" Type="http://schemas.openxmlformats.org/officeDocument/2006/relationships/image" Target="media/image3.pn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png"/><Relationship Id="rId29" Type="http://schemas.openxmlformats.org/officeDocument/2006/relationships/image" Target="media/image19.jpeg"/><Relationship Id="rId30" Type="http://schemas.openxmlformats.org/officeDocument/2006/relationships/image" Target="media/image20.jpeg"/><Relationship Id="rId31" Type="http://schemas.openxmlformats.org/officeDocument/2006/relationships/image" Target="media/image21.jpeg"/><Relationship Id="rId32" Type="http://schemas.openxmlformats.org/officeDocument/2006/relationships/image" Target="media/image22.jpeg"/><Relationship Id="rId33" Type="http://schemas.openxmlformats.org/officeDocument/2006/relationships/image" Target="media/image23.jpeg"/><Relationship Id="rId34" Type="http://schemas.openxmlformats.org/officeDocument/2006/relationships/image" Target="media/image24.jpeg"/><Relationship Id="rId35" Type="http://schemas.openxmlformats.org/officeDocument/2006/relationships/image" Target="media/image25.jpeg"/><Relationship Id="rId36" Type="http://schemas.openxmlformats.org/officeDocument/2006/relationships/image" Target="media/image26.jpeg"/><Relationship Id="rId37" Type="http://schemas.openxmlformats.org/officeDocument/2006/relationships/image" Target="media/image27.jpeg"/><Relationship Id="rId38" Type="http://schemas.openxmlformats.org/officeDocument/2006/relationships/image" Target="media/image28.jpeg"/><Relationship Id="rId39" Type="http://schemas.openxmlformats.org/officeDocument/2006/relationships/image" Target="media/image29.jpeg"/><Relationship Id="rId40" Type="http://schemas.openxmlformats.org/officeDocument/2006/relationships/image" Target="media/image30.jpe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jpeg"/><Relationship Id="rId46" Type="http://schemas.openxmlformats.org/officeDocument/2006/relationships/hyperlink" Target="http://www.cninfo.com/" TargetMode="External"/><Relationship Id="rId47" Type="http://schemas.openxmlformats.org/officeDocument/2006/relationships/footer" Target="footer3.xml"/><Relationship Id="rId48" Type="http://schemas.openxmlformats.org/officeDocument/2006/relationships/footer" Target="footer4.xml"/><Relationship Id="rId49" Type="http://schemas.openxmlformats.org/officeDocument/2006/relationships/footer" Target="footer5.xml"/><Relationship Id="rId50" Type="http://schemas.openxmlformats.org/officeDocument/2006/relationships/footer" Target="footer6.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1.jpeg"/></Relationships>

</file>

<file path=word/_rels/footer4.xml.rels><?xml version="1.0" encoding="UTF-8" standalone="yes"?>
<Relationships xmlns="http://schemas.openxmlformats.org/package/2006/relationships"><Relationship Id="rId1" Type="http://schemas.openxmlformats.org/officeDocument/2006/relationships/image" Target="media/image1.jpeg"/></Relationships>

</file>

<file path=word/_rels/footer5.xml.rels><?xml version="1.0" encoding="UTF-8" standalone="yes"?>
<Relationships xmlns="http://schemas.openxmlformats.org/package/2006/relationships"><Relationship Id="rId1" Type="http://schemas.openxmlformats.org/officeDocument/2006/relationships/image" Target="media/image1.jpeg"/></Relationships>

</file>

<file path=word/_rels/footer6.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xuanwz</dc:creator>
  <dcterms:created xsi:type="dcterms:W3CDTF">2020-05-19T12:38:22Z</dcterms:created>
  <dcterms:modified xsi:type="dcterms:W3CDTF">2020-05-19T12:38:22Z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2020-04-27T00:00:00Z</vt:filetime>
  </property>
  <property fmtid="{D5CDD505-2E9C-101B-9397-08002B2CF9AE}" pid="3" name="Creator">
    <vt:lpwstr>Microsoft® Office Word 2007</vt:lpwstr>
  </property>
  <property fmtid="{D5CDD505-2E9C-101B-9397-08002B2CF9AE}" pid="4" name="LastSaved">
    <vt:filetime>2020-05-19T00:00:00Z</vt:filetime>
  </property>
</Properties>
</file>